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57" w:rsidRDefault="00DE7B41" w:rsidP="00634DD7">
      <w:pPr>
        <w:pStyle w:val="Heading1"/>
        <w:jc w:val="left"/>
        <w:rPr>
          <w:caps w:val="0"/>
          <w:sz w:val="28"/>
        </w:rPr>
      </w:pPr>
      <w:bookmarkStart w:id="0" w:name="_Toc461200661"/>
      <w:bookmarkStart w:id="1" w:name="_Toc471398072"/>
      <w:bookmarkStart w:id="2" w:name="_GoBack"/>
      <w:bookmarkEnd w:id="2"/>
      <w:r>
        <w:rPr>
          <w:sz w:val="28"/>
        </w:rPr>
        <w:t>6.02</w:t>
      </w:r>
      <w:r w:rsidR="00634DD7" w:rsidRPr="00207D00">
        <w:rPr>
          <w:sz w:val="28"/>
        </w:rPr>
        <w:tab/>
      </w:r>
      <w:r w:rsidR="00634DD7" w:rsidRPr="00F91C87">
        <w:rPr>
          <w:sz w:val="28"/>
        </w:rPr>
        <w:t>Pertussis Vaccine-Acellular Combined with Diphtheria and Tetanus Toxoids [Adsorbed]</w:t>
      </w:r>
      <w:r w:rsidR="00634DD7" w:rsidRPr="00207D00">
        <w:rPr>
          <w:sz w:val="28"/>
        </w:rPr>
        <w:t xml:space="preserve">, </w:t>
      </w:r>
      <w:r w:rsidR="00634DD7">
        <w:rPr>
          <w:sz w:val="28"/>
        </w:rPr>
        <w:br/>
      </w:r>
      <w:r w:rsidR="00634DD7">
        <w:rPr>
          <w:caps w:val="0"/>
          <w:sz w:val="28"/>
        </w:rPr>
        <w:t>Vaccine 0.5</w:t>
      </w:r>
      <w:r w:rsidR="0001054B">
        <w:rPr>
          <w:caps w:val="0"/>
          <w:sz w:val="28"/>
        </w:rPr>
        <w:t xml:space="preserve"> </w:t>
      </w:r>
      <w:r w:rsidR="00634DD7">
        <w:rPr>
          <w:caps w:val="0"/>
          <w:sz w:val="28"/>
        </w:rPr>
        <w:t>m</w:t>
      </w:r>
      <w:r w:rsidR="003F007E">
        <w:rPr>
          <w:caps w:val="0"/>
          <w:sz w:val="28"/>
        </w:rPr>
        <w:t xml:space="preserve">l, </w:t>
      </w:r>
    </w:p>
    <w:p w:rsidR="00634DD7" w:rsidRDefault="003F007E" w:rsidP="00646457">
      <w:pPr>
        <w:pStyle w:val="Heading1"/>
        <w:ind w:left="1440"/>
        <w:jc w:val="left"/>
        <w:rPr>
          <w:sz w:val="28"/>
        </w:rPr>
      </w:pPr>
      <w:r>
        <w:rPr>
          <w:caps w:val="0"/>
          <w:sz w:val="28"/>
        </w:rPr>
        <w:t>Adacel</w:t>
      </w:r>
      <w:r w:rsidR="00634DD7" w:rsidRPr="00F91C87">
        <w:rPr>
          <w:bCs/>
          <w:sz w:val="28"/>
          <w:szCs w:val="28"/>
          <w:vertAlign w:val="superscript"/>
        </w:rPr>
        <w:sym w:font="Symbol" w:char="F0E2"/>
      </w:r>
      <w:r w:rsidR="00634DD7" w:rsidRPr="00F91C87">
        <w:rPr>
          <w:sz w:val="28"/>
          <w:szCs w:val="28"/>
        </w:rPr>
        <w:t>,</w:t>
      </w:r>
      <w:r w:rsidR="00634DD7" w:rsidRPr="00207D00">
        <w:rPr>
          <w:sz w:val="28"/>
        </w:rPr>
        <w:t xml:space="preserve"> </w:t>
      </w:r>
      <w:r w:rsidR="00634DD7">
        <w:rPr>
          <w:caps w:val="0"/>
          <w:sz w:val="28"/>
        </w:rPr>
        <w:t>Sanofi Australia Pty Ltd</w:t>
      </w:r>
      <w:r w:rsidR="00634DD7" w:rsidRPr="00207D00">
        <w:rPr>
          <w:sz w:val="28"/>
        </w:rPr>
        <w:t>.</w:t>
      </w:r>
      <w:bookmarkEnd w:id="0"/>
      <w:bookmarkEnd w:id="1"/>
    </w:p>
    <w:p w:rsidR="00634DD7" w:rsidRDefault="00634DD7" w:rsidP="00634DD7">
      <w:pPr>
        <w:widowControl/>
      </w:pPr>
    </w:p>
    <w:p w:rsidR="00646457" w:rsidRDefault="00646457" w:rsidP="00634DD7">
      <w:pPr>
        <w:widowControl/>
      </w:pPr>
    </w:p>
    <w:p w:rsidR="00634DD7" w:rsidRDefault="00634DD7" w:rsidP="00634DD7">
      <w:pPr>
        <w:pStyle w:val="PBACHeading1"/>
      </w:pPr>
      <w:bookmarkStart w:id="3" w:name="_Toc471398074"/>
      <w:r w:rsidRPr="00407F2D">
        <w:t>Purpose of Application</w:t>
      </w:r>
      <w:bookmarkEnd w:id="3"/>
    </w:p>
    <w:p w:rsidR="0001054B" w:rsidRPr="00407F2D" w:rsidRDefault="0001054B" w:rsidP="0001054B"/>
    <w:p w:rsidR="00634DD7" w:rsidRPr="00B50DB8" w:rsidRDefault="00634DD7" w:rsidP="0074368D">
      <w:pPr>
        <w:pStyle w:val="ListParagraph"/>
        <w:widowControl/>
        <w:numPr>
          <w:ilvl w:val="1"/>
          <w:numId w:val="1"/>
        </w:numPr>
        <w:rPr>
          <w:szCs w:val="22"/>
        </w:rPr>
      </w:pPr>
      <w:r>
        <w:t xml:space="preserve">The submission requested </w:t>
      </w:r>
      <w:r w:rsidR="000C0F67" w:rsidRPr="000C0F67">
        <w:t xml:space="preserve">National Immunisation Program (NIP) </w:t>
      </w:r>
      <w:r w:rsidR="000C0F67">
        <w:t xml:space="preserve">listing for </w:t>
      </w:r>
      <w:r w:rsidR="0074777A">
        <w:t xml:space="preserve">Adacel (a </w:t>
      </w:r>
      <w:r w:rsidR="0048019F">
        <w:t>pertussis vaccine-acellular, combined with diphtheria and tetanus toxoids (a</w:t>
      </w:r>
      <w:r w:rsidR="000C0F67" w:rsidRPr="000C0F67">
        <w:t>dsorbed)</w:t>
      </w:r>
      <w:r w:rsidR="0074777A">
        <w:t xml:space="preserve"> </w:t>
      </w:r>
      <w:r w:rsidR="000C0F67">
        <w:t>(dTpa</w:t>
      </w:r>
      <w:r w:rsidR="00FD6D9F">
        <w:t xml:space="preserve"> vaccine</w:t>
      </w:r>
      <w:r w:rsidR="0074777A">
        <w:t>)</w:t>
      </w:r>
      <w:r w:rsidR="00147FC4">
        <w:t>)</w:t>
      </w:r>
      <w:r w:rsidRPr="00FF2AB3">
        <w:t xml:space="preserve"> for maternal vaccination</w:t>
      </w:r>
      <w:r w:rsidR="000C0F67">
        <w:t>,</w:t>
      </w:r>
      <w:r w:rsidRPr="00FF2AB3">
        <w:t xml:space="preserve"> in the third trimester </w:t>
      </w:r>
      <w:r w:rsidR="00A55C1D">
        <w:t>of each pregnancy</w:t>
      </w:r>
      <w:r w:rsidR="000C0F67">
        <w:t>,</w:t>
      </w:r>
      <w:r w:rsidR="00A55C1D">
        <w:t xml:space="preserve"> </w:t>
      </w:r>
      <w:r w:rsidRPr="00FF2AB3">
        <w:t>primarily to reduce the risk of pertussis in newborn infants up to 2 months of age</w:t>
      </w:r>
      <w:r w:rsidRPr="004B3DDB">
        <w:t>.</w:t>
      </w:r>
    </w:p>
    <w:p w:rsidR="0001054B" w:rsidRDefault="0001054B" w:rsidP="003954B4">
      <w:pPr>
        <w:widowControl/>
        <w:jc w:val="left"/>
      </w:pPr>
    </w:p>
    <w:p w:rsidR="00646457" w:rsidRPr="00882085" w:rsidRDefault="00646457" w:rsidP="003954B4">
      <w:pPr>
        <w:widowControl/>
        <w:jc w:val="left"/>
      </w:pPr>
    </w:p>
    <w:p w:rsidR="00634DD7" w:rsidRDefault="00634DD7" w:rsidP="00634DD7">
      <w:pPr>
        <w:pStyle w:val="PBACHeading1"/>
        <w:keepNext/>
      </w:pPr>
      <w:bookmarkStart w:id="4" w:name="_Toc471398075"/>
      <w:r w:rsidRPr="00407F2D">
        <w:t>Requested listing</w:t>
      </w:r>
      <w:bookmarkEnd w:id="4"/>
    </w:p>
    <w:p w:rsidR="0074777A" w:rsidRPr="00407F2D" w:rsidRDefault="0074777A" w:rsidP="0001054B"/>
    <w:p w:rsidR="00634DD7" w:rsidRDefault="0048019F" w:rsidP="0074368D">
      <w:pPr>
        <w:pStyle w:val="ListParagraph"/>
        <w:widowControl/>
        <w:numPr>
          <w:ilvl w:val="1"/>
          <w:numId w:val="1"/>
        </w:numPr>
        <w:rPr>
          <w:rFonts w:eastAsia="SimSun"/>
          <w:szCs w:val="22"/>
        </w:rPr>
      </w:pPr>
      <w:r w:rsidRPr="0048019F">
        <w:rPr>
          <w:rFonts w:eastAsia="SimSun"/>
          <w:szCs w:val="22"/>
        </w:rPr>
        <w:t xml:space="preserve">The submission sought the </w:t>
      </w:r>
      <w:r w:rsidR="000A7D1C">
        <w:rPr>
          <w:rFonts w:eastAsia="SimSun"/>
          <w:szCs w:val="22"/>
        </w:rPr>
        <w:t xml:space="preserve">following </w:t>
      </w:r>
      <w:r w:rsidR="000A7D1C">
        <w:rPr>
          <w:szCs w:val="22"/>
        </w:rPr>
        <w:t xml:space="preserve">addition </w:t>
      </w:r>
      <w:r w:rsidR="000A7D1C" w:rsidRPr="00486105">
        <w:rPr>
          <w:i/>
          <w:szCs w:val="22"/>
        </w:rPr>
        <w:t>(in italics)</w:t>
      </w:r>
      <w:r w:rsidR="000A7D1C">
        <w:rPr>
          <w:szCs w:val="22"/>
        </w:rPr>
        <w:t xml:space="preserve"> to Schedule 1 (</w:t>
      </w:r>
      <w:r w:rsidR="000A7D1C" w:rsidRPr="00FF2122">
        <w:rPr>
          <w:szCs w:val="22"/>
        </w:rPr>
        <w:t>Designated vaccines and circumstances in which vaccines may be provided</w:t>
      </w:r>
      <w:r w:rsidR="000A7D1C">
        <w:rPr>
          <w:szCs w:val="22"/>
        </w:rPr>
        <w:t xml:space="preserve">) of </w:t>
      </w:r>
      <w:r w:rsidR="000A7D1C" w:rsidRPr="00FF2122">
        <w:rPr>
          <w:szCs w:val="22"/>
        </w:rPr>
        <w:t>National Health (Immunisation Program – Designated Vaccines Determination 2014 (No. 1)</w:t>
      </w:r>
      <w:r w:rsidRPr="0048019F">
        <w:rPr>
          <w:rFonts w:eastAsia="SimSun"/>
          <w:szCs w:val="22"/>
        </w:rPr>
        <w:t>:</w:t>
      </w:r>
    </w:p>
    <w:p w:rsidR="00634DD7" w:rsidRPr="007D3635" w:rsidRDefault="00634DD7" w:rsidP="00A72D33">
      <w:pPr>
        <w:widowControl/>
        <w:jc w:val="left"/>
        <w:rPr>
          <w:rFonts w:ascii="Arial Narrow" w:hAnsi="Arial Narrow"/>
          <w:sz w:val="18"/>
          <w:szCs w:val="18"/>
        </w:rPr>
      </w:pPr>
    </w:p>
    <w:tbl>
      <w:tblPr>
        <w:tblW w:w="0" w:type="auto"/>
        <w:tblInd w:w="959" w:type="dxa"/>
        <w:tblLook w:val="04A0" w:firstRow="1" w:lastRow="0" w:firstColumn="1" w:lastColumn="0" w:noHBand="0" w:noVBand="1"/>
      </w:tblPr>
      <w:tblGrid>
        <w:gridCol w:w="2410"/>
        <w:gridCol w:w="761"/>
        <w:gridCol w:w="1708"/>
        <w:gridCol w:w="1730"/>
        <w:gridCol w:w="1675"/>
      </w:tblGrid>
      <w:tr w:rsidR="000A7D1C" w:rsidRPr="00127A3D" w:rsidTr="000A7D1C">
        <w:trPr>
          <w:trHeight w:val="889"/>
        </w:trPr>
        <w:tc>
          <w:tcPr>
            <w:tcW w:w="2410" w:type="dxa"/>
            <w:tcBorders>
              <w:bottom w:val="single" w:sz="4" w:space="0" w:color="auto"/>
            </w:tcBorders>
            <w:shd w:val="clear" w:color="auto" w:fill="auto"/>
            <w:vAlign w:val="bottom"/>
          </w:tcPr>
          <w:p w:rsidR="000A7D1C" w:rsidRPr="00127A3D" w:rsidRDefault="000A7D1C" w:rsidP="000B6ED7">
            <w:pPr>
              <w:pStyle w:val="tablecolhead"/>
              <w:rPr>
                <w:rFonts w:ascii="Arial Narrow" w:hAnsi="Arial Narrow" w:cs="Arial"/>
                <w:sz w:val="20"/>
                <w:szCs w:val="20"/>
              </w:rPr>
            </w:pPr>
            <w:r w:rsidRPr="00127A3D">
              <w:rPr>
                <w:rFonts w:ascii="Arial Narrow" w:hAnsi="Arial Narrow" w:cs="Arial"/>
                <w:sz w:val="20"/>
                <w:szCs w:val="20"/>
              </w:rPr>
              <w:t>Vaccine and the circumstances in which vaccine may be provided</w:t>
            </w:r>
          </w:p>
        </w:tc>
        <w:tc>
          <w:tcPr>
            <w:tcW w:w="761" w:type="dxa"/>
            <w:tcBorders>
              <w:bottom w:val="single" w:sz="4" w:space="0" w:color="auto"/>
            </w:tcBorders>
            <w:shd w:val="clear" w:color="auto" w:fill="auto"/>
            <w:vAlign w:val="bottom"/>
          </w:tcPr>
          <w:p w:rsidR="000A7D1C" w:rsidRPr="00127A3D" w:rsidRDefault="000A7D1C" w:rsidP="000B6ED7">
            <w:pPr>
              <w:pStyle w:val="tablecolhead"/>
              <w:rPr>
                <w:rFonts w:ascii="Arial Narrow" w:hAnsi="Arial Narrow" w:cs="Arial"/>
                <w:sz w:val="20"/>
                <w:szCs w:val="20"/>
              </w:rPr>
            </w:pPr>
            <w:r w:rsidRPr="00127A3D">
              <w:rPr>
                <w:rFonts w:ascii="Arial Narrow" w:hAnsi="Arial Narrow" w:cs="Arial"/>
                <w:sz w:val="20"/>
                <w:szCs w:val="20"/>
              </w:rPr>
              <w:t>Brand</w:t>
            </w:r>
          </w:p>
        </w:tc>
        <w:tc>
          <w:tcPr>
            <w:tcW w:w="1708" w:type="dxa"/>
            <w:tcBorders>
              <w:bottom w:val="single" w:sz="4" w:space="0" w:color="auto"/>
            </w:tcBorders>
            <w:shd w:val="clear" w:color="auto" w:fill="auto"/>
            <w:vAlign w:val="bottom"/>
          </w:tcPr>
          <w:p w:rsidR="000A7D1C" w:rsidRPr="00127A3D" w:rsidRDefault="000A7D1C" w:rsidP="000B6ED7">
            <w:pPr>
              <w:pStyle w:val="tablecolhead"/>
              <w:rPr>
                <w:rFonts w:ascii="Arial Narrow" w:hAnsi="Arial Narrow" w:cs="Arial"/>
                <w:sz w:val="20"/>
                <w:szCs w:val="20"/>
              </w:rPr>
            </w:pPr>
            <w:r w:rsidRPr="00127A3D">
              <w:rPr>
                <w:rFonts w:ascii="Arial Narrow" w:hAnsi="Arial Narrow" w:cs="Arial"/>
                <w:sz w:val="20"/>
                <w:szCs w:val="20"/>
              </w:rPr>
              <w:t>Formulation</w:t>
            </w:r>
          </w:p>
        </w:tc>
        <w:tc>
          <w:tcPr>
            <w:tcW w:w="1730" w:type="dxa"/>
            <w:tcBorders>
              <w:bottom w:val="single" w:sz="4" w:space="0" w:color="auto"/>
            </w:tcBorders>
            <w:shd w:val="clear" w:color="auto" w:fill="auto"/>
            <w:vAlign w:val="bottom"/>
          </w:tcPr>
          <w:p w:rsidR="000A7D1C" w:rsidRPr="00127A3D" w:rsidRDefault="000A7D1C" w:rsidP="000B6ED7">
            <w:pPr>
              <w:pStyle w:val="tablecolhead"/>
              <w:rPr>
                <w:rFonts w:ascii="Arial Narrow" w:hAnsi="Arial Narrow" w:cs="Arial"/>
                <w:sz w:val="20"/>
                <w:szCs w:val="20"/>
              </w:rPr>
            </w:pPr>
            <w:r w:rsidRPr="00127A3D">
              <w:rPr>
                <w:rFonts w:ascii="Arial Narrow" w:hAnsi="Arial Narrow" w:cs="Arial"/>
                <w:sz w:val="20"/>
                <w:szCs w:val="20"/>
              </w:rPr>
              <w:t>Active ingredient and strength</w:t>
            </w:r>
          </w:p>
        </w:tc>
        <w:tc>
          <w:tcPr>
            <w:tcW w:w="1675" w:type="dxa"/>
            <w:tcBorders>
              <w:bottom w:val="single" w:sz="4" w:space="0" w:color="auto"/>
            </w:tcBorders>
            <w:shd w:val="clear" w:color="auto" w:fill="auto"/>
            <w:vAlign w:val="bottom"/>
          </w:tcPr>
          <w:p w:rsidR="000A7D1C" w:rsidRPr="00127A3D" w:rsidRDefault="000A7D1C" w:rsidP="000B6ED7">
            <w:pPr>
              <w:pStyle w:val="tablecolhead"/>
              <w:rPr>
                <w:rFonts w:ascii="Arial Narrow" w:hAnsi="Arial Narrow" w:cs="Arial"/>
                <w:sz w:val="20"/>
                <w:szCs w:val="20"/>
              </w:rPr>
            </w:pPr>
            <w:r w:rsidRPr="00127A3D">
              <w:rPr>
                <w:rFonts w:ascii="Arial Narrow" w:hAnsi="Arial Narrow" w:cs="Arial"/>
                <w:sz w:val="20"/>
                <w:szCs w:val="20"/>
              </w:rPr>
              <w:t>Number and timing of doses</w:t>
            </w:r>
          </w:p>
        </w:tc>
      </w:tr>
      <w:tr w:rsidR="000A7D1C" w:rsidRPr="00127A3D" w:rsidTr="000A7D1C">
        <w:trPr>
          <w:trHeight w:val="4101"/>
        </w:trPr>
        <w:tc>
          <w:tcPr>
            <w:tcW w:w="2410" w:type="dxa"/>
            <w:tcBorders>
              <w:top w:val="single" w:sz="4" w:space="0" w:color="auto"/>
            </w:tcBorders>
            <w:shd w:val="clear" w:color="auto" w:fill="auto"/>
          </w:tcPr>
          <w:p w:rsidR="000A7D1C" w:rsidRPr="00127A3D" w:rsidRDefault="000A7D1C" w:rsidP="000B6ED7">
            <w:pPr>
              <w:pStyle w:val="tablecolhead"/>
              <w:rPr>
                <w:rFonts w:ascii="Arial Narrow" w:hAnsi="Arial Narrow" w:cs="Arial"/>
                <w:b/>
                <w:sz w:val="20"/>
                <w:szCs w:val="20"/>
              </w:rPr>
            </w:pPr>
            <w:r w:rsidRPr="00127A3D">
              <w:rPr>
                <w:rFonts w:ascii="Arial Narrow" w:hAnsi="Arial Narrow" w:cs="Arial"/>
                <w:b/>
                <w:sz w:val="20"/>
                <w:szCs w:val="20"/>
              </w:rPr>
              <w:t>Vaccine</w:t>
            </w:r>
          </w:p>
          <w:p w:rsidR="000A7D1C" w:rsidRPr="00127A3D" w:rsidRDefault="000A7D1C" w:rsidP="000B6ED7">
            <w:pPr>
              <w:pStyle w:val="tabletext00"/>
              <w:rPr>
                <w:rFonts w:ascii="Arial Narrow" w:hAnsi="Arial Narrow" w:cs="Arial"/>
                <w:sz w:val="20"/>
                <w:szCs w:val="20"/>
              </w:rPr>
            </w:pPr>
            <w:r w:rsidRPr="00127A3D">
              <w:rPr>
                <w:rFonts w:ascii="Arial Narrow" w:hAnsi="Arial Narrow" w:cs="Arial"/>
                <w:sz w:val="20"/>
                <w:szCs w:val="20"/>
              </w:rPr>
              <w:t>Diphtheria, tetanus and pertussis (adult/adolescent)</w:t>
            </w:r>
          </w:p>
          <w:p w:rsidR="000A7D1C" w:rsidRPr="00127A3D" w:rsidRDefault="000A7D1C" w:rsidP="000B6ED7">
            <w:pPr>
              <w:rPr>
                <w:rFonts w:ascii="Arial Narrow" w:hAnsi="Arial Narrow"/>
                <w:b/>
                <w:i/>
                <w:sz w:val="20"/>
              </w:rPr>
            </w:pPr>
          </w:p>
          <w:p w:rsidR="000A7D1C" w:rsidRPr="00127A3D" w:rsidRDefault="000A7D1C" w:rsidP="000B6ED7">
            <w:pPr>
              <w:rPr>
                <w:rFonts w:ascii="Arial Narrow" w:hAnsi="Arial Narrow"/>
                <w:b/>
                <w:sz w:val="20"/>
              </w:rPr>
            </w:pPr>
            <w:r w:rsidRPr="00127A3D">
              <w:rPr>
                <w:rFonts w:ascii="Arial Narrow" w:hAnsi="Arial Narrow"/>
                <w:b/>
                <w:sz w:val="20"/>
              </w:rPr>
              <w:t>Circumstances</w:t>
            </w:r>
          </w:p>
          <w:p w:rsidR="000A7D1C" w:rsidRPr="00127A3D" w:rsidRDefault="000A7D1C" w:rsidP="000B6ED7">
            <w:pPr>
              <w:rPr>
                <w:rFonts w:ascii="Arial Narrow" w:hAnsi="Arial Narrow"/>
                <w:sz w:val="20"/>
              </w:rPr>
            </w:pPr>
            <w:r w:rsidRPr="00127A3D">
              <w:rPr>
                <w:rFonts w:ascii="Arial Narrow" w:hAnsi="Arial Narrow"/>
                <w:sz w:val="20"/>
              </w:rPr>
              <w:t xml:space="preserve">Vaccine may be provided to: </w:t>
            </w:r>
          </w:p>
          <w:p w:rsidR="000A7D1C" w:rsidRPr="00127A3D" w:rsidRDefault="000A7D1C" w:rsidP="0074368D">
            <w:pPr>
              <w:widowControl/>
              <w:numPr>
                <w:ilvl w:val="0"/>
                <w:numId w:val="6"/>
              </w:numPr>
              <w:ind w:left="284" w:hanging="284"/>
              <w:rPr>
                <w:rFonts w:ascii="Arial Narrow" w:hAnsi="Arial Narrow"/>
                <w:sz w:val="20"/>
              </w:rPr>
            </w:pPr>
            <w:r w:rsidRPr="00127A3D">
              <w:rPr>
                <w:rFonts w:ascii="Arial Narrow" w:hAnsi="Arial Narrow"/>
                <w:sz w:val="20"/>
              </w:rPr>
              <w:t>a child who is at least 10 years but less than 18 years old; or</w:t>
            </w:r>
          </w:p>
          <w:p w:rsidR="000A7D1C" w:rsidRPr="00974749" w:rsidRDefault="000A7D1C" w:rsidP="0074368D">
            <w:pPr>
              <w:widowControl/>
              <w:numPr>
                <w:ilvl w:val="0"/>
                <w:numId w:val="6"/>
              </w:numPr>
              <w:ind w:left="284" w:hanging="284"/>
              <w:rPr>
                <w:rFonts w:ascii="Arial Narrow" w:hAnsi="Arial Narrow"/>
                <w:b/>
                <w:sz w:val="20"/>
              </w:rPr>
            </w:pPr>
            <w:r w:rsidRPr="00B267B7">
              <w:rPr>
                <w:rFonts w:ascii="Arial Narrow" w:hAnsi="Arial Narrow"/>
                <w:i/>
                <w:sz w:val="20"/>
              </w:rPr>
              <w:t>a pregnant woman during each pregnancy</w:t>
            </w:r>
            <w:r w:rsidR="00A47D48" w:rsidRPr="00974749">
              <w:rPr>
                <w:rFonts w:ascii="Arial Narrow" w:hAnsi="Arial Narrow"/>
                <w:sz w:val="20"/>
              </w:rPr>
              <w:t>.</w:t>
            </w:r>
          </w:p>
        </w:tc>
        <w:tc>
          <w:tcPr>
            <w:tcW w:w="761" w:type="dxa"/>
            <w:tcBorders>
              <w:top w:val="single" w:sz="4" w:space="0" w:color="auto"/>
            </w:tcBorders>
            <w:shd w:val="clear" w:color="auto" w:fill="auto"/>
          </w:tcPr>
          <w:p w:rsidR="000A7D1C" w:rsidRPr="00127A3D" w:rsidRDefault="000A7D1C" w:rsidP="000B6ED7">
            <w:pPr>
              <w:rPr>
                <w:rFonts w:ascii="Arial Narrow" w:hAnsi="Arial Narrow"/>
                <w:b/>
                <w:i/>
                <w:sz w:val="20"/>
              </w:rPr>
            </w:pPr>
            <w:r w:rsidRPr="00127A3D">
              <w:rPr>
                <w:rFonts w:ascii="Arial Narrow" w:hAnsi="Arial Narrow"/>
                <w:sz w:val="20"/>
              </w:rPr>
              <w:t>Adacel</w:t>
            </w:r>
            <w:r>
              <w:rPr>
                <w:rFonts w:ascii="Arial Narrow" w:hAnsi="Arial Narrow"/>
                <w:sz w:val="20"/>
              </w:rPr>
              <w:t xml:space="preserve"> </w:t>
            </w:r>
          </w:p>
        </w:tc>
        <w:tc>
          <w:tcPr>
            <w:tcW w:w="1708" w:type="dxa"/>
            <w:tcBorders>
              <w:top w:val="single" w:sz="4" w:space="0" w:color="auto"/>
            </w:tcBorders>
            <w:shd w:val="clear" w:color="auto" w:fill="auto"/>
          </w:tcPr>
          <w:p w:rsidR="000A7D1C" w:rsidRPr="00127A3D" w:rsidRDefault="000A7D1C" w:rsidP="000B6ED7">
            <w:pPr>
              <w:rPr>
                <w:rFonts w:ascii="Arial Narrow" w:hAnsi="Arial Narrow"/>
                <w:b/>
                <w:i/>
                <w:sz w:val="20"/>
              </w:rPr>
            </w:pPr>
            <w:r w:rsidRPr="00127A3D">
              <w:rPr>
                <w:rFonts w:ascii="Arial Narrow" w:hAnsi="Arial Narrow"/>
                <w:sz w:val="20"/>
              </w:rPr>
              <w:t>Injection (0.5mL)</w:t>
            </w:r>
          </w:p>
        </w:tc>
        <w:tc>
          <w:tcPr>
            <w:tcW w:w="1730" w:type="dxa"/>
            <w:tcBorders>
              <w:top w:val="single" w:sz="4" w:space="0" w:color="auto"/>
            </w:tcBorders>
            <w:shd w:val="clear" w:color="auto" w:fill="auto"/>
          </w:tcPr>
          <w:p w:rsidR="000A7D1C" w:rsidRPr="00127A3D" w:rsidRDefault="000A7D1C" w:rsidP="000B6ED7">
            <w:pPr>
              <w:pStyle w:val="tabletext00"/>
              <w:rPr>
                <w:rFonts w:ascii="Arial Narrow" w:hAnsi="Arial Narrow" w:cs="Arial"/>
                <w:sz w:val="20"/>
                <w:szCs w:val="20"/>
              </w:rPr>
            </w:pPr>
            <w:r w:rsidRPr="00127A3D">
              <w:rPr>
                <w:rFonts w:ascii="Arial Narrow" w:hAnsi="Arial Narrow" w:cs="Arial"/>
                <w:sz w:val="20"/>
                <w:szCs w:val="20"/>
              </w:rPr>
              <w:t>Each of the following: (a)  diphtheria toxoid — not less than 2 IU;</w:t>
            </w:r>
          </w:p>
          <w:p w:rsidR="000A7D1C" w:rsidRPr="00127A3D" w:rsidRDefault="000A7D1C" w:rsidP="000B6ED7">
            <w:pPr>
              <w:pStyle w:val="tabletext00"/>
              <w:rPr>
                <w:rFonts w:ascii="Arial Narrow" w:hAnsi="Arial Narrow" w:cs="Arial"/>
                <w:sz w:val="20"/>
                <w:szCs w:val="20"/>
              </w:rPr>
            </w:pPr>
            <w:r w:rsidRPr="00127A3D">
              <w:rPr>
                <w:rFonts w:ascii="Arial Narrow" w:hAnsi="Arial Narrow" w:cs="Arial"/>
                <w:sz w:val="20"/>
                <w:szCs w:val="20"/>
              </w:rPr>
              <w:t>(b)  tetanus toxoid — not less than 20 IU;</w:t>
            </w:r>
          </w:p>
          <w:p w:rsidR="000A7D1C" w:rsidRPr="00127A3D" w:rsidRDefault="000A7D1C" w:rsidP="000B6ED7">
            <w:pPr>
              <w:pStyle w:val="tablep1a"/>
              <w:rPr>
                <w:rFonts w:ascii="Arial Narrow" w:hAnsi="Arial Narrow" w:cs="Arial"/>
                <w:sz w:val="20"/>
                <w:szCs w:val="20"/>
              </w:rPr>
            </w:pPr>
            <w:r w:rsidRPr="00127A3D">
              <w:rPr>
                <w:rFonts w:ascii="Arial Narrow" w:hAnsi="Arial Narrow" w:cs="Arial"/>
                <w:sz w:val="20"/>
                <w:szCs w:val="20"/>
                <w:lang w:val="de-DE"/>
              </w:rPr>
              <w:t>(c)  PT — 2.5 µg;</w:t>
            </w:r>
          </w:p>
          <w:p w:rsidR="000A7D1C" w:rsidRPr="00127A3D" w:rsidRDefault="000A7D1C" w:rsidP="000B6ED7">
            <w:pPr>
              <w:pStyle w:val="tablep1a"/>
              <w:rPr>
                <w:rFonts w:ascii="Arial Narrow" w:hAnsi="Arial Narrow" w:cs="Arial"/>
                <w:sz w:val="20"/>
                <w:szCs w:val="20"/>
              </w:rPr>
            </w:pPr>
            <w:r w:rsidRPr="00127A3D">
              <w:rPr>
                <w:rFonts w:ascii="Arial Narrow" w:hAnsi="Arial Narrow" w:cs="Arial"/>
                <w:sz w:val="20"/>
                <w:szCs w:val="20"/>
                <w:lang w:val="de-DE"/>
              </w:rPr>
              <w:t>(d)  FHA — 5 µg;</w:t>
            </w:r>
          </w:p>
          <w:p w:rsidR="000A7D1C" w:rsidRPr="00127A3D" w:rsidRDefault="000A7D1C" w:rsidP="000B6ED7">
            <w:pPr>
              <w:pStyle w:val="tablep1a"/>
              <w:rPr>
                <w:rFonts w:ascii="Arial Narrow" w:hAnsi="Arial Narrow" w:cs="Arial"/>
                <w:sz w:val="20"/>
                <w:szCs w:val="20"/>
              </w:rPr>
            </w:pPr>
            <w:r w:rsidRPr="00127A3D">
              <w:rPr>
                <w:rFonts w:ascii="Arial Narrow" w:hAnsi="Arial Narrow" w:cs="Arial"/>
                <w:sz w:val="20"/>
                <w:szCs w:val="20"/>
                <w:lang w:val="de-DE"/>
              </w:rPr>
              <w:t>(e)  PRN — 3 µg</w:t>
            </w:r>
          </w:p>
          <w:p w:rsidR="000A7D1C" w:rsidRPr="006809B3" w:rsidRDefault="000A7D1C" w:rsidP="006809B3">
            <w:pPr>
              <w:pStyle w:val="tablep1a"/>
              <w:rPr>
                <w:rFonts w:ascii="Arial Narrow" w:hAnsi="Arial Narrow" w:cs="Arial"/>
                <w:sz w:val="20"/>
                <w:szCs w:val="20"/>
              </w:rPr>
            </w:pPr>
            <w:r w:rsidRPr="00127A3D">
              <w:rPr>
                <w:rFonts w:ascii="Arial Narrow" w:hAnsi="Arial Narrow" w:cs="Arial"/>
                <w:sz w:val="20"/>
                <w:szCs w:val="20"/>
                <w:lang w:val="de-DE"/>
              </w:rPr>
              <w:t xml:space="preserve"> </w:t>
            </w:r>
            <w:r w:rsidRPr="00127A3D">
              <w:rPr>
                <w:rFonts w:ascii="Arial Narrow" w:hAnsi="Arial Narrow" w:cs="Arial"/>
                <w:sz w:val="20"/>
                <w:szCs w:val="20"/>
              </w:rPr>
              <w:t>(f)  FIM 2+3 — 5 µg</w:t>
            </w:r>
          </w:p>
        </w:tc>
        <w:tc>
          <w:tcPr>
            <w:tcW w:w="1675" w:type="dxa"/>
            <w:tcBorders>
              <w:top w:val="single" w:sz="4" w:space="0" w:color="auto"/>
            </w:tcBorders>
            <w:shd w:val="clear" w:color="auto" w:fill="auto"/>
          </w:tcPr>
          <w:p w:rsidR="000A7D1C" w:rsidRPr="00127A3D" w:rsidRDefault="000A7D1C" w:rsidP="000B6ED7">
            <w:pPr>
              <w:rPr>
                <w:rFonts w:ascii="Arial Narrow" w:hAnsi="Arial Narrow"/>
                <w:sz w:val="20"/>
              </w:rPr>
            </w:pPr>
            <w:r w:rsidRPr="00127A3D">
              <w:rPr>
                <w:rFonts w:ascii="Arial Narrow" w:hAnsi="Arial Narrow"/>
                <w:sz w:val="20"/>
              </w:rPr>
              <w:t>1 dose</w:t>
            </w:r>
            <w:r>
              <w:rPr>
                <w:rFonts w:ascii="Arial Narrow" w:hAnsi="Arial Narrow"/>
                <w:sz w:val="20"/>
              </w:rPr>
              <w:t xml:space="preserve"> (booster)</w:t>
            </w:r>
          </w:p>
        </w:tc>
      </w:tr>
    </w:tbl>
    <w:p w:rsidR="00646457" w:rsidRDefault="00646457" w:rsidP="00646457">
      <w:pPr>
        <w:pStyle w:val="ListParagraph"/>
        <w:widowControl/>
        <w:rPr>
          <w:szCs w:val="22"/>
        </w:rPr>
      </w:pPr>
    </w:p>
    <w:p w:rsidR="00634DD7" w:rsidRDefault="00634DD7" w:rsidP="0074368D">
      <w:pPr>
        <w:pStyle w:val="ListParagraph"/>
        <w:widowControl/>
        <w:numPr>
          <w:ilvl w:val="1"/>
          <w:numId w:val="1"/>
        </w:numPr>
        <w:rPr>
          <w:szCs w:val="22"/>
        </w:rPr>
      </w:pPr>
      <w:r w:rsidRPr="000A7224">
        <w:rPr>
          <w:szCs w:val="22"/>
        </w:rPr>
        <w:t xml:space="preserve">The submission sought listing on the basis of a cost-minimisation analysis of </w:t>
      </w:r>
      <w:r>
        <w:rPr>
          <w:szCs w:val="22"/>
        </w:rPr>
        <w:t>Adacel</w:t>
      </w:r>
      <w:r w:rsidRPr="000A7224">
        <w:rPr>
          <w:szCs w:val="22"/>
        </w:rPr>
        <w:t xml:space="preserve"> compared with </w:t>
      </w:r>
      <w:r w:rsidR="000D6907">
        <w:rPr>
          <w:szCs w:val="22"/>
        </w:rPr>
        <w:t xml:space="preserve">Boostrix for </w:t>
      </w:r>
      <w:r>
        <w:rPr>
          <w:szCs w:val="22"/>
        </w:rPr>
        <w:t>v</w:t>
      </w:r>
      <w:r w:rsidRPr="000A7224">
        <w:rPr>
          <w:szCs w:val="22"/>
        </w:rPr>
        <w:t>accination of pregnant women in the third trimester of each pregnancy</w:t>
      </w:r>
      <w:r>
        <w:rPr>
          <w:szCs w:val="22"/>
        </w:rPr>
        <w:t>.</w:t>
      </w:r>
    </w:p>
    <w:p w:rsidR="0001054B" w:rsidRDefault="0001054B" w:rsidP="00634DD7">
      <w:pPr>
        <w:pStyle w:val="ListParagraph"/>
        <w:widowControl/>
        <w:rPr>
          <w:szCs w:val="22"/>
        </w:rPr>
      </w:pPr>
    </w:p>
    <w:p w:rsidR="0045054A" w:rsidRPr="00B267B7" w:rsidRDefault="0045054A" w:rsidP="0045054A">
      <w:pPr>
        <w:ind w:firstLine="720"/>
        <w:rPr>
          <w:bCs/>
          <w:szCs w:val="22"/>
        </w:rPr>
      </w:pPr>
      <w:r w:rsidRPr="00B267B7">
        <w:rPr>
          <w:bCs/>
          <w:i/>
          <w:szCs w:val="22"/>
        </w:rPr>
        <w:t>For more detail on PBAC’s view, see section 7 “PBAC outcome”</w:t>
      </w:r>
    </w:p>
    <w:p w:rsidR="0045054A" w:rsidRDefault="0045054A" w:rsidP="00634DD7">
      <w:pPr>
        <w:pStyle w:val="ListParagraph"/>
        <w:widowControl/>
        <w:rPr>
          <w:szCs w:val="22"/>
        </w:rPr>
      </w:pPr>
    </w:p>
    <w:p w:rsidR="00646457" w:rsidRPr="00B267B7" w:rsidRDefault="00646457" w:rsidP="00634DD7">
      <w:pPr>
        <w:pStyle w:val="ListParagraph"/>
        <w:widowControl/>
        <w:rPr>
          <w:szCs w:val="22"/>
        </w:rPr>
      </w:pPr>
    </w:p>
    <w:p w:rsidR="00634DD7" w:rsidRPr="00B267B7" w:rsidRDefault="00634DD7" w:rsidP="00A72D33">
      <w:pPr>
        <w:pStyle w:val="PBACHeading1"/>
        <w:keepNext/>
      </w:pPr>
      <w:bookmarkStart w:id="5" w:name="_Toc471398076"/>
      <w:r w:rsidRPr="00B267B7">
        <w:lastRenderedPageBreak/>
        <w:t>Background</w:t>
      </w:r>
      <w:bookmarkEnd w:id="5"/>
    </w:p>
    <w:p w:rsidR="0048019F" w:rsidRPr="00B267B7" w:rsidRDefault="0048019F" w:rsidP="00A72D33">
      <w:pPr>
        <w:keepNext/>
      </w:pPr>
    </w:p>
    <w:p w:rsidR="0032589E" w:rsidRDefault="0001054B" w:rsidP="0074368D">
      <w:pPr>
        <w:pStyle w:val="ListParagraph"/>
        <w:widowControl/>
        <w:numPr>
          <w:ilvl w:val="1"/>
          <w:numId w:val="1"/>
        </w:numPr>
        <w:rPr>
          <w:szCs w:val="22"/>
        </w:rPr>
      </w:pPr>
      <w:r w:rsidRPr="00B267B7">
        <w:rPr>
          <w:b/>
          <w:bCs/>
          <w:szCs w:val="22"/>
        </w:rPr>
        <w:t xml:space="preserve">TGA status at time of </w:t>
      </w:r>
      <w:r w:rsidR="00F371CD" w:rsidRPr="00B267B7">
        <w:rPr>
          <w:b/>
          <w:bCs/>
          <w:szCs w:val="22"/>
        </w:rPr>
        <w:t>PBAC consideration</w:t>
      </w:r>
      <w:r w:rsidRPr="00B267B7">
        <w:rPr>
          <w:b/>
          <w:bCs/>
          <w:szCs w:val="22"/>
        </w:rPr>
        <w:t>:</w:t>
      </w:r>
      <w:r w:rsidRPr="00B267B7">
        <w:rPr>
          <w:bCs/>
          <w:szCs w:val="22"/>
        </w:rPr>
        <w:t xml:space="preserve"> </w:t>
      </w:r>
      <w:r w:rsidR="00634DD7" w:rsidRPr="00B267B7">
        <w:rPr>
          <w:szCs w:val="22"/>
        </w:rPr>
        <w:t xml:space="preserve">Adacel </w:t>
      </w:r>
      <w:r w:rsidR="003F3A77" w:rsidRPr="00B267B7">
        <w:rPr>
          <w:szCs w:val="22"/>
        </w:rPr>
        <w:t xml:space="preserve">was </w:t>
      </w:r>
      <w:r w:rsidR="00B0457D" w:rsidRPr="00B267B7">
        <w:rPr>
          <w:szCs w:val="22"/>
        </w:rPr>
        <w:t>added to</w:t>
      </w:r>
      <w:r w:rsidR="00634DD7" w:rsidRPr="00B267B7">
        <w:rPr>
          <w:szCs w:val="22"/>
        </w:rPr>
        <w:t xml:space="preserve"> the Australian Register of Therapeutic Goods (ARTG) </w:t>
      </w:r>
      <w:r w:rsidR="003F3A77" w:rsidRPr="00B267B7">
        <w:rPr>
          <w:szCs w:val="22"/>
        </w:rPr>
        <w:t>on</w:t>
      </w:r>
      <w:r w:rsidR="00634DD7" w:rsidRPr="00B267B7">
        <w:rPr>
          <w:szCs w:val="22"/>
        </w:rPr>
        <w:t xml:space="preserve"> 21 November 2005 for ‘active immunisation against tetanus, diphtheria and pertussis in persons aged</w:t>
      </w:r>
      <w:r w:rsidR="00634DD7" w:rsidRPr="00EA3D98">
        <w:rPr>
          <w:szCs w:val="22"/>
        </w:rPr>
        <w:t xml:space="preserve"> 10 years and over as a booster following primary immunisation’.</w:t>
      </w:r>
      <w:r w:rsidR="009F53CC" w:rsidRPr="00EA3D98">
        <w:rPr>
          <w:szCs w:val="22"/>
        </w:rPr>
        <w:t xml:space="preserve"> </w:t>
      </w:r>
    </w:p>
    <w:p w:rsidR="0032589E" w:rsidRDefault="0032589E" w:rsidP="0032589E">
      <w:pPr>
        <w:pStyle w:val="ListParagraph"/>
        <w:widowControl/>
        <w:rPr>
          <w:szCs w:val="22"/>
        </w:rPr>
      </w:pPr>
    </w:p>
    <w:p w:rsidR="00703590" w:rsidRDefault="009F53CC" w:rsidP="0032589E">
      <w:pPr>
        <w:pStyle w:val="ListParagraph"/>
        <w:widowControl/>
        <w:numPr>
          <w:ilvl w:val="1"/>
          <w:numId w:val="1"/>
        </w:numPr>
        <w:rPr>
          <w:szCs w:val="22"/>
        </w:rPr>
      </w:pPr>
      <w:r w:rsidRPr="00EA3D98">
        <w:rPr>
          <w:szCs w:val="22"/>
        </w:rPr>
        <w:t>The Product Information</w:t>
      </w:r>
      <w:r w:rsidR="0090662B" w:rsidRPr="00EA3D98">
        <w:rPr>
          <w:szCs w:val="22"/>
        </w:rPr>
        <w:t xml:space="preserve"> </w:t>
      </w:r>
      <w:r w:rsidRPr="00EA3D98">
        <w:rPr>
          <w:szCs w:val="22"/>
        </w:rPr>
        <w:t xml:space="preserve">includes a precaution: </w:t>
      </w:r>
      <w:r w:rsidR="003F3A77" w:rsidRPr="00EA3D98">
        <w:rPr>
          <w:szCs w:val="22"/>
        </w:rPr>
        <w:t>“</w:t>
      </w:r>
      <w:r w:rsidRPr="00EA3D98">
        <w:rPr>
          <w:szCs w:val="22"/>
        </w:rPr>
        <w:t xml:space="preserve">The effect of </w:t>
      </w:r>
      <w:r w:rsidR="0074777A" w:rsidRPr="00EA3D98">
        <w:rPr>
          <w:szCs w:val="22"/>
        </w:rPr>
        <w:t>Adacel</w:t>
      </w:r>
      <w:r w:rsidRPr="00EA3D98">
        <w:rPr>
          <w:szCs w:val="22"/>
        </w:rPr>
        <w:t xml:space="preserve"> on the development of the embryo and foetus has not been assessed. Vaccination in pregnancy is not recommended unless there is a definite risk of acquiring pertussis. As the vaccine is detoxified, risk to the embryo or the foetus is highly improbable. The benefits versus the risks of administering </w:t>
      </w:r>
      <w:r w:rsidR="0074777A" w:rsidRPr="00EA3D98">
        <w:rPr>
          <w:szCs w:val="22"/>
        </w:rPr>
        <w:t>Adacel</w:t>
      </w:r>
      <w:r w:rsidR="005A6ADC" w:rsidRPr="00EA3D98">
        <w:rPr>
          <w:szCs w:val="22"/>
        </w:rPr>
        <w:t xml:space="preserve"> in</w:t>
      </w:r>
      <w:r w:rsidRPr="00EA3D98">
        <w:rPr>
          <w:szCs w:val="22"/>
        </w:rPr>
        <w:t xml:space="preserve"> pregnancy should carefully be evaluated when there is a high probable risk of exposure to a household contact or during an outbreak in the community</w:t>
      </w:r>
      <w:r w:rsidR="003F3A77" w:rsidRPr="00EA3D98">
        <w:rPr>
          <w:szCs w:val="22"/>
        </w:rPr>
        <w:t>”</w:t>
      </w:r>
      <w:r w:rsidRPr="00EA3D98">
        <w:rPr>
          <w:szCs w:val="22"/>
        </w:rPr>
        <w:t xml:space="preserve">. </w:t>
      </w:r>
      <w:r w:rsidR="00C62CCF">
        <w:rPr>
          <w:noProof/>
          <w:color w:val="000000"/>
          <w:szCs w:val="22"/>
          <w:highlight w:val="black"/>
        </w:rPr>
        <w:t>''''''''' ''''''''''''''''''' ''''''''''''''''''' ''''''' ''''''''''''' '''''''''' ''''''''''' ''''''''' '''''''''''''''''''' ''''' '''''''''''' '''''''''' '''''''' ''''''''''' ''''' '''''''''''''''' ''''''' ''''''''''''''''' ''''''''''''''''''' ''''''''''''''''''''''''' ''''' ''''''''''''''' ''''''' ''''''''''' '''''''''''' '''''' ''''''''' '''' ''''''''''''''''''''''''''' '''''''''''' '''''' ''''''''''''' '''''''''''''''''''' ''''''''''''''''''''''''''''''''' '''''''''''''''''''''''''''''''' ''''''' ''''''''''''''''''''' '''' ''''''' ''''''''''''''''' '''''''''''''''''''''''''''''</w:t>
      </w:r>
      <w:r w:rsidR="00A35D04" w:rsidRPr="00465AC9">
        <w:rPr>
          <w:szCs w:val="22"/>
        </w:rPr>
        <w:t xml:space="preserve"> </w:t>
      </w:r>
    </w:p>
    <w:p w:rsidR="00703590" w:rsidRDefault="00703590" w:rsidP="00703590">
      <w:pPr>
        <w:pStyle w:val="ListParagraph"/>
        <w:widowControl/>
        <w:rPr>
          <w:szCs w:val="22"/>
        </w:rPr>
      </w:pPr>
    </w:p>
    <w:p w:rsidR="00465AC9" w:rsidRPr="00465AC9" w:rsidRDefault="00465AC9" w:rsidP="0074368D">
      <w:pPr>
        <w:pStyle w:val="ListParagraph"/>
        <w:widowControl/>
        <w:numPr>
          <w:ilvl w:val="1"/>
          <w:numId w:val="1"/>
        </w:numPr>
        <w:rPr>
          <w:szCs w:val="22"/>
        </w:rPr>
      </w:pPr>
      <w:r w:rsidRPr="00465AC9">
        <w:rPr>
          <w:szCs w:val="22"/>
        </w:rPr>
        <w:t>T</w:t>
      </w:r>
      <w:r w:rsidR="00A27AD9" w:rsidRPr="00465AC9">
        <w:rPr>
          <w:szCs w:val="22"/>
        </w:rPr>
        <w:t>he Product Information for Boostrix (comparator vaccine) was updated on 17</w:t>
      </w:r>
      <w:r w:rsidR="00F371CD" w:rsidRPr="00465AC9">
        <w:rPr>
          <w:szCs w:val="22"/>
        </w:rPr>
        <w:t> </w:t>
      </w:r>
      <w:r w:rsidR="00A27AD9" w:rsidRPr="00465AC9">
        <w:rPr>
          <w:szCs w:val="22"/>
        </w:rPr>
        <w:t>January 2017</w:t>
      </w:r>
      <w:r w:rsidR="00407D84" w:rsidRPr="00465AC9">
        <w:rPr>
          <w:szCs w:val="22"/>
        </w:rPr>
        <w:t xml:space="preserve"> to </w:t>
      </w:r>
      <w:r w:rsidR="00F371CD" w:rsidRPr="00465AC9">
        <w:rPr>
          <w:szCs w:val="22"/>
        </w:rPr>
        <w:t>state that</w:t>
      </w:r>
      <w:r w:rsidR="00407D84" w:rsidRPr="00465AC9">
        <w:rPr>
          <w:szCs w:val="22"/>
        </w:rPr>
        <w:t xml:space="preserve"> use may be considered during pregnancy</w:t>
      </w:r>
      <w:r w:rsidR="00A27AD9" w:rsidRPr="00465AC9">
        <w:rPr>
          <w:szCs w:val="22"/>
        </w:rPr>
        <w:t xml:space="preserve">. </w:t>
      </w:r>
    </w:p>
    <w:p w:rsidR="009F53CC" w:rsidRPr="0001054B" w:rsidRDefault="009F53CC" w:rsidP="00465AC9">
      <w:pPr>
        <w:widowControl/>
      </w:pPr>
    </w:p>
    <w:p w:rsidR="00634DD7" w:rsidRPr="0001054B" w:rsidRDefault="00634DD7" w:rsidP="0074368D">
      <w:pPr>
        <w:pStyle w:val="ListParagraph"/>
        <w:widowControl/>
        <w:numPr>
          <w:ilvl w:val="1"/>
          <w:numId w:val="1"/>
        </w:numPr>
        <w:rPr>
          <w:szCs w:val="22"/>
        </w:rPr>
      </w:pPr>
      <w:r w:rsidRPr="0001054B">
        <w:rPr>
          <w:szCs w:val="22"/>
        </w:rPr>
        <w:t xml:space="preserve">This </w:t>
      </w:r>
      <w:r w:rsidR="003F007E" w:rsidRPr="0001054B">
        <w:rPr>
          <w:szCs w:val="22"/>
        </w:rPr>
        <w:t>is</w:t>
      </w:r>
      <w:r w:rsidRPr="0001054B">
        <w:rPr>
          <w:szCs w:val="22"/>
        </w:rPr>
        <w:t xml:space="preserve"> not the first consideration of </w:t>
      </w:r>
      <w:r w:rsidR="00AA5048" w:rsidRPr="0001054B">
        <w:rPr>
          <w:szCs w:val="22"/>
        </w:rPr>
        <w:t xml:space="preserve">dTpa </w:t>
      </w:r>
      <w:r w:rsidRPr="0001054B">
        <w:rPr>
          <w:szCs w:val="22"/>
        </w:rPr>
        <w:t xml:space="preserve">by the PBAC. </w:t>
      </w:r>
      <w:r w:rsidR="005A6ADC" w:rsidRPr="0001054B">
        <w:rPr>
          <w:szCs w:val="22"/>
        </w:rPr>
        <w:t xml:space="preserve">A submission for </w:t>
      </w:r>
      <w:r w:rsidR="00173ACD" w:rsidRPr="0001054B">
        <w:rPr>
          <w:szCs w:val="22"/>
        </w:rPr>
        <w:t>Boostrix</w:t>
      </w:r>
      <w:r w:rsidR="005A6ADC" w:rsidRPr="0001054B">
        <w:rPr>
          <w:szCs w:val="22"/>
        </w:rPr>
        <w:t xml:space="preserve"> for vaccination of both parents of newborn infants at or around the time of birth</w:t>
      </w:r>
      <w:r w:rsidR="00AD00EC" w:rsidRPr="0001054B">
        <w:rPr>
          <w:szCs w:val="22"/>
        </w:rPr>
        <w:t xml:space="preserve"> (known as the ‘cocooning’ strategy)</w:t>
      </w:r>
      <w:r w:rsidR="005A6ADC" w:rsidRPr="0001054B">
        <w:rPr>
          <w:szCs w:val="22"/>
        </w:rPr>
        <w:t xml:space="preserve"> was reviewed by PBAC in July 2011</w:t>
      </w:r>
      <w:r w:rsidR="00AD00EC" w:rsidRPr="0001054B">
        <w:rPr>
          <w:szCs w:val="22"/>
        </w:rPr>
        <w:t xml:space="preserve">. A similar submission for </w:t>
      </w:r>
      <w:r w:rsidR="003477DC" w:rsidRPr="0001054B">
        <w:rPr>
          <w:szCs w:val="22"/>
        </w:rPr>
        <w:t xml:space="preserve">Adacel </w:t>
      </w:r>
      <w:r w:rsidR="00AD00EC" w:rsidRPr="0001054B">
        <w:rPr>
          <w:szCs w:val="22"/>
        </w:rPr>
        <w:t>for the cocooning strategy was made in Nov</w:t>
      </w:r>
      <w:r w:rsidR="003477DC" w:rsidRPr="0001054B">
        <w:rPr>
          <w:szCs w:val="22"/>
        </w:rPr>
        <w:t>ember 2011.</w:t>
      </w:r>
      <w:r w:rsidR="00AD00EC" w:rsidRPr="0001054B">
        <w:rPr>
          <w:szCs w:val="22"/>
        </w:rPr>
        <w:t xml:space="preserve"> Due to uncertain clinical effectiveness and high and uncertain cost-effectiveness, both submissions were rejected</w:t>
      </w:r>
      <w:r w:rsidR="00CD785B" w:rsidRPr="0001054B">
        <w:rPr>
          <w:szCs w:val="22"/>
        </w:rPr>
        <w:t>.</w:t>
      </w:r>
    </w:p>
    <w:p w:rsidR="009F53CC" w:rsidRPr="0001054B" w:rsidRDefault="009F53CC" w:rsidP="009F53CC">
      <w:pPr>
        <w:pStyle w:val="ListParagraph"/>
        <w:rPr>
          <w:szCs w:val="22"/>
        </w:rPr>
      </w:pPr>
    </w:p>
    <w:p w:rsidR="009F53CC" w:rsidRPr="0001054B" w:rsidRDefault="009F53CC" w:rsidP="0074368D">
      <w:pPr>
        <w:pStyle w:val="ListParagraph"/>
        <w:widowControl/>
        <w:numPr>
          <w:ilvl w:val="1"/>
          <w:numId w:val="1"/>
        </w:numPr>
        <w:rPr>
          <w:szCs w:val="22"/>
        </w:rPr>
      </w:pPr>
      <w:r w:rsidRPr="0001054B">
        <w:rPr>
          <w:szCs w:val="22"/>
        </w:rPr>
        <w:t xml:space="preserve">At </w:t>
      </w:r>
      <w:r w:rsidR="00B0457D" w:rsidRPr="0001054B">
        <w:rPr>
          <w:szCs w:val="22"/>
        </w:rPr>
        <w:t>its</w:t>
      </w:r>
      <w:r w:rsidRPr="0001054B">
        <w:rPr>
          <w:szCs w:val="22"/>
        </w:rPr>
        <w:t xml:space="preserve"> July 2016 meeting, </w:t>
      </w:r>
      <w:r w:rsidR="00B0457D" w:rsidRPr="0001054B">
        <w:rPr>
          <w:szCs w:val="22"/>
        </w:rPr>
        <w:t xml:space="preserve">the </w:t>
      </w:r>
      <w:r w:rsidRPr="0001054B">
        <w:rPr>
          <w:szCs w:val="22"/>
        </w:rPr>
        <w:t>PBAC recommended a change to the circumstances under which</w:t>
      </w:r>
      <w:r w:rsidR="00173ACD" w:rsidRPr="0001054B">
        <w:rPr>
          <w:szCs w:val="22"/>
        </w:rPr>
        <w:t xml:space="preserve"> Boostrix</w:t>
      </w:r>
      <w:r w:rsidRPr="0001054B">
        <w:rPr>
          <w:szCs w:val="22"/>
        </w:rPr>
        <w:t xml:space="preserve"> </w:t>
      </w:r>
      <w:r w:rsidR="00996BC9" w:rsidRPr="0001054B">
        <w:rPr>
          <w:szCs w:val="22"/>
        </w:rPr>
        <w:t>(</w:t>
      </w:r>
      <w:r w:rsidR="00AF2D18">
        <w:rPr>
          <w:szCs w:val="22"/>
        </w:rPr>
        <w:t>p</w:t>
      </w:r>
      <w:r w:rsidR="00996BC9" w:rsidRPr="0001054B">
        <w:rPr>
          <w:szCs w:val="22"/>
        </w:rPr>
        <w:t xml:space="preserve">re-filled syringe, 0.5 mL) </w:t>
      </w:r>
      <w:r w:rsidRPr="0001054B">
        <w:rPr>
          <w:szCs w:val="22"/>
        </w:rPr>
        <w:t xml:space="preserve">is made available as a designated vaccine </w:t>
      </w:r>
      <w:r w:rsidR="00B0457D" w:rsidRPr="0001054B">
        <w:rPr>
          <w:szCs w:val="22"/>
        </w:rPr>
        <w:t>on</w:t>
      </w:r>
      <w:r w:rsidRPr="0001054B">
        <w:rPr>
          <w:szCs w:val="22"/>
        </w:rPr>
        <w:t xml:space="preserve"> the NIP to include vaccination of women during each pregnancy to reduce pertussis disease in infants (prior to being vaccinated) and in mothers on the basis of cost-effectiveness compared with no vaccination (</w:t>
      </w:r>
      <w:r w:rsidR="002033D4" w:rsidRPr="0001054B">
        <w:rPr>
          <w:szCs w:val="22"/>
        </w:rPr>
        <w:t xml:space="preserve">6.01 </w:t>
      </w:r>
      <w:r w:rsidR="00173ACD" w:rsidRPr="0001054B">
        <w:rPr>
          <w:szCs w:val="22"/>
        </w:rPr>
        <w:t>Boostrix</w:t>
      </w:r>
      <w:r w:rsidR="002033D4" w:rsidRPr="0001054B">
        <w:rPr>
          <w:szCs w:val="22"/>
        </w:rPr>
        <w:t xml:space="preserve"> July 2016 Public Summary Document)</w:t>
      </w:r>
      <w:r w:rsidRPr="0001054B">
        <w:rPr>
          <w:szCs w:val="22"/>
        </w:rPr>
        <w:t>.</w:t>
      </w:r>
    </w:p>
    <w:p w:rsidR="007A650F" w:rsidRPr="0001054B" w:rsidRDefault="007A650F" w:rsidP="007A650F">
      <w:pPr>
        <w:pStyle w:val="ListParagraph"/>
        <w:rPr>
          <w:szCs w:val="22"/>
        </w:rPr>
      </w:pPr>
    </w:p>
    <w:p w:rsidR="007A650F" w:rsidRPr="0001054B" w:rsidRDefault="007A650F" w:rsidP="0074368D">
      <w:pPr>
        <w:pStyle w:val="ListParagraph"/>
        <w:widowControl/>
        <w:numPr>
          <w:ilvl w:val="1"/>
          <w:numId w:val="1"/>
        </w:numPr>
        <w:rPr>
          <w:szCs w:val="22"/>
        </w:rPr>
      </w:pPr>
      <w:r w:rsidRPr="0001054B">
        <w:rPr>
          <w:szCs w:val="22"/>
        </w:rPr>
        <w:t>All states and territories have implemented jurisdictionally-funded antepartum pertussis vaccination programs. The vaccines currently used in the program</w:t>
      </w:r>
      <w:r w:rsidR="00B0457D" w:rsidRPr="0001054B">
        <w:rPr>
          <w:szCs w:val="22"/>
        </w:rPr>
        <w:t>s</w:t>
      </w:r>
      <w:r w:rsidRPr="0001054B">
        <w:rPr>
          <w:szCs w:val="22"/>
        </w:rPr>
        <w:t xml:space="preserve"> </w:t>
      </w:r>
      <w:r w:rsidR="00B0457D" w:rsidRPr="0001054B">
        <w:rPr>
          <w:szCs w:val="22"/>
        </w:rPr>
        <w:t>are</w:t>
      </w:r>
      <w:r w:rsidRPr="0001054B">
        <w:rPr>
          <w:szCs w:val="22"/>
        </w:rPr>
        <w:t xml:space="preserve"> either Boostrix only or Bo</w:t>
      </w:r>
      <w:r w:rsidR="007D1431" w:rsidRPr="0001054B">
        <w:rPr>
          <w:szCs w:val="22"/>
        </w:rPr>
        <w:t>ostrix and Adacel (see Table</w:t>
      </w:r>
      <w:r w:rsidR="000B58E8">
        <w:rPr>
          <w:szCs w:val="22"/>
        </w:rPr>
        <w:t xml:space="preserve"> </w:t>
      </w:r>
      <w:r w:rsidR="003477DC" w:rsidRPr="0001054B">
        <w:rPr>
          <w:szCs w:val="22"/>
        </w:rPr>
        <w:t>1).</w:t>
      </w:r>
    </w:p>
    <w:p w:rsidR="00696CB6" w:rsidRPr="00696CB6" w:rsidRDefault="00696CB6" w:rsidP="00696CB6">
      <w:pPr>
        <w:pStyle w:val="ListParagraph"/>
        <w:widowControl/>
        <w:rPr>
          <w:szCs w:val="22"/>
        </w:rPr>
      </w:pPr>
    </w:p>
    <w:p w:rsidR="00A72D33" w:rsidRDefault="00A72D33">
      <w:pPr>
        <w:widowControl/>
        <w:jc w:val="left"/>
        <w:rPr>
          <w:rStyle w:val="CommentReference"/>
          <w:rFonts w:eastAsia="SimSun"/>
        </w:rPr>
      </w:pPr>
      <w:r>
        <w:rPr>
          <w:rStyle w:val="CommentReference"/>
          <w:rFonts w:eastAsia="SimSun"/>
        </w:rPr>
        <w:br w:type="page"/>
      </w:r>
    </w:p>
    <w:p w:rsidR="0024473B" w:rsidRPr="0024473B" w:rsidRDefault="00696CB6" w:rsidP="00696CB6">
      <w:pPr>
        <w:pStyle w:val="ListParagraph"/>
        <w:widowControl/>
        <w:rPr>
          <w:szCs w:val="22"/>
        </w:rPr>
      </w:pPr>
      <w:r w:rsidRPr="007A650F">
        <w:rPr>
          <w:rStyle w:val="CommentReference"/>
          <w:rFonts w:eastAsia="SimSun"/>
        </w:rPr>
        <w:t>T</w:t>
      </w:r>
      <w:r w:rsidR="007A650F">
        <w:rPr>
          <w:rStyle w:val="CommentReference"/>
          <w:rFonts w:eastAsia="SimSun"/>
        </w:rPr>
        <w:t>able 1:</w:t>
      </w:r>
      <w:r w:rsidRPr="007A650F">
        <w:rPr>
          <w:rStyle w:val="CommentReference"/>
          <w:rFonts w:eastAsia="SimSun"/>
        </w:rPr>
        <w:t xml:space="preserve"> Pertussis immunisation programs in Australian States and Territories (information as of 31 May 2015)</w:t>
      </w:r>
      <w:r w:rsidR="0024473B" w:rsidRPr="0024473B">
        <w:rPr>
          <w:rFonts w:ascii="Arial Narrow" w:hAnsi="Arial Narrow"/>
          <w:b/>
          <w:i/>
          <w:sz w:val="20"/>
        </w:rPr>
        <w:t xml:space="preserve"> </w:t>
      </w:r>
    </w:p>
    <w:tbl>
      <w:tblPr>
        <w:tblStyle w:val="TableGrid"/>
        <w:tblW w:w="8443" w:type="dxa"/>
        <w:tblInd w:w="704" w:type="dxa"/>
        <w:tblCellMar>
          <w:left w:w="28" w:type="dxa"/>
          <w:right w:w="28" w:type="dxa"/>
        </w:tblCellMar>
        <w:tblLook w:val="04A0" w:firstRow="1" w:lastRow="0" w:firstColumn="1" w:lastColumn="0" w:noHBand="0" w:noVBand="1"/>
        <w:tblCaption w:val="Table 1: Pertussis immunisation programs in Australian States and Territories (information as of 31 May 2015) "/>
      </w:tblPr>
      <w:tblGrid>
        <w:gridCol w:w="851"/>
        <w:gridCol w:w="1159"/>
        <w:gridCol w:w="967"/>
        <w:gridCol w:w="992"/>
        <w:gridCol w:w="992"/>
        <w:gridCol w:w="851"/>
        <w:gridCol w:w="813"/>
        <w:gridCol w:w="967"/>
        <w:gridCol w:w="851"/>
      </w:tblGrid>
      <w:tr w:rsidR="007A650F" w:rsidRPr="00EA3D98" w:rsidTr="001E41F0">
        <w:trPr>
          <w:tblHeader/>
        </w:trPr>
        <w:tc>
          <w:tcPr>
            <w:tcW w:w="851" w:type="dxa"/>
            <w:vAlign w:val="center"/>
          </w:tcPr>
          <w:p w:rsidR="007A650F" w:rsidRPr="00EA3D98" w:rsidRDefault="007A650F" w:rsidP="001E41F0">
            <w:pPr>
              <w:jc w:val="center"/>
              <w:rPr>
                <w:rFonts w:ascii="Arial Narrow" w:hAnsi="Arial Narrow"/>
                <w:b/>
                <w:sz w:val="20"/>
              </w:rPr>
            </w:pPr>
          </w:p>
        </w:tc>
        <w:tc>
          <w:tcPr>
            <w:tcW w:w="1159"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ACT</w:t>
            </w:r>
          </w:p>
        </w:tc>
        <w:tc>
          <w:tcPr>
            <w:tcW w:w="967"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NSW</w:t>
            </w:r>
          </w:p>
        </w:tc>
        <w:tc>
          <w:tcPr>
            <w:tcW w:w="992"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NT</w:t>
            </w:r>
          </w:p>
        </w:tc>
        <w:tc>
          <w:tcPr>
            <w:tcW w:w="992" w:type="dxa"/>
            <w:vAlign w:val="center"/>
          </w:tcPr>
          <w:p w:rsidR="007A650F" w:rsidRPr="00EA3D98" w:rsidRDefault="007A650F" w:rsidP="001E41F0">
            <w:pPr>
              <w:jc w:val="center"/>
              <w:rPr>
                <w:rFonts w:ascii="Arial Narrow" w:hAnsi="Arial Narrow"/>
                <w:b/>
                <w:sz w:val="20"/>
              </w:rPr>
            </w:pPr>
            <w:r w:rsidRPr="00EA3D98">
              <w:rPr>
                <w:rFonts w:ascii="Arial Narrow" w:hAnsi="Arial Narrow" w:cs="Helvetica"/>
                <w:b/>
                <w:bCs/>
                <w:color w:val="222222"/>
                <w:sz w:val="20"/>
              </w:rPr>
              <w:t>QLD</w:t>
            </w:r>
          </w:p>
        </w:tc>
        <w:tc>
          <w:tcPr>
            <w:tcW w:w="851" w:type="dxa"/>
            <w:vAlign w:val="center"/>
          </w:tcPr>
          <w:p w:rsidR="007A650F" w:rsidRPr="00EA3D98" w:rsidRDefault="007A650F" w:rsidP="001E41F0">
            <w:pPr>
              <w:jc w:val="center"/>
              <w:rPr>
                <w:rFonts w:ascii="Arial Narrow" w:hAnsi="Arial Narrow"/>
                <w:b/>
                <w:sz w:val="20"/>
              </w:rPr>
            </w:pPr>
            <w:r w:rsidRPr="00EA3D98">
              <w:rPr>
                <w:rFonts w:ascii="Arial Narrow" w:hAnsi="Arial Narrow" w:cs="Helvetica"/>
                <w:b/>
                <w:bCs/>
                <w:color w:val="222222"/>
                <w:sz w:val="20"/>
              </w:rPr>
              <w:t>South Australia</w:t>
            </w:r>
          </w:p>
        </w:tc>
        <w:tc>
          <w:tcPr>
            <w:tcW w:w="813" w:type="dxa"/>
            <w:vAlign w:val="center"/>
          </w:tcPr>
          <w:p w:rsidR="007A650F" w:rsidRPr="00EA3D98" w:rsidRDefault="007A650F" w:rsidP="001E41F0">
            <w:pPr>
              <w:jc w:val="center"/>
              <w:rPr>
                <w:rFonts w:ascii="Arial Narrow" w:hAnsi="Arial Narrow"/>
                <w:b/>
                <w:sz w:val="20"/>
              </w:rPr>
            </w:pPr>
            <w:r w:rsidRPr="00EA3D98">
              <w:rPr>
                <w:rFonts w:ascii="Arial Narrow" w:hAnsi="Arial Narrow" w:cs="Helvetica"/>
                <w:b/>
                <w:bCs/>
                <w:color w:val="222222"/>
                <w:sz w:val="20"/>
              </w:rPr>
              <w:t>Tasmania</w:t>
            </w:r>
          </w:p>
        </w:tc>
        <w:tc>
          <w:tcPr>
            <w:tcW w:w="967" w:type="dxa"/>
            <w:vAlign w:val="center"/>
          </w:tcPr>
          <w:p w:rsidR="007A650F" w:rsidRPr="00EA3D98" w:rsidRDefault="007A650F" w:rsidP="001E41F0">
            <w:pPr>
              <w:jc w:val="center"/>
              <w:rPr>
                <w:rFonts w:ascii="Arial Narrow" w:hAnsi="Arial Narrow"/>
                <w:b/>
                <w:sz w:val="20"/>
              </w:rPr>
            </w:pPr>
            <w:r w:rsidRPr="00EA3D98">
              <w:rPr>
                <w:rFonts w:ascii="Arial Narrow" w:hAnsi="Arial Narrow" w:cs="Helvetica"/>
                <w:b/>
                <w:bCs/>
                <w:color w:val="222222"/>
                <w:sz w:val="20"/>
              </w:rPr>
              <w:t>Victoria</w:t>
            </w:r>
          </w:p>
        </w:tc>
        <w:tc>
          <w:tcPr>
            <w:tcW w:w="851" w:type="dxa"/>
            <w:vAlign w:val="center"/>
          </w:tcPr>
          <w:p w:rsidR="007A650F" w:rsidRPr="00EA3D98" w:rsidRDefault="007A650F" w:rsidP="001E41F0">
            <w:pPr>
              <w:jc w:val="center"/>
              <w:rPr>
                <w:rFonts w:ascii="Arial Narrow" w:hAnsi="Arial Narrow"/>
                <w:b/>
                <w:sz w:val="20"/>
              </w:rPr>
            </w:pPr>
            <w:r w:rsidRPr="00EA3D98">
              <w:rPr>
                <w:rFonts w:ascii="Arial Narrow" w:hAnsi="Arial Narrow" w:cs="Helvetica"/>
                <w:b/>
                <w:bCs/>
                <w:color w:val="222222"/>
                <w:sz w:val="20"/>
              </w:rPr>
              <w:t>Western Australia</w:t>
            </w:r>
          </w:p>
        </w:tc>
      </w:tr>
      <w:tr w:rsidR="007A650F" w:rsidRPr="00EA3D98" w:rsidTr="001E41F0">
        <w:tc>
          <w:tcPr>
            <w:tcW w:w="851"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Start</w:t>
            </w:r>
          </w:p>
        </w:tc>
        <w:tc>
          <w:tcPr>
            <w:tcW w:w="1159" w:type="dxa"/>
          </w:tcPr>
          <w:p w:rsidR="007A650F" w:rsidRPr="00EA3D98" w:rsidRDefault="007A650F" w:rsidP="001E41F0">
            <w:pPr>
              <w:jc w:val="center"/>
              <w:rPr>
                <w:rFonts w:ascii="Arial Narrow" w:hAnsi="Arial Narrow" w:cs="Helvetica"/>
                <w:color w:val="222222"/>
                <w:sz w:val="20"/>
              </w:rPr>
            </w:pPr>
            <w:r w:rsidRPr="00EA3D98">
              <w:rPr>
                <w:rFonts w:ascii="Arial Narrow" w:hAnsi="Arial Narrow" w:cs="Helvetica"/>
                <w:color w:val="222222"/>
                <w:sz w:val="20"/>
              </w:rPr>
              <w:t xml:space="preserve">April </w:t>
            </w:r>
          </w:p>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2015</w:t>
            </w:r>
          </w:p>
        </w:tc>
        <w:tc>
          <w:tcPr>
            <w:tcW w:w="967"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April 2015</w:t>
            </w:r>
          </w:p>
        </w:tc>
        <w:tc>
          <w:tcPr>
            <w:tcW w:w="992" w:type="dxa"/>
          </w:tcPr>
          <w:p w:rsidR="007A650F" w:rsidRPr="00EA3D98" w:rsidRDefault="007A650F" w:rsidP="001E41F0">
            <w:pPr>
              <w:jc w:val="center"/>
              <w:rPr>
                <w:rFonts w:ascii="Arial Narrow" w:hAnsi="Arial Narrow" w:cs="Helvetica"/>
                <w:color w:val="222222"/>
                <w:sz w:val="20"/>
              </w:rPr>
            </w:pPr>
            <w:r w:rsidRPr="00EA3D98">
              <w:rPr>
                <w:rFonts w:ascii="Arial Narrow" w:hAnsi="Arial Narrow" w:cs="Helvetica"/>
                <w:color w:val="222222"/>
                <w:sz w:val="20"/>
              </w:rPr>
              <w:t xml:space="preserve">April </w:t>
            </w:r>
          </w:p>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2015</w:t>
            </w:r>
            <w:r w:rsidRPr="00EA3D98">
              <w:rPr>
                <w:rFonts w:ascii="Arial Narrow" w:hAnsi="Arial Narrow" w:cs="Helvetica"/>
                <w:color w:val="222222"/>
                <w:sz w:val="20"/>
                <w:vertAlign w:val="superscript"/>
              </w:rPr>
              <w:t>†</w:t>
            </w:r>
          </w:p>
        </w:tc>
        <w:tc>
          <w:tcPr>
            <w:tcW w:w="992"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August 2014</w:t>
            </w:r>
          </w:p>
        </w:tc>
        <w:tc>
          <w:tcPr>
            <w:tcW w:w="851"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March 2015</w:t>
            </w:r>
          </w:p>
        </w:tc>
        <w:tc>
          <w:tcPr>
            <w:tcW w:w="813" w:type="dxa"/>
          </w:tcPr>
          <w:p w:rsidR="007A650F" w:rsidRPr="00EA3D98" w:rsidRDefault="007A650F" w:rsidP="001E41F0">
            <w:pPr>
              <w:jc w:val="center"/>
              <w:rPr>
                <w:rFonts w:ascii="Arial Narrow" w:hAnsi="Arial Narrow" w:cs="Helvetica"/>
                <w:color w:val="222222"/>
                <w:sz w:val="20"/>
              </w:rPr>
            </w:pPr>
            <w:r w:rsidRPr="00EA3D98">
              <w:rPr>
                <w:rFonts w:ascii="Arial Narrow" w:hAnsi="Arial Narrow" w:cs="Helvetica"/>
                <w:color w:val="222222"/>
                <w:sz w:val="20"/>
              </w:rPr>
              <w:t xml:space="preserve">June </w:t>
            </w:r>
          </w:p>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2015</w:t>
            </w:r>
          </w:p>
        </w:tc>
        <w:tc>
          <w:tcPr>
            <w:tcW w:w="967"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June 2015</w:t>
            </w:r>
          </w:p>
        </w:tc>
        <w:tc>
          <w:tcPr>
            <w:tcW w:w="851"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April 2015 </w:t>
            </w:r>
          </w:p>
        </w:tc>
      </w:tr>
      <w:tr w:rsidR="007A650F" w:rsidRPr="00EA3D98" w:rsidTr="001E41F0">
        <w:tc>
          <w:tcPr>
            <w:tcW w:w="851"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Vaccine</w:t>
            </w:r>
          </w:p>
        </w:tc>
        <w:tc>
          <w:tcPr>
            <w:tcW w:w="1159"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Boostrix® and </w:t>
            </w:r>
            <w:r w:rsidR="003D58C7" w:rsidRPr="00EA3D98">
              <w:rPr>
                <w:rFonts w:ascii="Arial Narrow" w:hAnsi="Arial Narrow" w:cs="Helvetica"/>
                <w:color w:val="222222"/>
                <w:sz w:val="20"/>
              </w:rPr>
              <w:t>Adacel</w:t>
            </w:r>
            <w:r w:rsidRPr="00EA3D98">
              <w:rPr>
                <w:rFonts w:ascii="Arial Narrow" w:hAnsi="Arial Narrow" w:cs="Helvetica"/>
                <w:color w:val="222222"/>
                <w:sz w:val="20"/>
              </w:rPr>
              <w:t>®</w:t>
            </w:r>
          </w:p>
        </w:tc>
        <w:tc>
          <w:tcPr>
            <w:tcW w:w="967"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Boostrix® </w:t>
            </w:r>
          </w:p>
        </w:tc>
        <w:tc>
          <w:tcPr>
            <w:tcW w:w="992"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Boostrix® </w:t>
            </w:r>
          </w:p>
        </w:tc>
        <w:tc>
          <w:tcPr>
            <w:tcW w:w="992" w:type="dxa"/>
          </w:tcPr>
          <w:p w:rsidR="007A650F" w:rsidRPr="00EA3D98" w:rsidRDefault="003D58C7" w:rsidP="001E41F0">
            <w:pPr>
              <w:jc w:val="center"/>
              <w:rPr>
                <w:rFonts w:ascii="Arial Narrow" w:hAnsi="Arial Narrow"/>
                <w:sz w:val="20"/>
              </w:rPr>
            </w:pPr>
            <w:r w:rsidRPr="00EA3D98">
              <w:rPr>
                <w:rFonts w:ascii="Arial Narrow" w:hAnsi="Arial Narrow" w:cs="Helvetica"/>
                <w:color w:val="222222"/>
                <w:sz w:val="20"/>
              </w:rPr>
              <w:t>Adacel</w:t>
            </w:r>
            <w:r w:rsidR="007A650F" w:rsidRPr="00EA3D98">
              <w:rPr>
                <w:rFonts w:ascii="Arial Narrow" w:hAnsi="Arial Narrow" w:cs="Helvetica"/>
                <w:color w:val="222222"/>
                <w:sz w:val="20"/>
              </w:rPr>
              <w:t>® -adol Boostrix®</w:t>
            </w:r>
          </w:p>
        </w:tc>
        <w:tc>
          <w:tcPr>
            <w:tcW w:w="851" w:type="dxa"/>
          </w:tcPr>
          <w:p w:rsidR="007A650F" w:rsidRPr="00EA3D98" w:rsidRDefault="003D58C7" w:rsidP="001E41F0">
            <w:pPr>
              <w:jc w:val="center"/>
              <w:rPr>
                <w:rFonts w:ascii="Arial Narrow" w:hAnsi="Arial Narrow"/>
                <w:sz w:val="20"/>
              </w:rPr>
            </w:pPr>
            <w:r w:rsidRPr="00EA3D98">
              <w:rPr>
                <w:rFonts w:ascii="Arial Narrow" w:hAnsi="Arial Narrow" w:cs="Helvetica"/>
                <w:color w:val="222222"/>
                <w:sz w:val="20"/>
              </w:rPr>
              <w:t>Adacel</w:t>
            </w:r>
            <w:r w:rsidR="007A650F" w:rsidRPr="00EA3D98">
              <w:rPr>
                <w:rFonts w:ascii="Arial Narrow" w:hAnsi="Arial Narrow" w:cs="Helvetica"/>
                <w:color w:val="222222"/>
                <w:sz w:val="20"/>
              </w:rPr>
              <w:t>® adol Boostrix®</w:t>
            </w:r>
          </w:p>
        </w:tc>
        <w:tc>
          <w:tcPr>
            <w:tcW w:w="813" w:type="dxa"/>
          </w:tcPr>
          <w:p w:rsidR="007A650F" w:rsidRPr="00EA3D98" w:rsidRDefault="003D58C7" w:rsidP="001E41F0">
            <w:pPr>
              <w:jc w:val="center"/>
              <w:rPr>
                <w:rFonts w:ascii="Arial Narrow" w:hAnsi="Arial Narrow"/>
                <w:sz w:val="20"/>
              </w:rPr>
            </w:pPr>
            <w:r w:rsidRPr="00EA3D98">
              <w:rPr>
                <w:rFonts w:ascii="Arial Narrow" w:hAnsi="Arial Narrow" w:cs="Helvetica"/>
                <w:color w:val="222222"/>
                <w:sz w:val="20"/>
              </w:rPr>
              <w:t>Adacel</w:t>
            </w:r>
            <w:r w:rsidR="007A650F" w:rsidRPr="00EA3D98">
              <w:rPr>
                <w:rFonts w:ascii="Arial Narrow" w:hAnsi="Arial Narrow" w:cs="Helvetica"/>
                <w:color w:val="222222"/>
                <w:sz w:val="20"/>
              </w:rPr>
              <w:t>® adol Boostrix®</w:t>
            </w:r>
          </w:p>
        </w:tc>
        <w:tc>
          <w:tcPr>
            <w:tcW w:w="967"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Boostrix® </w:t>
            </w:r>
          </w:p>
        </w:tc>
        <w:tc>
          <w:tcPr>
            <w:tcW w:w="851"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Boostrix® adol </w:t>
            </w:r>
            <w:r w:rsidR="003D58C7" w:rsidRPr="00EA3D98">
              <w:rPr>
                <w:rFonts w:ascii="Arial Narrow" w:hAnsi="Arial Narrow" w:cs="Helvetica"/>
                <w:color w:val="222222"/>
                <w:sz w:val="20"/>
              </w:rPr>
              <w:t>Adacel</w:t>
            </w:r>
            <w:r w:rsidRPr="00EA3D98">
              <w:rPr>
                <w:rFonts w:ascii="Arial Narrow" w:hAnsi="Arial Narrow" w:cs="Helvetica"/>
                <w:color w:val="222222"/>
                <w:sz w:val="20"/>
              </w:rPr>
              <w:t>®</w:t>
            </w:r>
          </w:p>
        </w:tc>
      </w:tr>
      <w:tr w:rsidR="007A650F" w:rsidRPr="00EA3D98" w:rsidTr="001E41F0">
        <w:tc>
          <w:tcPr>
            <w:tcW w:w="851"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 xml:space="preserve">Target group </w:t>
            </w:r>
          </w:p>
        </w:tc>
        <w:tc>
          <w:tcPr>
            <w:tcW w:w="1159"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From 28 weeks gestation (recommended at 28 weeks)</w:t>
            </w:r>
          </w:p>
        </w:tc>
        <w:tc>
          <w:tcPr>
            <w:tcW w:w="967"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From 28 weeks gestation (ideally 28–32 weeks)</w:t>
            </w:r>
          </w:p>
        </w:tc>
        <w:tc>
          <w:tcPr>
            <w:tcW w:w="992"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From 28 weeks gestation in each pregnancy, or after delivery</w:t>
            </w:r>
          </w:p>
        </w:tc>
        <w:tc>
          <w:tcPr>
            <w:tcW w:w="992"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From 28 weeks gestation, if have not had last 5 years</w:t>
            </w:r>
            <w:r w:rsidRPr="00EA3D98">
              <w:rPr>
                <w:rFonts w:ascii="Arial Narrow" w:hAnsi="Arial Narrow" w:cs="Helvetica"/>
                <w:color w:val="222222"/>
                <w:sz w:val="20"/>
                <w:vertAlign w:val="superscript"/>
              </w:rPr>
              <w:t>‡</w:t>
            </w:r>
          </w:p>
        </w:tc>
        <w:tc>
          <w:tcPr>
            <w:tcW w:w="851"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From 28 weeks gestation (ideally 28–32 weeks)</w:t>
            </w:r>
          </w:p>
        </w:tc>
        <w:tc>
          <w:tcPr>
            <w:tcW w:w="813"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From 28 weeks gestation (ideally 28–32 weeks)</w:t>
            </w:r>
          </w:p>
        </w:tc>
        <w:tc>
          <w:tcPr>
            <w:tcW w:w="967"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From 28 weeks gestation (ideally 28–32 weeks) or after delivery</w:t>
            </w:r>
          </w:p>
        </w:tc>
        <w:tc>
          <w:tcPr>
            <w:tcW w:w="851" w:type="dxa"/>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From 28 weeks gestation (ideally 28–32 weeks)</w:t>
            </w:r>
          </w:p>
        </w:tc>
      </w:tr>
      <w:tr w:rsidR="007A650F" w:rsidRPr="00EA3D98" w:rsidTr="001E41F0">
        <w:tc>
          <w:tcPr>
            <w:tcW w:w="851"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Cocoon</w:t>
            </w:r>
          </w:p>
          <w:p w:rsidR="007A650F" w:rsidRPr="00EA3D98" w:rsidRDefault="007A650F" w:rsidP="001E41F0">
            <w:pPr>
              <w:jc w:val="center"/>
              <w:rPr>
                <w:rFonts w:ascii="Arial Narrow" w:hAnsi="Arial Narrow"/>
                <w:b/>
                <w:sz w:val="20"/>
              </w:rPr>
            </w:pPr>
            <w:r w:rsidRPr="00EA3D98">
              <w:rPr>
                <w:rFonts w:ascii="Arial Narrow" w:hAnsi="Arial Narrow"/>
                <w:b/>
                <w:sz w:val="20"/>
              </w:rPr>
              <w:t>Program</w:t>
            </w:r>
          </w:p>
        </w:tc>
        <w:tc>
          <w:tcPr>
            <w:tcW w:w="1159"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No</w:t>
            </w:r>
          </w:p>
        </w:tc>
        <w:tc>
          <w:tcPr>
            <w:tcW w:w="967"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No</w:t>
            </w:r>
          </w:p>
        </w:tc>
        <w:tc>
          <w:tcPr>
            <w:tcW w:w="992"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Yes</w:t>
            </w:r>
          </w:p>
        </w:tc>
        <w:tc>
          <w:tcPr>
            <w:tcW w:w="992"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No</w:t>
            </w:r>
          </w:p>
        </w:tc>
        <w:tc>
          <w:tcPr>
            <w:tcW w:w="851"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No</w:t>
            </w:r>
          </w:p>
        </w:tc>
        <w:tc>
          <w:tcPr>
            <w:tcW w:w="813"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No</w:t>
            </w:r>
          </w:p>
        </w:tc>
        <w:tc>
          <w:tcPr>
            <w:tcW w:w="967"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Yes</w:t>
            </w:r>
          </w:p>
        </w:tc>
        <w:tc>
          <w:tcPr>
            <w:tcW w:w="851"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No</w:t>
            </w:r>
          </w:p>
        </w:tc>
      </w:tr>
      <w:tr w:rsidR="007A650F" w:rsidRPr="00EA3D98" w:rsidTr="001E41F0">
        <w:tc>
          <w:tcPr>
            <w:tcW w:w="851"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Providers</w:t>
            </w:r>
          </w:p>
        </w:tc>
        <w:tc>
          <w:tcPr>
            <w:tcW w:w="1159" w:type="dxa"/>
            <w:vAlign w:val="center"/>
          </w:tcPr>
          <w:p w:rsidR="007A650F" w:rsidRPr="00EA3D98" w:rsidRDefault="007A650F" w:rsidP="001E41F0">
            <w:pPr>
              <w:jc w:val="center"/>
              <w:rPr>
                <w:rFonts w:ascii="Arial Narrow" w:hAnsi="Arial Narrow" w:cs="Helvetica"/>
                <w:color w:val="222222"/>
                <w:sz w:val="20"/>
              </w:rPr>
            </w:pPr>
            <w:r w:rsidRPr="00EA3D98">
              <w:rPr>
                <w:rFonts w:ascii="Arial Narrow" w:hAnsi="Arial Narrow" w:cs="Helvetica"/>
                <w:color w:val="222222"/>
                <w:sz w:val="20"/>
              </w:rPr>
              <w:t xml:space="preserve">GPs, </w:t>
            </w:r>
          </w:p>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antenatal clinics</w:t>
            </w:r>
          </w:p>
        </w:tc>
        <w:tc>
          <w:tcPr>
            <w:tcW w:w="967" w:type="dxa"/>
            <w:vAlign w:val="center"/>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GPs, AMSs, antenatal clinics </w:t>
            </w:r>
          </w:p>
        </w:tc>
        <w:tc>
          <w:tcPr>
            <w:tcW w:w="992" w:type="dxa"/>
            <w:vAlign w:val="center"/>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All providers </w:t>
            </w:r>
          </w:p>
        </w:tc>
        <w:tc>
          <w:tcPr>
            <w:tcW w:w="992" w:type="dxa"/>
            <w:vAlign w:val="center"/>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Mainly GPs, also antenatal clinics</w:t>
            </w:r>
          </w:p>
        </w:tc>
        <w:tc>
          <w:tcPr>
            <w:tcW w:w="851" w:type="dxa"/>
            <w:vAlign w:val="center"/>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Mainly GPs, also antenatal clinics and councils</w:t>
            </w:r>
          </w:p>
        </w:tc>
        <w:tc>
          <w:tcPr>
            <w:tcW w:w="813" w:type="dxa"/>
            <w:vAlign w:val="center"/>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GPs mainly, some in antenatal clinics</w:t>
            </w:r>
          </w:p>
        </w:tc>
        <w:tc>
          <w:tcPr>
            <w:tcW w:w="967" w:type="dxa"/>
            <w:vAlign w:val="center"/>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 xml:space="preserve">All providers </w:t>
            </w:r>
          </w:p>
        </w:tc>
        <w:tc>
          <w:tcPr>
            <w:tcW w:w="851" w:type="dxa"/>
            <w:vAlign w:val="center"/>
          </w:tcPr>
          <w:p w:rsidR="007A650F" w:rsidRPr="00EA3D98" w:rsidRDefault="007A650F" w:rsidP="001E41F0">
            <w:pPr>
              <w:jc w:val="center"/>
              <w:rPr>
                <w:rFonts w:ascii="Arial Narrow" w:hAnsi="Arial Narrow"/>
                <w:sz w:val="20"/>
              </w:rPr>
            </w:pPr>
            <w:r w:rsidRPr="00EA3D98">
              <w:rPr>
                <w:rFonts w:ascii="Arial Narrow" w:hAnsi="Arial Narrow" w:cs="Helvetica"/>
                <w:color w:val="222222"/>
                <w:sz w:val="20"/>
              </w:rPr>
              <w:t>GPs, antenatal clinics and obs</w:t>
            </w:r>
          </w:p>
        </w:tc>
      </w:tr>
      <w:tr w:rsidR="007A650F" w:rsidRPr="00EA3D98" w:rsidTr="001E41F0">
        <w:tc>
          <w:tcPr>
            <w:tcW w:w="851" w:type="dxa"/>
            <w:vAlign w:val="center"/>
          </w:tcPr>
          <w:p w:rsidR="007A650F" w:rsidRPr="00EA3D98" w:rsidRDefault="007A650F" w:rsidP="001E41F0">
            <w:pPr>
              <w:jc w:val="center"/>
              <w:rPr>
                <w:rFonts w:ascii="Arial Narrow" w:hAnsi="Arial Narrow"/>
                <w:b/>
                <w:sz w:val="20"/>
              </w:rPr>
            </w:pPr>
            <w:r w:rsidRPr="00EA3D98">
              <w:rPr>
                <w:rFonts w:ascii="Arial Narrow" w:hAnsi="Arial Narrow"/>
                <w:b/>
                <w:sz w:val="20"/>
              </w:rPr>
              <w:t>Coverage</w:t>
            </w:r>
          </w:p>
          <w:p w:rsidR="007A650F" w:rsidRPr="00EA3D98" w:rsidRDefault="007A650F" w:rsidP="001E41F0">
            <w:pPr>
              <w:jc w:val="center"/>
              <w:rPr>
                <w:rFonts w:ascii="Arial Narrow" w:hAnsi="Arial Narrow"/>
                <w:sz w:val="20"/>
              </w:rPr>
            </w:pPr>
            <w:r w:rsidRPr="00EA3D98">
              <w:rPr>
                <w:rFonts w:ascii="Arial Narrow" w:hAnsi="Arial Narrow"/>
                <w:b/>
                <w:sz w:val="20"/>
              </w:rPr>
              <w:t>Assessed</w:t>
            </w:r>
          </w:p>
        </w:tc>
        <w:tc>
          <w:tcPr>
            <w:tcW w:w="1159"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NR</w:t>
            </w:r>
          </w:p>
        </w:tc>
        <w:tc>
          <w:tcPr>
            <w:tcW w:w="967"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Perinatal data collection</w:t>
            </w:r>
          </w:p>
        </w:tc>
        <w:tc>
          <w:tcPr>
            <w:tcW w:w="992"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Northern Territory immun-isation register</w:t>
            </w:r>
          </w:p>
        </w:tc>
        <w:tc>
          <w:tcPr>
            <w:tcW w:w="992"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Perinatal data collection</w:t>
            </w:r>
          </w:p>
        </w:tc>
        <w:tc>
          <w:tcPr>
            <w:tcW w:w="851"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Not in perinatal data collection</w:t>
            </w:r>
          </w:p>
        </w:tc>
        <w:tc>
          <w:tcPr>
            <w:tcW w:w="813"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NR</w:t>
            </w:r>
          </w:p>
        </w:tc>
        <w:tc>
          <w:tcPr>
            <w:tcW w:w="967"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Perinatal data collection</w:t>
            </w:r>
          </w:p>
        </w:tc>
        <w:tc>
          <w:tcPr>
            <w:tcW w:w="851" w:type="dxa"/>
            <w:vAlign w:val="center"/>
          </w:tcPr>
          <w:p w:rsidR="007A650F" w:rsidRPr="00EA3D98" w:rsidRDefault="007A650F" w:rsidP="001E41F0">
            <w:pPr>
              <w:jc w:val="center"/>
              <w:rPr>
                <w:rFonts w:ascii="Arial Narrow" w:hAnsi="Arial Narrow"/>
                <w:sz w:val="20"/>
              </w:rPr>
            </w:pPr>
            <w:r w:rsidRPr="00EA3D98">
              <w:rPr>
                <w:rFonts w:ascii="Arial Narrow" w:hAnsi="Arial Narrow"/>
                <w:sz w:val="20"/>
              </w:rPr>
              <w:t xml:space="preserve">Annual survey </w:t>
            </w:r>
          </w:p>
        </w:tc>
      </w:tr>
    </w:tbl>
    <w:p w:rsidR="001E41F0" w:rsidRPr="00EA3D98" w:rsidRDefault="001E41F0" w:rsidP="001E41F0">
      <w:pPr>
        <w:ind w:left="709"/>
        <w:rPr>
          <w:rFonts w:ascii="Arial Narrow" w:hAnsi="Arial Narrow"/>
          <w:sz w:val="18"/>
          <w:szCs w:val="18"/>
        </w:rPr>
      </w:pPr>
      <w:r w:rsidRPr="00EA3D98">
        <w:rPr>
          <w:rFonts w:ascii="Arial Narrow" w:hAnsi="Arial Narrow"/>
          <w:sz w:val="18"/>
          <w:szCs w:val="18"/>
        </w:rPr>
        <w:t>Adol = adolescents; NR = Not reported</w:t>
      </w:r>
    </w:p>
    <w:p w:rsidR="002033D4" w:rsidRPr="00EA3D98" w:rsidRDefault="001E41F0" w:rsidP="00EA3D98">
      <w:pPr>
        <w:widowControl/>
        <w:ind w:firstLine="709"/>
        <w:rPr>
          <w:szCs w:val="22"/>
        </w:rPr>
      </w:pPr>
      <w:r w:rsidRPr="00EA3D98">
        <w:rPr>
          <w:rFonts w:ascii="Arial Narrow" w:hAnsi="Arial Narrow"/>
          <w:sz w:val="18"/>
          <w:szCs w:val="18"/>
        </w:rPr>
        <w:t xml:space="preserve">Source. Compiled from </w:t>
      </w:r>
      <w:r w:rsidRPr="00EA3D98">
        <w:rPr>
          <w:rFonts w:ascii="Arial Narrow" w:hAnsi="Arial Narrow"/>
          <w:color w:val="0000FF"/>
          <w:sz w:val="18"/>
          <w:szCs w:val="18"/>
          <w:u w:val="single"/>
        </w:rPr>
        <w:t>http://www.health.gov.au/internet/main/publishing.nsf/Content/cda-cdi3903c.htm</w:t>
      </w:r>
    </w:p>
    <w:p w:rsidR="00634DD7" w:rsidRDefault="00634DD7" w:rsidP="00634DD7">
      <w:pPr>
        <w:widowControl/>
      </w:pPr>
    </w:p>
    <w:p w:rsidR="0001054B" w:rsidRDefault="0045054A" w:rsidP="00634DD7">
      <w:pPr>
        <w:widowControl/>
        <w:rPr>
          <w:bCs/>
          <w:i/>
          <w:szCs w:val="22"/>
        </w:rPr>
      </w:pPr>
      <w:r w:rsidRPr="00703590">
        <w:rPr>
          <w:bCs/>
          <w:i/>
          <w:szCs w:val="22"/>
        </w:rPr>
        <w:t>For more detail on PBAC’s view, see section 7 “PBAC outcome”</w:t>
      </w:r>
    </w:p>
    <w:p w:rsidR="00703590" w:rsidRPr="00703590" w:rsidRDefault="00703590" w:rsidP="00634DD7">
      <w:pPr>
        <w:widowControl/>
      </w:pPr>
    </w:p>
    <w:p w:rsidR="00634DD7" w:rsidRPr="00703590" w:rsidRDefault="00634DD7" w:rsidP="00634DD7">
      <w:pPr>
        <w:pStyle w:val="PBACHeading1"/>
      </w:pPr>
      <w:bookmarkStart w:id="6" w:name="_Toc471398077"/>
      <w:r w:rsidRPr="00703590">
        <w:t>Clinical place for the proposed therapy</w:t>
      </w:r>
      <w:bookmarkEnd w:id="6"/>
    </w:p>
    <w:p w:rsidR="00E31FEE" w:rsidRPr="00407F2D" w:rsidRDefault="00E31FEE" w:rsidP="0001054B"/>
    <w:p w:rsidR="00E31FEE" w:rsidRPr="0001054B" w:rsidRDefault="00E31FEE" w:rsidP="0074368D">
      <w:pPr>
        <w:pStyle w:val="ListParagraph"/>
        <w:widowControl/>
        <w:numPr>
          <w:ilvl w:val="1"/>
          <w:numId w:val="1"/>
        </w:numPr>
        <w:rPr>
          <w:szCs w:val="22"/>
        </w:rPr>
      </w:pPr>
      <w:r w:rsidRPr="0001054B">
        <w:t>Pertussis is a highly infectious disease of the upper respiratory tract, caused by the bacterial organism Bordetella pertussis</w:t>
      </w:r>
      <w:r w:rsidR="007D1431" w:rsidRPr="0001054B">
        <w:t xml:space="preserve">. </w:t>
      </w:r>
      <w:r w:rsidRPr="0001054B">
        <w:t xml:space="preserve">Currently, there are three scheduled childhood doses of pertussis vaccine at two, four and six months of age, and booster doses at 18 months, four years and 10-15 years. </w:t>
      </w:r>
      <w:r w:rsidR="00B0457D" w:rsidRPr="0001054B">
        <w:t xml:space="preserve">There are four diphtheria, tetanus and acellular pertussis vaccines used in Australia: </w:t>
      </w:r>
      <w:r w:rsidR="00B37919" w:rsidRPr="0001054B">
        <w:t>Infanrix and Tripacel</w:t>
      </w:r>
      <w:r w:rsidR="0048019F" w:rsidRPr="0001054B">
        <w:t xml:space="preserve"> are used </w:t>
      </w:r>
      <w:r w:rsidR="00B37919" w:rsidRPr="0001054B">
        <w:t>in children</w:t>
      </w:r>
      <w:r w:rsidR="00B0457D" w:rsidRPr="0001054B">
        <w:t>;</w:t>
      </w:r>
      <w:r w:rsidR="00951822">
        <w:t xml:space="preserve"> </w:t>
      </w:r>
      <w:r w:rsidR="004E43B1" w:rsidRPr="0001054B">
        <w:t>Adacel</w:t>
      </w:r>
      <w:r w:rsidRPr="0001054B">
        <w:t xml:space="preserve"> </w:t>
      </w:r>
      <w:r w:rsidR="004E43B1" w:rsidRPr="0001054B">
        <w:t>and Boostrix</w:t>
      </w:r>
      <w:r w:rsidR="00B37919" w:rsidRPr="0001054B">
        <w:t xml:space="preserve"> are </w:t>
      </w:r>
      <w:r w:rsidRPr="0001054B">
        <w:rPr>
          <w:rFonts w:hint="eastAsia"/>
        </w:rPr>
        <w:t xml:space="preserve">used in adults, adolescents and children aged </w:t>
      </w:r>
      <w:r w:rsidRPr="0001054B">
        <w:t>≥</w:t>
      </w:r>
      <w:r w:rsidRPr="0001054B">
        <w:rPr>
          <w:rFonts w:hint="eastAsia"/>
        </w:rPr>
        <w:t>10 years.</w:t>
      </w:r>
    </w:p>
    <w:p w:rsidR="00E31FEE" w:rsidRPr="0001054B" w:rsidRDefault="00E31FEE" w:rsidP="00E31FEE">
      <w:pPr>
        <w:pStyle w:val="ListParagraph"/>
        <w:widowControl/>
        <w:rPr>
          <w:szCs w:val="22"/>
        </w:rPr>
      </w:pPr>
    </w:p>
    <w:p w:rsidR="001E41F0" w:rsidRPr="0001054B" w:rsidRDefault="00E31FEE" w:rsidP="0074368D">
      <w:pPr>
        <w:pStyle w:val="ListParagraph"/>
        <w:numPr>
          <w:ilvl w:val="1"/>
          <w:numId w:val="1"/>
        </w:numPr>
        <w:rPr>
          <w:szCs w:val="22"/>
        </w:rPr>
      </w:pPr>
      <w:r w:rsidRPr="0001054B">
        <w:rPr>
          <w:szCs w:val="22"/>
        </w:rPr>
        <w:t xml:space="preserve">The submission proposed to include </w:t>
      </w:r>
      <w:r w:rsidR="003D58C7" w:rsidRPr="0001054B">
        <w:rPr>
          <w:szCs w:val="22"/>
        </w:rPr>
        <w:t>Adacel</w:t>
      </w:r>
      <w:r w:rsidRPr="0001054B">
        <w:rPr>
          <w:szCs w:val="22"/>
        </w:rPr>
        <w:t xml:space="preserve"> on the NIP schedule for immunisation of women in the third trimester of every pregnancy. </w:t>
      </w:r>
      <w:r w:rsidR="00634DD7" w:rsidRPr="0001054B">
        <w:rPr>
          <w:szCs w:val="22"/>
        </w:rPr>
        <w:t>The submission did not specify the timing of the vaccination</w:t>
      </w:r>
      <w:r w:rsidR="001757DF" w:rsidRPr="0001054B">
        <w:rPr>
          <w:szCs w:val="22"/>
        </w:rPr>
        <w:t xml:space="preserve"> within the third trimester</w:t>
      </w:r>
      <w:r w:rsidR="003F007E" w:rsidRPr="0001054B">
        <w:rPr>
          <w:szCs w:val="22"/>
        </w:rPr>
        <w:t xml:space="preserve">. </w:t>
      </w:r>
    </w:p>
    <w:p w:rsidR="001E41F0" w:rsidRPr="0001054B" w:rsidRDefault="001E41F0" w:rsidP="001E41F0">
      <w:pPr>
        <w:pStyle w:val="ListParagraph"/>
        <w:rPr>
          <w:szCs w:val="22"/>
        </w:rPr>
      </w:pPr>
    </w:p>
    <w:p w:rsidR="00634DD7" w:rsidRDefault="00634DD7" w:rsidP="0074368D">
      <w:pPr>
        <w:pStyle w:val="ListParagraph"/>
        <w:widowControl/>
        <w:numPr>
          <w:ilvl w:val="1"/>
          <w:numId w:val="1"/>
        </w:numPr>
        <w:rPr>
          <w:szCs w:val="22"/>
        </w:rPr>
      </w:pPr>
      <w:r w:rsidRPr="0001054B">
        <w:rPr>
          <w:szCs w:val="22"/>
        </w:rPr>
        <w:t>According to the Australian Immunisation Handbook (10th Edition) the optimal time for vaccination is early in the third trimester (between 28 and 32 weeks), however the vaccine can be given at any time during the third trimester up to delivery (Pertussis Chapter, 4.12, of the 10th Edition of the Australian Immunisation Handbook 2016</w:t>
      </w:r>
      <w:r w:rsidR="00147FC4" w:rsidRPr="0001054B">
        <w:rPr>
          <w:szCs w:val="22"/>
        </w:rPr>
        <w:t xml:space="preserve">). </w:t>
      </w:r>
    </w:p>
    <w:p w:rsidR="00703590" w:rsidRPr="00703590" w:rsidRDefault="00703590" w:rsidP="00703590">
      <w:pPr>
        <w:pStyle w:val="ListParagraph"/>
        <w:rPr>
          <w:szCs w:val="22"/>
        </w:rPr>
      </w:pPr>
    </w:p>
    <w:p w:rsidR="00703590" w:rsidRPr="0046423A" w:rsidRDefault="00703590" w:rsidP="0074368D">
      <w:pPr>
        <w:pStyle w:val="ListParagraph"/>
        <w:widowControl/>
        <w:numPr>
          <w:ilvl w:val="1"/>
          <w:numId w:val="1"/>
        </w:numPr>
        <w:rPr>
          <w:szCs w:val="22"/>
        </w:rPr>
      </w:pPr>
      <w:r w:rsidRPr="00C837C6">
        <w:t>The ESC noted that it would be would be advantageous to have a second supplier of a pertussis vaccine-acellular, combined with diphtheria and tetanus toxoids (adsorbed) (dTpa vaccine) in Australia.</w:t>
      </w:r>
    </w:p>
    <w:p w:rsidR="0001054B" w:rsidRPr="00703590" w:rsidRDefault="0001054B" w:rsidP="00634DD7">
      <w:pPr>
        <w:pStyle w:val="Header"/>
        <w:widowControl/>
        <w:rPr>
          <w:szCs w:val="22"/>
        </w:rPr>
      </w:pPr>
    </w:p>
    <w:p w:rsidR="0045054A" w:rsidRPr="0005234D" w:rsidRDefault="0045054A" w:rsidP="0045054A">
      <w:pPr>
        <w:ind w:firstLine="720"/>
        <w:rPr>
          <w:bCs/>
          <w:szCs w:val="22"/>
        </w:rPr>
      </w:pPr>
      <w:r w:rsidRPr="00703590">
        <w:rPr>
          <w:bCs/>
          <w:i/>
          <w:szCs w:val="22"/>
        </w:rPr>
        <w:t>For more detail on PBAC’s view, see section 7 “PBAC outcome”</w:t>
      </w:r>
    </w:p>
    <w:p w:rsidR="0045054A" w:rsidRDefault="0045054A" w:rsidP="00634DD7">
      <w:pPr>
        <w:pStyle w:val="Header"/>
        <w:widowControl/>
        <w:rPr>
          <w:szCs w:val="22"/>
        </w:rPr>
      </w:pPr>
    </w:p>
    <w:p w:rsidR="00646457" w:rsidRDefault="00646457" w:rsidP="00634DD7">
      <w:pPr>
        <w:pStyle w:val="Header"/>
        <w:widowControl/>
        <w:rPr>
          <w:szCs w:val="22"/>
        </w:rPr>
      </w:pPr>
    </w:p>
    <w:p w:rsidR="00634DD7" w:rsidRDefault="00634DD7" w:rsidP="00E75FF5">
      <w:pPr>
        <w:pStyle w:val="PBACHeading1"/>
      </w:pPr>
      <w:bookmarkStart w:id="7" w:name="_Toc471398078"/>
      <w:r w:rsidRPr="00407F2D">
        <w:t>Comparator</w:t>
      </w:r>
      <w:bookmarkEnd w:id="7"/>
    </w:p>
    <w:p w:rsidR="00B37919" w:rsidRPr="00407F2D" w:rsidRDefault="00B37919" w:rsidP="0001054B"/>
    <w:p w:rsidR="00634DD7" w:rsidRPr="0001054B" w:rsidRDefault="00634DD7" w:rsidP="0074368D">
      <w:pPr>
        <w:pStyle w:val="ListParagraph"/>
        <w:widowControl/>
        <w:numPr>
          <w:ilvl w:val="1"/>
          <w:numId w:val="1"/>
        </w:numPr>
        <w:rPr>
          <w:szCs w:val="22"/>
        </w:rPr>
      </w:pPr>
      <w:r w:rsidRPr="0001054B">
        <w:rPr>
          <w:szCs w:val="22"/>
        </w:rPr>
        <w:t>The submission nominated Boostrix as the main comparator. Boostrix was recommended at the July 2016 PBAC meeting for listing on the NIP as a single dose during each pregnancy. Boostrix is a combined diphtheria-tetanus-acellular pertussis (</w:t>
      </w:r>
      <w:r w:rsidR="00D80A60" w:rsidRPr="0001054B">
        <w:rPr>
          <w:szCs w:val="22"/>
        </w:rPr>
        <w:t>dTpa</w:t>
      </w:r>
      <w:r w:rsidRPr="0001054B">
        <w:rPr>
          <w:szCs w:val="22"/>
        </w:rPr>
        <w:t xml:space="preserve">) vaccine containing diphtheria toxoid, tetanus toxoid and three purified antigens of Bordetella pertussis: pertussis toxoid (PT), pertussis filamentous haemagglutinin (FHA) and pertactin (PRN). The comparator is appropriate. </w:t>
      </w:r>
    </w:p>
    <w:p w:rsidR="00B91A39" w:rsidRDefault="00B91A39" w:rsidP="00B91A39">
      <w:pPr>
        <w:pStyle w:val="ListParagraph"/>
        <w:widowControl/>
        <w:rPr>
          <w:szCs w:val="22"/>
        </w:rPr>
      </w:pPr>
    </w:p>
    <w:p w:rsidR="00B37919" w:rsidRPr="00CF42BF" w:rsidRDefault="00CF4564" w:rsidP="00B37919">
      <w:pPr>
        <w:ind w:firstLine="720"/>
        <w:rPr>
          <w:rFonts w:ascii="Arial Narrow" w:hAnsi="Arial Narrow"/>
          <w:b/>
          <w:sz w:val="20"/>
          <w:szCs w:val="16"/>
        </w:rPr>
      </w:pPr>
      <w:r>
        <w:rPr>
          <w:rFonts w:ascii="Arial Narrow" w:hAnsi="Arial Narrow"/>
          <w:b/>
          <w:sz w:val="20"/>
          <w:szCs w:val="16"/>
        </w:rPr>
        <w:t>Table</w:t>
      </w:r>
      <w:r w:rsidR="007A650F">
        <w:rPr>
          <w:rFonts w:ascii="Arial Narrow" w:hAnsi="Arial Narrow"/>
          <w:b/>
          <w:sz w:val="20"/>
          <w:szCs w:val="16"/>
        </w:rPr>
        <w:t xml:space="preserve"> 2:</w:t>
      </w:r>
      <w:r w:rsidRPr="00CF42BF">
        <w:rPr>
          <w:rFonts w:ascii="Arial Narrow" w:hAnsi="Arial Narrow"/>
          <w:b/>
          <w:sz w:val="20"/>
          <w:szCs w:val="16"/>
        </w:rPr>
        <w:t xml:space="preserve"> Comparative characteristics of the vaccine products presented in the submission</w:t>
      </w:r>
    </w:p>
    <w:tbl>
      <w:tblPr>
        <w:tblW w:w="2654" w:type="pct"/>
        <w:tblInd w:w="817" w:type="dxa"/>
        <w:tblLook w:val="04A0" w:firstRow="1" w:lastRow="0" w:firstColumn="1" w:lastColumn="0" w:noHBand="0" w:noVBand="1"/>
      </w:tblPr>
      <w:tblGrid>
        <w:gridCol w:w="1956"/>
        <w:gridCol w:w="1475"/>
        <w:gridCol w:w="1475"/>
      </w:tblGrid>
      <w:tr w:rsidR="00CF4564" w:rsidRPr="00CF42BF" w:rsidTr="000B58E8">
        <w:trPr>
          <w:trHeight w:val="58"/>
        </w:trPr>
        <w:tc>
          <w:tcPr>
            <w:tcW w:w="19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4564" w:rsidRPr="00CF42BF" w:rsidRDefault="00CF4564" w:rsidP="00CF4564">
            <w:pPr>
              <w:widowControl/>
              <w:jc w:val="left"/>
              <w:rPr>
                <w:rFonts w:ascii="Arial Narrow" w:hAnsi="Arial Narrow" w:cs="Calibri"/>
                <w:b/>
                <w:snapToGrid/>
                <w:color w:val="000000"/>
                <w:sz w:val="20"/>
                <w:szCs w:val="22"/>
                <w:lang w:eastAsia="en-AU"/>
              </w:rPr>
            </w:pPr>
            <w:r w:rsidRPr="00CF42BF">
              <w:rPr>
                <w:rFonts w:ascii="Arial Narrow" w:hAnsi="Arial Narrow" w:cs="Calibri"/>
                <w:b/>
                <w:snapToGrid/>
                <w:color w:val="000000"/>
                <w:sz w:val="20"/>
                <w:szCs w:val="22"/>
                <w:lang w:eastAsia="en-AU"/>
              </w:rPr>
              <w:t>Vaccine</w:t>
            </w:r>
          </w:p>
        </w:tc>
        <w:tc>
          <w:tcPr>
            <w:tcW w:w="1503" w:type="pct"/>
            <w:tcBorders>
              <w:top w:val="single" w:sz="4" w:space="0" w:color="auto"/>
              <w:left w:val="nil"/>
              <w:bottom w:val="single" w:sz="4" w:space="0" w:color="auto"/>
              <w:right w:val="single" w:sz="4" w:space="0" w:color="auto"/>
            </w:tcBorders>
            <w:shd w:val="clear" w:color="auto" w:fill="auto"/>
            <w:vAlign w:val="center"/>
            <w:hideMark/>
          </w:tcPr>
          <w:p w:rsidR="00CF4564" w:rsidRPr="00CF42BF" w:rsidRDefault="003D58C7" w:rsidP="00CF4564">
            <w:pPr>
              <w:widowControl/>
              <w:jc w:val="center"/>
              <w:rPr>
                <w:rFonts w:ascii="Arial Narrow" w:hAnsi="Arial Narrow" w:cs="Calibri"/>
                <w:b/>
                <w:snapToGrid/>
                <w:color w:val="000000"/>
                <w:sz w:val="20"/>
                <w:szCs w:val="22"/>
                <w:lang w:eastAsia="en-AU"/>
              </w:rPr>
            </w:pPr>
            <w:r>
              <w:rPr>
                <w:rFonts w:ascii="Arial Narrow" w:hAnsi="Arial Narrow" w:cs="Calibri"/>
                <w:b/>
                <w:snapToGrid/>
                <w:color w:val="000000"/>
                <w:sz w:val="20"/>
                <w:szCs w:val="22"/>
                <w:lang w:eastAsia="en-AU"/>
              </w:rPr>
              <w:t>Adacel</w:t>
            </w:r>
          </w:p>
        </w:tc>
        <w:tc>
          <w:tcPr>
            <w:tcW w:w="1503" w:type="pct"/>
            <w:tcBorders>
              <w:top w:val="single" w:sz="4" w:space="0" w:color="auto"/>
              <w:left w:val="nil"/>
              <w:bottom w:val="single" w:sz="4" w:space="0" w:color="auto"/>
              <w:right w:val="single" w:sz="4" w:space="0" w:color="auto"/>
            </w:tcBorders>
            <w:vAlign w:val="center"/>
          </w:tcPr>
          <w:p w:rsidR="00CF4564" w:rsidRDefault="00CF4564" w:rsidP="00CF4564">
            <w:pPr>
              <w:widowControl/>
              <w:jc w:val="center"/>
              <w:rPr>
                <w:rFonts w:ascii="Arial Narrow" w:hAnsi="Arial Narrow" w:cs="Calibri"/>
                <w:b/>
                <w:snapToGrid/>
                <w:color w:val="000000"/>
                <w:sz w:val="20"/>
                <w:szCs w:val="22"/>
                <w:lang w:eastAsia="en-AU"/>
              </w:rPr>
            </w:pPr>
            <w:r w:rsidRPr="00CF42BF">
              <w:rPr>
                <w:rFonts w:ascii="Arial Narrow" w:hAnsi="Arial Narrow" w:cs="Calibri"/>
                <w:b/>
                <w:snapToGrid/>
                <w:color w:val="000000"/>
                <w:sz w:val="20"/>
                <w:szCs w:val="22"/>
                <w:lang w:eastAsia="en-AU"/>
              </w:rPr>
              <w:t>Boostrix</w:t>
            </w:r>
          </w:p>
        </w:tc>
      </w:tr>
      <w:tr w:rsidR="00CF4564" w:rsidRPr="00CF42BF" w:rsidTr="000B58E8">
        <w:trPr>
          <w:trHeight w:val="288"/>
        </w:trPr>
        <w:tc>
          <w:tcPr>
            <w:tcW w:w="1993" w:type="pct"/>
            <w:tcBorders>
              <w:top w:val="nil"/>
              <w:left w:val="single" w:sz="4" w:space="0" w:color="auto"/>
              <w:bottom w:val="single" w:sz="4" w:space="0" w:color="auto"/>
              <w:right w:val="single" w:sz="4" w:space="0" w:color="auto"/>
            </w:tcBorders>
            <w:shd w:val="clear" w:color="auto" w:fill="auto"/>
            <w:noWrap/>
            <w:vAlign w:val="center"/>
            <w:hideMark/>
          </w:tcPr>
          <w:p w:rsidR="00CF4564" w:rsidRPr="00CF42BF" w:rsidRDefault="00CF4564" w:rsidP="00CF4564">
            <w:pPr>
              <w:widowControl/>
              <w:jc w:val="left"/>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Diphtheria toxoid</w:t>
            </w:r>
          </w:p>
        </w:tc>
        <w:tc>
          <w:tcPr>
            <w:tcW w:w="1503" w:type="pct"/>
            <w:tcBorders>
              <w:top w:val="nil"/>
              <w:left w:val="nil"/>
              <w:bottom w:val="single" w:sz="4" w:space="0" w:color="auto"/>
              <w:right w:val="single" w:sz="4" w:space="0" w:color="auto"/>
            </w:tcBorders>
            <w:shd w:val="clear" w:color="auto" w:fill="auto"/>
            <w:noWrap/>
            <w:vAlign w:val="center"/>
            <w:hideMark/>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≥2µg IU</w:t>
            </w:r>
          </w:p>
        </w:tc>
        <w:tc>
          <w:tcPr>
            <w:tcW w:w="1503" w:type="pct"/>
            <w:tcBorders>
              <w:top w:val="nil"/>
              <w:left w:val="nil"/>
              <w:bottom w:val="single" w:sz="4" w:space="0" w:color="auto"/>
              <w:right w:val="single" w:sz="4" w:space="0" w:color="auto"/>
            </w:tcBorders>
            <w:vAlign w:val="center"/>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≥2µg IU</w:t>
            </w:r>
          </w:p>
        </w:tc>
      </w:tr>
      <w:tr w:rsidR="00CF4564" w:rsidRPr="00CF42BF" w:rsidTr="000B58E8">
        <w:trPr>
          <w:trHeight w:val="58"/>
        </w:trPr>
        <w:tc>
          <w:tcPr>
            <w:tcW w:w="1993" w:type="pct"/>
            <w:tcBorders>
              <w:top w:val="nil"/>
              <w:left w:val="single" w:sz="4" w:space="0" w:color="auto"/>
              <w:bottom w:val="single" w:sz="4" w:space="0" w:color="auto"/>
              <w:right w:val="single" w:sz="4" w:space="0" w:color="auto"/>
            </w:tcBorders>
            <w:shd w:val="clear" w:color="auto" w:fill="auto"/>
            <w:noWrap/>
            <w:vAlign w:val="center"/>
            <w:hideMark/>
          </w:tcPr>
          <w:p w:rsidR="00CF4564" w:rsidRPr="00CF42BF" w:rsidRDefault="00CF4564" w:rsidP="00CF4564">
            <w:pPr>
              <w:widowControl/>
              <w:jc w:val="left"/>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Tetanus toxoid</w:t>
            </w:r>
          </w:p>
        </w:tc>
        <w:tc>
          <w:tcPr>
            <w:tcW w:w="1503" w:type="pct"/>
            <w:tcBorders>
              <w:top w:val="nil"/>
              <w:left w:val="nil"/>
              <w:bottom w:val="single" w:sz="4" w:space="0" w:color="auto"/>
              <w:right w:val="single" w:sz="4" w:space="0" w:color="auto"/>
            </w:tcBorders>
            <w:shd w:val="clear" w:color="auto" w:fill="auto"/>
            <w:noWrap/>
            <w:vAlign w:val="center"/>
            <w:hideMark/>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≥20µg IU</w:t>
            </w:r>
          </w:p>
        </w:tc>
        <w:tc>
          <w:tcPr>
            <w:tcW w:w="1503" w:type="pct"/>
            <w:tcBorders>
              <w:top w:val="nil"/>
              <w:left w:val="nil"/>
              <w:bottom w:val="single" w:sz="4" w:space="0" w:color="auto"/>
              <w:right w:val="single" w:sz="4" w:space="0" w:color="auto"/>
            </w:tcBorders>
            <w:vAlign w:val="center"/>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≥20µg IU</w:t>
            </w:r>
          </w:p>
        </w:tc>
      </w:tr>
      <w:tr w:rsidR="00CF4564" w:rsidRPr="00CF42BF" w:rsidTr="000B58E8">
        <w:trPr>
          <w:trHeight w:val="58"/>
        </w:trPr>
        <w:tc>
          <w:tcPr>
            <w:tcW w:w="1993" w:type="pct"/>
            <w:tcBorders>
              <w:top w:val="nil"/>
              <w:left w:val="single" w:sz="4" w:space="0" w:color="auto"/>
              <w:bottom w:val="single" w:sz="4" w:space="0" w:color="auto"/>
              <w:right w:val="single" w:sz="4" w:space="0" w:color="auto"/>
            </w:tcBorders>
            <w:shd w:val="clear" w:color="auto" w:fill="auto"/>
            <w:noWrap/>
            <w:vAlign w:val="center"/>
            <w:hideMark/>
          </w:tcPr>
          <w:p w:rsidR="00CF4564" w:rsidRPr="00CF42BF" w:rsidRDefault="00CF4564" w:rsidP="00CF4564">
            <w:pPr>
              <w:widowControl/>
              <w:jc w:val="left"/>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PT</w:t>
            </w:r>
          </w:p>
        </w:tc>
        <w:tc>
          <w:tcPr>
            <w:tcW w:w="1503" w:type="pct"/>
            <w:tcBorders>
              <w:top w:val="nil"/>
              <w:left w:val="nil"/>
              <w:bottom w:val="single" w:sz="4" w:space="0" w:color="auto"/>
              <w:right w:val="single" w:sz="4" w:space="0" w:color="auto"/>
            </w:tcBorders>
            <w:shd w:val="clear" w:color="auto" w:fill="auto"/>
            <w:noWrap/>
            <w:vAlign w:val="center"/>
            <w:hideMark/>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2.5µg</w:t>
            </w:r>
          </w:p>
        </w:tc>
        <w:tc>
          <w:tcPr>
            <w:tcW w:w="1503" w:type="pct"/>
            <w:tcBorders>
              <w:top w:val="nil"/>
              <w:left w:val="nil"/>
              <w:bottom w:val="single" w:sz="4" w:space="0" w:color="auto"/>
              <w:right w:val="single" w:sz="4" w:space="0" w:color="auto"/>
            </w:tcBorders>
            <w:vAlign w:val="center"/>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8µg</w:t>
            </w:r>
          </w:p>
        </w:tc>
      </w:tr>
      <w:tr w:rsidR="00CF4564" w:rsidRPr="00CF42BF" w:rsidTr="000B58E8">
        <w:trPr>
          <w:trHeight w:val="58"/>
        </w:trPr>
        <w:tc>
          <w:tcPr>
            <w:tcW w:w="1993" w:type="pct"/>
            <w:tcBorders>
              <w:top w:val="nil"/>
              <w:left w:val="single" w:sz="4" w:space="0" w:color="auto"/>
              <w:bottom w:val="single" w:sz="4" w:space="0" w:color="auto"/>
              <w:right w:val="single" w:sz="4" w:space="0" w:color="auto"/>
            </w:tcBorders>
            <w:shd w:val="clear" w:color="auto" w:fill="auto"/>
            <w:noWrap/>
            <w:vAlign w:val="center"/>
            <w:hideMark/>
          </w:tcPr>
          <w:p w:rsidR="00CF4564" w:rsidRPr="00CF42BF" w:rsidRDefault="00CF4564" w:rsidP="00CF4564">
            <w:pPr>
              <w:widowControl/>
              <w:jc w:val="left"/>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FHA</w:t>
            </w:r>
          </w:p>
        </w:tc>
        <w:tc>
          <w:tcPr>
            <w:tcW w:w="1503" w:type="pct"/>
            <w:tcBorders>
              <w:top w:val="nil"/>
              <w:left w:val="nil"/>
              <w:bottom w:val="single" w:sz="4" w:space="0" w:color="auto"/>
              <w:right w:val="single" w:sz="4" w:space="0" w:color="auto"/>
            </w:tcBorders>
            <w:shd w:val="clear" w:color="auto" w:fill="auto"/>
            <w:noWrap/>
            <w:vAlign w:val="center"/>
            <w:hideMark/>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5µg</w:t>
            </w:r>
          </w:p>
        </w:tc>
        <w:tc>
          <w:tcPr>
            <w:tcW w:w="1503" w:type="pct"/>
            <w:tcBorders>
              <w:top w:val="nil"/>
              <w:left w:val="nil"/>
              <w:bottom w:val="single" w:sz="4" w:space="0" w:color="auto"/>
              <w:right w:val="single" w:sz="4" w:space="0" w:color="auto"/>
            </w:tcBorders>
            <w:vAlign w:val="center"/>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8µg</w:t>
            </w:r>
          </w:p>
        </w:tc>
      </w:tr>
      <w:tr w:rsidR="00CF4564" w:rsidRPr="00CF42BF" w:rsidTr="000B58E8">
        <w:trPr>
          <w:trHeight w:val="58"/>
        </w:trPr>
        <w:tc>
          <w:tcPr>
            <w:tcW w:w="1993" w:type="pct"/>
            <w:tcBorders>
              <w:top w:val="nil"/>
              <w:left w:val="single" w:sz="4" w:space="0" w:color="auto"/>
              <w:bottom w:val="single" w:sz="4" w:space="0" w:color="auto"/>
              <w:right w:val="single" w:sz="4" w:space="0" w:color="auto"/>
            </w:tcBorders>
            <w:shd w:val="clear" w:color="auto" w:fill="auto"/>
            <w:noWrap/>
            <w:vAlign w:val="center"/>
            <w:hideMark/>
          </w:tcPr>
          <w:p w:rsidR="00CF4564" w:rsidRPr="00CF42BF" w:rsidRDefault="00CF4564" w:rsidP="00CF4564">
            <w:pPr>
              <w:widowControl/>
              <w:jc w:val="left"/>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PRN</w:t>
            </w:r>
          </w:p>
        </w:tc>
        <w:tc>
          <w:tcPr>
            <w:tcW w:w="1503" w:type="pct"/>
            <w:tcBorders>
              <w:top w:val="nil"/>
              <w:left w:val="nil"/>
              <w:bottom w:val="single" w:sz="4" w:space="0" w:color="auto"/>
              <w:right w:val="single" w:sz="4" w:space="0" w:color="auto"/>
            </w:tcBorders>
            <w:shd w:val="clear" w:color="auto" w:fill="auto"/>
            <w:noWrap/>
            <w:vAlign w:val="center"/>
            <w:hideMark/>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3µg</w:t>
            </w:r>
          </w:p>
        </w:tc>
        <w:tc>
          <w:tcPr>
            <w:tcW w:w="1503" w:type="pct"/>
            <w:tcBorders>
              <w:top w:val="nil"/>
              <w:left w:val="nil"/>
              <w:bottom w:val="single" w:sz="4" w:space="0" w:color="auto"/>
              <w:right w:val="single" w:sz="4" w:space="0" w:color="auto"/>
            </w:tcBorders>
            <w:vAlign w:val="center"/>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2.5µg</w:t>
            </w:r>
          </w:p>
        </w:tc>
      </w:tr>
      <w:tr w:rsidR="00CF4564" w:rsidRPr="00CF42BF" w:rsidTr="000B58E8">
        <w:trPr>
          <w:trHeight w:val="58"/>
        </w:trPr>
        <w:tc>
          <w:tcPr>
            <w:tcW w:w="1993" w:type="pct"/>
            <w:tcBorders>
              <w:top w:val="nil"/>
              <w:left w:val="single" w:sz="4" w:space="0" w:color="auto"/>
              <w:bottom w:val="single" w:sz="4" w:space="0" w:color="auto"/>
              <w:right w:val="single" w:sz="4" w:space="0" w:color="auto"/>
            </w:tcBorders>
            <w:shd w:val="clear" w:color="auto" w:fill="auto"/>
            <w:noWrap/>
            <w:vAlign w:val="center"/>
            <w:hideMark/>
          </w:tcPr>
          <w:p w:rsidR="00CF4564" w:rsidRPr="00CF42BF" w:rsidRDefault="00CF4564" w:rsidP="00CF4564">
            <w:pPr>
              <w:widowControl/>
              <w:jc w:val="left"/>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FIM 2+3</w:t>
            </w:r>
          </w:p>
        </w:tc>
        <w:tc>
          <w:tcPr>
            <w:tcW w:w="1503" w:type="pct"/>
            <w:tcBorders>
              <w:top w:val="nil"/>
              <w:left w:val="nil"/>
              <w:bottom w:val="single" w:sz="4" w:space="0" w:color="auto"/>
              <w:right w:val="single" w:sz="4" w:space="0" w:color="auto"/>
            </w:tcBorders>
            <w:shd w:val="clear" w:color="auto" w:fill="auto"/>
            <w:noWrap/>
            <w:vAlign w:val="center"/>
            <w:hideMark/>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5µg</w:t>
            </w:r>
          </w:p>
        </w:tc>
        <w:tc>
          <w:tcPr>
            <w:tcW w:w="1503" w:type="pct"/>
            <w:tcBorders>
              <w:top w:val="nil"/>
              <w:left w:val="nil"/>
              <w:bottom w:val="single" w:sz="4" w:space="0" w:color="auto"/>
              <w:right w:val="single" w:sz="4" w:space="0" w:color="auto"/>
            </w:tcBorders>
            <w:vAlign w:val="center"/>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w:t>
            </w:r>
          </w:p>
        </w:tc>
      </w:tr>
      <w:tr w:rsidR="00CF4564" w:rsidRPr="00CF42BF" w:rsidTr="000B58E8">
        <w:trPr>
          <w:trHeight w:val="58"/>
        </w:trPr>
        <w:tc>
          <w:tcPr>
            <w:tcW w:w="1993" w:type="pct"/>
            <w:tcBorders>
              <w:top w:val="nil"/>
              <w:left w:val="single" w:sz="4" w:space="0" w:color="auto"/>
              <w:bottom w:val="single" w:sz="4" w:space="0" w:color="auto"/>
              <w:right w:val="single" w:sz="4" w:space="0" w:color="auto"/>
            </w:tcBorders>
            <w:shd w:val="clear" w:color="auto" w:fill="auto"/>
            <w:noWrap/>
            <w:vAlign w:val="center"/>
            <w:hideMark/>
          </w:tcPr>
          <w:p w:rsidR="00CF4564" w:rsidRPr="00CF42BF" w:rsidRDefault="00CF4564" w:rsidP="00CF4564">
            <w:pPr>
              <w:widowControl/>
              <w:jc w:val="left"/>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Aluminium phosphate</w:t>
            </w:r>
          </w:p>
        </w:tc>
        <w:tc>
          <w:tcPr>
            <w:tcW w:w="1503" w:type="pct"/>
            <w:tcBorders>
              <w:top w:val="nil"/>
              <w:left w:val="nil"/>
              <w:bottom w:val="single" w:sz="4" w:space="0" w:color="auto"/>
              <w:right w:val="single" w:sz="4" w:space="0" w:color="auto"/>
            </w:tcBorders>
            <w:shd w:val="clear" w:color="auto" w:fill="auto"/>
            <w:noWrap/>
            <w:vAlign w:val="center"/>
            <w:hideMark/>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0.33mg</w:t>
            </w:r>
          </w:p>
        </w:tc>
        <w:tc>
          <w:tcPr>
            <w:tcW w:w="1503" w:type="pct"/>
            <w:tcBorders>
              <w:top w:val="nil"/>
              <w:left w:val="nil"/>
              <w:bottom w:val="single" w:sz="4" w:space="0" w:color="auto"/>
              <w:right w:val="single" w:sz="4" w:space="0" w:color="auto"/>
            </w:tcBorders>
            <w:vAlign w:val="center"/>
          </w:tcPr>
          <w:p w:rsidR="00CF4564" w:rsidRPr="00CF42BF" w:rsidRDefault="00CF4564" w:rsidP="00CF4564">
            <w:pPr>
              <w:widowControl/>
              <w:jc w:val="center"/>
              <w:rPr>
                <w:rFonts w:ascii="Arial Narrow" w:hAnsi="Arial Narrow" w:cs="Calibri"/>
                <w:snapToGrid/>
                <w:color w:val="000000"/>
                <w:sz w:val="20"/>
                <w:szCs w:val="22"/>
                <w:lang w:eastAsia="en-AU"/>
              </w:rPr>
            </w:pPr>
            <w:r w:rsidRPr="00CF42BF">
              <w:rPr>
                <w:rFonts w:ascii="Arial Narrow" w:hAnsi="Arial Narrow" w:cs="Calibri"/>
                <w:snapToGrid/>
                <w:color w:val="000000"/>
                <w:sz w:val="20"/>
                <w:szCs w:val="22"/>
                <w:lang w:eastAsia="en-AU"/>
              </w:rPr>
              <w:t>0.5mg</w:t>
            </w:r>
          </w:p>
        </w:tc>
      </w:tr>
    </w:tbl>
    <w:p w:rsidR="00CF4564" w:rsidRPr="00CF42BF" w:rsidRDefault="00CF4564" w:rsidP="003D58C7">
      <w:pPr>
        <w:ind w:firstLine="720"/>
        <w:jc w:val="left"/>
        <w:rPr>
          <w:rFonts w:ascii="Arial Narrow" w:hAnsi="Arial Narrow"/>
          <w:sz w:val="18"/>
        </w:rPr>
      </w:pPr>
      <w:r w:rsidRPr="00CF42BF">
        <w:rPr>
          <w:rFonts w:ascii="Arial Narrow" w:hAnsi="Arial Narrow"/>
          <w:sz w:val="18"/>
        </w:rPr>
        <w:t xml:space="preserve">Source: Table A.6.1 p 30, of the submission for </w:t>
      </w:r>
      <w:r w:rsidR="003D58C7">
        <w:rPr>
          <w:rFonts w:ascii="Arial Narrow" w:hAnsi="Arial Narrow"/>
          <w:sz w:val="18"/>
        </w:rPr>
        <w:t>Adacel</w:t>
      </w:r>
      <w:r w:rsidRPr="00CF42BF">
        <w:rPr>
          <w:rFonts w:ascii="Arial Narrow" w:hAnsi="Arial Narrow"/>
          <w:sz w:val="18"/>
        </w:rPr>
        <w:t xml:space="preserve"> and Boostrix</w:t>
      </w:r>
    </w:p>
    <w:p w:rsidR="00CF4564" w:rsidRPr="00CF42BF" w:rsidRDefault="00CF4564" w:rsidP="003D58C7">
      <w:pPr>
        <w:ind w:firstLine="720"/>
        <w:rPr>
          <w:rFonts w:ascii="Arial Narrow" w:hAnsi="Arial Narrow"/>
          <w:sz w:val="18"/>
        </w:rPr>
      </w:pPr>
      <w:r w:rsidRPr="00CF42BF">
        <w:rPr>
          <w:rFonts w:ascii="Arial Narrow" w:hAnsi="Arial Narrow"/>
          <w:sz w:val="18"/>
        </w:rPr>
        <w:t xml:space="preserve">Abbreviations: IU = international unit, PT = pertussis toxin, FHA = </w:t>
      </w:r>
      <w:r w:rsidRPr="00CF42BF">
        <w:rPr>
          <w:rFonts w:ascii="Arial Narrow" w:hAnsi="Arial Narrow" w:cs="Helvetica"/>
          <w:color w:val="222222"/>
          <w:sz w:val="18"/>
          <w:shd w:val="clear" w:color="auto" w:fill="FFFFFF"/>
        </w:rPr>
        <w:t>filamentous haemagglutinin,</w:t>
      </w:r>
      <w:r w:rsidRPr="00CF42BF">
        <w:rPr>
          <w:rFonts w:ascii="Arial Narrow" w:hAnsi="Arial Narrow"/>
          <w:sz w:val="18"/>
        </w:rPr>
        <w:t xml:space="preserve"> PRN = pertactin, FIM = fimbrial.</w:t>
      </w:r>
    </w:p>
    <w:p w:rsidR="0001054B" w:rsidRDefault="0001054B" w:rsidP="007D3635">
      <w:pPr>
        <w:pStyle w:val="ListParagraph"/>
        <w:widowControl/>
        <w:rPr>
          <w:szCs w:val="22"/>
        </w:rPr>
      </w:pPr>
    </w:p>
    <w:p w:rsidR="0045054A" w:rsidRPr="0005234D" w:rsidRDefault="0045054A" w:rsidP="0045054A">
      <w:pPr>
        <w:ind w:firstLine="720"/>
        <w:rPr>
          <w:bCs/>
          <w:szCs w:val="22"/>
        </w:rPr>
      </w:pPr>
      <w:r w:rsidRPr="00703590">
        <w:rPr>
          <w:bCs/>
          <w:i/>
          <w:szCs w:val="22"/>
        </w:rPr>
        <w:t>For more detail on PBAC’s view, see section 7 “PBAC outcome”</w:t>
      </w:r>
    </w:p>
    <w:p w:rsidR="0045054A" w:rsidRDefault="0045054A" w:rsidP="007D3635">
      <w:pPr>
        <w:pStyle w:val="ListParagraph"/>
        <w:widowControl/>
        <w:rPr>
          <w:szCs w:val="22"/>
        </w:rPr>
      </w:pPr>
    </w:p>
    <w:p w:rsidR="0045054A" w:rsidRDefault="0045054A" w:rsidP="007D3635">
      <w:pPr>
        <w:pStyle w:val="ListParagraph"/>
        <w:widowControl/>
        <w:rPr>
          <w:szCs w:val="22"/>
        </w:rPr>
      </w:pPr>
    </w:p>
    <w:p w:rsidR="00634DD7" w:rsidRPr="00407F2D" w:rsidRDefault="00634DD7" w:rsidP="000D6907">
      <w:pPr>
        <w:pStyle w:val="PBACHeading1"/>
        <w:keepNext/>
      </w:pPr>
      <w:bookmarkStart w:id="8" w:name="_Toc471398079"/>
      <w:r>
        <w:t>C</w:t>
      </w:r>
      <w:r w:rsidRPr="00407F2D">
        <w:t>onsideration of the evidence</w:t>
      </w:r>
      <w:bookmarkEnd w:id="8"/>
    </w:p>
    <w:p w:rsidR="00634DD7" w:rsidRDefault="00634DD7" w:rsidP="000D6907">
      <w:pPr>
        <w:keepNext/>
        <w:widowControl/>
      </w:pPr>
    </w:p>
    <w:p w:rsidR="0045054A" w:rsidRPr="00974749" w:rsidRDefault="0045054A" w:rsidP="00465AC9">
      <w:pPr>
        <w:widowControl/>
        <w:jc w:val="left"/>
        <w:rPr>
          <w:bCs/>
          <w:szCs w:val="22"/>
        </w:rPr>
      </w:pPr>
      <w:r w:rsidRPr="00974749">
        <w:rPr>
          <w:b/>
          <w:bCs/>
          <w:i/>
          <w:szCs w:val="22"/>
        </w:rPr>
        <w:t>Sponsor hearing</w:t>
      </w:r>
    </w:p>
    <w:p w:rsidR="0045054A" w:rsidRPr="00974749" w:rsidRDefault="0045054A" w:rsidP="0045054A">
      <w:pPr>
        <w:rPr>
          <w:bCs/>
          <w:szCs w:val="22"/>
        </w:rPr>
      </w:pPr>
    </w:p>
    <w:p w:rsidR="0045054A" w:rsidRPr="00974749" w:rsidRDefault="0045054A" w:rsidP="0074368D">
      <w:pPr>
        <w:widowControl/>
        <w:numPr>
          <w:ilvl w:val="1"/>
          <w:numId w:val="1"/>
        </w:numPr>
        <w:jc w:val="left"/>
        <w:rPr>
          <w:bCs/>
          <w:szCs w:val="22"/>
        </w:rPr>
      </w:pPr>
      <w:r w:rsidRPr="00974749">
        <w:rPr>
          <w:bCs/>
          <w:szCs w:val="22"/>
        </w:rPr>
        <w:t>There was no hearing for this item.</w:t>
      </w:r>
    </w:p>
    <w:p w:rsidR="0045054A" w:rsidRPr="00974749" w:rsidRDefault="0045054A" w:rsidP="0045054A">
      <w:pPr>
        <w:rPr>
          <w:bCs/>
          <w:szCs w:val="22"/>
        </w:rPr>
      </w:pPr>
    </w:p>
    <w:p w:rsidR="0045054A" w:rsidRPr="00974749" w:rsidRDefault="0045054A" w:rsidP="0045054A">
      <w:pPr>
        <w:rPr>
          <w:b/>
          <w:bCs/>
          <w:i/>
          <w:szCs w:val="22"/>
        </w:rPr>
      </w:pPr>
      <w:r w:rsidRPr="00974749">
        <w:rPr>
          <w:b/>
          <w:bCs/>
          <w:i/>
          <w:szCs w:val="22"/>
        </w:rPr>
        <w:t>Consumer comments</w:t>
      </w:r>
    </w:p>
    <w:p w:rsidR="0045054A" w:rsidRPr="00974749" w:rsidRDefault="0045054A" w:rsidP="0045054A">
      <w:pPr>
        <w:rPr>
          <w:b/>
          <w:bCs/>
          <w:szCs w:val="22"/>
        </w:rPr>
      </w:pPr>
    </w:p>
    <w:p w:rsidR="0045054A" w:rsidRPr="00974749" w:rsidRDefault="0045054A" w:rsidP="0074368D">
      <w:pPr>
        <w:widowControl/>
        <w:numPr>
          <w:ilvl w:val="1"/>
          <w:numId w:val="1"/>
        </w:numPr>
        <w:rPr>
          <w:bCs/>
          <w:szCs w:val="22"/>
        </w:rPr>
      </w:pPr>
      <w:r w:rsidRPr="00974749">
        <w:rPr>
          <w:bCs/>
          <w:szCs w:val="22"/>
        </w:rPr>
        <w:t xml:space="preserve">The PBAC noted and welcomed the input from </w:t>
      </w:r>
      <w:r w:rsidR="009364E0" w:rsidRPr="00974749">
        <w:rPr>
          <w:bCs/>
          <w:szCs w:val="22"/>
        </w:rPr>
        <w:t>one individual</w:t>
      </w:r>
      <w:r w:rsidRPr="00974749">
        <w:rPr>
          <w:bCs/>
          <w:szCs w:val="22"/>
        </w:rPr>
        <w:t xml:space="preserve"> via the Consumer Comments facility on the PBS website.  The comment</w:t>
      </w:r>
      <w:r w:rsidR="009364E0" w:rsidRPr="00974749">
        <w:rPr>
          <w:bCs/>
          <w:szCs w:val="22"/>
        </w:rPr>
        <w:t xml:space="preserve"> </w:t>
      </w:r>
      <w:r w:rsidR="00C837C6" w:rsidRPr="00974749">
        <w:rPr>
          <w:bCs/>
          <w:szCs w:val="22"/>
        </w:rPr>
        <w:t>raised concerns about</w:t>
      </w:r>
      <w:r w:rsidR="009364E0" w:rsidRPr="00974749">
        <w:rPr>
          <w:bCs/>
          <w:szCs w:val="22"/>
        </w:rPr>
        <w:t xml:space="preserve"> the effectiveness of maternal antibodies in protecting newborns against pertussis, and </w:t>
      </w:r>
      <w:r w:rsidR="00703685" w:rsidRPr="00974749">
        <w:rPr>
          <w:bCs/>
          <w:szCs w:val="22"/>
        </w:rPr>
        <w:t>a perceived</w:t>
      </w:r>
      <w:r w:rsidR="00493D3B" w:rsidRPr="00974749">
        <w:rPr>
          <w:bCs/>
          <w:szCs w:val="22"/>
        </w:rPr>
        <w:t xml:space="preserve"> lack of</w:t>
      </w:r>
      <w:r w:rsidR="009364E0" w:rsidRPr="00974749">
        <w:rPr>
          <w:bCs/>
          <w:szCs w:val="22"/>
        </w:rPr>
        <w:t xml:space="preserve"> data </w:t>
      </w:r>
      <w:r w:rsidR="00493D3B" w:rsidRPr="00974749">
        <w:rPr>
          <w:bCs/>
          <w:szCs w:val="22"/>
        </w:rPr>
        <w:t>regarding the safety of maternal pertussis vaccination.</w:t>
      </w:r>
      <w:r w:rsidR="009364E0" w:rsidRPr="00974749">
        <w:rPr>
          <w:bCs/>
          <w:i/>
          <w:szCs w:val="22"/>
        </w:rPr>
        <w:t xml:space="preserve"> </w:t>
      </w:r>
    </w:p>
    <w:p w:rsidR="0045054A" w:rsidRPr="00882085" w:rsidRDefault="0045054A" w:rsidP="000D6907">
      <w:pPr>
        <w:keepNext/>
        <w:widowControl/>
      </w:pPr>
    </w:p>
    <w:p w:rsidR="00634DD7" w:rsidRDefault="00634DD7" w:rsidP="000D6907">
      <w:pPr>
        <w:pStyle w:val="Heading2"/>
        <w:keepNext/>
        <w:widowControl/>
        <w:rPr>
          <w:i/>
        </w:rPr>
      </w:pPr>
      <w:bookmarkStart w:id="9" w:name="_Toc471398080"/>
      <w:r w:rsidRPr="002C2775">
        <w:rPr>
          <w:i/>
        </w:rPr>
        <w:t>Clinical trials</w:t>
      </w:r>
      <w:bookmarkEnd w:id="9"/>
    </w:p>
    <w:p w:rsidR="00B37919" w:rsidRPr="00B37919" w:rsidRDefault="00B37919" w:rsidP="00B37919"/>
    <w:p w:rsidR="00634DD7" w:rsidRPr="00B5654A" w:rsidRDefault="00634DD7" w:rsidP="0074368D">
      <w:pPr>
        <w:pStyle w:val="ListParagraph"/>
        <w:widowControl/>
        <w:numPr>
          <w:ilvl w:val="1"/>
          <w:numId w:val="1"/>
        </w:numPr>
      </w:pPr>
      <w:r w:rsidRPr="00B5654A">
        <w:t xml:space="preserve">The submission was based on three head-to-head </w:t>
      </w:r>
      <w:r w:rsidR="000D6907">
        <w:t>RCTs</w:t>
      </w:r>
      <w:r w:rsidRPr="00B5654A">
        <w:t>:</w:t>
      </w:r>
    </w:p>
    <w:p w:rsidR="00634DD7" w:rsidRPr="00B5654A" w:rsidRDefault="00634DD7" w:rsidP="0074368D">
      <w:pPr>
        <w:pStyle w:val="ListParagraph"/>
        <w:widowControl/>
        <w:numPr>
          <w:ilvl w:val="0"/>
          <w:numId w:val="2"/>
        </w:numPr>
      </w:pPr>
      <w:r w:rsidRPr="00B5654A">
        <w:t>Blatter 2009: Comparing immunogenicity and safety for adults treated with Adacel (n=762) versus Boostrix (n=1522)</w:t>
      </w:r>
    </w:p>
    <w:p w:rsidR="00634DD7" w:rsidRPr="00B5654A" w:rsidRDefault="00634DD7" w:rsidP="0074368D">
      <w:pPr>
        <w:pStyle w:val="ListParagraph"/>
        <w:widowControl/>
        <w:numPr>
          <w:ilvl w:val="0"/>
          <w:numId w:val="2"/>
        </w:numPr>
      </w:pPr>
      <w:r w:rsidRPr="00B5654A">
        <w:t>Southern 2005: Comparing reactogenicity and immunogenicity in adolescents treated with tetanus and diphtheria</w:t>
      </w:r>
      <w:r w:rsidR="001757DF">
        <w:t xml:space="preserve"> vaccine</w:t>
      </w:r>
      <w:r w:rsidRPr="00B5654A">
        <w:t xml:space="preserve"> (n=79), Boostrix (n=79), Adacel (n=83), and </w:t>
      </w:r>
      <w:r w:rsidR="00CE16AC">
        <w:t>Repevax (</w:t>
      </w:r>
      <w:r w:rsidRPr="00B5654A">
        <w:t>Adacel</w:t>
      </w:r>
      <w:r w:rsidR="000D6907">
        <w:t>+</w:t>
      </w:r>
      <w:r w:rsidRPr="00B5654A">
        <w:t>Polio</w:t>
      </w:r>
      <w:r w:rsidR="00CE16AC">
        <w:t>)</w:t>
      </w:r>
      <w:r w:rsidRPr="00B5654A">
        <w:t xml:space="preserve"> (n=82) </w:t>
      </w:r>
    </w:p>
    <w:p w:rsidR="00634DD7" w:rsidRDefault="00634DD7" w:rsidP="0074368D">
      <w:pPr>
        <w:pStyle w:val="ListParagraph"/>
        <w:widowControl/>
        <w:numPr>
          <w:ilvl w:val="0"/>
          <w:numId w:val="2"/>
        </w:numPr>
      </w:pPr>
      <w:r w:rsidRPr="00B5654A">
        <w:t>Td516 2010: Comparing reactogenicity and immunogenicity in adolescents treated with Boostrix (n=321) versus Adacel (n=326)</w:t>
      </w:r>
    </w:p>
    <w:p w:rsidR="00AF157F" w:rsidRPr="007E6F74" w:rsidRDefault="00AF157F" w:rsidP="00AF157F">
      <w:pPr>
        <w:widowControl/>
      </w:pPr>
    </w:p>
    <w:p w:rsidR="000D6907" w:rsidRPr="0001054B" w:rsidRDefault="000D6907" w:rsidP="0074368D">
      <w:pPr>
        <w:pStyle w:val="ListParagraph"/>
        <w:numPr>
          <w:ilvl w:val="1"/>
          <w:numId w:val="1"/>
        </w:numPr>
      </w:pPr>
      <w:r w:rsidRPr="0001054B">
        <w:t>The submission also presented five small RCTs or observational studies comparing Adacel (or Repevax</w:t>
      </w:r>
      <w:r w:rsidR="000B462B">
        <w:t xml:space="preserve"> </w:t>
      </w:r>
      <w:r w:rsidR="000B462B" w:rsidRPr="0001054B">
        <w:t>(Adacel+Polio)</w:t>
      </w:r>
      <w:r w:rsidRPr="0001054B">
        <w:t xml:space="preserve">) or Boostrix to no vaccination in pregnant women, and three observational studies comparing Adacel (or </w:t>
      </w:r>
      <w:r w:rsidR="00CE16AC" w:rsidRPr="0001054B">
        <w:t>Repevax (Adacel+Polio)</w:t>
      </w:r>
      <w:r w:rsidRPr="0001054B">
        <w:t>) versus Boostrix (or Boostrix</w:t>
      </w:r>
      <w:r w:rsidR="00CE16AC" w:rsidRPr="0001054B">
        <w:t>-IPV (Boostrix+Polio)</w:t>
      </w:r>
      <w:r w:rsidRPr="0001054B">
        <w:t>) in pregnant women.</w:t>
      </w:r>
      <w:r w:rsidR="005337E8" w:rsidRPr="0001054B">
        <w:t xml:space="preserve"> One of these studies, Amirthalingam 2016</w:t>
      </w:r>
      <w:r w:rsidR="00162213" w:rsidRPr="0001054B">
        <w:t>,</w:t>
      </w:r>
      <w:r w:rsidR="00EA3D98">
        <w:t xml:space="preserve"> </w:t>
      </w:r>
      <w:r w:rsidR="005337E8" w:rsidRPr="0001054B">
        <w:t>was an extension of the 2014 study presented in the GSK Boostrix July 2016 PBAC submission.</w:t>
      </w:r>
      <w:r w:rsidR="00511408" w:rsidRPr="0001054B">
        <w:t xml:space="preserve"> This analysis was possible because the </w:t>
      </w:r>
      <w:r w:rsidR="00BB3228" w:rsidRPr="0001054B">
        <w:t xml:space="preserve">pertussis </w:t>
      </w:r>
      <w:r w:rsidR="001D259B" w:rsidRPr="0001054B">
        <w:t xml:space="preserve">containing </w:t>
      </w:r>
      <w:r w:rsidR="00511408" w:rsidRPr="0001054B">
        <w:t xml:space="preserve">vaccine offered to pregnant women </w:t>
      </w:r>
      <w:r w:rsidR="00BB3228" w:rsidRPr="0001054B">
        <w:t xml:space="preserve">in the UK was </w:t>
      </w:r>
      <w:r w:rsidR="00511408" w:rsidRPr="0001054B">
        <w:t>chang</w:t>
      </w:r>
      <w:r w:rsidR="00BB3228" w:rsidRPr="0001054B">
        <w:t>ed</w:t>
      </w:r>
      <w:r w:rsidR="00511408" w:rsidRPr="0001054B">
        <w:t xml:space="preserve"> from Repevax (Adacel+Polio) to Boostrix-IPV (Boostrix+Polio)</w:t>
      </w:r>
      <w:r w:rsidR="00BB3228" w:rsidRPr="0001054B">
        <w:t xml:space="preserve"> in July 2014</w:t>
      </w:r>
      <w:r w:rsidR="00511408" w:rsidRPr="0001054B">
        <w:t>. The study may be subject to bias due to the study design (unmeasured confounders), timing of vaccination (before and after a pertussis outbreak in the UK) and sample size.</w:t>
      </w:r>
    </w:p>
    <w:p w:rsidR="00B37919" w:rsidRPr="000D6907" w:rsidRDefault="00B37919" w:rsidP="00B37919">
      <w:pPr>
        <w:pStyle w:val="ListParagraph"/>
        <w:rPr>
          <w:i/>
        </w:rPr>
      </w:pPr>
    </w:p>
    <w:p w:rsidR="00634DD7" w:rsidRPr="0001054B" w:rsidRDefault="00634DD7" w:rsidP="0074368D">
      <w:pPr>
        <w:pStyle w:val="ListParagraph"/>
        <w:numPr>
          <w:ilvl w:val="1"/>
          <w:numId w:val="1"/>
        </w:numPr>
      </w:pPr>
      <w:r w:rsidRPr="0001054B">
        <w:t xml:space="preserve">No head-to-head RCTs comparing Adacel and Boostrix in </w:t>
      </w:r>
      <w:r w:rsidR="004B743D" w:rsidRPr="0001054B">
        <w:t>pregnant women</w:t>
      </w:r>
      <w:r w:rsidRPr="0001054B">
        <w:t xml:space="preserve"> were identified.</w:t>
      </w:r>
    </w:p>
    <w:p w:rsidR="00B37919" w:rsidRPr="009F2080" w:rsidRDefault="00B37919" w:rsidP="00B37919">
      <w:pPr>
        <w:pStyle w:val="ListParagraph"/>
        <w:rPr>
          <w:i/>
        </w:rPr>
      </w:pPr>
    </w:p>
    <w:p w:rsidR="00634DD7" w:rsidRPr="00B50DB8" w:rsidRDefault="00634DD7" w:rsidP="0074368D">
      <w:pPr>
        <w:pStyle w:val="ListParagraph"/>
        <w:widowControl/>
        <w:numPr>
          <w:ilvl w:val="1"/>
          <w:numId w:val="1"/>
        </w:numPr>
        <w:rPr>
          <w:szCs w:val="22"/>
        </w:rPr>
      </w:pPr>
      <w:r w:rsidRPr="00B50DB8">
        <w:rPr>
          <w:szCs w:val="22"/>
        </w:rPr>
        <w:t xml:space="preserve">Details of the </w:t>
      </w:r>
      <w:r w:rsidR="004B743D">
        <w:rPr>
          <w:szCs w:val="22"/>
        </w:rPr>
        <w:t>head-to-head RCTs</w:t>
      </w:r>
      <w:r w:rsidRPr="00B50DB8">
        <w:rPr>
          <w:szCs w:val="22"/>
        </w:rPr>
        <w:t xml:space="preserve"> </w:t>
      </w:r>
      <w:r w:rsidR="005337E8">
        <w:rPr>
          <w:szCs w:val="22"/>
        </w:rPr>
        <w:t xml:space="preserve">and the key observational study </w:t>
      </w:r>
      <w:r w:rsidRPr="00B50DB8">
        <w:rPr>
          <w:szCs w:val="22"/>
        </w:rPr>
        <w:t>presented in the submission ar</w:t>
      </w:r>
      <w:r w:rsidR="000D6907">
        <w:rPr>
          <w:szCs w:val="22"/>
        </w:rPr>
        <w:t>e provided in the table below.</w:t>
      </w:r>
    </w:p>
    <w:p w:rsidR="00634DD7" w:rsidRDefault="00634DD7" w:rsidP="00634DD7">
      <w:pPr>
        <w:widowControl/>
        <w:rPr>
          <w:szCs w:val="22"/>
        </w:rPr>
      </w:pPr>
    </w:p>
    <w:p w:rsidR="00634DD7" w:rsidRDefault="00634DD7" w:rsidP="00B37919">
      <w:pPr>
        <w:widowControl/>
        <w:ind w:left="720"/>
        <w:rPr>
          <w:szCs w:val="22"/>
        </w:rPr>
      </w:pPr>
      <w:r w:rsidRPr="000812CA">
        <w:rPr>
          <w:rStyle w:val="CommentReference"/>
        </w:rPr>
        <w:t xml:space="preserve">Table </w:t>
      </w:r>
      <w:r w:rsidR="007A650F">
        <w:rPr>
          <w:rStyle w:val="CommentReference"/>
        </w:rPr>
        <w:t>3:</w:t>
      </w:r>
      <w:r w:rsidRPr="000812CA">
        <w:rPr>
          <w:rStyle w:val="CommentReference"/>
        </w:rPr>
        <w:t xml:space="preserve"> Trials and associated reports presented in the submission</w:t>
      </w:r>
    </w:p>
    <w:tbl>
      <w:tblPr>
        <w:tblW w:w="4603" w:type="pct"/>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35"/>
        <w:gridCol w:w="4601"/>
        <w:gridCol w:w="2126"/>
      </w:tblGrid>
      <w:tr w:rsidR="00634DD7" w:rsidRPr="0036647E" w:rsidTr="000B58E8">
        <w:trPr>
          <w:tblHeader/>
        </w:trPr>
        <w:tc>
          <w:tcPr>
            <w:tcW w:w="978" w:type="pct"/>
          </w:tcPr>
          <w:p w:rsidR="00634DD7" w:rsidRPr="0036647E" w:rsidRDefault="00634DD7" w:rsidP="00634DD7">
            <w:pPr>
              <w:rPr>
                <w:rFonts w:ascii="Arial Narrow" w:hAnsi="Arial Narrow"/>
                <w:b/>
                <w:sz w:val="20"/>
              </w:rPr>
            </w:pPr>
            <w:r w:rsidRPr="0036647E">
              <w:rPr>
                <w:rFonts w:ascii="Arial Narrow" w:hAnsi="Arial Narrow"/>
                <w:b/>
                <w:sz w:val="20"/>
              </w:rPr>
              <w:t>Trial ID</w:t>
            </w:r>
          </w:p>
        </w:tc>
        <w:tc>
          <w:tcPr>
            <w:tcW w:w="2751" w:type="pct"/>
          </w:tcPr>
          <w:p w:rsidR="00634DD7" w:rsidRPr="0036647E" w:rsidRDefault="00634DD7" w:rsidP="00634DD7">
            <w:pPr>
              <w:jc w:val="center"/>
              <w:rPr>
                <w:rFonts w:ascii="Arial Narrow" w:hAnsi="Arial Narrow"/>
                <w:b/>
                <w:sz w:val="20"/>
              </w:rPr>
            </w:pPr>
            <w:r w:rsidRPr="0036647E">
              <w:rPr>
                <w:rFonts w:ascii="Arial Narrow" w:hAnsi="Arial Narrow"/>
                <w:b/>
                <w:sz w:val="20"/>
              </w:rPr>
              <w:t>Protocol title/ Publication title</w:t>
            </w:r>
          </w:p>
        </w:tc>
        <w:tc>
          <w:tcPr>
            <w:tcW w:w="1271" w:type="pct"/>
          </w:tcPr>
          <w:p w:rsidR="00634DD7" w:rsidRPr="0036647E" w:rsidRDefault="00634DD7" w:rsidP="00634DD7">
            <w:pPr>
              <w:jc w:val="center"/>
              <w:rPr>
                <w:rFonts w:ascii="Arial Narrow" w:hAnsi="Arial Narrow"/>
                <w:b/>
                <w:sz w:val="20"/>
              </w:rPr>
            </w:pPr>
            <w:r w:rsidRPr="0036647E">
              <w:rPr>
                <w:rFonts w:ascii="Arial Narrow" w:hAnsi="Arial Narrow"/>
                <w:b/>
                <w:sz w:val="20"/>
              </w:rPr>
              <w:t>Publication citation</w:t>
            </w:r>
          </w:p>
        </w:tc>
      </w:tr>
      <w:tr w:rsidR="00634DD7" w:rsidRPr="0036647E" w:rsidTr="000B58E8">
        <w:tc>
          <w:tcPr>
            <w:tcW w:w="5000" w:type="pct"/>
            <w:gridSpan w:val="3"/>
          </w:tcPr>
          <w:p w:rsidR="00634DD7" w:rsidRPr="0036647E" w:rsidRDefault="008B332E" w:rsidP="00634DD7">
            <w:pPr>
              <w:rPr>
                <w:rFonts w:ascii="Arial Narrow" w:hAnsi="Arial Narrow"/>
                <w:b/>
                <w:sz w:val="20"/>
              </w:rPr>
            </w:pPr>
            <w:r>
              <w:rPr>
                <w:rFonts w:ascii="Arial Narrow" w:hAnsi="Arial Narrow"/>
                <w:b/>
                <w:sz w:val="20"/>
              </w:rPr>
              <w:t xml:space="preserve">Section B: </w:t>
            </w:r>
            <w:r w:rsidR="00634DD7" w:rsidRPr="0036647E">
              <w:rPr>
                <w:rFonts w:ascii="Arial Narrow" w:hAnsi="Arial Narrow"/>
                <w:b/>
                <w:sz w:val="20"/>
              </w:rPr>
              <w:t>Direct randomised trials</w:t>
            </w:r>
            <w:r w:rsidR="00634DD7">
              <w:rPr>
                <w:rFonts w:ascii="Arial Narrow" w:hAnsi="Arial Narrow"/>
                <w:b/>
                <w:sz w:val="20"/>
              </w:rPr>
              <w:t xml:space="preserve"> – Vaccine efficacy</w:t>
            </w:r>
            <w:r>
              <w:rPr>
                <w:rFonts w:ascii="Arial Narrow" w:hAnsi="Arial Narrow"/>
                <w:b/>
                <w:sz w:val="20"/>
              </w:rPr>
              <w:t xml:space="preserve"> and safety</w:t>
            </w:r>
          </w:p>
        </w:tc>
      </w:tr>
      <w:tr w:rsidR="00634DD7" w:rsidRPr="0036647E" w:rsidTr="000B58E8">
        <w:tc>
          <w:tcPr>
            <w:tcW w:w="978" w:type="pct"/>
          </w:tcPr>
          <w:p w:rsidR="00634DD7" w:rsidRDefault="00634DD7" w:rsidP="00634DD7">
            <w:pPr>
              <w:rPr>
                <w:rFonts w:ascii="Arial Narrow" w:hAnsi="Arial Narrow"/>
                <w:sz w:val="20"/>
              </w:rPr>
            </w:pPr>
            <w:r>
              <w:rPr>
                <w:rFonts w:ascii="Arial Narrow" w:hAnsi="Arial Narrow"/>
                <w:sz w:val="20"/>
              </w:rPr>
              <w:t>Blatter 2009</w:t>
            </w:r>
          </w:p>
          <w:p w:rsidR="00634DD7" w:rsidRPr="0036647E" w:rsidRDefault="00634DD7" w:rsidP="00634DD7">
            <w:pPr>
              <w:rPr>
                <w:rFonts w:ascii="Arial Narrow" w:hAnsi="Arial Narrow"/>
                <w:sz w:val="20"/>
              </w:rPr>
            </w:pPr>
            <w:r>
              <w:rPr>
                <w:rFonts w:ascii="Arial Narrow" w:hAnsi="Arial Narrow"/>
                <w:sz w:val="20"/>
              </w:rPr>
              <w:t>NCT00436073/ NCT00489970</w:t>
            </w:r>
          </w:p>
        </w:tc>
        <w:tc>
          <w:tcPr>
            <w:tcW w:w="2751" w:type="pct"/>
          </w:tcPr>
          <w:p w:rsidR="00634DD7" w:rsidRPr="0036647E" w:rsidRDefault="00634DD7" w:rsidP="00634DD7">
            <w:pPr>
              <w:rPr>
                <w:rFonts w:ascii="Arial Narrow" w:hAnsi="Arial Narrow"/>
                <w:sz w:val="20"/>
              </w:rPr>
            </w:pPr>
            <w:r>
              <w:rPr>
                <w:rFonts w:ascii="Arial Narrow" w:hAnsi="Arial Narrow"/>
                <w:sz w:val="20"/>
              </w:rPr>
              <w:t xml:space="preserve">Immunogenicity and safety of a tetanus toxoid, reduced diphtheria toxoid and three-component acellular pertussis vaccine in adults 19-64 years of age. </w:t>
            </w:r>
          </w:p>
        </w:tc>
        <w:tc>
          <w:tcPr>
            <w:tcW w:w="1271" w:type="pct"/>
          </w:tcPr>
          <w:p w:rsidR="00634DD7" w:rsidRPr="0036647E" w:rsidRDefault="00634DD7" w:rsidP="00634DD7">
            <w:pPr>
              <w:rPr>
                <w:rFonts w:ascii="Arial Narrow" w:hAnsi="Arial Narrow"/>
                <w:sz w:val="20"/>
              </w:rPr>
            </w:pPr>
            <w:r>
              <w:rPr>
                <w:rFonts w:ascii="Arial Narrow" w:hAnsi="Arial Narrow"/>
                <w:sz w:val="20"/>
              </w:rPr>
              <w:t>Vaccine 2009, 27:765-72</w:t>
            </w:r>
          </w:p>
        </w:tc>
      </w:tr>
      <w:tr w:rsidR="00634DD7" w:rsidRPr="0036647E" w:rsidTr="000B58E8">
        <w:tc>
          <w:tcPr>
            <w:tcW w:w="978" w:type="pct"/>
          </w:tcPr>
          <w:p w:rsidR="00634DD7" w:rsidRDefault="00634DD7" w:rsidP="00634DD7">
            <w:pPr>
              <w:rPr>
                <w:rFonts w:ascii="Arial Narrow" w:hAnsi="Arial Narrow"/>
                <w:sz w:val="20"/>
              </w:rPr>
            </w:pPr>
            <w:r>
              <w:rPr>
                <w:rFonts w:ascii="Arial Narrow" w:hAnsi="Arial Narrow"/>
                <w:sz w:val="20"/>
              </w:rPr>
              <w:t>Td516 2010</w:t>
            </w:r>
          </w:p>
          <w:p w:rsidR="00634DD7" w:rsidRPr="0036647E" w:rsidRDefault="00634DD7" w:rsidP="00634DD7">
            <w:pPr>
              <w:rPr>
                <w:rFonts w:ascii="Arial Narrow" w:hAnsi="Arial Narrow"/>
                <w:sz w:val="20"/>
              </w:rPr>
            </w:pPr>
            <w:r>
              <w:rPr>
                <w:rFonts w:ascii="Arial Narrow" w:hAnsi="Arial Narrow"/>
                <w:sz w:val="20"/>
              </w:rPr>
              <w:t>NCT00319553</w:t>
            </w:r>
          </w:p>
          <w:p w:rsidR="00634DD7" w:rsidRPr="0036647E" w:rsidRDefault="00634DD7" w:rsidP="00634DD7">
            <w:pPr>
              <w:rPr>
                <w:rFonts w:ascii="Arial Narrow" w:hAnsi="Arial Narrow"/>
                <w:sz w:val="20"/>
              </w:rPr>
            </w:pPr>
          </w:p>
        </w:tc>
        <w:tc>
          <w:tcPr>
            <w:tcW w:w="2751" w:type="pct"/>
          </w:tcPr>
          <w:p w:rsidR="00634DD7" w:rsidRPr="0036647E" w:rsidRDefault="00634DD7" w:rsidP="00634DD7">
            <w:pPr>
              <w:rPr>
                <w:rFonts w:ascii="Arial Narrow" w:hAnsi="Arial Narrow"/>
                <w:sz w:val="20"/>
              </w:rPr>
            </w:pPr>
            <w:r>
              <w:rPr>
                <w:rFonts w:ascii="Arial Narrow" w:hAnsi="Arial Narrow"/>
                <w:sz w:val="20"/>
              </w:rPr>
              <w:t>Descriptive, post-licensure, modified double-blind, multi-centre study evaluating safety and immunogenicity of Adacel and Boostrix vaccines among adolescents 11-18 years of age.</w:t>
            </w:r>
          </w:p>
        </w:tc>
        <w:tc>
          <w:tcPr>
            <w:tcW w:w="1271" w:type="pct"/>
          </w:tcPr>
          <w:p w:rsidR="00634DD7" w:rsidRPr="0036647E" w:rsidRDefault="00634DD7" w:rsidP="00634DD7">
            <w:pPr>
              <w:rPr>
                <w:rFonts w:ascii="Arial Narrow" w:hAnsi="Arial Narrow"/>
                <w:sz w:val="20"/>
              </w:rPr>
            </w:pPr>
            <w:r>
              <w:rPr>
                <w:rFonts w:ascii="Arial Narrow" w:hAnsi="Arial Narrow"/>
                <w:sz w:val="20"/>
              </w:rPr>
              <w:t>Clinical Study Report</w:t>
            </w:r>
          </w:p>
        </w:tc>
      </w:tr>
      <w:tr w:rsidR="00634DD7" w:rsidRPr="0036647E" w:rsidTr="000B58E8">
        <w:tc>
          <w:tcPr>
            <w:tcW w:w="978" w:type="pct"/>
          </w:tcPr>
          <w:p w:rsidR="00634DD7" w:rsidRPr="0036647E" w:rsidRDefault="00634DD7" w:rsidP="00107822">
            <w:pPr>
              <w:rPr>
                <w:rFonts w:ascii="Arial Narrow" w:hAnsi="Arial Narrow"/>
                <w:sz w:val="20"/>
              </w:rPr>
            </w:pPr>
            <w:r>
              <w:rPr>
                <w:rFonts w:ascii="Arial Narrow" w:hAnsi="Arial Narrow"/>
                <w:sz w:val="20"/>
              </w:rPr>
              <w:t>Southern 2005</w:t>
            </w:r>
          </w:p>
        </w:tc>
        <w:tc>
          <w:tcPr>
            <w:tcW w:w="2751" w:type="pct"/>
          </w:tcPr>
          <w:p w:rsidR="00634DD7" w:rsidRPr="0036647E" w:rsidRDefault="00634DD7" w:rsidP="00634DD7">
            <w:pPr>
              <w:rPr>
                <w:rFonts w:ascii="Arial Narrow" w:hAnsi="Arial Narrow"/>
                <w:sz w:val="20"/>
              </w:rPr>
            </w:pPr>
            <w:r>
              <w:rPr>
                <w:rFonts w:ascii="Arial Narrow" w:hAnsi="Arial Narrow"/>
                <w:sz w:val="20"/>
              </w:rPr>
              <w:t>Immunogenicity and reactogenicity of combined acellular pertussis/tetanus/low dose diphtheria vaccines given as a booster to UK teenagers.</w:t>
            </w:r>
          </w:p>
        </w:tc>
        <w:tc>
          <w:tcPr>
            <w:tcW w:w="1271" w:type="pct"/>
          </w:tcPr>
          <w:p w:rsidR="00634DD7" w:rsidRPr="0036647E" w:rsidRDefault="00634DD7" w:rsidP="00634DD7">
            <w:pPr>
              <w:rPr>
                <w:rFonts w:ascii="Arial Narrow" w:hAnsi="Arial Narrow"/>
                <w:sz w:val="20"/>
              </w:rPr>
            </w:pPr>
            <w:r>
              <w:rPr>
                <w:rFonts w:ascii="Arial Narrow" w:hAnsi="Arial Narrow"/>
                <w:sz w:val="20"/>
              </w:rPr>
              <w:t>Vaccine 2005, 23: 3829-3835</w:t>
            </w:r>
          </w:p>
        </w:tc>
      </w:tr>
      <w:tr w:rsidR="008B332E" w:rsidRPr="0036647E" w:rsidTr="000B58E8">
        <w:tc>
          <w:tcPr>
            <w:tcW w:w="5000" w:type="pct"/>
            <w:gridSpan w:val="3"/>
          </w:tcPr>
          <w:p w:rsidR="008B332E" w:rsidRPr="00BD2B04" w:rsidRDefault="008B332E" w:rsidP="00BF2EAF">
            <w:pPr>
              <w:rPr>
                <w:rFonts w:ascii="Arial Narrow" w:hAnsi="Arial Narrow"/>
                <w:b/>
                <w:sz w:val="20"/>
              </w:rPr>
            </w:pPr>
            <w:r w:rsidRPr="00BD2B04">
              <w:rPr>
                <w:rFonts w:ascii="Arial Narrow" w:hAnsi="Arial Narrow"/>
                <w:b/>
                <w:sz w:val="20"/>
              </w:rPr>
              <w:t xml:space="preserve">Section C: </w:t>
            </w:r>
            <w:r w:rsidR="00BF2EAF">
              <w:rPr>
                <w:rFonts w:ascii="Arial Narrow" w:hAnsi="Arial Narrow"/>
                <w:b/>
                <w:sz w:val="20"/>
              </w:rPr>
              <w:t>Key o</w:t>
            </w:r>
            <w:r w:rsidRPr="00BD2B04">
              <w:rPr>
                <w:rFonts w:ascii="Arial Narrow" w:hAnsi="Arial Narrow"/>
                <w:b/>
                <w:sz w:val="20"/>
              </w:rPr>
              <w:t>bservational Study – Vaccine effectiveness, efficacy and safety</w:t>
            </w:r>
          </w:p>
        </w:tc>
      </w:tr>
      <w:tr w:rsidR="00BC2778" w:rsidRPr="0036647E" w:rsidTr="000B58E8">
        <w:tc>
          <w:tcPr>
            <w:tcW w:w="978" w:type="pct"/>
          </w:tcPr>
          <w:p w:rsidR="00BC2778" w:rsidRDefault="00BC2778" w:rsidP="00BC2778">
            <w:pPr>
              <w:rPr>
                <w:rFonts w:ascii="Arial Narrow" w:hAnsi="Arial Narrow"/>
                <w:sz w:val="20"/>
              </w:rPr>
            </w:pPr>
            <w:r w:rsidRPr="004B743D">
              <w:rPr>
                <w:rFonts w:ascii="Arial Narrow" w:hAnsi="Arial Narrow" w:cs="Times New Roman"/>
                <w:sz w:val="20"/>
              </w:rPr>
              <w:t xml:space="preserve">Amirthalingam 2016 </w:t>
            </w:r>
          </w:p>
        </w:tc>
        <w:tc>
          <w:tcPr>
            <w:tcW w:w="2751" w:type="pct"/>
          </w:tcPr>
          <w:p w:rsidR="00BC2778" w:rsidRPr="00BC2778" w:rsidRDefault="00BC2778" w:rsidP="00BC2778">
            <w:pPr>
              <w:rPr>
                <w:rFonts w:ascii="Arial Narrow" w:hAnsi="Arial Narrow"/>
                <w:sz w:val="20"/>
              </w:rPr>
            </w:pPr>
            <w:r w:rsidRPr="00BC2778">
              <w:rPr>
                <w:rFonts w:ascii="Arial Narrow" w:hAnsi="Arial Narrow"/>
                <w:bCs/>
                <w:sz w:val="20"/>
              </w:rPr>
              <w:t>Sustained effectiveness of the maternal pertussis immunisation programme in England three years following introduction</w:t>
            </w:r>
          </w:p>
        </w:tc>
        <w:tc>
          <w:tcPr>
            <w:tcW w:w="1271" w:type="pct"/>
          </w:tcPr>
          <w:p w:rsidR="00BC2778" w:rsidRDefault="00162213" w:rsidP="009C7F4F">
            <w:pPr>
              <w:rPr>
                <w:rFonts w:ascii="Arial Narrow" w:hAnsi="Arial Narrow"/>
                <w:sz w:val="20"/>
              </w:rPr>
            </w:pPr>
            <w:r w:rsidRPr="00BF2EAF">
              <w:rPr>
                <w:rFonts w:ascii="Arial Narrow" w:hAnsi="Arial Narrow"/>
                <w:sz w:val="18"/>
              </w:rPr>
              <w:t>Clinical Infectious Diseases 2016, 63 (Suppl 4)</w:t>
            </w:r>
            <w:r>
              <w:rPr>
                <w:rFonts w:ascii="Arial Narrow" w:hAnsi="Arial Narrow"/>
                <w:sz w:val="18"/>
              </w:rPr>
              <w:t xml:space="preserve">: </w:t>
            </w:r>
            <w:r w:rsidRPr="00162213">
              <w:rPr>
                <w:rFonts w:ascii="Arial Narrow" w:hAnsi="Arial Narrow"/>
                <w:sz w:val="18"/>
              </w:rPr>
              <w:t>S236-S243</w:t>
            </w:r>
          </w:p>
        </w:tc>
      </w:tr>
    </w:tbl>
    <w:p w:rsidR="00634DD7" w:rsidRPr="0036647E" w:rsidRDefault="00634DD7" w:rsidP="006D5170">
      <w:pPr>
        <w:ind w:left="709"/>
        <w:rPr>
          <w:rFonts w:ascii="Arial Narrow" w:hAnsi="Arial Narrow"/>
          <w:sz w:val="18"/>
        </w:rPr>
      </w:pPr>
      <w:r w:rsidRPr="0036647E">
        <w:rPr>
          <w:rFonts w:ascii="Arial Narrow" w:hAnsi="Arial Narrow"/>
          <w:sz w:val="18"/>
        </w:rPr>
        <w:t xml:space="preserve">Source: </w:t>
      </w:r>
      <w:r>
        <w:rPr>
          <w:rFonts w:ascii="Arial Narrow" w:hAnsi="Arial Narrow"/>
          <w:sz w:val="18"/>
        </w:rPr>
        <w:t>Table B.2.1, p36</w:t>
      </w:r>
      <w:r w:rsidRPr="0036647E">
        <w:rPr>
          <w:rFonts w:ascii="Arial Narrow" w:hAnsi="Arial Narrow"/>
          <w:sz w:val="18"/>
        </w:rPr>
        <w:t xml:space="preserve"> of the submission</w:t>
      </w:r>
      <w:r w:rsidR="006D5170">
        <w:rPr>
          <w:rFonts w:ascii="Arial Narrow" w:hAnsi="Arial Narrow"/>
          <w:sz w:val="18"/>
        </w:rPr>
        <w:t xml:space="preserve">. </w:t>
      </w:r>
    </w:p>
    <w:p w:rsidR="00634DD7" w:rsidRPr="008F120A" w:rsidRDefault="00634DD7" w:rsidP="00634DD7">
      <w:pPr>
        <w:widowControl/>
        <w:rPr>
          <w:szCs w:val="22"/>
        </w:rPr>
      </w:pPr>
    </w:p>
    <w:p w:rsidR="00634DD7" w:rsidRDefault="00634DD7" w:rsidP="0074368D">
      <w:pPr>
        <w:pStyle w:val="ListParagraph"/>
        <w:widowControl/>
        <w:numPr>
          <w:ilvl w:val="1"/>
          <w:numId w:val="1"/>
        </w:numPr>
        <w:rPr>
          <w:szCs w:val="22"/>
        </w:rPr>
      </w:pPr>
      <w:r w:rsidRPr="00E64EC4">
        <w:rPr>
          <w:szCs w:val="22"/>
        </w:rPr>
        <w:t xml:space="preserve">The key features of the direct </w:t>
      </w:r>
      <w:r w:rsidR="000D6907">
        <w:rPr>
          <w:szCs w:val="22"/>
        </w:rPr>
        <w:t>RCTs</w:t>
      </w:r>
      <w:r w:rsidRPr="00E64EC4">
        <w:rPr>
          <w:szCs w:val="22"/>
        </w:rPr>
        <w:t xml:space="preserve"> </w:t>
      </w:r>
      <w:r w:rsidR="000C4228">
        <w:rPr>
          <w:szCs w:val="22"/>
        </w:rPr>
        <w:t xml:space="preserve">and the key observational study </w:t>
      </w:r>
      <w:r w:rsidRPr="00E64EC4">
        <w:rPr>
          <w:szCs w:val="22"/>
        </w:rPr>
        <w:t xml:space="preserve">on vaccine efficacy are </w:t>
      </w:r>
      <w:r>
        <w:rPr>
          <w:szCs w:val="22"/>
        </w:rPr>
        <w:t>summarised in the table below.</w:t>
      </w:r>
    </w:p>
    <w:p w:rsidR="00634DD7" w:rsidRPr="007E6F74" w:rsidRDefault="00634DD7" w:rsidP="00634DD7">
      <w:pPr>
        <w:pStyle w:val="ListParagraph"/>
        <w:widowControl/>
        <w:rPr>
          <w:szCs w:val="22"/>
        </w:rPr>
      </w:pPr>
    </w:p>
    <w:p w:rsidR="00634DD7" w:rsidRPr="00E2771E" w:rsidRDefault="00634DD7" w:rsidP="00B37919">
      <w:pPr>
        <w:keepNext/>
        <w:widowControl/>
        <w:ind w:left="720"/>
        <w:rPr>
          <w:rStyle w:val="CommentReference"/>
        </w:rPr>
      </w:pPr>
      <w:r w:rsidRPr="00E2771E">
        <w:rPr>
          <w:rStyle w:val="CommentReference"/>
        </w:rPr>
        <w:t>T</w:t>
      </w:r>
      <w:r>
        <w:rPr>
          <w:rStyle w:val="CommentReference"/>
        </w:rPr>
        <w:t xml:space="preserve">able </w:t>
      </w:r>
      <w:r w:rsidR="007A650F">
        <w:rPr>
          <w:rStyle w:val="CommentReference"/>
        </w:rPr>
        <w:t>4</w:t>
      </w:r>
      <w:r w:rsidRPr="00E2771E">
        <w:rPr>
          <w:rStyle w:val="CommentReference"/>
        </w:rPr>
        <w:t>: Key features of the included evidence</w:t>
      </w:r>
    </w:p>
    <w:tbl>
      <w:tblPr>
        <w:tblW w:w="4622" w:type="pct"/>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0"/>
        <w:gridCol w:w="2127"/>
        <w:gridCol w:w="2128"/>
        <w:gridCol w:w="568"/>
        <w:gridCol w:w="1842"/>
        <w:gridCol w:w="991"/>
      </w:tblGrid>
      <w:tr w:rsidR="00634DD7" w:rsidRPr="00E2771E" w:rsidTr="000B58E8">
        <w:tc>
          <w:tcPr>
            <w:tcW w:w="441" w:type="pct"/>
            <w:shd w:val="clear" w:color="auto" w:fill="auto"/>
            <w:vAlign w:val="center"/>
          </w:tcPr>
          <w:p w:rsidR="00634DD7" w:rsidRPr="00E2771E" w:rsidRDefault="00634DD7" w:rsidP="00465AC9">
            <w:pPr>
              <w:keepNext/>
              <w:widowControl/>
              <w:jc w:val="left"/>
              <w:rPr>
                <w:rFonts w:ascii="Arial Narrow" w:hAnsi="Arial Narrow"/>
                <w:b/>
                <w:sz w:val="20"/>
                <w:lang w:val="en-US"/>
              </w:rPr>
            </w:pPr>
            <w:r w:rsidRPr="00E2771E">
              <w:rPr>
                <w:rFonts w:ascii="Arial Narrow" w:hAnsi="Arial Narrow"/>
                <w:b/>
                <w:sz w:val="20"/>
                <w:lang w:val="en-US"/>
              </w:rPr>
              <w:t>Trial</w:t>
            </w:r>
          </w:p>
        </w:tc>
        <w:tc>
          <w:tcPr>
            <w:tcW w:w="1267" w:type="pct"/>
            <w:shd w:val="clear" w:color="auto" w:fill="auto"/>
            <w:vAlign w:val="center"/>
          </w:tcPr>
          <w:p w:rsidR="00634DD7" w:rsidRPr="00E2771E" w:rsidRDefault="00634DD7" w:rsidP="00465AC9">
            <w:pPr>
              <w:keepNext/>
              <w:widowControl/>
              <w:jc w:val="center"/>
              <w:rPr>
                <w:rFonts w:ascii="Arial Narrow" w:hAnsi="Arial Narrow"/>
                <w:b/>
                <w:sz w:val="20"/>
                <w:lang w:val="en-US"/>
              </w:rPr>
            </w:pPr>
            <w:r w:rsidRPr="00E2771E">
              <w:rPr>
                <w:rFonts w:ascii="Arial Narrow" w:hAnsi="Arial Narrow"/>
                <w:b/>
                <w:sz w:val="20"/>
                <w:lang w:val="en-US"/>
              </w:rPr>
              <w:t>N</w:t>
            </w:r>
          </w:p>
        </w:tc>
        <w:tc>
          <w:tcPr>
            <w:tcW w:w="1267" w:type="pct"/>
            <w:shd w:val="clear" w:color="auto" w:fill="auto"/>
            <w:vAlign w:val="center"/>
          </w:tcPr>
          <w:p w:rsidR="00634DD7" w:rsidRPr="00E2771E" w:rsidRDefault="00634DD7" w:rsidP="00465AC9">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338" w:type="pct"/>
            <w:shd w:val="clear" w:color="auto" w:fill="auto"/>
            <w:vAlign w:val="center"/>
          </w:tcPr>
          <w:p w:rsidR="00634DD7" w:rsidRPr="00E2771E" w:rsidRDefault="00634DD7" w:rsidP="00465AC9">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1097" w:type="pct"/>
            <w:shd w:val="clear" w:color="auto" w:fill="auto"/>
            <w:vAlign w:val="center"/>
          </w:tcPr>
          <w:p w:rsidR="00634DD7" w:rsidRPr="00E2771E" w:rsidRDefault="00634DD7" w:rsidP="00465AC9">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591" w:type="pct"/>
            <w:shd w:val="clear" w:color="auto" w:fill="auto"/>
            <w:vAlign w:val="center"/>
          </w:tcPr>
          <w:p w:rsidR="00634DD7" w:rsidRPr="00E2771E" w:rsidRDefault="00634DD7" w:rsidP="00465AC9">
            <w:pPr>
              <w:keepNext/>
              <w:widowControl/>
              <w:jc w:val="center"/>
              <w:rPr>
                <w:rFonts w:ascii="Arial Narrow" w:hAnsi="Arial Narrow"/>
                <w:b/>
                <w:sz w:val="20"/>
                <w:lang w:val="en-US"/>
              </w:rPr>
            </w:pPr>
            <w:r w:rsidRPr="00E2771E">
              <w:rPr>
                <w:rFonts w:ascii="Arial Narrow" w:hAnsi="Arial Narrow"/>
                <w:b/>
                <w:sz w:val="20"/>
                <w:lang w:val="en-US"/>
              </w:rPr>
              <w:t>Outcome(s)</w:t>
            </w:r>
          </w:p>
        </w:tc>
      </w:tr>
      <w:tr w:rsidR="000C4228" w:rsidRPr="00E2771E" w:rsidTr="000B58E8">
        <w:tc>
          <w:tcPr>
            <w:tcW w:w="5000" w:type="pct"/>
            <w:gridSpan w:val="6"/>
            <w:shd w:val="clear" w:color="auto" w:fill="auto"/>
            <w:vAlign w:val="center"/>
          </w:tcPr>
          <w:p w:rsidR="000C4228" w:rsidRPr="00996201" w:rsidRDefault="000C4228" w:rsidP="00465AC9">
            <w:pPr>
              <w:keepNext/>
              <w:widowControl/>
              <w:jc w:val="left"/>
              <w:rPr>
                <w:rFonts w:ascii="Arial Narrow" w:hAnsi="Arial Narrow"/>
                <w:i/>
                <w:sz w:val="20"/>
                <w:lang w:val="en-US"/>
              </w:rPr>
            </w:pPr>
            <w:r>
              <w:rPr>
                <w:rFonts w:ascii="Arial Narrow" w:hAnsi="Arial Narrow"/>
                <w:b/>
                <w:sz w:val="20"/>
              </w:rPr>
              <w:t xml:space="preserve">Section B: </w:t>
            </w:r>
            <w:r w:rsidRPr="0036647E">
              <w:rPr>
                <w:rFonts w:ascii="Arial Narrow" w:hAnsi="Arial Narrow"/>
                <w:b/>
                <w:sz w:val="20"/>
              </w:rPr>
              <w:t>Direct randomised trials</w:t>
            </w:r>
            <w:r>
              <w:rPr>
                <w:rFonts w:ascii="Arial Narrow" w:hAnsi="Arial Narrow"/>
                <w:b/>
                <w:sz w:val="20"/>
              </w:rPr>
              <w:t xml:space="preserve"> – Vaccine efficacy and safety</w:t>
            </w:r>
          </w:p>
        </w:tc>
      </w:tr>
      <w:tr w:rsidR="00634DD7" w:rsidRPr="00E2771E" w:rsidTr="000B58E8">
        <w:tc>
          <w:tcPr>
            <w:tcW w:w="5000" w:type="pct"/>
            <w:gridSpan w:val="6"/>
            <w:shd w:val="clear" w:color="auto" w:fill="auto"/>
            <w:vAlign w:val="center"/>
          </w:tcPr>
          <w:p w:rsidR="00634DD7" w:rsidRPr="00996201" w:rsidRDefault="00634DD7" w:rsidP="00465AC9">
            <w:pPr>
              <w:keepNext/>
              <w:widowControl/>
              <w:jc w:val="left"/>
              <w:rPr>
                <w:rFonts w:ascii="Arial Narrow" w:hAnsi="Arial Narrow"/>
                <w:i/>
                <w:sz w:val="20"/>
                <w:lang w:val="en-US"/>
              </w:rPr>
            </w:pPr>
            <w:r w:rsidRPr="00996201">
              <w:rPr>
                <w:rFonts w:ascii="Arial Narrow" w:hAnsi="Arial Narrow"/>
                <w:i/>
                <w:sz w:val="20"/>
                <w:lang w:val="en-US"/>
              </w:rPr>
              <w:t>Adacel versus Boostrix</w:t>
            </w:r>
          </w:p>
        </w:tc>
      </w:tr>
      <w:tr w:rsidR="00634DD7" w:rsidRPr="00E2771E" w:rsidTr="000B58E8">
        <w:tc>
          <w:tcPr>
            <w:tcW w:w="441" w:type="pct"/>
            <w:shd w:val="clear" w:color="auto" w:fill="auto"/>
            <w:vAlign w:val="center"/>
          </w:tcPr>
          <w:p w:rsidR="00634DD7" w:rsidRPr="00E2771E" w:rsidRDefault="00634DD7" w:rsidP="00465AC9">
            <w:pPr>
              <w:keepNext/>
              <w:widowControl/>
              <w:jc w:val="left"/>
              <w:rPr>
                <w:rFonts w:ascii="Arial Narrow" w:hAnsi="Arial Narrow"/>
                <w:sz w:val="20"/>
                <w:lang w:val="en-US"/>
              </w:rPr>
            </w:pPr>
            <w:r>
              <w:rPr>
                <w:rFonts w:ascii="Arial Narrow" w:hAnsi="Arial Narrow"/>
                <w:sz w:val="20"/>
                <w:lang w:val="en-US"/>
              </w:rPr>
              <w:t>Blatter 2009</w:t>
            </w:r>
          </w:p>
        </w:tc>
        <w:tc>
          <w:tcPr>
            <w:tcW w:w="1267"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2,337</w:t>
            </w:r>
          </w:p>
          <w:p w:rsidR="00634DD7" w:rsidRDefault="00634DD7" w:rsidP="00465AC9">
            <w:pPr>
              <w:keepNext/>
              <w:widowControl/>
              <w:jc w:val="center"/>
              <w:rPr>
                <w:rFonts w:ascii="Arial Narrow" w:hAnsi="Arial Narrow"/>
                <w:sz w:val="20"/>
                <w:lang w:val="en-US"/>
              </w:rPr>
            </w:pPr>
            <w:r>
              <w:rPr>
                <w:rFonts w:ascii="Arial Narrow" w:hAnsi="Arial Narrow"/>
                <w:sz w:val="20"/>
                <w:lang w:val="en-US"/>
              </w:rPr>
              <w:t>Adacel (n=762)</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Boostrix (n=1522)</w:t>
            </w:r>
          </w:p>
        </w:tc>
        <w:tc>
          <w:tcPr>
            <w:tcW w:w="1267" w:type="pct"/>
            <w:shd w:val="clear" w:color="auto" w:fill="auto"/>
            <w:vAlign w:val="center"/>
          </w:tcPr>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R, SB(O)</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 xml:space="preserve">4 weeks </w:t>
            </w:r>
            <w:r w:rsidRPr="0028299C">
              <w:rPr>
                <w:rFonts w:ascii="Arial Narrow" w:hAnsi="Arial Narrow"/>
                <w:sz w:val="20"/>
              </w:rPr>
              <w:t>+ optional 1,3,5 and 10 year follow-up extension</w:t>
            </w:r>
          </w:p>
        </w:tc>
        <w:tc>
          <w:tcPr>
            <w:tcW w:w="338" w:type="pct"/>
            <w:shd w:val="clear" w:color="auto" w:fill="auto"/>
            <w:vAlign w:val="center"/>
          </w:tcPr>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 xml:space="preserve">High </w:t>
            </w:r>
          </w:p>
        </w:tc>
        <w:tc>
          <w:tcPr>
            <w:tcW w:w="1097"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Adults (aged 19 – 64 years)</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USA</w:t>
            </w:r>
          </w:p>
        </w:tc>
        <w:tc>
          <w:tcPr>
            <w:tcW w:w="591"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Immunogenicity</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Safety</w:t>
            </w:r>
          </w:p>
        </w:tc>
      </w:tr>
      <w:tr w:rsidR="00634DD7" w:rsidRPr="00E2771E" w:rsidTr="000B58E8">
        <w:tc>
          <w:tcPr>
            <w:tcW w:w="5000" w:type="pct"/>
            <w:gridSpan w:val="6"/>
            <w:shd w:val="clear" w:color="auto" w:fill="auto"/>
            <w:vAlign w:val="center"/>
          </w:tcPr>
          <w:p w:rsidR="00634DD7" w:rsidRPr="00996201" w:rsidRDefault="00634DD7" w:rsidP="00465AC9">
            <w:pPr>
              <w:keepNext/>
              <w:widowControl/>
              <w:jc w:val="left"/>
              <w:rPr>
                <w:rFonts w:ascii="Arial Narrow" w:hAnsi="Arial Narrow"/>
                <w:i/>
                <w:sz w:val="20"/>
                <w:lang w:val="en-US"/>
              </w:rPr>
            </w:pPr>
            <w:r w:rsidRPr="00996201">
              <w:rPr>
                <w:rFonts w:ascii="Arial Narrow" w:hAnsi="Arial Narrow"/>
                <w:i/>
                <w:sz w:val="20"/>
                <w:lang w:val="en-US"/>
              </w:rPr>
              <w:t>Adacel versus Boostrix versus Repevax</w:t>
            </w:r>
            <w:r w:rsidR="00F23A5E">
              <w:rPr>
                <w:rFonts w:ascii="Arial Narrow" w:hAnsi="Arial Narrow"/>
                <w:i/>
                <w:sz w:val="20"/>
                <w:lang w:val="en-US"/>
              </w:rPr>
              <w:t xml:space="preserve"> </w:t>
            </w:r>
            <w:r w:rsidR="000D6907">
              <w:rPr>
                <w:rFonts w:ascii="Arial Narrow" w:hAnsi="Arial Narrow"/>
                <w:i/>
                <w:sz w:val="20"/>
                <w:lang w:val="en-US"/>
              </w:rPr>
              <w:t>(Adacel+</w:t>
            </w:r>
            <w:r w:rsidR="002B4043">
              <w:rPr>
                <w:rFonts w:ascii="Arial Narrow" w:hAnsi="Arial Narrow"/>
                <w:i/>
                <w:sz w:val="20"/>
                <w:lang w:val="en-US"/>
              </w:rPr>
              <w:t>Polio)</w:t>
            </w:r>
            <w:r w:rsidRPr="00996201">
              <w:rPr>
                <w:rFonts w:ascii="Arial Narrow" w:hAnsi="Arial Narrow"/>
                <w:i/>
                <w:sz w:val="20"/>
                <w:lang w:val="en-US"/>
              </w:rPr>
              <w:t xml:space="preserve"> versus Tetanus diphtheria (control)</w:t>
            </w:r>
          </w:p>
        </w:tc>
      </w:tr>
      <w:tr w:rsidR="00634DD7" w:rsidRPr="00E2771E" w:rsidTr="000B58E8">
        <w:tc>
          <w:tcPr>
            <w:tcW w:w="441" w:type="pct"/>
            <w:shd w:val="clear" w:color="auto" w:fill="auto"/>
            <w:vAlign w:val="center"/>
          </w:tcPr>
          <w:p w:rsidR="00634DD7" w:rsidRPr="00E2771E" w:rsidRDefault="00634DD7" w:rsidP="00465AC9">
            <w:pPr>
              <w:keepNext/>
              <w:widowControl/>
              <w:jc w:val="left"/>
              <w:rPr>
                <w:rFonts w:ascii="Arial Narrow" w:hAnsi="Arial Narrow"/>
                <w:sz w:val="20"/>
                <w:lang w:val="en-US"/>
              </w:rPr>
            </w:pPr>
            <w:r>
              <w:rPr>
                <w:rFonts w:ascii="Arial Narrow" w:hAnsi="Arial Narrow"/>
                <w:sz w:val="20"/>
                <w:lang w:val="en-US"/>
              </w:rPr>
              <w:t>Southern 2005</w:t>
            </w:r>
          </w:p>
        </w:tc>
        <w:tc>
          <w:tcPr>
            <w:tcW w:w="1267"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323</w:t>
            </w:r>
          </w:p>
          <w:p w:rsidR="00634DD7" w:rsidRDefault="00634DD7" w:rsidP="00465AC9">
            <w:pPr>
              <w:keepNext/>
              <w:widowControl/>
              <w:jc w:val="center"/>
              <w:rPr>
                <w:rFonts w:ascii="Arial Narrow" w:hAnsi="Arial Narrow"/>
                <w:sz w:val="20"/>
                <w:lang w:val="en-US"/>
              </w:rPr>
            </w:pPr>
            <w:r>
              <w:rPr>
                <w:rFonts w:ascii="Arial Narrow" w:hAnsi="Arial Narrow"/>
                <w:sz w:val="20"/>
                <w:lang w:val="en-US"/>
              </w:rPr>
              <w:t>Adacel (n=83)</w:t>
            </w:r>
          </w:p>
          <w:p w:rsidR="00634DD7" w:rsidRDefault="00634DD7" w:rsidP="00465AC9">
            <w:pPr>
              <w:keepNext/>
              <w:widowControl/>
              <w:jc w:val="center"/>
              <w:rPr>
                <w:rFonts w:ascii="Arial Narrow" w:hAnsi="Arial Narrow"/>
                <w:sz w:val="20"/>
                <w:lang w:val="en-US"/>
              </w:rPr>
            </w:pPr>
            <w:r>
              <w:rPr>
                <w:rFonts w:ascii="Arial Narrow" w:hAnsi="Arial Narrow"/>
                <w:sz w:val="20"/>
                <w:lang w:val="en-US"/>
              </w:rPr>
              <w:t>Boostrix (n=79)</w:t>
            </w:r>
          </w:p>
          <w:p w:rsidR="00634DD7" w:rsidRDefault="00634DD7" w:rsidP="00465AC9">
            <w:pPr>
              <w:keepNext/>
              <w:widowControl/>
              <w:jc w:val="center"/>
              <w:rPr>
                <w:rFonts w:ascii="Arial Narrow" w:hAnsi="Arial Narrow"/>
                <w:sz w:val="20"/>
                <w:lang w:val="en-US"/>
              </w:rPr>
            </w:pPr>
            <w:r>
              <w:rPr>
                <w:rFonts w:ascii="Arial Narrow" w:hAnsi="Arial Narrow"/>
                <w:sz w:val="20"/>
                <w:lang w:val="en-US"/>
              </w:rPr>
              <w:t>Repevax (Adacel</w:t>
            </w:r>
            <w:r w:rsidR="000D6907">
              <w:rPr>
                <w:rFonts w:ascii="Arial Narrow" w:hAnsi="Arial Narrow"/>
                <w:sz w:val="20"/>
                <w:lang w:val="en-US"/>
              </w:rPr>
              <w:t>+</w:t>
            </w:r>
            <w:r>
              <w:rPr>
                <w:rFonts w:ascii="Arial Narrow" w:hAnsi="Arial Narrow"/>
                <w:sz w:val="20"/>
                <w:lang w:val="en-US"/>
              </w:rPr>
              <w:t>Polio) (n=82)</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Tetanus diphtheria (Td) (n=79)</w:t>
            </w:r>
          </w:p>
        </w:tc>
        <w:tc>
          <w:tcPr>
            <w:tcW w:w="1267" w:type="pct"/>
            <w:shd w:val="clear" w:color="auto" w:fill="auto"/>
            <w:vAlign w:val="center"/>
          </w:tcPr>
          <w:p w:rsidR="00634DD7" w:rsidRPr="00E2771E" w:rsidRDefault="00634DD7" w:rsidP="00465AC9">
            <w:pPr>
              <w:keepNext/>
              <w:widowControl/>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 xml:space="preserve">SB (P), </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6 weeks</w:t>
            </w:r>
          </w:p>
        </w:tc>
        <w:tc>
          <w:tcPr>
            <w:tcW w:w="338" w:type="pct"/>
            <w:shd w:val="clear" w:color="auto" w:fill="auto"/>
            <w:vAlign w:val="center"/>
          </w:tcPr>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 xml:space="preserve">High </w:t>
            </w:r>
          </w:p>
        </w:tc>
        <w:tc>
          <w:tcPr>
            <w:tcW w:w="1097"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Adolescents</w:t>
            </w:r>
          </w:p>
          <w:p w:rsidR="00634DD7" w:rsidRDefault="00634DD7" w:rsidP="00465AC9">
            <w:pPr>
              <w:keepNext/>
              <w:widowControl/>
              <w:jc w:val="center"/>
              <w:rPr>
                <w:rFonts w:ascii="Arial Narrow" w:hAnsi="Arial Narrow"/>
                <w:sz w:val="20"/>
                <w:lang w:val="en-US"/>
              </w:rPr>
            </w:pPr>
            <w:r>
              <w:rPr>
                <w:rFonts w:ascii="Arial Narrow" w:hAnsi="Arial Narrow"/>
                <w:sz w:val="20"/>
                <w:lang w:val="en-US"/>
              </w:rPr>
              <w:t>(aged 13 – 17 years)</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UK</w:t>
            </w:r>
          </w:p>
        </w:tc>
        <w:tc>
          <w:tcPr>
            <w:tcW w:w="591"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Immunogenicity</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Safety</w:t>
            </w:r>
          </w:p>
        </w:tc>
      </w:tr>
      <w:tr w:rsidR="00634DD7" w:rsidRPr="00E2771E" w:rsidTr="000B58E8">
        <w:tc>
          <w:tcPr>
            <w:tcW w:w="5000" w:type="pct"/>
            <w:gridSpan w:val="6"/>
            <w:tcBorders>
              <w:bottom w:val="single" w:sz="4" w:space="0" w:color="auto"/>
            </w:tcBorders>
            <w:shd w:val="clear" w:color="auto" w:fill="auto"/>
            <w:vAlign w:val="center"/>
          </w:tcPr>
          <w:p w:rsidR="00634DD7" w:rsidRPr="00996201" w:rsidRDefault="00634DD7" w:rsidP="00465AC9">
            <w:pPr>
              <w:keepNext/>
              <w:widowControl/>
              <w:jc w:val="left"/>
              <w:rPr>
                <w:rFonts w:ascii="Arial Narrow" w:hAnsi="Arial Narrow"/>
                <w:i/>
                <w:sz w:val="20"/>
                <w:lang w:val="en-US"/>
              </w:rPr>
            </w:pPr>
            <w:r w:rsidRPr="00996201">
              <w:rPr>
                <w:rFonts w:ascii="Arial Narrow" w:hAnsi="Arial Narrow"/>
                <w:i/>
                <w:sz w:val="20"/>
                <w:lang w:val="en-US"/>
              </w:rPr>
              <w:t>Adacel versus Boostrix</w:t>
            </w:r>
          </w:p>
        </w:tc>
      </w:tr>
      <w:tr w:rsidR="00634DD7" w:rsidRPr="00E2771E" w:rsidTr="000B58E8">
        <w:tc>
          <w:tcPr>
            <w:tcW w:w="441" w:type="pct"/>
            <w:shd w:val="clear" w:color="auto" w:fill="auto"/>
            <w:vAlign w:val="center"/>
          </w:tcPr>
          <w:p w:rsidR="00634DD7" w:rsidRPr="00E2771E" w:rsidRDefault="00634DD7" w:rsidP="00465AC9">
            <w:pPr>
              <w:keepNext/>
              <w:widowControl/>
              <w:jc w:val="left"/>
              <w:rPr>
                <w:rFonts w:ascii="Arial Narrow" w:hAnsi="Arial Narrow"/>
                <w:sz w:val="20"/>
                <w:lang w:val="en-US"/>
              </w:rPr>
            </w:pPr>
            <w:r>
              <w:rPr>
                <w:rFonts w:ascii="Arial Narrow" w:hAnsi="Arial Narrow"/>
                <w:sz w:val="20"/>
                <w:lang w:val="en-US"/>
              </w:rPr>
              <w:t>Td516 2010</w:t>
            </w:r>
          </w:p>
        </w:tc>
        <w:tc>
          <w:tcPr>
            <w:tcW w:w="1267"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647</w:t>
            </w:r>
          </w:p>
          <w:p w:rsidR="00634DD7" w:rsidRDefault="00634DD7" w:rsidP="00465AC9">
            <w:pPr>
              <w:keepNext/>
              <w:widowControl/>
              <w:jc w:val="center"/>
              <w:rPr>
                <w:rFonts w:ascii="Arial Narrow" w:hAnsi="Arial Narrow"/>
                <w:sz w:val="20"/>
                <w:lang w:val="en-US"/>
              </w:rPr>
            </w:pPr>
            <w:r>
              <w:rPr>
                <w:rFonts w:ascii="Arial Narrow" w:hAnsi="Arial Narrow"/>
                <w:sz w:val="20"/>
                <w:lang w:val="en-US"/>
              </w:rPr>
              <w:t>Adacel (n=326)</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Boostrix (n=321)</w:t>
            </w:r>
          </w:p>
        </w:tc>
        <w:tc>
          <w:tcPr>
            <w:tcW w:w="1267" w:type="pct"/>
            <w:shd w:val="clear" w:color="auto" w:fill="auto"/>
            <w:vAlign w:val="center"/>
          </w:tcPr>
          <w:p w:rsidR="00634DD7" w:rsidRPr="00E2771E" w:rsidRDefault="00634DD7" w:rsidP="00465AC9">
            <w:pPr>
              <w:keepNext/>
              <w:widowControl/>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 xml:space="preserve">modified </w:t>
            </w:r>
            <w:r w:rsidRPr="00E2771E">
              <w:rPr>
                <w:rFonts w:ascii="Arial Narrow" w:hAnsi="Arial Narrow"/>
                <w:sz w:val="20"/>
                <w:lang w:val="en-US"/>
              </w:rPr>
              <w:t>DB</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4 weeks</w:t>
            </w:r>
          </w:p>
        </w:tc>
        <w:tc>
          <w:tcPr>
            <w:tcW w:w="338" w:type="pct"/>
            <w:shd w:val="clear" w:color="auto" w:fill="auto"/>
            <w:vAlign w:val="center"/>
          </w:tcPr>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 xml:space="preserve">Low </w:t>
            </w:r>
          </w:p>
        </w:tc>
        <w:tc>
          <w:tcPr>
            <w:tcW w:w="1097"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Adolescents</w:t>
            </w:r>
          </w:p>
          <w:p w:rsidR="00634DD7" w:rsidRDefault="00634DD7" w:rsidP="00465AC9">
            <w:pPr>
              <w:keepNext/>
              <w:widowControl/>
              <w:jc w:val="center"/>
              <w:rPr>
                <w:rFonts w:ascii="Arial Narrow" w:hAnsi="Arial Narrow"/>
                <w:sz w:val="20"/>
                <w:lang w:val="en-US"/>
              </w:rPr>
            </w:pPr>
            <w:r>
              <w:rPr>
                <w:rFonts w:ascii="Arial Narrow" w:hAnsi="Arial Narrow"/>
                <w:sz w:val="20"/>
                <w:lang w:val="en-US"/>
              </w:rPr>
              <w:t>(aged 11 – 18 years)</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USA</w:t>
            </w:r>
          </w:p>
        </w:tc>
        <w:tc>
          <w:tcPr>
            <w:tcW w:w="591" w:type="pct"/>
            <w:shd w:val="clear" w:color="auto" w:fill="auto"/>
            <w:vAlign w:val="center"/>
          </w:tcPr>
          <w:p w:rsidR="00634DD7" w:rsidRDefault="00634DD7" w:rsidP="00465AC9">
            <w:pPr>
              <w:keepNext/>
              <w:widowControl/>
              <w:jc w:val="center"/>
              <w:rPr>
                <w:rFonts w:ascii="Arial Narrow" w:hAnsi="Arial Narrow"/>
                <w:sz w:val="20"/>
                <w:lang w:val="en-US"/>
              </w:rPr>
            </w:pPr>
            <w:r>
              <w:rPr>
                <w:rFonts w:ascii="Arial Narrow" w:hAnsi="Arial Narrow"/>
                <w:sz w:val="20"/>
                <w:lang w:val="en-US"/>
              </w:rPr>
              <w:t>Immunogenicity</w:t>
            </w:r>
          </w:p>
          <w:p w:rsidR="00634DD7" w:rsidRPr="00E2771E" w:rsidRDefault="00634DD7" w:rsidP="00465AC9">
            <w:pPr>
              <w:keepNext/>
              <w:widowControl/>
              <w:jc w:val="center"/>
              <w:rPr>
                <w:rFonts w:ascii="Arial Narrow" w:hAnsi="Arial Narrow"/>
                <w:sz w:val="20"/>
                <w:lang w:val="en-US"/>
              </w:rPr>
            </w:pPr>
            <w:r>
              <w:rPr>
                <w:rFonts w:ascii="Arial Narrow" w:hAnsi="Arial Narrow"/>
                <w:sz w:val="20"/>
                <w:lang w:val="en-US"/>
              </w:rPr>
              <w:t>Safety</w:t>
            </w:r>
          </w:p>
        </w:tc>
      </w:tr>
      <w:tr w:rsidR="000C4228" w:rsidRPr="00E2771E" w:rsidTr="000B58E8">
        <w:tc>
          <w:tcPr>
            <w:tcW w:w="5000" w:type="pct"/>
            <w:gridSpan w:val="6"/>
            <w:shd w:val="clear" w:color="auto" w:fill="auto"/>
            <w:vAlign w:val="center"/>
          </w:tcPr>
          <w:p w:rsidR="000C4228" w:rsidRDefault="000C4228" w:rsidP="00465AC9">
            <w:pPr>
              <w:keepNext/>
              <w:widowControl/>
              <w:jc w:val="left"/>
              <w:rPr>
                <w:rFonts w:ascii="Arial Narrow" w:hAnsi="Arial Narrow"/>
                <w:sz w:val="20"/>
                <w:lang w:val="en-US"/>
              </w:rPr>
            </w:pPr>
            <w:r w:rsidRPr="00BD2B04">
              <w:rPr>
                <w:rFonts w:ascii="Arial Narrow" w:hAnsi="Arial Narrow"/>
                <w:b/>
                <w:sz w:val="20"/>
              </w:rPr>
              <w:t xml:space="preserve">Section C: </w:t>
            </w:r>
            <w:r>
              <w:rPr>
                <w:rFonts w:ascii="Arial Narrow" w:hAnsi="Arial Narrow"/>
                <w:b/>
                <w:sz w:val="20"/>
              </w:rPr>
              <w:t>Key o</w:t>
            </w:r>
            <w:r w:rsidRPr="00BD2B04">
              <w:rPr>
                <w:rFonts w:ascii="Arial Narrow" w:hAnsi="Arial Narrow"/>
                <w:b/>
                <w:sz w:val="20"/>
              </w:rPr>
              <w:t>bservational Study – Vaccine effectiveness, efficacy and safety</w:t>
            </w:r>
          </w:p>
        </w:tc>
      </w:tr>
      <w:tr w:rsidR="000C4228" w:rsidRPr="00E2771E" w:rsidTr="000B58E8">
        <w:tc>
          <w:tcPr>
            <w:tcW w:w="441" w:type="pct"/>
            <w:tcBorders>
              <w:bottom w:val="single" w:sz="4" w:space="0" w:color="auto"/>
            </w:tcBorders>
            <w:shd w:val="clear" w:color="auto" w:fill="auto"/>
            <w:vAlign w:val="center"/>
          </w:tcPr>
          <w:p w:rsidR="000C4228" w:rsidRDefault="000C4228" w:rsidP="00465AC9">
            <w:pPr>
              <w:keepNext/>
              <w:widowControl/>
              <w:jc w:val="left"/>
              <w:rPr>
                <w:rFonts w:ascii="Arial Narrow" w:hAnsi="Arial Narrow"/>
                <w:sz w:val="20"/>
                <w:lang w:val="en-US"/>
              </w:rPr>
            </w:pPr>
            <w:r w:rsidRPr="004B743D">
              <w:rPr>
                <w:rFonts w:ascii="Arial Narrow" w:hAnsi="Arial Narrow" w:cs="Times New Roman"/>
                <w:sz w:val="20"/>
              </w:rPr>
              <w:t>Amirthalingam 2016</w:t>
            </w:r>
          </w:p>
        </w:tc>
        <w:tc>
          <w:tcPr>
            <w:tcW w:w="1267" w:type="pct"/>
            <w:tcBorders>
              <w:bottom w:val="single" w:sz="4" w:space="0" w:color="auto"/>
            </w:tcBorders>
            <w:shd w:val="clear" w:color="auto" w:fill="auto"/>
            <w:vAlign w:val="center"/>
          </w:tcPr>
          <w:p w:rsidR="000C4228" w:rsidRDefault="000C4228" w:rsidP="00465AC9">
            <w:pPr>
              <w:keepNext/>
              <w:widowControl/>
              <w:jc w:val="center"/>
              <w:rPr>
                <w:rFonts w:ascii="Arial Narrow" w:hAnsi="Arial Narrow"/>
                <w:sz w:val="20"/>
              </w:rPr>
            </w:pPr>
            <w:r>
              <w:rPr>
                <w:rFonts w:ascii="Arial Narrow" w:hAnsi="Arial Narrow"/>
                <w:sz w:val="20"/>
              </w:rPr>
              <w:t>243</w:t>
            </w:r>
          </w:p>
          <w:p w:rsidR="000C4228" w:rsidRDefault="000C4228" w:rsidP="00465AC9">
            <w:pPr>
              <w:keepNext/>
              <w:widowControl/>
              <w:jc w:val="center"/>
              <w:rPr>
                <w:rFonts w:ascii="Arial Narrow" w:hAnsi="Arial Narrow"/>
                <w:i/>
                <w:sz w:val="20"/>
              </w:rPr>
            </w:pPr>
            <w:r w:rsidRPr="003F007E">
              <w:rPr>
                <w:rFonts w:ascii="Arial Narrow" w:hAnsi="Arial Narrow"/>
                <w:sz w:val="20"/>
              </w:rPr>
              <w:t>Repevax (Adacel+Polio)</w:t>
            </w:r>
            <w:r>
              <w:rPr>
                <w:rFonts w:ascii="Arial Narrow" w:hAnsi="Arial Narrow"/>
                <w:sz w:val="20"/>
              </w:rPr>
              <w:t xml:space="preserve"> (n=</w:t>
            </w:r>
            <w:r w:rsidRPr="003F007E">
              <w:rPr>
                <w:rFonts w:ascii="Arial Narrow" w:hAnsi="Arial Narrow"/>
                <w:i/>
                <w:sz w:val="20"/>
              </w:rPr>
              <w:t>172</w:t>
            </w:r>
            <w:r>
              <w:rPr>
                <w:rFonts w:ascii="Arial Narrow" w:hAnsi="Arial Narrow"/>
                <w:i/>
                <w:sz w:val="20"/>
              </w:rPr>
              <w:t>)</w:t>
            </w:r>
          </w:p>
          <w:p w:rsidR="000C4228" w:rsidRDefault="000C4228" w:rsidP="00465AC9">
            <w:pPr>
              <w:keepNext/>
              <w:widowControl/>
              <w:jc w:val="center"/>
              <w:rPr>
                <w:rFonts w:ascii="Arial Narrow" w:hAnsi="Arial Narrow"/>
                <w:sz w:val="20"/>
                <w:lang w:val="en-US"/>
              </w:rPr>
            </w:pPr>
            <w:r>
              <w:rPr>
                <w:rFonts w:ascii="Arial Narrow" w:hAnsi="Arial Narrow"/>
                <w:sz w:val="20"/>
              </w:rPr>
              <w:t>Boostrix-IPV (</w:t>
            </w:r>
            <w:r w:rsidRPr="003F007E">
              <w:rPr>
                <w:rFonts w:ascii="Arial Narrow" w:hAnsi="Arial Narrow"/>
                <w:sz w:val="20"/>
              </w:rPr>
              <w:t>Boostrix+Polio</w:t>
            </w:r>
            <w:r>
              <w:rPr>
                <w:rFonts w:ascii="Arial Narrow" w:hAnsi="Arial Narrow"/>
                <w:sz w:val="20"/>
              </w:rPr>
              <w:t>) (n=71)</w:t>
            </w:r>
          </w:p>
        </w:tc>
        <w:tc>
          <w:tcPr>
            <w:tcW w:w="1267" w:type="pct"/>
            <w:tcBorders>
              <w:bottom w:val="single" w:sz="4" w:space="0" w:color="auto"/>
            </w:tcBorders>
            <w:shd w:val="clear" w:color="auto" w:fill="auto"/>
            <w:vAlign w:val="center"/>
          </w:tcPr>
          <w:p w:rsidR="000C4228" w:rsidRDefault="000C4228" w:rsidP="00465AC9">
            <w:pPr>
              <w:keepNext/>
              <w:widowControl/>
              <w:jc w:val="center"/>
              <w:rPr>
                <w:rFonts w:ascii="Arial Narrow" w:hAnsi="Arial Narrow"/>
                <w:sz w:val="20"/>
                <w:lang w:val="en-US"/>
              </w:rPr>
            </w:pPr>
            <w:r>
              <w:rPr>
                <w:rFonts w:ascii="Arial Narrow" w:hAnsi="Arial Narrow"/>
                <w:sz w:val="20"/>
                <w:lang w:val="en-US"/>
              </w:rPr>
              <w:t>Observational,</w:t>
            </w:r>
          </w:p>
          <w:p w:rsidR="000C4228" w:rsidRPr="00E2771E" w:rsidRDefault="0086686E" w:rsidP="00465AC9">
            <w:pPr>
              <w:keepNext/>
              <w:widowControl/>
              <w:jc w:val="center"/>
              <w:rPr>
                <w:rFonts w:ascii="Arial Narrow" w:hAnsi="Arial Narrow"/>
                <w:sz w:val="20"/>
                <w:lang w:val="en-US"/>
              </w:rPr>
            </w:pPr>
            <w:r>
              <w:rPr>
                <w:rFonts w:ascii="Arial Narrow" w:hAnsi="Arial Narrow"/>
                <w:sz w:val="20"/>
                <w:lang w:val="en-US"/>
              </w:rPr>
              <w:t>3 years (1 October 2012 to 31 August 2015)</w:t>
            </w:r>
          </w:p>
        </w:tc>
        <w:tc>
          <w:tcPr>
            <w:tcW w:w="338" w:type="pct"/>
            <w:tcBorders>
              <w:bottom w:val="single" w:sz="4" w:space="0" w:color="auto"/>
            </w:tcBorders>
            <w:shd w:val="clear" w:color="auto" w:fill="auto"/>
            <w:vAlign w:val="center"/>
          </w:tcPr>
          <w:p w:rsidR="000C4228" w:rsidRDefault="000C4228" w:rsidP="00465AC9">
            <w:pPr>
              <w:keepNext/>
              <w:widowControl/>
              <w:jc w:val="center"/>
              <w:rPr>
                <w:rFonts w:ascii="Arial Narrow" w:hAnsi="Arial Narrow"/>
                <w:sz w:val="20"/>
                <w:lang w:val="en-US"/>
              </w:rPr>
            </w:pPr>
            <w:r>
              <w:rPr>
                <w:rFonts w:ascii="Arial Narrow" w:hAnsi="Arial Narrow"/>
                <w:sz w:val="20"/>
                <w:lang w:val="en-US"/>
              </w:rPr>
              <w:t>High</w:t>
            </w:r>
          </w:p>
        </w:tc>
        <w:tc>
          <w:tcPr>
            <w:tcW w:w="1097" w:type="pct"/>
            <w:tcBorders>
              <w:bottom w:val="single" w:sz="4" w:space="0" w:color="auto"/>
            </w:tcBorders>
            <w:shd w:val="clear" w:color="auto" w:fill="auto"/>
            <w:vAlign w:val="center"/>
          </w:tcPr>
          <w:p w:rsidR="000C4228" w:rsidRDefault="000C4228" w:rsidP="00465AC9">
            <w:pPr>
              <w:keepNext/>
              <w:widowControl/>
              <w:jc w:val="center"/>
              <w:rPr>
                <w:rFonts w:ascii="Arial Narrow" w:hAnsi="Arial Narrow"/>
                <w:sz w:val="20"/>
                <w:lang w:val="en-US"/>
              </w:rPr>
            </w:pPr>
            <w:r>
              <w:rPr>
                <w:rFonts w:ascii="Arial Narrow" w:hAnsi="Arial Narrow"/>
                <w:sz w:val="20"/>
                <w:lang w:val="en-US"/>
              </w:rPr>
              <w:t>Pregnant women</w:t>
            </w:r>
            <w:r w:rsidR="0086686E">
              <w:rPr>
                <w:rFonts w:ascii="Arial Narrow" w:hAnsi="Arial Narrow"/>
                <w:sz w:val="20"/>
                <w:lang w:val="en-US"/>
              </w:rPr>
              <w:t xml:space="preserve"> and infants (aged &lt; 2 months)</w:t>
            </w:r>
          </w:p>
          <w:p w:rsidR="000C4228" w:rsidRDefault="000C4228" w:rsidP="00465AC9">
            <w:pPr>
              <w:keepNext/>
              <w:widowControl/>
              <w:jc w:val="center"/>
              <w:rPr>
                <w:rFonts w:ascii="Arial Narrow" w:hAnsi="Arial Narrow"/>
                <w:sz w:val="20"/>
                <w:lang w:val="en-US"/>
              </w:rPr>
            </w:pPr>
            <w:r>
              <w:rPr>
                <w:rFonts w:ascii="Arial Narrow" w:hAnsi="Arial Narrow"/>
                <w:sz w:val="20"/>
                <w:lang w:val="en-US"/>
              </w:rPr>
              <w:t>UK</w:t>
            </w:r>
          </w:p>
        </w:tc>
        <w:tc>
          <w:tcPr>
            <w:tcW w:w="591" w:type="pct"/>
            <w:tcBorders>
              <w:bottom w:val="single" w:sz="4" w:space="0" w:color="auto"/>
            </w:tcBorders>
            <w:shd w:val="clear" w:color="auto" w:fill="auto"/>
            <w:vAlign w:val="center"/>
          </w:tcPr>
          <w:p w:rsidR="000C4228" w:rsidRDefault="000C4228" w:rsidP="00465AC9">
            <w:pPr>
              <w:keepNext/>
              <w:widowControl/>
              <w:jc w:val="center"/>
              <w:rPr>
                <w:rFonts w:ascii="Arial Narrow" w:hAnsi="Arial Narrow"/>
                <w:sz w:val="20"/>
                <w:lang w:val="en-US"/>
              </w:rPr>
            </w:pPr>
            <w:r>
              <w:rPr>
                <w:rFonts w:ascii="Arial Narrow" w:hAnsi="Arial Narrow"/>
                <w:sz w:val="20"/>
                <w:lang w:val="en-US"/>
              </w:rPr>
              <w:t>Pertussis cases</w:t>
            </w:r>
          </w:p>
        </w:tc>
      </w:tr>
    </w:tbl>
    <w:p w:rsidR="00634DD7" w:rsidRDefault="00634DD7" w:rsidP="00B37919">
      <w:pPr>
        <w:pStyle w:val="TableFooter"/>
        <w:ind w:left="720"/>
      </w:pPr>
      <w:r w:rsidRPr="00E64EC4">
        <w:t>Abbreviations: DB=double blind; SB (O) =single blind (observer (investigator and outcome assessor)); SB (P) =single blind (patient); R=randomised</w:t>
      </w:r>
      <w:r>
        <w:t xml:space="preserve">.  </w:t>
      </w:r>
      <w:r w:rsidRPr="0072416F">
        <w:t>Source: compiled during the evaluation</w:t>
      </w:r>
    </w:p>
    <w:p w:rsidR="000D6907" w:rsidRPr="00B5654A" w:rsidRDefault="000D6907" w:rsidP="004B743D">
      <w:pPr>
        <w:widowControl/>
      </w:pPr>
    </w:p>
    <w:p w:rsidR="000D6907" w:rsidRDefault="000D6907" w:rsidP="00E84911"/>
    <w:p w:rsidR="00634DD7" w:rsidRPr="002C2775" w:rsidRDefault="00634DD7" w:rsidP="00634DD7">
      <w:pPr>
        <w:pStyle w:val="Heading2"/>
        <w:keepNext/>
        <w:widowControl/>
        <w:rPr>
          <w:i/>
        </w:rPr>
      </w:pPr>
      <w:bookmarkStart w:id="10" w:name="_Toc471398081"/>
      <w:r w:rsidRPr="002C2775">
        <w:rPr>
          <w:i/>
        </w:rPr>
        <w:t>Comparative effectiveness</w:t>
      </w:r>
      <w:bookmarkEnd w:id="10"/>
    </w:p>
    <w:p w:rsidR="00634DD7" w:rsidRDefault="00634DD7" w:rsidP="0001054B"/>
    <w:p w:rsidR="004E0B42" w:rsidRPr="00B707B5" w:rsidRDefault="004E0B42" w:rsidP="0074368D">
      <w:pPr>
        <w:pStyle w:val="ListParagraph"/>
        <w:widowControl/>
        <w:numPr>
          <w:ilvl w:val="1"/>
          <w:numId w:val="1"/>
        </w:numPr>
        <w:rPr>
          <w:szCs w:val="22"/>
        </w:rPr>
      </w:pPr>
      <w:r w:rsidRPr="00B707B5">
        <w:rPr>
          <w:szCs w:val="22"/>
        </w:rPr>
        <w:t xml:space="preserve">Table </w:t>
      </w:r>
      <w:r w:rsidR="003D58C7" w:rsidRPr="00B707B5">
        <w:rPr>
          <w:szCs w:val="22"/>
        </w:rPr>
        <w:t>5</w:t>
      </w:r>
      <w:r w:rsidRPr="00B707B5">
        <w:rPr>
          <w:szCs w:val="22"/>
        </w:rPr>
        <w:t xml:space="preserve"> presents the </w:t>
      </w:r>
      <w:r w:rsidR="007C6CD3" w:rsidRPr="00B707B5">
        <w:rPr>
          <w:szCs w:val="22"/>
        </w:rPr>
        <w:t xml:space="preserve">vaccine </w:t>
      </w:r>
      <w:r w:rsidR="00FC7425" w:rsidRPr="00B707B5">
        <w:rPr>
          <w:szCs w:val="22"/>
        </w:rPr>
        <w:t>immunogenicity/</w:t>
      </w:r>
      <w:r w:rsidR="007C6CD3" w:rsidRPr="00B707B5">
        <w:rPr>
          <w:szCs w:val="22"/>
        </w:rPr>
        <w:t xml:space="preserve">efficacy </w:t>
      </w:r>
      <w:r w:rsidRPr="00B707B5">
        <w:rPr>
          <w:szCs w:val="22"/>
        </w:rPr>
        <w:t xml:space="preserve">results of </w:t>
      </w:r>
      <w:r w:rsidR="007C6CD3" w:rsidRPr="00B707B5">
        <w:rPr>
          <w:szCs w:val="22"/>
        </w:rPr>
        <w:t>Adacel versus Boostrix in the RCTs</w:t>
      </w:r>
      <w:r w:rsidRPr="00B707B5">
        <w:rPr>
          <w:szCs w:val="22"/>
        </w:rPr>
        <w:t xml:space="preserve"> </w:t>
      </w:r>
      <w:r w:rsidR="00FC7425" w:rsidRPr="00B707B5">
        <w:rPr>
          <w:szCs w:val="22"/>
        </w:rPr>
        <w:t xml:space="preserve">presented </w:t>
      </w:r>
      <w:r w:rsidRPr="00B707B5">
        <w:rPr>
          <w:szCs w:val="22"/>
        </w:rPr>
        <w:t xml:space="preserve">in </w:t>
      </w:r>
      <w:r w:rsidR="007C6CD3" w:rsidRPr="00B707B5">
        <w:rPr>
          <w:szCs w:val="22"/>
        </w:rPr>
        <w:t>Section B</w:t>
      </w:r>
      <w:r w:rsidR="00B707B5" w:rsidRPr="00B707B5">
        <w:rPr>
          <w:szCs w:val="22"/>
        </w:rPr>
        <w:t xml:space="preserve"> of the submission</w:t>
      </w:r>
      <w:r w:rsidRPr="00B707B5">
        <w:rPr>
          <w:szCs w:val="22"/>
        </w:rPr>
        <w:t xml:space="preserve">. Table </w:t>
      </w:r>
      <w:r w:rsidR="003D58C7" w:rsidRPr="00B707B5">
        <w:rPr>
          <w:szCs w:val="22"/>
        </w:rPr>
        <w:t>6</w:t>
      </w:r>
      <w:r w:rsidRPr="00B707B5">
        <w:rPr>
          <w:szCs w:val="22"/>
        </w:rPr>
        <w:t xml:space="preserve"> present</w:t>
      </w:r>
      <w:r w:rsidR="007C6CD3" w:rsidRPr="00B707B5">
        <w:rPr>
          <w:szCs w:val="22"/>
        </w:rPr>
        <w:t>s</w:t>
      </w:r>
      <w:r w:rsidRPr="00B707B5">
        <w:rPr>
          <w:szCs w:val="22"/>
        </w:rPr>
        <w:t xml:space="preserve"> the </w:t>
      </w:r>
      <w:r w:rsidR="00FC7425" w:rsidRPr="00B707B5">
        <w:rPr>
          <w:szCs w:val="22"/>
        </w:rPr>
        <w:t xml:space="preserve">vaccine effectiveness </w:t>
      </w:r>
      <w:r w:rsidRPr="00B707B5">
        <w:rPr>
          <w:szCs w:val="22"/>
        </w:rPr>
        <w:t xml:space="preserve">result of </w:t>
      </w:r>
      <w:r w:rsidR="00CE16AC" w:rsidRPr="00B707B5">
        <w:rPr>
          <w:szCs w:val="22"/>
        </w:rPr>
        <w:t>Repevax (Adacel+</w:t>
      </w:r>
      <w:r w:rsidR="00FC7425" w:rsidRPr="00B707B5">
        <w:rPr>
          <w:szCs w:val="22"/>
        </w:rPr>
        <w:t>Polio</w:t>
      </w:r>
      <w:r w:rsidR="00CE16AC" w:rsidRPr="00B707B5">
        <w:rPr>
          <w:szCs w:val="22"/>
        </w:rPr>
        <w:t>) and Boostrix-IPV (Boostrix+Polio)</w:t>
      </w:r>
      <w:r w:rsidR="00FC7425" w:rsidRPr="00B707B5">
        <w:rPr>
          <w:szCs w:val="22"/>
        </w:rPr>
        <w:t xml:space="preserve"> in pregnant women from </w:t>
      </w:r>
      <w:r w:rsidR="005337E8" w:rsidRPr="00B707B5">
        <w:rPr>
          <w:szCs w:val="22"/>
        </w:rPr>
        <w:t>the</w:t>
      </w:r>
      <w:r w:rsidR="00FC7425" w:rsidRPr="00B707B5">
        <w:rPr>
          <w:szCs w:val="22"/>
        </w:rPr>
        <w:t xml:space="preserve"> observational study presented in Section C</w:t>
      </w:r>
      <w:r w:rsidR="00B707B5" w:rsidRPr="00B707B5">
        <w:rPr>
          <w:szCs w:val="22"/>
        </w:rPr>
        <w:t xml:space="preserve"> of the submission</w:t>
      </w:r>
      <w:r w:rsidR="00CE16AC" w:rsidRPr="00B707B5">
        <w:rPr>
          <w:szCs w:val="22"/>
        </w:rPr>
        <w:t>.</w:t>
      </w:r>
    </w:p>
    <w:p w:rsidR="00760C60" w:rsidRDefault="00760C60" w:rsidP="00634DD7">
      <w:pPr>
        <w:pStyle w:val="PBACHeading1"/>
        <w:numPr>
          <w:ilvl w:val="0"/>
          <w:numId w:val="0"/>
        </w:numPr>
        <w:ind w:left="720" w:hanging="720"/>
        <w:sectPr w:rsidR="00760C60" w:rsidSect="00FB60D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pPr>
    </w:p>
    <w:p w:rsidR="00634DD7" w:rsidRDefault="00634DD7" w:rsidP="00634DD7">
      <w:pPr>
        <w:keepNext/>
        <w:widowControl/>
        <w:rPr>
          <w:rStyle w:val="CommentReference"/>
        </w:rPr>
      </w:pPr>
      <w:r w:rsidRPr="001F7361">
        <w:rPr>
          <w:rStyle w:val="CommentReference"/>
        </w:rPr>
        <w:t xml:space="preserve">Table </w:t>
      </w:r>
      <w:r w:rsidR="007A650F">
        <w:rPr>
          <w:rStyle w:val="CommentReference"/>
        </w:rPr>
        <w:t>5</w:t>
      </w:r>
      <w:r>
        <w:rPr>
          <w:rStyle w:val="CommentReference"/>
        </w:rPr>
        <w:t xml:space="preserve">: </w:t>
      </w:r>
      <w:r w:rsidRPr="001F7361">
        <w:rPr>
          <w:rStyle w:val="CommentReference"/>
        </w:rPr>
        <w:t xml:space="preserve">Results of </w:t>
      </w:r>
      <w:r>
        <w:rPr>
          <w:rStyle w:val="CommentReference"/>
        </w:rPr>
        <w:t>vaccine efficacy</w:t>
      </w:r>
      <w:r w:rsidRPr="001F7361">
        <w:rPr>
          <w:rStyle w:val="CommentReference"/>
        </w:rPr>
        <w:t xml:space="preserve"> across the direct randomised trials </w:t>
      </w:r>
    </w:p>
    <w:tbl>
      <w:tblPr>
        <w:tblStyle w:val="Summarybox1"/>
        <w:tblW w:w="5000" w:type="pct"/>
        <w:jc w:val="center"/>
        <w:tblCellMar>
          <w:left w:w="28" w:type="dxa"/>
          <w:right w:w="28" w:type="dxa"/>
        </w:tblCellMar>
        <w:tblLook w:val="04A0" w:firstRow="1" w:lastRow="0" w:firstColumn="1" w:lastColumn="0" w:noHBand="0" w:noVBand="1"/>
        <w:tblCaption w:val="Table 5: Results of vaccine efficacy across the direct randomised trials "/>
      </w:tblPr>
      <w:tblGrid>
        <w:gridCol w:w="1554"/>
        <w:gridCol w:w="786"/>
        <w:gridCol w:w="465"/>
        <w:gridCol w:w="1090"/>
        <w:gridCol w:w="1559"/>
        <w:gridCol w:w="465"/>
        <w:gridCol w:w="1090"/>
        <w:gridCol w:w="1402"/>
        <w:gridCol w:w="317"/>
        <w:gridCol w:w="1247"/>
        <w:gridCol w:w="1247"/>
        <w:gridCol w:w="468"/>
        <w:gridCol w:w="1090"/>
        <w:gridCol w:w="1236"/>
      </w:tblGrid>
      <w:tr w:rsidR="00816944" w:rsidRPr="00833C03" w:rsidTr="00E20358">
        <w:trPr>
          <w:cantSplit/>
          <w:trHeight w:val="20"/>
          <w:tblHeader/>
          <w:jc w:val="center"/>
        </w:trPr>
        <w:tc>
          <w:tcPr>
            <w:tcW w:w="554" w:type="pct"/>
            <w:vMerge w:val="restart"/>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Blatter 2009</w:t>
            </w:r>
          </w:p>
        </w:tc>
        <w:tc>
          <w:tcPr>
            <w:tcW w:w="280" w:type="pct"/>
            <w:vMerge w:val="restart"/>
            <w:tcBorders>
              <w:top w:val="single" w:sz="4" w:space="0" w:color="auto"/>
              <w:left w:val="single" w:sz="4" w:space="0" w:color="auto"/>
              <w:right w:val="single" w:sz="4" w:space="0" w:color="auto"/>
            </w:tcBorders>
          </w:tcPr>
          <w:p w:rsidR="00816944" w:rsidRPr="00833C03" w:rsidRDefault="00816944" w:rsidP="00F03B52">
            <w:pPr>
              <w:ind w:left="244"/>
              <w:jc w:val="center"/>
              <w:rPr>
                <w:rFonts w:ascii="Arial Narrow" w:hAnsi="Arial Narrow"/>
                <w:color w:val="000000"/>
                <w:sz w:val="20"/>
                <w:lang w:eastAsia="en-AU"/>
              </w:rPr>
            </w:pPr>
            <w:r w:rsidRPr="00833C03">
              <w:rPr>
                <w:rFonts w:ascii="Arial Narrow" w:hAnsi="Arial Narrow"/>
                <w:color w:val="000000"/>
                <w:sz w:val="20"/>
                <w:lang w:eastAsia="en-AU"/>
              </w:rPr>
              <w:t>Time point</w:t>
            </w:r>
          </w:p>
        </w:tc>
        <w:tc>
          <w:tcPr>
            <w:tcW w:w="1111" w:type="pct"/>
            <w:gridSpan w:val="3"/>
            <w:tcBorders>
              <w:top w:val="single" w:sz="4" w:space="0" w:color="auto"/>
              <w:left w:val="single" w:sz="4" w:space="0" w:color="auto"/>
              <w:bottom w:val="single" w:sz="4" w:space="0" w:color="auto"/>
              <w:right w:val="single" w:sz="4" w:space="0" w:color="auto"/>
            </w:tcBorders>
          </w:tcPr>
          <w:p w:rsidR="00816944" w:rsidRPr="00833C03" w:rsidRDefault="00816944" w:rsidP="00F03B52">
            <w:pPr>
              <w:ind w:left="244"/>
              <w:jc w:val="center"/>
              <w:rPr>
                <w:rFonts w:ascii="Arial Narrow" w:hAnsi="Arial Narrow"/>
                <w:color w:val="000000"/>
                <w:sz w:val="20"/>
                <w:lang w:eastAsia="en-AU"/>
              </w:rPr>
            </w:pPr>
            <w:r>
              <w:rPr>
                <w:rFonts w:ascii="Arial Narrow" w:hAnsi="Arial Narrow"/>
                <w:color w:val="000000"/>
                <w:sz w:val="20"/>
                <w:lang w:eastAsia="en-AU"/>
              </w:rPr>
              <w:t>Adacel (dTpa5v)</w:t>
            </w:r>
          </w:p>
        </w:tc>
        <w:tc>
          <w:tcPr>
            <w:tcW w:w="1055" w:type="pct"/>
            <w:gridSpan w:val="3"/>
            <w:tcBorders>
              <w:top w:val="single" w:sz="4" w:space="0" w:color="auto"/>
              <w:left w:val="single" w:sz="4" w:space="0" w:color="auto"/>
              <w:bottom w:val="single" w:sz="4" w:space="0" w:color="auto"/>
              <w:right w:val="single" w:sz="4" w:space="0" w:color="auto"/>
            </w:tcBorders>
          </w:tcPr>
          <w:p w:rsidR="00816944" w:rsidRPr="00833C03" w:rsidRDefault="00816944" w:rsidP="00F03B52">
            <w:pPr>
              <w:ind w:left="244"/>
              <w:jc w:val="center"/>
              <w:rPr>
                <w:rFonts w:ascii="Arial Narrow" w:hAnsi="Arial Narrow"/>
                <w:color w:val="000000"/>
                <w:sz w:val="20"/>
                <w:lang w:eastAsia="en-AU"/>
              </w:rPr>
            </w:pPr>
            <w:r w:rsidRPr="00833C03">
              <w:rPr>
                <w:rFonts w:ascii="Arial Narrow" w:hAnsi="Arial Narrow"/>
                <w:color w:val="000000"/>
                <w:sz w:val="20"/>
                <w:lang w:eastAsia="en-AU"/>
              </w:rPr>
              <w:t>Boostrix (dTpa 3v)</w:t>
            </w:r>
          </w:p>
        </w:tc>
        <w:tc>
          <w:tcPr>
            <w:tcW w:w="2000" w:type="pct"/>
            <w:gridSpan w:val="6"/>
            <w:vMerge w:val="restart"/>
            <w:tcBorders>
              <w:top w:val="single" w:sz="4" w:space="0" w:color="auto"/>
              <w:left w:val="single" w:sz="4" w:space="0" w:color="auto"/>
              <w:right w:val="single" w:sz="4" w:space="0" w:color="auto"/>
            </w:tcBorders>
          </w:tcPr>
          <w:p w:rsidR="00816944" w:rsidRPr="00833C03" w:rsidRDefault="00816944" w:rsidP="00F03B52">
            <w:pPr>
              <w:ind w:left="244"/>
              <w:jc w:val="center"/>
              <w:rPr>
                <w:rFonts w:ascii="Arial Narrow" w:hAnsi="Arial Narrow"/>
                <w:color w:val="000000"/>
                <w:sz w:val="20"/>
                <w:lang w:eastAsia="en-AU"/>
              </w:rPr>
            </w:pPr>
            <w:r w:rsidRPr="00A11477">
              <w:rPr>
                <w:rFonts w:ascii="Arial Narrow" w:hAnsi="Arial Narrow"/>
                <w:noProof/>
                <w:color w:val="000000"/>
                <w:sz w:val="20"/>
                <w:lang w:eastAsia="en-AU"/>
              </w:rPr>
              <mc:AlternateContent>
                <mc:Choice Requires="wps">
                  <w:drawing>
                    <wp:anchor distT="0" distB="0" distL="114300" distR="114300" simplePos="0" relativeHeight="251681792" behindDoc="0" locked="0" layoutInCell="1" allowOverlap="1" wp14:anchorId="4EA18546" wp14:editId="78DE87CF">
                      <wp:simplePos x="0" y="0"/>
                      <wp:positionH relativeFrom="column">
                        <wp:posOffset>-4445</wp:posOffset>
                      </wp:positionH>
                      <wp:positionV relativeFrom="paragraph">
                        <wp:posOffset>5080</wp:posOffset>
                      </wp:positionV>
                      <wp:extent cx="3223260" cy="2087880"/>
                      <wp:effectExtent l="0" t="0" r="15240" b="26670"/>
                      <wp:wrapNone/>
                      <wp:docPr id="22" name="Straight Connector 22" title="Table 5: Results of vaccine efficacy across the direct randomised trials "/>
                      <wp:cNvGraphicFramePr/>
                      <a:graphic xmlns:a="http://schemas.openxmlformats.org/drawingml/2006/main">
                        <a:graphicData uri="http://schemas.microsoft.com/office/word/2010/wordprocessingShape">
                          <wps:wsp>
                            <wps:cNvCnPr/>
                            <wps:spPr>
                              <a:xfrm flipH="1" flipV="1">
                                <a:off x="0" y="0"/>
                                <a:ext cx="3223260" cy="2087880"/>
                              </a:xfrm>
                              <a:prstGeom prst="line">
                                <a:avLst/>
                              </a:prstGeom>
                              <a:noFill/>
                              <a:ln w="6350" cap="flat" cmpd="sng" algn="ctr">
                                <a:solidFill>
                                  <a:sysClr val="window" lastClr="FFFFFF">
                                    <a:lumMod val="9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alt="Title: Table 5: Results of vaccine efficacy across the direct randomised trials "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pt" to="253.45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" strokecolor="#f2f2f2" strokeweight=".5pt">
                      <v:stroke joinstyle="miter"/>
                    </v:line>
                  </w:pict>
                </mc:Fallback>
              </mc:AlternateContent>
            </w:r>
            <w:r w:rsidRPr="00A11477">
              <w:rPr>
                <w:rFonts w:ascii="Arial Narrow" w:hAnsi="Arial Narrow"/>
                <w:noProof/>
                <w:color w:val="000000"/>
                <w:sz w:val="20"/>
                <w:lang w:eastAsia="en-AU"/>
              </w:rPr>
              <mc:AlternateContent>
                <mc:Choice Requires="wps">
                  <w:drawing>
                    <wp:anchor distT="0" distB="0" distL="114300" distR="114300" simplePos="0" relativeHeight="251680768" behindDoc="0" locked="0" layoutInCell="1" allowOverlap="1" wp14:anchorId="2180E51A" wp14:editId="0C0D064A">
                      <wp:simplePos x="0" y="0"/>
                      <wp:positionH relativeFrom="column">
                        <wp:posOffset>-9525</wp:posOffset>
                      </wp:positionH>
                      <wp:positionV relativeFrom="paragraph">
                        <wp:posOffset>17145</wp:posOffset>
                      </wp:positionV>
                      <wp:extent cx="3208020" cy="2095500"/>
                      <wp:effectExtent l="0" t="0" r="30480" b="19050"/>
                      <wp:wrapNone/>
                      <wp:docPr id="23" name="Straight Connector 23" title="Table 5: Results of vaccine efficacy across the direct randomised trials "/>
                      <wp:cNvGraphicFramePr/>
                      <a:graphic xmlns:a="http://schemas.openxmlformats.org/drawingml/2006/main">
                        <a:graphicData uri="http://schemas.microsoft.com/office/word/2010/wordprocessingShape">
                          <wps:wsp>
                            <wps:cNvCnPr/>
                            <wps:spPr>
                              <a:xfrm flipV="1">
                                <a:off x="0" y="0"/>
                                <a:ext cx="3208020" cy="2095500"/>
                              </a:xfrm>
                              <a:prstGeom prst="line">
                                <a:avLst/>
                              </a:prstGeom>
                              <a:noFill/>
                              <a:ln w="6350" cap="flat" cmpd="sng" algn="ctr">
                                <a:solidFill>
                                  <a:sysClr val="window" lastClr="FFFFFF">
                                    <a:lumMod val="95000"/>
                                  </a:sysClr>
                                </a:solidFill>
                                <a:prstDash val="solid"/>
                                <a:miter lim="800000"/>
                              </a:ln>
                              <a:effectLst/>
                            </wps:spPr>
                            <wps:bodyPr/>
                          </wps:wsp>
                        </a:graphicData>
                      </a:graphic>
                    </wp:anchor>
                  </w:drawing>
                </mc:Choice>
                <mc:Fallback>
                  <w:pict>
                    <v:line id="Straight Connector 23" o:spid="_x0000_s1026" alt="Title: Table 5: Results of vaccine efficacy across the direct randomised trials "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75pt,1.35pt" to="251.85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" strokecolor="#f2f2f2" strokeweight=".5pt">
                      <v:stroke joinstyle="miter"/>
                    </v:line>
                  </w:pict>
                </mc:Fallback>
              </mc:AlternateContent>
            </w:r>
          </w:p>
        </w:tc>
      </w:tr>
      <w:tr w:rsidR="00816944" w:rsidRPr="00833C03" w:rsidTr="00E20358">
        <w:trPr>
          <w:cantSplit/>
          <w:trHeight w:val="20"/>
          <w:tblHeader/>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n</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GMC/BR</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95% CI</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n</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GMC/BR</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95% CI</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E20358">
        <w:trPr>
          <w:cantSplit/>
          <w:trHeight w:val="20"/>
          <w:tblHeader/>
          <w:jc w:val="center"/>
        </w:trPr>
        <w:tc>
          <w:tcPr>
            <w:tcW w:w="3000" w:type="pct"/>
            <w:gridSpan w:val="8"/>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PT</w:t>
            </w:r>
          </w:p>
        </w:tc>
        <w:tc>
          <w:tcPr>
            <w:tcW w:w="2000" w:type="pct"/>
            <w:gridSpan w:val="6"/>
            <w:vMerge/>
            <w:tcBorders>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r>
      <w:tr w:rsidR="00816944" w:rsidRPr="00833C03" w:rsidTr="00E20358">
        <w:trPr>
          <w:cantSplit/>
          <w:trHeight w:val="64"/>
          <w:tblHeader/>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GMC (EU/mL)</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Pre</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722</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8.1</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7.5, 8.8</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1435</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7.3</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6.9, 7.7</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p>
        </w:tc>
      </w:tr>
      <w:tr w:rsidR="00816944" w:rsidRPr="00833C03" w:rsidTr="00E20358">
        <w:trPr>
          <w:cantSplit/>
          <w:trHeight w:val="64"/>
          <w:tblHeader/>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722</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32.2</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29.6, 35.1</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1431</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63.6</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60.1, 67.4</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p>
        </w:tc>
      </w:tr>
      <w:tr w:rsidR="00816944" w:rsidRPr="00833C03" w:rsidTr="00E20358">
        <w:trPr>
          <w:cantSplit/>
          <w:trHeight w:val="64"/>
          <w:tblHeader/>
          <w:jc w:val="center"/>
        </w:trPr>
        <w:tc>
          <w:tcPr>
            <w:tcW w:w="554"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BR (%)</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717</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47.1</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43.4, 50.9</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1419</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77.2</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74.9, 79.3</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p>
        </w:tc>
      </w:tr>
      <w:tr w:rsidR="00816944" w:rsidRPr="00833C03" w:rsidTr="00E20358">
        <w:trPr>
          <w:cantSplit/>
          <w:trHeight w:val="64"/>
          <w:tblHeader/>
          <w:jc w:val="center"/>
        </w:trPr>
        <w:tc>
          <w:tcPr>
            <w:tcW w:w="3000" w:type="pct"/>
            <w:gridSpan w:val="8"/>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F</w:t>
            </w:r>
            <w:r w:rsidRPr="00833C03">
              <w:rPr>
                <w:rFonts w:ascii="Arial Narrow" w:hAnsi="Arial Narrow" w:hint="eastAsia"/>
                <w:color w:val="000000"/>
                <w:sz w:val="20"/>
                <w:lang w:val="en-US" w:eastAsia="zh-CN"/>
              </w:rPr>
              <w:t>HA</w:t>
            </w:r>
          </w:p>
        </w:tc>
        <w:tc>
          <w:tcPr>
            <w:tcW w:w="2000" w:type="pct"/>
            <w:gridSpan w:val="6"/>
            <w:vMerge/>
            <w:tcBorders>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r>
      <w:tr w:rsidR="00816944" w:rsidRPr="00833C03" w:rsidTr="00E20358">
        <w:trPr>
          <w:cantSplit/>
          <w:trHeight w:val="20"/>
          <w:tblHeader/>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GMC (EU/mL)</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olor w:val="000000"/>
                <w:sz w:val="20"/>
                <w:lang w:val="en-US" w:eastAsia="en-AU"/>
              </w:rPr>
            </w:pPr>
            <w:r w:rsidRPr="00833C03">
              <w:rPr>
                <w:rFonts w:ascii="Arial Narrow" w:hAnsi="Arial Narrow"/>
                <w:color w:val="000000"/>
                <w:sz w:val="20"/>
                <w:lang w:val="en-US" w:eastAsia="en-AU"/>
              </w:rPr>
              <w:t>Pre</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717</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34.8</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32.0, 37.8</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1438</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31.6</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29.9, 33.5</w:t>
            </w:r>
          </w:p>
        </w:tc>
        <w:tc>
          <w:tcPr>
            <w:tcW w:w="2000" w:type="pct"/>
            <w:gridSpan w:val="6"/>
            <w:vMerge/>
            <w:tcBorders>
              <w:left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olor w:val="000000"/>
                <w:sz w:val="20"/>
                <w:lang w:val="en-US" w:eastAsia="en-AU"/>
              </w:rPr>
            </w:pPr>
          </w:p>
        </w:tc>
      </w:tr>
      <w:tr w:rsidR="00816944" w:rsidRPr="00833C03" w:rsidTr="00E20358">
        <w:trPr>
          <w:cantSplit/>
          <w:trHeight w:val="20"/>
          <w:tblHeader/>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olor w:val="000000"/>
                <w:sz w:val="20"/>
                <w:lang w:val="en-US" w:eastAsia="en-AU"/>
              </w:rPr>
            </w:pPr>
            <w:r w:rsidRPr="00833C03">
              <w:rPr>
                <w:rFonts w:ascii="Arial Narrow" w:hAnsi="Arial Narrow"/>
                <w:color w:val="000000"/>
                <w:sz w:val="20"/>
                <w:lang w:val="en-US"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724</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368.4</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344.3, 394.2</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1443</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624.4</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593.9, 656.6</w:t>
            </w:r>
          </w:p>
        </w:tc>
        <w:tc>
          <w:tcPr>
            <w:tcW w:w="2000" w:type="pct"/>
            <w:gridSpan w:val="6"/>
            <w:vMerge/>
            <w:tcBorders>
              <w:left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olor w:val="000000"/>
                <w:sz w:val="20"/>
                <w:lang w:val="en-US" w:eastAsia="en-AU"/>
              </w:rPr>
            </w:pPr>
          </w:p>
        </w:tc>
      </w:tr>
      <w:tr w:rsidR="00816944" w:rsidRPr="00833C03" w:rsidTr="00E20358">
        <w:trPr>
          <w:cantSplit/>
          <w:trHeight w:val="20"/>
          <w:tblHeader/>
          <w:jc w:val="center"/>
        </w:trPr>
        <w:tc>
          <w:tcPr>
            <w:tcW w:w="554"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BR (%)</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olor w:val="000000"/>
                <w:sz w:val="20"/>
                <w:lang w:val="en-US" w:eastAsia="en-AU"/>
              </w:rPr>
            </w:pPr>
            <w:r w:rsidRPr="00833C03">
              <w:rPr>
                <w:rFonts w:ascii="Arial Narrow" w:hAnsi="Arial Narrow"/>
                <w:color w:val="000000"/>
                <w:sz w:val="20"/>
                <w:lang w:val="en-US"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714</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94.0</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92.0, 95.6</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1433</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96.9</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95.8, 97.7</w:t>
            </w:r>
          </w:p>
        </w:tc>
        <w:tc>
          <w:tcPr>
            <w:tcW w:w="2000" w:type="pct"/>
            <w:gridSpan w:val="6"/>
            <w:vMerge/>
            <w:tcBorders>
              <w:left w:val="single" w:sz="4" w:space="0" w:color="auto"/>
              <w:right w:val="single" w:sz="4" w:space="0" w:color="auto"/>
            </w:tcBorders>
          </w:tcPr>
          <w:p w:rsidR="00816944" w:rsidRPr="00833C03" w:rsidRDefault="00816944" w:rsidP="00F03B52">
            <w:pPr>
              <w:widowControl/>
              <w:autoSpaceDE w:val="0"/>
              <w:autoSpaceDN w:val="0"/>
              <w:adjustRightInd w:val="0"/>
              <w:jc w:val="center"/>
              <w:rPr>
                <w:rFonts w:ascii="Arial Narrow" w:hAnsi="Arial Narrow"/>
                <w:color w:val="000000"/>
                <w:sz w:val="20"/>
                <w:lang w:val="en-US" w:eastAsia="en-AU"/>
              </w:rPr>
            </w:pPr>
          </w:p>
        </w:tc>
      </w:tr>
      <w:tr w:rsidR="00816944" w:rsidRPr="00833C03" w:rsidTr="00E20358">
        <w:trPr>
          <w:cantSplit/>
          <w:trHeight w:val="20"/>
          <w:tblHeader/>
          <w:jc w:val="center"/>
        </w:trPr>
        <w:tc>
          <w:tcPr>
            <w:tcW w:w="3000" w:type="pct"/>
            <w:gridSpan w:val="8"/>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autoSpaceDE w:val="0"/>
              <w:autoSpaceDN w:val="0"/>
              <w:adjustRightInd w:val="0"/>
              <w:jc w:val="left"/>
              <w:rPr>
                <w:rFonts w:ascii="Arial Narrow" w:hAnsi="Arial Narrow"/>
                <w:color w:val="000000"/>
                <w:sz w:val="20"/>
                <w:lang w:val="en-US" w:eastAsia="en-AU"/>
              </w:rPr>
            </w:pPr>
            <w:r w:rsidRPr="00833C03">
              <w:rPr>
                <w:rFonts w:ascii="Arial Narrow" w:hAnsi="Arial Narrow"/>
                <w:color w:val="000000"/>
                <w:sz w:val="20"/>
                <w:lang w:val="en-US" w:eastAsia="en-AU"/>
              </w:rPr>
              <w:t>PRN</w:t>
            </w:r>
          </w:p>
        </w:tc>
        <w:tc>
          <w:tcPr>
            <w:tcW w:w="2000" w:type="pct"/>
            <w:gridSpan w:val="6"/>
            <w:vMerge/>
            <w:tcBorders>
              <w:left w:val="single" w:sz="4" w:space="0" w:color="auto"/>
              <w:right w:val="single" w:sz="4" w:space="0" w:color="auto"/>
            </w:tcBorders>
          </w:tcPr>
          <w:p w:rsidR="00816944" w:rsidRPr="00833C03" w:rsidRDefault="00816944" w:rsidP="00F03B52">
            <w:pPr>
              <w:widowControl/>
              <w:autoSpaceDE w:val="0"/>
              <w:autoSpaceDN w:val="0"/>
              <w:adjustRightInd w:val="0"/>
              <w:jc w:val="left"/>
              <w:rPr>
                <w:rFonts w:ascii="Arial Narrow" w:hAnsi="Arial Narrow"/>
                <w:color w:val="000000"/>
                <w:sz w:val="20"/>
                <w:lang w:val="en-US" w:eastAsia="en-AU"/>
              </w:rPr>
            </w:pPr>
          </w:p>
        </w:tc>
      </w:tr>
      <w:tr w:rsidR="00816944" w:rsidRPr="00833C03" w:rsidTr="00E20358">
        <w:trPr>
          <w:cantSplit/>
          <w:trHeight w:val="20"/>
          <w:tblHeader/>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GMC (EU/mL)</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Pre</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727</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14.3</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12.9, 15.7</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1445</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13.4</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12.5, 14.3</w:t>
            </w:r>
          </w:p>
        </w:tc>
        <w:tc>
          <w:tcPr>
            <w:tcW w:w="2000" w:type="pct"/>
            <w:gridSpan w:val="6"/>
            <w:vMerge/>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p>
        </w:tc>
      </w:tr>
      <w:tr w:rsidR="00816944" w:rsidRPr="00833C03" w:rsidTr="00E20358">
        <w:trPr>
          <w:cantSplit/>
          <w:trHeight w:val="20"/>
          <w:tblHeader/>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726</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351.9</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315.7, 392.2</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1444</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401.0</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368.5, 436.3</w:t>
            </w:r>
          </w:p>
        </w:tc>
        <w:tc>
          <w:tcPr>
            <w:tcW w:w="2000" w:type="pct"/>
            <w:gridSpan w:val="6"/>
            <w:vMerge/>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p>
        </w:tc>
      </w:tr>
      <w:tr w:rsidR="00816944" w:rsidRPr="00833C03" w:rsidTr="00E20358">
        <w:trPr>
          <w:cantSplit/>
          <w:trHeight w:val="20"/>
          <w:tblHeader/>
          <w:jc w:val="center"/>
        </w:trPr>
        <w:tc>
          <w:tcPr>
            <w:tcW w:w="554"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BR (%)</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725</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91.7</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val="en-US" w:eastAsia="en-AU"/>
              </w:rPr>
            </w:pPr>
            <w:r w:rsidRPr="00833C03">
              <w:rPr>
                <w:rFonts w:ascii="Arial Narrow" w:hAnsi="Arial Narrow" w:cs="Times New Roman"/>
                <w:snapToGrid/>
                <w:color w:val="000000"/>
                <w:sz w:val="20"/>
                <w:lang w:val="en-US" w:eastAsia="en-AU"/>
              </w:rPr>
              <w:t>89.5, 93.6</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1441</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93.2</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s="Times New Roman"/>
                <w:snapToGrid/>
                <w:color w:val="000000"/>
                <w:sz w:val="20"/>
                <w:lang w:val="en-US" w:eastAsia="en-AU"/>
              </w:rPr>
              <w:t>91.8, 94.4</w:t>
            </w:r>
          </w:p>
        </w:tc>
        <w:tc>
          <w:tcPr>
            <w:tcW w:w="2000" w:type="pct"/>
            <w:gridSpan w:val="6"/>
            <w:vMerge/>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Southern 2005</w:t>
            </w:r>
          </w:p>
        </w:tc>
        <w:tc>
          <w:tcPr>
            <w:tcW w:w="280" w:type="pct"/>
            <w:vMerge w:val="restart"/>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r w:rsidRPr="00833C03">
              <w:rPr>
                <w:rFonts w:ascii="Arial Narrow" w:hAnsi="Arial Narrow"/>
                <w:color w:val="000000"/>
                <w:sz w:val="20"/>
                <w:lang w:eastAsia="en-AU"/>
              </w:rPr>
              <w:t>Time point</w:t>
            </w:r>
          </w:p>
        </w:tc>
        <w:tc>
          <w:tcPr>
            <w:tcW w:w="1111" w:type="pct"/>
            <w:gridSpan w:val="3"/>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Pr>
                <w:rFonts w:ascii="Arial Narrow" w:hAnsi="Arial Narrow"/>
                <w:color w:val="000000"/>
                <w:sz w:val="20"/>
                <w:lang w:eastAsia="en-AU"/>
              </w:rPr>
              <w:t>Adacel (dTpa5v)</w:t>
            </w:r>
          </w:p>
        </w:tc>
        <w:tc>
          <w:tcPr>
            <w:tcW w:w="1055" w:type="pct"/>
            <w:gridSpan w:val="3"/>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Boostrix (dTpa 3v)</w:t>
            </w:r>
          </w:p>
        </w:tc>
        <w:tc>
          <w:tcPr>
            <w:tcW w:w="1003" w:type="pct"/>
            <w:gridSpan w:val="3"/>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Repevax (</w:t>
            </w:r>
            <w:r>
              <w:rPr>
                <w:rFonts w:ascii="Arial Narrow" w:hAnsi="Arial Narrow"/>
                <w:color w:val="000000"/>
                <w:sz w:val="20"/>
                <w:lang w:eastAsia="en-AU"/>
              </w:rPr>
              <w:t>Adacel</w:t>
            </w:r>
            <w:r w:rsidRPr="00833C03">
              <w:rPr>
                <w:rFonts w:ascii="Arial Narrow" w:hAnsi="Arial Narrow"/>
                <w:color w:val="000000"/>
                <w:sz w:val="20"/>
                <w:lang w:eastAsia="en-AU"/>
              </w:rPr>
              <w:t>+Polio)</w:t>
            </w:r>
          </w:p>
        </w:tc>
        <w:tc>
          <w:tcPr>
            <w:tcW w:w="997" w:type="pct"/>
            <w:gridSpan w:val="3"/>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Placebo (Td)</w:t>
            </w:r>
          </w:p>
        </w:tc>
      </w:tr>
      <w:tr w:rsidR="00816944" w:rsidRPr="00833C03" w:rsidTr="00F03B52">
        <w:trPr>
          <w:cantSplit/>
          <w:trHeight w:val="20"/>
          <w:jc w:val="center"/>
        </w:trPr>
        <w:tc>
          <w:tcPr>
            <w:tcW w:w="554" w:type="pct"/>
            <w:vMerge/>
            <w:tcBorders>
              <w:left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p>
        </w:tc>
        <w:tc>
          <w:tcPr>
            <w:tcW w:w="280"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n</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GMT/GMFR</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95% CI</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n</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GMT/GMFR</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95% CI</w:t>
            </w:r>
          </w:p>
        </w:tc>
        <w:tc>
          <w:tcPr>
            <w:tcW w:w="113"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n</w:t>
            </w:r>
          </w:p>
        </w:tc>
        <w:tc>
          <w:tcPr>
            <w:tcW w:w="445"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GMT/GMFR</w:t>
            </w:r>
          </w:p>
        </w:tc>
        <w:tc>
          <w:tcPr>
            <w:tcW w:w="445"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95% CI</w:t>
            </w:r>
          </w:p>
        </w:tc>
        <w:tc>
          <w:tcPr>
            <w:tcW w:w="167"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n</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GMT/GMFR</w:t>
            </w:r>
          </w:p>
        </w:tc>
        <w:tc>
          <w:tcPr>
            <w:tcW w:w="441"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95% CI</w:t>
            </w:r>
          </w:p>
        </w:tc>
      </w:tr>
      <w:tr w:rsidR="00816944" w:rsidRPr="00833C03" w:rsidTr="00F03B52">
        <w:trPr>
          <w:cantSplit/>
          <w:trHeight w:val="20"/>
          <w:jc w:val="center"/>
        </w:trPr>
        <w:tc>
          <w:tcPr>
            <w:tcW w:w="5000" w:type="pct"/>
            <w:gridSpan w:val="14"/>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r w:rsidRPr="00833C03">
              <w:rPr>
                <w:rFonts w:ascii="Arial Narrow" w:hAnsi="Arial Narrow"/>
                <w:color w:val="000000"/>
                <w:sz w:val="20"/>
                <w:lang w:eastAsia="en-AU"/>
              </w:rPr>
              <w:t>PT</w:t>
            </w: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GMT</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Pre</w:t>
            </w:r>
          </w:p>
        </w:tc>
        <w:tc>
          <w:tcPr>
            <w:tcW w:w="166" w:type="pct"/>
            <w:vMerge w:val="restart"/>
            <w:tcBorders>
              <w:top w:val="single" w:sz="4" w:space="0" w:color="auto"/>
              <w:left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83</w:t>
            </w: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857</w:t>
            </w:r>
          </w:p>
        </w:tc>
        <w:tc>
          <w:tcPr>
            <w:tcW w:w="556" w:type="pct"/>
            <w:tcBorders>
              <w:top w:val="single" w:sz="4" w:space="0" w:color="auto"/>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633, 1160</w:t>
            </w:r>
          </w:p>
        </w:tc>
        <w:tc>
          <w:tcPr>
            <w:tcW w:w="166" w:type="pct"/>
            <w:vMerge w:val="restart"/>
            <w:tcBorders>
              <w:top w:val="single" w:sz="4" w:space="0" w:color="auto"/>
              <w:left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79</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1077</w:t>
            </w:r>
          </w:p>
        </w:tc>
        <w:tc>
          <w:tcPr>
            <w:tcW w:w="500" w:type="pct"/>
            <w:tcBorders>
              <w:top w:val="single" w:sz="4" w:space="0" w:color="auto"/>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756, 1536</w:t>
            </w:r>
          </w:p>
        </w:tc>
        <w:tc>
          <w:tcPr>
            <w:tcW w:w="113"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82</w:t>
            </w: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848</w:t>
            </w: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632, 1138</w:t>
            </w:r>
          </w:p>
        </w:tc>
        <w:tc>
          <w:tcPr>
            <w:tcW w:w="167"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79</w:t>
            </w: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995</w:t>
            </w:r>
          </w:p>
        </w:tc>
        <w:tc>
          <w:tcPr>
            <w:tcW w:w="441"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699, 1416</w:t>
            </w:r>
          </w:p>
        </w:tc>
      </w:tr>
      <w:tr w:rsidR="00816944" w:rsidRPr="00833C03" w:rsidTr="00F03B52">
        <w:trPr>
          <w:cantSplit/>
          <w:trHeight w:val="20"/>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2998</w:t>
            </w:r>
          </w:p>
        </w:tc>
        <w:tc>
          <w:tcPr>
            <w:tcW w:w="556"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2288, 3925</w:t>
            </w:r>
          </w:p>
        </w:tc>
        <w:tc>
          <w:tcPr>
            <w:tcW w:w="166"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Times New Roman"/>
                <w:snapToGrid/>
                <w:color w:val="000000"/>
                <w:sz w:val="20"/>
                <w:lang w:eastAsia="en-AU"/>
              </w:rPr>
              <w:t>8792</w:t>
            </w:r>
          </w:p>
        </w:tc>
        <w:tc>
          <w:tcPr>
            <w:tcW w:w="500"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6689, 11556</w:t>
            </w:r>
          </w:p>
        </w:tc>
        <w:tc>
          <w:tcPr>
            <w:tcW w:w="113"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3812</w:t>
            </w: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2947, 4931</w:t>
            </w:r>
          </w:p>
        </w:tc>
        <w:tc>
          <w:tcPr>
            <w:tcW w:w="167"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984</w:t>
            </w:r>
          </w:p>
        </w:tc>
        <w:tc>
          <w:tcPr>
            <w:tcW w:w="441"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701, 1382</w:t>
            </w:r>
          </w:p>
        </w:tc>
      </w:tr>
      <w:tr w:rsidR="00816944" w:rsidRPr="00833C03" w:rsidTr="00F03B52">
        <w:trPr>
          <w:cantSplit/>
          <w:trHeight w:val="20"/>
          <w:jc w:val="center"/>
        </w:trPr>
        <w:tc>
          <w:tcPr>
            <w:tcW w:w="554"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GMFR</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3.51</w:t>
            </w:r>
          </w:p>
        </w:tc>
        <w:tc>
          <w:tcPr>
            <w:tcW w:w="556"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2.90, 4.23</w:t>
            </w:r>
          </w:p>
        </w:tc>
        <w:tc>
          <w:tcPr>
            <w:tcW w:w="166"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Times New Roman"/>
                <w:snapToGrid/>
                <w:color w:val="000000"/>
                <w:sz w:val="20"/>
                <w:lang w:eastAsia="en-AU"/>
              </w:rPr>
              <w:t>8.16</w:t>
            </w:r>
          </w:p>
        </w:tc>
        <w:tc>
          <w:tcPr>
            <w:tcW w:w="500"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6.30, 10.57</w:t>
            </w:r>
          </w:p>
        </w:tc>
        <w:tc>
          <w:tcPr>
            <w:tcW w:w="113"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4.50</w:t>
            </w: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3.61, 5.61</w:t>
            </w:r>
          </w:p>
        </w:tc>
        <w:tc>
          <w:tcPr>
            <w:tcW w:w="167"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0.99</w:t>
            </w:r>
          </w:p>
        </w:tc>
        <w:tc>
          <w:tcPr>
            <w:tcW w:w="441"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0.93, 1.04</w:t>
            </w:r>
          </w:p>
        </w:tc>
      </w:tr>
      <w:tr w:rsidR="00816944" w:rsidRPr="00833C03" w:rsidTr="00F03B52">
        <w:trPr>
          <w:cantSplit/>
          <w:trHeight w:val="20"/>
          <w:jc w:val="center"/>
        </w:trPr>
        <w:tc>
          <w:tcPr>
            <w:tcW w:w="5000" w:type="pct"/>
            <w:gridSpan w:val="14"/>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r w:rsidRPr="00833C03">
              <w:rPr>
                <w:rFonts w:ascii="Arial Narrow" w:hAnsi="Arial Narrow"/>
                <w:color w:val="000000"/>
                <w:sz w:val="20"/>
                <w:lang w:eastAsia="en-AU"/>
              </w:rPr>
              <w:t>FHA</w:t>
            </w: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GMT</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Pre</w:t>
            </w:r>
          </w:p>
        </w:tc>
        <w:tc>
          <w:tcPr>
            <w:tcW w:w="166" w:type="pct"/>
            <w:vMerge w:val="restart"/>
            <w:tcBorders>
              <w:top w:val="single" w:sz="4" w:space="0" w:color="auto"/>
              <w:left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83</w:t>
            </w: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2450</w:t>
            </w:r>
          </w:p>
        </w:tc>
        <w:tc>
          <w:tcPr>
            <w:tcW w:w="556" w:type="pct"/>
            <w:tcBorders>
              <w:top w:val="single" w:sz="4" w:space="0" w:color="auto"/>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1930, 3111</w:t>
            </w:r>
          </w:p>
        </w:tc>
        <w:tc>
          <w:tcPr>
            <w:tcW w:w="166" w:type="pct"/>
            <w:vMerge w:val="restart"/>
            <w:tcBorders>
              <w:top w:val="single" w:sz="4" w:space="0" w:color="auto"/>
              <w:left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79</w:t>
            </w: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2659</w:t>
            </w:r>
          </w:p>
        </w:tc>
        <w:tc>
          <w:tcPr>
            <w:tcW w:w="500" w:type="pct"/>
            <w:tcBorders>
              <w:top w:val="single" w:sz="4" w:space="0" w:color="auto"/>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2042, 3462</w:t>
            </w:r>
          </w:p>
        </w:tc>
        <w:tc>
          <w:tcPr>
            <w:tcW w:w="113"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82</w:t>
            </w: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2299</w:t>
            </w: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1845, 2865</w:t>
            </w:r>
          </w:p>
        </w:tc>
        <w:tc>
          <w:tcPr>
            <w:tcW w:w="167"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79</w:t>
            </w: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2858</w:t>
            </w:r>
          </w:p>
        </w:tc>
        <w:tc>
          <w:tcPr>
            <w:tcW w:w="441"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2214, 3691</w:t>
            </w:r>
          </w:p>
        </w:tc>
      </w:tr>
      <w:tr w:rsidR="00816944" w:rsidRPr="00833C03" w:rsidTr="00F03B52">
        <w:trPr>
          <w:cantSplit/>
          <w:trHeight w:val="20"/>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17360</w:t>
            </w:r>
          </w:p>
        </w:tc>
        <w:tc>
          <w:tcPr>
            <w:tcW w:w="556"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14058, 21439</w:t>
            </w:r>
          </w:p>
        </w:tc>
        <w:tc>
          <w:tcPr>
            <w:tcW w:w="166"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36367</w:t>
            </w:r>
          </w:p>
        </w:tc>
        <w:tc>
          <w:tcPr>
            <w:tcW w:w="500"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30736, 43029</w:t>
            </w:r>
          </w:p>
        </w:tc>
        <w:tc>
          <w:tcPr>
            <w:tcW w:w="113"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12597</w:t>
            </w: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10509, 15100</w:t>
            </w:r>
          </w:p>
        </w:tc>
        <w:tc>
          <w:tcPr>
            <w:tcW w:w="167"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2882</w:t>
            </w:r>
          </w:p>
        </w:tc>
        <w:tc>
          <w:tcPr>
            <w:tcW w:w="441"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2246, 3699</w:t>
            </w:r>
          </w:p>
        </w:tc>
      </w:tr>
      <w:tr w:rsidR="00816944" w:rsidRPr="00833C03" w:rsidTr="00F03B52">
        <w:trPr>
          <w:cantSplit/>
          <w:trHeight w:val="20"/>
          <w:jc w:val="center"/>
        </w:trPr>
        <w:tc>
          <w:tcPr>
            <w:tcW w:w="554"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GMFR</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7.08</w:t>
            </w:r>
          </w:p>
        </w:tc>
        <w:tc>
          <w:tcPr>
            <w:tcW w:w="556"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5.40, 9.30</w:t>
            </w:r>
          </w:p>
        </w:tc>
        <w:tc>
          <w:tcPr>
            <w:tcW w:w="166"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13.68</w:t>
            </w:r>
          </w:p>
        </w:tc>
        <w:tc>
          <w:tcPr>
            <w:tcW w:w="500"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10.16, 18.41</w:t>
            </w:r>
          </w:p>
        </w:tc>
        <w:tc>
          <w:tcPr>
            <w:tcW w:w="113"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5.48</w:t>
            </w:r>
          </w:p>
        </w:tc>
        <w:tc>
          <w:tcPr>
            <w:tcW w:w="445"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4.48, 6.69</w:t>
            </w:r>
          </w:p>
        </w:tc>
        <w:tc>
          <w:tcPr>
            <w:tcW w:w="167"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1.00</w:t>
            </w:r>
          </w:p>
        </w:tc>
        <w:tc>
          <w:tcPr>
            <w:tcW w:w="441" w:type="pct"/>
            <w:tcBorders>
              <w:top w:val="single" w:sz="4" w:space="0" w:color="auto"/>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0.97, 1.05</w:t>
            </w:r>
          </w:p>
        </w:tc>
      </w:tr>
      <w:tr w:rsidR="00816944" w:rsidRPr="00833C03" w:rsidTr="00F03B52">
        <w:trPr>
          <w:cantSplit/>
          <w:trHeight w:val="20"/>
          <w:jc w:val="center"/>
        </w:trPr>
        <w:tc>
          <w:tcPr>
            <w:tcW w:w="5000" w:type="pct"/>
            <w:gridSpan w:val="14"/>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r w:rsidRPr="00833C03">
              <w:rPr>
                <w:rFonts w:ascii="Arial Narrow" w:hAnsi="Arial Narrow"/>
                <w:color w:val="000000"/>
                <w:sz w:val="20"/>
                <w:lang w:eastAsia="en-AU"/>
              </w:rPr>
              <w:t>PRN</w:t>
            </w: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GMT</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Pre</w:t>
            </w:r>
          </w:p>
        </w:tc>
        <w:tc>
          <w:tcPr>
            <w:tcW w:w="166" w:type="pct"/>
            <w:vMerge w:val="restart"/>
            <w:tcBorders>
              <w:top w:val="single" w:sz="4" w:space="0" w:color="auto"/>
              <w:left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83</w:t>
            </w:r>
          </w:p>
        </w:tc>
        <w:tc>
          <w:tcPr>
            <w:tcW w:w="389" w:type="pct"/>
            <w:tcBorders>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1859</w:t>
            </w:r>
          </w:p>
        </w:tc>
        <w:tc>
          <w:tcPr>
            <w:tcW w:w="556" w:type="pct"/>
            <w:tcBorders>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1384, 2497</w:t>
            </w:r>
          </w:p>
        </w:tc>
        <w:tc>
          <w:tcPr>
            <w:tcW w:w="166" w:type="pct"/>
            <w:vMerge w:val="restart"/>
            <w:tcBorders>
              <w:top w:val="single" w:sz="4" w:space="0" w:color="auto"/>
              <w:left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79</w:t>
            </w:r>
          </w:p>
        </w:tc>
        <w:tc>
          <w:tcPr>
            <w:tcW w:w="389" w:type="pct"/>
            <w:tcBorders>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2782</w:t>
            </w:r>
          </w:p>
        </w:tc>
        <w:tc>
          <w:tcPr>
            <w:tcW w:w="500" w:type="pct"/>
            <w:tcBorders>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1942, 3984</w:t>
            </w:r>
          </w:p>
        </w:tc>
        <w:tc>
          <w:tcPr>
            <w:tcW w:w="113"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82</w:t>
            </w: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1735</w:t>
            </w: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1264, 2381</w:t>
            </w:r>
          </w:p>
        </w:tc>
        <w:tc>
          <w:tcPr>
            <w:tcW w:w="167"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79</w:t>
            </w: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2524</w:t>
            </w:r>
          </w:p>
        </w:tc>
        <w:tc>
          <w:tcPr>
            <w:tcW w:w="441"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1819, 3502</w:t>
            </w:r>
          </w:p>
        </w:tc>
      </w:tr>
      <w:tr w:rsidR="00816944" w:rsidRPr="00833C03" w:rsidTr="00F03B52">
        <w:trPr>
          <w:cantSplit/>
          <w:trHeight w:val="20"/>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36406</w:t>
            </w:r>
          </w:p>
        </w:tc>
        <w:tc>
          <w:tcPr>
            <w:tcW w:w="556"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27778, 47715</w:t>
            </w:r>
          </w:p>
        </w:tc>
        <w:tc>
          <w:tcPr>
            <w:tcW w:w="166"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81177</w:t>
            </w:r>
          </w:p>
        </w:tc>
        <w:tc>
          <w:tcPr>
            <w:tcW w:w="500"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61344, 107424</w:t>
            </w:r>
          </w:p>
        </w:tc>
        <w:tc>
          <w:tcPr>
            <w:tcW w:w="113"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66438</w:t>
            </w: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52843, 83531</w:t>
            </w:r>
          </w:p>
        </w:tc>
        <w:tc>
          <w:tcPr>
            <w:tcW w:w="167"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2534</w:t>
            </w:r>
          </w:p>
        </w:tc>
        <w:tc>
          <w:tcPr>
            <w:tcW w:w="441"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1840, 3491</w:t>
            </w:r>
          </w:p>
        </w:tc>
      </w:tr>
      <w:tr w:rsidR="00816944" w:rsidRPr="00833C03" w:rsidTr="00F03B52">
        <w:trPr>
          <w:cantSplit/>
          <w:trHeight w:val="20"/>
          <w:jc w:val="center"/>
        </w:trPr>
        <w:tc>
          <w:tcPr>
            <w:tcW w:w="554"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GMFR</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19.44</w:t>
            </w:r>
          </w:p>
        </w:tc>
        <w:tc>
          <w:tcPr>
            <w:tcW w:w="556"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13.40, 28.21</w:t>
            </w:r>
          </w:p>
        </w:tc>
        <w:tc>
          <w:tcPr>
            <w:tcW w:w="166"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29.18</w:t>
            </w:r>
          </w:p>
        </w:tc>
        <w:tc>
          <w:tcPr>
            <w:tcW w:w="500"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21.46, 39.67</w:t>
            </w:r>
          </w:p>
        </w:tc>
        <w:tc>
          <w:tcPr>
            <w:tcW w:w="113"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38.33</w:t>
            </w: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28.05, 52.37</w:t>
            </w:r>
          </w:p>
        </w:tc>
        <w:tc>
          <w:tcPr>
            <w:tcW w:w="167"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1.00</w:t>
            </w:r>
          </w:p>
        </w:tc>
        <w:tc>
          <w:tcPr>
            <w:tcW w:w="441"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0.96, 1.05</w:t>
            </w:r>
          </w:p>
        </w:tc>
      </w:tr>
      <w:tr w:rsidR="00816944" w:rsidRPr="00833C03" w:rsidTr="00F03B52">
        <w:trPr>
          <w:cantSplit/>
          <w:trHeight w:val="20"/>
          <w:jc w:val="center"/>
        </w:trPr>
        <w:tc>
          <w:tcPr>
            <w:tcW w:w="5000" w:type="pct"/>
            <w:gridSpan w:val="14"/>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r w:rsidRPr="00833C03">
              <w:rPr>
                <w:rFonts w:ascii="Arial Narrow" w:hAnsi="Arial Narrow"/>
                <w:color w:val="000000"/>
                <w:sz w:val="20"/>
                <w:lang w:eastAsia="en-AU"/>
              </w:rPr>
              <w:t>FIM</w:t>
            </w: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GMT</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Pre</w:t>
            </w:r>
          </w:p>
        </w:tc>
        <w:tc>
          <w:tcPr>
            <w:tcW w:w="166" w:type="pct"/>
            <w:vMerge w:val="restart"/>
            <w:tcBorders>
              <w:top w:val="single" w:sz="4" w:space="0" w:color="auto"/>
              <w:left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83</w:t>
            </w:r>
          </w:p>
        </w:tc>
        <w:tc>
          <w:tcPr>
            <w:tcW w:w="389" w:type="pct"/>
            <w:tcBorders>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3630</w:t>
            </w:r>
          </w:p>
        </w:tc>
        <w:tc>
          <w:tcPr>
            <w:tcW w:w="556" w:type="pct"/>
            <w:tcBorders>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2635, 5001</w:t>
            </w:r>
          </w:p>
        </w:tc>
        <w:tc>
          <w:tcPr>
            <w:tcW w:w="166" w:type="pct"/>
            <w:vMerge w:val="restart"/>
            <w:tcBorders>
              <w:top w:val="single" w:sz="4" w:space="0" w:color="auto"/>
              <w:left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79</w:t>
            </w:r>
          </w:p>
        </w:tc>
        <w:tc>
          <w:tcPr>
            <w:tcW w:w="389" w:type="pct"/>
            <w:tcBorders>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3654</w:t>
            </w:r>
          </w:p>
        </w:tc>
        <w:tc>
          <w:tcPr>
            <w:tcW w:w="500" w:type="pct"/>
            <w:tcBorders>
              <w:left w:val="single" w:sz="4" w:space="0" w:color="auto"/>
              <w:right w:val="single" w:sz="4" w:space="0" w:color="auto"/>
            </w:tcBorders>
            <w:vAlign w:val="center"/>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Calibri"/>
                <w:snapToGrid/>
                <w:sz w:val="20"/>
                <w:lang w:eastAsia="en-AU"/>
              </w:rPr>
              <w:t>2489, 5364</w:t>
            </w:r>
          </w:p>
        </w:tc>
        <w:tc>
          <w:tcPr>
            <w:tcW w:w="113"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82</w:t>
            </w: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3558</w:t>
            </w: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2455, 5157</w:t>
            </w:r>
          </w:p>
        </w:tc>
        <w:tc>
          <w:tcPr>
            <w:tcW w:w="167"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79</w:t>
            </w: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4082</w:t>
            </w:r>
          </w:p>
        </w:tc>
        <w:tc>
          <w:tcPr>
            <w:tcW w:w="441"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2634, 6328</w:t>
            </w:r>
          </w:p>
        </w:tc>
      </w:tr>
      <w:tr w:rsidR="00816944" w:rsidRPr="00833C03" w:rsidTr="00F03B52">
        <w:trPr>
          <w:cantSplit/>
          <w:trHeight w:val="20"/>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58225</w:t>
            </w:r>
          </w:p>
        </w:tc>
        <w:tc>
          <w:tcPr>
            <w:tcW w:w="556"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44204, 76694</w:t>
            </w:r>
          </w:p>
        </w:tc>
        <w:tc>
          <w:tcPr>
            <w:tcW w:w="166"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4355</w:t>
            </w:r>
          </w:p>
        </w:tc>
        <w:tc>
          <w:tcPr>
            <w:tcW w:w="500"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3087, 6144</w:t>
            </w:r>
          </w:p>
        </w:tc>
        <w:tc>
          <w:tcPr>
            <w:tcW w:w="113"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45704</w:t>
            </w:r>
          </w:p>
        </w:tc>
        <w:tc>
          <w:tcPr>
            <w:tcW w:w="445"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34466, 60608</w:t>
            </w:r>
          </w:p>
        </w:tc>
        <w:tc>
          <w:tcPr>
            <w:tcW w:w="167" w:type="pct"/>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4224</w:t>
            </w:r>
          </w:p>
        </w:tc>
        <w:tc>
          <w:tcPr>
            <w:tcW w:w="441" w:type="pct"/>
            <w:tcBorders>
              <w:left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2752, 6484</w:t>
            </w:r>
          </w:p>
        </w:tc>
      </w:tr>
      <w:tr w:rsidR="00816944" w:rsidRPr="00833C03" w:rsidTr="00F03B52">
        <w:trPr>
          <w:cantSplit/>
          <w:trHeight w:val="20"/>
          <w:jc w:val="center"/>
        </w:trPr>
        <w:tc>
          <w:tcPr>
            <w:tcW w:w="554"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GMFR</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bottom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16.03</w:t>
            </w:r>
          </w:p>
        </w:tc>
        <w:tc>
          <w:tcPr>
            <w:tcW w:w="556" w:type="pct"/>
            <w:tcBorders>
              <w:left w:val="single" w:sz="4" w:space="0" w:color="auto"/>
              <w:bottom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10.25, 25.06</w:t>
            </w:r>
          </w:p>
        </w:tc>
        <w:tc>
          <w:tcPr>
            <w:tcW w:w="166"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bottom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1.19</w:t>
            </w:r>
          </w:p>
        </w:tc>
        <w:tc>
          <w:tcPr>
            <w:tcW w:w="500" w:type="pct"/>
            <w:tcBorders>
              <w:left w:val="single" w:sz="4" w:space="0" w:color="auto"/>
              <w:bottom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napToGrid/>
                <w:sz w:val="20"/>
                <w:lang w:eastAsia="en-AU"/>
              </w:rPr>
              <w:t>1.10, 1.29</w:t>
            </w:r>
          </w:p>
        </w:tc>
        <w:tc>
          <w:tcPr>
            <w:tcW w:w="113"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445" w:type="pct"/>
            <w:tcBorders>
              <w:left w:val="single" w:sz="4" w:space="0" w:color="auto"/>
              <w:bottom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12.84</w:t>
            </w:r>
          </w:p>
        </w:tc>
        <w:tc>
          <w:tcPr>
            <w:tcW w:w="445" w:type="pct"/>
            <w:tcBorders>
              <w:left w:val="single" w:sz="4" w:space="0" w:color="auto"/>
              <w:bottom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8.87, 18.58</w:t>
            </w:r>
          </w:p>
        </w:tc>
        <w:tc>
          <w:tcPr>
            <w:tcW w:w="167"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left w:val="single" w:sz="4" w:space="0" w:color="auto"/>
              <w:bottom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1.03</w:t>
            </w:r>
          </w:p>
        </w:tc>
        <w:tc>
          <w:tcPr>
            <w:tcW w:w="441" w:type="pct"/>
            <w:tcBorders>
              <w:left w:val="single" w:sz="4" w:space="0" w:color="auto"/>
              <w:bottom w:val="single" w:sz="4" w:space="0" w:color="auto"/>
              <w:right w:val="single" w:sz="4" w:space="0" w:color="auto"/>
            </w:tcBorders>
            <w:vAlign w:val="center"/>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s="Calibri"/>
                <w:sz w:val="20"/>
                <w:lang w:eastAsia="en-AU"/>
              </w:rPr>
              <w:t>0.98, 1.09</w:t>
            </w:r>
          </w:p>
        </w:tc>
      </w:tr>
      <w:tr w:rsidR="00816944" w:rsidRPr="00833C03" w:rsidTr="00F03B52">
        <w:trPr>
          <w:cantSplit/>
          <w:trHeight w:val="20"/>
          <w:jc w:val="center"/>
        </w:trPr>
        <w:tc>
          <w:tcPr>
            <w:tcW w:w="554" w:type="pct"/>
            <w:vMerge w:val="restart"/>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eastAsia="en-AU"/>
              </w:rPr>
              <w:t>Td516 2010</w:t>
            </w:r>
          </w:p>
        </w:tc>
        <w:tc>
          <w:tcPr>
            <w:tcW w:w="280"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Time point</w:t>
            </w:r>
          </w:p>
        </w:tc>
        <w:tc>
          <w:tcPr>
            <w:tcW w:w="1111" w:type="pct"/>
            <w:gridSpan w:val="3"/>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Pr>
                <w:rFonts w:ascii="Arial Narrow" w:hAnsi="Arial Narrow"/>
                <w:color w:val="000000"/>
                <w:sz w:val="20"/>
                <w:lang w:eastAsia="en-AU"/>
              </w:rPr>
              <w:t>Adacel (dTpa5v)</w:t>
            </w:r>
          </w:p>
        </w:tc>
        <w:tc>
          <w:tcPr>
            <w:tcW w:w="1055" w:type="pct"/>
            <w:gridSpan w:val="3"/>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Boostrix (dTpa 3v)</w:t>
            </w:r>
          </w:p>
        </w:tc>
        <w:tc>
          <w:tcPr>
            <w:tcW w:w="2000" w:type="pct"/>
            <w:gridSpan w:val="6"/>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p>
        </w:tc>
        <w:tc>
          <w:tcPr>
            <w:tcW w:w="280" w:type="pct"/>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n</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GMC</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95% CI</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n</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GMC</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A11477">
              <w:rPr>
                <w:rFonts w:ascii="Arial Narrow" w:hAnsi="Arial Narrow"/>
                <w:noProof/>
                <w:color w:val="000000"/>
                <w:sz w:val="20"/>
                <w:lang w:eastAsia="en-AU"/>
              </w:rPr>
              <mc:AlternateContent>
                <mc:Choice Requires="wps">
                  <w:drawing>
                    <wp:anchor distT="0" distB="0" distL="114300" distR="114300" simplePos="0" relativeHeight="251682816" behindDoc="0" locked="0" layoutInCell="1" allowOverlap="1" wp14:anchorId="3AE39F33" wp14:editId="09E9A182">
                      <wp:simplePos x="0" y="0"/>
                      <wp:positionH relativeFrom="column">
                        <wp:posOffset>883920</wp:posOffset>
                      </wp:positionH>
                      <wp:positionV relativeFrom="paragraph">
                        <wp:posOffset>42545</wp:posOffset>
                      </wp:positionV>
                      <wp:extent cx="3489960" cy="1912620"/>
                      <wp:effectExtent l="0" t="0" r="34290" b="30480"/>
                      <wp:wrapNone/>
                      <wp:docPr id="24" name="Straight Connector 24" title="Table 5: Results of vaccine efficacy across the direct randomised trials "/>
                      <wp:cNvGraphicFramePr/>
                      <a:graphic xmlns:a="http://schemas.openxmlformats.org/drawingml/2006/main">
                        <a:graphicData uri="http://schemas.microsoft.com/office/word/2010/wordprocessingShape">
                          <wps:wsp>
                            <wps:cNvCnPr/>
                            <wps:spPr>
                              <a:xfrm flipV="1">
                                <a:off x="0" y="0"/>
                                <a:ext cx="3489960" cy="1912620"/>
                              </a:xfrm>
                              <a:prstGeom prst="line">
                                <a:avLst/>
                              </a:prstGeom>
                              <a:noFill/>
                              <a:ln w="6350" cap="flat" cmpd="sng" algn="ctr">
                                <a:solidFill>
                                  <a:sysClr val="window" lastClr="FFFFFF">
                                    <a:lumMod val="9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1026" alt="Title: Table 5: Results of vaccine efficacy across the direct randomised trials "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pt,3.35pt" to="344.4pt,1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" strokecolor="#f2f2f2" strokeweight=".5pt">
                      <v:stroke joinstyle="miter"/>
                    </v:line>
                  </w:pict>
                </mc:Fallback>
              </mc:AlternateContent>
            </w:r>
            <w:r w:rsidRPr="00833C03">
              <w:rPr>
                <w:rFonts w:ascii="Arial Narrow" w:hAnsi="Arial Narrow"/>
                <w:color w:val="000000"/>
                <w:sz w:val="20"/>
                <w:lang w:eastAsia="en-AU"/>
              </w:rPr>
              <w:t>95% CI</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3000" w:type="pct"/>
            <w:gridSpan w:val="8"/>
            <w:tcBorders>
              <w:top w:val="single" w:sz="4" w:space="0" w:color="auto"/>
              <w:left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r w:rsidRPr="00833C03">
              <w:rPr>
                <w:rFonts w:ascii="Arial Narrow" w:hAnsi="Arial Narrow"/>
                <w:color w:val="000000"/>
                <w:sz w:val="20"/>
                <w:lang w:val="en-US" w:eastAsia="en-AU"/>
              </w:rPr>
              <w:t>PT</w:t>
            </w:r>
          </w:p>
        </w:tc>
        <w:tc>
          <w:tcPr>
            <w:tcW w:w="2000" w:type="pct"/>
            <w:gridSpan w:val="6"/>
            <w:vMerge/>
            <w:tcBorders>
              <w:left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GMC</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Pre</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300</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14.4</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12.5, 16.6</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296</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13.5</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11.6, 15.8</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296</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86.7</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78.8, 95.4</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304</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135.9</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122.9, 150.2</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3000" w:type="pct"/>
            <w:gridSpan w:val="8"/>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r w:rsidRPr="00833C03">
              <w:rPr>
                <w:rFonts w:ascii="Arial Narrow" w:hAnsi="Arial Narrow"/>
                <w:color w:val="000000"/>
                <w:sz w:val="20"/>
                <w:lang w:val="en-US" w:eastAsia="en-AU"/>
              </w:rPr>
              <w:t>F</w:t>
            </w:r>
            <w:r w:rsidRPr="00833C03">
              <w:rPr>
                <w:rFonts w:ascii="Arial Narrow" w:hAnsi="Arial Narrow" w:hint="eastAsia"/>
                <w:color w:val="000000"/>
                <w:sz w:val="20"/>
                <w:lang w:val="en-US" w:eastAsia="zh-CN"/>
              </w:rPr>
              <w:t>HA</w:t>
            </w:r>
          </w:p>
        </w:tc>
        <w:tc>
          <w:tcPr>
            <w:tcW w:w="2000" w:type="pct"/>
            <w:gridSpan w:val="6"/>
            <w:vMerge/>
            <w:tcBorders>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GMC</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Pre</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304</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26.1</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22.7, 30.0</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300</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28.2</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24.5, 32.4</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305</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240.7</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217.7, 266.1</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304</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402.9</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365.5, 444.2</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3000" w:type="pct"/>
            <w:gridSpan w:val="8"/>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eastAsia="en-AU"/>
              </w:rPr>
            </w:pPr>
            <w:r w:rsidRPr="00833C03">
              <w:rPr>
                <w:rFonts w:ascii="Arial Narrow" w:hAnsi="Arial Narrow"/>
                <w:color w:val="000000"/>
                <w:sz w:val="20"/>
                <w:lang w:val="en-US" w:eastAsia="en-AU"/>
              </w:rPr>
              <w:t>PRN</w:t>
            </w:r>
          </w:p>
        </w:tc>
        <w:tc>
          <w:tcPr>
            <w:tcW w:w="2000" w:type="pct"/>
            <w:gridSpan w:val="6"/>
            <w:vMerge/>
            <w:tcBorders>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GMC</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Pre</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305</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12.4</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10.6, 14.6</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304</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13.1</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11.2, 15.5</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554" w:type="pct"/>
            <w:vMerge/>
            <w:tcBorders>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305</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322.7</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279.7, 372.4</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304</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463.3</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395.4, 542.9</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554"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r w:rsidRPr="00833C03">
              <w:rPr>
                <w:rFonts w:ascii="Arial Narrow" w:hAnsi="Arial Narrow"/>
                <w:color w:val="000000"/>
                <w:sz w:val="20"/>
                <w:lang w:val="en-US" w:eastAsia="en-AU"/>
              </w:rPr>
              <w:t>FIM</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554" w:type="pct"/>
            <w:vMerge w:val="restart"/>
            <w:tcBorders>
              <w:top w:val="single" w:sz="4" w:space="0" w:color="auto"/>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val="en-US" w:eastAsia="en-AU"/>
              </w:rPr>
            </w:pPr>
            <w:r w:rsidRPr="00833C03">
              <w:rPr>
                <w:rFonts w:ascii="Arial Narrow" w:hAnsi="Arial Narrow"/>
                <w:color w:val="000000"/>
                <w:sz w:val="20"/>
                <w:lang w:val="en-US" w:eastAsia="en-AU"/>
              </w:rPr>
              <w:t>GMC</w:t>
            </w: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Pre</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297</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13.9</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12.0, 16.2</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297</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14.5</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12.2, 17.2</w:t>
            </w:r>
          </w:p>
        </w:tc>
        <w:tc>
          <w:tcPr>
            <w:tcW w:w="2000" w:type="pct"/>
            <w:gridSpan w:val="6"/>
            <w:vMerge/>
            <w:tcBorders>
              <w:left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r w:rsidR="00816944" w:rsidRPr="00833C03" w:rsidTr="00F03B52">
        <w:trPr>
          <w:cantSplit/>
          <w:trHeight w:val="20"/>
          <w:jc w:val="center"/>
        </w:trPr>
        <w:tc>
          <w:tcPr>
            <w:tcW w:w="554" w:type="pct"/>
            <w:vMerge/>
            <w:tcBorders>
              <w:left w:val="single" w:sz="4" w:space="0" w:color="auto"/>
              <w:right w:val="single" w:sz="4" w:space="0" w:color="auto"/>
            </w:tcBorders>
          </w:tcPr>
          <w:p w:rsidR="00816944" w:rsidRPr="00833C03" w:rsidRDefault="00816944" w:rsidP="00F03B52">
            <w:pPr>
              <w:jc w:val="left"/>
              <w:rPr>
                <w:rFonts w:ascii="Arial Narrow" w:hAnsi="Arial Narrow"/>
                <w:color w:val="000000"/>
                <w:sz w:val="20"/>
                <w:lang w:val="en-US" w:eastAsia="en-AU"/>
              </w:rPr>
            </w:pPr>
          </w:p>
        </w:tc>
        <w:tc>
          <w:tcPr>
            <w:tcW w:w="28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Post</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305</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1203</w:t>
            </w:r>
          </w:p>
        </w:tc>
        <w:tc>
          <w:tcPr>
            <w:tcW w:w="55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r w:rsidRPr="00833C03">
              <w:rPr>
                <w:rFonts w:ascii="Arial Narrow" w:hAnsi="Arial Narrow"/>
                <w:color w:val="000000"/>
                <w:sz w:val="20"/>
                <w:lang w:eastAsia="en-AU"/>
              </w:rPr>
              <w:t>1004, 1442</w:t>
            </w:r>
          </w:p>
        </w:tc>
        <w:tc>
          <w:tcPr>
            <w:tcW w:w="166"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301</w:t>
            </w:r>
          </w:p>
        </w:tc>
        <w:tc>
          <w:tcPr>
            <w:tcW w:w="389"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26.6</w:t>
            </w:r>
          </w:p>
        </w:tc>
        <w:tc>
          <w:tcPr>
            <w:tcW w:w="500" w:type="pct"/>
            <w:tcBorders>
              <w:top w:val="single" w:sz="4" w:space="0" w:color="auto"/>
              <w:left w:val="single" w:sz="4" w:space="0" w:color="auto"/>
              <w:bottom w:val="single" w:sz="4" w:space="0" w:color="auto"/>
              <w:right w:val="single" w:sz="4" w:space="0" w:color="auto"/>
            </w:tcBorders>
          </w:tcPr>
          <w:p w:rsidR="00816944" w:rsidRPr="00833C03" w:rsidRDefault="00816944" w:rsidP="00F03B52">
            <w:pPr>
              <w:widowControl/>
              <w:jc w:val="center"/>
              <w:rPr>
                <w:rFonts w:ascii="Arial Narrow" w:hAnsi="Arial Narrow" w:cs="Times New Roman"/>
                <w:snapToGrid/>
                <w:color w:val="000000"/>
                <w:sz w:val="20"/>
                <w:lang w:eastAsia="en-AU"/>
              </w:rPr>
            </w:pPr>
            <w:r w:rsidRPr="00833C03">
              <w:rPr>
                <w:rFonts w:ascii="Arial Narrow" w:hAnsi="Arial Narrow" w:cs="Times New Roman"/>
                <w:snapToGrid/>
                <w:color w:val="000000"/>
                <w:sz w:val="20"/>
                <w:lang w:eastAsia="en-AU"/>
              </w:rPr>
              <w:t>22.2, 31.8</w:t>
            </w:r>
          </w:p>
        </w:tc>
        <w:tc>
          <w:tcPr>
            <w:tcW w:w="2000" w:type="pct"/>
            <w:gridSpan w:val="6"/>
            <w:vMerge/>
            <w:tcBorders>
              <w:left w:val="single" w:sz="4" w:space="0" w:color="auto"/>
              <w:bottom w:val="single" w:sz="4" w:space="0" w:color="auto"/>
              <w:right w:val="single" w:sz="4" w:space="0" w:color="auto"/>
            </w:tcBorders>
          </w:tcPr>
          <w:p w:rsidR="00816944" w:rsidRPr="00833C03" w:rsidRDefault="00816944" w:rsidP="00F03B52">
            <w:pPr>
              <w:jc w:val="center"/>
              <w:rPr>
                <w:rFonts w:ascii="Arial Narrow" w:hAnsi="Arial Narrow"/>
                <w:color w:val="000000"/>
                <w:sz w:val="20"/>
                <w:lang w:eastAsia="en-AU"/>
              </w:rPr>
            </w:pPr>
          </w:p>
        </w:tc>
      </w:tr>
    </w:tbl>
    <w:p w:rsidR="00816944" w:rsidRDefault="00816944" w:rsidP="00816944">
      <w:pPr>
        <w:widowControl/>
        <w:rPr>
          <w:rFonts w:ascii="Arial Narrow" w:hAnsi="Arial Narrow"/>
          <w:sz w:val="18"/>
        </w:rPr>
      </w:pPr>
    </w:p>
    <w:p w:rsidR="00816944" w:rsidRPr="00371EDF" w:rsidRDefault="00816944" w:rsidP="00816944">
      <w:pPr>
        <w:widowControl/>
        <w:rPr>
          <w:rFonts w:ascii="Arial Narrow" w:hAnsi="Arial Narrow"/>
          <w:sz w:val="18"/>
        </w:rPr>
      </w:pPr>
      <w:r w:rsidRPr="00A11477">
        <w:rPr>
          <w:rFonts w:ascii="Arial Narrow" w:hAnsi="Arial Narrow"/>
          <w:b/>
          <w:noProof/>
          <w:snapToGrid/>
          <w:color w:val="000000"/>
          <w:szCs w:val="22"/>
          <w:lang w:eastAsia="en-AU"/>
        </w:rPr>
        <mc:AlternateContent>
          <mc:Choice Requires="wps">
            <w:drawing>
              <wp:anchor distT="0" distB="0" distL="114300" distR="114300" simplePos="0" relativeHeight="251679744" behindDoc="0" locked="0" layoutInCell="1" allowOverlap="1" wp14:anchorId="62BDEE76" wp14:editId="62E5BA3D">
                <wp:simplePos x="0" y="0"/>
                <wp:positionH relativeFrom="margin">
                  <wp:align>right</wp:align>
                </wp:positionH>
                <wp:positionV relativeFrom="paragraph">
                  <wp:posOffset>-1941830</wp:posOffset>
                </wp:positionV>
                <wp:extent cx="3520440" cy="1897380"/>
                <wp:effectExtent l="0" t="0" r="22860" b="26670"/>
                <wp:wrapNone/>
                <wp:docPr id="25" name="Straight Connector 25" title="Table 5: Results of vaccine efficacy across the direct randomised trials "/>
                <wp:cNvGraphicFramePr/>
                <a:graphic xmlns:a="http://schemas.openxmlformats.org/drawingml/2006/main">
                  <a:graphicData uri="http://schemas.microsoft.com/office/word/2010/wordprocessingShape">
                    <wps:wsp>
                      <wps:cNvCnPr/>
                      <wps:spPr>
                        <a:xfrm>
                          <a:off x="0" y="0"/>
                          <a:ext cx="3520440" cy="1897380"/>
                        </a:xfrm>
                        <a:prstGeom prst="line">
                          <a:avLst/>
                        </a:prstGeom>
                        <a:noFill/>
                        <a:ln w="6350" cap="flat" cmpd="sng" algn="ctr">
                          <a:solidFill>
                            <a:sysClr val="window" lastClr="FFFFFF">
                              <a:lumMod val="9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alt="Title: Table 5: Results of vaccine efficacy across the direct randomised trials "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6pt,-152.9pt" to="50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" strokecolor="#f2f2f2" strokeweight=".5pt">
                <v:stroke joinstyle="miter"/>
                <w10:wrap anchorx="margin"/>
              </v:line>
            </w:pict>
          </mc:Fallback>
        </mc:AlternateContent>
      </w:r>
      <w:r w:rsidRPr="00371EDF">
        <w:rPr>
          <w:rFonts w:ascii="Arial Narrow" w:hAnsi="Arial Narrow"/>
          <w:sz w:val="18"/>
        </w:rPr>
        <w:t xml:space="preserve">Abbreviations: </w:t>
      </w:r>
      <w:r>
        <w:rPr>
          <w:rFonts w:ascii="Arial Narrow" w:hAnsi="Arial Narrow"/>
          <w:sz w:val="18"/>
        </w:rPr>
        <w:t xml:space="preserve">dTPa- diphtheria, tetanus and pertussis; </w:t>
      </w:r>
      <w:r w:rsidRPr="00921760">
        <w:rPr>
          <w:rFonts w:ascii="Arial Narrow" w:hAnsi="Arial Narrow"/>
          <w:sz w:val="18"/>
        </w:rPr>
        <w:t>dTpa 3v</w:t>
      </w:r>
      <w:r>
        <w:rPr>
          <w:rFonts w:ascii="Arial Narrow" w:hAnsi="Arial Narrow"/>
          <w:sz w:val="18"/>
        </w:rPr>
        <w:t xml:space="preserve">- Boostrix; </w:t>
      </w:r>
      <w:r w:rsidRPr="00921760">
        <w:rPr>
          <w:rFonts w:ascii="Arial Narrow" w:hAnsi="Arial Narrow"/>
          <w:sz w:val="18"/>
        </w:rPr>
        <w:t xml:space="preserve">dTpa </w:t>
      </w:r>
      <w:r>
        <w:rPr>
          <w:rFonts w:ascii="Arial Narrow" w:hAnsi="Arial Narrow"/>
          <w:sz w:val="18"/>
        </w:rPr>
        <w:t>5</w:t>
      </w:r>
      <w:r w:rsidRPr="00921760">
        <w:rPr>
          <w:rFonts w:ascii="Arial Narrow" w:hAnsi="Arial Narrow"/>
          <w:sz w:val="18"/>
        </w:rPr>
        <w:t>v</w:t>
      </w:r>
      <w:r>
        <w:rPr>
          <w:rFonts w:ascii="Arial Narrow" w:hAnsi="Arial Narrow"/>
          <w:sz w:val="18"/>
        </w:rPr>
        <w:t xml:space="preserve">-Adacel; </w:t>
      </w:r>
      <w:r w:rsidRPr="00371EDF">
        <w:rPr>
          <w:rFonts w:ascii="Arial Narrow" w:hAnsi="Arial Narrow"/>
          <w:sz w:val="18"/>
        </w:rPr>
        <w:t>BR-Booster Response; GMC- Geometric Mean Concentration; GMT- Geometric Mean Titre; GMFR-</w:t>
      </w:r>
      <w:r w:rsidRPr="00371EDF">
        <w:rPr>
          <w:rFonts w:ascii="Times New Roman" w:eastAsia="Calibri" w:hAnsi="Times New Roman" w:cs="Times New Roman"/>
          <w:snapToGrid/>
          <w:sz w:val="16"/>
          <w:szCs w:val="16"/>
        </w:rPr>
        <w:t xml:space="preserve"> </w:t>
      </w:r>
      <w:r w:rsidRPr="00371EDF">
        <w:rPr>
          <w:rFonts w:ascii="Arial Narrow" w:hAnsi="Arial Narrow"/>
          <w:sz w:val="18"/>
        </w:rPr>
        <w:t>Geometric Mean Fold Rises; EU/ml - ELISA Units per millilitre</w:t>
      </w:r>
      <w:r w:rsidRPr="00371EDF">
        <w:rPr>
          <w:rFonts w:ascii="Arial Narrow" w:hAnsi="Arial Narrow" w:hint="eastAsia"/>
          <w:sz w:val="18"/>
        </w:rPr>
        <w:t xml:space="preserve">; </w:t>
      </w:r>
      <w:r w:rsidRPr="00371EDF">
        <w:rPr>
          <w:rFonts w:ascii="Arial Narrow" w:hAnsi="Arial Narrow"/>
          <w:sz w:val="18"/>
        </w:rPr>
        <w:t xml:space="preserve">PT- Pertussis Toxoid; FHA- </w:t>
      </w:r>
      <w:r w:rsidRPr="00371EDF">
        <w:rPr>
          <w:rFonts w:ascii="Arial Narrow" w:hAnsi="Arial Narrow"/>
          <w:bCs/>
          <w:sz w:val="18"/>
        </w:rPr>
        <w:t>Filamentous Hemagglutinin; PRN = Pertactin; FIM = Fimbriae types 2 and 3</w:t>
      </w:r>
      <w:r w:rsidRPr="00371EDF">
        <w:rPr>
          <w:rFonts w:ascii="Arial Narrow" w:hAnsi="Arial Narrow"/>
          <w:sz w:val="18"/>
        </w:rPr>
        <w:t>; 95%CI- 95% Confidence Interval</w:t>
      </w:r>
    </w:p>
    <w:p w:rsidR="00816944" w:rsidRPr="00371EDF" w:rsidRDefault="00816944" w:rsidP="00816944">
      <w:pPr>
        <w:widowControl/>
        <w:rPr>
          <w:rFonts w:ascii="Arial Narrow" w:hAnsi="Arial Narrow"/>
          <w:b/>
          <w:sz w:val="20"/>
          <w:szCs w:val="16"/>
        </w:rPr>
      </w:pPr>
      <w:r w:rsidRPr="00371EDF">
        <w:rPr>
          <w:rFonts w:ascii="Arial Narrow" w:hAnsi="Arial Narrow"/>
          <w:sz w:val="18"/>
        </w:rPr>
        <w:t>Source: Table B.6.1 p55 of the submission, Table B.6.3 p57 of the submission, Table B.6.4-7 p58 of the submission</w:t>
      </w:r>
    </w:p>
    <w:p w:rsidR="00FA2209" w:rsidRDefault="00FA2209" w:rsidP="00634DD7">
      <w:pPr>
        <w:rPr>
          <w:rFonts w:ascii="Arial Narrow" w:hAnsi="Arial Narrow"/>
          <w:sz w:val="18"/>
        </w:rPr>
        <w:sectPr w:rsidR="00FA2209" w:rsidSect="00634DD7">
          <w:pgSz w:w="16840" w:h="11907" w:orient="landscape" w:code="9"/>
          <w:pgMar w:top="1440" w:right="1440" w:bottom="1440" w:left="1440" w:header="1440" w:footer="1440" w:gutter="0"/>
          <w:cols w:space="708"/>
          <w:docGrid w:linePitch="360"/>
        </w:sectPr>
      </w:pPr>
    </w:p>
    <w:p w:rsidR="00C23717" w:rsidRDefault="00C23717" w:rsidP="00634DD7">
      <w:pPr>
        <w:rPr>
          <w:rFonts w:ascii="Arial Narrow" w:hAnsi="Arial Narrow"/>
          <w:sz w:val="18"/>
        </w:rPr>
      </w:pPr>
    </w:p>
    <w:p w:rsidR="00C23717" w:rsidRPr="003F007E" w:rsidRDefault="003F007E" w:rsidP="003F007E">
      <w:pPr>
        <w:keepNext/>
        <w:widowControl/>
        <w:rPr>
          <w:rFonts w:ascii="Arial Narrow" w:hAnsi="Arial Narrow"/>
          <w:b/>
          <w:sz w:val="20"/>
          <w:szCs w:val="16"/>
        </w:rPr>
      </w:pPr>
      <w:r w:rsidRPr="001F7361">
        <w:rPr>
          <w:rStyle w:val="CommentReference"/>
        </w:rPr>
        <w:t xml:space="preserve">Table </w:t>
      </w:r>
      <w:r w:rsidR="007A650F">
        <w:rPr>
          <w:rStyle w:val="CommentReference"/>
        </w:rPr>
        <w:t>6</w:t>
      </w:r>
      <w:r>
        <w:rPr>
          <w:rStyle w:val="CommentReference"/>
        </w:rPr>
        <w:t xml:space="preserve">: </w:t>
      </w:r>
      <w:r w:rsidRPr="001F7361">
        <w:rPr>
          <w:rStyle w:val="CommentReference"/>
        </w:rPr>
        <w:t xml:space="preserve">Results of </w:t>
      </w:r>
      <w:r>
        <w:rPr>
          <w:rStyle w:val="CommentReference"/>
        </w:rPr>
        <w:t>vaccine efficacy</w:t>
      </w:r>
      <w:r w:rsidRPr="001F7361">
        <w:rPr>
          <w:rStyle w:val="CommentReference"/>
        </w:rPr>
        <w:t xml:space="preserve"> </w:t>
      </w:r>
      <w:r>
        <w:rPr>
          <w:rStyle w:val="CommentReference"/>
        </w:rPr>
        <w:t>in the key observational study</w:t>
      </w:r>
    </w:p>
    <w:tbl>
      <w:tblPr>
        <w:tblStyle w:val="TableGrid"/>
        <w:tblW w:w="5000" w:type="pct"/>
        <w:tblCellMar>
          <w:left w:w="57" w:type="dxa"/>
          <w:right w:w="57" w:type="dxa"/>
        </w:tblCellMar>
        <w:tblLook w:val="04A0" w:firstRow="1" w:lastRow="0" w:firstColumn="1" w:lastColumn="0" w:noHBand="0" w:noVBand="1"/>
        <w:tblCaption w:val="Table 6: Results of vaccine efficacy in the key observational study"/>
      </w:tblPr>
      <w:tblGrid>
        <w:gridCol w:w="3726"/>
        <w:gridCol w:w="1693"/>
        <w:gridCol w:w="2398"/>
        <w:gridCol w:w="1323"/>
      </w:tblGrid>
      <w:tr w:rsidR="00C23717" w:rsidRPr="00703590" w:rsidTr="00E20358">
        <w:trPr>
          <w:trHeight w:val="493"/>
          <w:tblHeader/>
        </w:trPr>
        <w:tc>
          <w:tcPr>
            <w:tcW w:w="2038" w:type="pct"/>
          </w:tcPr>
          <w:p w:rsidR="00C23717" w:rsidRPr="00703590" w:rsidRDefault="00C23717" w:rsidP="00C23717">
            <w:pPr>
              <w:rPr>
                <w:rFonts w:ascii="Arial Narrow" w:hAnsi="Arial Narrow"/>
                <w:b/>
                <w:sz w:val="20"/>
              </w:rPr>
            </w:pPr>
            <w:r w:rsidRPr="00703590">
              <w:rPr>
                <w:rFonts w:ascii="Arial Narrow" w:hAnsi="Arial Narrow"/>
                <w:b/>
                <w:sz w:val="20"/>
              </w:rPr>
              <w:t>Infant age/vaccination timing</w:t>
            </w:r>
          </w:p>
        </w:tc>
        <w:tc>
          <w:tcPr>
            <w:tcW w:w="926" w:type="pct"/>
            <w:vAlign w:val="center"/>
          </w:tcPr>
          <w:p w:rsidR="00C23717" w:rsidRPr="00703590" w:rsidRDefault="00C23717" w:rsidP="003F007E">
            <w:pPr>
              <w:jc w:val="center"/>
              <w:rPr>
                <w:rFonts w:ascii="Arial Narrow" w:hAnsi="Arial Narrow"/>
                <w:b/>
                <w:sz w:val="20"/>
              </w:rPr>
            </w:pPr>
            <w:r w:rsidRPr="00703590">
              <w:rPr>
                <w:rFonts w:ascii="Arial Narrow" w:hAnsi="Arial Narrow"/>
                <w:b/>
                <w:sz w:val="20"/>
              </w:rPr>
              <w:t>Pertussis cases vaccinated / total</w:t>
            </w:r>
          </w:p>
          <w:p w:rsidR="00C23717" w:rsidRPr="00703590" w:rsidRDefault="00C23717" w:rsidP="003F007E">
            <w:pPr>
              <w:jc w:val="center"/>
              <w:rPr>
                <w:rFonts w:ascii="Arial Narrow" w:hAnsi="Arial Narrow"/>
                <w:b/>
                <w:sz w:val="20"/>
              </w:rPr>
            </w:pPr>
            <w:r w:rsidRPr="00703590">
              <w:rPr>
                <w:rFonts w:ascii="Arial Narrow" w:hAnsi="Arial Narrow"/>
                <w:b/>
                <w:sz w:val="20"/>
              </w:rPr>
              <w:t>n/N (%)</w:t>
            </w:r>
          </w:p>
        </w:tc>
        <w:tc>
          <w:tcPr>
            <w:tcW w:w="1312" w:type="pct"/>
            <w:vAlign w:val="center"/>
          </w:tcPr>
          <w:p w:rsidR="00C23717" w:rsidRPr="00703590" w:rsidRDefault="00C23717" w:rsidP="003F007E">
            <w:pPr>
              <w:jc w:val="center"/>
              <w:rPr>
                <w:rFonts w:ascii="Arial Narrow" w:hAnsi="Arial Narrow"/>
                <w:b/>
                <w:sz w:val="20"/>
              </w:rPr>
            </w:pPr>
            <w:r w:rsidRPr="00703590">
              <w:rPr>
                <w:rFonts w:ascii="Arial Narrow" w:hAnsi="Arial Narrow"/>
                <w:b/>
                <w:sz w:val="20"/>
              </w:rPr>
              <w:t>Matched coverage (%) /</w:t>
            </w:r>
          </w:p>
          <w:p w:rsidR="00C23717" w:rsidRPr="00703590" w:rsidRDefault="00C23717" w:rsidP="003F007E">
            <w:pPr>
              <w:jc w:val="center"/>
              <w:rPr>
                <w:rFonts w:ascii="Arial Narrow" w:hAnsi="Arial Narrow"/>
                <w:b/>
                <w:sz w:val="20"/>
              </w:rPr>
            </w:pPr>
            <w:r w:rsidRPr="00703590">
              <w:rPr>
                <w:rFonts w:ascii="Arial Narrow" w:hAnsi="Arial Narrow"/>
                <w:b/>
                <w:sz w:val="20"/>
              </w:rPr>
              <w:t>Vaccinated controls n/N (%)</w:t>
            </w:r>
          </w:p>
        </w:tc>
        <w:tc>
          <w:tcPr>
            <w:tcW w:w="724" w:type="pct"/>
            <w:vAlign w:val="center"/>
          </w:tcPr>
          <w:p w:rsidR="00C23717" w:rsidRPr="00703590" w:rsidRDefault="00C23717" w:rsidP="003F007E">
            <w:pPr>
              <w:jc w:val="center"/>
              <w:rPr>
                <w:rFonts w:ascii="Arial Narrow" w:hAnsi="Arial Narrow"/>
                <w:b/>
                <w:sz w:val="20"/>
              </w:rPr>
            </w:pPr>
            <w:r w:rsidRPr="00703590">
              <w:rPr>
                <w:rFonts w:ascii="Arial Narrow" w:hAnsi="Arial Narrow"/>
                <w:b/>
                <w:sz w:val="20"/>
              </w:rPr>
              <w:t>VE: %</w:t>
            </w:r>
          </w:p>
          <w:p w:rsidR="00C23717" w:rsidRPr="00703590" w:rsidRDefault="00C23717" w:rsidP="003F007E">
            <w:pPr>
              <w:jc w:val="center"/>
              <w:rPr>
                <w:rFonts w:ascii="Arial Narrow" w:hAnsi="Arial Narrow"/>
                <w:b/>
                <w:sz w:val="20"/>
              </w:rPr>
            </w:pPr>
            <w:r w:rsidRPr="00703590">
              <w:rPr>
                <w:rFonts w:ascii="Arial Narrow" w:hAnsi="Arial Narrow"/>
                <w:b/>
                <w:sz w:val="20"/>
              </w:rPr>
              <w:t>(95% CI)</w:t>
            </w:r>
          </w:p>
        </w:tc>
      </w:tr>
      <w:tr w:rsidR="00C23717" w:rsidRPr="00703590" w:rsidTr="00C23717">
        <w:tc>
          <w:tcPr>
            <w:tcW w:w="5000" w:type="pct"/>
            <w:gridSpan w:val="4"/>
          </w:tcPr>
          <w:p w:rsidR="00C23717" w:rsidRPr="00703590" w:rsidRDefault="00C23717" w:rsidP="00C23717">
            <w:pPr>
              <w:rPr>
                <w:rFonts w:ascii="Arial Narrow" w:hAnsi="Arial Narrow"/>
                <w:b/>
                <w:sz w:val="20"/>
              </w:rPr>
            </w:pPr>
            <w:r w:rsidRPr="00703590">
              <w:rPr>
                <w:rFonts w:ascii="Arial Narrow" w:hAnsi="Arial Narrow"/>
                <w:b/>
                <w:sz w:val="20"/>
              </w:rPr>
              <w:t>Amirthalingam 2016 : Screening Method</w:t>
            </w:r>
          </w:p>
        </w:tc>
      </w:tr>
      <w:tr w:rsidR="00C23717" w:rsidRPr="00703590" w:rsidTr="00C23717">
        <w:tc>
          <w:tcPr>
            <w:tcW w:w="5000" w:type="pct"/>
            <w:gridSpan w:val="4"/>
          </w:tcPr>
          <w:p w:rsidR="00C23717" w:rsidRPr="00703590" w:rsidRDefault="00C23717" w:rsidP="006F18D1">
            <w:pPr>
              <w:rPr>
                <w:rFonts w:ascii="Arial Narrow" w:hAnsi="Arial Narrow"/>
                <w:sz w:val="20"/>
              </w:rPr>
            </w:pPr>
            <w:r w:rsidRPr="00703590">
              <w:rPr>
                <w:rFonts w:ascii="Arial Narrow" w:hAnsi="Arial Narrow"/>
                <w:sz w:val="20"/>
              </w:rPr>
              <w:t xml:space="preserve">Maternal pertussis VE by vaccine product </w:t>
            </w:r>
            <w:r w:rsidR="006F18D1" w:rsidRPr="00703590">
              <w:rPr>
                <w:rFonts w:ascii="Arial Narrow" w:hAnsi="Arial Narrow"/>
                <w:sz w:val="20"/>
              </w:rPr>
              <w:t>^</w:t>
            </w:r>
          </w:p>
        </w:tc>
      </w:tr>
      <w:tr w:rsidR="00C23717" w:rsidRPr="00703590" w:rsidTr="003F007E">
        <w:tc>
          <w:tcPr>
            <w:tcW w:w="2038" w:type="pct"/>
          </w:tcPr>
          <w:p w:rsidR="00C23717" w:rsidRPr="00703590" w:rsidRDefault="00C23717" w:rsidP="000D6907">
            <w:pPr>
              <w:rPr>
                <w:rFonts w:ascii="Arial Narrow" w:hAnsi="Arial Narrow"/>
                <w:sz w:val="20"/>
              </w:rPr>
            </w:pPr>
            <w:r w:rsidRPr="00703590">
              <w:rPr>
                <w:rFonts w:ascii="Arial Narrow" w:hAnsi="Arial Narrow"/>
                <w:sz w:val="20"/>
              </w:rPr>
              <w:t xml:space="preserve">   Repevax (Adacel</w:t>
            </w:r>
            <w:r w:rsidR="000D6907" w:rsidRPr="00703590">
              <w:rPr>
                <w:rFonts w:ascii="Arial Narrow" w:hAnsi="Arial Narrow"/>
                <w:sz w:val="20"/>
              </w:rPr>
              <w:t>+</w:t>
            </w:r>
            <w:r w:rsidRPr="00703590">
              <w:rPr>
                <w:rFonts w:ascii="Arial Narrow" w:hAnsi="Arial Narrow"/>
                <w:sz w:val="20"/>
              </w:rPr>
              <w:t>Polio)</w:t>
            </w:r>
          </w:p>
        </w:tc>
        <w:tc>
          <w:tcPr>
            <w:tcW w:w="926" w:type="pct"/>
            <w:vAlign w:val="center"/>
          </w:tcPr>
          <w:p w:rsidR="00C23717" w:rsidRPr="00703590" w:rsidRDefault="00C23717" w:rsidP="003F007E">
            <w:pPr>
              <w:jc w:val="center"/>
              <w:rPr>
                <w:rFonts w:ascii="Arial Narrow" w:hAnsi="Arial Narrow"/>
                <w:sz w:val="20"/>
              </w:rPr>
            </w:pPr>
            <w:r w:rsidRPr="00703590">
              <w:rPr>
                <w:rFonts w:ascii="Arial Narrow" w:hAnsi="Arial Narrow"/>
                <w:sz w:val="20"/>
              </w:rPr>
              <w:t>35/243 (14.4%)</w:t>
            </w:r>
          </w:p>
          <w:p w:rsidR="00C23717" w:rsidRPr="00703590" w:rsidRDefault="00C23717" w:rsidP="003F007E">
            <w:pPr>
              <w:jc w:val="center"/>
              <w:rPr>
                <w:rFonts w:ascii="Arial Narrow" w:hAnsi="Arial Narrow"/>
                <w:sz w:val="20"/>
              </w:rPr>
            </w:pPr>
            <w:r w:rsidRPr="00703590">
              <w:rPr>
                <w:rFonts w:ascii="Arial Narrow" w:hAnsi="Arial Narrow"/>
                <w:sz w:val="20"/>
              </w:rPr>
              <w:t>(</w:t>
            </w:r>
            <w:r w:rsidR="004A1993" w:rsidRPr="00703590">
              <w:rPr>
                <w:rFonts w:ascii="Arial Narrow" w:hAnsi="Arial Narrow"/>
                <w:sz w:val="20"/>
              </w:rPr>
              <w:t>*</w:t>
            </w:r>
            <w:r w:rsidRPr="00703590">
              <w:rPr>
                <w:rFonts w:ascii="Arial Narrow" w:hAnsi="Arial Narrow"/>
                <w:sz w:val="20"/>
              </w:rPr>
              <w:t>Should be 20/172 (11.6%))</w:t>
            </w:r>
          </w:p>
        </w:tc>
        <w:tc>
          <w:tcPr>
            <w:tcW w:w="1312" w:type="pct"/>
            <w:vAlign w:val="center"/>
          </w:tcPr>
          <w:p w:rsidR="00C23717" w:rsidRPr="00703590" w:rsidRDefault="00C23717" w:rsidP="003F007E">
            <w:pPr>
              <w:jc w:val="center"/>
              <w:rPr>
                <w:rFonts w:ascii="Arial Narrow" w:hAnsi="Arial Narrow"/>
                <w:sz w:val="20"/>
              </w:rPr>
            </w:pPr>
            <w:r w:rsidRPr="00703590">
              <w:rPr>
                <w:rFonts w:ascii="Arial Narrow" w:hAnsi="Arial Narrow"/>
                <w:sz w:val="20"/>
              </w:rPr>
              <w:t>64.8%</w:t>
            </w:r>
          </w:p>
          <w:p w:rsidR="00C23717" w:rsidRPr="00703590" w:rsidRDefault="00C23717" w:rsidP="003F007E">
            <w:pPr>
              <w:jc w:val="center"/>
              <w:rPr>
                <w:rFonts w:ascii="Arial Narrow" w:hAnsi="Arial Narrow"/>
                <w:sz w:val="20"/>
              </w:rPr>
            </w:pPr>
            <w:r w:rsidRPr="00703590">
              <w:rPr>
                <w:rFonts w:ascii="Arial Narrow" w:hAnsi="Arial Narrow"/>
                <w:sz w:val="20"/>
              </w:rPr>
              <w:t>(</w:t>
            </w:r>
            <w:r w:rsidR="004A1993" w:rsidRPr="00703590">
              <w:rPr>
                <w:rFonts w:ascii="Arial Narrow" w:hAnsi="Arial Narrow"/>
                <w:sz w:val="20"/>
              </w:rPr>
              <w:t>*</w:t>
            </w:r>
            <w:r w:rsidRPr="00703590">
              <w:rPr>
                <w:rFonts w:ascii="Arial Narrow" w:hAnsi="Arial Narrow"/>
                <w:sz w:val="20"/>
              </w:rPr>
              <w:t>Should be 63.1%)</w:t>
            </w:r>
          </w:p>
        </w:tc>
        <w:tc>
          <w:tcPr>
            <w:tcW w:w="724" w:type="pct"/>
            <w:vAlign w:val="center"/>
          </w:tcPr>
          <w:p w:rsidR="00C23717" w:rsidRPr="00703590" w:rsidRDefault="00C23717" w:rsidP="003F007E">
            <w:pPr>
              <w:jc w:val="center"/>
              <w:rPr>
                <w:rFonts w:ascii="Arial Narrow" w:hAnsi="Arial Narrow"/>
                <w:sz w:val="20"/>
              </w:rPr>
            </w:pPr>
            <w:r w:rsidRPr="00703590">
              <w:rPr>
                <w:rFonts w:ascii="Arial Narrow" w:hAnsi="Arial Narrow"/>
                <w:sz w:val="20"/>
              </w:rPr>
              <w:t>91% (88, 94)</w:t>
            </w:r>
          </w:p>
          <w:p w:rsidR="00C23717" w:rsidRPr="00703590" w:rsidRDefault="00C23717" w:rsidP="003F007E">
            <w:pPr>
              <w:jc w:val="center"/>
              <w:rPr>
                <w:rFonts w:ascii="Arial Narrow" w:hAnsi="Arial Narrow"/>
                <w:sz w:val="20"/>
              </w:rPr>
            </w:pPr>
            <w:r w:rsidRPr="00703590">
              <w:rPr>
                <w:rFonts w:ascii="Arial Narrow" w:hAnsi="Arial Narrow"/>
                <w:sz w:val="20"/>
              </w:rPr>
              <w:t>(</w:t>
            </w:r>
            <w:r w:rsidR="004A1993" w:rsidRPr="00703590">
              <w:rPr>
                <w:rFonts w:ascii="Arial Narrow" w:hAnsi="Arial Narrow"/>
                <w:sz w:val="20"/>
              </w:rPr>
              <w:t>*</w:t>
            </w:r>
            <w:r w:rsidRPr="00703590">
              <w:rPr>
                <w:rFonts w:ascii="Arial Narrow" w:hAnsi="Arial Narrow"/>
                <w:sz w:val="20"/>
              </w:rPr>
              <w:t>Should be 93% (89, 95))</w:t>
            </w:r>
          </w:p>
        </w:tc>
      </w:tr>
      <w:tr w:rsidR="00C23717" w:rsidRPr="00703590" w:rsidTr="003F007E">
        <w:tc>
          <w:tcPr>
            <w:tcW w:w="2038" w:type="pct"/>
          </w:tcPr>
          <w:p w:rsidR="00C23717" w:rsidRPr="00703590" w:rsidRDefault="00C23717" w:rsidP="000D6907">
            <w:pPr>
              <w:rPr>
                <w:rFonts w:ascii="Arial Narrow" w:hAnsi="Arial Narrow"/>
                <w:sz w:val="20"/>
              </w:rPr>
            </w:pPr>
            <w:r w:rsidRPr="00703590">
              <w:rPr>
                <w:rFonts w:ascii="Arial Narrow" w:hAnsi="Arial Narrow"/>
                <w:sz w:val="20"/>
              </w:rPr>
              <w:t xml:space="preserve">   </w:t>
            </w:r>
            <w:r w:rsidR="00CE16AC" w:rsidRPr="00703590">
              <w:rPr>
                <w:rFonts w:ascii="Arial Narrow" w:hAnsi="Arial Narrow"/>
                <w:sz w:val="20"/>
              </w:rPr>
              <w:t>Boostrix-IPV (</w:t>
            </w:r>
            <w:r w:rsidRPr="00703590">
              <w:rPr>
                <w:rFonts w:ascii="Arial Narrow" w:hAnsi="Arial Narrow"/>
                <w:sz w:val="20"/>
              </w:rPr>
              <w:t>Boostrix</w:t>
            </w:r>
            <w:r w:rsidR="000D6907" w:rsidRPr="00703590">
              <w:rPr>
                <w:rFonts w:ascii="Arial Narrow" w:hAnsi="Arial Narrow"/>
                <w:sz w:val="20"/>
              </w:rPr>
              <w:t>+</w:t>
            </w:r>
            <w:r w:rsidRPr="00703590">
              <w:rPr>
                <w:rFonts w:ascii="Arial Narrow" w:hAnsi="Arial Narrow"/>
                <w:sz w:val="20"/>
              </w:rPr>
              <w:t>Polio</w:t>
            </w:r>
            <w:r w:rsidR="00CE16AC" w:rsidRPr="00703590">
              <w:rPr>
                <w:rFonts w:ascii="Arial Narrow" w:hAnsi="Arial Narrow"/>
                <w:sz w:val="20"/>
              </w:rPr>
              <w:t>)</w:t>
            </w:r>
          </w:p>
        </w:tc>
        <w:tc>
          <w:tcPr>
            <w:tcW w:w="926" w:type="pct"/>
            <w:vAlign w:val="center"/>
          </w:tcPr>
          <w:p w:rsidR="00C23717" w:rsidRPr="00703590" w:rsidRDefault="00C23717" w:rsidP="003F007E">
            <w:pPr>
              <w:jc w:val="center"/>
              <w:rPr>
                <w:rFonts w:ascii="Arial Narrow" w:hAnsi="Arial Narrow"/>
                <w:sz w:val="20"/>
              </w:rPr>
            </w:pPr>
            <w:r w:rsidRPr="00703590">
              <w:rPr>
                <w:rFonts w:ascii="Arial Narrow" w:hAnsi="Arial Narrow"/>
                <w:sz w:val="20"/>
              </w:rPr>
              <w:t>31/192 (16.1%)</w:t>
            </w:r>
          </w:p>
          <w:p w:rsidR="00C23717" w:rsidRPr="00703590" w:rsidRDefault="00C23717" w:rsidP="003F007E">
            <w:pPr>
              <w:jc w:val="center"/>
              <w:rPr>
                <w:rFonts w:ascii="Arial Narrow" w:hAnsi="Arial Narrow"/>
                <w:sz w:val="20"/>
              </w:rPr>
            </w:pPr>
            <w:r w:rsidRPr="00703590">
              <w:rPr>
                <w:rFonts w:ascii="Arial Narrow" w:hAnsi="Arial Narrow"/>
                <w:sz w:val="20"/>
              </w:rPr>
              <w:t>(</w:t>
            </w:r>
            <w:r w:rsidR="004A1993" w:rsidRPr="00703590">
              <w:rPr>
                <w:rFonts w:ascii="Arial Narrow" w:hAnsi="Arial Narrow"/>
                <w:sz w:val="20"/>
              </w:rPr>
              <w:t>*</w:t>
            </w:r>
            <w:r w:rsidRPr="00703590">
              <w:rPr>
                <w:rFonts w:ascii="Arial Narrow" w:hAnsi="Arial Narrow"/>
                <w:sz w:val="20"/>
              </w:rPr>
              <w:t>Should be 15/71 (21.1%))</w:t>
            </w:r>
          </w:p>
        </w:tc>
        <w:tc>
          <w:tcPr>
            <w:tcW w:w="1312" w:type="pct"/>
            <w:vAlign w:val="center"/>
          </w:tcPr>
          <w:p w:rsidR="00C23717" w:rsidRPr="00703590" w:rsidRDefault="00C23717" w:rsidP="003F007E">
            <w:pPr>
              <w:jc w:val="center"/>
              <w:rPr>
                <w:rFonts w:ascii="Arial Narrow" w:hAnsi="Arial Narrow"/>
                <w:sz w:val="20"/>
              </w:rPr>
            </w:pPr>
            <w:r w:rsidRPr="00703590">
              <w:rPr>
                <w:rFonts w:ascii="Arial Narrow" w:hAnsi="Arial Narrow"/>
                <w:sz w:val="20"/>
              </w:rPr>
              <w:t>64.3%</w:t>
            </w:r>
          </w:p>
          <w:p w:rsidR="00C23717" w:rsidRPr="00703590" w:rsidRDefault="00C23717" w:rsidP="003F007E">
            <w:pPr>
              <w:jc w:val="center"/>
              <w:rPr>
                <w:rFonts w:ascii="Arial Narrow" w:hAnsi="Arial Narrow"/>
                <w:sz w:val="20"/>
              </w:rPr>
            </w:pPr>
            <w:r w:rsidRPr="00703590">
              <w:rPr>
                <w:rFonts w:ascii="Arial Narrow" w:hAnsi="Arial Narrow"/>
                <w:sz w:val="20"/>
              </w:rPr>
              <w:t>(</w:t>
            </w:r>
            <w:r w:rsidR="004A1993" w:rsidRPr="00703590">
              <w:rPr>
                <w:rFonts w:ascii="Arial Narrow" w:hAnsi="Arial Narrow"/>
                <w:sz w:val="20"/>
              </w:rPr>
              <w:t>*</w:t>
            </w:r>
            <w:r w:rsidRPr="00703590">
              <w:rPr>
                <w:rFonts w:ascii="Arial Narrow" w:hAnsi="Arial Narrow"/>
                <w:sz w:val="20"/>
              </w:rPr>
              <w:t>Should be 69.3%)</w:t>
            </w:r>
          </w:p>
        </w:tc>
        <w:tc>
          <w:tcPr>
            <w:tcW w:w="724" w:type="pct"/>
            <w:vAlign w:val="center"/>
          </w:tcPr>
          <w:p w:rsidR="00C23717" w:rsidRPr="00703590" w:rsidRDefault="00C23717" w:rsidP="003F007E">
            <w:pPr>
              <w:jc w:val="center"/>
              <w:rPr>
                <w:rFonts w:ascii="Arial Narrow" w:hAnsi="Arial Narrow"/>
                <w:sz w:val="20"/>
              </w:rPr>
            </w:pPr>
            <w:r w:rsidRPr="00703590">
              <w:rPr>
                <w:rFonts w:ascii="Arial Narrow" w:hAnsi="Arial Narrow"/>
                <w:sz w:val="20"/>
              </w:rPr>
              <w:t>90% (86, 93)</w:t>
            </w:r>
          </w:p>
          <w:p w:rsidR="00C23717" w:rsidRPr="00703590" w:rsidRDefault="00C23717" w:rsidP="003F007E">
            <w:pPr>
              <w:jc w:val="center"/>
              <w:rPr>
                <w:rFonts w:ascii="Arial Narrow" w:hAnsi="Arial Narrow"/>
                <w:sz w:val="20"/>
              </w:rPr>
            </w:pPr>
            <w:r w:rsidRPr="00703590">
              <w:rPr>
                <w:rFonts w:ascii="Arial Narrow" w:hAnsi="Arial Narrow"/>
                <w:sz w:val="20"/>
              </w:rPr>
              <w:t>(</w:t>
            </w:r>
            <w:r w:rsidR="004A1993" w:rsidRPr="00703590">
              <w:rPr>
                <w:rFonts w:ascii="Arial Narrow" w:hAnsi="Arial Narrow"/>
                <w:sz w:val="20"/>
              </w:rPr>
              <w:t>*</w:t>
            </w:r>
            <w:r w:rsidRPr="00703590">
              <w:rPr>
                <w:rFonts w:ascii="Arial Narrow" w:hAnsi="Arial Narrow"/>
                <w:sz w:val="20"/>
              </w:rPr>
              <w:t>Should be 88% (79, 93))</w:t>
            </w:r>
          </w:p>
        </w:tc>
      </w:tr>
    </w:tbl>
    <w:p w:rsidR="00745829" w:rsidRDefault="00C23717" w:rsidP="00745829">
      <w:pPr>
        <w:widowControl/>
        <w:rPr>
          <w:rFonts w:ascii="Arial Narrow" w:hAnsi="Arial Narrow"/>
          <w:sz w:val="18"/>
          <w:szCs w:val="18"/>
        </w:rPr>
      </w:pPr>
      <w:r w:rsidRPr="00C23717">
        <w:rPr>
          <w:rFonts w:ascii="Arial Narrow" w:hAnsi="Arial Narrow"/>
          <w:sz w:val="18"/>
        </w:rPr>
        <w:t xml:space="preserve">Source: Table C.2.7, p104-105 of the submission, </w:t>
      </w:r>
      <w:r w:rsidRPr="00C23717">
        <w:rPr>
          <w:rFonts w:ascii="Arial Narrow" w:hAnsi="Arial Narrow"/>
          <w:i/>
          <w:sz w:val="18"/>
        </w:rPr>
        <w:t>and compiled during evaluation based on Amirthalingam 2016</w:t>
      </w:r>
      <w:r>
        <w:rPr>
          <w:rFonts w:ascii="Arial Narrow" w:hAnsi="Arial Narrow"/>
          <w:i/>
          <w:sz w:val="18"/>
        </w:rPr>
        <w:t xml:space="preserve"> p</w:t>
      </w:r>
      <w:r w:rsidRPr="00C23717">
        <w:rPr>
          <w:rFonts w:ascii="Arial Narrow" w:hAnsi="Arial Narrow"/>
          <w:i/>
          <w:sz w:val="18"/>
        </w:rPr>
        <w:t>21</w:t>
      </w:r>
      <w:r w:rsidR="004A1993">
        <w:rPr>
          <w:rFonts w:ascii="Arial Narrow" w:hAnsi="Arial Narrow"/>
          <w:i/>
          <w:sz w:val="18"/>
        </w:rPr>
        <w:t>.</w:t>
      </w:r>
      <w:r w:rsidR="006F18D1">
        <w:rPr>
          <w:rFonts w:ascii="Arial Narrow" w:hAnsi="Arial Narrow"/>
          <w:i/>
          <w:sz w:val="18"/>
        </w:rPr>
        <w:t>^</w:t>
      </w:r>
      <w:r w:rsidR="006F18D1" w:rsidRPr="006F18D1">
        <w:rPr>
          <w:rFonts w:ascii="Arial Narrow" w:hAnsi="Arial Narrow"/>
          <w:sz w:val="20"/>
        </w:rPr>
        <w:t xml:space="preserve"> </w:t>
      </w:r>
      <w:r w:rsidR="006F18D1" w:rsidRPr="006F18D1">
        <w:rPr>
          <w:rFonts w:ascii="Arial Narrow" w:hAnsi="Arial Narrow"/>
          <w:sz w:val="18"/>
        </w:rPr>
        <w:t>Pertussis vaccines recorded as administered after 28 weeks of gestation and between 300 days prior to a birth and up to 8 weeks after birth</w:t>
      </w:r>
      <w:r w:rsidR="004A1993">
        <w:rPr>
          <w:rFonts w:ascii="Arial Narrow" w:hAnsi="Arial Narrow"/>
          <w:i/>
          <w:sz w:val="18"/>
        </w:rPr>
        <w:t xml:space="preserve"> </w:t>
      </w:r>
      <w:r w:rsidR="00162213" w:rsidRPr="00162213">
        <w:rPr>
          <w:rFonts w:ascii="Arial Narrow" w:hAnsi="Arial Narrow"/>
          <w:sz w:val="18"/>
          <w:szCs w:val="18"/>
        </w:rPr>
        <w:t>*Submission incorrectly entered figures from Amirthalingam 2016 Table 2, p.20 rather than Amirthalingam 2016 Table 4, p21 into Table C.2.7 in the submission.”</w:t>
      </w:r>
    </w:p>
    <w:p w:rsidR="00FA2209" w:rsidRPr="008B332E" w:rsidRDefault="00FA2209" w:rsidP="00745829">
      <w:pPr>
        <w:widowControl/>
        <w:rPr>
          <w:rFonts w:ascii="Arial Narrow" w:hAnsi="Arial Narrow"/>
          <w:sz w:val="18"/>
          <w:szCs w:val="18"/>
        </w:rPr>
      </w:pPr>
    </w:p>
    <w:p w:rsidR="003D4D8B" w:rsidRPr="003D4D8B" w:rsidRDefault="003D4D8B" w:rsidP="0074368D">
      <w:pPr>
        <w:widowControl/>
        <w:numPr>
          <w:ilvl w:val="1"/>
          <w:numId w:val="1"/>
        </w:numPr>
        <w:rPr>
          <w:szCs w:val="22"/>
        </w:rPr>
      </w:pPr>
      <w:r w:rsidRPr="003D4D8B">
        <w:rPr>
          <w:szCs w:val="22"/>
        </w:rPr>
        <w:t xml:space="preserve">On the basis of direct RCT evidence presented </w:t>
      </w:r>
      <w:r w:rsidR="00C97D43">
        <w:rPr>
          <w:szCs w:val="22"/>
        </w:rPr>
        <w:t>i</w:t>
      </w:r>
      <w:r w:rsidR="009C7F4F">
        <w:rPr>
          <w:szCs w:val="22"/>
        </w:rPr>
        <w:t>n Table 5</w:t>
      </w:r>
      <w:r w:rsidRPr="003D4D8B">
        <w:rPr>
          <w:szCs w:val="22"/>
        </w:rPr>
        <w:t xml:space="preserve">, the comparison of </w:t>
      </w:r>
      <w:r w:rsidR="00147FC4">
        <w:rPr>
          <w:szCs w:val="22"/>
        </w:rPr>
        <w:t>Adacel</w:t>
      </w:r>
      <w:r w:rsidRPr="003D4D8B">
        <w:rPr>
          <w:szCs w:val="22"/>
        </w:rPr>
        <w:t xml:space="preserve"> and Boostrix resulted in:</w:t>
      </w:r>
    </w:p>
    <w:p w:rsidR="003D4D8B" w:rsidRPr="003D4D8B" w:rsidRDefault="003D4D8B" w:rsidP="0074368D">
      <w:pPr>
        <w:widowControl/>
        <w:numPr>
          <w:ilvl w:val="0"/>
          <w:numId w:val="3"/>
        </w:numPr>
        <w:ind w:left="1134"/>
        <w:rPr>
          <w:szCs w:val="22"/>
        </w:rPr>
      </w:pPr>
      <w:r w:rsidRPr="003D4D8B">
        <w:rPr>
          <w:szCs w:val="22"/>
        </w:rPr>
        <w:t>Post-va</w:t>
      </w:r>
      <w:r w:rsidR="009D647A">
        <w:rPr>
          <w:szCs w:val="22"/>
        </w:rPr>
        <w:t xml:space="preserve">ccination geometric mean titres </w:t>
      </w:r>
      <w:r w:rsidRPr="003D4D8B">
        <w:rPr>
          <w:szCs w:val="22"/>
        </w:rPr>
        <w:t xml:space="preserve">(GMTs) and geometric mean concentrations (GMCs) of pertussis antigens that were lower in the </w:t>
      </w:r>
      <w:r w:rsidR="003D58C7">
        <w:rPr>
          <w:szCs w:val="22"/>
        </w:rPr>
        <w:t xml:space="preserve">Adacel </w:t>
      </w:r>
      <w:r w:rsidR="00045A18">
        <w:rPr>
          <w:szCs w:val="22"/>
        </w:rPr>
        <w:t xml:space="preserve">group </w:t>
      </w:r>
      <w:r w:rsidRPr="003D4D8B">
        <w:rPr>
          <w:szCs w:val="22"/>
        </w:rPr>
        <w:t xml:space="preserve">compared to the Boostrix </w:t>
      </w:r>
      <w:r w:rsidR="00045A18">
        <w:rPr>
          <w:szCs w:val="22"/>
        </w:rPr>
        <w:t>group for</w:t>
      </w:r>
      <w:r w:rsidRPr="003D4D8B">
        <w:rPr>
          <w:szCs w:val="22"/>
        </w:rPr>
        <w:t xml:space="preserve"> all antigens components, except FIM which is not present in Boostrix</w:t>
      </w:r>
      <w:r w:rsidR="00C97D43">
        <w:rPr>
          <w:szCs w:val="22"/>
        </w:rPr>
        <w:t>.</w:t>
      </w:r>
    </w:p>
    <w:p w:rsidR="00B37919" w:rsidRPr="003D4D8B" w:rsidRDefault="00B37919" w:rsidP="00B37919">
      <w:pPr>
        <w:widowControl/>
        <w:ind w:left="1440"/>
        <w:rPr>
          <w:szCs w:val="22"/>
        </w:rPr>
      </w:pPr>
    </w:p>
    <w:p w:rsidR="003D4D8B" w:rsidRPr="003D4D8B" w:rsidRDefault="003D4D8B" w:rsidP="0074368D">
      <w:pPr>
        <w:widowControl/>
        <w:numPr>
          <w:ilvl w:val="1"/>
          <w:numId w:val="1"/>
        </w:numPr>
        <w:rPr>
          <w:szCs w:val="22"/>
        </w:rPr>
      </w:pPr>
      <w:r w:rsidRPr="003D4D8B">
        <w:rPr>
          <w:szCs w:val="22"/>
        </w:rPr>
        <w:t xml:space="preserve">On the basis of </w:t>
      </w:r>
      <w:r w:rsidR="0010133B" w:rsidRPr="0010133B">
        <w:rPr>
          <w:szCs w:val="22"/>
        </w:rPr>
        <w:t xml:space="preserve">Amirthalingam 2016, </w:t>
      </w:r>
      <w:r w:rsidRPr="003D4D8B">
        <w:rPr>
          <w:szCs w:val="22"/>
        </w:rPr>
        <w:t xml:space="preserve">presented by the submission in </w:t>
      </w:r>
      <w:r w:rsidR="009C7F4F">
        <w:rPr>
          <w:szCs w:val="22"/>
        </w:rPr>
        <w:t>Table 6</w:t>
      </w:r>
      <w:r w:rsidRPr="003D4D8B">
        <w:rPr>
          <w:szCs w:val="22"/>
        </w:rPr>
        <w:t>, the comparison of Repevax (</w:t>
      </w:r>
      <w:r w:rsidR="003D58C7">
        <w:rPr>
          <w:szCs w:val="22"/>
        </w:rPr>
        <w:t>Adacel</w:t>
      </w:r>
      <w:r w:rsidRPr="003D4D8B">
        <w:rPr>
          <w:szCs w:val="22"/>
        </w:rPr>
        <w:t xml:space="preserve">+Polio) and </w:t>
      </w:r>
      <w:r w:rsidR="003D58C7">
        <w:rPr>
          <w:szCs w:val="22"/>
        </w:rPr>
        <w:t>Boostrix-IPV (</w:t>
      </w:r>
      <w:r w:rsidRPr="003D4D8B">
        <w:rPr>
          <w:szCs w:val="22"/>
        </w:rPr>
        <w:t>Boostrix+Polio</w:t>
      </w:r>
      <w:r w:rsidR="003D58C7">
        <w:rPr>
          <w:szCs w:val="22"/>
        </w:rPr>
        <w:t>)</w:t>
      </w:r>
      <w:r w:rsidRPr="003D4D8B">
        <w:rPr>
          <w:szCs w:val="22"/>
        </w:rPr>
        <w:t xml:space="preserve"> resulted in:</w:t>
      </w:r>
    </w:p>
    <w:p w:rsidR="003D4D8B" w:rsidRPr="003D4D8B" w:rsidRDefault="003D4D8B" w:rsidP="0074368D">
      <w:pPr>
        <w:widowControl/>
        <w:numPr>
          <w:ilvl w:val="0"/>
          <w:numId w:val="5"/>
        </w:numPr>
        <w:ind w:left="1134"/>
        <w:rPr>
          <w:szCs w:val="22"/>
        </w:rPr>
      </w:pPr>
      <w:r w:rsidRPr="003D4D8B">
        <w:rPr>
          <w:szCs w:val="22"/>
        </w:rPr>
        <w:t>A maternal vaccine effectiveness (VE) for Repevax (</w:t>
      </w:r>
      <w:r w:rsidR="003D58C7">
        <w:rPr>
          <w:szCs w:val="22"/>
        </w:rPr>
        <w:t>Adacel</w:t>
      </w:r>
      <w:r w:rsidRPr="003D4D8B">
        <w:rPr>
          <w:szCs w:val="22"/>
        </w:rPr>
        <w:t>+Polio) of 93% (95% CI</w:t>
      </w:r>
      <w:r w:rsidR="001D259B">
        <w:rPr>
          <w:szCs w:val="22"/>
        </w:rPr>
        <w:t>:</w:t>
      </w:r>
      <w:r w:rsidRPr="003D4D8B">
        <w:rPr>
          <w:szCs w:val="22"/>
        </w:rPr>
        <w:t xml:space="preserve"> 89%, 95%) and VE for Boostrix-IPV of 88% (95%CI: 79</w:t>
      </w:r>
      <w:r w:rsidR="00511408">
        <w:rPr>
          <w:szCs w:val="22"/>
        </w:rPr>
        <w:t>%</w:t>
      </w:r>
      <w:r w:rsidRPr="003D4D8B">
        <w:rPr>
          <w:szCs w:val="22"/>
        </w:rPr>
        <w:t>, 93</w:t>
      </w:r>
      <w:r w:rsidR="00511408">
        <w:rPr>
          <w:szCs w:val="22"/>
        </w:rPr>
        <w:t>%</w:t>
      </w:r>
      <w:r w:rsidRPr="003D4D8B">
        <w:rPr>
          <w:szCs w:val="22"/>
        </w:rPr>
        <w:t>)</w:t>
      </w:r>
    </w:p>
    <w:p w:rsidR="00634DD7" w:rsidRPr="00882085" w:rsidRDefault="00634DD7" w:rsidP="00634DD7">
      <w:pPr>
        <w:widowControl/>
        <w:rPr>
          <w:szCs w:val="22"/>
        </w:rPr>
      </w:pPr>
    </w:p>
    <w:p w:rsidR="00634DD7" w:rsidRDefault="00634DD7" w:rsidP="00634DD7">
      <w:pPr>
        <w:pStyle w:val="Heading2"/>
        <w:widowControl/>
        <w:rPr>
          <w:i/>
        </w:rPr>
      </w:pPr>
      <w:bookmarkStart w:id="11" w:name="_Toc471398082"/>
      <w:r w:rsidRPr="002C2775">
        <w:rPr>
          <w:i/>
        </w:rPr>
        <w:t>Comparative harms</w:t>
      </w:r>
      <w:bookmarkEnd w:id="11"/>
    </w:p>
    <w:p w:rsidR="00B37919" w:rsidRPr="00B37919" w:rsidRDefault="00B37919" w:rsidP="00B37919"/>
    <w:p w:rsidR="00634DD7" w:rsidRDefault="00634DD7" w:rsidP="0074368D">
      <w:pPr>
        <w:pStyle w:val="ListParagraph"/>
        <w:widowControl/>
        <w:numPr>
          <w:ilvl w:val="1"/>
          <w:numId w:val="1"/>
        </w:numPr>
      </w:pPr>
      <w:r>
        <w:t>The key patient-relevant harms were i</w:t>
      </w:r>
      <w:r w:rsidRPr="007C6DEC">
        <w:t>njection site pain</w:t>
      </w:r>
      <w:r>
        <w:t>, headache, and fever.</w:t>
      </w:r>
      <w:r w:rsidR="0010133B">
        <w:t xml:space="preserve"> A summary of relevant harms reported in the </w:t>
      </w:r>
      <w:r w:rsidR="003D58C7">
        <w:t>direct RCTs are found in Table 7</w:t>
      </w:r>
      <w:r w:rsidR="0010133B">
        <w:t xml:space="preserve"> below.</w:t>
      </w:r>
    </w:p>
    <w:p w:rsidR="0010133B" w:rsidRDefault="0010133B" w:rsidP="0010133B">
      <w:pPr>
        <w:pStyle w:val="ListParagraph"/>
        <w:widowControl/>
      </w:pPr>
    </w:p>
    <w:p w:rsidR="00B659A4" w:rsidRDefault="00B659A4">
      <w:pPr>
        <w:widowControl/>
        <w:jc w:val="left"/>
        <w:rPr>
          <w:rFonts w:ascii="Arial Narrow" w:hAnsi="Arial Narrow"/>
          <w:b/>
          <w:sz w:val="20"/>
          <w:szCs w:val="16"/>
        </w:rPr>
      </w:pPr>
      <w:r>
        <w:rPr>
          <w:rFonts w:ascii="Arial Narrow" w:hAnsi="Arial Narrow"/>
          <w:b/>
          <w:sz w:val="20"/>
          <w:szCs w:val="16"/>
        </w:rPr>
        <w:br w:type="page"/>
      </w:r>
    </w:p>
    <w:p w:rsidR="0010133B" w:rsidRPr="00371EDF" w:rsidRDefault="003D58C7" w:rsidP="00147FC4">
      <w:pPr>
        <w:keepNext/>
        <w:ind w:left="709"/>
        <w:rPr>
          <w:rFonts w:ascii="Arial Narrow" w:hAnsi="Arial Narrow"/>
          <w:b/>
          <w:sz w:val="20"/>
          <w:szCs w:val="16"/>
        </w:rPr>
      </w:pPr>
      <w:r>
        <w:rPr>
          <w:rFonts w:ascii="Arial Narrow" w:hAnsi="Arial Narrow"/>
          <w:b/>
          <w:sz w:val="20"/>
          <w:szCs w:val="16"/>
        </w:rPr>
        <w:t>Table 7:</w:t>
      </w:r>
      <w:r w:rsidR="0010133B">
        <w:rPr>
          <w:rFonts w:ascii="Arial Narrow" w:hAnsi="Arial Narrow"/>
          <w:b/>
          <w:sz w:val="20"/>
          <w:szCs w:val="16"/>
        </w:rPr>
        <w:t xml:space="preserve"> </w:t>
      </w:r>
      <w:r w:rsidR="0010133B" w:rsidRPr="00371EDF">
        <w:rPr>
          <w:rFonts w:ascii="Arial Narrow" w:hAnsi="Arial Narrow"/>
          <w:b/>
          <w:sz w:val="20"/>
          <w:szCs w:val="16"/>
        </w:rPr>
        <w:t xml:space="preserve">Summary of key adverse events in the direct randomised trials of </w:t>
      </w:r>
      <w:r w:rsidR="00147FC4">
        <w:rPr>
          <w:rFonts w:ascii="Arial Narrow" w:hAnsi="Arial Narrow"/>
          <w:b/>
          <w:sz w:val="20"/>
          <w:szCs w:val="16"/>
        </w:rPr>
        <w:t>Adacel</w:t>
      </w:r>
      <w:r w:rsidR="0010133B" w:rsidRPr="00371EDF">
        <w:rPr>
          <w:rFonts w:ascii="Arial Narrow" w:hAnsi="Arial Narrow"/>
          <w:b/>
          <w:sz w:val="20"/>
          <w:szCs w:val="16"/>
        </w:rPr>
        <w:t xml:space="preserve"> and Boostrix</w:t>
      </w:r>
    </w:p>
    <w:tbl>
      <w:tblPr>
        <w:tblW w:w="462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07"/>
        <w:gridCol w:w="1998"/>
        <w:gridCol w:w="2000"/>
        <w:gridCol w:w="690"/>
      </w:tblGrid>
      <w:tr w:rsidR="0010133B" w:rsidRPr="00371EDF" w:rsidTr="000B58E8">
        <w:trPr>
          <w:tblHeader/>
        </w:trPr>
        <w:tc>
          <w:tcPr>
            <w:tcW w:w="2208" w:type="pct"/>
            <w:vAlign w:val="center"/>
          </w:tcPr>
          <w:p w:rsidR="0010133B" w:rsidRPr="00371EDF" w:rsidRDefault="0010133B" w:rsidP="00147FC4">
            <w:pPr>
              <w:widowControl/>
              <w:ind w:left="109"/>
              <w:jc w:val="left"/>
              <w:rPr>
                <w:rFonts w:ascii="Arial Narrow" w:eastAsia="Calibri" w:hAnsi="Arial Narrow" w:cs="Times New Roman"/>
                <w:snapToGrid/>
                <w:sz w:val="20"/>
              </w:rPr>
            </w:pPr>
            <w:r w:rsidRPr="00371EDF">
              <w:rPr>
                <w:rFonts w:ascii="Arial Narrow" w:eastAsia="Calibri" w:hAnsi="Arial Narrow" w:cs="Times New Roman"/>
                <w:snapToGrid/>
                <w:sz w:val="20"/>
              </w:rPr>
              <w:t>Trial ID</w:t>
            </w:r>
          </w:p>
        </w:tc>
        <w:tc>
          <w:tcPr>
            <w:tcW w:w="1190" w:type="pct"/>
            <w:vAlign w:val="center"/>
          </w:tcPr>
          <w:p w:rsidR="0010133B" w:rsidRPr="00371EDF" w:rsidRDefault="003D58C7" w:rsidP="00921760">
            <w:pPr>
              <w:widowControl/>
              <w:jc w:val="center"/>
              <w:rPr>
                <w:rFonts w:ascii="Arial Narrow" w:eastAsia="Calibri" w:hAnsi="Arial Narrow" w:cs="Times New Roman"/>
                <w:b/>
                <w:snapToGrid/>
                <w:sz w:val="20"/>
              </w:rPr>
            </w:pPr>
            <w:r>
              <w:rPr>
                <w:rFonts w:ascii="Arial Narrow" w:eastAsia="Calibri" w:hAnsi="Arial Narrow" w:cs="Times New Roman"/>
                <w:b/>
                <w:snapToGrid/>
                <w:sz w:val="20"/>
              </w:rPr>
              <w:t>Adacel</w:t>
            </w:r>
          </w:p>
          <w:p w:rsidR="0010133B" w:rsidRPr="00371EDF" w:rsidRDefault="0010133B" w:rsidP="00921760">
            <w:pPr>
              <w:widowControl/>
              <w:jc w:val="center"/>
              <w:rPr>
                <w:rFonts w:ascii="Arial Narrow" w:eastAsia="Calibri" w:hAnsi="Arial Narrow" w:cs="Times New Roman"/>
                <w:b/>
                <w:snapToGrid/>
                <w:sz w:val="20"/>
              </w:rPr>
            </w:pPr>
            <w:r w:rsidRPr="00371EDF">
              <w:rPr>
                <w:rFonts w:ascii="Arial Narrow" w:eastAsia="Calibri" w:hAnsi="Arial Narrow" w:cs="Times New Roman"/>
                <w:b/>
                <w:snapToGrid/>
                <w:sz w:val="20"/>
              </w:rPr>
              <w:t>n with event (%)</w:t>
            </w:r>
          </w:p>
        </w:tc>
        <w:tc>
          <w:tcPr>
            <w:tcW w:w="1191" w:type="pct"/>
            <w:vAlign w:val="center"/>
          </w:tcPr>
          <w:p w:rsidR="0010133B" w:rsidRPr="00371EDF" w:rsidRDefault="0010133B" w:rsidP="00921760">
            <w:pPr>
              <w:widowControl/>
              <w:jc w:val="center"/>
              <w:rPr>
                <w:rFonts w:ascii="Arial Narrow" w:eastAsia="Calibri" w:hAnsi="Arial Narrow" w:cs="Times New Roman"/>
                <w:b/>
                <w:snapToGrid/>
                <w:sz w:val="20"/>
              </w:rPr>
            </w:pPr>
            <w:r w:rsidRPr="00371EDF">
              <w:rPr>
                <w:rFonts w:ascii="Arial Narrow" w:eastAsia="Calibri" w:hAnsi="Arial Narrow" w:cs="Times New Roman"/>
                <w:b/>
                <w:snapToGrid/>
                <w:sz w:val="20"/>
              </w:rPr>
              <w:t>Boostrix</w:t>
            </w:r>
          </w:p>
          <w:p w:rsidR="0010133B" w:rsidRPr="00371EDF" w:rsidRDefault="0010133B" w:rsidP="00921760">
            <w:pPr>
              <w:widowControl/>
              <w:jc w:val="center"/>
              <w:rPr>
                <w:rFonts w:ascii="Arial Narrow" w:eastAsia="Calibri" w:hAnsi="Arial Narrow" w:cs="Times New Roman"/>
                <w:b/>
                <w:snapToGrid/>
                <w:sz w:val="20"/>
              </w:rPr>
            </w:pPr>
            <w:r w:rsidRPr="00371EDF">
              <w:rPr>
                <w:rFonts w:ascii="Arial Narrow" w:eastAsia="Calibri" w:hAnsi="Arial Narrow" w:cs="Times New Roman"/>
                <w:b/>
                <w:snapToGrid/>
                <w:sz w:val="20"/>
              </w:rPr>
              <w:t>n with event (%)</w:t>
            </w:r>
          </w:p>
        </w:tc>
        <w:tc>
          <w:tcPr>
            <w:tcW w:w="412" w:type="pct"/>
            <w:vAlign w:val="center"/>
          </w:tcPr>
          <w:p w:rsidR="0010133B" w:rsidRPr="00371EDF" w:rsidRDefault="0010133B" w:rsidP="00921760">
            <w:pPr>
              <w:widowControl/>
              <w:jc w:val="center"/>
              <w:rPr>
                <w:rFonts w:ascii="Arial Narrow" w:eastAsia="Calibri" w:hAnsi="Arial Narrow" w:cs="Times New Roman"/>
                <w:b/>
                <w:snapToGrid/>
                <w:sz w:val="20"/>
              </w:rPr>
            </w:pPr>
            <w:r w:rsidRPr="00371EDF">
              <w:rPr>
                <w:rFonts w:ascii="Arial Narrow" w:eastAsia="Calibri" w:hAnsi="Arial Narrow" w:cs="Times New Roman"/>
                <w:b/>
                <w:snapToGrid/>
                <w:sz w:val="20"/>
              </w:rPr>
              <w:t>p-Value</w:t>
            </w:r>
          </w:p>
        </w:tc>
      </w:tr>
      <w:tr w:rsidR="0010133B" w:rsidRPr="00371EDF" w:rsidTr="000B58E8">
        <w:tc>
          <w:tcPr>
            <w:tcW w:w="2208" w:type="pct"/>
          </w:tcPr>
          <w:p w:rsidR="0010133B" w:rsidRPr="00371EDF" w:rsidRDefault="0010133B" w:rsidP="00921760">
            <w:pPr>
              <w:widowControl/>
              <w:jc w:val="left"/>
              <w:rPr>
                <w:rFonts w:ascii="Arial Narrow" w:eastAsia="Calibri" w:hAnsi="Arial Narrow" w:cs="Times New Roman"/>
                <w:b/>
                <w:snapToGrid/>
                <w:sz w:val="20"/>
              </w:rPr>
            </w:pPr>
            <w:r w:rsidRPr="00371EDF">
              <w:rPr>
                <w:rFonts w:ascii="Arial Narrow" w:eastAsia="Calibri" w:hAnsi="Arial Narrow" w:cs="Times New Roman"/>
                <w:b/>
                <w:snapToGrid/>
                <w:sz w:val="20"/>
              </w:rPr>
              <w:t>Blatter 2009, 15-day follow-up booster</w:t>
            </w:r>
          </w:p>
          <w:p w:rsidR="0010133B" w:rsidRPr="00371EDF" w:rsidRDefault="0010133B" w:rsidP="00921760">
            <w:pPr>
              <w:widowControl/>
              <w:jc w:val="left"/>
              <w:rPr>
                <w:rFonts w:ascii="Arial Narrow" w:eastAsia="Calibri" w:hAnsi="Arial Narrow" w:cs="Times New Roman"/>
                <w:snapToGrid/>
                <w:sz w:val="20"/>
              </w:rPr>
            </w:pPr>
            <w:r w:rsidRPr="00371EDF">
              <w:rPr>
                <w:rFonts w:ascii="Arial Narrow" w:eastAsia="Calibri" w:hAnsi="Arial Narrow" w:cs="Times New Roman"/>
                <w:snapToGrid/>
                <w:sz w:val="20"/>
              </w:rPr>
              <w:t>Injection site reactions</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Pain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Redness</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Swelling</w:t>
            </w:r>
          </w:p>
          <w:p w:rsidR="0010133B" w:rsidRPr="00371EDF" w:rsidRDefault="0010133B" w:rsidP="00921760">
            <w:pPr>
              <w:widowControl/>
              <w:jc w:val="left"/>
              <w:rPr>
                <w:rFonts w:ascii="Arial Narrow" w:eastAsia="Calibri" w:hAnsi="Arial Narrow" w:cs="Times New Roman"/>
                <w:snapToGrid/>
                <w:sz w:val="20"/>
              </w:rPr>
            </w:pPr>
            <w:r w:rsidRPr="00371EDF">
              <w:rPr>
                <w:rFonts w:ascii="Arial Narrow" w:eastAsia="Calibri" w:hAnsi="Arial Narrow" w:cs="Times New Roman"/>
                <w:snapToGrid/>
                <w:sz w:val="20"/>
              </w:rPr>
              <w:t xml:space="preserve">Any systematic symptom </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 Fatigue</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 Fever (&gt;= 37.5)</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 Gastrointestinal</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 Headache</w:t>
            </w:r>
          </w:p>
        </w:tc>
        <w:tc>
          <w:tcPr>
            <w:tcW w:w="1190" w:type="pct"/>
          </w:tcPr>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(N=741)</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513 (69.2)</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201 (27.1)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190 (25.6)</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214 (28.9)</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59 (8.0)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130 (17.5)</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230 (31.0)</w:t>
            </w:r>
          </w:p>
        </w:tc>
        <w:tc>
          <w:tcPr>
            <w:tcW w:w="1191" w:type="pct"/>
          </w:tcPr>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(N=1480)</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903 (61.0)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313 (21.1)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260 (17.6)</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416 (28.1)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82 (5.5)</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235 (15.9)</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445 (30.1)</w:t>
            </w:r>
          </w:p>
        </w:tc>
        <w:tc>
          <w:tcPr>
            <w:tcW w:w="412" w:type="pct"/>
          </w:tcPr>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0.000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0.002</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0.000</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0.704</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0.027</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0.318</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0.639</w:t>
            </w:r>
          </w:p>
        </w:tc>
      </w:tr>
      <w:tr w:rsidR="0010133B" w:rsidRPr="00371EDF" w:rsidTr="000B58E8">
        <w:tc>
          <w:tcPr>
            <w:tcW w:w="2208" w:type="pct"/>
            <w:tcBorders>
              <w:top w:val="single" w:sz="4" w:space="0" w:color="auto"/>
              <w:left w:val="single" w:sz="4" w:space="0" w:color="auto"/>
              <w:bottom w:val="single" w:sz="4" w:space="0" w:color="auto"/>
              <w:right w:val="single" w:sz="4" w:space="0" w:color="auto"/>
            </w:tcBorders>
            <w:vAlign w:val="center"/>
          </w:tcPr>
          <w:p w:rsidR="0010133B" w:rsidRPr="00371EDF" w:rsidRDefault="0010133B" w:rsidP="00921760">
            <w:pPr>
              <w:widowControl/>
              <w:jc w:val="left"/>
              <w:rPr>
                <w:rFonts w:ascii="Arial Narrow" w:eastAsia="Calibri" w:hAnsi="Arial Narrow" w:cs="Times New Roman"/>
                <w:b/>
                <w:snapToGrid/>
                <w:sz w:val="20"/>
              </w:rPr>
            </w:pPr>
            <w:r w:rsidRPr="00371EDF">
              <w:rPr>
                <w:rFonts w:ascii="Arial Narrow" w:eastAsia="Calibri" w:hAnsi="Arial Narrow" w:cs="Times New Roman"/>
                <w:b/>
                <w:snapToGrid/>
                <w:sz w:val="20"/>
              </w:rPr>
              <w:t xml:space="preserve">Td516 </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Immediate unsolicited adverse event</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Immediate unsolicited reaction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Solicited reaction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Solicited injection site reaction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Solicited systemic reaction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Unsolicited adverse event</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Unsolicited reaction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Unsolicited injection site reaction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Unsolicited systemic reaction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Adverse event &amp; discontinuation</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Serious adverse event</w:t>
            </w:r>
          </w:p>
          <w:p w:rsidR="0010133B" w:rsidRPr="00371EDF" w:rsidRDefault="0010133B" w:rsidP="00E20358">
            <w:pPr>
              <w:widowControl/>
              <w:ind w:firstLine="147"/>
              <w:jc w:val="left"/>
              <w:rPr>
                <w:rFonts w:ascii="Arial Narrow" w:eastAsia="Calibri" w:hAnsi="Arial Narrow" w:cs="Times New Roman"/>
                <w:snapToGrid/>
                <w:sz w:val="20"/>
              </w:rPr>
            </w:pPr>
            <w:r w:rsidRPr="00371EDF">
              <w:rPr>
                <w:rFonts w:ascii="Arial Narrow" w:eastAsia="Calibri" w:hAnsi="Arial Narrow" w:cs="Times New Roman"/>
                <w:snapToGrid/>
                <w:sz w:val="20"/>
              </w:rPr>
              <w:t>Death</w:t>
            </w:r>
          </w:p>
        </w:tc>
        <w:tc>
          <w:tcPr>
            <w:tcW w:w="1190" w:type="pct"/>
            <w:tcBorders>
              <w:top w:val="single" w:sz="4" w:space="0" w:color="auto"/>
              <w:left w:val="single" w:sz="4" w:space="0" w:color="auto"/>
              <w:bottom w:val="single" w:sz="4" w:space="0" w:color="auto"/>
              <w:right w:val="single" w:sz="4" w:space="0" w:color="auto"/>
            </w:tcBorders>
          </w:tcPr>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(N=323)</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 (0.3)</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285 (89.1)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273 (85.3)</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216 (67.5)</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90 (27.9)</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37 (11.5)</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11 (3.4)</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27 (8.4)</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w:t>
            </w:r>
          </w:p>
        </w:tc>
        <w:tc>
          <w:tcPr>
            <w:tcW w:w="1191" w:type="pct"/>
            <w:tcBorders>
              <w:top w:val="single" w:sz="4" w:space="0" w:color="auto"/>
              <w:left w:val="single" w:sz="4" w:space="0" w:color="auto"/>
              <w:bottom w:val="single" w:sz="4" w:space="0" w:color="auto"/>
              <w:right w:val="single" w:sz="4" w:space="0" w:color="auto"/>
            </w:tcBorders>
          </w:tcPr>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(N=321)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 (0.6)</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 (0.6)</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279 (88.0)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257 (81.1)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205 (64.7)</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88 (27.4)</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25 (7.8)</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10 (3.1)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18 (5.6)</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0</w:t>
            </w:r>
          </w:p>
        </w:tc>
        <w:tc>
          <w:tcPr>
            <w:tcW w:w="412" w:type="pct"/>
            <w:tcBorders>
              <w:top w:val="single" w:sz="4" w:space="0" w:color="auto"/>
              <w:left w:val="single" w:sz="4" w:space="0" w:color="auto"/>
              <w:bottom w:val="single" w:sz="4" w:space="0" w:color="auto"/>
              <w:right w:val="single" w:sz="4" w:space="0" w:color="auto"/>
            </w:tcBorders>
          </w:tcPr>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tc>
      </w:tr>
      <w:tr w:rsidR="0010133B" w:rsidRPr="00371EDF" w:rsidTr="000B58E8">
        <w:tc>
          <w:tcPr>
            <w:tcW w:w="2208" w:type="pct"/>
            <w:tcBorders>
              <w:top w:val="single" w:sz="4" w:space="0" w:color="auto"/>
              <w:left w:val="single" w:sz="4" w:space="0" w:color="auto"/>
              <w:bottom w:val="single" w:sz="4" w:space="0" w:color="auto"/>
              <w:right w:val="single" w:sz="4" w:space="0" w:color="auto"/>
            </w:tcBorders>
            <w:vAlign w:val="center"/>
          </w:tcPr>
          <w:p w:rsidR="0010133B" w:rsidRPr="00371EDF" w:rsidRDefault="0010133B" w:rsidP="00921760">
            <w:pPr>
              <w:widowControl/>
              <w:jc w:val="left"/>
              <w:rPr>
                <w:rFonts w:ascii="Arial Narrow" w:eastAsia="Calibri" w:hAnsi="Arial Narrow" w:cs="Times New Roman"/>
                <w:b/>
                <w:snapToGrid/>
                <w:sz w:val="20"/>
              </w:rPr>
            </w:pPr>
            <w:r w:rsidRPr="00371EDF">
              <w:rPr>
                <w:rFonts w:ascii="Arial Narrow" w:eastAsia="Calibri" w:hAnsi="Arial Narrow" w:cs="Times New Roman"/>
                <w:b/>
                <w:snapToGrid/>
                <w:sz w:val="20"/>
              </w:rPr>
              <w:t>Southern 2005</w:t>
            </w:r>
          </w:p>
          <w:p w:rsidR="0010133B" w:rsidRPr="00371EDF" w:rsidRDefault="0010133B" w:rsidP="00921760">
            <w:pPr>
              <w:widowControl/>
              <w:jc w:val="left"/>
              <w:rPr>
                <w:rFonts w:ascii="Arial Narrow" w:eastAsia="Calibri" w:hAnsi="Arial Narrow" w:cs="Times New Roman"/>
                <w:snapToGrid/>
                <w:sz w:val="20"/>
              </w:rPr>
            </w:pPr>
            <w:r w:rsidRPr="00371EDF">
              <w:rPr>
                <w:rFonts w:ascii="Arial Narrow" w:eastAsia="Calibri" w:hAnsi="Arial Narrow" w:cs="Times New Roman"/>
                <w:snapToGrid/>
                <w:sz w:val="20"/>
              </w:rPr>
              <w:t>Local reactions and temperature</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Redness &gt;= 2.5cm</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Swelling &gt;= 2.5cm</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Pain Tenderness &gt;= 3 days</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Oral Temperature &gt;= 38c</w:t>
            </w:r>
          </w:p>
          <w:p w:rsidR="0010133B" w:rsidRPr="00371EDF" w:rsidRDefault="0010133B" w:rsidP="00E20358">
            <w:pPr>
              <w:widowControl/>
              <w:ind w:firstLine="5"/>
              <w:jc w:val="left"/>
              <w:rPr>
                <w:rFonts w:ascii="Arial Narrow" w:eastAsia="Calibri" w:hAnsi="Arial Narrow" w:cs="Times New Roman"/>
                <w:snapToGrid/>
                <w:sz w:val="20"/>
              </w:rPr>
            </w:pPr>
            <w:r w:rsidRPr="00371EDF">
              <w:rPr>
                <w:rFonts w:ascii="Arial Narrow" w:eastAsia="Calibri" w:hAnsi="Arial Narrow" w:cs="Times New Roman"/>
                <w:snapToGrid/>
                <w:sz w:val="20"/>
              </w:rPr>
              <w:t>Systemic symptom episodes</w:t>
            </w:r>
          </w:p>
          <w:p w:rsidR="0010133B" w:rsidRPr="00371EDF" w:rsidRDefault="00E20358" w:rsidP="00E20358">
            <w:pPr>
              <w:widowControl/>
              <w:ind w:firstLine="289"/>
              <w:jc w:val="left"/>
              <w:rPr>
                <w:rFonts w:ascii="Arial Narrow" w:eastAsia="Calibri" w:hAnsi="Arial Narrow" w:cs="Times New Roman"/>
                <w:snapToGrid/>
                <w:sz w:val="20"/>
              </w:rPr>
            </w:pPr>
            <w:r>
              <w:rPr>
                <w:rFonts w:ascii="Arial Narrow" w:eastAsia="Calibri" w:hAnsi="Arial Narrow" w:cs="Times New Roman"/>
                <w:snapToGrid/>
                <w:sz w:val="20"/>
              </w:rPr>
              <w:t xml:space="preserve">- </w:t>
            </w:r>
            <w:r w:rsidR="0010133B" w:rsidRPr="00371EDF">
              <w:rPr>
                <w:rFonts w:ascii="Arial Narrow" w:eastAsia="Calibri" w:hAnsi="Arial Narrow" w:cs="Times New Roman"/>
                <w:snapToGrid/>
                <w:sz w:val="20"/>
              </w:rPr>
              <w:t>Dizziness/feeling faint 1-10 days</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Fatigue/malaise/drowsy 1-10 days</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Gastrointestinal problem 1-10 days</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Headache 1-10 days</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Nausea/vomiting 1-10 days</w:t>
            </w:r>
          </w:p>
          <w:p w:rsidR="0010133B" w:rsidRPr="00371EDF" w:rsidRDefault="0010133B" w:rsidP="00E20358">
            <w:pPr>
              <w:widowControl/>
              <w:ind w:firstLine="289"/>
              <w:jc w:val="left"/>
              <w:rPr>
                <w:rFonts w:ascii="Arial Narrow" w:eastAsia="Calibri" w:hAnsi="Arial Narrow" w:cs="Times New Roman"/>
                <w:snapToGrid/>
                <w:sz w:val="20"/>
              </w:rPr>
            </w:pPr>
            <w:r w:rsidRPr="00371EDF">
              <w:rPr>
                <w:rFonts w:ascii="Arial Narrow" w:eastAsia="Calibri" w:hAnsi="Arial Narrow" w:cs="Times New Roman"/>
                <w:snapToGrid/>
                <w:sz w:val="20"/>
              </w:rPr>
              <w:t>- URTI symptoms 1-10 days</w:t>
            </w:r>
          </w:p>
        </w:tc>
        <w:tc>
          <w:tcPr>
            <w:tcW w:w="1190" w:type="pct"/>
            <w:tcBorders>
              <w:top w:val="single" w:sz="4" w:space="0" w:color="auto"/>
              <w:left w:val="single" w:sz="4" w:space="0" w:color="auto"/>
              <w:bottom w:val="single" w:sz="4" w:space="0" w:color="auto"/>
              <w:right w:val="single" w:sz="4" w:space="0" w:color="auto"/>
            </w:tcBorders>
          </w:tcPr>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(N=74)</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15 (20.3)</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18 (24.3)</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45 (60.8)</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5 (6.8)</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3 (4.1)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12 (16.2)</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4 (5.4)</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23 (31.1)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9 (12.2)</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11 (14.9)</w:t>
            </w:r>
          </w:p>
        </w:tc>
        <w:tc>
          <w:tcPr>
            <w:tcW w:w="1191" w:type="pct"/>
            <w:tcBorders>
              <w:top w:val="single" w:sz="4" w:space="0" w:color="auto"/>
              <w:left w:val="single" w:sz="4" w:space="0" w:color="auto"/>
              <w:bottom w:val="single" w:sz="4" w:space="0" w:color="auto"/>
              <w:right w:val="single" w:sz="4" w:space="0" w:color="auto"/>
            </w:tcBorders>
          </w:tcPr>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(N=68)</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7 (10.1)</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11 (16.2)</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40 (58.0)</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 (2.9)</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3 (4.4)</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9 (13.2)</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 (2.9)</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24 (35.3)</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5 (6.9)</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12 (16.7)</w:t>
            </w:r>
          </w:p>
        </w:tc>
        <w:tc>
          <w:tcPr>
            <w:tcW w:w="412" w:type="pct"/>
            <w:tcBorders>
              <w:top w:val="single" w:sz="4" w:space="0" w:color="auto"/>
              <w:left w:val="single" w:sz="4" w:space="0" w:color="auto"/>
              <w:bottom w:val="single" w:sz="4" w:space="0" w:color="auto"/>
              <w:right w:val="single" w:sz="4" w:space="0" w:color="auto"/>
            </w:tcBorders>
          </w:tcPr>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p w:rsidR="0010133B" w:rsidRPr="00371EDF" w:rsidRDefault="0010133B" w:rsidP="00921760">
            <w:pPr>
              <w:widowControl/>
              <w:jc w:val="center"/>
              <w:rPr>
                <w:rFonts w:ascii="Arial Narrow" w:eastAsia="Calibri" w:hAnsi="Arial Narrow" w:cs="Times New Roman"/>
                <w:snapToGrid/>
                <w:sz w:val="20"/>
              </w:rPr>
            </w:pPr>
            <w:r w:rsidRPr="00371EDF">
              <w:rPr>
                <w:rFonts w:ascii="Arial Narrow" w:eastAsia="Calibri" w:hAnsi="Arial Narrow" w:cs="Times New Roman"/>
                <w:snapToGrid/>
                <w:sz w:val="20"/>
              </w:rPr>
              <w:t>-</w:t>
            </w:r>
          </w:p>
        </w:tc>
      </w:tr>
    </w:tbl>
    <w:p w:rsidR="00634DD7" w:rsidRPr="00474908" w:rsidRDefault="0010133B" w:rsidP="00474908">
      <w:pPr>
        <w:widowControl/>
        <w:ind w:left="709"/>
        <w:rPr>
          <w:rFonts w:ascii="Arial Narrow" w:hAnsi="Arial Narrow"/>
          <w:sz w:val="18"/>
        </w:rPr>
      </w:pPr>
      <w:r w:rsidRPr="00371EDF">
        <w:rPr>
          <w:rFonts w:ascii="Arial Narrow" w:hAnsi="Arial Narrow"/>
          <w:sz w:val="18"/>
        </w:rPr>
        <w:t>Source: Blatter 2009 Table 5, p. 771; Td516 CSR Table 5.1, p. 60; and Southern 2005 p. 3832-3833</w:t>
      </w:r>
    </w:p>
    <w:p w:rsidR="00634DD7" w:rsidRPr="009F3B87" w:rsidRDefault="00634DD7" w:rsidP="00077BE1">
      <w:pPr>
        <w:rPr>
          <w:szCs w:val="22"/>
        </w:rPr>
      </w:pPr>
    </w:p>
    <w:p w:rsidR="00045A18" w:rsidRDefault="00045A18" w:rsidP="0074368D">
      <w:pPr>
        <w:pStyle w:val="ListParagraph"/>
        <w:widowControl/>
        <w:numPr>
          <w:ilvl w:val="1"/>
          <w:numId w:val="1"/>
        </w:numPr>
        <w:rPr>
          <w:szCs w:val="22"/>
        </w:rPr>
      </w:pPr>
      <w:bookmarkStart w:id="12" w:name="_Toc471398083"/>
      <w:r w:rsidRPr="00045A18">
        <w:rPr>
          <w:szCs w:val="22"/>
        </w:rPr>
        <w:t>There were similar safety results for subjects vaccinated with Adacel and Boostrix, with injection site reactions reported more frequently in the Adacel group.</w:t>
      </w:r>
    </w:p>
    <w:p w:rsidR="00572705" w:rsidRPr="00572705" w:rsidRDefault="00572705" w:rsidP="00572705">
      <w:pPr>
        <w:pStyle w:val="ListParagraph"/>
        <w:widowControl/>
        <w:rPr>
          <w:szCs w:val="22"/>
        </w:rPr>
      </w:pPr>
    </w:p>
    <w:p w:rsidR="00634DD7" w:rsidRDefault="00634DD7" w:rsidP="00634DD7">
      <w:pPr>
        <w:pStyle w:val="Heading2"/>
        <w:keepNext/>
        <w:widowControl/>
        <w:rPr>
          <w:i/>
        </w:rPr>
      </w:pPr>
      <w:r w:rsidRPr="002C2775">
        <w:rPr>
          <w:i/>
        </w:rPr>
        <w:t>Clinical claim</w:t>
      </w:r>
      <w:bookmarkEnd w:id="12"/>
    </w:p>
    <w:p w:rsidR="00B37919" w:rsidRPr="0001054B" w:rsidRDefault="00B37919" w:rsidP="00B37919"/>
    <w:p w:rsidR="00147FC4" w:rsidRPr="00024588" w:rsidRDefault="00F03B52" w:rsidP="0074368D">
      <w:pPr>
        <w:pStyle w:val="ListParagraph"/>
        <w:widowControl/>
        <w:numPr>
          <w:ilvl w:val="1"/>
          <w:numId w:val="1"/>
        </w:numPr>
      </w:pPr>
      <w:r w:rsidRPr="0001054B">
        <w:t xml:space="preserve">The submission described Adacel as non-inferior in terms of comparative efficacy and non-inferior in terms of comparative safety to Boostrix. The claim regarding comparative </w:t>
      </w:r>
      <w:r w:rsidR="000A7D1C">
        <w:t xml:space="preserve">safety was adequately supported. </w:t>
      </w:r>
      <w:r w:rsidR="000A7D1C" w:rsidRPr="00024588">
        <w:t>The ESC noted:</w:t>
      </w:r>
      <w:r w:rsidRPr="00024588">
        <w:t xml:space="preserve"> </w:t>
      </w:r>
    </w:p>
    <w:p w:rsidR="00147FC4" w:rsidRPr="0001054B" w:rsidRDefault="00147FC4" w:rsidP="00147FC4">
      <w:pPr>
        <w:pStyle w:val="ListParagraph"/>
      </w:pPr>
    </w:p>
    <w:p w:rsidR="00634DD7" w:rsidRPr="0001054B" w:rsidRDefault="00634DD7" w:rsidP="0074368D">
      <w:pPr>
        <w:pStyle w:val="ListParagraph"/>
        <w:widowControl/>
        <w:numPr>
          <w:ilvl w:val="1"/>
          <w:numId w:val="7"/>
        </w:numPr>
      </w:pPr>
      <w:r w:rsidRPr="0001054B">
        <w:t>There were no head-to-head RCTs measuring the vaccine efficacy of Adacel versus Boostrix in the target population of pregnant women.</w:t>
      </w:r>
    </w:p>
    <w:p w:rsidR="00B37919" w:rsidRPr="0001054B" w:rsidRDefault="00B37919" w:rsidP="00B37919">
      <w:pPr>
        <w:pStyle w:val="ListParagraph"/>
        <w:widowControl/>
      </w:pPr>
    </w:p>
    <w:p w:rsidR="00B37919" w:rsidRPr="0001054B" w:rsidRDefault="00634DD7" w:rsidP="0074368D">
      <w:pPr>
        <w:pStyle w:val="ListParagraph"/>
        <w:widowControl/>
        <w:numPr>
          <w:ilvl w:val="1"/>
          <w:numId w:val="7"/>
        </w:numPr>
      </w:pPr>
      <w:r w:rsidRPr="0001054B">
        <w:t>The RCTs did not report</w:t>
      </w:r>
      <w:r w:rsidR="0048362A">
        <w:t xml:space="preserve"> cases of pertussis prevented, </w:t>
      </w:r>
      <w:r w:rsidRPr="0001054B">
        <w:t xml:space="preserve">they only reported immunogenicity results. </w:t>
      </w:r>
      <w:r w:rsidR="00B13BF3" w:rsidRPr="0001054B">
        <w:t>The three head-to-head RCTs presented by the submission report different antibody level responses between Adacel and Boostrix. However, as there are currently no accepted thresholds for antibody response to pertussis antigen that can be used as a surrogate for protection, the clinical benefit of the antibody response is unknown.</w:t>
      </w:r>
      <w:r w:rsidR="00B068D7" w:rsidRPr="0001054B">
        <w:t xml:space="preserve"> In addition, Adacel contains pertussis fimbriae types 2 and 3 (FIM) (5 µg) antigens; Boostrix does not contain these components.</w:t>
      </w:r>
    </w:p>
    <w:p w:rsidR="00B37919" w:rsidRPr="0001054B" w:rsidRDefault="00B37919" w:rsidP="00B37919">
      <w:pPr>
        <w:pStyle w:val="ListParagraph"/>
        <w:widowControl/>
      </w:pPr>
    </w:p>
    <w:p w:rsidR="00634DD7" w:rsidRPr="0001054B" w:rsidRDefault="00634DD7" w:rsidP="0074368D">
      <w:pPr>
        <w:pStyle w:val="ListParagraph"/>
        <w:widowControl/>
        <w:numPr>
          <w:ilvl w:val="1"/>
          <w:numId w:val="7"/>
        </w:numPr>
      </w:pPr>
      <w:r w:rsidRPr="0001054B">
        <w:t>The trials were not powered to show a difference between Boostrix and Adacel and there were no formal statistical comparisons of immunogenicity between Boostrix and Adacel.</w:t>
      </w:r>
    </w:p>
    <w:p w:rsidR="00B37919" w:rsidRPr="0001054B" w:rsidRDefault="00B37919" w:rsidP="00B37919">
      <w:pPr>
        <w:pStyle w:val="ListParagraph"/>
        <w:widowControl/>
      </w:pPr>
    </w:p>
    <w:p w:rsidR="0032589E" w:rsidRDefault="00B138E0" w:rsidP="00C55C48">
      <w:pPr>
        <w:pStyle w:val="ListParagraph"/>
        <w:widowControl/>
        <w:numPr>
          <w:ilvl w:val="1"/>
          <w:numId w:val="7"/>
        </w:numPr>
      </w:pPr>
      <w:r w:rsidRPr="0001054B">
        <w:t xml:space="preserve">The risk of bias in the estimates reported in </w:t>
      </w:r>
      <w:r w:rsidR="00B13BF3" w:rsidRPr="0001054B">
        <w:t>Amirthalingam 2016</w:t>
      </w:r>
      <w:r w:rsidRPr="0001054B">
        <w:t xml:space="preserve"> is high due to the study design</w:t>
      </w:r>
      <w:r w:rsidR="00B13BF3" w:rsidRPr="0001054B">
        <w:t xml:space="preserve"> (unmeasured confounders)</w:t>
      </w:r>
      <w:r w:rsidRPr="0001054B">
        <w:t xml:space="preserve">, timing of vaccination (before or after </w:t>
      </w:r>
      <w:r w:rsidR="001D259B" w:rsidRPr="0001054B">
        <w:t xml:space="preserve">a </w:t>
      </w:r>
      <w:r w:rsidRPr="0001054B">
        <w:t>pertussis outbreak in the UK) and sample size.</w:t>
      </w:r>
    </w:p>
    <w:p w:rsidR="00C55C48" w:rsidRDefault="00C55C48" w:rsidP="00C55C48">
      <w:pPr>
        <w:pStyle w:val="ListParagraph"/>
        <w:widowControl/>
        <w:ind w:left="1440"/>
      </w:pPr>
    </w:p>
    <w:p w:rsidR="007D4920" w:rsidRPr="00E1477F" w:rsidRDefault="00465AC9" w:rsidP="0032589E">
      <w:pPr>
        <w:pStyle w:val="ListParagraph"/>
        <w:widowControl/>
        <w:numPr>
          <w:ilvl w:val="1"/>
          <w:numId w:val="1"/>
        </w:numPr>
        <w:rPr>
          <w:szCs w:val="22"/>
        </w:rPr>
      </w:pPr>
      <w:r>
        <w:t xml:space="preserve"> </w:t>
      </w:r>
      <w:r w:rsidR="00C55C48">
        <w:rPr>
          <w:szCs w:val="22"/>
        </w:rPr>
        <w:t>In</w:t>
      </w:r>
      <w:r w:rsidR="0032589E">
        <w:rPr>
          <w:szCs w:val="22"/>
        </w:rPr>
        <w:t xml:space="preserve"> t</w:t>
      </w:r>
      <w:r w:rsidR="007D4920" w:rsidRPr="00E1477F">
        <w:rPr>
          <w:szCs w:val="22"/>
        </w:rPr>
        <w:t>he PSCR</w:t>
      </w:r>
      <w:r w:rsidR="00C55C48">
        <w:rPr>
          <w:szCs w:val="22"/>
        </w:rPr>
        <w:t>, the sponsor</w:t>
      </w:r>
      <w:r w:rsidR="007D4920" w:rsidRPr="00E1477F">
        <w:rPr>
          <w:szCs w:val="22"/>
        </w:rPr>
        <w:t xml:space="preserve"> argued that </w:t>
      </w:r>
    </w:p>
    <w:p w:rsidR="007D4920" w:rsidRPr="0090648E" w:rsidRDefault="007D4920" w:rsidP="0074368D">
      <w:pPr>
        <w:pStyle w:val="ListParagraph"/>
        <w:widowControl/>
        <w:numPr>
          <w:ilvl w:val="1"/>
          <w:numId w:val="8"/>
        </w:numPr>
        <w:ind w:left="1701" w:hanging="283"/>
        <w:rPr>
          <w:szCs w:val="22"/>
        </w:rPr>
      </w:pPr>
      <w:r w:rsidRPr="0090648E">
        <w:rPr>
          <w:szCs w:val="22"/>
        </w:rPr>
        <w:t>The submission provides a large body of evidence to support the clinical claim.</w:t>
      </w:r>
    </w:p>
    <w:p w:rsidR="007D4920" w:rsidRPr="0090648E" w:rsidRDefault="007D4920" w:rsidP="0074368D">
      <w:pPr>
        <w:pStyle w:val="ListParagraph"/>
        <w:widowControl/>
        <w:numPr>
          <w:ilvl w:val="1"/>
          <w:numId w:val="8"/>
        </w:numPr>
        <w:ind w:left="1701" w:hanging="283"/>
        <w:rPr>
          <w:szCs w:val="22"/>
        </w:rPr>
      </w:pPr>
      <w:r w:rsidRPr="0090648E">
        <w:rPr>
          <w:szCs w:val="22"/>
        </w:rPr>
        <w:t>Amirthalingam (2014) has previously been considered by the PBAC and the PBAC previously considered Adacel (or Repevax) and Boostrix equivalent on the basis of this evidence (Boostrix PSD, July 2016).</w:t>
      </w:r>
    </w:p>
    <w:p w:rsidR="007D4920" w:rsidRPr="0090648E" w:rsidRDefault="007D4920" w:rsidP="0074368D">
      <w:pPr>
        <w:pStyle w:val="ListParagraph"/>
        <w:widowControl/>
        <w:numPr>
          <w:ilvl w:val="1"/>
          <w:numId w:val="8"/>
        </w:numPr>
        <w:ind w:left="1701" w:hanging="283"/>
        <w:rPr>
          <w:szCs w:val="22"/>
        </w:rPr>
      </w:pPr>
      <w:r w:rsidRPr="0090648E">
        <w:rPr>
          <w:szCs w:val="22"/>
        </w:rPr>
        <w:t>Amirthalingam (2016) reaffirm the results of Amirthalingam (2014).</w:t>
      </w:r>
    </w:p>
    <w:p w:rsidR="00147FC4" w:rsidRPr="00465AC9" w:rsidRDefault="003E5D4D" w:rsidP="0074368D">
      <w:pPr>
        <w:pStyle w:val="ListParagraph"/>
        <w:widowControl/>
        <w:numPr>
          <w:ilvl w:val="1"/>
          <w:numId w:val="8"/>
        </w:numPr>
        <w:ind w:left="1701" w:hanging="283"/>
        <w:rPr>
          <w:b/>
          <w:szCs w:val="22"/>
        </w:rPr>
      </w:pPr>
      <w:r w:rsidRPr="0090648E">
        <w:rPr>
          <w:szCs w:val="22"/>
        </w:rPr>
        <w:t xml:space="preserve">The Tripacel submission (recommended by the PBAC in July 2015) faced many of the same issues of comparability and heterogeneity outlined in the Adacel commentary. (see above) </w:t>
      </w:r>
    </w:p>
    <w:p w:rsidR="00465AC9" w:rsidRPr="0070125A" w:rsidRDefault="00465AC9" w:rsidP="00465AC9">
      <w:pPr>
        <w:pStyle w:val="ListParagraph"/>
        <w:widowControl/>
        <w:ind w:left="1701"/>
        <w:rPr>
          <w:b/>
          <w:szCs w:val="22"/>
        </w:rPr>
      </w:pPr>
    </w:p>
    <w:p w:rsidR="0070125A" w:rsidRPr="0070125A" w:rsidRDefault="0070125A" w:rsidP="0074368D">
      <w:pPr>
        <w:pStyle w:val="ListParagraph"/>
        <w:widowControl/>
        <w:numPr>
          <w:ilvl w:val="1"/>
          <w:numId w:val="1"/>
        </w:numPr>
      </w:pPr>
      <w:r w:rsidRPr="0070125A">
        <w:t xml:space="preserve">The PBAC considered that the claim of non-inferior comparative effectiveness was </w:t>
      </w:r>
      <w:r w:rsidR="00024588">
        <w:t>reasonable</w:t>
      </w:r>
      <w:r w:rsidRPr="0070125A">
        <w:t>.</w:t>
      </w:r>
    </w:p>
    <w:p w:rsidR="0070125A" w:rsidRPr="0070125A" w:rsidRDefault="0070125A" w:rsidP="0070125A">
      <w:pPr>
        <w:pStyle w:val="ListParagraph"/>
        <w:rPr>
          <w:bCs/>
          <w:szCs w:val="22"/>
          <w:highlight w:val="yellow"/>
        </w:rPr>
      </w:pPr>
    </w:p>
    <w:p w:rsidR="0070125A" w:rsidRPr="0070125A" w:rsidRDefault="0070125A" w:rsidP="0074368D">
      <w:pPr>
        <w:pStyle w:val="ListParagraph"/>
        <w:widowControl/>
        <w:numPr>
          <w:ilvl w:val="1"/>
          <w:numId w:val="1"/>
        </w:numPr>
      </w:pPr>
      <w:r w:rsidRPr="0070125A">
        <w:t>The PBAC considered that the claim of non-inferior comparative safety was reasonable.</w:t>
      </w:r>
    </w:p>
    <w:p w:rsidR="0070125A" w:rsidRPr="0070125A" w:rsidRDefault="0070125A" w:rsidP="0070125A">
      <w:pPr>
        <w:widowControl/>
        <w:rPr>
          <w:b/>
          <w:szCs w:val="22"/>
        </w:rPr>
      </w:pPr>
    </w:p>
    <w:p w:rsidR="00634DD7" w:rsidRDefault="00634DD7" w:rsidP="00634DD7">
      <w:pPr>
        <w:pStyle w:val="Heading2"/>
        <w:keepNext/>
        <w:widowControl/>
        <w:rPr>
          <w:i/>
        </w:rPr>
      </w:pPr>
      <w:bookmarkStart w:id="13" w:name="_Toc471398084"/>
      <w:r w:rsidRPr="002C2775">
        <w:rPr>
          <w:i/>
        </w:rPr>
        <w:t>Economic analysis</w:t>
      </w:r>
      <w:bookmarkEnd w:id="13"/>
    </w:p>
    <w:p w:rsidR="00B37919" w:rsidRPr="00B37919" w:rsidRDefault="00B37919" w:rsidP="00B37919"/>
    <w:p w:rsidR="00634DD7" w:rsidRPr="00B37919" w:rsidRDefault="00634DD7" w:rsidP="0074368D">
      <w:pPr>
        <w:pStyle w:val="ListParagraph"/>
        <w:widowControl/>
        <w:numPr>
          <w:ilvl w:val="1"/>
          <w:numId w:val="1"/>
        </w:numPr>
        <w:rPr>
          <w:szCs w:val="22"/>
        </w:rPr>
      </w:pPr>
      <w:r w:rsidRPr="007B16D9">
        <w:t xml:space="preserve">The submission presented a </w:t>
      </w:r>
      <w:r>
        <w:t>cost minimisation analysis of Adacel compared to Boostrix.</w:t>
      </w:r>
    </w:p>
    <w:p w:rsidR="00B37919" w:rsidRPr="00B50DB8" w:rsidRDefault="00B37919" w:rsidP="00B37919">
      <w:pPr>
        <w:pStyle w:val="ListParagraph"/>
        <w:widowControl/>
        <w:rPr>
          <w:szCs w:val="22"/>
        </w:rPr>
      </w:pPr>
    </w:p>
    <w:p w:rsidR="00634DD7" w:rsidRPr="0001054B" w:rsidRDefault="00634DD7" w:rsidP="0074368D">
      <w:pPr>
        <w:pStyle w:val="ListParagraph"/>
        <w:widowControl/>
        <w:numPr>
          <w:ilvl w:val="1"/>
          <w:numId w:val="1"/>
        </w:numPr>
        <w:rPr>
          <w:szCs w:val="22"/>
        </w:rPr>
      </w:pPr>
      <w:r w:rsidRPr="0001054B">
        <w:t xml:space="preserve">The equi-effective doses </w:t>
      </w:r>
      <w:r w:rsidR="000D6907" w:rsidRPr="0001054B">
        <w:t>were</w:t>
      </w:r>
      <w:r w:rsidRPr="0001054B">
        <w:t xml:space="preserve"> estimated as Adacel 1 x 0.5</w:t>
      </w:r>
      <w:r w:rsidR="00BE022E" w:rsidRPr="0001054B">
        <w:t> </w:t>
      </w:r>
      <w:r w:rsidRPr="0001054B">
        <w:t>mL dose and Boostrix 1 x 0.5</w:t>
      </w:r>
      <w:r w:rsidR="00BE022E" w:rsidRPr="0001054B">
        <w:t> </w:t>
      </w:r>
      <w:r w:rsidRPr="0001054B">
        <w:t>mL dose.</w:t>
      </w:r>
      <w:r w:rsidR="003D76EA" w:rsidRPr="0001054B">
        <w:t xml:space="preserve"> Given that 1 dose of </w:t>
      </w:r>
      <w:r w:rsidR="00BE022E" w:rsidRPr="0001054B">
        <w:t xml:space="preserve">Adacel </w:t>
      </w:r>
      <w:r w:rsidR="003D76EA" w:rsidRPr="0001054B">
        <w:t xml:space="preserve">would directly substitute for 1 dose of Boostrix and there are no claims of superior efficacy, the </w:t>
      </w:r>
      <w:r w:rsidR="00024588">
        <w:t xml:space="preserve">PBAC considered that this </w:t>
      </w:r>
      <w:r w:rsidR="003D76EA" w:rsidRPr="0001054B">
        <w:t>approach is appropriate.</w:t>
      </w:r>
    </w:p>
    <w:p w:rsidR="00727EE6" w:rsidRPr="0001054B" w:rsidRDefault="00727EE6" w:rsidP="00727EE6">
      <w:pPr>
        <w:pStyle w:val="ListParagraph"/>
        <w:rPr>
          <w:szCs w:val="22"/>
        </w:rPr>
      </w:pPr>
    </w:p>
    <w:p w:rsidR="00727EE6" w:rsidRPr="0090648E" w:rsidRDefault="00996BC9" w:rsidP="0074368D">
      <w:pPr>
        <w:pStyle w:val="ListParagraph"/>
        <w:widowControl/>
        <w:numPr>
          <w:ilvl w:val="1"/>
          <w:numId w:val="1"/>
        </w:numPr>
        <w:rPr>
          <w:szCs w:val="22"/>
        </w:rPr>
      </w:pPr>
      <w:r w:rsidRPr="0001054B">
        <w:rPr>
          <w:szCs w:val="22"/>
        </w:rPr>
        <w:t xml:space="preserve">The two vaccines have different presentations: Adacel (vial) and Boostrix (pre-filled syringe, 0.5 mL). There may be different </w:t>
      </w:r>
      <w:r w:rsidRPr="0001054B">
        <w:t xml:space="preserve">non-drug </w:t>
      </w:r>
      <w:r w:rsidRPr="0090648E">
        <w:t xml:space="preserve">related cost (administration and consumables) associated with the different presentations. </w:t>
      </w:r>
      <w:r w:rsidR="007D4920" w:rsidRPr="0090648E">
        <w:t xml:space="preserve">The ESC noted that GP surgeries are experienced in vaccinating people with vaccines in both presentations. </w:t>
      </w:r>
    </w:p>
    <w:p w:rsidR="00634DD7" w:rsidRDefault="00634DD7" w:rsidP="00634DD7">
      <w:pPr>
        <w:widowControl/>
        <w:rPr>
          <w:szCs w:val="22"/>
        </w:rPr>
      </w:pPr>
    </w:p>
    <w:p w:rsidR="00646457" w:rsidRDefault="00646457">
      <w:pPr>
        <w:widowControl/>
        <w:jc w:val="left"/>
        <w:rPr>
          <w:b/>
          <w:i/>
        </w:rPr>
      </w:pPr>
      <w:bookmarkStart w:id="14" w:name="_Toc471398085"/>
      <w:r>
        <w:rPr>
          <w:i/>
        </w:rPr>
        <w:br w:type="page"/>
      </w:r>
    </w:p>
    <w:p w:rsidR="00B37919" w:rsidRDefault="00634DD7" w:rsidP="00B37919">
      <w:pPr>
        <w:pStyle w:val="Heading2"/>
        <w:widowControl/>
        <w:rPr>
          <w:i/>
        </w:rPr>
      </w:pPr>
      <w:r w:rsidRPr="002C2775">
        <w:rPr>
          <w:i/>
        </w:rPr>
        <w:t>Drug cost/patient</w:t>
      </w:r>
      <w:r>
        <w:rPr>
          <w:i/>
        </w:rPr>
        <w:t>: $</w:t>
      </w:r>
      <w:bookmarkEnd w:id="14"/>
      <w:r w:rsidR="00C62CCF">
        <w:rPr>
          <w:i/>
          <w:noProof/>
          <w:color w:val="000000"/>
          <w:highlight w:val="black"/>
        </w:rPr>
        <w:t>''''''''''</w:t>
      </w:r>
    </w:p>
    <w:p w:rsidR="00B37919" w:rsidRPr="00B37919" w:rsidRDefault="00B37919" w:rsidP="00B37919"/>
    <w:p w:rsidR="00634DD7" w:rsidRPr="007E6F74" w:rsidRDefault="00634DD7" w:rsidP="0074368D">
      <w:pPr>
        <w:pStyle w:val="ListParagraph"/>
        <w:widowControl/>
        <w:numPr>
          <w:ilvl w:val="1"/>
          <w:numId w:val="1"/>
        </w:numPr>
        <w:rPr>
          <w:szCs w:val="22"/>
        </w:rPr>
      </w:pPr>
      <w:r w:rsidRPr="00002A29">
        <w:rPr>
          <w:szCs w:val="22"/>
        </w:rPr>
        <w:t>Based on the current price of Adacel under the state-</w:t>
      </w:r>
      <w:r w:rsidR="00BE022E">
        <w:rPr>
          <w:szCs w:val="22"/>
        </w:rPr>
        <w:t xml:space="preserve"> and territory-</w:t>
      </w:r>
      <w:r w:rsidRPr="00002A29">
        <w:rPr>
          <w:szCs w:val="22"/>
        </w:rPr>
        <w:t xml:space="preserve">based maternal </w:t>
      </w:r>
      <w:r w:rsidR="00BE022E">
        <w:rPr>
          <w:szCs w:val="22"/>
        </w:rPr>
        <w:t xml:space="preserve">vaccination </w:t>
      </w:r>
      <w:r w:rsidRPr="00002A29">
        <w:rPr>
          <w:szCs w:val="22"/>
        </w:rPr>
        <w:t>program</w:t>
      </w:r>
      <w:r w:rsidR="00BE022E">
        <w:rPr>
          <w:szCs w:val="22"/>
        </w:rPr>
        <w:t>s</w:t>
      </w:r>
      <w:r w:rsidRPr="00002A29">
        <w:rPr>
          <w:szCs w:val="22"/>
        </w:rPr>
        <w:t>, a proposed price of $</w:t>
      </w:r>
      <w:r w:rsidR="00C62CCF">
        <w:rPr>
          <w:noProof/>
          <w:color w:val="000000"/>
          <w:szCs w:val="22"/>
          <w:highlight w:val="black"/>
        </w:rPr>
        <w:t>''''''</w:t>
      </w:r>
      <w:r w:rsidRPr="00002A29">
        <w:rPr>
          <w:szCs w:val="22"/>
        </w:rPr>
        <w:t xml:space="preserve"> per dose was applied. </w:t>
      </w:r>
    </w:p>
    <w:p w:rsidR="00634DD7" w:rsidRPr="001E2B1E" w:rsidRDefault="00634DD7" w:rsidP="00634DD7">
      <w:pPr>
        <w:widowControl/>
        <w:rPr>
          <w:szCs w:val="22"/>
        </w:rPr>
      </w:pPr>
    </w:p>
    <w:p w:rsidR="00634DD7" w:rsidRDefault="00634DD7" w:rsidP="00B659A4">
      <w:pPr>
        <w:pStyle w:val="Heading2"/>
        <w:keepNext/>
        <w:widowControl/>
        <w:rPr>
          <w:i/>
        </w:rPr>
      </w:pPr>
      <w:bookmarkStart w:id="15" w:name="_Toc471398086"/>
      <w:r w:rsidRPr="002C2775">
        <w:rPr>
          <w:i/>
        </w:rPr>
        <w:t>Estimated PBS usage &amp; financial implications</w:t>
      </w:r>
      <w:bookmarkEnd w:id="15"/>
    </w:p>
    <w:p w:rsidR="00B37919" w:rsidRPr="00B37919" w:rsidRDefault="00B37919" w:rsidP="00B659A4">
      <w:pPr>
        <w:keepNext/>
      </w:pPr>
    </w:p>
    <w:p w:rsidR="00634DD7" w:rsidRPr="00C25D9C" w:rsidRDefault="0001054B" w:rsidP="0074368D">
      <w:pPr>
        <w:pStyle w:val="ListParagraph"/>
        <w:widowControl/>
        <w:numPr>
          <w:ilvl w:val="1"/>
          <w:numId w:val="1"/>
        </w:numPr>
        <w:rPr>
          <w:szCs w:val="22"/>
        </w:rPr>
      </w:pPr>
      <w:r>
        <w:t xml:space="preserve">This submission was not </w:t>
      </w:r>
      <w:r w:rsidR="00634DD7">
        <w:t>considered by DUSC</w:t>
      </w:r>
      <w:r w:rsidR="00634DD7" w:rsidRPr="000B72D5">
        <w:t xml:space="preserve">. </w:t>
      </w:r>
      <w:r w:rsidR="00634DD7" w:rsidRPr="007B16D9">
        <w:t xml:space="preserve">The submission used a </w:t>
      </w:r>
      <w:r w:rsidR="00634DD7" w:rsidRPr="009428C0">
        <w:t>market share approach</w:t>
      </w:r>
      <w:r w:rsidR="00634DD7" w:rsidRPr="007B16D9">
        <w:t>. The NIP cost was calculated based on the number of pregnant women</w:t>
      </w:r>
      <w:r w:rsidR="00634DD7">
        <w:t xml:space="preserve">, projected coverage </w:t>
      </w:r>
      <w:r w:rsidR="00634DD7" w:rsidRPr="007B16D9">
        <w:t xml:space="preserve">and </w:t>
      </w:r>
      <w:r w:rsidR="00634DD7">
        <w:t>vaccine</w:t>
      </w:r>
      <w:r w:rsidR="00634DD7" w:rsidRPr="007B16D9">
        <w:t xml:space="preserve"> </w:t>
      </w:r>
      <w:r w:rsidR="00634DD7">
        <w:t xml:space="preserve">unit </w:t>
      </w:r>
      <w:r w:rsidR="00634DD7" w:rsidRPr="007B16D9">
        <w:t>cost</w:t>
      </w:r>
      <w:r w:rsidR="00634DD7">
        <w:t xml:space="preserve">s. </w:t>
      </w:r>
      <w:r w:rsidR="001F1944">
        <w:t xml:space="preserve">Based on the assumed price in the submission, the </w:t>
      </w:r>
      <w:r w:rsidR="00634DD7">
        <w:t xml:space="preserve">substitution of Adacel for Boostrix at the same unit price results in no change to overall costs </w:t>
      </w:r>
      <w:r w:rsidR="00BE022E">
        <w:t>to</w:t>
      </w:r>
      <w:r w:rsidR="00634DD7">
        <w:t xml:space="preserve"> the NIP</w:t>
      </w:r>
      <w:r w:rsidR="00BE022E">
        <w:t>.</w:t>
      </w:r>
    </w:p>
    <w:p w:rsidR="00634DD7" w:rsidRDefault="00634DD7" w:rsidP="00634DD7">
      <w:pPr>
        <w:widowControl/>
        <w:rPr>
          <w:szCs w:val="22"/>
        </w:rPr>
      </w:pPr>
    </w:p>
    <w:p w:rsidR="00634DD7" w:rsidRDefault="00634DD7" w:rsidP="00B37919">
      <w:pPr>
        <w:widowControl/>
        <w:ind w:left="720"/>
        <w:rPr>
          <w:rStyle w:val="CommentReference"/>
        </w:rPr>
      </w:pPr>
      <w:r w:rsidRPr="001222FC">
        <w:rPr>
          <w:rStyle w:val="CommentReference"/>
        </w:rPr>
        <w:t xml:space="preserve">Table </w:t>
      </w:r>
      <w:r w:rsidR="005F2C39">
        <w:rPr>
          <w:rStyle w:val="CommentReference"/>
        </w:rPr>
        <w:t>8</w:t>
      </w:r>
      <w:r w:rsidRPr="001222FC">
        <w:rPr>
          <w:rStyle w:val="CommentReference"/>
        </w:rPr>
        <w:t>: Estimated use and financial implications</w:t>
      </w:r>
    </w:p>
    <w:tbl>
      <w:tblPr>
        <w:tblW w:w="4625" w:type="pct"/>
        <w:tblInd w:w="727" w:type="dxa"/>
        <w:tblLayout w:type="fixed"/>
        <w:tblCellMar>
          <w:left w:w="28" w:type="dxa"/>
          <w:right w:w="28" w:type="dxa"/>
        </w:tblCellMar>
        <w:tblLook w:val="04A0" w:firstRow="1" w:lastRow="0" w:firstColumn="1" w:lastColumn="0" w:noHBand="0" w:noVBand="1"/>
      </w:tblPr>
      <w:tblGrid>
        <w:gridCol w:w="2263"/>
        <w:gridCol w:w="857"/>
        <w:gridCol w:w="996"/>
        <w:gridCol w:w="1000"/>
        <w:gridCol w:w="1144"/>
        <w:gridCol w:w="1000"/>
        <w:gridCol w:w="1141"/>
      </w:tblGrid>
      <w:tr w:rsidR="003E569B" w:rsidRPr="000E727A" w:rsidTr="00C97D43">
        <w:trPr>
          <w:trHeight w:val="115"/>
        </w:trPr>
        <w:tc>
          <w:tcPr>
            <w:tcW w:w="1347" w:type="pct"/>
            <w:tcBorders>
              <w:top w:val="single" w:sz="4" w:space="0" w:color="auto"/>
              <w:left w:val="single" w:sz="4" w:space="0" w:color="auto"/>
              <w:bottom w:val="single" w:sz="4" w:space="0" w:color="auto"/>
              <w:right w:val="nil"/>
            </w:tcBorders>
            <w:shd w:val="clear" w:color="auto" w:fill="auto"/>
            <w:noWrap/>
            <w:vAlign w:val="center"/>
            <w:hideMark/>
          </w:tcPr>
          <w:p w:rsidR="00634DD7" w:rsidRPr="000E727A" w:rsidRDefault="00634DD7" w:rsidP="00C97D43">
            <w:pPr>
              <w:widowControl/>
              <w:jc w:val="left"/>
              <w:rPr>
                <w:rFonts w:ascii="Arial Narrow" w:hAnsi="Arial Narrow" w:cs="Calibri"/>
                <w:b/>
                <w:bCs/>
                <w:snapToGrid/>
                <w:color w:val="000000"/>
                <w:sz w:val="20"/>
                <w:lang w:eastAsia="en-AU"/>
              </w:rPr>
            </w:pPr>
            <w:r w:rsidRPr="000E727A">
              <w:rPr>
                <w:rFonts w:ascii="Arial Narrow" w:hAnsi="Arial Narrow" w:cs="Calibri"/>
                <w:b/>
                <w:bCs/>
                <w:snapToGrid/>
                <w:color w:val="000000"/>
                <w:sz w:val="20"/>
                <w:lang w:eastAsia="en-AU"/>
              </w:rPr>
              <w:t> </w:t>
            </w:r>
          </w:p>
        </w:tc>
        <w:tc>
          <w:tcPr>
            <w:tcW w:w="510" w:type="pct"/>
            <w:tcBorders>
              <w:top w:val="single" w:sz="4" w:space="0" w:color="auto"/>
              <w:left w:val="single" w:sz="4" w:space="0" w:color="auto"/>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b/>
                <w:bCs/>
                <w:snapToGrid/>
                <w:color w:val="000000"/>
                <w:sz w:val="20"/>
                <w:lang w:eastAsia="en-AU"/>
              </w:rPr>
            </w:pPr>
            <w:r w:rsidRPr="007E4F5E">
              <w:rPr>
                <w:rFonts w:ascii="Arial Narrow" w:hAnsi="Arial Narrow" w:cstheme="minorHAnsi"/>
                <w:b/>
                <w:color w:val="000000"/>
                <w:sz w:val="20"/>
                <w:lang w:eastAsia="en-AU"/>
              </w:rPr>
              <w:t>Current 2016</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7E4F5E" w:rsidRDefault="00634DD7" w:rsidP="00C97D43">
            <w:pPr>
              <w:keepNext/>
              <w:keepLines/>
              <w:jc w:val="center"/>
              <w:rPr>
                <w:rFonts w:ascii="Arial Narrow" w:hAnsi="Arial Narrow" w:cstheme="minorHAnsi"/>
                <w:b/>
                <w:color w:val="000000"/>
                <w:sz w:val="20"/>
                <w:lang w:eastAsia="en-AU"/>
              </w:rPr>
            </w:pPr>
            <w:r w:rsidRPr="007E4F5E">
              <w:rPr>
                <w:rFonts w:ascii="Arial Narrow" w:hAnsi="Arial Narrow" w:cstheme="minorHAnsi"/>
                <w:b/>
                <w:color w:val="000000"/>
                <w:sz w:val="20"/>
                <w:lang w:eastAsia="en-AU"/>
              </w:rPr>
              <w:t>Year 1</w:t>
            </w:r>
          </w:p>
          <w:p w:rsidR="00634DD7" w:rsidRPr="000E727A" w:rsidRDefault="00634DD7" w:rsidP="00C97D43">
            <w:pPr>
              <w:widowControl/>
              <w:jc w:val="center"/>
              <w:rPr>
                <w:rFonts w:ascii="Arial Narrow" w:hAnsi="Arial Narrow" w:cs="Calibri"/>
                <w:b/>
                <w:bCs/>
                <w:snapToGrid/>
                <w:color w:val="000000"/>
                <w:sz w:val="20"/>
                <w:lang w:eastAsia="en-AU"/>
              </w:rPr>
            </w:pPr>
            <w:r w:rsidRPr="007E4F5E">
              <w:rPr>
                <w:rFonts w:ascii="Arial Narrow" w:hAnsi="Arial Narrow" w:cstheme="minorHAnsi"/>
                <w:b/>
                <w:color w:val="000000"/>
                <w:sz w:val="20"/>
                <w:lang w:eastAsia="en-AU"/>
              </w:rPr>
              <w:t>2017</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rsidR="00634DD7" w:rsidRPr="007E4F5E" w:rsidRDefault="00634DD7" w:rsidP="00C97D43">
            <w:pPr>
              <w:keepNext/>
              <w:keepLines/>
              <w:jc w:val="center"/>
              <w:rPr>
                <w:rFonts w:ascii="Arial Narrow" w:hAnsi="Arial Narrow" w:cstheme="minorHAnsi"/>
                <w:b/>
                <w:color w:val="000000"/>
                <w:sz w:val="20"/>
                <w:lang w:eastAsia="en-AU"/>
              </w:rPr>
            </w:pPr>
            <w:r w:rsidRPr="007E4F5E">
              <w:rPr>
                <w:rFonts w:ascii="Arial Narrow" w:hAnsi="Arial Narrow" w:cstheme="minorHAnsi"/>
                <w:b/>
                <w:color w:val="000000"/>
                <w:sz w:val="20"/>
                <w:lang w:eastAsia="en-AU"/>
              </w:rPr>
              <w:t>Year 2</w:t>
            </w:r>
          </w:p>
          <w:p w:rsidR="00634DD7" w:rsidRPr="000E727A" w:rsidRDefault="00634DD7" w:rsidP="00C97D43">
            <w:pPr>
              <w:widowControl/>
              <w:jc w:val="center"/>
              <w:rPr>
                <w:rFonts w:ascii="Arial Narrow" w:hAnsi="Arial Narrow" w:cs="Calibri"/>
                <w:b/>
                <w:bCs/>
                <w:snapToGrid/>
                <w:color w:val="000000"/>
                <w:sz w:val="20"/>
                <w:lang w:eastAsia="en-AU"/>
              </w:rPr>
            </w:pPr>
            <w:r w:rsidRPr="007E4F5E">
              <w:rPr>
                <w:rFonts w:ascii="Arial Narrow" w:hAnsi="Arial Narrow" w:cstheme="minorHAnsi"/>
                <w:b/>
                <w:color w:val="000000"/>
                <w:sz w:val="20"/>
                <w:lang w:eastAsia="en-AU"/>
              </w:rPr>
              <w:t>2018</w:t>
            </w:r>
          </w:p>
        </w:tc>
        <w:tc>
          <w:tcPr>
            <w:tcW w:w="681" w:type="pct"/>
            <w:tcBorders>
              <w:top w:val="single" w:sz="4" w:space="0" w:color="auto"/>
              <w:left w:val="nil"/>
              <w:bottom w:val="single" w:sz="4" w:space="0" w:color="auto"/>
              <w:right w:val="single" w:sz="4" w:space="0" w:color="auto"/>
            </w:tcBorders>
            <w:shd w:val="clear" w:color="auto" w:fill="auto"/>
            <w:noWrap/>
            <w:vAlign w:val="center"/>
            <w:hideMark/>
          </w:tcPr>
          <w:p w:rsidR="00634DD7" w:rsidRPr="007E4F5E" w:rsidRDefault="00634DD7" w:rsidP="00C97D43">
            <w:pPr>
              <w:keepNext/>
              <w:keepLines/>
              <w:jc w:val="center"/>
              <w:rPr>
                <w:rFonts w:ascii="Arial Narrow" w:hAnsi="Arial Narrow" w:cstheme="minorHAnsi"/>
                <w:b/>
                <w:color w:val="000000"/>
                <w:sz w:val="20"/>
                <w:lang w:eastAsia="en-AU"/>
              </w:rPr>
            </w:pPr>
            <w:r w:rsidRPr="007E4F5E">
              <w:rPr>
                <w:rFonts w:ascii="Arial Narrow" w:hAnsi="Arial Narrow" w:cstheme="minorHAnsi"/>
                <w:b/>
                <w:color w:val="000000"/>
                <w:sz w:val="20"/>
                <w:lang w:eastAsia="en-AU"/>
              </w:rPr>
              <w:t>Year 3</w:t>
            </w:r>
          </w:p>
          <w:p w:rsidR="00634DD7" w:rsidRPr="000E727A" w:rsidRDefault="00634DD7" w:rsidP="00C97D43">
            <w:pPr>
              <w:widowControl/>
              <w:jc w:val="center"/>
              <w:rPr>
                <w:rFonts w:ascii="Arial Narrow" w:hAnsi="Arial Narrow" w:cs="Calibri"/>
                <w:b/>
                <w:bCs/>
                <w:snapToGrid/>
                <w:color w:val="000000"/>
                <w:sz w:val="20"/>
                <w:lang w:eastAsia="en-AU"/>
              </w:rPr>
            </w:pPr>
            <w:r w:rsidRPr="007E4F5E">
              <w:rPr>
                <w:rFonts w:ascii="Arial Narrow" w:hAnsi="Arial Narrow" w:cstheme="minorHAnsi"/>
                <w:b/>
                <w:color w:val="000000"/>
                <w:sz w:val="20"/>
                <w:lang w:eastAsia="en-AU"/>
              </w:rPr>
              <w:t>2019</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rsidR="00634DD7" w:rsidRPr="007E4F5E" w:rsidRDefault="00634DD7" w:rsidP="00C97D43">
            <w:pPr>
              <w:keepNext/>
              <w:keepLines/>
              <w:jc w:val="center"/>
              <w:rPr>
                <w:rFonts w:ascii="Arial Narrow" w:hAnsi="Arial Narrow" w:cstheme="minorHAnsi"/>
                <w:b/>
                <w:color w:val="000000"/>
                <w:sz w:val="20"/>
                <w:lang w:eastAsia="en-AU"/>
              </w:rPr>
            </w:pPr>
            <w:r w:rsidRPr="007E4F5E">
              <w:rPr>
                <w:rFonts w:ascii="Arial Narrow" w:hAnsi="Arial Narrow" w:cstheme="minorHAnsi"/>
                <w:b/>
                <w:color w:val="000000"/>
                <w:sz w:val="20"/>
                <w:lang w:eastAsia="en-AU"/>
              </w:rPr>
              <w:t>Year 4</w:t>
            </w:r>
          </w:p>
          <w:p w:rsidR="00634DD7" w:rsidRPr="000E727A" w:rsidRDefault="00634DD7" w:rsidP="00C97D43">
            <w:pPr>
              <w:widowControl/>
              <w:jc w:val="center"/>
              <w:rPr>
                <w:rFonts w:ascii="Arial Narrow" w:hAnsi="Arial Narrow" w:cs="Calibri"/>
                <w:b/>
                <w:bCs/>
                <w:snapToGrid/>
                <w:color w:val="000000"/>
                <w:sz w:val="20"/>
                <w:lang w:eastAsia="en-AU"/>
              </w:rPr>
            </w:pPr>
            <w:r w:rsidRPr="007E4F5E">
              <w:rPr>
                <w:rFonts w:ascii="Arial Narrow" w:hAnsi="Arial Narrow" w:cstheme="minorHAnsi"/>
                <w:b/>
                <w:color w:val="000000"/>
                <w:sz w:val="20"/>
                <w:lang w:eastAsia="en-AU"/>
              </w:rPr>
              <w:t>2020</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634DD7" w:rsidRPr="007E4F5E" w:rsidRDefault="00634DD7" w:rsidP="00C97D43">
            <w:pPr>
              <w:keepNext/>
              <w:keepLines/>
              <w:jc w:val="center"/>
              <w:rPr>
                <w:rFonts w:ascii="Arial Narrow" w:hAnsi="Arial Narrow" w:cstheme="minorHAnsi"/>
                <w:b/>
                <w:color w:val="000000"/>
                <w:sz w:val="20"/>
                <w:lang w:eastAsia="en-AU"/>
              </w:rPr>
            </w:pPr>
            <w:r w:rsidRPr="007E4F5E">
              <w:rPr>
                <w:rFonts w:ascii="Arial Narrow" w:hAnsi="Arial Narrow" w:cstheme="minorHAnsi"/>
                <w:b/>
                <w:color w:val="000000"/>
                <w:sz w:val="20"/>
                <w:lang w:eastAsia="en-AU"/>
              </w:rPr>
              <w:t>Year 5</w:t>
            </w:r>
          </w:p>
          <w:p w:rsidR="00634DD7" w:rsidRPr="000E727A" w:rsidRDefault="00634DD7" w:rsidP="00C97D43">
            <w:pPr>
              <w:widowControl/>
              <w:jc w:val="center"/>
              <w:rPr>
                <w:rFonts w:ascii="Arial Narrow" w:hAnsi="Arial Narrow" w:cs="Calibri"/>
                <w:b/>
                <w:bCs/>
                <w:snapToGrid/>
                <w:color w:val="000000"/>
                <w:sz w:val="20"/>
                <w:lang w:eastAsia="en-AU"/>
              </w:rPr>
            </w:pPr>
            <w:r w:rsidRPr="007E4F5E">
              <w:rPr>
                <w:rFonts w:ascii="Arial Narrow" w:hAnsi="Arial Narrow" w:cstheme="minorHAnsi"/>
                <w:b/>
                <w:color w:val="000000"/>
                <w:sz w:val="20"/>
                <w:lang w:eastAsia="en-AU"/>
              </w:rPr>
              <w:t>2021</w:t>
            </w: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left"/>
              <w:rPr>
                <w:rFonts w:ascii="Arial Narrow" w:hAnsi="Arial Narrow" w:cs="Calibri"/>
                <w:b/>
                <w:snapToGrid/>
                <w:color w:val="000000"/>
                <w:sz w:val="20"/>
                <w:lang w:eastAsia="en-AU"/>
              </w:rPr>
            </w:pPr>
            <w:r w:rsidRPr="000E727A">
              <w:rPr>
                <w:rFonts w:ascii="Arial Narrow" w:hAnsi="Arial Narrow" w:cs="Calibri"/>
                <w:b/>
                <w:snapToGrid/>
                <w:color w:val="000000"/>
                <w:sz w:val="20"/>
                <w:lang w:eastAsia="en-AU"/>
              </w:rPr>
              <w:t>Eligible population</w:t>
            </w:r>
          </w:p>
        </w:tc>
        <w:tc>
          <w:tcPr>
            <w:tcW w:w="510" w:type="pct"/>
            <w:tcBorders>
              <w:top w:val="single" w:sz="4" w:space="0" w:color="auto"/>
              <w:left w:val="nil"/>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left"/>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Pregnant women in 3rd trimester</w:t>
            </w:r>
          </w:p>
        </w:tc>
        <w:tc>
          <w:tcPr>
            <w:tcW w:w="510" w:type="pct"/>
            <w:tcBorders>
              <w:top w:val="single" w:sz="4" w:space="0" w:color="auto"/>
              <w:left w:val="nil"/>
              <w:bottom w:val="single" w:sz="4" w:space="0" w:color="auto"/>
              <w:right w:val="single" w:sz="4" w:space="0" w:color="auto"/>
            </w:tcBorders>
            <w:vAlign w:val="center"/>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theme="minorHAnsi"/>
                <w:noProof/>
                <w:color w:val="000000"/>
                <w:sz w:val="20"/>
                <w:highlight w:val="black"/>
                <w:lang w:eastAsia="en-AU"/>
              </w:rPr>
              <w:t>'''''''''''''''''''''</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left"/>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Vaccine coverage (%)</w:t>
            </w:r>
          </w:p>
        </w:tc>
        <w:tc>
          <w:tcPr>
            <w:tcW w:w="510" w:type="pct"/>
            <w:tcBorders>
              <w:top w:val="single" w:sz="4" w:space="0" w:color="auto"/>
              <w:left w:val="nil"/>
              <w:bottom w:val="single" w:sz="4" w:space="0" w:color="auto"/>
              <w:right w:val="single" w:sz="4" w:space="0" w:color="auto"/>
            </w:tcBorders>
            <w:vAlign w:val="center"/>
          </w:tcPr>
          <w:p w:rsidR="00634DD7" w:rsidRPr="000E727A"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7E4F5E">
              <w:rPr>
                <w:rFonts w:ascii="Arial Narrow" w:hAnsi="Arial Narrow" w:cstheme="minorHAnsi"/>
                <w:color w:val="000000"/>
                <w:sz w:val="20"/>
                <w:lang w:eastAsia="en-AU"/>
              </w:rPr>
              <w:t>%</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7E4F5E">
              <w:rPr>
                <w:rFonts w:ascii="Arial Narrow" w:hAnsi="Arial Narrow" w:cstheme="minorHAnsi"/>
                <w:color w:val="000000"/>
                <w:sz w:val="20"/>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7E4F5E">
              <w:rPr>
                <w:rFonts w:ascii="Arial Narrow" w:hAnsi="Arial Narrow" w:cstheme="minorHAnsi"/>
                <w:color w:val="000000"/>
                <w:sz w:val="20"/>
                <w:lang w:eastAsia="en-AU"/>
              </w:rPr>
              <w:t>%</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7E4F5E">
              <w:rPr>
                <w:rFonts w:ascii="Arial Narrow" w:hAnsi="Arial Narrow" w:cstheme="minorHAnsi"/>
                <w:color w:val="000000"/>
                <w:sz w:val="20"/>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7E4F5E">
              <w:rPr>
                <w:rFonts w:ascii="Arial Narrow" w:hAnsi="Arial Narrow" w:cstheme="minorHAnsi"/>
                <w:color w:val="000000"/>
                <w:sz w:val="20"/>
                <w:lang w:eastAsia="en-AU"/>
              </w:rPr>
              <w:t>%</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7E4F5E">
              <w:rPr>
                <w:rFonts w:ascii="Arial Narrow" w:hAnsi="Arial Narrow" w:cstheme="minorHAnsi"/>
                <w:color w:val="000000"/>
                <w:sz w:val="20"/>
                <w:lang w:eastAsia="en-AU"/>
              </w:rPr>
              <w:t>%</w:t>
            </w: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left"/>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Number vaccinated</w:t>
            </w:r>
          </w:p>
        </w:tc>
        <w:tc>
          <w:tcPr>
            <w:tcW w:w="510" w:type="pct"/>
            <w:tcBorders>
              <w:top w:val="single" w:sz="4" w:space="0" w:color="auto"/>
              <w:left w:val="nil"/>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left"/>
              <w:rPr>
                <w:rFonts w:ascii="Arial Narrow" w:hAnsi="Arial Narrow" w:cs="Calibri"/>
                <w:b/>
                <w:snapToGrid/>
                <w:color w:val="000000"/>
                <w:sz w:val="20"/>
                <w:lang w:eastAsia="en-AU"/>
              </w:rPr>
            </w:pPr>
            <w:r>
              <w:rPr>
                <w:rFonts w:ascii="Arial Narrow" w:hAnsi="Arial Narrow" w:cs="Calibri"/>
                <w:b/>
                <w:snapToGrid/>
                <w:color w:val="000000"/>
                <w:sz w:val="20"/>
                <w:lang w:eastAsia="en-AU"/>
              </w:rPr>
              <w:t>NIP market share</w:t>
            </w:r>
          </w:p>
        </w:tc>
        <w:tc>
          <w:tcPr>
            <w:tcW w:w="510" w:type="pct"/>
            <w:tcBorders>
              <w:top w:val="single" w:sz="4" w:space="0" w:color="auto"/>
              <w:left w:val="nil"/>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left"/>
              <w:rPr>
                <w:rFonts w:ascii="Arial Narrow" w:hAnsi="Arial Narrow" w:cs="Calibri"/>
                <w:b/>
                <w:snapToGrid/>
                <w:color w:val="000000"/>
                <w:sz w:val="20"/>
                <w:lang w:eastAsia="en-AU"/>
              </w:rPr>
            </w:pPr>
            <w:r>
              <w:rPr>
                <w:rFonts w:ascii="Arial Narrow" w:hAnsi="Arial Narrow" w:cs="Calibri"/>
                <w:snapToGrid/>
                <w:color w:val="000000"/>
                <w:sz w:val="20"/>
                <w:lang w:eastAsia="en-AU"/>
              </w:rPr>
              <w:t>Adacel</w:t>
            </w:r>
          </w:p>
        </w:tc>
        <w:tc>
          <w:tcPr>
            <w:tcW w:w="510" w:type="pct"/>
            <w:tcBorders>
              <w:top w:val="single" w:sz="4" w:space="0" w:color="auto"/>
              <w:left w:val="nil"/>
              <w:bottom w:val="single" w:sz="4" w:space="0" w:color="auto"/>
              <w:right w:val="single" w:sz="4" w:space="0" w:color="auto"/>
            </w:tcBorders>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Calibri"/>
                <w:noProof/>
                <w:snapToGrid/>
                <w:color w:val="000000"/>
                <w:sz w:val="20"/>
                <w:highlight w:val="black"/>
                <w:lang w:eastAsia="en-AU"/>
              </w:rPr>
              <w:t>'''</w:t>
            </w:r>
            <w:r w:rsidR="00634DD7" w:rsidRPr="0097374F">
              <w:rPr>
                <w:rFonts w:ascii="Arial Narrow" w:hAnsi="Arial Narrow" w:cs="Calibri"/>
                <w:snapToGrid/>
                <w:color w:val="000000"/>
                <w:sz w:val="20"/>
                <w:lang w:eastAsia="en-AU"/>
              </w:rPr>
              <w:t>%</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left"/>
              <w:rPr>
                <w:rFonts w:ascii="Arial Narrow" w:hAnsi="Arial Narrow" w:cs="Calibri"/>
                <w:b/>
                <w:snapToGrid/>
                <w:color w:val="000000"/>
                <w:sz w:val="20"/>
                <w:lang w:eastAsia="en-AU"/>
              </w:rPr>
            </w:pPr>
            <w:r>
              <w:rPr>
                <w:rFonts w:ascii="Arial Narrow" w:hAnsi="Arial Narrow" w:cs="Calibri"/>
                <w:snapToGrid/>
                <w:color w:val="000000"/>
                <w:sz w:val="20"/>
                <w:lang w:eastAsia="en-AU"/>
              </w:rPr>
              <w:t>Boostrix</w:t>
            </w:r>
          </w:p>
        </w:tc>
        <w:tc>
          <w:tcPr>
            <w:tcW w:w="510" w:type="pct"/>
            <w:tcBorders>
              <w:top w:val="single" w:sz="4" w:space="0" w:color="auto"/>
              <w:left w:val="nil"/>
              <w:bottom w:val="single" w:sz="4" w:space="0" w:color="auto"/>
              <w:right w:val="single" w:sz="4" w:space="0" w:color="auto"/>
            </w:tcBorders>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Calibri"/>
                <w:noProof/>
                <w:snapToGrid/>
                <w:color w:val="000000"/>
                <w:sz w:val="20"/>
                <w:highlight w:val="black"/>
                <w:lang w:eastAsia="en-AU"/>
              </w:rPr>
              <w:t>''''''''''</w:t>
            </w:r>
            <w:r w:rsidR="00634DD7" w:rsidRPr="0097374F">
              <w:rPr>
                <w:rFonts w:ascii="Arial Narrow" w:hAnsi="Arial Narrow" w:cs="Calibri"/>
                <w:snapToGrid/>
                <w:color w:val="000000"/>
                <w:sz w:val="20"/>
                <w:lang w:eastAsia="en-AU"/>
              </w:rPr>
              <w:t>%</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97374F" w:rsidRDefault="00C62CCF" w:rsidP="00C97D43">
            <w:pPr>
              <w:widowControl/>
              <w:jc w:val="center"/>
              <w:rPr>
                <w:rFonts w:ascii="Arial Narrow" w:hAnsi="Arial Narrow" w:cs="Calibri"/>
                <w:snapToGrid/>
                <w:color w:val="000000"/>
                <w:sz w:val="20"/>
                <w:lang w:eastAsia="en-AU"/>
              </w:rPr>
            </w:pPr>
            <w:r>
              <w:rPr>
                <w:rFonts w:ascii="Arial Narrow" w:hAnsi="Arial Narrow" w:cstheme="minorHAnsi"/>
                <w:noProof/>
                <w:color w:val="000000"/>
                <w:sz w:val="20"/>
                <w:highlight w:val="black"/>
                <w:lang w:eastAsia="en-AU"/>
              </w:rPr>
              <w:t>'''''</w:t>
            </w:r>
            <w:r w:rsidR="00634DD7" w:rsidRPr="0097374F">
              <w:rPr>
                <w:rFonts w:ascii="Arial Narrow" w:hAnsi="Arial Narrow" w:cstheme="minorHAnsi"/>
                <w:color w:val="000000"/>
                <w:sz w:val="20"/>
                <w:lang w:eastAsia="en-AU"/>
              </w:rPr>
              <w:t>%</w:t>
            </w: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left"/>
              <w:rPr>
                <w:rFonts w:ascii="Arial Narrow" w:hAnsi="Arial Narrow" w:cs="Calibri"/>
                <w:b/>
                <w:snapToGrid/>
                <w:color w:val="000000"/>
                <w:sz w:val="20"/>
                <w:lang w:eastAsia="en-AU"/>
              </w:rPr>
            </w:pPr>
            <w:r w:rsidRPr="000E727A">
              <w:rPr>
                <w:rFonts w:ascii="Arial Narrow" w:hAnsi="Arial Narrow" w:cs="Calibri"/>
                <w:b/>
                <w:snapToGrid/>
                <w:color w:val="000000"/>
                <w:sz w:val="20"/>
                <w:lang w:eastAsia="en-AU"/>
              </w:rPr>
              <w:t>Predicted utilisation</w:t>
            </w:r>
          </w:p>
        </w:tc>
        <w:tc>
          <w:tcPr>
            <w:tcW w:w="510" w:type="pct"/>
            <w:tcBorders>
              <w:top w:val="single" w:sz="4" w:space="0" w:color="auto"/>
              <w:left w:val="nil"/>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center"/>
              <w:rPr>
                <w:rFonts w:ascii="Arial Narrow" w:hAnsi="Arial Narrow" w:cs="Calibri"/>
                <w:snapToGrid/>
                <w:color w:val="000000"/>
                <w:sz w:val="20"/>
                <w:lang w:eastAsia="en-AU"/>
              </w:rPr>
            </w:pP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left"/>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Adacel patients</w:t>
            </w:r>
          </w:p>
        </w:tc>
        <w:tc>
          <w:tcPr>
            <w:tcW w:w="510" w:type="pct"/>
            <w:tcBorders>
              <w:top w:val="single" w:sz="4" w:space="0" w:color="auto"/>
              <w:left w:val="nil"/>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r>
      <w:tr w:rsidR="003E569B" w:rsidRPr="000E727A" w:rsidTr="00C97D43">
        <w:trPr>
          <w:trHeight w:val="58"/>
        </w:trPr>
        <w:tc>
          <w:tcPr>
            <w:tcW w:w="1347" w:type="pct"/>
            <w:tcBorders>
              <w:top w:val="nil"/>
              <w:left w:val="single" w:sz="4" w:space="0" w:color="auto"/>
              <w:bottom w:val="single" w:sz="4" w:space="0" w:color="auto"/>
              <w:right w:val="single" w:sz="4" w:space="0" w:color="auto"/>
            </w:tcBorders>
            <w:shd w:val="clear" w:color="auto" w:fill="auto"/>
            <w:noWrap/>
            <w:vAlign w:val="center"/>
            <w:hideMark/>
          </w:tcPr>
          <w:p w:rsidR="00634DD7" w:rsidRPr="000E727A" w:rsidRDefault="00634DD7" w:rsidP="00C97D43">
            <w:pPr>
              <w:widowControl/>
              <w:jc w:val="left"/>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Adacel doses</w:t>
            </w:r>
          </w:p>
        </w:tc>
        <w:tc>
          <w:tcPr>
            <w:tcW w:w="510" w:type="pct"/>
            <w:tcBorders>
              <w:top w:val="single" w:sz="4" w:space="0" w:color="auto"/>
              <w:left w:val="nil"/>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4DD7" w:rsidRPr="00C62CCF" w:rsidRDefault="00C62CCF" w:rsidP="00C97D43">
            <w:pPr>
              <w:widowControl/>
              <w:jc w:val="center"/>
              <w:rPr>
                <w:rFonts w:ascii="Arial Narrow" w:hAnsi="Arial Narrow" w:cs="Calibri"/>
                <w:snapToGrid/>
                <w:color w:val="000000"/>
                <w:sz w:val="20"/>
                <w:highlight w:val="black"/>
                <w:lang w:eastAsia="en-AU"/>
              </w:rPr>
            </w:pPr>
            <w:r>
              <w:rPr>
                <w:rFonts w:ascii="Arial Narrow" w:hAnsi="Arial Narrow" w:cs="Calibri"/>
                <w:noProof/>
                <w:snapToGrid/>
                <w:color w:val="000000"/>
                <w:sz w:val="20"/>
                <w:highlight w:val="black"/>
                <w:lang w:eastAsia="en-AU"/>
              </w:rPr>
              <w:t>'''''''''''''''''''</w:t>
            </w:r>
          </w:p>
        </w:tc>
      </w:tr>
      <w:tr w:rsidR="003E569B" w:rsidRPr="000E727A" w:rsidTr="00C97D43">
        <w:trPr>
          <w:trHeight w:val="58"/>
        </w:trPr>
        <w:tc>
          <w:tcPr>
            <w:tcW w:w="1347" w:type="pct"/>
            <w:tcBorders>
              <w:top w:val="nil"/>
              <w:left w:val="single" w:sz="4" w:space="0" w:color="auto"/>
              <w:bottom w:val="single" w:sz="4" w:space="0" w:color="auto"/>
              <w:right w:val="nil"/>
            </w:tcBorders>
            <w:shd w:val="clear" w:color="auto" w:fill="auto"/>
            <w:noWrap/>
            <w:vAlign w:val="center"/>
          </w:tcPr>
          <w:p w:rsidR="00634DD7" w:rsidRPr="000E727A" w:rsidRDefault="00634DD7" w:rsidP="00C97D43">
            <w:pPr>
              <w:widowControl/>
              <w:jc w:val="left"/>
              <w:rPr>
                <w:rFonts w:ascii="Arial Narrow" w:hAnsi="Arial Narrow" w:cs="Calibri"/>
                <w:b/>
                <w:snapToGrid/>
                <w:color w:val="000000"/>
                <w:sz w:val="20"/>
                <w:lang w:eastAsia="en-AU"/>
              </w:rPr>
            </w:pPr>
            <w:r w:rsidRPr="007E4F5E">
              <w:rPr>
                <w:rFonts w:ascii="Arial Narrow" w:hAnsi="Arial Narrow" w:cstheme="minorHAnsi"/>
                <w:b/>
                <w:color w:val="000000"/>
                <w:sz w:val="20"/>
                <w:lang w:eastAsia="en-AU"/>
              </w:rPr>
              <w:t>Vaccine cost</w:t>
            </w:r>
            <w:r>
              <w:rPr>
                <w:rFonts w:ascii="Arial Narrow" w:hAnsi="Arial Narrow" w:cstheme="minorHAnsi"/>
                <w:b/>
                <w:color w:val="000000"/>
                <w:sz w:val="20"/>
                <w:lang w:eastAsia="en-AU"/>
              </w:rPr>
              <w:t xml:space="preserve"> </w:t>
            </w:r>
            <w:r w:rsidRPr="007E4F5E">
              <w:rPr>
                <w:rFonts w:ascii="Arial Narrow" w:hAnsi="Arial Narrow" w:cstheme="minorHAnsi"/>
                <w:b/>
                <w:color w:val="000000"/>
                <w:sz w:val="20"/>
                <w:lang w:eastAsia="en-AU"/>
              </w:rPr>
              <w:t>assumptions</w:t>
            </w:r>
          </w:p>
        </w:tc>
        <w:tc>
          <w:tcPr>
            <w:tcW w:w="510" w:type="pct"/>
            <w:tcBorders>
              <w:top w:val="single" w:sz="4" w:space="0" w:color="auto"/>
              <w:left w:val="single" w:sz="4" w:space="0" w:color="auto"/>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679"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p>
        </w:tc>
      </w:tr>
      <w:tr w:rsidR="003E569B" w:rsidRPr="000E727A" w:rsidTr="00C97D43">
        <w:trPr>
          <w:trHeight w:val="58"/>
        </w:trPr>
        <w:tc>
          <w:tcPr>
            <w:tcW w:w="1347" w:type="pct"/>
            <w:tcBorders>
              <w:top w:val="nil"/>
              <w:left w:val="single" w:sz="4" w:space="0" w:color="auto"/>
              <w:bottom w:val="single" w:sz="4" w:space="0" w:color="auto"/>
              <w:right w:val="nil"/>
            </w:tcBorders>
            <w:shd w:val="clear" w:color="auto" w:fill="auto"/>
            <w:noWrap/>
            <w:vAlign w:val="center"/>
          </w:tcPr>
          <w:p w:rsidR="00634DD7" w:rsidRPr="000E727A" w:rsidRDefault="00634DD7" w:rsidP="00C97D43">
            <w:pPr>
              <w:widowControl/>
              <w:jc w:val="left"/>
              <w:rPr>
                <w:rFonts w:ascii="Arial Narrow" w:hAnsi="Arial Narrow" w:cs="Calibri"/>
                <w:b/>
                <w:snapToGrid/>
                <w:color w:val="000000"/>
                <w:sz w:val="20"/>
                <w:lang w:eastAsia="en-AU"/>
              </w:rPr>
            </w:pPr>
            <w:r>
              <w:rPr>
                <w:rFonts w:ascii="Arial Narrow" w:hAnsi="Arial Narrow" w:cs="Calibri"/>
                <w:snapToGrid/>
                <w:color w:val="000000"/>
                <w:sz w:val="20"/>
                <w:lang w:eastAsia="en-AU"/>
              </w:rPr>
              <w:t>Adacel per dose</w:t>
            </w:r>
          </w:p>
        </w:tc>
        <w:tc>
          <w:tcPr>
            <w:tcW w:w="510" w:type="pct"/>
            <w:tcBorders>
              <w:top w:val="single" w:sz="4" w:space="0" w:color="auto"/>
              <w:left w:val="single" w:sz="4" w:space="0" w:color="auto"/>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c>
          <w:tcPr>
            <w:tcW w:w="679"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r>
      <w:tr w:rsidR="003E569B" w:rsidRPr="000E727A" w:rsidTr="00C97D43">
        <w:trPr>
          <w:trHeight w:val="58"/>
        </w:trPr>
        <w:tc>
          <w:tcPr>
            <w:tcW w:w="1347" w:type="pct"/>
            <w:tcBorders>
              <w:top w:val="nil"/>
              <w:left w:val="single" w:sz="4" w:space="0" w:color="auto"/>
              <w:bottom w:val="single" w:sz="4" w:space="0" w:color="auto"/>
              <w:right w:val="nil"/>
            </w:tcBorders>
            <w:shd w:val="clear" w:color="auto" w:fill="auto"/>
            <w:noWrap/>
            <w:vAlign w:val="center"/>
          </w:tcPr>
          <w:p w:rsidR="00634DD7" w:rsidRPr="000E727A" w:rsidRDefault="00634DD7" w:rsidP="00C97D43">
            <w:pPr>
              <w:widowControl/>
              <w:jc w:val="left"/>
              <w:rPr>
                <w:rFonts w:ascii="Arial Narrow" w:hAnsi="Arial Narrow" w:cs="Calibri"/>
                <w:b/>
                <w:snapToGrid/>
                <w:color w:val="000000"/>
                <w:sz w:val="20"/>
                <w:lang w:eastAsia="en-AU"/>
              </w:rPr>
            </w:pPr>
            <w:r>
              <w:rPr>
                <w:rFonts w:ascii="Arial Narrow" w:hAnsi="Arial Narrow" w:cs="Calibri"/>
                <w:snapToGrid/>
                <w:color w:val="000000"/>
                <w:sz w:val="20"/>
                <w:lang w:eastAsia="en-AU"/>
              </w:rPr>
              <w:t>Boostrix per dose</w:t>
            </w:r>
          </w:p>
        </w:tc>
        <w:tc>
          <w:tcPr>
            <w:tcW w:w="510" w:type="pct"/>
            <w:tcBorders>
              <w:top w:val="single" w:sz="4" w:space="0" w:color="auto"/>
              <w:left w:val="single" w:sz="4" w:space="0" w:color="auto"/>
              <w:bottom w:val="single" w:sz="4" w:space="0" w:color="auto"/>
              <w:right w:val="single" w:sz="4" w:space="0" w:color="auto"/>
            </w:tcBorders>
            <w:vAlign w:val="center"/>
          </w:tcPr>
          <w:p w:rsidR="00634DD7" w:rsidRPr="000E727A" w:rsidRDefault="00634DD7"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c>
          <w:tcPr>
            <w:tcW w:w="679" w:type="pct"/>
            <w:tcBorders>
              <w:top w:val="single" w:sz="4" w:space="0" w:color="auto"/>
              <w:left w:val="nil"/>
              <w:bottom w:val="single" w:sz="4" w:space="0" w:color="auto"/>
              <w:right w:val="single" w:sz="4" w:space="0" w:color="auto"/>
            </w:tcBorders>
            <w:shd w:val="clear" w:color="auto" w:fill="auto"/>
            <w:noWrap/>
            <w:vAlign w:val="center"/>
          </w:tcPr>
          <w:p w:rsidR="00634DD7" w:rsidRPr="000E727A" w:rsidRDefault="00634DD7" w:rsidP="00C97D43">
            <w:pPr>
              <w:widowControl/>
              <w:jc w:val="center"/>
              <w:rPr>
                <w:rFonts w:ascii="Arial Narrow" w:hAnsi="Arial Narrow" w:cs="Calibri"/>
                <w:snapToGrid/>
                <w:color w:val="000000"/>
                <w:sz w:val="20"/>
                <w:lang w:eastAsia="en-AU"/>
              </w:rPr>
            </w:pPr>
            <w:r w:rsidRPr="007E4F5E">
              <w:rPr>
                <w:rFonts w:ascii="Arial Narrow" w:hAnsi="Arial Narrow" w:cstheme="minorHAnsi"/>
                <w:color w:val="000000"/>
                <w:sz w:val="20"/>
                <w:lang w:eastAsia="en-AU"/>
              </w:rPr>
              <w:t>$</w:t>
            </w:r>
            <w:r w:rsidR="00C62CCF">
              <w:rPr>
                <w:rFonts w:ascii="Arial Narrow" w:hAnsi="Arial Narrow" w:cstheme="minorHAnsi"/>
                <w:noProof/>
                <w:color w:val="000000"/>
                <w:sz w:val="20"/>
                <w:highlight w:val="black"/>
                <w:lang w:eastAsia="en-AU"/>
              </w:rPr>
              <w:t>'''''''''''''</w:t>
            </w:r>
          </w:p>
        </w:tc>
      </w:tr>
      <w:tr w:rsidR="003E569B" w:rsidRPr="000E727A" w:rsidTr="0046423A">
        <w:trPr>
          <w:trHeight w:val="58"/>
        </w:trPr>
        <w:tc>
          <w:tcPr>
            <w:tcW w:w="1347" w:type="pct"/>
            <w:tcBorders>
              <w:top w:val="nil"/>
              <w:left w:val="single" w:sz="4" w:space="0" w:color="auto"/>
              <w:bottom w:val="single" w:sz="4" w:space="0" w:color="auto"/>
              <w:right w:val="nil"/>
            </w:tcBorders>
            <w:shd w:val="clear" w:color="auto" w:fill="auto"/>
            <w:noWrap/>
            <w:vAlign w:val="center"/>
            <w:hideMark/>
          </w:tcPr>
          <w:p w:rsidR="003E569B" w:rsidRPr="000E727A" w:rsidRDefault="003E569B" w:rsidP="00C97D43">
            <w:pPr>
              <w:widowControl/>
              <w:jc w:val="left"/>
              <w:rPr>
                <w:rFonts w:ascii="Arial Narrow" w:hAnsi="Arial Narrow" w:cs="Calibri"/>
                <w:b/>
                <w:snapToGrid/>
                <w:color w:val="000000"/>
                <w:sz w:val="20"/>
                <w:lang w:eastAsia="en-AU"/>
              </w:rPr>
            </w:pPr>
            <w:r w:rsidRPr="000E727A">
              <w:rPr>
                <w:rFonts w:ascii="Arial Narrow" w:hAnsi="Arial Narrow" w:cs="Calibri"/>
                <w:b/>
                <w:snapToGrid/>
                <w:color w:val="000000"/>
                <w:sz w:val="20"/>
                <w:lang w:eastAsia="en-AU"/>
              </w:rPr>
              <w:t>Estimated total cost</w:t>
            </w:r>
            <w:r>
              <w:rPr>
                <w:rFonts w:ascii="Arial Narrow" w:hAnsi="Arial Narrow" w:cs="Calibri"/>
                <w:b/>
                <w:snapToGrid/>
                <w:color w:val="000000"/>
                <w:sz w:val="20"/>
                <w:lang w:eastAsia="en-AU"/>
              </w:rPr>
              <w:t xml:space="preserve"> of Adacel </w:t>
            </w:r>
          </w:p>
        </w:tc>
        <w:tc>
          <w:tcPr>
            <w:tcW w:w="510" w:type="pct"/>
            <w:tcBorders>
              <w:top w:val="single" w:sz="4" w:space="0" w:color="auto"/>
              <w:left w:val="single" w:sz="4" w:space="0" w:color="auto"/>
              <w:bottom w:val="single" w:sz="4" w:space="0" w:color="auto"/>
              <w:right w:val="single" w:sz="4" w:space="0" w:color="auto"/>
            </w:tcBorders>
            <w:vAlign w:val="center"/>
          </w:tcPr>
          <w:p w:rsidR="003E569B" w:rsidRPr="000E727A" w:rsidRDefault="003E569B"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69B" w:rsidRPr="000E727A" w:rsidRDefault="003E569B" w:rsidP="00C97D43">
            <w:pPr>
              <w:widowControl/>
              <w:jc w:val="center"/>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w:t>
            </w:r>
            <w:r w:rsidR="00C62CCF">
              <w:rPr>
                <w:rFonts w:ascii="Arial Narrow" w:hAnsi="Arial Narrow" w:cs="Calibri"/>
                <w:noProof/>
                <w:snapToGrid/>
                <w:color w:val="000000"/>
                <w:sz w:val="20"/>
                <w:highlight w:val="black"/>
                <w:lang w:eastAsia="en-AU"/>
              </w:rPr>
              <w:t>''''''''''''''''''''''''''</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rsidR="003E569B" w:rsidRPr="000E727A" w:rsidRDefault="003E569B" w:rsidP="00C97D43">
            <w:pPr>
              <w:widowControl/>
              <w:jc w:val="center"/>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w:t>
            </w:r>
            <w:r w:rsidR="00C62CCF">
              <w:rPr>
                <w:rFonts w:ascii="Arial Narrow" w:hAnsi="Arial Narrow" w:cs="Calibri"/>
                <w:noProof/>
                <w:snapToGrid/>
                <w:color w:val="000000"/>
                <w:sz w:val="20"/>
                <w:highlight w:val="black"/>
                <w:lang w:eastAsia="en-AU"/>
              </w:rPr>
              <w:t>'''''''''''''''''''''''''</w:t>
            </w:r>
          </w:p>
        </w:tc>
        <w:tc>
          <w:tcPr>
            <w:tcW w:w="681" w:type="pct"/>
            <w:tcBorders>
              <w:top w:val="single" w:sz="4" w:space="0" w:color="auto"/>
              <w:left w:val="nil"/>
              <w:bottom w:val="single" w:sz="4" w:space="0" w:color="auto"/>
              <w:right w:val="single" w:sz="4" w:space="0" w:color="auto"/>
            </w:tcBorders>
            <w:shd w:val="clear" w:color="auto" w:fill="auto"/>
            <w:noWrap/>
            <w:vAlign w:val="center"/>
            <w:hideMark/>
          </w:tcPr>
          <w:p w:rsidR="003E569B" w:rsidRPr="000E727A" w:rsidRDefault="003E569B" w:rsidP="00C97D43">
            <w:pPr>
              <w:widowControl/>
              <w:jc w:val="center"/>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w:t>
            </w:r>
            <w:r w:rsidR="00C62CCF">
              <w:rPr>
                <w:rFonts w:ascii="Arial Narrow" w:hAnsi="Arial Narrow" w:cs="Calibri"/>
                <w:noProof/>
                <w:snapToGrid/>
                <w:color w:val="000000"/>
                <w:sz w:val="20"/>
                <w:highlight w:val="black"/>
                <w:lang w:eastAsia="en-AU"/>
              </w:rPr>
              <w:t>'''''''''''''''''''''''</w:t>
            </w:r>
          </w:p>
        </w:tc>
        <w:tc>
          <w:tcPr>
            <w:tcW w:w="595" w:type="pct"/>
            <w:tcBorders>
              <w:top w:val="single" w:sz="4" w:space="0" w:color="auto"/>
              <w:left w:val="nil"/>
              <w:bottom w:val="single" w:sz="4" w:space="0" w:color="auto"/>
              <w:right w:val="single" w:sz="4" w:space="0" w:color="auto"/>
            </w:tcBorders>
            <w:shd w:val="clear" w:color="auto" w:fill="auto"/>
            <w:noWrap/>
            <w:vAlign w:val="center"/>
            <w:hideMark/>
          </w:tcPr>
          <w:p w:rsidR="003E569B" w:rsidRPr="000E727A" w:rsidRDefault="003E569B" w:rsidP="00C97D43">
            <w:pPr>
              <w:widowControl/>
              <w:jc w:val="center"/>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w:t>
            </w:r>
            <w:r w:rsidR="00C62CCF">
              <w:rPr>
                <w:rFonts w:ascii="Arial Narrow" w:hAnsi="Arial Narrow" w:cs="Calibri"/>
                <w:noProof/>
                <w:snapToGrid/>
                <w:color w:val="000000"/>
                <w:sz w:val="20"/>
                <w:highlight w:val="black"/>
                <w:lang w:eastAsia="en-AU"/>
              </w:rPr>
              <w:t>''''''''''''''''''''''</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3E569B" w:rsidRPr="000E727A" w:rsidRDefault="003E569B" w:rsidP="00C97D43">
            <w:pPr>
              <w:widowControl/>
              <w:jc w:val="center"/>
              <w:rPr>
                <w:rFonts w:ascii="Arial Narrow" w:hAnsi="Arial Narrow" w:cs="Calibri"/>
                <w:snapToGrid/>
                <w:color w:val="000000"/>
                <w:sz w:val="20"/>
                <w:lang w:eastAsia="en-AU"/>
              </w:rPr>
            </w:pPr>
            <w:r w:rsidRPr="000E727A">
              <w:rPr>
                <w:rFonts w:ascii="Arial Narrow" w:hAnsi="Arial Narrow" w:cs="Calibri"/>
                <w:snapToGrid/>
                <w:color w:val="000000"/>
                <w:sz w:val="20"/>
                <w:lang w:eastAsia="en-AU"/>
              </w:rPr>
              <w:t>$</w:t>
            </w:r>
            <w:r w:rsidR="00C62CCF">
              <w:rPr>
                <w:rFonts w:ascii="Arial Narrow" w:hAnsi="Arial Narrow" w:cs="Calibri"/>
                <w:noProof/>
                <w:snapToGrid/>
                <w:color w:val="000000"/>
                <w:sz w:val="20"/>
                <w:highlight w:val="black"/>
                <w:lang w:eastAsia="en-AU"/>
              </w:rPr>
              <w:t>'''''''''''''''''''''''''</w:t>
            </w:r>
          </w:p>
        </w:tc>
      </w:tr>
      <w:tr w:rsidR="003E569B" w:rsidRPr="000E727A" w:rsidTr="0046423A">
        <w:trPr>
          <w:trHeight w:val="58"/>
        </w:trPr>
        <w:tc>
          <w:tcPr>
            <w:tcW w:w="1347" w:type="pct"/>
            <w:tcBorders>
              <w:top w:val="single" w:sz="4" w:space="0" w:color="auto"/>
              <w:left w:val="single" w:sz="4" w:space="0" w:color="auto"/>
              <w:bottom w:val="single" w:sz="4" w:space="0" w:color="auto"/>
              <w:right w:val="nil"/>
            </w:tcBorders>
            <w:shd w:val="clear" w:color="auto" w:fill="auto"/>
            <w:noWrap/>
            <w:vAlign w:val="center"/>
            <w:hideMark/>
          </w:tcPr>
          <w:p w:rsidR="003E569B" w:rsidRPr="003E569B" w:rsidRDefault="003E569B" w:rsidP="00C97D43">
            <w:pPr>
              <w:widowControl/>
              <w:jc w:val="left"/>
              <w:rPr>
                <w:rFonts w:ascii="Arial Narrow" w:hAnsi="Arial Narrow" w:cs="Calibri"/>
                <w:b/>
                <w:snapToGrid/>
                <w:color w:val="000000"/>
                <w:sz w:val="20"/>
                <w:lang w:eastAsia="en-AU"/>
              </w:rPr>
            </w:pPr>
            <w:r w:rsidRPr="003E569B">
              <w:rPr>
                <w:rFonts w:ascii="Arial Narrow" w:hAnsi="Arial Narrow" w:cs="Calibri"/>
                <w:b/>
                <w:snapToGrid/>
                <w:color w:val="000000"/>
                <w:sz w:val="20"/>
                <w:lang w:eastAsia="en-AU"/>
              </w:rPr>
              <w:t>Change in cost of Boostrix</w:t>
            </w:r>
          </w:p>
        </w:tc>
        <w:tc>
          <w:tcPr>
            <w:tcW w:w="510" w:type="pct"/>
            <w:tcBorders>
              <w:top w:val="single" w:sz="4" w:space="0" w:color="auto"/>
              <w:left w:val="single" w:sz="4" w:space="0" w:color="auto"/>
              <w:bottom w:val="single" w:sz="4" w:space="0" w:color="auto"/>
              <w:right w:val="single" w:sz="4" w:space="0" w:color="auto"/>
            </w:tcBorders>
            <w:vAlign w:val="center"/>
          </w:tcPr>
          <w:p w:rsidR="003E569B" w:rsidRPr="000E727A" w:rsidRDefault="003E569B"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E569B" w:rsidRPr="000E727A"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FF0000"/>
                <w:sz w:val="20"/>
                <w:lang w:eastAsia="en-AU"/>
              </w:rPr>
              <w:t>-$</w:t>
            </w:r>
            <w:r w:rsidR="00C62CCF">
              <w:rPr>
                <w:rFonts w:ascii="Arial Narrow" w:hAnsi="Arial Narrow" w:cs="Calibri"/>
                <w:noProof/>
                <w:snapToGrid/>
                <w:color w:val="000000"/>
                <w:sz w:val="20"/>
                <w:highlight w:val="black"/>
                <w:lang w:eastAsia="en-AU"/>
              </w:rPr>
              <w:t>''''''''''''''''''''''''</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3E569B" w:rsidRPr="000E727A"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FF0000"/>
                <w:sz w:val="20"/>
                <w:lang w:eastAsia="en-AU"/>
              </w:rPr>
              <w:t>-$</w:t>
            </w:r>
            <w:r w:rsidR="00C62CCF">
              <w:rPr>
                <w:rFonts w:ascii="Arial Narrow" w:hAnsi="Arial Narrow" w:cs="Calibri"/>
                <w:noProof/>
                <w:snapToGrid/>
                <w:color w:val="000000"/>
                <w:sz w:val="20"/>
                <w:highlight w:val="black"/>
                <w:lang w:eastAsia="en-AU"/>
              </w:rPr>
              <w:t>'''''''''''''''''''''''''</w:t>
            </w: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3E569B" w:rsidRPr="000E727A"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FF0000"/>
                <w:sz w:val="20"/>
                <w:lang w:eastAsia="en-AU"/>
              </w:rPr>
              <w:t>-$</w:t>
            </w:r>
            <w:r w:rsidR="00C62CCF">
              <w:rPr>
                <w:rFonts w:ascii="Arial Narrow" w:hAnsi="Arial Narrow" w:cs="Calibri"/>
                <w:noProof/>
                <w:snapToGrid/>
                <w:color w:val="000000"/>
                <w:sz w:val="20"/>
                <w:highlight w:val="black"/>
                <w:lang w:eastAsia="en-AU"/>
              </w:rPr>
              <w:t>'''''''''''''''''''''''</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3E569B" w:rsidRPr="000E727A"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FF0000"/>
                <w:sz w:val="20"/>
                <w:lang w:eastAsia="en-AU"/>
              </w:rPr>
              <w:t>-$</w:t>
            </w:r>
            <w:r w:rsidR="00C62CCF">
              <w:rPr>
                <w:rFonts w:ascii="Arial Narrow" w:hAnsi="Arial Narrow" w:cs="Calibri"/>
                <w:noProof/>
                <w:snapToGrid/>
                <w:color w:val="000000"/>
                <w:sz w:val="20"/>
                <w:highlight w:val="black"/>
                <w:lang w:eastAsia="en-AU"/>
              </w:rPr>
              <w:t>''''''''''''''''''''''</w:t>
            </w:r>
          </w:p>
        </w:tc>
        <w:tc>
          <w:tcPr>
            <w:tcW w:w="679" w:type="pct"/>
            <w:tcBorders>
              <w:top w:val="single" w:sz="4" w:space="0" w:color="auto"/>
              <w:left w:val="nil"/>
              <w:bottom w:val="single" w:sz="4" w:space="0" w:color="auto"/>
              <w:right w:val="single" w:sz="4" w:space="0" w:color="auto"/>
            </w:tcBorders>
            <w:shd w:val="clear" w:color="auto" w:fill="auto"/>
            <w:noWrap/>
            <w:vAlign w:val="center"/>
          </w:tcPr>
          <w:p w:rsidR="003E569B" w:rsidRPr="000E727A"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FF0000"/>
                <w:sz w:val="20"/>
                <w:lang w:eastAsia="en-AU"/>
              </w:rPr>
              <w:t>-$</w:t>
            </w:r>
            <w:r w:rsidR="00C62CCF">
              <w:rPr>
                <w:rFonts w:ascii="Arial Narrow" w:hAnsi="Arial Narrow" w:cs="Calibri"/>
                <w:noProof/>
                <w:snapToGrid/>
                <w:color w:val="000000"/>
                <w:sz w:val="20"/>
                <w:highlight w:val="black"/>
                <w:lang w:eastAsia="en-AU"/>
              </w:rPr>
              <w:t>'''''''''''''''''''''''''</w:t>
            </w:r>
          </w:p>
        </w:tc>
      </w:tr>
      <w:tr w:rsidR="003E569B" w:rsidRPr="000E727A" w:rsidTr="0046423A">
        <w:trPr>
          <w:trHeight w:val="58"/>
        </w:trPr>
        <w:tc>
          <w:tcPr>
            <w:tcW w:w="1347" w:type="pct"/>
            <w:tcBorders>
              <w:top w:val="single" w:sz="4" w:space="0" w:color="auto"/>
              <w:left w:val="single" w:sz="4" w:space="0" w:color="auto"/>
              <w:bottom w:val="single" w:sz="4" w:space="0" w:color="auto"/>
              <w:right w:val="nil"/>
            </w:tcBorders>
            <w:shd w:val="clear" w:color="auto" w:fill="auto"/>
            <w:noWrap/>
            <w:vAlign w:val="center"/>
          </w:tcPr>
          <w:p w:rsidR="003E569B" w:rsidRPr="003E569B" w:rsidRDefault="003E569B" w:rsidP="00C97D43">
            <w:pPr>
              <w:widowControl/>
              <w:jc w:val="left"/>
              <w:rPr>
                <w:rFonts w:ascii="Arial Narrow" w:hAnsi="Arial Narrow" w:cs="Calibri"/>
                <w:b/>
                <w:snapToGrid/>
                <w:color w:val="000000"/>
                <w:sz w:val="20"/>
                <w:lang w:eastAsia="en-AU"/>
              </w:rPr>
            </w:pPr>
            <w:r w:rsidRPr="003E569B">
              <w:rPr>
                <w:rFonts w:ascii="Arial Narrow" w:hAnsi="Arial Narrow" w:cs="Calibri"/>
                <w:b/>
                <w:snapToGrid/>
                <w:color w:val="000000"/>
                <w:sz w:val="20"/>
                <w:lang w:eastAsia="en-AU"/>
              </w:rPr>
              <w:t>Net cost to NIP</w:t>
            </w:r>
          </w:p>
        </w:tc>
        <w:tc>
          <w:tcPr>
            <w:tcW w:w="510" w:type="pct"/>
            <w:tcBorders>
              <w:top w:val="single" w:sz="4" w:space="0" w:color="auto"/>
              <w:left w:val="single" w:sz="4" w:space="0" w:color="auto"/>
              <w:bottom w:val="single" w:sz="4" w:space="0" w:color="auto"/>
              <w:right w:val="single" w:sz="4" w:space="0" w:color="auto"/>
            </w:tcBorders>
            <w:vAlign w:val="center"/>
          </w:tcPr>
          <w:p w:rsidR="003E569B" w:rsidRPr="000E727A" w:rsidRDefault="003E569B" w:rsidP="00C97D43">
            <w:pPr>
              <w:widowControl/>
              <w:jc w:val="center"/>
              <w:rPr>
                <w:rFonts w:ascii="Arial Narrow" w:hAnsi="Arial Narrow" w:cs="Calibri"/>
                <w:snapToGrid/>
                <w:color w:val="000000"/>
                <w:sz w:val="20"/>
                <w:lang w:eastAsia="en-AU"/>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E569B" w:rsidRPr="000E727A" w:rsidDel="003E569B"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000000"/>
                <w:sz w:val="20"/>
                <w:lang w:eastAsia="en-AU"/>
              </w:rPr>
              <w:t>$</w:t>
            </w:r>
            <w:r w:rsidRPr="00535E81">
              <w:rPr>
                <w:rFonts w:ascii="Arial Narrow" w:hAnsi="Arial Narrow" w:cs="Calibri"/>
                <w:snapToGrid/>
                <w:color w:val="000000"/>
                <w:sz w:val="20"/>
                <w:lang w:eastAsia="en-AU"/>
              </w:rPr>
              <w:t>0</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3E569B" w:rsidRPr="000E727A" w:rsidDel="003E569B"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000000"/>
                <w:sz w:val="20"/>
                <w:lang w:eastAsia="en-AU"/>
              </w:rPr>
              <w:t>$</w:t>
            </w:r>
            <w:r w:rsidRPr="00535E81">
              <w:rPr>
                <w:rFonts w:ascii="Arial Narrow" w:hAnsi="Arial Narrow" w:cs="Calibri"/>
                <w:snapToGrid/>
                <w:color w:val="000000"/>
                <w:sz w:val="20"/>
                <w:lang w:eastAsia="en-AU"/>
              </w:rPr>
              <w:t>0</w:t>
            </w: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3E569B" w:rsidRPr="000E727A" w:rsidDel="003E569B"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000000"/>
                <w:sz w:val="20"/>
                <w:lang w:eastAsia="en-AU"/>
              </w:rPr>
              <w:t>$</w:t>
            </w:r>
            <w:r w:rsidRPr="00535E81">
              <w:rPr>
                <w:rFonts w:ascii="Arial Narrow" w:hAnsi="Arial Narrow" w:cs="Calibri"/>
                <w:snapToGrid/>
                <w:color w:val="000000"/>
                <w:sz w:val="20"/>
                <w:lang w:eastAsia="en-AU"/>
              </w:rPr>
              <w:t>0</w:t>
            </w:r>
          </w:p>
        </w:tc>
        <w:tc>
          <w:tcPr>
            <w:tcW w:w="595" w:type="pct"/>
            <w:tcBorders>
              <w:top w:val="single" w:sz="4" w:space="0" w:color="auto"/>
              <w:left w:val="nil"/>
              <w:bottom w:val="single" w:sz="4" w:space="0" w:color="auto"/>
              <w:right w:val="single" w:sz="4" w:space="0" w:color="auto"/>
            </w:tcBorders>
            <w:shd w:val="clear" w:color="auto" w:fill="auto"/>
            <w:noWrap/>
            <w:vAlign w:val="center"/>
          </w:tcPr>
          <w:p w:rsidR="003E569B" w:rsidRPr="000E727A" w:rsidDel="003E569B"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000000"/>
                <w:sz w:val="20"/>
                <w:lang w:eastAsia="en-AU"/>
              </w:rPr>
              <w:t>$</w:t>
            </w:r>
            <w:r w:rsidRPr="00535E81">
              <w:rPr>
                <w:rFonts w:ascii="Arial Narrow" w:hAnsi="Arial Narrow" w:cs="Calibri"/>
                <w:snapToGrid/>
                <w:color w:val="000000"/>
                <w:sz w:val="20"/>
                <w:lang w:eastAsia="en-AU"/>
              </w:rPr>
              <w:t>0</w:t>
            </w:r>
          </w:p>
        </w:tc>
        <w:tc>
          <w:tcPr>
            <w:tcW w:w="679" w:type="pct"/>
            <w:tcBorders>
              <w:top w:val="single" w:sz="4" w:space="0" w:color="auto"/>
              <w:left w:val="nil"/>
              <w:bottom w:val="single" w:sz="4" w:space="0" w:color="auto"/>
              <w:right w:val="single" w:sz="4" w:space="0" w:color="auto"/>
            </w:tcBorders>
            <w:shd w:val="clear" w:color="auto" w:fill="auto"/>
            <w:noWrap/>
            <w:vAlign w:val="center"/>
          </w:tcPr>
          <w:p w:rsidR="003E569B" w:rsidRPr="000E727A" w:rsidDel="003E569B" w:rsidRDefault="003E569B" w:rsidP="00C97D43">
            <w:pPr>
              <w:widowControl/>
              <w:jc w:val="center"/>
              <w:rPr>
                <w:rFonts w:ascii="Arial Narrow" w:hAnsi="Arial Narrow" w:cs="Calibri"/>
                <w:snapToGrid/>
                <w:color w:val="000000"/>
                <w:sz w:val="20"/>
                <w:lang w:eastAsia="en-AU"/>
              </w:rPr>
            </w:pPr>
            <w:r w:rsidRPr="00CF42BF">
              <w:rPr>
                <w:rFonts w:ascii="Arial Narrow" w:hAnsi="Arial Narrow" w:cs="Calibri"/>
                <w:snapToGrid/>
                <w:color w:val="000000"/>
                <w:sz w:val="20"/>
                <w:lang w:eastAsia="en-AU"/>
              </w:rPr>
              <w:t>$</w:t>
            </w:r>
            <w:r w:rsidRPr="00535E81">
              <w:rPr>
                <w:rFonts w:ascii="Arial Narrow" w:hAnsi="Arial Narrow" w:cs="Calibri"/>
                <w:snapToGrid/>
                <w:color w:val="000000"/>
                <w:sz w:val="20"/>
                <w:lang w:eastAsia="en-AU"/>
              </w:rPr>
              <w:t>0</w:t>
            </w:r>
          </w:p>
        </w:tc>
      </w:tr>
    </w:tbl>
    <w:p w:rsidR="00634DD7" w:rsidRPr="00B46E4C" w:rsidRDefault="00634DD7" w:rsidP="00C97D43">
      <w:pPr>
        <w:ind w:left="709"/>
        <w:jc w:val="left"/>
        <w:rPr>
          <w:rFonts w:ascii="Arial Narrow" w:eastAsiaTheme="majorEastAsia" w:hAnsi="Arial Narrow" w:cstheme="majorBidi"/>
          <w:bCs/>
          <w:snapToGrid/>
          <w:sz w:val="18"/>
          <w:lang w:bidi="en-US"/>
        </w:rPr>
      </w:pPr>
      <w:r w:rsidRPr="00B46E4C">
        <w:rPr>
          <w:rFonts w:ascii="Arial Narrow" w:eastAsiaTheme="majorEastAsia" w:hAnsi="Arial Narrow" w:cstheme="majorBidi"/>
          <w:bCs/>
          <w:snapToGrid/>
          <w:sz w:val="18"/>
          <w:lang w:bidi="en-US"/>
        </w:rPr>
        <w:t xml:space="preserve">Source: </w:t>
      </w:r>
      <w:r w:rsidRPr="00B46E4C">
        <w:rPr>
          <w:rFonts w:ascii="Arial Narrow" w:hAnsi="Arial Narrow"/>
          <w:sz w:val="18"/>
        </w:rPr>
        <w:t xml:space="preserve">Table E-1.1, p 125 and </w:t>
      </w:r>
      <w:r w:rsidRPr="00B46E4C">
        <w:rPr>
          <w:rFonts w:ascii="Arial Narrow" w:eastAsiaTheme="majorEastAsia" w:hAnsi="Arial Narrow" w:cstheme="majorBidi"/>
          <w:bCs/>
          <w:snapToGrid/>
          <w:sz w:val="18"/>
          <w:lang w:bidi="en-US"/>
        </w:rPr>
        <w:t>Table E-2.1, p126, of the submission.</w:t>
      </w:r>
    </w:p>
    <w:p w:rsidR="00634DD7" w:rsidRDefault="00634DD7" w:rsidP="00634DD7">
      <w:pPr>
        <w:widowControl/>
        <w:rPr>
          <w:szCs w:val="22"/>
        </w:rPr>
      </w:pPr>
    </w:p>
    <w:p w:rsidR="00E86BD6" w:rsidRDefault="00E86BD6" w:rsidP="00A108A8">
      <w:pPr>
        <w:widowControl/>
        <w:ind w:left="709"/>
        <w:rPr>
          <w:szCs w:val="22"/>
        </w:rPr>
      </w:pPr>
      <w:r>
        <w:rPr>
          <w:szCs w:val="22"/>
        </w:rPr>
        <w:t xml:space="preserve">The redacted table shows that at year 5, the </w:t>
      </w:r>
      <w:r w:rsidR="006F1023">
        <w:rPr>
          <w:szCs w:val="22"/>
        </w:rPr>
        <w:t xml:space="preserve">predicted utilisation </w:t>
      </w:r>
      <w:r>
        <w:rPr>
          <w:szCs w:val="22"/>
        </w:rPr>
        <w:t>is</w:t>
      </w:r>
      <w:r w:rsidR="006F1023">
        <w:rPr>
          <w:szCs w:val="22"/>
        </w:rPr>
        <w:t xml:space="preserve"> between</w:t>
      </w:r>
      <w:r>
        <w:rPr>
          <w:szCs w:val="22"/>
        </w:rPr>
        <w:t xml:space="preserve"> 100,000 – 200,000</w:t>
      </w:r>
      <w:r w:rsidR="006F1023">
        <w:rPr>
          <w:szCs w:val="22"/>
        </w:rPr>
        <w:t xml:space="preserve"> patients</w:t>
      </w:r>
      <w:r>
        <w:rPr>
          <w:szCs w:val="22"/>
        </w:rPr>
        <w:t>.</w:t>
      </w:r>
    </w:p>
    <w:p w:rsidR="00E86BD6" w:rsidRPr="00C25D9C" w:rsidRDefault="00E86BD6" w:rsidP="00634DD7">
      <w:pPr>
        <w:widowControl/>
        <w:rPr>
          <w:szCs w:val="22"/>
        </w:rPr>
      </w:pPr>
    </w:p>
    <w:p w:rsidR="00C837C6" w:rsidRDefault="00634DD7" w:rsidP="0074368D">
      <w:pPr>
        <w:pStyle w:val="ListParagraph"/>
        <w:widowControl/>
        <w:numPr>
          <w:ilvl w:val="1"/>
          <w:numId w:val="1"/>
        </w:numPr>
        <w:rPr>
          <w:szCs w:val="22"/>
        </w:rPr>
      </w:pPr>
      <w:r w:rsidRPr="0001054B">
        <w:rPr>
          <w:szCs w:val="22"/>
        </w:rPr>
        <w:t>The estimates of vaccine coverage</w:t>
      </w:r>
      <w:r w:rsidR="003E569B" w:rsidRPr="0001054B">
        <w:rPr>
          <w:szCs w:val="22"/>
        </w:rPr>
        <w:t xml:space="preserve"> </w:t>
      </w:r>
      <w:r w:rsidR="0026746A" w:rsidRPr="0001054B">
        <w:rPr>
          <w:szCs w:val="22"/>
        </w:rPr>
        <w:t xml:space="preserve">are uncertain </w:t>
      </w:r>
      <w:r w:rsidR="003E569B" w:rsidRPr="0001054B">
        <w:rPr>
          <w:szCs w:val="22"/>
        </w:rPr>
        <w:t xml:space="preserve">due to the variation in </w:t>
      </w:r>
      <w:r w:rsidR="0026746A" w:rsidRPr="0001054B">
        <w:rPr>
          <w:szCs w:val="22"/>
        </w:rPr>
        <w:t xml:space="preserve">the </w:t>
      </w:r>
      <w:r w:rsidR="003E569B" w:rsidRPr="0001054B">
        <w:rPr>
          <w:szCs w:val="22"/>
        </w:rPr>
        <w:t xml:space="preserve">estimates available. The estimates of </w:t>
      </w:r>
      <w:r w:rsidRPr="0001054B">
        <w:rPr>
          <w:szCs w:val="22"/>
        </w:rPr>
        <w:t>market share are uncertain</w:t>
      </w:r>
      <w:r w:rsidR="003E569B" w:rsidRPr="0001054B">
        <w:rPr>
          <w:szCs w:val="22"/>
        </w:rPr>
        <w:t xml:space="preserve"> and no justification was provided by the submission</w:t>
      </w:r>
      <w:r w:rsidRPr="0001054B">
        <w:rPr>
          <w:szCs w:val="22"/>
        </w:rPr>
        <w:t>. However</w:t>
      </w:r>
      <w:r w:rsidR="009A029F">
        <w:rPr>
          <w:szCs w:val="22"/>
        </w:rPr>
        <w:t>,</w:t>
      </w:r>
      <w:r w:rsidRPr="0001054B">
        <w:rPr>
          <w:szCs w:val="22"/>
        </w:rPr>
        <w:t xml:space="preserve"> as the costs of Adacel are directly offset by an equivalent value in reduced Boostrix procurement costs</w:t>
      </w:r>
      <w:r w:rsidR="00BE022E" w:rsidRPr="0001054B">
        <w:rPr>
          <w:szCs w:val="22"/>
        </w:rPr>
        <w:t>,</w:t>
      </w:r>
      <w:r w:rsidRPr="0001054B">
        <w:rPr>
          <w:szCs w:val="22"/>
        </w:rPr>
        <w:t xml:space="preserve"> the net cost to the NIP is zero.</w:t>
      </w:r>
    </w:p>
    <w:p w:rsidR="009E4C48" w:rsidRDefault="009E4C48" w:rsidP="009E4C48">
      <w:pPr>
        <w:pStyle w:val="ListParagraph"/>
        <w:widowControl/>
        <w:rPr>
          <w:szCs w:val="22"/>
        </w:rPr>
      </w:pPr>
    </w:p>
    <w:p w:rsidR="0045054A" w:rsidRPr="00B07724" w:rsidRDefault="0045054A" w:rsidP="0045054A">
      <w:pPr>
        <w:ind w:firstLine="720"/>
        <w:rPr>
          <w:bCs/>
          <w:szCs w:val="22"/>
        </w:rPr>
      </w:pPr>
      <w:r w:rsidRPr="00B07724">
        <w:rPr>
          <w:bCs/>
          <w:i/>
          <w:szCs w:val="22"/>
        </w:rPr>
        <w:t>For more detail on PBAC’s view, see section 7 “PBAC outcome”</w:t>
      </w:r>
    </w:p>
    <w:p w:rsidR="00027505" w:rsidRDefault="00027505" w:rsidP="00027505">
      <w:pPr>
        <w:rPr>
          <w:rStyle w:val="IntenseReference"/>
          <w:b w:val="0"/>
          <w:bCs w:val="0"/>
          <w:i/>
          <w:smallCaps w:val="0"/>
          <w:color w:val="auto"/>
        </w:rPr>
      </w:pPr>
    </w:p>
    <w:p w:rsidR="00646457" w:rsidRPr="00646457" w:rsidRDefault="00646457" w:rsidP="00027505">
      <w:pPr>
        <w:rPr>
          <w:rStyle w:val="IntenseReference"/>
          <w:b w:val="0"/>
          <w:bCs w:val="0"/>
          <w:i/>
          <w:smallCaps w:val="0"/>
          <w:color w:val="auto"/>
        </w:rPr>
      </w:pPr>
    </w:p>
    <w:p w:rsidR="00027505" w:rsidRPr="005C4EA9" w:rsidRDefault="00027505" w:rsidP="005C4EA9">
      <w:pPr>
        <w:pStyle w:val="PBACHeading1"/>
        <w:ind w:left="709" w:hanging="709"/>
      </w:pPr>
      <w:r w:rsidRPr="005C4EA9">
        <w:t>PBAC Outcome</w:t>
      </w:r>
    </w:p>
    <w:p w:rsidR="00027505" w:rsidRPr="0069654D" w:rsidRDefault="00027505" w:rsidP="00027505">
      <w:pPr>
        <w:rPr>
          <w:bCs/>
          <w:highlight w:val="yellow"/>
          <w:lang w:val="en-GB"/>
        </w:rPr>
      </w:pPr>
    </w:p>
    <w:p w:rsidR="009436FF" w:rsidRPr="0046423A" w:rsidRDefault="003954B4" w:rsidP="0074368D">
      <w:pPr>
        <w:widowControl/>
        <w:numPr>
          <w:ilvl w:val="1"/>
          <w:numId w:val="1"/>
        </w:numPr>
        <w:rPr>
          <w:bCs/>
          <w:szCs w:val="22"/>
          <w:lang w:val="en-GB"/>
        </w:rPr>
      </w:pPr>
      <w:r w:rsidRPr="0046423A">
        <w:rPr>
          <w:bCs/>
          <w:szCs w:val="22"/>
          <w:lang w:val="en-GB"/>
        </w:rPr>
        <w:t>The PBAC recommended a change to the circumstances under which dTpa, Adacel, is made available as a designated vaccine for the NIP to include vaccination of women during each pregnancy to reduce pertussis disease in infants (prior to being vaccinated) and in mothers</w:t>
      </w:r>
      <w:r w:rsidR="00633A40" w:rsidRPr="0046423A">
        <w:rPr>
          <w:bCs/>
          <w:szCs w:val="22"/>
          <w:lang w:val="en-GB"/>
        </w:rPr>
        <w:t xml:space="preserve">. The PBAC’s recommendation was based on, among other matters, its assessment, as described above, that the cost-effectiveness of dTpa, Adacel would be acceptable if it was cost-minimised against dTpa, Boostrix. </w:t>
      </w:r>
    </w:p>
    <w:p w:rsidR="00633A40" w:rsidRPr="0046423A" w:rsidRDefault="00633A40" w:rsidP="00633A40">
      <w:pPr>
        <w:widowControl/>
        <w:rPr>
          <w:bCs/>
          <w:szCs w:val="22"/>
          <w:lang w:val="en-GB"/>
        </w:rPr>
      </w:pPr>
    </w:p>
    <w:p w:rsidR="009436FF" w:rsidRPr="0046423A" w:rsidRDefault="009436FF" w:rsidP="0074368D">
      <w:pPr>
        <w:numPr>
          <w:ilvl w:val="1"/>
          <w:numId w:val="1"/>
        </w:numPr>
        <w:rPr>
          <w:bCs/>
          <w:szCs w:val="22"/>
          <w:lang w:val="en-GB"/>
        </w:rPr>
      </w:pPr>
      <w:r w:rsidRPr="0046423A">
        <w:rPr>
          <w:bCs/>
          <w:szCs w:val="22"/>
          <w:lang w:val="en-GB"/>
        </w:rPr>
        <w:t>The PBAC accepted that dTpa, Boostrix</w:t>
      </w:r>
      <w:r w:rsidR="001F3204" w:rsidRPr="0046423A">
        <w:rPr>
          <w:bCs/>
          <w:szCs w:val="22"/>
          <w:lang w:val="en-GB"/>
        </w:rPr>
        <w:t>, is the appropriate comparator, and that the equi-effective doses are Adacel 1 x 0.5 mL dose and Boostrix 1 x 0.5 mL dose.</w:t>
      </w:r>
      <w:r w:rsidR="002711F0" w:rsidRPr="0046423A">
        <w:rPr>
          <w:bCs/>
          <w:szCs w:val="22"/>
          <w:lang w:val="en-GB"/>
        </w:rPr>
        <w:t xml:space="preserve"> </w:t>
      </w:r>
    </w:p>
    <w:p w:rsidR="008E1843" w:rsidRPr="00C0540C" w:rsidRDefault="008E1843" w:rsidP="00C0540C">
      <w:pPr>
        <w:rPr>
          <w:bCs/>
          <w:szCs w:val="22"/>
          <w:highlight w:val="yellow"/>
          <w:lang w:val="en-GB"/>
        </w:rPr>
      </w:pPr>
    </w:p>
    <w:p w:rsidR="0032589E" w:rsidRPr="0032589E" w:rsidRDefault="0032589E" w:rsidP="0032589E">
      <w:pPr>
        <w:numPr>
          <w:ilvl w:val="1"/>
          <w:numId w:val="1"/>
        </w:numPr>
        <w:rPr>
          <w:szCs w:val="22"/>
        </w:rPr>
      </w:pPr>
      <w:r w:rsidRPr="00C0540C">
        <w:rPr>
          <w:snapToGrid/>
          <w:color w:val="000000"/>
          <w:szCs w:val="22"/>
          <w:lang w:eastAsia="en-AU"/>
        </w:rPr>
        <w:t xml:space="preserve">The PBAC noted the differences in the </w:t>
      </w:r>
      <w:r>
        <w:rPr>
          <w:snapToGrid/>
          <w:color w:val="000000"/>
          <w:szCs w:val="22"/>
          <w:lang w:eastAsia="en-AU"/>
        </w:rPr>
        <w:t xml:space="preserve">antigenic </w:t>
      </w:r>
      <w:r w:rsidRPr="00C0540C">
        <w:rPr>
          <w:snapToGrid/>
          <w:color w:val="000000"/>
          <w:szCs w:val="22"/>
          <w:lang w:eastAsia="en-AU"/>
        </w:rPr>
        <w:t>compositions of Adacel and Boostrix. In the post-submission advice, ATAGI considered that any of the presently available 3- [Boostrix] or 5-component [Adacel] pertussis vaccines is a suitable alternative for the prevention of pertussis in Australia.</w:t>
      </w:r>
    </w:p>
    <w:p w:rsidR="0032589E" w:rsidRDefault="0032589E" w:rsidP="0032589E">
      <w:pPr>
        <w:rPr>
          <w:szCs w:val="22"/>
        </w:rPr>
      </w:pPr>
    </w:p>
    <w:p w:rsidR="00C0540C" w:rsidRPr="0032589E" w:rsidRDefault="008E1843" w:rsidP="0032589E">
      <w:pPr>
        <w:numPr>
          <w:ilvl w:val="1"/>
          <w:numId w:val="1"/>
        </w:numPr>
        <w:rPr>
          <w:szCs w:val="22"/>
        </w:rPr>
      </w:pPr>
      <w:r w:rsidRPr="0046423A">
        <w:rPr>
          <w:bCs/>
          <w:szCs w:val="22"/>
          <w:lang w:val="en-GB"/>
        </w:rPr>
        <w:t xml:space="preserve">The PBAC </w:t>
      </w:r>
      <w:r w:rsidR="00614645" w:rsidRPr="0046423A">
        <w:rPr>
          <w:bCs/>
          <w:szCs w:val="22"/>
          <w:lang w:val="en-GB"/>
        </w:rPr>
        <w:t xml:space="preserve">noted the </w:t>
      </w:r>
      <w:r w:rsidR="00503EF1" w:rsidRPr="0046423A">
        <w:rPr>
          <w:bCs/>
          <w:szCs w:val="22"/>
          <w:lang w:val="en-GB"/>
        </w:rPr>
        <w:t>limitations</w:t>
      </w:r>
      <w:r w:rsidR="00614645" w:rsidRPr="0046423A">
        <w:rPr>
          <w:bCs/>
          <w:szCs w:val="22"/>
          <w:lang w:val="en-GB"/>
        </w:rPr>
        <w:t xml:space="preserve"> of the clinical evidence raised in the evaluation of the submission</w:t>
      </w:r>
      <w:r w:rsidR="009A0D15">
        <w:rPr>
          <w:bCs/>
          <w:szCs w:val="22"/>
          <w:lang w:val="en-GB"/>
        </w:rPr>
        <w:t xml:space="preserve">, </w:t>
      </w:r>
      <w:r w:rsidR="0074368D">
        <w:rPr>
          <w:bCs/>
          <w:szCs w:val="22"/>
          <w:lang w:val="en-GB"/>
        </w:rPr>
        <w:t>including</w:t>
      </w:r>
      <w:r w:rsidR="009A0D15">
        <w:rPr>
          <w:bCs/>
          <w:szCs w:val="22"/>
          <w:lang w:val="en-GB"/>
        </w:rPr>
        <w:t xml:space="preserve"> that the direct head-to-head randomised trials reported </w:t>
      </w:r>
      <w:r w:rsidR="0074368D">
        <w:rPr>
          <w:bCs/>
          <w:szCs w:val="22"/>
          <w:lang w:val="en-GB"/>
        </w:rPr>
        <w:t xml:space="preserve">only </w:t>
      </w:r>
      <w:r w:rsidR="009A0D15">
        <w:rPr>
          <w:bCs/>
          <w:szCs w:val="22"/>
          <w:lang w:val="en-GB"/>
        </w:rPr>
        <w:t xml:space="preserve">immunogenicity outcomes which do not correlate </w:t>
      </w:r>
      <w:r w:rsidR="0074368D">
        <w:rPr>
          <w:bCs/>
          <w:szCs w:val="22"/>
          <w:lang w:val="en-GB"/>
        </w:rPr>
        <w:t xml:space="preserve">with </w:t>
      </w:r>
      <w:r w:rsidR="009A0D15">
        <w:rPr>
          <w:bCs/>
          <w:szCs w:val="22"/>
          <w:lang w:val="en-GB"/>
        </w:rPr>
        <w:t>protection</w:t>
      </w:r>
      <w:r w:rsidR="00614645" w:rsidRPr="0046423A">
        <w:rPr>
          <w:bCs/>
          <w:szCs w:val="22"/>
          <w:lang w:val="en-GB"/>
        </w:rPr>
        <w:t xml:space="preserve">. </w:t>
      </w:r>
      <w:r w:rsidR="00503EF1" w:rsidRPr="0046423A">
        <w:rPr>
          <w:bCs/>
          <w:szCs w:val="22"/>
          <w:lang w:val="en-GB"/>
        </w:rPr>
        <w:t>The observational study from the UK assessing the effectiveness of the maternal dTpa vaccination program in infants with the Repevax and then Bo</w:t>
      </w:r>
      <w:r w:rsidR="003F5A00">
        <w:rPr>
          <w:bCs/>
          <w:szCs w:val="22"/>
          <w:lang w:val="en-GB"/>
        </w:rPr>
        <w:t>o</w:t>
      </w:r>
      <w:r w:rsidR="00503EF1" w:rsidRPr="0046423A">
        <w:rPr>
          <w:bCs/>
          <w:szCs w:val="22"/>
          <w:lang w:val="en-GB"/>
        </w:rPr>
        <w:t xml:space="preserve">strix-IPV vaccines (Amirthalingam 2016) was most informative for the consideration of comparative efficacy. The </w:t>
      </w:r>
      <w:r w:rsidRPr="0046423A">
        <w:rPr>
          <w:bCs/>
          <w:szCs w:val="22"/>
          <w:lang w:val="en-GB"/>
        </w:rPr>
        <w:t xml:space="preserve">PBAC </w:t>
      </w:r>
      <w:r w:rsidR="00503EF1" w:rsidRPr="0046423A">
        <w:rPr>
          <w:bCs/>
          <w:szCs w:val="22"/>
          <w:lang w:val="en-GB"/>
        </w:rPr>
        <w:t>agreed with</w:t>
      </w:r>
      <w:r w:rsidRPr="0046423A">
        <w:rPr>
          <w:bCs/>
          <w:szCs w:val="22"/>
          <w:lang w:val="en-GB"/>
        </w:rPr>
        <w:t xml:space="preserve"> the ATAGI that it is reasonable to assume comparable efficacy for Adacel and Boostrix on the basis of </w:t>
      </w:r>
      <w:r w:rsidR="00503EF1" w:rsidRPr="0046423A">
        <w:rPr>
          <w:bCs/>
          <w:szCs w:val="22"/>
          <w:lang w:val="en-GB"/>
        </w:rPr>
        <w:t xml:space="preserve">this </w:t>
      </w:r>
      <w:r w:rsidRPr="0046423A">
        <w:rPr>
          <w:bCs/>
          <w:szCs w:val="22"/>
          <w:lang w:val="en-GB"/>
        </w:rPr>
        <w:t>post-licensure vaccine effectiveness data</w:t>
      </w:r>
      <w:r w:rsidR="00503EF1" w:rsidRPr="0046423A">
        <w:rPr>
          <w:bCs/>
          <w:szCs w:val="22"/>
          <w:lang w:val="en-GB"/>
        </w:rPr>
        <w:t xml:space="preserve">. </w:t>
      </w:r>
    </w:p>
    <w:p w:rsidR="00C0540C" w:rsidRDefault="00C0540C" w:rsidP="00C0540C">
      <w:pPr>
        <w:pStyle w:val="ListParagraph"/>
        <w:rPr>
          <w:snapToGrid/>
          <w:color w:val="000000"/>
          <w:szCs w:val="22"/>
          <w:lang w:eastAsia="en-AU"/>
        </w:rPr>
      </w:pPr>
    </w:p>
    <w:p w:rsidR="00A857BC" w:rsidRPr="00A857BC" w:rsidRDefault="00A857BC" w:rsidP="0074368D">
      <w:pPr>
        <w:numPr>
          <w:ilvl w:val="1"/>
          <w:numId w:val="1"/>
        </w:numPr>
        <w:rPr>
          <w:szCs w:val="22"/>
        </w:rPr>
      </w:pPr>
      <w:r w:rsidRPr="00A857BC">
        <w:rPr>
          <w:snapToGrid/>
          <w:color w:val="000000"/>
          <w:szCs w:val="22"/>
          <w:lang w:eastAsia="en-AU"/>
        </w:rPr>
        <w:t xml:space="preserve">The PBAC </w:t>
      </w:r>
      <w:r w:rsidR="00B07724" w:rsidRPr="00C0540C">
        <w:rPr>
          <w:snapToGrid/>
          <w:color w:val="000000"/>
          <w:szCs w:val="22"/>
          <w:lang w:eastAsia="en-AU"/>
        </w:rPr>
        <w:t>noted</w:t>
      </w:r>
      <w:r w:rsidRPr="00A857BC">
        <w:rPr>
          <w:snapToGrid/>
          <w:color w:val="000000"/>
          <w:szCs w:val="22"/>
          <w:lang w:eastAsia="en-AU"/>
        </w:rPr>
        <w:t xml:space="preserve"> </w:t>
      </w:r>
      <w:r w:rsidR="00B07724" w:rsidRPr="00C0540C">
        <w:rPr>
          <w:snapToGrid/>
          <w:color w:val="000000"/>
          <w:szCs w:val="22"/>
          <w:lang w:eastAsia="en-AU"/>
        </w:rPr>
        <w:t xml:space="preserve">that </w:t>
      </w:r>
      <w:r w:rsidRPr="00A857BC">
        <w:rPr>
          <w:snapToGrid/>
          <w:color w:val="000000"/>
          <w:szCs w:val="22"/>
          <w:lang w:eastAsia="en-AU"/>
        </w:rPr>
        <w:t>the rate</w:t>
      </w:r>
      <w:r w:rsidR="00B07724" w:rsidRPr="00C0540C">
        <w:rPr>
          <w:snapToGrid/>
          <w:color w:val="000000"/>
          <w:szCs w:val="22"/>
          <w:lang w:eastAsia="en-AU"/>
        </w:rPr>
        <w:t>s</w:t>
      </w:r>
      <w:r w:rsidRPr="00A857BC">
        <w:rPr>
          <w:snapToGrid/>
          <w:color w:val="000000"/>
          <w:szCs w:val="22"/>
          <w:lang w:eastAsia="en-AU"/>
        </w:rPr>
        <w:t xml:space="preserve"> of adverse events </w:t>
      </w:r>
      <w:r w:rsidR="00B07724" w:rsidRPr="00C0540C">
        <w:rPr>
          <w:snapToGrid/>
          <w:color w:val="000000"/>
          <w:szCs w:val="22"/>
          <w:lang w:eastAsia="en-AU"/>
        </w:rPr>
        <w:t xml:space="preserve">was similar between the two types of dTpa vaccine and were </w:t>
      </w:r>
      <w:r w:rsidRPr="00A857BC">
        <w:rPr>
          <w:snapToGrid/>
          <w:color w:val="000000"/>
          <w:szCs w:val="22"/>
          <w:lang w:eastAsia="en-AU"/>
        </w:rPr>
        <w:t xml:space="preserve">reasonable in the context of vaccination. </w:t>
      </w:r>
    </w:p>
    <w:p w:rsidR="00A857BC" w:rsidRPr="0046423A" w:rsidRDefault="00A857BC" w:rsidP="00633A40">
      <w:pPr>
        <w:pStyle w:val="ListParagraph"/>
        <w:rPr>
          <w:szCs w:val="22"/>
        </w:rPr>
      </w:pPr>
    </w:p>
    <w:p w:rsidR="00633A40" w:rsidRPr="00C0540C" w:rsidRDefault="00633A40" w:rsidP="0074368D">
      <w:pPr>
        <w:numPr>
          <w:ilvl w:val="1"/>
          <w:numId w:val="1"/>
        </w:numPr>
        <w:rPr>
          <w:bCs/>
          <w:szCs w:val="22"/>
          <w:lang w:val="en-GB"/>
        </w:rPr>
      </w:pPr>
      <w:r w:rsidRPr="0046423A">
        <w:rPr>
          <w:szCs w:val="22"/>
        </w:rPr>
        <w:t>The PBAC noted that a positive recommendation for Adacel would provide a potential second supplier of dTpa vaccine in Australia.</w:t>
      </w:r>
      <w:r w:rsidR="00C0540C">
        <w:rPr>
          <w:szCs w:val="22"/>
        </w:rPr>
        <w:t xml:space="preserve"> The PBAC noted that Adacel and Boostrix are used in </w:t>
      </w:r>
      <w:r w:rsidR="00C0540C" w:rsidRPr="00C0540C">
        <w:rPr>
          <w:szCs w:val="22"/>
        </w:rPr>
        <w:t xml:space="preserve">Pertussis immunisation programs in </w:t>
      </w:r>
      <w:r w:rsidR="00C0540C">
        <w:rPr>
          <w:szCs w:val="22"/>
        </w:rPr>
        <w:t xml:space="preserve">the </w:t>
      </w:r>
      <w:r w:rsidR="00C0540C" w:rsidRPr="00C0540C">
        <w:rPr>
          <w:szCs w:val="22"/>
        </w:rPr>
        <w:t>States and Territories</w:t>
      </w:r>
      <w:r w:rsidR="00C0540C">
        <w:rPr>
          <w:szCs w:val="22"/>
        </w:rPr>
        <w:t xml:space="preserve">. </w:t>
      </w:r>
    </w:p>
    <w:p w:rsidR="00633A40" w:rsidRPr="0046423A" w:rsidRDefault="00633A40" w:rsidP="00633A40">
      <w:pPr>
        <w:ind w:left="720"/>
        <w:rPr>
          <w:bCs/>
          <w:szCs w:val="22"/>
          <w:lang w:val="en-GB"/>
        </w:rPr>
      </w:pPr>
    </w:p>
    <w:p w:rsidR="009A029F" w:rsidRPr="0046423A" w:rsidRDefault="009A029F" w:rsidP="0074368D">
      <w:pPr>
        <w:pStyle w:val="ListParagraph"/>
        <w:widowControl/>
        <w:numPr>
          <w:ilvl w:val="1"/>
          <w:numId w:val="1"/>
        </w:numPr>
        <w:rPr>
          <w:szCs w:val="22"/>
        </w:rPr>
      </w:pPr>
      <w:r w:rsidRPr="0046423A">
        <w:rPr>
          <w:szCs w:val="22"/>
        </w:rPr>
        <w:t xml:space="preserve">The PBAC </w:t>
      </w:r>
      <w:r w:rsidR="00B07724" w:rsidRPr="0046423A">
        <w:rPr>
          <w:szCs w:val="22"/>
        </w:rPr>
        <w:t>recalled in their consideration of Boostrix at the July 2016 meeting</w:t>
      </w:r>
      <w:r w:rsidRPr="0046423A">
        <w:rPr>
          <w:szCs w:val="22"/>
        </w:rPr>
        <w:t xml:space="preserve"> that the optimal timing of dTpa vaccination in pregnancy is an issue for further consideration, and that there is an emerging body of evidence supporting second trimester immunisation. Accordingly</w:t>
      </w:r>
      <w:r w:rsidR="00AC1920" w:rsidRPr="0046423A">
        <w:rPr>
          <w:szCs w:val="22"/>
        </w:rPr>
        <w:t>, the PBAC recommendation</w:t>
      </w:r>
      <w:r w:rsidR="00B07724" w:rsidRPr="0046423A">
        <w:rPr>
          <w:szCs w:val="22"/>
        </w:rPr>
        <w:t xml:space="preserve"> at the July </w:t>
      </w:r>
      <w:r w:rsidR="00C0540C" w:rsidRPr="0046423A">
        <w:rPr>
          <w:szCs w:val="22"/>
        </w:rPr>
        <w:t>meeting</w:t>
      </w:r>
      <w:r w:rsidR="00B07724" w:rsidRPr="0046423A">
        <w:rPr>
          <w:szCs w:val="22"/>
        </w:rPr>
        <w:t xml:space="preserve"> was f</w:t>
      </w:r>
      <w:r w:rsidR="00AC1920" w:rsidRPr="0046423A">
        <w:rPr>
          <w:szCs w:val="22"/>
        </w:rPr>
        <w:t>or vaccination during each pregnancy, without restriction to the third trimester. The PBAC reiterated that the optimal timing of dTpa vaccination in pregnancy should be based on clinical evidence and informed by ATAGI.</w:t>
      </w:r>
    </w:p>
    <w:p w:rsidR="00633A40" w:rsidRPr="0046423A" w:rsidRDefault="00633A40" w:rsidP="00633A40">
      <w:pPr>
        <w:pStyle w:val="ListParagraph"/>
        <w:rPr>
          <w:szCs w:val="22"/>
        </w:rPr>
      </w:pPr>
    </w:p>
    <w:p w:rsidR="00C0540C" w:rsidRDefault="00A857BC" w:rsidP="0074368D">
      <w:pPr>
        <w:pStyle w:val="ListParagraph"/>
        <w:widowControl/>
        <w:numPr>
          <w:ilvl w:val="1"/>
          <w:numId w:val="1"/>
        </w:numPr>
        <w:rPr>
          <w:szCs w:val="22"/>
        </w:rPr>
      </w:pPr>
      <w:r w:rsidRPr="00C0540C">
        <w:rPr>
          <w:szCs w:val="22"/>
        </w:rPr>
        <w:t>The PBAC noted the availability of the second vaccine would likely have no additional financial impact to the Commonwealth.</w:t>
      </w:r>
    </w:p>
    <w:p w:rsidR="00C0540C" w:rsidRPr="00C0540C" w:rsidRDefault="00C0540C" w:rsidP="00C0540C">
      <w:pPr>
        <w:pStyle w:val="ListParagraph"/>
        <w:rPr>
          <w:bCs/>
          <w:szCs w:val="22"/>
          <w:lang w:val="en-GB"/>
        </w:rPr>
      </w:pPr>
    </w:p>
    <w:p w:rsidR="00027505" w:rsidRPr="00C0540C" w:rsidRDefault="00027505" w:rsidP="0074368D">
      <w:pPr>
        <w:pStyle w:val="ListParagraph"/>
        <w:widowControl/>
        <w:numPr>
          <w:ilvl w:val="1"/>
          <w:numId w:val="1"/>
        </w:numPr>
        <w:rPr>
          <w:szCs w:val="22"/>
        </w:rPr>
      </w:pPr>
      <w:r w:rsidRPr="00C0540C">
        <w:rPr>
          <w:bCs/>
          <w:szCs w:val="22"/>
          <w:lang w:val="en-GB"/>
        </w:rPr>
        <w:t>The PBAC noted that this submission is not eligible for an Independent Review</w:t>
      </w:r>
      <w:r w:rsidR="00744CAD" w:rsidRPr="00C0540C">
        <w:rPr>
          <w:bCs/>
          <w:szCs w:val="22"/>
          <w:lang w:val="en-GB"/>
        </w:rPr>
        <w:t>, as</w:t>
      </w:r>
      <w:r w:rsidR="00AC1920" w:rsidRPr="00C0540C">
        <w:rPr>
          <w:bCs/>
          <w:szCs w:val="22"/>
          <w:lang w:val="en-GB"/>
        </w:rPr>
        <w:t xml:space="preserve"> the PBAC has made a positive recommendation.</w:t>
      </w:r>
      <w:r w:rsidRPr="00C0540C">
        <w:rPr>
          <w:bCs/>
          <w:szCs w:val="22"/>
          <w:lang w:val="en-GB"/>
        </w:rPr>
        <w:t xml:space="preserve"> </w:t>
      </w:r>
    </w:p>
    <w:p w:rsidR="00027505" w:rsidRPr="001322A3" w:rsidRDefault="00027505" w:rsidP="00027505">
      <w:pPr>
        <w:rPr>
          <w:b/>
          <w:bCs/>
          <w:lang w:val="en-GB"/>
        </w:rPr>
      </w:pPr>
    </w:p>
    <w:p w:rsidR="00027505" w:rsidRPr="001322A3" w:rsidRDefault="00027505" w:rsidP="00027505">
      <w:pPr>
        <w:rPr>
          <w:b/>
          <w:bCs/>
          <w:lang w:val="en-GB"/>
        </w:rPr>
      </w:pPr>
      <w:r w:rsidRPr="001322A3">
        <w:rPr>
          <w:b/>
          <w:bCs/>
          <w:lang w:val="en-GB"/>
        </w:rPr>
        <w:t>Outcome:</w:t>
      </w:r>
    </w:p>
    <w:p w:rsidR="00027505" w:rsidRDefault="00027505" w:rsidP="00027505">
      <w:pPr>
        <w:rPr>
          <w:bCs/>
          <w:lang w:val="en-GB"/>
        </w:rPr>
      </w:pPr>
      <w:r w:rsidRPr="001322A3">
        <w:rPr>
          <w:bCs/>
          <w:lang w:val="en-GB"/>
        </w:rPr>
        <w:t xml:space="preserve">Recommended </w:t>
      </w:r>
    </w:p>
    <w:p w:rsidR="00B04A01" w:rsidRDefault="00B04A01" w:rsidP="00B04A01"/>
    <w:p w:rsidR="00646457" w:rsidRDefault="00646457">
      <w:pPr>
        <w:widowControl/>
        <w:jc w:val="left"/>
        <w:rPr>
          <w:b/>
          <w:bCs/>
          <w:lang w:val="en-GB"/>
        </w:rPr>
      </w:pPr>
      <w:r>
        <w:rPr>
          <w:b/>
          <w:bCs/>
          <w:lang w:val="en-GB"/>
        </w:rPr>
        <w:br w:type="page"/>
      </w:r>
    </w:p>
    <w:p w:rsidR="00027505" w:rsidRPr="005C4EA9" w:rsidRDefault="00027505" w:rsidP="005C4EA9">
      <w:pPr>
        <w:pStyle w:val="PBACHeading1"/>
        <w:ind w:left="709" w:hanging="709"/>
      </w:pPr>
      <w:r w:rsidRPr="005C4EA9">
        <w:t>Recommended listing</w:t>
      </w:r>
    </w:p>
    <w:p w:rsidR="00027505" w:rsidRPr="00465AC9" w:rsidRDefault="00027505" w:rsidP="00027505">
      <w:pPr>
        <w:rPr>
          <w:b/>
          <w:bCs/>
          <w:i/>
          <w:lang w:val="en-GB"/>
        </w:rPr>
      </w:pPr>
    </w:p>
    <w:p w:rsidR="00B831E7" w:rsidRPr="00B07724" w:rsidRDefault="00A857BC" w:rsidP="0074368D">
      <w:pPr>
        <w:numPr>
          <w:ilvl w:val="1"/>
          <w:numId w:val="1"/>
        </w:numPr>
        <w:rPr>
          <w:bCs/>
        </w:rPr>
      </w:pPr>
      <w:r w:rsidRPr="00B07724">
        <w:rPr>
          <w:bCs/>
        </w:rPr>
        <w:t xml:space="preserve">Addition </w:t>
      </w:r>
      <w:r w:rsidRPr="00B07724">
        <w:rPr>
          <w:szCs w:val="22"/>
        </w:rPr>
        <w:t>to Schedule 1 (Designated vaccines and circumstances in which vaccines may be provided) of National Health (Immunisation Program – Designated Vaccines Determination 2014 (No. 1)</w:t>
      </w:r>
      <w:r w:rsidRPr="00B07724">
        <w:rPr>
          <w:rFonts w:eastAsia="SimSun"/>
          <w:szCs w:val="22"/>
        </w:rPr>
        <w:t>:</w:t>
      </w:r>
    </w:p>
    <w:tbl>
      <w:tblPr>
        <w:tblW w:w="0" w:type="auto"/>
        <w:tblInd w:w="959" w:type="dxa"/>
        <w:tblLook w:val="04A0" w:firstRow="1" w:lastRow="0" w:firstColumn="1" w:lastColumn="0" w:noHBand="0" w:noVBand="1"/>
      </w:tblPr>
      <w:tblGrid>
        <w:gridCol w:w="2409"/>
        <w:gridCol w:w="761"/>
        <w:gridCol w:w="1708"/>
        <w:gridCol w:w="1730"/>
        <w:gridCol w:w="1675"/>
      </w:tblGrid>
      <w:tr w:rsidR="00B831E7" w:rsidRPr="00127A3D" w:rsidTr="00B831E7">
        <w:trPr>
          <w:trHeight w:val="889"/>
        </w:trPr>
        <w:tc>
          <w:tcPr>
            <w:tcW w:w="2410" w:type="dxa"/>
            <w:tcBorders>
              <w:bottom w:val="single" w:sz="4" w:space="0" w:color="auto"/>
            </w:tcBorders>
            <w:shd w:val="clear" w:color="auto" w:fill="auto"/>
            <w:vAlign w:val="bottom"/>
          </w:tcPr>
          <w:p w:rsidR="00B831E7" w:rsidRPr="00B07724" w:rsidRDefault="00B831E7" w:rsidP="00B831E7">
            <w:pPr>
              <w:pStyle w:val="tablecolhead"/>
              <w:rPr>
                <w:rFonts w:ascii="Arial Narrow" w:hAnsi="Arial Narrow" w:cs="Arial"/>
                <w:sz w:val="20"/>
                <w:szCs w:val="20"/>
              </w:rPr>
            </w:pPr>
            <w:r w:rsidRPr="00B07724">
              <w:rPr>
                <w:rFonts w:ascii="Arial Narrow" w:hAnsi="Arial Narrow" w:cs="Arial"/>
                <w:sz w:val="20"/>
                <w:szCs w:val="20"/>
              </w:rPr>
              <w:t>Vaccine and the circumstances in which vaccine may be provided</w:t>
            </w:r>
          </w:p>
        </w:tc>
        <w:tc>
          <w:tcPr>
            <w:tcW w:w="761" w:type="dxa"/>
            <w:tcBorders>
              <w:bottom w:val="single" w:sz="4" w:space="0" w:color="auto"/>
            </w:tcBorders>
            <w:shd w:val="clear" w:color="auto" w:fill="auto"/>
            <w:vAlign w:val="bottom"/>
          </w:tcPr>
          <w:p w:rsidR="00B831E7" w:rsidRPr="00B07724" w:rsidRDefault="00B831E7" w:rsidP="00B831E7">
            <w:pPr>
              <w:pStyle w:val="tablecolhead"/>
              <w:rPr>
                <w:rFonts w:ascii="Arial Narrow" w:hAnsi="Arial Narrow" w:cs="Arial"/>
                <w:sz w:val="20"/>
                <w:szCs w:val="20"/>
              </w:rPr>
            </w:pPr>
            <w:r w:rsidRPr="00B07724">
              <w:rPr>
                <w:rFonts w:ascii="Arial Narrow" w:hAnsi="Arial Narrow" w:cs="Arial"/>
                <w:sz w:val="20"/>
                <w:szCs w:val="20"/>
              </w:rPr>
              <w:t>Brand</w:t>
            </w:r>
          </w:p>
        </w:tc>
        <w:tc>
          <w:tcPr>
            <w:tcW w:w="1708" w:type="dxa"/>
            <w:tcBorders>
              <w:bottom w:val="single" w:sz="4" w:space="0" w:color="auto"/>
            </w:tcBorders>
            <w:shd w:val="clear" w:color="auto" w:fill="auto"/>
            <w:vAlign w:val="bottom"/>
          </w:tcPr>
          <w:p w:rsidR="00B831E7" w:rsidRPr="00B07724" w:rsidRDefault="00B831E7" w:rsidP="00B831E7">
            <w:pPr>
              <w:pStyle w:val="tablecolhead"/>
              <w:rPr>
                <w:rFonts w:ascii="Arial Narrow" w:hAnsi="Arial Narrow" w:cs="Arial"/>
                <w:sz w:val="20"/>
                <w:szCs w:val="20"/>
              </w:rPr>
            </w:pPr>
            <w:r w:rsidRPr="00B07724">
              <w:rPr>
                <w:rFonts w:ascii="Arial Narrow" w:hAnsi="Arial Narrow" w:cs="Arial"/>
                <w:sz w:val="20"/>
                <w:szCs w:val="20"/>
              </w:rPr>
              <w:t>Formulation</w:t>
            </w:r>
          </w:p>
        </w:tc>
        <w:tc>
          <w:tcPr>
            <w:tcW w:w="1730" w:type="dxa"/>
            <w:tcBorders>
              <w:bottom w:val="single" w:sz="4" w:space="0" w:color="auto"/>
            </w:tcBorders>
            <w:shd w:val="clear" w:color="auto" w:fill="auto"/>
            <w:vAlign w:val="bottom"/>
          </w:tcPr>
          <w:p w:rsidR="00B831E7" w:rsidRPr="00B07724" w:rsidRDefault="00B831E7" w:rsidP="00B831E7">
            <w:pPr>
              <w:pStyle w:val="tablecolhead"/>
              <w:rPr>
                <w:rFonts w:ascii="Arial Narrow" w:hAnsi="Arial Narrow" w:cs="Arial"/>
                <w:sz w:val="20"/>
                <w:szCs w:val="20"/>
              </w:rPr>
            </w:pPr>
            <w:r w:rsidRPr="00B07724">
              <w:rPr>
                <w:rFonts w:ascii="Arial Narrow" w:hAnsi="Arial Narrow" w:cs="Arial"/>
                <w:sz w:val="20"/>
                <w:szCs w:val="20"/>
              </w:rPr>
              <w:t>Active ingredient and strength</w:t>
            </w:r>
          </w:p>
        </w:tc>
        <w:tc>
          <w:tcPr>
            <w:tcW w:w="1675" w:type="dxa"/>
            <w:tcBorders>
              <w:bottom w:val="single" w:sz="4" w:space="0" w:color="auto"/>
            </w:tcBorders>
            <w:shd w:val="clear" w:color="auto" w:fill="auto"/>
            <w:vAlign w:val="bottom"/>
          </w:tcPr>
          <w:p w:rsidR="00B831E7" w:rsidRPr="00127A3D" w:rsidRDefault="00B831E7" w:rsidP="00B831E7">
            <w:pPr>
              <w:pStyle w:val="tablecolhead"/>
              <w:rPr>
                <w:rFonts w:ascii="Arial Narrow" w:hAnsi="Arial Narrow" w:cs="Arial"/>
                <w:sz w:val="20"/>
                <w:szCs w:val="20"/>
              </w:rPr>
            </w:pPr>
            <w:r w:rsidRPr="00B07724">
              <w:rPr>
                <w:rFonts w:ascii="Arial Narrow" w:hAnsi="Arial Narrow" w:cs="Arial"/>
                <w:sz w:val="20"/>
                <w:szCs w:val="20"/>
              </w:rPr>
              <w:t>Number and timing of doses</w:t>
            </w:r>
          </w:p>
        </w:tc>
      </w:tr>
      <w:tr w:rsidR="00B831E7" w:rsidRPr="00127A3D" w:rsidTr="00B831E7">
        <w:trPr>
          <w:trHeight w:val="4101"/>
        </w:trPr>
        <w:tc>
          <w:tcPr>
            <w:tcW w:w="2410" w:type="dxa"/>
            <w:tcBorders>
              <w:top w:val="single" w:sz="4" w:space="0" w:color="auto"/>
            </w:tcBorders>
            <w:shd w:val="clear" w:color="auto" w:fill="auto"/>
          </w:tcPr>
          <w:p w:rsidR="00B831E7" w:rsidRPr="00127A3D" w:rsidRDefault="00B831E7" w:rsidP="00B831E7">
            <w:pPr>
              <w:pStyle w:val="tablecolhead"/>
              <w:rPr>
                <w:rFonts w:ascii="Arial Narrow" w:hAnsi="Arial Narrow" w:cs="Arial"/>
                <w:b/>
                <w:sz w:val="20"/>
                <w:szCs w:val="20"/>
              </w:rPr>
            </w:pPr>
            <w:r w:rsidRPr="00127A3D">
              <w:rPr>
                <w:rFonts w:ascii="Arial Narrow" w:hAnsi="Arial Narrow" w:cs="Arial"/>
                <w:b/>
                <w:sz w:val="20"/>
                <w:szCs w:val="20"/>
              </w:rPr>
              <w:t>Vaccine</w:t>
            </w:r>
          </w:p>
          <w:p w:rsidR="00B831E7" w:rsidRPr="00127A3D" w:rsidRDefault="00B831E7" w:rsidP="00B831E7">
            <w:pPr>
              <w:pStyle w:val="tabletext00"/>
              <w:rPr>
                <w:rFonts w:ascii="Arial Narrow" w:hAnsi="Arial Narrow" w:cs="Arial"/>
                <w:sz w:val="20"/>
                <w:szCs w:val="20"/>
              </w:rPr>
            </w:pPr>
            <w:r w:rsidRPr="00127A3D">
              <w:rPr>
                <w:rFonts w:ascii="Arial Narrow" w:hAnsi="Arial Narrow" w:cs="Arial"/>
                <w:sz w:val="20"/>
                <w:szCs w:val="20"/>
              </w:rPr>
              <w:t>Diphtheria, tetanus and pertussis (adult/adolescent)</w:t>
            </w:r>
          </w:p>
          <w:p w:rsidR="00B831E7" w:rsidRPr="00127A3D" w:rsidRDefault="00B831E7" w:rsidP="00B831E7">
            <w:pPr>
              <w:rPr>
                <w:rFonts w:ascii="Arial Narrow" w:hAnsi="Arial Narrow"/>
                <w:b/>
                <w:i/>
                <w:sz w:val="20"/>
              </w:rPr>
            </w:pPr>
          </w:p>
          <w:p w:rsidR="00B831E7" w:rsidRPr="00127A3D" w:rsidRDefault="00B831E7" w:rsidP="00B831E7">
            <w:pPr>
              <w:rPr>
                <w:rFonts w:ascii="Arial Narrow" w:hAnsi="Arial Narrow"/>
                <w:b/>
                <w:sz w:val="20"/>
              </w:rPr>
            </w:pPr>
            <w:r w:rsidRPr="00127A3D">
              <w:rPr>
                <w:rFonts w:ascii="Arial Narrow" w:hAnsi="Arial Narrow"/>
                <w:b/>
                <w:sz w:val="20"/>
              </w:rPr>
              <w:t>Circumstances</w:t>
            </w:r>
          </w:p>
          <w:p w:rsidR="00B831E7" w:rsidRPr="00127A3D" w:rsidRDefault="00B831E7" w:rsidP="00B831E7">
            <w:pPr>
              <w:rPr>
                <w:rFonts w:ascii="Arial Narrow" w:hAnsi="Arial Narrow"/>
                <w:sz w:val="20"/>
              </w:rPr>
            </w:pPr>
            <w:r w:rsidRPr="00127A3D">
              <w:rPr>
                <w:rFonts w:ascii="Arial Narrow" w:hAnsi="Arial Narrow"/>
                <w:sz w:val="20"/>
              </w:rPr>
              <w:t xml:space="preserve">Vaccine may be provided to: </w:t>
            </w:r>
          </w:p>
          <w:p w:rsidR="00B831E7" w:rsidRPr="00127A3D" w:rsidRDefault="00B831E7" w:rsidP="0074368D">
            <w:pPr>
              <w:widowControl/>
              <w:numPr>
                <w:ilvl w:val="0"/>
                <w:numId w:val="6"/>
              </w:numPr>
              <w:ind w:left="284" w:hanging="284"/>
              <w:rPr>
                <w:rFonts w:ascii="Arial Narrow" w:hAnsi="Arial Narrow"/>
                <w:sz w:val="20"/>
              </w:rPr>
            </w:pPr>
            <w:r w:rsidRPr="00127A3D">
              <w:rPr>
                <w:rFonts w:ascii="Arial Narrow" w:hAnsi="Arial Narrow"/>
                <w:sz w:val="20"/>
              </w:rPr>
              <w:t>a child who is at least 10 years but less than 18 years old; or</w:t>
            </w:r>
          </w:p>
          <w:p w:rsidR="00B831E7" w:rsidRPr="00B831E7" w:rsidRDefault="00B831E7" w:rsidP="0074368D">
            <w:pPr>
              <w:widowControl/>
              <w:numPr>
                <w:ilvl w:val="0"/>
                <w:numId w:val="6"/>
              </w:numPr>
              <w:ind w:left="284" w:hanging="284"/>
              <w:rPr>
                <w:rFonts w:ascii="Arial Narrow" w:hAnsi="Arial Narrow"/>
                <w:b/>
                <w:sz w:val="20"/>
              </w:rPr>
            </w:pPr>
            <w:r w:rsidRPr="00B831E7">
              <w:rPr>
                <w:rFonts w:ascii="Arial Narrow" w:hAnsi="Arial Narrow"/>
                <w:sz w:val="20"/>
              </w:rPr>
              <w:t>a pregnant woman during each pregnancy.</w:t>
            </w:r>
          </w:p>
        </w:tc>
        <w:tc>
          <w:tcPr>
            <w:tcW w:w="761" w:type="dxa"/>
            <w:tcBorders>
              <w:top w:val="single" w:sz="4" w:space="0" w:color="auto"/>
            </w:tcBorders>
            <w:shd w:val="clear" w:color="auto" w:fill="auto"/>
          </w:tcPr>
          <w:p w:rsidR="00B831E7" w:rsidRPr="00127A3D" w:rsidRDefault="00B831E7" w:rsidP="00B831E7">
            <w:pPr>
              <w:rPr>
                <w:rFonts w:ascii="Arial Narrow" w:hAnsi="Arial Narrow"/>
                <w:b/>
                <w:i/>
                <w:sz w:val="20"/>
              </w:rPr>
            </w:pPr>
            <w:r w:rsidRPr="00127A3D">
              <w:rPr>
                <w:rFonts w:ascii="Arial Narrow" w:hAnsi="Arial Narrow"/>
                <w:sz w:val="20"/>
              </w:rPr>
              <w:t>Adacel</w:t>
            </w:r>
            <w:r>
              <w:rPr>
                <w:rFonts w:ascii="Arial Narrow" w:hAnsi="Arial Narrow"/>
                <w:sz w:val="20"/>
              </w:rPr>
              <w:t xml:space="preserve"> </w:t>
            </w:r>
          </w:p>
        </w:tc>
        <w:tc>
          <w:tcPr>
            <w:tcW w:w="1708" w:type="dxa"/>
            <w:tcBorders>
              <w:top w:val="single" w:sz="4" w:space="0" w:color="auto"/>
            </w:tcBorders>
            <w:shd w:val="clear" w:color="auto" w:fill="auto"/>
          </w:tcPr>
          <w:p w:rsidR="00B831E7" w:rsidRPr="00127A3D" w:rsidRDefault="00B831E7" w:rsidP="00B831E7">
            <w:pPr>
              <w:rPr>
                <w:rFonts w:ascii="Arial Narrow" w:hAnsi="Arial Narrow"/>
                <w:b/>
                <w:i/>
                <w:sz w:val="20"/>
              </w:rPr>
            </w:pPr>
            <w:r w:rsidRPr="00127A3D">
              <w:rPr>
                <w:rFonts w:ascii="Arial Narrow" w:hAnsi="Arial Narrow"/>
                <w:sz w:val="20"/>
              </w:rPr>
              <w:t>Injection (0.5mL)</w:t>
            </w:r>
          </w:p>
        </w:tc>
        <w:tc>
          <w:tcPr>
            <w:tcW w:w="1730" w:type="dxa"/>
            <w:tcBorders>
              <w:top w:val="single" w:sz="4" w:space="0" w:color="auto"/>
            </w:tcBorders>
            <w:shd w:val="clear" w:color="auto" w:fill="auto"/>
          </w:tcPr>
          <w:p w:rsidR="00B831E7" w:rsidRPr="00127A3D" w:rsidRDefault="00B831E7" w:rsidP="00B831E7">
            <w:pPr>
              <w:pStyle w:val="tabletext00"/>
              <w:rPr>
                <w:rFonts w:ascii="Arial Narrow" w:hAnsi="Arial Narrow" w:cs="Arial"/>
                <w:sz w:val="20"/>
                <w:szCs w:val="20"/>
              </w:rPr>
            </w:pPr>
            <w:r w:rsidRPr="00127A3D">
              <w:rPr>
                <w:rFonts w:ascii="Arial Narrow" w:hAnsi="Arial Narrow" w:cs="Arial"/>
                <w:sz w:val="20"/>
                <w:szCs w:val="20"/>
              </w:rPr>
              <w:t>Each of the following: (a)  diphtheria toxoid — not less than 2 IU;</w:t>
            </w:r>
          </w:p>
          <w:p w:rsidR="00B831E7" w:rsidRPr="00127A3D" w:rsidRDefault="00B831E7" w:rsidP="00B831E7">
            <w:pPr>
              <w:pStyle w:val="tabletext00"/>
              <w:rPr>
                <w:rFonts w:ascii="Arial Narrow" w:hAnsi="Arial Narrow" w:cs="Arial"/>
                <w:sz w:val="20"/>
                <w:szCs w:val="20"/>
              </w:rPr>
            </w:pPr>
            <w:r w:rsidRPr="00127A3D">
              <w:rPr>
                <w:rFonts w:ascii="Arial Narrow" w:hAnsi="Arial Narrow" w:cs="Arial"/>
                <w:sz w:val="20"/>
                <w:szCs w:val="20"/>
              </w:rPr>
              <w:t>(b)  tetanus toxoid — not less than 20 IU;</w:t>
            </w:r>
          </w:p>
          <w:p w:rsidR="00B831E7" w:rsidRPr="00127A3D" w:rsidRDefault="00B831E7" w:rsidP="00B831E7">
            <w:pPr>
              <w:pStyle w:val="tablep1a"/>
              <w:rPr>
                <w:rFonts w:ascii="Arial Narrow" w:hAnsi="Arial Narrow" w:cs="Arial"/>
                <w:sz w:val="20"/>
                <w:szCs w:val="20"/>
              </w:rPr>
            </w:pPr>
            <w:r w:rsidRPr="00127A3D">
              <w:rPr>
                <w:rFonts w:ascii="Arial Narrow" w:hAnsi="Arial Narrow" w:cs="Arial"/>
                <w:sz w:val="20"/>
                <w:szCs w:val="20"/>
                <w:lang w:val="de-DE"/>
              </w:rPr>
              <w:t>(c)  PT — 2.5 µg;</w:t>
            </w:r>
          </w:p>
          <w:p w:rsidR="00B831E7" w:rsidRPr="00127A3D" w:rsidRDefault="00B831E7" w:rsidP="00B831E7">
            <w:pPr>
              <w:pStyle w:val="tablep1a"/>
              <w:rPr>
                <w:rFonts w:ascii="Arial Narrow" w:hAnsi="Arial Narrow" w:cs="Arial"/>
                <w:sz w:val="20"/>
                <w:szCs w:val="20"/>
              </w:rPr>
            </w:pPr>
            <w:r w:rsidRPr="00127A3D">
              <w:rPr>
                <w:rFonts w:ascii="Arial Narrow" w:hAnsi="Arial Narrow" w:cs="Arial"/>
                <w:sz w:val="20"/>
                <w:szCs w:val="20"/>
                <w:lang w:val="de-DE"/>
              </w:rPr>
              <w:t>(d)  FHA — 5 µg;</w:t>
            </w:r>
          </w:p>
          <w:p w:rsidR="00B831E7" w:rsidRPr="00127A3D" w:rsidRDefault="00B831E7" w:rsidP="00B831E7">
            <w:pPr>
              <w:pStyle w:val="tablep1a"/>
              <w:rPr>
                <w:rFonts w:ascii="Arial Narrow" w:hAnsi="Arial Narrow" w:cs="Arial"/>
                <w:sz w:val="20"/>
                <w:szCs w:val="20"/>
              </w:rPr>
            </w:pPr>
            <w:r w:rsidRPr="00127A3D">
              <w:rPr>
                <w:rFonts w:ascii="Arial Narrow" w:hAnsi="Arial Narrow" w:cs="Arial"/>
                <w:sz w:val="20"/>
                <w:szCs w:val="20"/>
                <w:lang w:val="de-DE"/>
              </w:rPr>
              <w:t>(e)  PRN — 3 µg</w:t>
            </w:r>
          </w:p>
          <w:p w:rsidR="00B831E7" w:rsidRPr="00015FF0" w:rsidRDefault="00B831E7" w:rsidP="00015FF0">
            <w:pPr>
              <w:pStyle w:val="tablep1a"/>
              <w:rPr>
                <w:rFonts w:ascii="Arial Narrow" w:hAnsi="Arial Narrow" w:cs="Arial"/>
                <w:sz w:val="20"/>
                <w:szCs w:val="20"/>
              </w:rPr>
            </w:pPr>
            <w:r w:rsidRPr="00127A3D">
              <w:rPr>
                <w:rFonts w:ascii="Arial Narrow" w:hAnsi="Arial Narrow" w:cs="Arial"/>
                <w:sz w:val="20"/>
                <w:szCs w:val="20"/>
                <w:lang w:val="de-DE"/>
              </w:rPr>
              <w:t xml:space="preserve"> </w:t>
            </w:r>
            <w:r w:rsidRPr="00127A3D">
              <w:rPr>
                <w:rFonts w:ascii="Arial Narrow" w:hAnsi="Arial Narrow" w:cs="Arial"/>
                <w:sz w:val="20"/>
                <w:szCs w:val="20"/>
              </w:rPr>
              <w:t>(f)  FIM 2+3 — 5 µg</w:t>
            </w:r>
          </w:p>
        </w:tc>
        <w:tc>
          <w:tcPr>
            <w:tcW w:w="1675" w:type="dxa"/>
            <w:tcBorders>
              <w:top w:val="single" w:sz="4" w:space="0" w:color="auto"/>
            </w:tcBorders>
            <w:shd w:val="clear" w:color="auto" w:fill="auto"/>
          </w:tcPr>
          <w:p w:rsidR="00B831E7" w:rsidRPr="00127A3D" w:rsidRDefault="00B831E7" w:rsidP="00B831E7">
            <w:pPr>
              <w:rPr>
                <w:rFonts w:ascii="Arial Narrow" w:hAnsi="Arial Narrow"/>
                <w:sz w:val="20"/>
              </w:rPr>
            </w:pPr>
            <w:r w:rsidRPr="00127A3D">
              <w:rPr>
                <w:rFonts w:ascii="Arial Narrow" w:hAnsi="Arial Narrow"/>
                <w:sz w:val="20"/>
              </w:rPr>
              <w:t>1 dose</w:t>
            </w:r>
            <w:r>
              <w:rPr>
                <w:rFonts w:ascii="Arial Narrow" w:hAnsi="Arial Narrow"/>
                <w:sz w:val="20"/>
              </w:rPr>
              <w:t xml:space="preserve"> (booster)</w:t>
            </w:r>
          </w:p>
        </w:tc>
      </w:tr>
    </w:tbl>
    <w:p w:rsidR="005C4EA9" w:rsidRDefault="005C4EA9" w:rsidP="00015FF0">
      <w:pPr>
        <w:widowControl/>
        <w:rPr>
          <w:b/>
          <w:u w:val="single"/>
        </w:rPr>
      </w:pPr>
    </w:p>
    <w:p w:rsidR="005C4EA9" w:rsidRPr="005C4EA9" w:rsidRDefault="005C4EA9" w:rsidP="005C4EA9"/>
    <w:p w:rsidR="005C4EA9" w:rsidRDefault="005C4EA9" w:rsidP="005C4EA9">
      <w:pPr>
        <w:pStyle w:val="PBACHeading1"/>
        <w:ind w:left="709" w:hanging="709"/>
      </w:pPr>
      <w:r w:rsidRPr="00485DD3">
        <w:t>Context for Decision</w:t>
      </w:r>
    </w:p>
    <w:p w:rsidR="005C4EA9" w:rsidRDefault="005C4EA9" w:rsidP="005C4EA9">
      <w:pPr>
        <w:ind w:left="709"/>
      </w:pPr>
    </w:p>
    <w:p w:rsidR="005C4EA9" w:rsidRDefault="005C4EA9" w:rsidP="005C4EA9">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C4EA9" w:rsidRDefault="005C4EA9" w:rsidP="005C4EA9">
      <w:pPr>
        <w:ind w:left="709"/>
      </w:pPr>
    </w:p>
    <w:p w:rsidR="005C4EA9" w:rsidRDefault="005C4EA9" w:rsidP="005C4EA9">
      <w:pPr>
        <w:ind w:left="709"/>
      </w:pPr>
    </w:p>
    <w:p w:rsidR="005C4EA9" w:rsidRPr="00B0280B" w:rsidRDefault="005C4EA9" w:rsidP="005C4EA9">
      <w:pPr>
        <w:pStyle w:val="PBACHeading1"/>
        <w:ind w:left="709" w:hanging="709"/>
      </w:pPr>
      <w:r w:rsidRPr="00485DD3">
        <w:t>Sponsor’s Comment</w:t>
      </w:r>
    </w:p>
    <w:p w:rsidR="005C4EA9" w:rsidRDefault="005C4EA9" w:rsidP="005C4EA9">
      <w:pPr>
        <w:ind w:left="709"/>
        <w:rPr>
          <w:bCs/>
          <w:highlight w:val="yellow"/>
          <w:lang w:val="en-GB"/>
        </w:rPr>
      </w:pPr>
    </w:p>
    <w:p w:rsidR="007D4676" w:rsidRDefault="007D4676" w:rsidP="007D4676">
      <w:pPr>
        <w:spacing w:after="120"/>
        <w:ind w:left="709"/>
        <w:rPr>
          <w:bCs/>
        </w:rPr>
      </w:pPr>
      <w:r w:rsidRPr="00D856D3">
        <w:rPr>
          <w:bCs/>
        </w:rPr>
        <w:t>Sanofi welcomes the PBAC’s recommendation to list Adacel® on the National Immunisation Program for the protection of newborn infants and their mothers against pertussis.</w:t>
      </w:r>
    </w:p>
    <w:p w:rsidR="00634DD7" w:rsidRPr="005C4EA9" w:rsidRDefault="00634DD7" w:rsidP="005C4EA9"/>
    <w:sectPr w:rsidR="00634DD7" w:rsidRPr="005C4EA9" w:rsidSect="0001054B">
      <w:headerReference w:type="default" r:id="rId15"/>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CCF" w:rsidRDefault="00C62CCF" w:rsidP="00124A51">
      <w:r>
        <w:separator/>
      </w:r>
    </w:p>
    <w:p w:rsidR="00C62CCF" w:rsidRDefault="00C62CCF"/>
  </w:endnote>
  <w:endnote w:type="continuationSeparator" w:id="0">
    <w:p w:rsidR="00C62CCF" w:rsidRDefault="00C62CCF" w:rsidP="00124A51">
      <w:r>
        <w:continuationSeparator/>
      </w:r>
    </w:p>
    <w:p w:rsidR="00C62CCF" w:rsidRDefault="00C62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CF" w:rsidRDefault="00C62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33" w:rsidRDefault="00A72D33" w:rsidP="00863724">
    <w:pPr>
      <w:pStyle w:val="Footer"/>
      <w:rPr>
        <w:sz w:val="20"/>
      </w:rPr>
    </w:pPr>
    <w:r>
      <w:rPr>
        <w:sz w:val="20"/>
      </w:rPr>
      <w:tab/>
    </w:r>
  </w:p>
  <w:p w:rsidR="00A72D33" w:rsidRPr="00863724" w:rsidRDefault="00A72D33" w:rsidP="00863724">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2A34A4">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CF" w:rsidRDefault="00C62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CCF" w:rsidRDefault="00C62CCF" w:rsidP="00124A51">
      <w:r>
        <w:separator/>
      </w:r>
    </w:p>
    <w:p w:rsidR="00C62CCF" w:rsidRDefault="00C62CCF"/>
  </w:footnote>
  <w:footnote w:type="continuationSeparator" w:id="0">
    <w:p w:rsidR="00C62CCF" w:rsidRDefault="00C62CCF" w:rsidP="00124A51">
      <w:r>
        <w:continuationSeparator/>
      </w:r>
    </w:p>
    <w:p w:rsidR="00C62CCF" w:rsidRDefault="00C62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CF" w:rsidRDefault="00C62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33" w:rsidRPr="00DF217D" w:rsidRDefault="00A72D33" w:rsidP="005C4EA9">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A72D33" w:rsidRDefault="00A72D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CF" w:rsidRDefault="00C62C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33" w:rsidRPr="00DF217D" w:rsidRDefault="00A72D33" w:rsidP="00E017BC">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A72D33" w:rsidRDefault="00A72D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32D"/>
    <w:multiLevelType w:val="hybridMultilevel"/>
    <w:tmpl w:val="B7860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7E5059"/>
    <w:multiLevelType w:val="hybridMultilevel"/>
    <w:tmpl w:val="4E8CA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09F4AF2"/>
    <w:multiLevelType w:val="hybridMultilevel"/>
    <w:tmpl w:val="DEB0A8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4">
    <w:nsid w:val="49DA660E"/>
    <w:multiLevelType w:val="hybridMultilevel"/>
    <w:tmpl w:val="0DB896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6C9228F"/>
    <w:multiLevelType w:val="hybridMultilevel"/>
    <w:tmpl w:val="024C77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66BF7BC5"/>
    <w:multiLevelType w:val="hybridMultilevel"/>
    <w:tmpl w:val="1C427F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673407C8"/>
    <w:multiLevelType w:val="hybridMultilevel"/>
    <w:tmpl w:val="E5DCA876"/>
    <w:lvl w:ilvl="0" w:tplc="382EB15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2"/>
  </w:num>
  <w:num w:numId="4">
    <w:abstractNumId w:val="3"/>
  </w:num>
  <w:num w:numId="5">
    <w:abstractNumId w:val="5"/>
  </w:num>
  <w:num w:numId="6">
    <w:abstractNumId w:val="7"/>
  </w:num>
  <w:num w:numId="7">
    <w:abstractNumId w:val="1"/>
  </w:num>
  <w:num w:numId="8">
    <w:abstractNumId w:val="4"/>
  </w:num>
  <w:num w:numId="9">
    <w:abstractNumId w:val="0"/>
  </w:num>
  <w:num w:numId="10">
    <w:abstractNumId w:val="8"/>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520"/>
    <w:rsid w:val="00003499"/>
    <w:rsid w:val="0001054B"/>
    <w:rsid w:val="00013247"/>
    <w:rsid w:val="00015886"/>
    <w:rsid w:val="00015FF0"/>
    <w:rsid w:val="000162EF"/>
    <w:rsid w:val="00020BF6"/>
    <w:rsid w:val="0002225F"/>
    <w:rsid w:val="00023763"/>
    <w:rsid w:val="00024588"/>
    <w:rsid w:val="00027505"/>
    <w:rsid w:val="00040895"/>
    <w:rsid w:val="00040BBF"/>
    <w:rsid w:val="00042198"/>
    <w:rsid w:val="000439CD"/>
    <w:rsid w:val="00043C37"/>
    <w:rsid w:val="00045A18"/>
    <w:rsid w:val="00047762"/>
    <w:rsid w:val="000502EA"/>
    <w:rsid w:val="000546D7"/>
    <w:rsid w:val="00061609"/>
    <w:rsid w:val="00071248"/>
    <w:rsid w:val="000720B9"/>
    <w:rsid w:val="00077BE1"/>
    <w:rsid w:val="00080947"/>
    <w:rsid w:val="000812CA"/>
    <w:rsid w:val="00081764"/>
    <w:rsid w:val="00083F4B"/>
    <w:rsid w:val="000846A8"/>
    <w:rsid w:val="0008600F"/>
    <w:rsid w:val="00090C7E"/>
    <w:rsid w:val="000A7D1C"/>
    <w:rsid w:val="000B2BA4"/>
    <w:rsid w:val="000B462B"/>
    <w:rsid w:val="000B58E8"/>
    <w:rsid w:val="000B6ED7"/>
    <w:rsid w:val="000B72D5"/>
    <w:rsid w:val="000C0F67"/>
    <w:rsid w:val="000C4228"/>
    <w:rsid w:val="000C5A22"/>
    <w:rsid w:val="000D1BFC"/>
    <w:rsid w:val="000D2C61"/>
    <w:rsid w:val="000D6907"/>
    <w:rsid w:val="000E69B4"/>
    <w:rsid w:val="000E7ED2"/>
    <w:rsid w:val="000F2E94"/>
    <w:rsid w:val="000F4BB8"/>
    <w:rsid w:val="000F523C"/>
    <w:rsid w:val="000F7127"/>
    <w:rsid w:val="00100F8A"/>
    <w:rsid w:val="0010133B"/>
    <w:rsid w:val="001065A5"/>
    <w:rsid w:val="00107822"/>
    <w:rsid w:val="0011032E"/>
    <w:rsid w:val="0011348B"/>
    <w:rsid w:val="00121799"/>
    <w:rsid w:val="001222FC"/>
    <w:rsid w:val="0012484F"/>
    <w:rsid w:val="00124A51"/>
    <w:rsid w:val="00126621"/>
    <w:rsid w:val="001301E9"/>
    <w:rsid w:val="001322A3"/>
    <w:rsid w:val="00137645"/>
    <w:rsid w:val="0014015A"/>
    <w:rsid w:val="00140E99"/>
    <w:rsid w:val="00145540"/>
    <w:rsid w:val="001456B0"/>
    <w:rsid w:val="00147FC4"/>
    <w:rsid w:val="00155D4E"/>
    <w:rsid w:val="00157130"/>
    <w:rsid w:val="00162213"/>
    <w:rsid w:val="00162913"/>
    <w:rsid w:val="00163EFF"/>
    <w:rsid w:val="001661FB"/>
    <w:rsid w:val="00172011"/>
    <w:rsid w:val="00173ACD"/>
    <w:rsid w:val="001757DF"/>
    <w:rsid w:val="00176DA0"/>
    <w:rsid w:val="00180E0F"/>
    <w:rsid w:val="001845B3"/>
    <w:rsid w:val="0018752F"/>
    <w:rsid w:val="00194C41"/>
    <w:rsid w:val="00195222"/>
    <w:rsid w:val="001975D8"/>
    <w:rsid w:val="001B3443"/>
    <w:rsid w:val="001B7342"/>
    <w:rsid w:val="001C6E66"/>
    <w:rsid w:val="001D259B"/>
    <w:rsid w:val="001D6FE0"/>
    <w:rsid w:val="001E238E"/>
    <w:rsid w:val="001E2B1E"/>
    <w:rsid w:val="001E41F0"/>
    <w:rsid w:val="001E52EB"/>
    <w:rsid w:val="001E578F"/>
    <w:rsid w:val="001E740C"/>
    <w:rsid w:val="001F1235"/>
    <w:rsid w:val="001F1944"/>
    <w:rsid w:val="001F1CB3"/>
    <w:rsid w:val="001F3204"/>
    <w:rsid w:val="001F6CBB"/>
    <w:rsid w:val="001F7361"/>
    <w:rsid w:val="002033D4"/>
    <w:rsid w:val="0020385F"/>
    <w:rsid w:val="00207021"/>
    <w:rsid w:val="00207D00"/>
    <w:rsid w:val="002105C1"/>
    <w:rsid w:val="00211107"/>
    <w:rsid w:val="002124D2"/>
    <w:rsid w:val="00223B49"/>
    <w:rsid w:val="00224DD4"/>
    <w:rsid w:val="002309CC"/>
    <w:rsid w:val="0023214B"/>
    <w:rsid w:val="00241BC4"/>
    <w:rsid w:val="0024473B"/>
    <w:rsid w:val="00254DCF"/>
    <w:rsid w:val="0025534B"/>
    <w:rsid w:val="00255BB7"/>
    <w:rsid w:val="00262A87"/>
    <w:rsid w:val="00263C94"/>
    <w:rsid w:val="0026693C"/>
    <w:rsid w:val="0026746A"/>
    <w:rsid w:val="002711F0"/>
    <w:rsid w:val="00275C5A"/>
    <w:rsid w:val="00281014"/>
    <w:rsid w:val="002A14AB"/>
    <w:rsid w:val="002A34A4"/>
    <w:rsid w:val="002B0D25"/>
    <w:rsid w:val="002B1C1F"/>
    <w:rsid w:val="002B4043"/>
    <w:rsid w:val="002B432F"/>
    <w:rsid w:val="002B5AAA"/>
    <w:rsid w:val="002B69AE"/>
    <w:rsid w:val="002B6CCE"/>
    <w:rsid w:val="002C2775"/>
    <w:rsid w:val="002C27C1"/>
    <w:rsid w:val="002C5343"/>
    <w:rsid w:val="002E2B72"/>
    <w:rsid w:val="002E6146"/>
    <w:rsid w:val="002E6636"/>
    <w:rsid w:val="002F7205"/>
    <w:rsid w:val="00301017"/>
    <w:rsid w:val="003034F5"/>
    <w:rsid w:val="00306C1F"/>
    <w:rsid w:val="0030786C"/>
    <w:rsid w:val="0031031A"/>
    <w:rsid w:val="00310981"/>
    <w:rsid w:val="0031126C"/>
    <w:rsid w:val="00312547"/>
    <w:rsid w:val="00315498"/>
    <w:rsid w:val="0032589E"/>
    <w:rsid w:val="00331466"/>
    <w:rsid w:val="003366C9"/>
    <w:rsid w:val="003371B0"/>
    <w:rsid w:val="003422D1"/>
    <w:rsid w:val="00346656"/>
    <w:rsid w:val="003477DC"/>
    <w:rsid w:val="0035620E"/>
    <w:rsid w:val="00356824"/>
    <w:rsid w:val="0036247C"/>
    <w:rsid w:val="00371EDF"/>
    <w:rsid w:val="0038365C"/>
    <w:rsid w:val="00394358"/>
    <w:rsid w:val="003954B4"/>
    <w:rsid w:val="00396FD0"/>
    <w:rsid w:val="003A1A7A"/>
    <w:rsid w:val="003B080D"/>
    <w:rsid w:val="003B4D2C"/>
    <w:rsid w:val="003C05E4"/>
    <w:rsid w:val="003C3950"/>
    <w:rsid w:val="003C5896"/>
    <w:rsid w:val="003D1828"/>
    <w:rsid w:val="003D188C"/>
    <w:rsid w:val="003D2422"/>
    <w:rsid w:val="003D4D8B"/>
    <w:rsid w:val="003D58C7"/>
    <w:rsid w:val="003D76EA"/>
    <w:rsid w:val="003E135A"/>
    <w:rsid w:val="003E569B"/>
    <w:rsid w:val="003E5D4D"/>
    <w:rsid w:val="003F007E"/>
    <w:rsid w:val="003F3A77"/>
    <w:rsid w:val="003F4156"/>
    <w:rsid w:val="003F5A00"/>
    <w:rsid w:val="003F6BB1"/>
    <w:rsid w:val="00407D84"/>
    <w:rsid w:val="00410708"/>
    <w:rsid w:val="00410EC7"/>
    <w:rsid w:val="00414476"/>
    <w:rsid w:val="00417718"/>
    <w:rsid w:val="00420690"/>
    <w:rsid w:val="0042071B"/>
    <w:rsid w:val="00420B9F"/>
    <w:rsid w:val="00426786"/>
    <w:rsid w:val="00430D74"/>
    <w:rsid w:val="004319F8"/>
    <w:rsid w:val="00433044"/>
    <w:rsid w:val="00440637"/>
    <w:rsid w:val="004443A7"/>
    <w:rsid w:val="004464EB"/>
    <w:rsid w:val="0045054A"/>
    <w:rsid w:val="00453F8E"/>
    <w:rsid w:val="00455D45"/>
    <w:rsid w:val="004601D8"/>
    <w:rsid w:val="0046423A"/>
    <w:rsid w:val="00464595"/>
    <w:rsid w:val="00465AC9"/>
    <w:rsid w:val="00473939"/>
    <w:rsid w:val="00474908"/>
    <w:rsid w:val="00480166"/>
    <w:rsid w:val="0048019F"/>
    <w:rsid w:val="00482B06"/>
    <w:rsid w:val="0048362A"/>
    <w:rsid w:val="004867E2"/>
    <w:rsid w:val="00491B3A"/>
    <w:rsid w:val="00492CFD"/>
    <w:rsid w:val="00493AD3"/>
    <w:rsid w:val="00493D3B"/>
    <w:rsid w:val="004962D2"/>
    <w:rsid w:val="004A0DA1"/>
    <w:rsid w:val="004A1993"/>
    <w:rsid w:val="004A328A"/>
    <w:rsid w:val="004A4013"/>
    <w:rsid w:val="004A6597"/>
    <w:rsid w:val="004B1CB4"/>
    <w:rsid w:val="004B2F18"/>
    <w:rsid w:val="004B3DDB"/>
    <w:rsid w:val="004B44FD"/>
    <w:rsid w:val="004B5406"/>
    <w:rsid w:val="004B5CFC"/>
    <w:rsid w:val="004B743D"/>
    <w:rsid w:val="004B7DBF"/>
    <w:rsid w:val="004C4AED"/>
    <w:rsid w:val="004E0B42"/>
    <w:rsid w:val="004E0EB8"/>
    <w:rsid w:val="004E2ADC"/>
    <w:rsid w:val="004E43B1"/>
    <w:rsid w:val="004E43B2"/>
    <w:rsid w:val="004F1D02"/>
    <w:rsid w:val="004F2679"/>
    <w:rsid w:val="004F7865"/>
    <w:rsid w:val="005032A1"/>
    <w:rsid w:val="00503EF1"/>
    <w:rsid w:val="00506928"/>
    <w:rsid w:val="00507197"/>
    <w:rsid w:val="00510E8F"/>
    <w:rsid w:val="00511408"/>
    <w:rsid w:val="005152B5"/>
    <w:rsid w:val="00521319"/>
    <w:rsid w:val="00523C28"/>
    <w:rsid w:val="005337E8"/>
    <w:rsid w:val="00535E81"/>
    <w:rsid w:val="00542C1D"/>
    <w:rsid w:val="00547681"/>
    <w:rsid w:val="00551326"/>
    <w:rsid w:val="00552BD3"/>
    <w:rsid w:val="00553733"/>
    <w:rsid w:val="00555109"/>
    <w:rsid w:val="00561A23"/>
    <w:rsid w:val="0056696F"/>
    <w:rsid w:val="00567F86"/>
    <w:rsid w:val="00571D79"/>
    <w:rsid w:val="00572705"/>
    <w:rsid w:val="00575D8D"/>
    <w:rsid w:val="00576972"/>
    <w:rsid w:val="00583699"/>
    <w:rsid w:val="005A2CC4"/>
    <w:rsid w:val="005A4329"/>
    <w:rsid w:val="005A6ADC"/>
    <w:rsid w:val="005B103E"/>
    <w:rsid w:val="005B5857"/>
    <w:rsid w:val="005C1B83"/>
    <w:rsid w:val="005C346B"/>
    <w:rsid w:val="005C4EA9"/>
    <w:rsid w:val="005D044D"/>
    <w:rsid w:val="005D18AD"/>
    <w:rsid w:val="005E1A78"/>
    <w:rsid w:val="005E44BE"/>
    <w:rsid w:val="005E73C0"/>
    <w:rsid w:val="005E7B45"/>
    <w:rsid w:val="005F2706"/>
    <w:rsid w:val="005F2C39"/>
    <w:rsid w:val="005F6A8F"/>
    <w:rsid w:val="00607669"/>
    <w:rsid w:val="00607BFD"/>
    <w:rsid w:val="00612F97"/>
    <w:rsid w:val="00614645"/>
    <w:rsid w:val="00616802"/>
    <w:rsid w:val="00617E12"/>
    <w:rsid w:val="00621477"/>
    <w:rsid w:val="0062210E"/>
    <w:rsid w:val="00624A59"/>
    <w:rsid w:val="00631D6B"/>
    <w:rsid w:val="00633A40"/>
    <w:rsid w:val="0063479F"/>
    <w:rsid w:val="00634DD7"/>
    <w:rsid w:val="006364A1"/>
    <w:rsid w:val="00636C30"/>
    <w:rsid w:val="00637BFD"/>
    <w:rsid w:val="00637E4F"/>
    <w:rsid w:val="00644FCE"/>
    <w:rsid w:val="00646457"/>
    <w:rsid w:val="006471CC"/>
    <w:rsid w:val="0065079F"/>
    <w:rsid w:val="00652D02"/>
    <w:rsid w:val="00661AF8"/>
    <w:rsid w:val="00674E42"/>
    <w:rsid w:val="006809B3"/>
    <w:rsid w:val="00682112"/>
    <w:rsid w:val="00682F2E"/>
    <w:rsid w:val="006872BA"/>
    <w:rsid w:val="006917D7"/>
    <w:rsid w:val="00694F44"/>
    <w:rsid w:val="00696CB6"/>
    <w:rsid w:val="006C189D"/>
    <w:rsid w:val="006C2A8E"/>
    <w:rsid w:val="006C5B4F"/>
    <w:rsid w:val="006D1378"/>
    <w:rsid w:val="006D3C7D"/>
    <w:rsid w:val="006D5170"/>
    <w:rsid w:val="006D5D5F"/>
    <w:rsid w:val="006E692A"/>
    <w:rsid w:val="006F100F"/>
    <w:rsid w:val="006F1023"/>
    <w:rsid w:val="006F18D1"/>
    <w:rsid w:val="006F63A5"/>
    <w:rsid w:val="0070125A"/>
    <w:rsid w:val="0070276E"/>
    <w:rsid w:val="00702F8F"/>
    <w:rsid w:val="00703590"/>
    <w:rsid w:val="00703685"/>
    <w:rsid w:val="00703B1E"/>
    <w:rsid w:val="00704094"/>
    <w:rsid w:val="00711A36"/>
    <w:rsid w:val="007166E2"/>
    <w:rsid w:val="007172AD"/>
    <w:rsid w:val="0072416F"/>
    <w:rsid w:val="00726325"/>
    <w:rsid w:val="00727EE6"/>
    <w:rsid w:val="00735328"/>
    <w:rsid w:val="0073685B"/>
    <w:rsid w:val="0074368D"/>
    <w:rsid w:val="00744CAD"/>
    <w:rsid w:val="00745829"/>
    <w:rsid w:val="0074777A"/>
    <w:rsid w:val="00760B58"/>
    <w:rsid w:val="00760C60"/>
    <w:rsid w:val="00767F3B"/>
    <w:rsid w:val="0077616B"/>
    <w:rsid w:val="00781962"/>
    <w:rsid w:val="00784A60"/>
    <w:rsid w:val="00796DBA"/>
    <w:rsid w:val="007A0A12"/>
    <w:rsid w:val="007A650F"/>
    <w:rsid w:val="007B251D"/>
    <w:rsid w:val="007B77D1"/>
    <w:rsid w:val="007C05BA"/>
    <w:rsid w:val="007C361D"/>
    <w:rsid w:val="007C6CD3"/>
    <w:rsid w:val="007D03AB"/>
    <w:rsid w:val="007D0B38"/>
    <w:rsid w:val="007D1431"/>
    <w:rsid w:val="007D3635"/>
    <w:rsid w:val="007D4676"/>
    <w:rsid w:val="007D4920"/>
    <w:rsid w:val="007E2894"/>
    <w:rsid w:val="007F1017"/>
    <w:rsid w:val="007F4A3F"/>
    <w:rsid w:val="007F6DEC"/>
    <w:rsid w:val="00803910"/>
    <w:rsid w:val="00805142"/>
    <w:rsid w:val="00807A8B"/>
    <w:rsid w:val="00810922"/>
    <w:rsid w:val="00812149"/>
    <w:rsid w:val="008166EF"/>
    <w:rsid w:val="00816944"/>
    <w:rsid w:val="00817183"/>
    <w:rsid w:val="00825A0F"/>
    <w:rsid w:val="008264EB"/>
    <w:rsid w:val="0082690A"/>
    <w:rsid w:val="00826920"/>
    <w:rsid w:val="00826D3F"/>
    <w:rsid w:val="00833B05"/>
    <w:rsid w:val="00833C03"/>
    <w:rsid w:val="00840CA2"/>
    <w:rsid w:val="00841D8C"/>
    <w:rsid w:val="0085497B"/>
    <w:rsid w:val="00856E9A"/>
    <w:rsid w:val="008618B0"/>
    <w:rsid w:val="00862502"/>
    <w:rsid w:val="00863724"/>
    <w:rsid w:val="0086686E"/>
    <w:rsid w:val="00866BB5"/>
    <w:rsid w:val="0087038B"/>
    <w:rsid w:val="00870965"/>
    <w:rsid w:val="00877314"/>
    <w:rsid w:val="00882874"/>
    <w:rsid w:val="00883787"/>
    <w:rsid w:val="00894489"/>
    <w:rsid w:val="0089507A"/>
    <w:rsid w:val="008963A5"/>
    <w:rsid w:val="008A3C3E"/>
    <w:rsid w:val="008A79DE"/>
    <w:rsid w:val="008B332E"/>
    <w:rsid w:val="008B726B"/>
    <w:rsid w:val="008B7D7E"/>
    <w:rsid w:val="008C7ECB"/>
    <w:rsid w:val="008D6351"/>
    <w:rsid w:val="008E07F3"/>
    <w:rsid w:val="008E1843"/>
    <w:rsid w:val="008E1B9E"/>
    <w:rsid w:val="008F0B95"/>
    <w:rsid w:val="008F120A"/>
    <w:rsid w:val="008F48EB"/>
    <w:rsid w:val="008F4F0B"/>
    <w:rsid w:val="009027E0"/>
    <w:rsid w:val="00902CAC"/>
    <w:rsid w:val="009062A5"/>
    <w:rsid w:val="0090648E"/>
    <w:rsid w:val="0090662B"/>
    <w:rsid w:val="00911272"/>
    <w:rsid w:val="00915AFF"/>
    <w:rsid w:val="00921760"/>
    <w:rsid w:val="009364E0"/>
    <w:rsid w:val="009436FF"/>
    <w:rsid w:val="00950A71"/>
    <w:rsid w:val="00951822"/>
    <w:rsid w:val="00962CB9"/>
    <w:rsid w:val="00964312"/>
    <w:rsid w:val="0097374F"/>
    <w:rsid w:val="00974749"/>
    <w:rsid w:val="00983E57"/>
    <w:rsid w:val="009916E4"/>
    <w:rsid w:val="00996B1A"/>
    <w:rsid w:val="00996BC9"/>
    <w:rsid w:val="009A029F"/>
    <w:rsid w:val="009A0D15"/>
    <w:rsid w:val="009A1695"/>
    <w:rsid w:val="009B3E26"/>
    <w:rsid w:val="009C2996"/>
    <w:rsid w:val="009C7F4F"/>
    <w:rsid w:val="009D5B91"/>
    <w:rsid w:val="009D647A"/>
    <w:rsid w:val="009D6BA9"/>
    <w:rsid w:val="009E1D46"/>
    <w:rsid w:val="009E2926"/>
    <w:rsid w:val="009E4C07"/>
    <w:rsid w:val="009E4C48"/>
    <w:rsid w:val="009E5DCA"/>
    <w:rsid w:val="009F12BF"/>
    <w:rsid w:val="009F53CC"/>
    <w:rsid w:val="00A03D43"/>
    <w:rsid w:val="00A04380"/>
    <w:rsid w:val="00A108A8"/>
    <w:rsid w:val="00A11477"/>
    <w:rsid w:val="00A13948"/>
    <w:rsid w:val="00A27AD9"/>
    <w:rsid w:val="00A27AEC"/>
    <w:rsid w:val="00A34217"/>
    <w:rsid w:val="00A35D04"/>
    <w:rsid w:val="00A35D16"/>
    <w:rsid w:val="00A379E1"/>
    <w:rsid w:val="00A43680"/>
    <w:rsid w:val="00A43C59"/>
    <w:rsid w:val="00A47D48"/>
    <w:rsid w:val="00A50ECD"/>
    <w:rsid w:val="00A52729"/>
    <w:rsid w:val="00A53675"/>
    <w:rsid w:val="00A55C1D"/>
    <w:rsid w:val="00A56B6A"/>
    <w:rsid w:val="00A578DC"/>
    <w:rsid w:val="00A60C5C"/>
    <w:rsid w:val="00A61580"/>
    <w:rsid w:val="00A662CE"/>
    <w:rsid w:val="00A6725B"/>
    <w:rsid w:val="00A72284"/>
    <w:rsid w:val="00A72D33"/>
    <w:rsid w:val="00A72DA3"/>
    <w:rsid w:val="00A73FBA"/>
    <w:rsid w:val="00A75283"/>
    <w:rsid w:val="00A77022"/>
    <w:rsid w:val="00A83678"/>
    <w:rsid w:val="00A857BC"/>
    <w:rsid w:val="00A86E8B"/>
    <w:rsid w:val="00A92156"/>
    <w:rsid w:val="00A93072"/>
    <w:rsid w:val="00A959D8"/>
    <w:rsid w:val="00AA5048"/>
    <w:rsid w:val="00AA6F48"/>
    <w:rsid w:val="00AB042A"/>
    <w:rsid w:val="00AB2D34"/>
    <w:rsid w:val="00AB3430"/>
    <w:rsid w:val="00AB7CFA"/>
    <w:rsid w:val="00AC0DA5"/>
    <w:rsid w:val="00AC1920"/>
    <w:rsid w:val="00AC3210"/>
    <w:rsid w:val="00AC6531"/>
    <w:rsid w:val="00AD00EC"/>
    <w:rsid w:val="00AF157F"/>
    <w:rsid w:val="00AF2D18"/>
    <w:rsid w:val="00AF5C72"/>
    <w:rsid w:val="00B00E0C"/>
    <w:rsid w:val="00B04444"/>
    <w:rsid w:val="00B0457D"/>
    <w:rsid w:val="00B04A01"/>
    <w:rsid w:val="00B068D7"/>
    <w:rsid w:val="00B07724"/>
    <w:rsid w:val="00B111A2"/>
    <w:rsid w:val="00B12947"/>
    <w:rsid w:val="00B138E0"/>
    <w:rsid w:val="00B13BF3"/>
    <w:rsid w:val="00B23481"/>
    <w:rsid w:val="00B267B7"/>
    <w:rsid w:val="00B34C0C"/>
    <w:rsid w:val="00B36AA6"/>
    <w:rsid w:val="00B37919"/>
    <w:rsid w:val="00B42851"/>
    <w:rsid w:val="00B50DB8"/>
    <w:rsid w:val="00B53905"/>
    <w:rsid w:val="00B54B5B"/>
    <w:rsid w:val="00B55132"/>
    <w:rsid w:val="00B5562E"/>
    <w:rsid w:val="00B57000"/>
    <w:rsid w:val="00B60939"/>
    <w:rsid w:val="00B60AFD"/>
    <w:rsid w:val="00B62715"/>
    <w:rsid w:val="00B659A4"/>
    <w:rsid w:val="00B65FE2"/>
    <w:rsid w:val="00B665B8"/>
    <w:rsid w:val="00B707B5"/>
    <w:rsid w:val="00B773CD"/>
    <w:rsid w:val="00B818A4"/>
    <w:rsid w:val="00B831E7"/>
    <w:rsid w:val="00B8649C"/>
    <w:rsid w:val="00B86BC2"/>
    <w:rsid w:val="00B91A39"/>
    <w:rsid w:val="00B92D0B"/>
    <w:rsid w:val="00B94945"/>
    <w:rsid w:val="00BA5D87"/>
    <w:rsid w:val="00BB3228"/>
    <w:rsid w:val="00BB7405"/>
    <w:rsid w:val="00BB7E43"/>
    <w:rsid w:val="00BC2778"/>
    <w:rsid w:val="00BC344B"/>
    <w:rsid w:val="00BC3529"/>
    <w:rsid w:val="00BD2B04"/>
    <w:rsid w:val="00BD6CF3"/>
    <w:rsid w:val="00BE022E"/>
    <w:rsid w:val="00BE037C"/>
    <w:rsid w:val="00BE2180"/>
    <w:rsid w:val="00BE2344"/>
    <w:rsid w:val="00BE4275"/>
    <w:rsid w:val="00BF2433"/>
    <w:rsid w:val="00BF2EAF"/>
    <w:rsid w:val="00BF376D"/>
    <w:rsid w:val="00BF61C9"/>
    <w:rsid w:val="00C003A2"/>
    <w:rsid w:val="00C0201C"/>
    <w:rsid w:val="00C02932"/>
    <w:rsid w:val="00C0540C"/>
    <w:rsid w:val="00C20586"/>
    <w:rsid w:val="00C23717"/>
    <w:rsid w:val="00C25418"/>
    <w:rsid w:val="00C25D9C"/>
    <w:rsid w:val="00C26DA0"/>
    <w:rsid w:val="00C31649"/>
    <w:rsid w:val="00C31F51"/>
    <w:rsid w:val="00C40385"/>
    <w:rsid w:val="00C413AB"/>
    <w:rsid w:val="00C42A24"/>
    <w:rsid w:val="00C4557C"/>
    <w:rsid w:val="00C55C48"/>
    <w:rsid w:val="00C613AC"/>
    <w:rsid w:val="00C62CCF"/>
    <w:rsid w:val="00C65576"/>
    <w:rsid w:val="00C66165"/>
    <w:rsid w:val="00C66C70"/>
    <w:rsid w:val="00C67FDC"/>
    <w:rsid w:val="00C7321C"/>
    <w:rsid w:val="00C750C8"/>
    <w:rsid w:val="00C8213F"/>
    <w:rsid w:val="00C837C6"/>
    <w:rsid w:val="00C8639D"/>
    <w:rsid w:val="00C8797A"/>
    <w:rsid w:val="00C93309"/>
    <w:rsid w:val="00C938CF"/>
    <w:rsid w:val="00C97D43"/>
    <w:rsid w:val="00CA5245"/>
    <w:rsid w:val="00CA627C"/>
    <w:rsid w:val="00CA7B09"/>
    <w:rsid w:val="00CB5B1A"/>
    <w:rsid w:val="00CC0946"/>
    <w:rsid w:val="00CD0DAD"/>
    <w:rsid w:val="00CD6ADC"/>
    <w:rsid w:val="00CD785B"/>
    <w:rsid w:val="00CE16AC"/>
    <w:rsid w:val="00CE42DB"/>
    <w:rsid w:val="00CE6274"/>
    <w:rsid w:val="00CF42BF"/>
    <w:rsid w:val="00CF4564"/>
    <w:rsid w:val="00CF456B"/>
    <w:rsid w:val="00CF5A22"/>
    <w:rsid w:val="00D0262E"/>
    <w:rsid w:val="00D110BD"/>
    <w:rsid w:val="00D17D6C"/>
    <w:rsid w:val="00D206AE"/>
    <w:rsid w:val="00D20D70"/>
    <w:rsid w:val="00D25B89"/>
    <w:rsid w:val="00D357FF"/>
    <w:rsid w:val="00D605E2"/>
    <w:rsid w:val="00D70761"/>
    <w:rsid w:val="00D73BE8"/>
    <w:rsid w:val="00D76A44"/>
    <w:rsid w:val="00D80A60"/>
    <w:rsid w:val="00D85753"/>
    <w:rsid w:val="00D85B23"/>
    <w:rsid w:val="00D93753"/>
    <w:rsid w:val="00D96F6A"/>
    <w:rsid w:val="00DA77A5"/>
    <w:rsid w:val="00DB1F75"/>
    <w:rsid w:val="00DB2BC0"/>
    <w:rsid w:val="00DC0702"/>
    <w:rsid w:val="00DC2C04"/>
    <w:rsid w:val="00DC5302"/>
    <w:rsid w:val="00DC5501"/>
    <w:rsid w:val="00DC5903"/>
    <w:rsid w:val="00DD3F28"/>
    <w:rsid w:val="00DD4537"/>
    <w:rsid w:val="00DD4E15"/>
    <w:rsid w:val="00DE110F"/>
    <w:rsid w:val="00DE4FCB"/>
    <w:rsid w:val="00DE7B41"/>
    <w:rsid w:val="00DF4711"/>
    <w:rsid w:val="00DF5D2B"/>
    <w:rsid w:val="00E00DFE"/>
    <w:rsid w:val="00E017BC"/>
    <w:rsid w:val="00E01A76"/>
    <w:rsid w:val="00E05469"/>
    <w:rsid w:val="00E10149"/>
    <w:rsid w:val="00E1477F"/>
    <w:rsid w:val="00E16372"/>
    <w:rsid w:val="00E16D2F"/>
    <w:rsid w:val="00E20358"/>
    <w:rsid w:val="00E20ED6"/>
    <w:rsid w:val="00E21358"/>
    <w:rsid w:val="00E2249B"/>
    <w:rsid w:val="00E22A0D"/>
    <w:rsid w:val="00E2771E"/>
    <w:rsid w:val="00E31B06"/>
    <w:rsid w:val="00E31FEE"/>
    <w:rsid w:val="00E36B13"/>
    <w:rsid w:val="00E37569"/>
    <w:rsid w:val="00E41E30"/>
    <w:rsid w:val="00E43D70"/>
    <w:rsid w:val="00E44849"/>
    <w:rsid w:val="00E47B2C"/>
    <w:rsid w:val="00E500E0"/>
    <w:rsid w:val="00E51560"/>
    <w:rsid w:val="00E55424"/>
    <w:rsid w:val="00E55BB5"/>
    <w:rsid w:val="00E568A1"/>
    <w:rsid w:val="00E577F9"/>
    <w:rsid w:val="00E65E79"/>
    <w:rsid w:val="00E67416"/>
    <w:rsid w:val="00E718B6"/>
    <w:rsid w:val="00E73581"/>
    <w:rsid w:val="00E75FF5"/>
    <w:rsid w:val="00E77A10"/>
    <w:rsid w:val="00E83BDF"/>
    <w:rsid w:val="00E84911"/>
    <w:rsid w:val="00E86BD6"/>
    <w:rsid w:val="00EA3864"/>
    <w:rsid w:val="00EA3CAF"/>
    <w:rsid w:val="00EA3D98"/>
    <w:rsid w:val="00EA422D"/>
    <w:rsid w:val="00EA5F92"/>
    <w:rsid w:val="00EB15B6"/>
    <w:rsid w:val="00EB4916"/>
    <w:rsid w:val="00EC00C9"/>
    <w:rsid w:val="00EC11E1"/>
    <w:rsid w:val="00EC7B0C"/>
    <w:rsid w:val="00EE02A3"/>
    <w:rsid w:val="00EE07D3"/>
    <w:rsid w:val="00EE3821"/>
    <w:rsid w:val="00EF7D6C"/>
    <w:rsid w:val="00F03B52"/>
    <w:rsid w:val="00F067A2"/>
    <w:rsid w:val="00F06E7F"/>
    <w:rsid w:val="00F2096A"/>
    <w:rsid w:val="00F23A5E"/>
    <w:rsid w:val="00F24837"/>
    <w:rsid w:val="00F2575F"/>
    <w:rsid w:val="00F33DE9"/>
    <w:rsid w:val="00F3619A"/>
    <w:rsid w:val="00F371CD"/>
    <w:rsid w:val="00F43477"/>
    <w:rsid w:val="00F46CB6"/>
    <w:rsid w:val="00F55E73"/>
    <w:rsid w:val="00F60092"/>
    <w:rsid w:val="00F726FA"/>
    <w:rsid w:val="00F80E5D"/>
    <w:rsid w:val="00F851CE"/>
    <w:rsid w:val="00F92015"/>
    <w:rsid w:val="00F955FF"/>
    <w:rsid w:val="00F96147"/>
    <w:rsid w:val="00F97A78"/>
    <w:rsid w:val="00FA2209"/>
    <w:rsid w:val="00FA24E7"/>
    <w:rsid w:val="00FA42DF"/>
    <w:rsid w:val="00FB2FCB"/>
    <w:rsid w:val="00FB60D7"/>
    <w:rsid w:val="00FC1074"/>
    <w:rsid w:val="00FC1884"/>
    <w:rsid w:val="00FC7425"/>
    <w:rsid w:val="00FD2100"/>
    <w:rsid w:val="00FD446D"/>
    <w:rsid w:val="00FD6D9F"/>
    <w:rsid w:val="00FE6C53"/>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F4564"/>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0C0F67"/>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01054B"/>
    <w:pPr>
      <w:numPr>
        <w:numId w:val="1"/>
      </w:numPr>
      <w:outlineLvl w:val="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634DD7"/>
    <w:rPr>
      <w:rFonts w:ascii="Arial" w:hAnsi="Arial" w:cs="Arial"/>
      <w:snapToGrid w:val="0"/>
      <w:sz w:val="22"/>
      <w:lang w:eastAsia="en-US"/>
    </w:rPr>
  </w:style>
  <w:style w:type="character" w:styleId="FootnoteReference">
    <w:name w:val="footnote reference"/>
    <w:basedOn w:val="DefaultParagraphFont"/>
    <w:unhideWhenUsed/>
    <w:rsid w:val="00634DD7"/>
    <w:rPr>
      <w:vertAlign w:val="superscript"/>
    </w:rPr>
  </w:style>
  <w:style w:type="paragraph" w:styleId="FootnoteText">
    <w:name w:val="footnote text"/>
    <w:basedOn w:val="Normal"/>
    <w:link w:val="FootnoteTextChar"/>
    <w:unhideWhenUsed/>
    <w:rsid w:val="00634DD7"/>
    <w:rPr>
      <w:rFonts w:eastAsia="SimSun"/>
      <w:sz w:val="20"/>
    </w:rPr>
  </w:style>
  <w:style w:type="character" w:customStyle="1" w:styleId="FootnoteTextChar">
    <w:name w:val="Footnote Text Char"/>
    <w:basedOn w:val="DefaultParagraphFont"/>
    <w:link w:val="FootnoteText"/>
    <w:rsid w:val="00634DD7"/>
    <w:rPr>
      <w:rFonts w:ascii="Arial" w:eastAsia="SimSun" w:hAnsi="Arial" w:cs="Arial"/>
      <w:snapToGrid w:val="0"/>
      <w:lang w:eastAsia="en-US"/>
    </w:rPr>
  </w:style>
  <w:style w:type="paragraph" w:customStyle="1" w:styleId="Default">
    <w:name w:val="Default"/>
    <w:rsid w:val="00634DD7"/>
    <w:pPr>
      <w:autoSpaceDE w:val="0"/>
      <w:autoSpaceDN w:val="0"/>
      <w:adjustRightInd w:val="0"/>
    </w:pPr>
    <w:rPr>
      <w:rFonts w:ascii="Arial" w:eastAsiaTheme="minorHAnsi" w:hAnsi="Arial" w:cs="Arial"/>
      <w:color w:val="000000"/>
      <w:sz w:val="24"/>
      <w:szCs w:val="24"/>
      <w:lang w:eastAsia="en-US"/>
    </w:rPr>
  </w:style>
  <w:style w:type="paragraph" w:customStyle="1" w:styleId="Table-bodytextLEFT">
    <w:name w:val="Table - body text LEFT"/>
    <w:basedOn w:val="Normal"/>
    <w:rsid w:val="00CF42BF"/>
    <w:pPr>
      <w:widowControl/>
      <w:jc w:val="left"/>
    </w:pPr>
    <w:rPr>
      <w:rFonts w:ascii="Times New Roman" w:hAnsi="Times New Roman"/>
      <w:snapToGrid/>
      <w:sz w:val="20"/>
      <w:szCs w:val="24"/>
    </w:rPr>
  </w:style>
  <w:style w:type="paragraph" w:customStyle="1" w:styleId="NormalBulletList">
    <w:name w:val="Normal Bullet List"/>
    <w:basedOn w:val="Normal"/>
    <w:uiPriority w:val="3"/>
    <w:qFormat/>
    <w:rsid w:val="00CF42BF"/>
    <w:pPr>
      <w:widowControl/>
      <w:numPr>
        <w:numId w:val="4"/>
      </w:numPr>
      <w:spacing w:after="240" w:line="276" w:lineRule="auto"/>
      <w:ind w:left="357" w:hanging="357"/>
      <w:contextualSpacing/>
      <w:jc w:val="left"/>
    </w:pPr>
    <w:rPr>
      <w:rFonts w:ascii="Candara" w:eastAsiaTheme="majorEastAsia" w:hAnsi="Candara" w:cstheme="majorBidi"/>
      <w:snapToGrid/>
      <w:sz w:val="24"/>
      <w:szCs w:val="22"/>
      <w:lang w:bidi="en-US"/>
    </w:rPr>
  </w:style>
  <w:style w:type="table" w:customStyle="1" w:styleId="TableGrid21">
    <w:name w:val="Table Grid21"/>
    <w:basedOn w:val="TableNormal"/>
    <w:next w:val="TableGrid"/>
    <w:uiPriority w:val="59"/>
    <w:rsid w:val="00CF42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1EDF"/>
  </w:style>
  <w:style w:type="table" w:customStyle="1" w:styleId="Summarybox1">
    <w:name w:val="Summary box1"/>
    <w:basedOn w:val="TableNormal"/>
    <w:next w:val="TableGrid"/>
    <w:uiPriority w:val="59"/>
    <w:rsid w:val="00371ED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71E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E02A3"/>
    <w:pPr>
      <w:widowControl/>
      <w:spacing w:after="160" w:line="240" w:lineRule="exact"/>
      <w:jc w:val="left"/>
    </w:pPr>
    <w:rPr>
      <w:rFonts w:ascii="Verdana" w:eastAsia="MS Mincho" w:hAnsi="Verdana" w:cs="Verdana"/>
      <w:snapToGrid/>
      <w:sz w:val="20"/>
      <w:lang w:val="en-US"/>
    </w:rPr>
  </w:style>
  <w:style w:type="paragraph" w:customStyle="1" w:styleId="tablecolhead">
    <w:name w:val="tablecolhead"/>
    <w:basedOn w:val="Normal"/>
    <w:rsid w:val="00EE02A3"/>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text00">
    <w:name w:val="tabletext0"/>
    <w:basedOn w:val="Normal"/>
    <w:rsid w:val="00EE02A3"/>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p1a">
    <w:name w:val="tablep1a"/>
    <w:basedOn w:val="Normal"/>
    <w:rsid w:val="00EE02A3"/>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IntenseReference">
    <w:name w:val="Intense Reference"/>
    <w:basedOn w:val="DefaultParagraphFont"/>
    <w:uiPriority w:val="32"/>
    <w:rsid w:val="0002750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F4564"/>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0C0F67"/>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01054B"/>
    <w:pPr>
      <w:numPr>
        <w:numId w:val="1"/>
      </w:numPr>
      <w:outlineLvl w:val="0"/>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rsid w:val="00634DD7"/>
    <w:rPr>
      <w:rFonts w:ascii="Arial" w:hAnsi="Arial" w:cs="Arial"/>
      <w:snapToGrid w:val="0"/>
      <w:sz w:val="22"/>
      <w:lang w:eastAsia="en-US"/>
    </w:rPr>
  </w:style>
  <w:style w:type="character" w:styleId="FootnoteReference">
    <w:name w:val="footnote reference"/>
    <w:basedOn w:val="DefaultParagraphFont"/>
    <w:unhideWhenUsed/>
    <w:rsid w:val="00634DD7"/>
    <w:rPr>
      <w:vertAlign w:val="superscript"/>
    </w:rPr>
  </w:style>
  <w:style w:type="paragraph" w:styleId="FootnoteText">
    <w:name w:val="footnote text"/>
    <w:basedOn w:val="Normal"/>
    <w:link w:val="FootnoteTextChar"/>
    <w:unhideWhenUsed/>
    <w:rsid w:val="00634DD7"/>
    <w:rPr>
      <w:rFonts w:eastAsia="SimSun"/>
      <w:sz w:val="20"/>
    </w:rPr>
  </w:style>
  <w:style w:type="character" w:customStyle="1" w:styleId="FootnoteTextChar">
    <w:name w:val="Footnote Text Char"/>
    <w:basedOn w:val="DefaultParagraphFont"/>
    <w:link w:val="FootnoteText"/>
    <w:rsid w:val="00634DD7"/>
    <w:rPr>
      <w:rFonts w:ascii="Arial" w:eastAsia="SimSun" w:hAnsi="Arial" w:cs="Arial"/>
      <w:snapToGrid w:val="0"/>
      <w:lang w:eastAsia="en-US"/>
    </w:rPr>
  </w:style>
  <w:style w:type="paragraph" w:customStyle="1" w:styleId="Default">
    <w:name w:val="Default"/>
    <w:rsid w:val="00634DD7"/>
    <w:pPr>
      <w:autoSpaceDE w:val="0"/>
      <w:autoSpaceDN w:val="0"/>
      <w:adjustRightInd w:val="0"/>
    </w:pPr>
    <w:rPr>
      <w:rFonts w:ascii="Arial" w:eastAsiaTheme="minorHAnsi" w:hAnsi="Arial" w:cs="Arial"/>
      <w:color w:val="000000"/>
      <w:sz w:val="24"/>
      <w:szCs w:val="24"/>
      <w:lang w:eastAsia="en-US"/>
    </w:rPr>
  </w:style>
  <w:style w:type="paragraph" w:customStyle="1" w:styleId="Table-bodytextLEFT">
    <w:name w:val="Table - body text LEFT"/>
    <w:basedOn w:val="Normal"/>
    <w:rsid w:val="00CF42BF"/>
    <w:pPr>
      <w:widowControl/>
      <w:jc w:val="left"/>
    </w:pPr>
    <w:rPr>
      <w:rFonts w:ascii="Times New Roman" w:hAnsi="Times New Roman"/>
      <w:snapToGrid/>
      <w:sz w:val="20"/>
      <w:szCs w:val="24"/>
    </w:rPr>
  </w:style>
  <w:style w:type="paragraph" w:customStyle="1" w:styleId="NormalBulletList">
    <w:name w:val="Normal Bullet List"/>
    <w:basedOn w:val="Normal"/>
    <w:uiPriority w:val="3"/>
    <w:qFormat/>
    <w:rsid w:val="00CF42BF"/>
    <w:pPr>
      <w:widowControl/>
      <w:numPr>
        <w:numId w:val="4"/>
      </w:numPr>
      <w:spacing w:after="240" w:line="276" w:lineRule="auto"/>
      <w:ind w:left="357" w:hanging="357"/>
      <w:contextualSpacing/>
      <w:jc w:val="left"/>
    </w:pPr>
    <w:rPr>
      <w:rFonts w:ascii="Candara" w:eastAsiaTheme="majorEastAsia" w:hAnsi="Candara" w:cstheme="majorBidi"/>
      <w:snapToGrid/>
      <w:sz w:val="24"/>
      <w:szCs w:val="22"/>
      <w:lang w:bidi="en-US"/>
    </w:rPr>
  </w:style>
  <w:style w:type="table" w:customStyle="1" w:styleId="TableGrid21">
    <w:name w:val="Table Grid21"/>
    <w:basedOn w:val="TableNormal"/>
    <w:next w:val="TableGrid"/>
    <w:uiPriority w:val="59"/>
    <w:rsid w:val="00CF42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1EDF"/>
  </w:style>
  <w:style w:type="table" w:customStyle="1" w:styleId="Summarybox1">
    <w:name w:val="Summary box1"/>
    <w:basedOn w:val="TableNormal"/>
    <w:next w:val="TableGrid"/>
    <w:uiPriority w:val="59"/>
    <w:rsid w:val="00371ED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71E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E02A3"/>
    <w:pPr>
      <w:widowControl/>
      <w:spacing w:after="160" w:line="240" w:lineRule="exact"/>
      <w:jc w:val="left"/>
    </w:pPr>
    <w:rPr>
      <w:rFonts w:ascii="Verdana" w:eastAsia="MS Mincho" w:hAnsi="Verdana" w:cs="Verdana"/>
      <w:snapToGrid/>
      <w:sz w:val="20"/>
      <w:lang w:val="en-US"/>
    </w:rPr>
  </w:style>
  <w:style w:type="paragraph" w:customStyle="1" w:styleId="tablecolhead">
    <w:name w:val="tablecolhead"/>
    <w:basedOn w:val="Normal"/>
    <w:rsid w:val="00EE02A3"/>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text00">
    <w:name w:val="tabletext0"/>
    <w:basedOn w:val="Normal"/>
    <w:rsid w:val="00EE02A3"/>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p1a">
    <w:name w:val="tablep1a"/>
    <w:basedOn w:val="Normal"/>
    <w:rsid w:val="00EE02A3"/>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IntenseReference">
    <w:name w:val="Intense Reference"/>
    <w:basedOn w:val="DefaultParagraphFont"/>
    <w:uiPriority w:val="32"/>
    <w:rsid w:val="0002750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86316">
      <w:bodyDiv w:val="1"/>
      <w:marLeft w:val="0"/>
      <w:marRight w:val="0"/>
      <w:marTop w:val="0"/>
      <w:marBottom w:val="0"/>
      <w:divBdr>
        <w:top w:val="none" w:sz="0" w:space="0" w:color="auto"/>
        <w:left w:val="none" w:sz="0" w:space="0" w:color="auto"/>
        <w:bottom w:val="none" w:sz="0" w:space="0" w:color="auto"/>
        <w:right w:val="none" w:sz="0" w:space="0" w:color="auto"/>
      </w:divBdr>
      <w:divsChild>
        <w:div w:id="888499034">
          <w:marLeft w:val="0"/>
          <w:marRight w:val="0"/>
          <w:marTop w:val="0"/>
          <w:marBottom w:val="0"/>
          <w:divBdr>
            <w:top w:val="none" w:sz="0" w:space="0" w:color="auto"/>
            <w:left w:val="none" w:sz="0" w:space="0" w:color="auto"/>
            <w:bottom w:val="none" w:sz="0" w:space="0" w:color="auto"/>
            <w:right w:val="none" w:sz="0" w:space="0" w:color="auto"/>
          </w:divBdr>
        </w:div>
        <w:div w:id="927539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BB9E2-0712-4DE8-A858-C410EAAC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4432</Words>
  <Characters>24942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2017-06-15T05:08:00Z</dcterms:created>
  <dcterms:modified xsi:type="dcterms:W3CDTF">2017-06-15T05:08:00Z</dcterms:modified>
</cp:coreProperties>
</file>