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B33F04" w:rsidRDefault="00E94177" w:rsidP="008A50F1">
      <w:pPr>
        <w:pStyle w:val="Title"/>
        <w:ind w:left="720" w:hanging="720"/>
        <w:rPr>
          <w:szCs w:val="28"/>
        </w:rPr>
      </w:pPr>
      <w:bookmarkStart w:id="0" w:name="_GoBack"/>
      <w:bookmarkEnd w:id="0"/>
      <w:r w:rsidRPr="00B33F04">
        <w:rPr>
          <w:szCs w:val="28"/>
        </w:rPr>
        <w:t>5.13</w:t>
      </w:r>
      <w:r w:rsidR="007C0F57" w:rsidRPr="00B33F04">
        <w:rPr>
          <w:szCs w:val="28"/>
        </w:rPr>
        <w:tab/>
      </w:r>
      <w:r w:rsidRPr="00B33F04">
        <w:rPr>
          <w:szCs w:val="28"/>
        </w:rPr>
        <w:t>CERTOLIZUMAB</w:t>
      </w:r>
      <w:r w:rsidR="008A50F1" w:rsidRPr="00B33F04">
        <w:rPr>
          <w:szCs w:val="28"/>
        </w:rPr>
        <w:t xml:space="preserve"> </w:t>
      </w:r>
      <w:r w:rsidRPr="00B33F04">
        <w:rPr>
          <w:szCs w:val="28"/>
        </w:rPr>
        <w:t>PEGOL</w:t>
      </w:r>
      <w:r w:rsidR="008A50F1" w:rsidRPr="00B33F04">
        <w:rPr>
          <w:szCs w:val="28"/>
        </w:rPr>
        <w:br/>
      </w:r>
      <w:r w:rsidR="008516AF" w:rsidRPr="008516AF">
        <w:rPr>
          <w:szCs w:val="28"/>
        </w:rPr>
        <w:t>Injection 200 mg in 1 mL single dose auto-injector</w:t>
      </w:r>
      <w:r w:rsidR="008A50F1" w:rsidRPr="00B33F04">
        <w:rPr>
          <w:szCs w:val="28"/>
        </w:rPr>
        <w:br/>
      </w:r>
      <w:r w:rsidRPr="00B33F04">
        <w:rPr>
          <w:szCs w:val="28"/>
        </w:rPr>
        <w:t>Cimzia</w:t>
      </w:r>
      <w:r w:rsidR="0004240E" w:rsidRPr="00B33F04">
        <w:rPr>
          <w:szCs w:val="28"/>
          <w:vertAlign w:val="superscript"/>
        </w:rPr>
        <w:t>®</w:t>
      </w:r>
      <w:r w:rsidR="00EF44A0" w:rsidRPr="00B33F04">
        <w:rPr>
          <w:szCs w:val="28"/>
        </w:rPr>
        <w:t xml:space="preserve">, </w:t>
      </w:r>
      <w:r w:rsidRPr="00B33F04">
        <w:rPr>
          <w:szCs w:val="28"/>
        </w:rPr>
        <w:t>UCB Australia Pty Ltd</w:t>
      </w:r>
    </w:p>
    <w:p w:rsidR="00C27B58" w:rsidRPr="00B33F04" w:rsidRDefault="00C27B58" w:rsidP="00C27B58">
      <w:pPr>
        <w:pStyle w:val="NoSpacing"/>
      </w:pPr>
    </w:p>
    <w:p w:rsidR="00E15627" w:rsidRPr="00B33F04" w:rsidRDefault="00CE10C4" w:rsidP="00E15627">
      <w:pPr>
        <w:pStyle w:val="PBACHeading1"/>
      </w:pPr>
      <w:r w:rsidRPr="00B33F04">
        <w:t xml:space="preserve">Purpose of </w:t>
      </w:r>
      <w:r w:rsidR="0004240E" w:rsidRPr="00B33F04">
        <w:t>Application</w:t>
      </w:r>
    </w:p>
    <w:p w:rsidR="008A50F1" w:rsidRPr="00B33F04" w:rsidRDefault="008A50F1" w:rsidP="00E15627"/>
    <w:p w:rsidR="00F9629A" w:rsidRPr="00B33F04" w:rsidRDefault="00EF44A0" w:rsidP="00A717C2">
      <w:pPr>
        <w:pStyle w:val="ListParagraph"/>
        <w:numPr>
          <w:ilvl w:val="1"/>
          <w:numId w:val="5"/>
        </w:numPr>
      </w:pPr>
      <w:r w:rsidRPr="00B33F04">
        <w:rPr>
          <w:szCs w:val="22"/>
        </w:rPr>
        <w:t>The mi</w:t>
      </w:r>
      <w:r w:rsidR="00FF2801" w:rsidRPr="00B33F04">
        <w:rPr>
          <w:szCs w:val="22"/>
        </w:rPr>
        <w:t>nor submission requested</w:t>
      </w:r>
      <w:r w:rsidR="006003BC" w:rsidRPr="00B33F04">
        <w:rPr>
          <w:szCs w:val="22"/>
        </w:rPr>
        <w:t xml:space="preserve"> </w:t>
      </w:r>
      <w:r w:rsidR="007E4C73" w:rsidRPr="00B33F04">
        <w:rPr>
          <w:szCs w:val="22"/>
        </w:rPr>
        <w:t>the same</w:t>
      </w:r>
      <w:r w:rsidR="006003BC" w:rsidRPr="00B33F04">
        <w:rPr>
          <w:szCs w:val="22"/>
        </w:rPr>
        <w:t xml:space="preserve"> </w:t>
      </w:r>
      <w:r w:rsidR="00A717C2" w:rsidRPr="00B33F04">
        <w:rPr>
          <w:szCs w:val="22"/>
        </w:rPr>
        <w:t>Authority Required listing</w:t>
      </w:r>
      <w:r w:rsidR="009C028D" w:rsidRPr="00B33F04">
        <w:rPr>
          <w:szCs w:val="22"/>
        </w:rPr>
        <w:t>s</w:t>
      </w:r>
      <w:r w:rsidR="00A717C2" w:rsidRPr="00B33F04">
        <w:rPr>
          <w:szCs w:val="22"/>
        </w:rPr>
        <w:t xml:space="preserve"> for </w:t>
      </w:r>
      <w:r w:rsidR="00BE2DE4" w:rsidRPr="00B33F04">
        <w:rPr>
          <w:szCs w:val="22"/>
        </w:rPr>
        <w:t>Cim</w:t>
      </w:r>
      <w:r w:rsidR="006003BC" w:rsidRPr="00B33F04">
        <w:rPr>
          <w:szCs w:val="22"/>
        </w:rPr>
        <w:t>zia® injection (</w:t>
      </w:r>
      <w:r w:rsidR="00A717C2" w:rsidRPr="00B33F04">
        <w:rPr>
          <w:szCs w:val="22"/>
        </w:rPr>
        <w:t>certolizumab pegol</w:t>
      </w:r>
      <w:r w:rsidR="006003BC" w:rsidRPr="00B33F04">
        <w:rPr>
          <w:szCs w:val="22"/>
        </w:rPr>
        <w:t>, 200 mg/m</w:t>
      </w:r>
      <w:r w:rsidR="008E21C0" w:rsidRPr="00B33F04">
        <w:rPr>
          <w:szCs w:val="22"/>
        </w:rPr>
        <w:t>L</w:t>
      </w:r>
      <w:r w:rsidR="006003BC" w:rsidRPr="00B33F04">
        <w:rPr>
          <w:szCs w:val="22"/>
        </w:rPr>
        <w:t xml:space="preserve"> injection </w:t>
      </w:r>
      <w:r w:rsidR="007E4C73" w:rsidRPr="00B33F04">
        <w:rPr>
          <w:szCs w:val="22"/>
        </w:rPr>
        <w:t xml:space="preserve">1 mL single use pre-filled </w:t>
      </w:r>
      <w:r w:rsidR="006003BC" w:rsidRPr="00B33F04">
        <w:rPr>
          <w:szCs w:val="22"/>
        </w:rPr>
        <w:t>syringe) be applied to the</w:t>
      </w:r>
      <w:r w:rsidR="00A717C2" w:rsidRPr="00B33F04">
        <w:rPr>
          <w:szCs w:val="22"/>
        </w:rPr>
        <w:t xml:space="preserve"> </w:t>
      </w:r>
      <w:r w:rsidR="008E21C0" w:rsidRPr="00B33F04">
        <w:rPr>
          <w:szCs w:val="22"/>
        </w:rPr>
        <w:t xml:space="preserve">new </w:t>
      </w:r>
      <w:r w:rsidR="00A717C2" w:rsidRPr="00B33F04">
        <w:rPr>
          <w:szCs w:val="22"/>
        </w:rPr>
        <w:t>pre-filled pen</w:t>
      </w:r>
      <w:r w:rsidR="006003BC" w:rsidRPr="00B33F04">
        <w:rPr>
          <w:szCs w:val="22"/>
        </w:rPr>
        <w:t xml:space="preserve"> </w:t>
      </w:r>
      <w:r w:rsidR="008E21C0" w:rsidRPr="00B33F04">
        <w:rPr>
          <w:szCs w:val="22"/>
        </w:rPr>
        <w:t>form of the drug</w:t>
      </w:r>
      <w:r w:rsidR="006003BC" w:rsidRPr="00B33F04">
        <w:rPr>
          <w:szCs w:val="22"/>
        </w:rPr>
        <w:t>.</w:t>
      </w:r>
    </w:p>
    <w:p w:rsidR="00EF44A0" w:rsidRPr="00B33F04" w:rsidRDefault="00EF44A0" w:rsidP="00C27B58">
      <w:pPr>
        <w:pStyle w:val="NoSpacing"/>
      </w:pPr>
    </w:p>
    <w:p w:rsidR="007E39A0" w:rsidRPr="00B33F04" w:rsidRDefault="007E39A0" w:rsidP="00C27B58">
      <w:pPr>
        <w:pStyle w:val="NoSpacing"/>
      </w:pPr>
    </w:p>
    <w:p w:rsidR="00962223" w:rsidRPr="00B33F04" w:rsidRDefault="006A12A5" w:rsidP="008A50F1">
      <w:pPr>
        <w:pStyle w:val="PBACHeading1"/>
      </w:pPr>
      <w:r w:rsidRPr="00B33F04">
        <w:t>Requested listing</w:t>
      </w:r>
    </w:p>
    <w:p w:rsidR="006A12A5" w:rsidRPr="00B33F04" w:rsidRDefault="006A12A5" w:rsidP="00882085">
      <w:pPr>
        <w:jc w:val="both"/>
        <w:rPr>
          <w:rFonts w:ascii="Arial" w:hAnsi="Arial"/>
          <w:b/>
          <w:sz w:val="22"/>
          <w:szCs w:val="22"/>
        </w:rPr>
      </w:pPr>
    </w:p>
    <w:p w:rsidR="00B16AF5" w:rsidRPr="00B33F04" w:rsidRDefault="007B0DE1" w:rsidP="008A50F1">
      <w:pPr>
        <w:pStyle w:val="ListParagraph"/>
        <w:numPr>
          <w:ilvl w:val="1"/>
          <w:numId w:val="5"/>
        </w:numPr>
        <w:rPr>
          <w:szCs w:val="22"/>
        </w:rPr>
      </w:pPr>
      <w:r w:rsidRPr="00B33F04">
        <w:rPr>
          <w:szCs w:val="22"/>
        </w:rPr>
        <w:t>The submission requested the same restriction wording for the treatment of severe active rheumatoid arthritis, severe psoriatic arthritis</w:t>
      </w:r>
      <w:r w:rsidR="00DE70F5" w:rsidRPr="00B33F04">
        <w:rPr>
          <w:szCs w:val="22"/>
        </w:rPr>
        <w:t xml:space="preserve"> (PsA)</w:t>
      </w:r>
      <w:r w:rsidRPr="00B33F04">
        <w:rPr>
          <w:szCs w:val="22"/>
        </w:rPr>
        <w:t xml:space="preserve"> and active ankylosing spondylitis</w:t>
      </w:r>
      <w:r w:rsidR="00B16AF5" w:rsidRPr="00B33F04">
        <w:rPr>
          <w:szCs w:val="22"/>
        </w:rPr>
        <w:t xml:space="preserve"> as the current listing of certolizumab pegol</w:t>
      </w:r>
      <w:r w:rsidRPr="00B33F04">
        <w:rPr>
          <w:szCs w:val="22"/>
        </w:rPr>
        <w:t>.</w:t>
      </w:r>
      <w:r w:rsidR="00881FF2" w:rsidRPr="00B33F04">
        <w:rPr>
          <w:szCs w:val="22"/>
        </w:rPr>
        <w:t xml:space="preserve"> </w:t>
      </w:r>
    </w:p>
    <w:p w:rsidR="00B16AF5" w:rsidRPr="00B33F04" w:rsidRDefault="00B16AF5" w:rsidP="00726688">
      <w:pPr>
        <w:pStyle w:val="ListParagraph"/>
        <w:rPr>
          <w:szCs w:val="22"/>
        </w:rPr>
      </w:pPr>
    </w:p>
    <w:p w:rsidR="0000631F" w:rsidRPr="00B33F04" w:rsidRDefault="00F96FAB" w:rsidP="00214A4A">
      <w:pPr>
        <w:pStyle w:val="ListParagraph"/>
        <w:numPr>
          <w:ilvl w:val="1"/>
          <w:numId w:val="5"/>
        </w:numPr>
        <w:rPr>
          <w:szCs w:val="22"/>
        </w:rPr>
      </w:pPr>
      <w:r w:rsidRPr="00B33F04">
        <w:rPr>
          <w:szCs w:val="22"/>
        </w:rPr>
        <w:t xml:space="preserve">The sponsor </w:t>
      </w:r>
      <w:r w:rsidR="00B16AF5" w:rsidRPr="00B33F04">
        <w:rPr>
          <w:szCs w:val="22"/>
        </w:rPr>
        <w:t xml:space="preserve">has </w:t>
      </w:r>
      <w:r w:rsidRPr="00B33F04">
        <w:rPr>
          <w:szCs w:val="22"/>
        </w:rPr>
        <w:t xml:space="preserve">requested the same </w:t>
      </w:r>
      <w:r w:rsidR="00B16AF5" w:rsidRPr="00B33F04">
        <w:rPr>
          <w:szCs w:val="22"/>
        </w:rPr>
        <w:t xml:space="preserve">DPMQ </w:t>
      </w:r>
      <w:r w:rsidRPr="00B33F04">
        <w:rPr>
          <w:szCs w:val="22"/>
        </w:rPr>
        <w:t xml:space="preserve">as the </w:t>
      </w:r>
      <w:r w:rsidR="00B16AF5" w:rsidRPr="00B33F04">
        <w:rPr>
          <w:szCs w:val="22"/>
        </w:rPr>
        <w:t xml:space="preserve">currently </w:t>
      </w:r>
      <w:r w:rsidR="00BE2DE4" w:rsidRPr="00B33F04">
        <w:rPr>
          <w:szCs w:val="22"/>
        </w:rPr>
        <w:t>listed Cim</w:t>
      </w:r>
      <w:r w:rsidRPr="00B33F04">
        <w:rPr>
          <w:szCs w:val="22"/>
        </w:rPr>
        <w:t>zia® pre-filled syringes.</w:t>
      </w:r>
    </w:p>
    <w:p w:rsidR="002A67AF" w:rsidRPr="00B33F04" w:rsidRDefault="002A67AF" w:rsidP="005668C9"/>
    <w:p w:rsidR="00214A4A" w:rsidRPr="00B33F04" w:rsidRDefault="00214A4A" w:rsidP="00214A4A">
      <w:pPr>
        <w:ind w:firstLine="720"/>
        <w:rPr>
          <w:rFonts w:ascii="Arial" w:hAnsi="Arial" w:cs="Arial"/>
          <w:bCs/>
          <w:snapToGrid w:val="0"/>
          <w:sz w:val="22"/>
          <w:szCs w:val="22"/>
        </w:rPr>
      </w:pPr>
      <w:r w:rsidRPr="00B33F04">
        <w:rPr>
          <w:rFonts w:ascii="Arial" w:hAnsi="Arial" w:cs="Arial"/>
          <w:bCs/>
          <w:i/>
          <w:snapToGrid w:val="0"/>
          <w:sz w:val="22"/>
          <w:szCs w:val="22"/>
        </w:rPr>
        <w:t>For more detail on PBAC’s view, see section 5 “PBAC outcome”</w:t>
      </w:r>
    </w:p>
    <w:p w:rsidR="00F9629A" w:rsidRDefault="00F9629A" w:rsidP="004465BD">
      <w:pPr>
        <w:jc w:val="both"/>
        <w:rPr>
          <w:rFonts w:ascii="Arial" w:hAnsi="Arial"/>
          <w:sz w:val="22"/>
          <w:szCs w:val="22"/>
        </w:rPr>
      </w:pPr>
    </w:p>
    <w:p w:rsidR="00A32D9D" w:rsidRPr="00B33F04" w:rsidRDefault="00A32D9D" w:rsidP="004465BD">
      <w:pPr>
        <w:jc w:val="both"/>
        <w:rPr>
          <w:rFonts w:ascii="Arial" w:hAnsi="Arial"/>
          <w:sz w:val="22"/>
          <w:szCs w:val="22"/>
        </w:rPr>
      </w:pPr>
    </w:p>
    <w:p w:rsidR="00CE10C4" w:rsidRPr="00B33F04" w:rsidRDefault="00CE10C4" w:rsidP="008A50F1">
      <w:pPr>
        <w:pStyle w:val="PBACHeading1"/>
      </w:pPr>
      <w:r w:rsidRPr="00B33F04">
        <w:t>Background</w:t>
      </w:r>
    </w:p>
    <w:p w:rsidR="00C603D4" w:rsidRPr="00B33F04" w:rsidRDefault="00C603D4" w:rsidP="00C603D4">
      <w:pPr>
        <w:pStyle w:val="ListParagraph"/>
        <w:rPr>
          <w:szCs w:val="22"/>
        </w:rPr>
      </w:pPr>
    </w:p>
    <w:p w:rsidR="002B1AE6" w:rsidRPr="00B33F04" w:rsidRDefault="00BE2DE4" w:rsidP="008A50F1">
      <w:pPr>
        <w:pStyle w:val="ListParagraph"/>
        <w:numPr>
          <w:ilvl w:val="1"/>
          <w:numId w:val="5"/>
        </w:numPr>
        <w:rPr>
          <w:szCs w:val="22"/>
        </w:rPr>
      </w:pPr>
      <w:r w:rsidRPr="00B33F04">
        <w:rPr>
          <w:szCs w:val="22"/>
        </w:rPr>
        <w:t>Cim</w:t>
      </w:r>
      <w:r w:rsidR="00103CBE" w:rsidRPr="00B33F04">
        <w:rPr>
          <w:szCs w:val="22"/>
        </w:rPr>
        <w:t xml:space="preserve">zia® </w:t>
      </w:r>
      <w:r w:rsidR="00BD00D2" w:rsidRPr="00B33F04">
        <w:rPr>
          <w:szCs w:val="22"/>
        </w:rPr>
        <w:t xml:space="preserve">pre-filled pen </w:t>
      </w:r>
      <w:r w:rsidR="00476245" w:rsidRPr="00B33F04">
        <w:rPr>
          <w:szCs w:val="22"/>
        </w:rPr>
        <w:t>is TGA registered for</w:t>
      </w:r>
      <w:r w:rsidR="00103CBE" w:rsidRPr="00B33F04">
        <w:rPr>
          <w:szCs w:val="22"/>
        </w:rPr>
        <w:t xml:space="preserve"> the same indications as </w:t>
      </w:r>
      <w:r w:rsidR="007F145F" w:rsidRPr="00B33F04">
        <w:rPr>
          <w:szCs w:val="22"/>
        </w:rPr>
        <w:t>the pre-filled syringe</w:t>
      </w:r>
      <w:r w:rsidR="00103CBE" w:rsidRPr="00B33F04">
        <w:rPr>
          <w:szCs w:val="22"/>
        </w:rPr>
        <w:t xml:space="preserve">. The product information </w:t>
      </w:r>
      <w:r w:rsidR="00EB0B70" w:rsidRPr="00B33F04">
        <w:rPr>
          <w:szCs w:val="22"/>
        </w:rPr>
        <w:t xml:space="preserve">for certolizumab pegol </w:t>
      </w:r>
      <w:r w:rsidR="00103CBE" w:rsidRPr="00B33F04">
        <w:rPr>
          <w:szCs w:val="22"/>
        </w:rPr>
        <w:t xml:space="preserve">was updated </w:t>
      </w:r>
      <w:r w:rsidR="00164E6A" w:rsidRPr="00B33F04">
        <w:rPr>
          <w:szCs w:val="22"/>
        </w:rPr>
        <w:t>in November 2016.</w:t>
      </w:r>
    </w:p>
    <w:p w:rsidR="00214A4A" w:rsidRPr="00B33F04" w:rsidRDefault="00214A4A" w:rsidP="00214A4A">
      <w:pPr>
        <w:rPr>
          <w:szCs w:val="22"/>
        </w:rPr>
      </w:pPr>
    </w:p>
    <w:p w:rsidR="007E39A0" w:rsidRPr="00B33F04" w:rsidRDefault="007E39A0" w:rsidP="00882085">
      <w:pPr>
        <w:jc w:val="both"/>
        <w:rPr>
          <w:rFonts w:ascii="Arial" w:hAnsi="Arial"/>
          <w:b/>
          <w:sz w:val="22"/>
          <w:szCs w:val="22"/>
        </w:rPr>
      </w:pPr>
    </w:p>
    <w:p w:rsidR="00E44EE0" w:rsidRPr="00B33F04" w:rsidRDefault="00C10C3A" w:rsidP="00C10C3A">
      <w:pPr>
        <w:pStyle w:val="PBACHeading1"/>
      </w:pPr>
      <w:r w:rsidRPr="00B33F04">
        <w:t>Consideration of evidence</w:t>
      </w:r>
    </w:p>
    <w:p w:rsidR="00C10C3A" w:rsidRPr="00B33F04" w:rsidRDefault="00C10C3A" w:rsidP="008516AF"/>
    <w:p w:rsidR="00E44EE0" w:rsidRPr="00B33F04" w:rsidRDefault="00E44EE0" w:rsidP="008516AF">
      <w:pPr>
        <w:pStyle w:val="Heading2"/>
        <w:rPr>
          <w:snapToGrid w:val="0"/>
        </w:rPr>
      </w:pPr>
      <w:r w:rsidRPr="00B33F04">
        <w:rPr>
          <w:snapToGrid w:val="0"/>
        </w:rPr>
        <w:t>Sponsor hearing</w:t>
      </w:r>
    </w:p>
    <w:p w:rsidR="00E44EE0" w:rsidRPr="00B33F04" w:rsidRDefault="004D4FB1" w:rsidP="004D4FB1">
      <w:pPr>
        <w:tabs>
          <w:tab w:val="left" w:pos="900"/>
        </w:tabs>
        <w:rPr>
          <w:rFonts w:ascii="Arial" w:hAnsi="Arial" w:cs="Arial"/>
          <w:bCs/>
          <w:snapToGrid w:val="0"/>
          <w:sz w:val="22"/>
          <w:szCs w:val="22"/>
        </w:rPr>
      </w:pPr>
      <w:r w:rsidRPr="00B33F04">
        <w:rPr>
          <w:rFonts w:ascii="Arial" w:hAnsi="Arial" w:cs="Arial"/>
          <w:bCs/>
          <w:snapToGrid w:val="0"/>
          <w:sz w:val="22"/>
          <w:szCs w:val="22"/>
        </w:rPr>
        <w:tab/>
      </w:r>
    </w:p>
    <w:p w:rsidR="00C10C3A" w:rsidRPr="00B33F04" w:rsidRDefault="00E44EE0" w:rsidP="004D4FB1">
      <w:pPr>
        <w:numPr>
          <w:ilvl w:val="1"/>
          <w:numId w:val="5"/>
        </w:numPr>
        <w:rPr>
          <w:rFonts w:ascii="Arial" w:hAnsi="Arial" w:cs="Arial"/>
          <w:bCs/>
          <w:snapToGrid w:val="0"/>
          <w:sz w:val="22"/>
          <w:szCs w:val="22"/>
        </w:rPr>
      </w:pPr>
      <w:r w:rsidRPr="00B33F04">
        <w:rPr>
          <w:rFonts w:ascii="Arial" w:hAnsi="Arial" w:cs="Arial"/>
          <w:bCs/>
          <w:snapToGrid w:val="0"/>
          <w:sz w:val="22"/>
          <w:szCs w:val="22"/>
        </w:rPr>
        <w:t>There was no hearing for this item as it was a minor submission.</w:t>
      </w:r>
    </w:p>
    <w:p w:rsidR="00E44EE0" w:rsidRPr="00B33F04" w:rsidRDefault="00E44EE0" w:rsidP="00C10C3A">
      <w:pPr>
        <w:rPr>
          <w:rFonts w:ascii="Arial" w:hAnsi="Arial" w:cs="Arial"/>
          <w:bCs/>
          <w:snapToGrid w:val="0"/>
          <w:sz w:val="22"/>
          <w:szCs w:val="22"/>
          <w:highlight w:val="yellow"/>
        </w:rPr>
      </w:pPr>
    </w:p>
    <w:p w:rsidR="00E44EE0" w:rsidRPr="00B33F04" w:rsidRDefault="00E44EE0" w:rsidP="008516AF">
      <w:pPr>
        <w:pStyle w:val="Heading2"/>
        <w:rPr>
          <w:snapToGrid w:val="0"/>
        </w:rPr>
      </w:pPr>
      <w:r w:rsidRPr="00B33F04">
        <w:rPr>
          <w:snapToGrid w:val="0"/>
        </w:rPr>
        <w:t>Consumer comments</w:t>
      </w:r>
    </w:p>
    <w:p w:rsidR="00E44EE0" w:rsidRPr="00B33F04" w:rsidRDefault="00E44EE0" w:rsidP="00E44EE0">
      <w:pPr>
        <w:rPr>
          <w:rFonts w:ascii="Arial" w:hAnsi="Arial" w:cs="Arial"/>
          <w:b/>
          <w:bCs/>
          <w:snapToGrid w:val="0"/>
          <w:sz w:val="22"/>
          <w:szCs w:val="22"/>
          <w:highlight w:val="yellow"/>
        </w:rPr>
      </w:pPr>
    </w:p>
    <w:p w:rsidR="00E44EE0" w:rsidRPr="00B33F04" w:rsidRDefault="00E44EE0" w:rsidP="00E44EE0">
      <w:pPr>
        <w:numPr>
          <w:ilvl w:val="1"/>
          <w:numId w:val="5"/>
        </w:numPr>
        <w:rPr>
          <w:rFonts w:ascii="Arial" w:hAnsi="Arial" w:cs="Arial"/>
          <w:bCs/>
          <w:snapToGrid w:val="0"/>
          <w:sz w:val="22"/>
          <w:szCs w:val="22"/>
        </w:rPr>
      </w:pPr>
      <w:r w:rsidRPr="00B33F04">
        <w:rPr>
          <w:rFonts w:ascii="Arial" w:hAnsi="Arial" w:cs="Arial"/>
          <w:bCs/>
          <w:snapToGrid w:val="0"/>
          <w:sz w:val="22"/>
          <w:szCs w:val="22"/>
        </w:rPr>
        <w:t>The PBAC noted that no consumer comments were received for this item.</w:t>
      </w:r>
    </w:p>
    <w:p w:rsidR="00214A4A" w:rsidRPr="00B33F04" w:rsidRDefault="00214A4A" w:rsidP="008516AF"/>
    <w:p w:rsidR="005A3173" w:rsidRPr="008516AF" w:rsidRDefault="005A3173" w:rsidP="008516AF">
      <w:pPr>
        <w:pStyle w:val="Heading2"/>
      </w:pPr>
      <w:r w:rsidRPr="008516AF">
        <w:t>Estimated PBS usage &amp; financial implications</w:t>
      </w:r>
    </w:p>
    <w:p w:rsidR="009F244C" w:rsidRPr="00B33F04" w:rsidRDefault="009F244C" w:rsidP="004D4FB1"/>
    <w:p w:rsidR="009F244C" w:rsidRPr="00B33F04" w:rsidRDefault="009F244C" w:rsidP="009F244C">
      <w:pPr>
        <w:pStyle w:val="ListParagraph"/>
        <w:numPr>
          <w:ilvl w:val="1"/>
          <w:numId w:val="5"/>
        </w:numPr>
        <w:rPr>
          <w:szCs w:val="22"/>
        </w:rPr>
      </w:pPr>
      <w:r w:rsidRPr="00B33F04">
        <w:rPr>
          <w:szCs w:val="22"/>
        </w:rPr>
        <w:t>As a minor submission, there was no economic comparison.</w:t>
      </w:r>
    </w:p>
    <w:p w:rsidR="009F244C" w:rsidRPr="00B33F04" w:rsidRDefault="009F244C" w:rsidP="009F244C">
      <w:pPr>
        <w:pStyle w:val="ListParagraph"/>
        <w:rPr>
          <w:szCs w:val="22"/>
        </w:rPr>
      </w:pPr>
    </w:p>
    <w:p w:rsidR="009F244C" w:rsidRPr="00B33F04" w:rsidRDefault="009F244C" w:rsidP="009F244C">
      <w:pPr>
        <w:pStyle w:val="ListParagraph"/>
        <w:numPr>
          <w:ilvl w:val="1"/>
          <w:numId w:val="5"/>
        </w:numPr>
        <w:rPr>
          <w:szCs w:val="22"/>
        </w:rPr>
      </w:pPr>
      <w:r w:rsidRPr="00B33F04">
        <w:rPr>
          <w:szCs w:val="22"/>
        </w:rPr>
        <w:t xml:space="preserve">The basis for listing presented in the minor submission was that patients preferred auto-injection devices over prefilled syringes. </w:t>
      </w:r>
    </w:p>
    <w:p w:rsidR="009F244C" w:rsidRPr="00B33F04" w:rsidRDefault="009F244C" w:rsidP="009F244C">
      <w:pPr>
        <w:pStyle w:val="ListParagraph"/>
        <w:rPr>
          <w:szCs w:val="22"/>
        </w:rPr>
      </w:pPr>
    </w:p>
    <w:p w:rsidR="009F244C" w:rsidRPr="00B33F04" w:rsidRDefault="009F244C" w:rsidP="009F244C">
      <w:pPr>
        <w:pStyle w:val="ListParagraph"/>
        <w:numPr>
          <w:ilvl w:val="1"/>
          <w:numId w:val="5"/>
        </w:numPr>
        <w:rPr>
          <w:szCs w:val="22"/>
        </w:rPr>
      </w:pPr>
      <w:r w:rsidRPr="00B33F04">
        <w:rPr>
          <w:szCs w:val="22"/>
        </w:rPr>
        <w:t>The PBAC noted that a special pricing arrangement currently applies to Cimzia® pre-</w:t>
      </w:r>
      <w:r w:rsidRPr="00B33F04">
        <w:rPr>
          <w:szCs w:val="22"/>
        </w:rPr>
        <w:lastRenderedPageBreak/>
        <w:t>filled syringes for the severe PsA indication. This arrangement would also apply to the new form list</w:t>
      </w:r>
      <w:r w:rsidR="007F145F" w:rsidRPr="00B33F04">
        <w:rPr>
          <w:szCs w:val="22"/>
        </w:rPr>
        <w:t>ed</w:t>
      </w:r>
      <w:r w:rsidRPr="00B33F04">
        <w:rPr>
          <w:szCs w:val="22"/>
        </w:rPr>
        <w:t xml:space="preserve"> under this particular indication.</w:t>
      </w:r>
    </w:p>
    <w:p w:rsidR="009F244C" w:rsidRPr="00B33F04" w:rsidRDefault="009F244C" w:rsidP="009F244C">
      <w:pPr>
        <w:rPr>
          <w:szCs w:val="22"/>
        </w:rPr>
      </w:pPr>
    </w:p>
    <w:p w:rsidR="009F244C" w:rsidRPr="00B4737D" w:rsidRDefault="00B4737D" w:rsidP="009F244C">
      <w:pPr>
        <w:pStyle w:val="ListParagraph"/>
        <w:numPr>
          <w:ilvl w:val="1"/>
          <w:numId w:val="5"/>
        </w:numPr>
        <w:rPr>
          <w:szCs w:val="22"/>
        </w:rPr>
      </w:pPr>
      <w:r>
        <w:rPr>
          <w:noProof/>
          <w:color w:val="000000"/>
          <w:szCs w:val="22"/>
          <w:highlight w:val="black"/>
        </w:rPr>
        <w:t xml:space="preserve">'''''''''''''''''''' ''''''' ''' '''''''''''''''' ''''''' ''''''''' '''''''''''''''' ''''''' '''''''''''''''''''''''''''' '''''''''''''' '''''''' '''''''''''''''''''''''''''''''''' ''''''''''''''' ''''''''' ''''''' '''''''''''''' ''''' ''''''' ''''''''''''''''''''' ''''''''' ''''''''''''''' '''''''''''''' '''' '''''''''''' ''''''''''''''''''' ''''''''''''' '''''''''''''''''''''' '''''''''''''' '''''''''''''''''' '''''''''''''''' ''''' '''''''' </w:t>
      </w:r>
      <w:r>
        <w:rPr>
          <w:i/>
          <w:noProof/>
          <w:color w:val="000000"/>
          <w:szCs w:val="22"/>
          <w:highlight w:val="black"/>
        </w:rPr>
        <w:t>''''''''''''''''''''' ''''''''''''''' ''''''''' '''''''''''</w:t>
      </w:r>
      <w:r>
        <w:rPr>
          <w:noProof/>
          <w:color w:val="000000"/>
          <w:szCs w:val="22"/>
          <w:highlight w:val="black"/>
        </w:rPr>
        <w:t>'' '''''' '''''''' '''''''''' '''' '''''''''''''''''''''''''''' '''' ''''''' ''''''''''''''''''''' '''' ''''''''''''' ''''''''''' '''''''''''' '''' '''''''' '''''''''''' '''''''''''''''''''''''''''''''''' ''''''''''''''''' ''''' '''''''' ''''''' '''''''''''''''''''''''</w:t>
      </w:r>
    </w:p>
    <w:p w:rsidR="005A3173" w:rsidRPr="00B33F04" w:rsidRDefault="005A3173" w:rsidP="00882085">
      <w:pPr>
        <w:ind w:left="720" w:hanging="720"/>
        <w:jc w:val="both"/>
        <w:rPr>
          <w:rFonts w:ascii="Arial" w:hAnsi="Arial" w:cs="Arial"/>
          <w:snapToGrid w:val="0"/>
          <w:sz w:val="22"/>
          <w:szCs w:val="22"/>
          <w:lang w:eastAsia="en-US"/>
        </w:rPr>
      </w:pPr>
    </w:p>
    <w:p w:rsidR="007864E8" w:rsidRPr="00B33F04" w:rsidRDefault="00DE6D7E" w:rsidP="008A50F1">
      <w:pPr>
        <w:pStyle w:val="ListParagraph"/>
        <w:numPr>
          <w:ilvl w:val="1"/>
          <w:numId w:val="5"/>
        </w:numPr>
        <w:rPr>
          <w:szCs w:val="22"/>
        </w:rPr>
      </w:pPr>
      <w:r w:rsidRPr="00B33F04">
        <w:rPr>
          <w:szCs w:val="22"/>
        </w:rPr>
        <w:t>T</w:t>
      </w:r>
      <w:r w:rsidR="007864E8" w:rsidRPr="00B33F04">
        <w:rPr>
          <w:szCs w:val="22"/>
        </w:rPr>
        <w:t xml:space="preserve">he </w:t>
      </w:r>
      <w:r w:rsidR="00A75A16" w:rsidRPr="00B33F04">
        <w:rPr>
          <w:szCs w:val="22"/>
        </w:rPr>
        <w:t>sponsor</w:t>
      </w:r>
      <w:r w:rsidR="00F66F78" w:rsidRPr="00B33F04">
        <w:rPr>
          <w:szCs w:val="22"/>
        </w:rPr>
        <w:t xml:space="preserve"> </w:t>
      </w:r>
      <w:r w:rsidR="007864E8" w:rsidRPr="00B33F04">
        <w:rPr>
          <w:szCs w:val="22"/>
        </w:rPr>
        <w:t>claim</w:t>
      </w:r>
      <w:r w:rsidR="00164E6A" w:rsidRPr="00B33F04">
        <w:rPr>
          <w:szCs w:val="22"/>
        </w:rPr>
        <w:t>ed</w:t>
      </w:r>
      <w:r w:rsidR="007864E8" w:rsidRPr="00B33F04">
        <w:rPr>
          <w:szCs w:val="22"/>
        </w:rPr>
        <w:t xml:space="preserve"> that there m</w:t>
      </w:r>
      <w:r w:rsidR="00164E6A" w:rsidRPr="00B33F04">
        <w:rPr>
          <w:szCs w:val="22"/>
        </w:rPr>
        <w:t>ay</w:t>
      </w:r>
      <w:r w:rsidR="007864E8" w:rsidRPr="00B33F04">
        <w:rPr>
          <w:szCs w:val="22"/>
        </w:rPr>
        <w:t xml:space="preserve"> be a 10% uptake</w:t>
      </w:r>
      <w:r w:rsidR="00F66F78" w:rsidRPr="00B33F04">
        <w:rPr>
          <w:szCs w:val="22"/>
        </w:rPr>
        <w:t xml:space="preserve"> from other bDMARDs</w:t>
      </w:r>
      <w:r w:rsidR="007864E8" w:rsidRPr="00B33F04">
        <w:rPr>
          <w:szCs w:val="22"/>
        </w:rPr>
        <w:t xml:space="preserve"> of each </w:t>
      </w:r>
      <w:r w:rsidR="00F67556" w:rsidRPr="00B33F04">
        <w:rPr>
          <w:szCs w:val="22"/>
        </w:rPr>
        <w:t xml:space="preserve">current </w:t>
      </w:r>
      <w:r w:rsidR="007864E8" w:rsidRPr="00B33F04">
        <w:rPr>
          <w:szCs w:val="22"/>
        </w:rPr>
        <w:t>indication (i.e. rheumatoid arthritis, psoriatic arthritis and ankylosing spondylitis). The submission presented potential savings across all</w:t>
      </w:r>
      <w:r w:rsidR="00F67556" w:rsidRPr="00B33F04">
        <w:rPr>
          <w:szCs w:val="22"/>
        </w:rPr>
        <w:t xml:space="preserve"> these</w:t>
      </w:r>
      <w:r w:rsidR="007864E8" w:rsidRPr="00B33F04">
        <w:rPr>
          <w:szCs w:val="22"/>
        </w:rPr>
        <w:t xml:space="preserve"> indications. However, the evaluation of these </w:t>
      </w:r>
      <w:r w:rsidR="00BD00D2" w:rsidRPr="00B33F04">
        <w:rPr>
          <w:szCs w:val="22"/>
        </w:rPr>
        <w:t>financial estimates was not undertaken in this minor submission</w:t>
      </w:r>
      <w:r w:rsidR="007864E8" w:rsidRPr="00B33F04">
        <w:rPr>
          <w:szCs w:val="22"/>
        </w:rPr>
        <w:t>.</w:t>
      </w:r>
    </w:p>
    <w:p w:rsidR="003872CF" w:rsidRPr="00B33F04" w:rsidRDefault="003872CF" w:rsidP="00D84934">
      <w:pPr>
        <w:jc w:val="both"/>
        <w:rPr>
          <w:rFonts w:ascii="Arial" w:hAnsi="Arial"/>
          <w:sz w:val="22"/>
          <w:szCs w:val="22"/>
        </w:rPr>
      </w:pPr>
    </w:p>
    <w:p w:rsidR="00214A4A" w:rsidRPr="00B33F04" w:rsidRDefault="00214A4A" w:rsidP="00214A4A">
      <w:pPr>
        <w:ind w:firstLine="720"/>
        <w:rPr>
          <w:rFonts w:ascii="Arial" w:hAnsi="Arial" w:cs="Arial"/>
          <w:bCs/>
          <w:snapToGrid w:val="0"/>
          <w:sz w:val="22"/>
          <w:szCs w:val="22"/>
        </w:rPr>
      </w:pPr>
      <w:r w:rsidRPr="00B33F04">
        <w:rPr>
          <w:rFonts w:ascii="Arial" w:hAnsi="Arial" w:cs="Arial"/>
          <w:bCs/>
          <w:i/>
          <w:snapToGrid w:val="0"/>
          <w:sz w:val="22"/>
          <w:szCs w:val="22"/>
        </w:rPr>
        <w:t>For more detail on PBAC’s view, see section 5 “PBAC outcome”</w:t>
      </w:r>
    </w:p>
    <w:p w:rsidR="00214A4A" w:rsidRDefault="00214A4A" w:rsidP="00D84934">
      <w:pPr>
        <w:jc w:val="both"/>
        <w:rPr>
          <w:rFonts w:ascii="Arial" w:hAnsi="Arial"/>
          <w:sz w:val="22"/>
          <w:szCs w:val="22"/>
        </w:rPr>
      </w:pPr>
    </w:p>
    <w:p w:rsidR="00A32D9D" w:rsidRPr="00B33F04" w:rsidRDefault="00A32D9D" w:rsidP="00D84934">
      <w:pPr>
        <w:jc w:val="both"/>
        <w:rPr>
          <w:rFonts w:ascii="Arial" w:hAnsi="Arial"/>
          <w:sz w:val="22"/>
          <w:szCs w:val="22"/>
        </w:rPr>
      </w:pPr>
    </w:p>
    <w:p w:rsidR="00214A4A" w:rsidRPr="008516AF" w:rsidRDefault="00214A4A" w:rsidP="008516AF">
      <w:pPr>
        <w:pStyle w:val="PBACHeading1"/>
      </w:pPr>
      <w:r w:rsidRPr="008516AF">
        <w:t>PBAC Outcome</w:t>
      </w:r>
    </w:p>
    <w:p w:rsidR="00214A4A" w:rsidRPr="00B33F04" w:rsidRDefault="00214A4A" w:rsidP="00214A4A">
      <w:pPr>
        <w:widowControl w:val="0"/>
        <w:jc w:val="both"/>
        <w:rPr>
          <w:rFonts w:ascii="Arial" w:hAnsi="Arial" w:cs="Arial"/>
          <w:b/>
          <w:bCs/>
          <w:snapToGrid w:val="0"/>
          <w:sz w:val="22"/>
          <w:szCs w:val="20"/>
          <w:highlight w:val="yellow"/>
        </w:rPr>
      </w:pPr>
    </w:p>
    <w:p w:rsidR="009F244C" w:rsidRPr="00B33F04" w:rsidRDefault="009F244C" w:rsidP="00C10C3A">
      <w:pPr>
        <w:pStyle w:val="ListParagraph"/>
        <w:numPr>
          <w:ilvl w:val="1"/>
          <w:numId w:val="5"/>
        </w:numPr>
        <w:rPr>
          <w:i/>
        </w:rPr>
      </w:pPr>
      <w:r w:rsidRPr="00B33F04">
        <w:t>The PBAC recommended the Authority R</w:t>
      </w:r>
      <w:r w:rsidR="00E932C6" w:rsidRPr="00B33F04">
        <w:t>e</w:t>
      </w:r>
      <w:r w:rsidRPr="00B33F04">
        <w:t xml:space="preserve">quired listing </w:t>
      </w:r>
      <w:r w:rsidR="00402BF1" w:rsidRPr="00B33F04">
        <w:t>o</w:t>
      </w:r>
      <w:r w:rsidRPr="00B33F04">
        <w:t xml:space="preserve">f Cimizia® injection (pre-filled </w:t>
      </w:r>
      <w:r w:rsidR="00402BF1" w:rsidRPr="00B33F04">
        <w:t>pen</w:t>
      </w:r>
      <w:r w:rsidRPr="00B33F04">
        <w:t xml:space="preserve">) </w:t>
      </w:r>
      <w:r w:rsidR="00402BF1" w:rsidRPr="00B33F04">
        <w:t xml:space="preserve">with the </w:t>
      </w:r>
      <w:r w:rsidR="008162F0" w:rsidRPr="00B33F04">
        <w:t>same conditions as the</w:t>
      </w:r>
      <w:r w:rsidRPr="00B33F04">
        <w:t xml:space="preserve"> pre-filled </w:t>
      </w:r>
      <w:r w:rsidR="008162F0" w:rsidRPr="00B33F04">
        <w:t>syringe</w:t>
      </w:r>
      <w:r w:rsidRPr="00B33F04">
        <w:t xml:space="preserve"> form of the drug on a cost-minimisation basis.</w:t>
      </w:r>
    </w:p>
    <w:p w:rsidR="00C10C3A" w:rsidRPr="00B33F04" w:rsidRDefault="00C10C3A" w:rsidP="00C10C3A">
      <w:pPr>
        <w:pStyle w:val="ListParagraph"/>
        <w:rPr>
          <w:szCs w:val="22"/>
        </w:rPr>
      </w:pPr>
    </w:p>
    <w:p w:rsidR="00280538" w:rsidRPr="00B33F04" w:rsidRDefault="00280538" w:rsidP="00280538">
      <w:pPr>
        <w:pStyle w:val="ListParagraph"/>
        <w:numPr>
          <w:ilvl w:val="1"/>
          <w:numId w:val="5"/>
        </w:numPr>
        <w:rPr>
          <w:snapToGrid/>
          <w:szCs w:val="22"/>
          <w:lang w:eastAsia="en-AU"/>
        </w:rPr>
      </w:pPr>
      <w:r w:rsidRPr="00B33F04">
        <w:rPr>
          <w:snapToGrid/>
          <w:szCs w:val="22"/>
          <w:lang w:eastAsia="en-AU"/>
        </w:rPr>
        <w:t xml:space="preserve">The PBAC considered that Cimzia® pre-filled syringes and </w:t>
      </w:r>
      <w:r w:rsidRPr="00B33F04">
        <w:rPr>
          <w:szCs w:val="22"/>
        </w:rPr>
        <w:t>Cimzia® pre-filled pen</w:t>
      </w:r>
      <w:r w:rsidRPr="00B33F04">
        <w:rPr>
          <w:snapToGrid/>
          <w:szCs w:val="22"/>
          <w:lang w:eastAsia="en-AU"/>
        </w:rPr>
        <w:t xml:space="preserve"> should </w:t>
      </w:r>
      <w:r w:rsidRPr="00B33F04">
        <w:rPr>
          <w:snapToGrid/>
          <w:szCs w:val="22"/>
          <w:u w:val="single"/>
          <w:lang w:eastAsia="en-AU"/>
        </w:rPr>
        <w:t>not</w:t>
      </w:r>
      <w:r w:rsidRPr="00B33F04">
        <w:rPr>
          <w:snapToGrid/>
          <w:szCs w:val="22"/>
          <w:lang w:eastAsia="en-AU"/>
        </w:rPr>
        <w:t xml:space="preserve"> be considered equivalent for the purposes of substitution (i.e., ‘a’ flagged in the Schedule) due to the different injection methods required.</w:t>
      </w:r>
    </w:p>
    <w:p w:rsidR="007F059C" w:rsidRPr="00B33F04" w:rsidRDefault="007F059C" w:rsidP="004D4FB1">
      <w:pPr>
        <w:pStyle w:val="ListParagraph"/>
        <w:rPr>
          <w:snapToGrid/>
          <w:szCs w:val="22"/>
          <w:lang w:eastAsia="en-AU"/>
        </w:rPr>
      </w:pPr>
    </w:p>
    <w:p w:rsidR="007F059C" w:rsidRPr="00B33F04" w:rsidRDefault="007F059C" w:rsidP="004D4FB1">
      <w:pPr>
        <w:pStyle w:val="ListParagraph"/>
        <w:numPr>
          <w:ilvl w:val="1"/>
          <w:numId w:val="5"/>
        </w:numPr>
      </w:pPr>
      <w:r w:rsidRPr="00B33F04">
        <w:rPr>
          <w:szCs w:val="22"/>
        </w:rPr>
        <w:t xml:space="preserve">The PBAC noted its previous advice, under Section 101(3BA) of the </w:t>
      </w:r>
      <w:r w:rsidRPr="00B33F04">
        <w:rPr>
          <w:i/>
          <w:szCs w:val="22"/>
        </w:rPr>
        <w:t>National Health Act 1953</w:t>
      </w:r>
      <w:r w:rsidRPr="00B33F04">
        <w:rPr>
          <w:szCs w:val="22"/>
        </w:rPr>
        <w:t>, that certolizumab and the other bDMARDs for the treatment of PsA, adalimumab, etanercept, golimumab and infliximab, should be treated as interchangeable on an individual patient basis (Certolizumab pegol Public Summary Document November 2014 PBAC).</w:t>
      </w:r>
    </w:p>
    <w:p w:rsidR="00280538" w:rsidRPr="00B33F04" w:rsidRDefault="00280538" w:rsidP="004D4FB1">
      <w:pPr>
        <w:pStyle w:val="ListParagraph"/>
        <w:rPr>
          <w:snapToGrid/>
          <w:szCs w:val="22"/>
          <w:lang w:eastAsia="en-AU"/>
        </w:rPr>
      </w:pPr>
    </w:p>
    <w:p w:rsidR="00280538" w:rsidRPr="00B33F04" w:rsidRDefault="00280538" w:rsidP="00280538">
      <w:pPr>
        <w:pStyle w:val="ListParagraph"/>
        <w:numPr>
          <w:ilvl w:val="1"/>
          <w:numId w:val="5"/>
        </w:numPr>
        <w:rPr>
          <w:szCs w:val="22"/>
        </w:rPr>
      </w:pPr>
      <w:r w:rsidRPr="00B33F04">
        <w:rPr>
          <w:szCs w:val="22"/>
        </w:rPr>
        <w:t>Consistent with the existing arrangements for the currently available form, the PBAC advised that certolizumab is not suitable for prescribing by nurse practitioners.</w:t>
      </w:r>
    </w:p>
    <w:p w:rsidR="00280538" w:rsidRPr="00B33F04" w:rsidRDefault="00280538" w:rsidP="004D4FB1">
      <w:pPr>
        <w:pStyle w:val="ListParagraph"/>
        <w:rPr>
          <w:szCs w:val="22"/>
        </w:rPr>
      </w:pPr>
    </w:p>
    <w:p w:rsidR="007F059C" w:rsidRPr="00B33F04" w:rsidRDefault="00280538" w:rsidP="004D4FB1">
      <w:pPr>
        <w:pStyle w:val="ListParagraph"/>
        <w:numPr>
          <w:ilvl w:val="1"/>
          <w:numId w:val="5"/>
        </w:numPr>
        <w:rPr>
          <w:szCs w:val="22"/>
        </w:rPr>
      </w:pPr>
      <w:r w:rsidRPr="00B33F04">
        <w:rPr>
          <w:szCs w:val="22"/>
        </w:rPr>
        <w:t>The PBAC advised that S</w:t>
      </w:r>
      <w:r w:rsidR="00C10C3A" w:rsidRPr="00B33F04">
        <w:rPr>
          <w:szCs w:val="22"/>
        </w:rPr>
        <w:t>afety Net Early supply rule does not currently apply to this drug.</w:t>
      </w:r>
    </w:p>
    <w:p w:rsidR="00AF2A5C" w:rsidRPr="00B33F04" w:rsidRDefault="00AF2A5C" w:rsidP="008162F0">
      <w:pPr>
        <w:pStyle w:val="ListParagraph"/>
        <w:widowControl/>
      </w:pPr>
    </w:p>
    <w:p w:rsidR="00AF2A5C" w:rsidRPr="00B33F04" w:rsidRDefault="00AF2A5C" w:rsidP="004D4FB1">
      <w:pPr>
        <w:pStyle w:val="ListParagraph"/>
        <w:numPr>
          <w:ilvl w:val="1"/>
          <w:numId w:val="5"/>
        </w:numPr>
        <w:rPr>
          <w:szCs w:val="22"/>
        </w:rPr>
      </w:pPr>
      <w:r w:rsidRPr="00B33F04">
        <w:rPr>
          <w:szCs w:val="22"/>
        </w:rPr>
        <w:t xml:space="preserve">The PBAC noted that this submission is not eligible for </w:t>
      </w:r>
      <w:r w:rsidR="00224344">
        <w:rPr>
          <w:szCs w:val="22"/>
        </w:rPr>
        <w:t>I</w:t>
      </w:r>
      <w:r w:rsidRPr="00B33F04">
        <w:rPr>
          <w:szCs w:val="22"/>
        </w:rPr>
        <w:t xml:space="preserve">ndependent </w:t>
      </w:r>
      <w:r w:rsidR="00224344">
        <w:rPr>
          <w:szCs w:val="22"/>
        </w:rPr>
        <w:t>R</w:t>
      </w:r>
      <w:r w:rsidRPr="00B33F04">
        <w:rPr>
          <w:szCs w:val="22"/>
        </w:rPr>
        <w:t>eview as it received a positive recommendation.</w:t>
      </w:r>
    </w:p>
    <w:p w:rsidR="00214A4A" w:rsidRPr="00B33F04" w:rsidRDefault="00214A4A" w:rsidP="00214A4A">
      <w:pPr>
        <w:widowControl w:val="0"/>
        <w:jc w:val="both"/>
        <w:rPr>
          <w:rFonts w:ascii="Arial" w:hAnsi="Arial" w:cs="Arial"/>
          <w:b/>
          <w:bCs/>
          <w:snapToGrid w:val="0"/>
          <w:sz w:val="22"/>
          <w:szCs w:val="20"/>
          <w:highlight w:val="yellow"/>
        </w:rPr>
      </w:pPr>
    </w:p>
    <w:p w:rsidR="00214A4A" w:rsidRPr="00B33F04" w:rsidRDefault="00214A4A" w:rsidP="00214A4A">
      <w:pPr>
        <w:widowControl w:val="0"/>
        <w:jc w:val="both"/>
        <w:rPr>
          <w:rFonts w:ascii="Arial" w:hAnsi="Arial" w:cs="Arial"/>
          <w:b/>
          <w:bCs/>
          <w:snapToGrid w:val="0"/>
          <w:sz w:val="22"/>
          <w:szCs w:val="20"/>
        </w:rPr>
      </w:pPr>
      <w:r w:rsidRPr="00B33F04">
        <w:rPr>
          <w:rFonts w:ascii="Arial" w:hAnsi="Arial" w:cs="Arial"/>
          <w:b/>
          <w:bCs/>
          <w:snapToGrid w:val="0"/>
          <w:sz w:val="22"/>
          <w:szCs w:val="20"/>
        </w:rPr>
        <w:t>Outcome:</w:t>
      </w:r>
    </w:p>
    <w:p w:rsidR="00214A4A" w:rsidRPr="00B33F04" w:rsidRDefault="00214A4A" w:rsidP="00214A4A">
      <w:pPr>
        <w:widowControl w:val="0"/>
        <w:jc w:val="both"/>
        <w:rPr>
          <w:rFonts w:ascii="Arial" w:hAnsi="Arial" w:cs="Arial"/>
          <w:bCs/>
          <w:snapToGrid w:val="0"/>
          <w:sz w:val="22"/>
          <w:szCs w:val="20"/>
        </w:rPr>
      </w:pPr>
      <w:r w:rsidRPr="00B33F04">
        <w:rPr>
          <w:rFonts w:ascii="Arial" w:hAnsi="Arial" w:cs="Arial"/>
          <w:bCs/>
          <w:snapToGrid w:val="0"/>
          <w:sz w:val="22"/>
          <w:szCs w:val="20"/>
        </w:rPr>
        <w:t>Recommended</w:t>
      </w:r>
    </w:p>
    <w:p w:rsidR="00214A4A" w:rsidRPr="00B33F04" w:rsidRDefault="00214A4A" w:rsidP="00214A4A">
      <w:pPr>
        <w:widowControl w:val="0"/>
        <w:jc w:val="both"/>
        <w:rPr>
          <w:rFonts w:ascii="Arial" w:hAnsi="Arial" w:cs="Arial"/>
          <w:b/>
          <w:bCs/>
          <w:snapToGrid w:val="0"/>
          <w:sz w:val="22"/>
          <w:szCs w:val="20"/>
          <w:highlight w:val="yellow"/>
        </w:rPr>
      </w:pPr>
    </w:p>
    <w:p w:rsidR="00423E9D" w:rsidRDefault="00423E9D">
      <w:pPr>
        <w:rPr>
          <w:rFonts w:ascii="Arial" w:hAnsi="Arial" w:cs="Arial"/>
          <w:b/>
          <w:bCs/>
          <w:snapToGrid w:val="0"/>
          <w:sz w:val="22"/>
          <w:szCs w:val="20"/>
          <w:highlight w:val="yellow"/>
        </w:rPr>
      </w:pPr>
      <w:r>
        <w:rPr>
          <w:rFonts w:ascii="Arial" w:hAnsi="Arial" w:cs="Arial"/>
          <w:b/>
          <w:bCs/>
          <w:snapToGrid w:val="0"/>
          <w:sz w:val="22"/>
          <w:szCs w:val="20"/>
          <w:highlight w:val="yellow"/>
        </w:rPr>
        <w:br w:type="page"/>
      </w:r>
    </w:p>
    <w:p w:rsidR="00E932C6" w:rsidRPr="00B33F04" w:rsidRDefault="00E932C6" w:rsidP="00214A4A">
      <w:pPr>
        <w:widowControl w:val="0"/>
        <w:jc w:val="both"/>
        <w:rPr>
          <w:rFonts w:ascii="Arial" w:hAnsi="Arial" w:cs="Arial"/>
          <w:b/>
          <w:bCs/>
          <w:snapToGrid w:val="0"/>
          <w:sz w:val="22"/>
          <w:szCs w:val="20"/>
          <w:highlight w:val="yellow"/>
        </w:rPr>
      </w:pPr>
    </w:p>
    <w:p w:rsidR="00214A4A" w:rsidRDefault="00214A4A" w:rsidP="008516AF">
      <w:pPr>
        <w:pStyle w:val="PBACHeading1"/>
      </w:pPr>
      <w:r w:rsidRPr="008516AF">
        <w:t>Recommended listing</w:t>
      </w:r>
    </w:p>
    <w:p w:rsidR="008516AF" w:rsidRDefault="008516AF" w:rsidP="008516AF"/>
    <w:p w:rsidR="008516AF" w:rsidRPr="008516AF" w:rsidRDefault="008516AF" w:rsidP="008516AF">
      <w:pPr>
        <w:numPr>
          <w:ilvl w:val="1"/>
          <w:numId w:val="5"/>
        </w:numPr>
        <w:rPr>
          <w:rFonts w:ascii="Arial" w:hAnsi="Arial" w:cs="Arial"/>
          <w:snapToGrid w:val="0"/>
          <w:sz w:val="22"/>
          <w:szCs w:val="22"/>
        </w:rPr>
      </w:pPr>
      <w:r w:rsidRPr="008516AF">
        <w:rPr>
          <w:rFonts w:ascii="Arial" w:hAnsi="Arial" w:cs="Arial"/>
          <w:snapToGrid w:val="0"/>
          <w:sz w:val="22"/>
        </w:rPr>
        <w:t>Add new item:</w:t>
      </w:r>
    </w:p>
    <w:p w:rsidR="00214A4A" w:rsidRPr="00B33F04" w:rsidRDefault="00214A4A" w:rsidP="00214A4A">
      <w:pPr>
        <w:widowControl w:val="0"/>
        <w:jc w:val="both"/>
        <w:rPr>
          <w:rFonts w:ascii="Arial" w:hAnsi="Arial" w:cs="Arial"/>
          <w:b/>
          <w:bCs/>
          <w:i/>
          <w:snapToGrid w:val="0"/>
          <w:sz w:val="22"/>
          <w:szCs w:val="20"/>
        </w:rPr>
      </w:pPr>
    </w:p>
    <w:p w:rsidR="00214A4A" w:rsidRDefault="00E932C6" w:rsidP="00D84934">
      <w:pPr>
        <w:jc w:val="both"/>
        <w:rPr>
          <w:rFonts w:ascii="Arial" w:hAnsi="Arial" w:cs="Arial"/>
          <w:sz w:val="22"/>
          <w:szCs w:val="22"/>
        </w:rPr>
      </w:pPr>
      <w:r w:rsidRPr="00B33F04">
        <w:rPr>
          <w:rFonts w:ascii="Arial" w:hAnsi="Arial" w:cs="Arial"/>
          <w:sz w:val="22"/>
          <w:szCs w:val="22"/>
        </w:rPr>
        <w:t>The same restriction wording for the treatment of severe active rheumatoid arthritis, severe psoriatic arthritis (PsA) and active ankylosing spondylitis as the current listing of certolizumab pegol</w:t>
      </w:r>
      <w:r w:rsidR="00E767C4" w:rsidRPr="00B33F04">
        <w:rPr>
          <w:rFonts w:ascii="Arial" w:hAnsi="Arial" w:cs="Arial"/>
          <w:sz w:val="22"/>
          <w:szCs w:val="22"/>
        </w:rPr>
        <w:t xml:space="preserve"> for the Cimizia® injection (pre-filled pen) as the pre-filled syringe form of the drug</w:t>
      </w:r>
      <w:r w:rsidRPr="00B33F04">
        <w:rPr>
          <w:rFonts w:ascii="Arial" w:hAnsi="Arial" w:cs="Arial"/>
          <w:sz w:val="22"/>
          <w:szCs w:val="22"/>
        </w:rPr>
        <w:t>.</w:t>
      </w:r>
    </w:p>
    <w:p w:rsidR="0029319A" w:rsidRDefault="0029319A" w:rsidP="00D84934">
      <w:pPr>
        <w:jc w:val="both"/>
        <w:rPr>
          <w:rFonts w:ascii="Arial" w:hAnsi="Arial" w:cs="Arial"/>
          <w:sz w:val="22"/>
          <w:szCs w:val="22"/>
        </w:rPr>
      </w:pPr>
    </w:p>
    <w:p w:rsidR="0029319A" w:rsidRDefault="0029319A" w:rsidP="0029319A">
      <w:pPr>
        <w:rPr>
          <w:rFonts w:ascii="Arial" w:hAnsi="Arial" w:cs="Arial"/>
          <w:sz w:val="22"/>
          <w:szCs w:val="22"/>
        </w:rPr>
      </w:pPr>
    </w:p>
    <w:p w:rsidR="0029319A" w:rsidRDefault="0029319A" w:rsidP="0029319A">
      <w:pPr>
        <w:pStyle w:val="PBACHeading1"/>
        <w:numPr>
          <w:ilvl w:val="0"/>
          <w:numId w:val="5"/>
        </w:numPr>
        <w:ind w:left="709" w:hanging="709"/>
      </w:pPr>
      <w:r w:rsidRPr="00485DD3">
        <w:t>Context for Decision</w:t>
      </w:r>
    </w:p>
    <w:p w:rsidR="0029319A" w:rsidRDefault="0029319A" w:rsidP="0029319A">
      <w:pPr>
        <w:ind w:left="709"/>
        <w:jc w:val="both"/>
        <w:rPr>
          <w:rFonts w:ascii="Arial" w:hAnsi="Arial" w:cs="Arial"/>
          <w:sz w:val="22"/>
        </w:rPr>
      </w:pPr>
    </w:p>
    <w:p w:rsidR="0029319A" w:rsidRDefault="0029319A" w:rsidP="0029319A">
      <w:pPr>
        <w:ind w:left="709"/>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9319A" w:rsidRDefault="0029319A" w:rsidP="0029319A">
      <w:pPr>
        <w:ind w:left="709"/>
        <w:jc w:val="both"/>
        <w:rPr>
          <w:rFonts w:ascii="Arial" w:hAnsi="Arial" w:cs="Arial"/>
          <w:sz w:val="22"/>
        </w:rPr>
      </w:pPr>
    </w:p>
    <w:p w:rsidR="0029319A" w:rsidRDefault="0029319A" w:rsidP="0029319A">
      <w:pPr>
        <w:ind w:left="709"/>
        <w:jc w:val="both"/>
        <w:rPr>
          <w:rFonts w:ascii="Arial" w:hAnsi="Arial" w:cs="Arial"/>
          <w:sz w:val="22"/>
        </w:rPr>
      </w:pPr>
    </w:p>
    <w:p w:rsidR="0029319A" w:rsidRPr="00B0280B" w:rsidRDefault="0029319A" w:rsidP="0029319A">
      <w:pPr>
        <w:pStyle w:val="PBACHeading1"/>
        <w:numPr>
          <w:ilvl w:val="0"/>
          <w:numId w:val="5"/>
        </w:numPr>
        <w:ind w:left="709" w:hanging="709"/>
      </w:pPr>
      <w:r w:rsidRPr="00485DD3">
        <w:t>Sponsor’s Comment</w:t>
      </w:r>
    </w:p>
    <w:p w:rsidR="0029319A" w:rsidRDefault="0029319A" w:rsidP="0029319A">
      <w:pPr>
        <w:ind w:left="709"/>
        <w:jc w:val="both"/>
        <w:rPr>
          <w:rFonts w:ascii="Arial" w:hAnsi="Arial" w:cs="Arial"/>
          <w:bCs/>
          <w:sz w:val="22"/>
          <w:highlight w:val="yellow"/>
          <w:lang w:val="en-GB"/>
        </w:rPr>
      </w:pPr>
    </w:p>
    <w:p w:rsidR="0029319A" w:rsidRDefault="0029319A" w:rsidP="0029319A">
      <w:pPr>
        <w:spacing w:after="120"/>
        <w:ind w:left="426" w:firstLine="283"/>
        <w:jc w:val="both"/>
        <w:rPr>
          <w:rFonts w:ascii="Arial" w:hAnsi="Arial" w:cs="Arial"/>
          <w:bCs/>
          <w:sz w:val="22"/>
        </w:rPr>
      </w:pPr>
      <w:r w:rsidRPr="003035CC">
        <w:rPr>
          <w:rFonts w:ascii="Arial" w:hAnsi="Arial" w:cs="Arial"/>
          <w:bCs/>
          <w:sz w:val="22"/>
        </w:rPr>
        <w:t>The sponsor had no comment.</w:t>
      </w:r>
    </w:p>
    <w:p w:rsidR="0029319A" w:rsidRPr="00B33F04" w:rsidRDefault="0029319A" w:rsidP="00D84934">
      <w:pPr>
        <w:jc w:val="both"/>
        <w:rPr>
          <w:rFonts w:ascii="Arial" w:hAnsi="Arial"/>
          <w:sz w:val="22"/>
          <w:szCs w:val="22"/>
        </w:rPr>
      </w:pPr>
    </w:p>
    <w:sectPr w:rsidR="0029319A" w:rsidRPr="00B33F04" w:rsidSect="004D4FB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18"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37D" w:rsidRDefault="00B4737D">
      <w:r>
        <w:separator/>
      </w:r>
    </w:p>
    <w:p w:rsidR="00B4737D" w:rsidRDefault="00B4737D"/>
  </w:endnote>
  <w:endnote w:type="continuationSeparator" w:id="0">
    <w:p w:rsidR="00B4737D" w:rsidRDefault="00B4737D">
      <w:r>
        <w:continuationSeparator/>
      </w:r>
    </w:p>
    <w:p w:rsidR="00B4737D" w:rsidRDefault="00B47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37D" w:rsidRDefault="00B473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B3" w:rsidRDefault="000A03B3" w:rsidP="000A03B3">
    <w:pPr>
      <w:pStyle w:val="Footer"/>
      <w:jc w:val="center"/>
    </w:pPr>
  </w:p>
  <w:p w:rsidR="00E96245" w:rsidRPr="000A03B3" w:rsidRDefault="00B4737D" w:rsidP="000A03B3">
    <w:pPr>
      <w:pStyle w:val="Footer"/>
      <w:jc w:val="center"/>
      <w:rPr>
        <w:rFonts w:ascii="Arial" w:hAnsi="Arial" w:cs="Arial"/>
        <w:sz w:val="20"/>
        <w:szCs w:val="20"/>
      </w:rPr>
    </w:pPr>
    <w:sdt>
      <w:sdtPr>
        <w:id w:val="906806478"/>
        <w:docPartObj>
          <w:docPartGallery w:val="Page Numbers (Bottom of Page)"/>
          <w:docPartUnique/>
        </w:docPartObj>
      </w:sdtPr>
      <w:sdtEndPr>
        <w:rPr>
          <w:rFonts w:ascii="Arial" w:hAnsi="Arial" w:cs="Arial"/>
          <w:noProof/>
          <w:sz w:val="20"/>
          <w:szCs w:val="20"/>
        </w:rPr>
      </w:sdtEndPr>
      <w:sdtContent>
        <w:r w:rsidR="000A03B3" w:rsidRPr="00B1011F">
          <w:rPr>
            <w:rFonts w:ascii="Arial" w:hAnsi="Arial" w:cs="Arial"/>
            <w:sz w:val="20"/>
            <w:szCs w:val="20"/>
          </w:rPr>
          <w:fldChar w:fldCharType="begin"/>
        </w:r>
        <w:r w:rsidR="000A03B3" w:rsidRPr="00B1011F">
          <w:rPr>
            <w:rFonts w:ascii="Arial" w:hAnsi="Arial" w:cs="Arial"/>
            <w:sz w:val="20"/>
            <w:szCs w:val="20"/>
          </w:rPr>
          <w:instrText xml:space="preserve"> PAGE   \* MERGEFORMAT </w:instrText>
        </w:r>
        <w:r w:rsidR="000A03B3" w:rsidRPr="00B1011F">
          <w:rPr>
            <w:rFonts w:ascii="Arial" w:hAnsi="Arial" w:cs="Arial"/>
            <w:sz w:val="20"/>
            <w:szCs w:val="20"/>
          </w:rPr>
          <w:fldChar w:fldCharType="separate"/>
        </w:r>
        <w:r>
          <w:rPr>
            <w:rFonts w:ascii="Arial" w:hAnsi="Arial" w:cs="Arial"/>
            <w:noProof/>
            <w:sz w:val="20"/>
            <w:szCs w:val="20"/>
          </w:rPr>
          <w:t>3</w:t>
        </w:r>
        <w:r w:rsidR="000A03B3" w:rsidRPr="00B1011F">
          <w:rPr>
            <w:rFonts w:ascii="Arial" w:hAnsi="Arial" w:cs="Arial"/>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37D" w:rsidRDefault="00B473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37D" w:rsidRDefault="00B4737D">
      <w:r>
        <w:separator/>
      </w:r>
    </w:p>
    <w:p w:rsidR="00B4737D" w:rsidRDefault="00B4737D"/>
  </w:footnote>
  <w:footnote w:type="continuationSeparator" w:id="0">
    <w:p w:rsidR="00B4737D" w:rsidRDefault="00B4737D">
      <w:r>
        <w:continuationSeparator/>
      </w:r>
    </w:p>
    <w:p w:rsidR="00B4737D" w:rsidRDefault="00B473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37D" w:rsidRDefault="00B473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245" w:rsidRDefault="000A03B3" w:rsidP="000A03B3">
    <w:pPr>
      <w:pStyle w:val="Header"/>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March 2017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0A03B3" w:rsidRPr="000A03B3" w:rsidRDefault="000A03B3" w:rsidP="000A03B3">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37D" w:rsidRDefault="00B473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1E1FFE"/>
    <w:multiLevelType w:val="multilevel"/>
    <w:tmpl w:val="DB64177A"/>
    <w:lvl w:ilvl="0">
      <w:start w:val="1"/>
      <w:numFmt w:val="decimal"/>
      <w:lvlText w:val="%1"/>
      <w:lvlJc w:val="left"/>
      <w:pPr>
        <w:ind w:left="862" w:hanging="720"/>
      </w:pPr>
      <w:rPr>
        <w:rFonts w:hint="default"/>
        <w:b/>
        <w:i w:val="0"/>
        <w:specVanish w:val="0"/>
      </w:rPr>
    </w:lvl>
    <w:lvl w:ilvl="1">
      <w:start w:val="1"/>
      <w:numFmt w:val="decimal"/>
      <w:lvlText w:val="%1.%2"/>
      <w:lvlJc w:val="left"/>
      <w:pPr>
        <w:ind w:left="720" w:hanging="720"/>
      </w:pPr>
      <w:rPr>
        <w:rFonts w:ascii="Arial" w:hAnsi="Arial" w:cs="Arial"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30081B"/>
    <w:multiLevelType w:val="hybridMultilevel"/>
    <w:tmpl w:val="31EE08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0CA36B7"/>
    <w:multiLevelType w:val="hybridMultilevel"/>
    <w:tmpl w:val="A85EB8D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4D033C"/>
    <w:multiLevelType w:val="multilevel"/>
    <w:tmpl w:val="9EDCEA4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4"/>
  </w:num>
  <w:num w:numId="3">
    <w:abstractNumId w:val="7"/>
  </w:num>
  <w:num w:numId="4">
    <w:abstractNumId w:val="17"/>
  </w:num>
  <w:num w:numId="5">
    <w:abstractNumId w:val="19"/>
  </w:num>
  <w:num w:numId="6">
    <w:abstractNumId w:val="8"/>
  </w:num>
  <w:num w:numId="7">
    <w:abstractNumId w:val="14"/>
  </w:num>
  <w:num w:numId="8">
    <w:abstractNumId w:val="5"/>
  </w:num>
  <w:num w:numId="9">
    <w:abstractNumId w:val="13"/>
  </w:num>
  <w:num w:numId="10">
    <w:abstractNumId w:val="12"/>
  </w:num>
  <w:num w:numId="11">
    <w:abstractNumId w:val="11"/>
  </w:num>
  <w:num w:numId="12">
    <w:abstractNumId w:val="1"/>
  </w:num>
  <w:num w:numId="13">
    <w:abstractNumId w:val="0"/>
  </w:num>
  <w:num w:numId="14">
    <w:abstractNumId w:val="19"/>
  </w:num>
  <w:num w:numId="15">
    <w:abstractNumId w:val="18"/>
  </w:num>
  <w:num w:numId="16">
    <w:abstractNumId w:val="6"/>
  </w:num>
  <w:num w:numId="17">
    <w:abstractNumId w:val="3"/>
  </w:num>
  <w:num w:numId="18">
    <w:abstractNumId w:val="10"/>
  </w:num>
  <w:num w:numId="19">
    <w:abstractNumId w:val="19"/>
  </w:num>
  <w:num w:numId="20">
    <w:abstractNumId w:val="2"/>
  </w:num>
  <w:num w:numId="21">
    <w:abstractNumId w:val="16"/>
  </w:num>
  <w:num w:numId="22">
    <w:abstractNumId w:val="15"/>
  </w:num>
  <w:num w:numId="23">
    <w:abstractNumId w:val="19"/>
  </w:num>
  <w:num w:numId="24">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631F"/>
    <w:rsid w:val="0001322B"/>
    <w:rsid w:val="0002464A"/>
    <w:rsid w:val="0003106B"/>
    <w:rsid w:val="0003385E"/>
    <w:rsid w:val="000421A1"/>
    <w:rsid w:val="0004240E"/>
    <w:rsid w:val="00045E26"/>
    <w:rsid w:val="000471AD"/>
    <w:rsid w:val="000514B5"/>
    <w:rsid w:val="00060E64"/>
    <w:rsid w:val="00064D28"/>
    <w:rsid w:val="00066755"/>
    <w:rsid w:val="00077143"/>
    <w:rsid w:val="000969AD"/>
    <w:rsid w:val="000A03B3"/>
    <w:rsid w:val="000A428B"/>
    <w:rsid w:val="000B558D"/>
    <w:rsid w:val="000C6996"/>
    <w:rsid w:val="000D23BA"/>
    <w:rsid w:val="000E307B"/>
    <w:rsid w:val="000E681E"/>
    <w:rsid w:val="000F4E6A"/>
    <w:rsid w:val="00103CBE"/>
    <w:rsid w:val="001107BF"/>
    <w:rsid w:val="0012417C"/>
    <w:rsid w:val="00130668"/>
    <w:rsid w:val="00142395"/>
    <w:rsid w:val="00142714"/>
    <w:rsid w:val="001452ED"/>
    <w:rsid w:val="00146F73"/>
    <w:rsid w:val="00164E6A"/>
    <w:rsid w:val="00180911"/>
    <w:rsid w:val="001830CE"/>
    <w:rsid w:val="0018643B"/>
    <w:rsid w:val="00196307"/>
    <w:rsid w:val="001A33EA"/>
    <w:rsid w:val="001B017F"/>
    <w:rsid w:val="001B5129"/>
    <w:rsid w:val="001C1195"/>
    <w:rsid w:val="00213CFB"/>
    <w:rsid w:val="00214A4A"/>
    <w:rsid w:val="00224344"/>
    <w:rsid w:val="0024211D"/>
    <w:rsid w:val="00257F5D"/>
    <w:rsid w:val="00271717"/>
    <w:rsid w:val="00271BA1"/>
    <w:rsid w:val="00277505"/>
    <w:rsid w:val="00280538"/>
    <w:rsid w:val="00282572"/>
    <w:rsid w:val="0029319A"/>
    <w:rsid w:val="0029458F"/>
    <w:rsid w:val="002A104C"/>
    <w:rsid w:val="002A4960"/>
    <w:rsid w:val="002A67AF"/>
    <w:rsid w:val="002B04ED"/>
    <w:rsid w:val="002B1AE6"/>
    <w:rsid w:val="002B30F8"/>
    <w:rsid w:val="002C212F"/>
    <w:rsid w:val="002E3153"/>
    <w:rsid w:val="002E72CA"/>
    <w:rsid w:val="00300AD6"/>
    <w:rsid w:val="00326E79"/>
    <w:rsid w:val="0033270F"/>
    <w:rsid w:val="003367EF"/>
    <w:rsid w:val="00341AE4"/>
    <w:rsid w:val="0036683A"/>
    <w:rsid w:val="003872CF"/>
    <w:rsid w:val="00393DAA"/>
    <w:rsid w:val="00394F5A"/>
    <w:rsid w:val="0039782C"/>
    <w:rsid w:val="003A4D12"/>
    <w:rsid w:val="003A5B4A"/>
    <w:rsid w:val="003B23C5"/>
    <w:rsid w:val="003B2A75"/>
    <w:rsid w:val="003C3619"/>
    <w:rsid w:val="003C3CF9"/>
    <w:rsid w:val="003D2491"/>
    <w:rsid w:val="003D4AC4"/>
    <w:rsid w:val="003D63B7"/>
    <w:rsid w:val="003E468B"/>
    <w:rsid w:val="003E4FE8"/>
    <w:rsid w:val="003F5C8C"/>
    <w:rsid w:val="00402BF1"/>
    <w:rsid w:val="00423E9D"/>
    <w:rsid w:val="0044228E"/>
    <w:rsid w:val="004465BD"/>
    <w:rsid w:val="00466ADA"/>
    <w:rsid w:val="00476245"/>
    <w:rsid w:val="00485940"/>
    <w:rsid w:val="00487598"/>
    <w:rsid w:val="004A2484"/>
    <w:rsid w:val="004A5A85"/>
    <w:rsid w:val="004B5640"/>
    <w:rsid w:val="004C1BD7"/>
    <w:rsid w:val="004C691D"/>
    <w:rsid w:val="004D4FB1"/>
    <w:rsid w:val="004E692D"/>
    <w:rsid w:val="00501554"/>
    <w:rsid w:val="00514CD7"/>
    <w:rsid w:val="005319B2"/>
    <w:rsid w:val="00532C74"/>
    <w:rsid w:val="00534E2E"/>
    <w:rsid w:val="00541A00"/>
    <w:rsid w:val="00544552"/>
    <w:rsid w:val="005668C9"/>
    <w:rsid w:val="00571B3F"/>
    <w:rsid w:val="00581932"/>
    <w:rsid w:val="005963BB"/>
    <w:rsid w:val="005A3173"/>
    <w:rsid w:val="005A3223"/>
    <w:rsid w:val="005A3DA3"/>
    <w:rsid w:val="005A52C4"/>
    <w:rsid w:val="005B66E6"/>
    <w:rsid w:val="005D03AB"/>
    <w:rsid w:val="005D5017"/>
    <w:rsid w:val="005F0E76"/>
    <w:rsid w:val="005F4282"/>
    <w:rsid w:val="006003BC"/>
    <w:rsid w:val="00601A91"/>
    <w:rsid w:val="00602BA3"/>
    <w:rsid w:val="00614159"/>
    <w:rsid w:val="00617C00"/>
    <w:rsid w:val="006263BF"/>
    <w:rsid w:val="0062748A"/>
    <w:rsid w:val="00630A2C"/>
    <w:rsid w:val="00640074"/>
    <w:rsid w:val="00651169"/>
    <w:rsid w:val="00653D69"/>
    <w:rsid w:val="00670A76"/>
    <w:rsid w:val="006711AA"/>
    <w:rsid w:val="00672B57"/>
    <w:rsid w:val="00675622"/>
    <w:rsid w:val="006906DB"/>
    <w:rsid w:val="006A12A5"/>
    <w:rsid w:val="006A6B12"/>
    <w:rsid w:val="006B0D94"/>
    <w:rsid w:val="006B485D"/>
    <w:rsid w:val="006C708E"/>
    <w:rsid w:val="006D6EC7"/>
    <w:rsid w:val="006F5125"/>
    <w:rsid w:val="00713DC1"/>
    <w:rsid w:val="007174BB"/>
    <w:rsid w:val="00726688"/>
    <w:rsid w:val="0076420C"/>
    <w:rsid w:val="00771284"/>
    <w:rsid w:val="007753C2"/>
    <w:rsid w:val="007838B8"/>
    <w:rsid w:val="007864E8"/>
    <w:rsid w:val="007B0DE1"/>
    <w:rsid w:val="007C0F57"/>
    <w:rsid w:val="007C40B6"/>
    <w:rsid w:val="007C729F"/>
    <w:rsid w:val="007E1D28"/>
    <w:rsid w:val="007E37F2"/>
    <w:rsid w:val="007E39A0"/>
    <w:rsid w:val="007E4C73"/>
    <w:rsid w:val="007F059C"/>
    <w:rsid w:val="007F145F"/>
    <w:rsid w:val="007F2641"/>
    <w:rsid w:val="007F7C36"/>
    <w:rsid w:val="00802DE8"/>
    <w:rsid w:val="00806796"/>
    <w:rsid w:val="00811F58"/>
    <w:rsid w:val="008151D6"/>
    <w:rsid w:val="008162F0"/>
    <w:rsid w:val="00820FE0"/>
    <w:rsid w:val="00826F6D"/>
    <w:rsid w:val="008367E7"/>
    <w:rsid w:val="008516AF"/>
    <w:rsid w:val="00856DDD"/>
    <w:rsid w:val="00863E68"/>
    <w:rsid w:val="008670CC"/>
    <w:rsid w:val="00881FF2"/>
    <w:rsid w:val="00882085"/>
    <w:rsid w:val="00883188"/>
    <w:rsid w:val="00897D58"/>
    <w:rsid w:val="008A1956"/>
    <w:rsid w:val="008A4937"/>
    <w:rsid w:val="008A50F1"/>
    <w:rsid w:val="008A7E82"/>
    <w:rsid w:val="008B3B4B"/>
    <w:rsid w:val="008D1B5C"/>
    <w:rsid w:val="008D3C82"/>
    <w:rsid w:val="008D447E"/>
    <w:rsid w:val="008D7A41"/>
    <w:rsid w:val="008E21C0"/>
    <w:rsid w:val="008E3102"/>
    <w:rsid w:val="008E3680"/>
    <w:rsid w:val="008E5870"/>
    <w:rsid w:val="008F1434"/>
    <w:rsid w:val="008F7355"/>
    <w:rsid w:val="009067B7"/>
    <w:rsid w:val="009105CA"/>
    <w:rsid w:val="009147A5"/>
    <w:rsid w:val="00921A2F"/>
    <w:rsid w:val="00930937"/>
    <w:rsid w:val="00933E6C"/>
    <w:rsid w:val="00937363"/>
    <w:rsid w:val="00942160"/>
    <w:rsid w:val="0095146F"/>
    <w:rsid w:val="009602C5"/>
    <w:rsid w:val="00962223"/>
    <w:rsid w:val="00974C21"/>
    <w:rsid w:val="00975347"/>
    <w:rsid w:val="009A2671"/>
    <w:rsid w:val="009B0F67"/>
    <w:rsid w:val="009B26F3"/>
    <w:rsid w:val="009C028D"/>
    <w:rsid w:val="009C703C"/>
    <w:rsid w:val="009D3CAA"/>
    <w:rsid w:val="009E5649"/>
    <w:rsid w:val="009F244C"/>
    <w:rsid w:val="009F4E46"/>
    <w:rsid w:val="009F5619"/>
    <w:rsid w:val="009F5B65"/>
    <w:rsid w:val="009F5F2E"/>
    <w:rsid w:val="00A0429A"/>
    <w:rsid w:val="00A06225"/>
    <w:rsid w:val="00A1269F"/>
    <w:rsid w:val="00A128E6"/>
    <w:rsid w:val="00A32D9D"/>
    <w:rsid w:val="00A37C8D"/>
    <w:rsid w:val="00A5273B"/>
    <w:rsid w:val="00A53A9D"/>
    <w:rsid w:val="00A55FEE"/>
    <w:rsid w:val="00A62C1A"/>
    <w:rsid w:val="00A6426D"/>
    <w:rsid w:val="00A70622"/>
    <w:rsid w:val="00A70977"/>
    <w:rsid w:val="00A717C2"/>
    <w:rsid w:val="00A75A16"/>
    <w:rsid w:val="00A77613"/>
    <w:rsid w:val="00A8390C"/>
    <w:rsid w:val="00A928BD"/>
    <w:rsid w:val="00AA4D1C"/>
    <w:rsid w:val="00AB7FBC"/>
    <w:rsid w:val="00AC193C"/>
    <w:rsid w:val="00AC5206"/>
    <w:rsid w:val="00AE11A5"/>
    <w:rsid w:val="00AE13E2"/>
    <w:rsid w:val="00AF2A5C"/>
    <w:rsid w:val="00AF68CC"/>
    <w:rsid w:val="00B1059E"/>
    <w:rsid w:val="00B11D01"/>
    <w:rsid w:val="00B16AF5"/>
    <w:rsid w:val="00B205AA"/>
    <w:rsid w:val="00B22E84"/>
    <w:rsid w:val="00B25F75"/>
    <w:rsid w:val="00B33F04"/>
    <w:rsid w:val="00B37E43"/>
    <w:rsid w:val="00B43604"/>
    <w:rsid w:val="00B43E90"/>
    <w:rsid w:val="00B467DC"/>
    <w:rsid w:val="00B4737D"/>
    <w:rsid w:val="00B56118"/>
    <w:rsid w:val="00B60863"/>
    <w:rsid w:val="00B6773F"/>
    <w:rsid w:val="00B75C06"/>
    <w:rsid w:val="00B801BA"/>
    <w:rsid w:val="00BA190B"/>
    <w:rsid w:val="00BA3879"/>
    <w:rsid w:val="00BB69F5"/>
    <w:rsid w:val="00BB7EC3"/>
    <w:rsid w:val="00BC4B9A"/>
    <w:rsid w:val="00BD00D2"/>
    <w:rsid w:val="00BD4FC1"/>
    <w:rsid w:val="00BD51FD"/>
    <w:rsid w:val="00BD784C"/>
    <w:rsid w:val="00BE2DE4"/>
    <w:rsid w:val="00BF4CB6"/>
    <w:rsid w:val="00C00DA7"/>
    <w:rsid w:val="00C10613"/>
    <w:rsid w:val="00C10C3A"/>
    <w:rsid w:val="00C12768"/>
    <w:rsid w:val="00C205DD"/>
    <w:rsid w:val="00C21323"/>
    <w:rsid w:val="00C25BA4"/>
    <w:rsid w:val="00C27B58"/>
    <w:rsid w:val="00C3105F"/>
    <w:rsid w:val="00C35996"/>
    <w:rsid w:val="00C5342C"/>
    <w:rsid w:val="00C603D4"/>
    <w:rsid w:val="00C6256A"/>
    <w:rsid w:val="00C91449"/>
    <w:rsid w:val="00C92D10"/>
    <w:rsid w:val="00CA36A4"/>
    <w:rsid w:val="00CE10C4"/>
    <w:rsid w:val="00CE27B5"/>
    <w:rsid w:val="00CE6448"/>
    <w:rsid w:val="00CF5A4A"/>
    <w:rsid w:val="00D00121"/>
    <w:rsid w:val="00D0321E"/>
    <w:rsid w:val="00D1455A"/>
    <w:rsid w:val="00D2122C"/>
    <w:rsid w:val="00D3138B"/>
    <w:rsid w:val="00D3280C"/>
    <w:rsid w:val="00D3406A"/>
    <w:rsid w:val="00D42E44"/>
    <w:rsid w:val="00D469B2"/>
    <w:rsid w:val="00D741EB"/>
    <w:rsid w:val="00D84934"/>
    <w:rsid w:val="00D858CD"/>
    <w:rsid w:val="00D91271"/>
    <w:rsid w:val="00D95CD4"/>
    <w:rsid w:val="00DA2CB5"/>
    <w:rsid w:val="00DA4BAC"/>
    <w:rsid w:val="00DD1635"/>
    <w:rsid w:val="00DE0199"/>
    <w:rsid w:val="00DE6D27"/>
    <w:rsid w:val="00DE6D7E"/>
    <w:rsid w:val="00DE70F5"/>
    <w:rsid w:val="00DF217D"/>
    <w:rsid w:val="00DF26A7"/>
    <w:rsid w:val="00E15627"/>
    <w:rsid w:val="00E164B3"/>
    <w:rsid w:val="00E16910"/>
    <w:rsid w:val="00E44EE0"/>
    <w:rsid w:val="00E628E0"/>
    <w:rsid w:val="00E65E54"/>
    <w:rsid w:val="00E767C4"/>
    <w:rsid w:val="00E80155"/>
    <w:rsid w:val="00E848C0"/>
    <w:rsid w:val="00E91B96"/>
    <w:rsid w:val="00E932C6"/>
    <w:rsid w:val="00E94177"/>
    <w:rsid w:val="00E941A1"/>
    <w:rsid w:val="00E95CE3"/>
    <w:rsid w:val="00E96245"/>
    <w:rsid w:val="00EA2825"/>
    <w:rsid w:val="00EB0B70"/>
    <w:rsid w:val="00EB3D01"/>
    <w:rsid w:val="00EB5088"/>
    <w:rsid w:val="00EC1FE3"/>
    <w:rsid w:val="00ED1644"/>
    <w:rsid w:val="00ED2593"/>
    <w:rsid w:val="00EE3E49"/>
    <w:rsid w:val="00EE3F95"/>
    <w:rsid w:val="00EF44A0"/>
    <w:rsid w:val="00EF4FED"/>
    <w:rsid w:val="00F050BD"/>
    <w:rsid w:val="00F05657"/>
    <w:rsid w:val="00F25578"/>
    <w:rsid w:val="00F258E5"/>
    <w:rsid w:val="00F300BC"/>
    <w:rsid w:val="00F3334E"/>
    <w:rsid w:val="00F45059"/>
    <w:rsid w:val="00F50EC4"/>
    <w:rsid w:val="00F57A6D"/>
    <w:rsid w:val="00F638CC"/>
    <w:rsid w:val="00F64CC1"/>
    <w:rsid w:val="00F66F78"/>
    <w:rsid w:val="00F67556"/>
    <w:rsid w:val="00F8247A"/>
    <w:rsid w:val="00F8681F"/>
    <w:rsid w:val="00F9629A"/>
    <w:rsid w:val="00F96FAB"/>
    <w:rsid w:val="00FA1E45"/>
    <w:rsid w:val="00FA5883"/>
    <w:rsid w:val="00FA6055"/>
    <w:rsid w:val="00FB322F"/>
    <w:rsid w:val="00FB442F"/>
    <w:rsid w:val="00FB5D0E"/>
    <w:rsid w:val="00FC1929"/>
    <w:rsid w:val="00FC474D"/>
    <w:rsid w:val="00FC5B46"/>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styleId="IntenseReference">
    <w:name w:val="Intense Reference"/>
    <w:basedOn w:val="DefaultParagraphFont"/>
    <w:uiPriority w:val="32"/>
    <w:rsid w:val="00214A4A"/>
    <w:rPr>
      <w:b/>
      <w:bCs/>
      <w:smallCaps/>
      <w:color w:val="C0504D" w:themeColor="accent2"/>
      <w:spacing w:val="5"/>
      <w:u w:val="single"/>
    </w:rPr>
  </w:style>
  <w:style w:type="paragraph" w:styleId="Revision">
    <w:name w:val="Revision"/>
    <w:hidden/>
    <w:uiPriority w:val="71"/>
    <w:rsid w:val="009F24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styleId="IntenseReference">
    <w:name w:val="Intense Reference"/>
    <w:basedOn w:val="DefaultParagraphFont"/>
    <w:uiPriority w:val="32"/>
    <w:rsid w:val="00214A4A"/>
    <w:rPr>
      <w:b/>
      <w:bCs/>
      <w:smallCaps/>
      <w:color w:val="C0504D" w:themeColor="accent2"/>
      <w:spacing w:val="5"/>
      <w:u w:val="single"/>
    </w:rPr>
  </w:style>
  <w:style w:type="paragraph" w:styleId="Revision">
    <w:name w:val="Revision"/>
    <w:hidden/>
    <w:uiPriority w:val="71"/>
    <w:rsid w:val="009F24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2017-06-15T04:47:00Z</dcterms:created>
  <dcterms:modified xsi:type="dcterms:W3CDTF">2017-06-15T04:48:00Z</dcterms:modified>
</cp:coreProperties>
</file>