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80C" w:rsidRPr="0019793B" w:rsidRDefault="00C22F32" w:rsidP="00C37B58">
      <w:pPr>
        <w:pStyle w:val="Title"/>
        <w:ind w:left="720" w:hanging="720"/>
        <w:rPr>
          <w:szCs w:val="28"/>
        </w:rPr>
      </w:pPr>
      <w:r w:rsidRPr="0019793B">
        <w:rPr>
          <w:szCs w:val="28"/>
        </w:rPr>
        <w:t>7.09</w:t>
      </w:r>
      <w:r w:rsidR="007C0F57" w:rsidRPr="0019793B">
        <w:rPr>
          <w:szCs w:val="28"/>
        </w:rPr>
        <w:tab/>
      </w:r>
      <w:r w:rsidRPr="0019793B">
        <w:rPr>
          <w:szCs w:val="28"/>
        </w:rPr>
        <w:t>APREMILAST</w:t>
      </w:r>
      <w:r w:rsidR="00C542A7">
        <w:rPr>
          <w:szCs w:val="28"/>
        </w:rPr>
        <w:t>,</w:t>
      </w:r>
      <w:r w:rsidR="008A50F1" w:rsidRPr="0019793B">
        <w:rPr>
          <w:szCs w:val="28"/>
        </w:rPr>
        <w:br/>
      </w:r>
      <w:r w:rsidR="00F5742D" w:rsidRPr="0019793B">
        <w:t xml:space="preserve">Pack containing 4 tablets 10 mg, 4 tablets 20 mg and </w:t>
      </w:r>
      <w:r w:rsidR="00D5365B" w:rsidRPr="0019793B">
        <w:t>19</w:t>
      </w:r>
      <w:r w:rsidR="00D5365B">
        <w:t> </w:t>
      </w:r>
      <w:r w:rsidR="00F5742D" w:rsidRPr="0019793B">
        <w:t>tablets 30 mg; Tablet 30 mg</w:t>
      </w:r>
      <w:r w:rsidR="00C542A7">
        <w:t>,</w:t>
      </w:r>
      <w:r w:rsidR="00F5742D" w:rsidRPr="0019793B">
        <w:br/>
        <w:t>Otezla®, Celgene Pty Ltd</w:t>
      </w:r>
      <w:r w:rsidR="00C542A7">
        <w:t>.</w:t>
      </w:r>
    </w:p>
    <w:p w:rsidR="00E15627" w:rsidRPr="0019793B" w:rsidRDefault="00CE10C4" w:rsidP="00C37B58">
      <w:pPr>
        <w:pStyle w:val="PBACHeading1"/>
      </w:pPr>
      <w:r w:rsidRPr="0019793B">
        <w:t xml:space="preserve">Purpose of </w:t>
      </w:r>
      <w:r w:rsidR="0004240E" w:rsidRPr="0019793B">
        <w:t>Application</w:t>
      </w:r>
    </w:p>
    <w:p w:rsidR="008A50F1" w:rsidRPr="0019793B" w:rsidRDefault="008A50F1" w:rsidP="00C37B58"/>
    <w:p w:rsidR="00F5742D" w:rsidRPr="0019793B" w:rsidRDefault="00F5742D" w:rsidP="00C37B58">
      <w:pPr>
        <w:pStyle w:val="ListParagraph"/>
        <w:widowControl/>
        <w:numPr>
          <w:ilvl w:val="1"/>
          <w:numId w:val="5"/>
        </w:numPr>
        <w:rPr>
          <w:szCs w:val="22"/>
        </w:rPr>
      </w:pPr>
      <w:r w:rsidRPr="0019793B">
        <w:t>Resubmission to request Authority Required (STREAMLINED) listing for apremilast for the treatment of patients with moderate-to-severe plaque psoriasis who have failed to ach</w:t>
      </w:r>
      <w:r w:rsidR="00BB0FF7" w:rsidRPr="0019793B">
        <w:t>ieve an</w:t>
      </w:r>
      <w:r w:rsidR="00F34FF2" w:rsidRPr="0019793B">
        <w:t xml:space="preserve"> adequate response or are</w:t>
      </w:r>
      <w:r w:rsidRPr="0019793B">
        <w:t xml:space="preserve"> contraindicated to treatment with methotrexate.</w:t>
      </w:r>
    </w:p>
    <w:p w:rsidR="00EF44A0" w:rsidRDefault="00EF44A0" w:rsidP="00C37B58">
      <w:pPr>
        <w:pStyle w:val="NoSpacing"/>
      </w:pPr>
    </w:p>
    <w:p w:rsidR="00AA4252" w:rsidRPr="0019793B" w:rsidRDefault="00AA4252" w:rsidP="00C37B58">
      <w:pPr>
        <w:pStyle w:val="NoSpacing"/>
      </w:pPr>
    </w:p>
    <w:p w:rsidR="00962223" w:rsidRPr="0019793B" w:rsidRDefault="006A12A5" w:rsidP="00C37B58">
      <w:pPr>
        <w:pStyle w:val="PBACHeading1"/>
      </w:pPr>
      <w:r w:rsidRPr="0019793B">
        <w:t>Requested listing</w:t>
      </w:r>
    </w:p>
    <w:p w:rsidR="006A12A5" w:rsidRPr="0019793B" w:rsidRDefault="006A12A5" w:rsidP="00C37B58">
      <w:pPr>
        <w:jc w:val="both"/>
        <w:rPr>
          <w:rFonts w:ascii="Arial" w:hAnsi="Arial"/>
          <w:b/>
          <w:sz w:val="22"/>
          <w:szCs w:val="22"/>
        </w:rPr>
      </w:pPr>
    </w:p>
    <w:p w:rsidR="00826F6D" w:rsidRPr="0019793B" w:rsidRDefault="00EF44A0" w:rsidP="00C37B58">
      <w:pPr>
        <w:pStyle w:val="ListParagraph"/>
        <w:widowControl/>
        <w:numPr>
          <w:ilvl w:val="1"/>
          <w:numId w:val="5"/>
        </w:numPr>
      </w:pPr>
      <w:r w:rsidRPr="0019793B">
        <w:rPr>
          <w:szCs w:val="22"/>
        </w:rPr>
        <w:t xml:space="preserve">The submission </w:t>
      </w:r>
      <w:r w:rsidR="00FF2801" w:rsidRPr="0019793B">
        <w:rPr>
          <w:szCs w:val="22"/>
        </w:rPr>
        <w:t>requested</w:t>
      </w:r>
      <w:r w:rsidRPr="0019793B">
        <w:rPr>
          <w:szCs w:val="22"/>
        </w:rPr>
        <w:t xml:space="preserve"> the following </w:t>
      </w:r>
      <w:r w:rsidR="0076420C" w:rsidRPr="0019793B">
        <w:rPr>
          <w:szCs w:val="22"/>
        </w:rPr>
        <w:t xml:space="preserve">new </w:t>
      </w:r>
      <w:r w:rsidRPr="0019793B">
        <w:rPr>
          <w:szCs w:val="22"/>
        </w:rPr>
        <w:t>listing</w:t>
      </w:r>
      <w:r w:rsidR="00EA3D88" w:rsidRPr="0019793B">
        <w:rPr>
          <w:szCs w:val="22"/>
        </w:rPr>
        <w:t xml:space="preserve"> (with additions to the requested listing compared with the previous submission in italics)</w:t>
      </w:r>
      <w:r w:rsidR="00826F6D" w:rsidRPr="0019793B">
        <w:rPr>
          <w:szCs w:val="22"/>
        </w:rPr>
        <w:t>:</w:t>
      </w:r>
    </w:p>
    <w:p w:rsidR="00EA3D88" w:rsidRPr="0019793B" w:rsidRDefault="00EA3D88" w:rsidP="00C37B58">
      <w:pPr>
        <w:pStyle w:val="ListParagraph"/>
        <w:widowControl/>
      </w:pPr>
    </w:p>
    <w:tbl>
      <w:tblPr>
        <w:tblW w:w="8363" w:type="dxa"/>
        <w:tblInd w:w="817" w:type="dxa"/>
        <w:tblLayout w:type="fixed"/>
        <w:tblLook w:val="0000" w:firstRow="0" w:lastRow="0" w:firstColumn="0" w:lastColumn="0" w:noHBand="0" w:noVBand="0"/>
      </w:tblPr>
      <w:tblGrid>
        <w:gridCol w:w="1985"/>
        <w:gridCol w:w="850"/>
        <w:gridCol w:w="567"/>
        <w:gridCol w:w="567"/>
        <w:gridCol w:w="1843"/>
        <w:gridCol w:w="1417"/>
        <w:gridCol w:w="1134"/>
      </w:tblGrid>
      <w:tr w:rsidR="00826F6D" w:rsidRPr="0019793B" w:rsidTr="00BA665A">
        <w:trPr>
          <w:cantSplit/>
          <w:trHeight w:val="471"/>
        </w:trPr>
        <w:tc>
          <w:tcPr>
            <w:tcW w:w="2835" w:type="dxa"/>
            <w:gridSpan w:val="2"/>
            <w:tcBorders>
              <w:bottom w:val="single" w:sz="4" w:space="0" w:color="auto"/>
            </w:tcBorders>
          </w:tcPr>
          <w:p w:rsidR="00826F6D" w:rsidRPr="0019793B" w:rsidRDefault="00826F6D" w:rsidP="00C37B58">
            <w:pPr>
              <w:keepNext/>
              <w:ind w:left="-108"/>
              <w:jc w:val="both"/>
              <w:rPr>
                <w:rFonts w:ascii="Arial Narrow" w:hAnsi="Arial Narrow" w:cs="Arial"/>
                <w:b/>
                <w:sz w:val="20"/>
                <w:szCs w:val="20"/>
              </w:rPr>
            </w:pPr>
            <w:r w:rsidRPr="0019793B">
              <w:rPr>
                <w:rFonts w:ascii="Arial Narrow" w:hAnsi="Arial Narrow" w:cs="Arial"/>
                <w:b/>
                <w:sz w:val="20"/>
                <w:szCs w:val="20"/>
              </w:rPr>
              <w:t>Name, Restriction,</w:t>
            </w:r>
          </w:p>
          <w:p w:rsidR="00826F6D" w:rsidRPr="0019793B" w:rsidRDefault="00826F6D" w:rsidP="00C37B58">
            <w:pPr>
              <w:keepNext/>
              <w:ind w:left="-108"/>
              <w:jc w:val="both"/>
              <w:rPr>
                <w:rFonts w:ascii="Arial Narrow" w:hAnsi="Arial Narrow" w:cs="Arial"/>
                <w:b/>
                <w:sz w:val="20"/>
                <w:szCs w:val="20"/>
              </w:rPr>
            </w:pPr>
            <w:r w:rsidRPr="0019793B">
              <w:rPr>
                <w:rFonts w:ascii="Arial Narrow" w:hAnsi="Arial Narrow" w:cs="Arial"/>
                <w:b/>
                <w:sz w:val="20"/>
                <w:szCs w:val="20"/>
              </w:rPr>
              <w:t>Manner of administration and form</w:t>
            </w:r>
          </w:p>
        </w:tc>
        <w:tc>
          <w:tcPr>
            <w:tcW w:w="567" w:type="dxa"/>
            <w:tcBorders>
              <w:bottom w:val="single" w:sz="4" w:space="0" w:color="auto"/>
            </w:tcBorders>
          </w:tcPr>
          <w:p w:rsidR="00826F6D" w:rsidRPr="0019793B" w:rsidRDefault="00826F6D" w:rsidP="00C37B58">
            <w:pPr>
              <w:keepNext/>
              <w:ind w:left="-108"/>
              <w:jc w:val="both"/>
              <w:rPr>
                <w:rFonts w:ascii="Arial Narrow" w:hAnsi="Arial Narrow" w:cs="Arial"/>
                <w:b/>
                <w:sz w:val="20"/>
                <w:szCs w:val="20"/>
              </w:rPr>
            </w:pPr>
            <w:r w:rsidRPr="0019793B">
              <w:rPr>
                <w:rFonts w:ascii="Arial Narrow" w:hAnsi="Arial Narrow" w:cs="Arial"/>
                <w:b/>
                <w:sz w:val="20"/>
                <w:szCs w:val="20"/>
              </w:rPr>
              <w:t>Max.</w:t>
            </w:r>
          </w:p>
          <w:p w:rsidR="00826F6D" w:rsidRPr="0019793B" w:rsidRDefault="00826F6D" w:rsidP="00C37B58">
            <w:pPr>
              <w:keepNext/>
              <w:ind w:left="-108"/>
              <w:jc w:val="both"/>
              <w:rPr>
                <w:rFonts w:ascii="Arial Narrow" w:hAnsi="Arial Narrow" w:cs="Arial"/>
                <w:b/>
                <w:sz w:val="20"/>
                <w:szCs w:val="20"/>
              </w:rPr>
            </w:pPr>
            <w:r w:rsidRPr="0019793B">
              <w:rPr>
                <w:rFonts w:ascii="Arial Narrow" w:hAnsi="Arial Narrow" w:cs="Arial"/>
                <w:b/>
                <w:sz w:val="20"/>
                <w:szCs w:val="20"/>
              </w:rPr>
              <w:t>Qty</w:t>
            </w:r>
          </w:p>
        </w:tc>
        <w:tc>
          <w:tcPr>
            <w:tcW w:w="567" w:type="dxa"/>
            <w:tcBorders>
              <w:bottom w:val="single" w:sz="4" w:space="0" w:color="auto"/>
            </w:tcBorders>
          </w:tcPr>
          <w:p w:rsidR="00826F6D" w:rsidRPr="0019793B" w:rsidRDefault="00826F6D" w:rsidP="00C37B58">
            <w:pPr>
              <w:keepNext/>
              <w:ind w:left="-108"/>
              <w:jc w:val="both"/>
              <w:rPr>
                <w:rFonts w:ascii="Arial Narrow" w:hAnsi="Arial Narrow" w:cs="Arial"/>
                <w:b/>
                <w:sz w:val="20"/>
                <w:szCs w:val="20"/>
              </w:rPr>
            </w:pPr>
            <w:r w:rsidRPr="0019793B">
              <w:rPr>
                <w:rFonts w:ascii="Arial Narrow" w:hAnsi="Arial Narrow" w:cs="Arial"/>
                <w:b/>
                <w:sz w:val="20"/>
                <w:szCs w:val="20"/>
              </w:rPr>
              <w:t>№.of</w:t>
            </w:r>
          </w:p>
          <w:p w:rsidR="00826F6D" w:rsidRPr="0019793B" w:rsidRDefault="00826F6D" w:rsidP="00C37B58">
            <w:pPr>
              <w:keepNext/>
              <w:ind w:left="-108"/>
              <w:jc w:val="both"/>
              <w:rPr>
                <w:rFonts w:ascii="Arial Narrow" w:hAnsi="Arial Narrow" w:cs="Arial"/>
                <w:b/>
                <w:sz w:val="20"/>
                <w:szCs w:val="20"/>
              </w:rPr>
            </w:pPr>
            <w:r w:rsidRPr="0019793B">
              <w:rPr>
                <w:rFonts w:ascii="Arial Narrow" w:hAnsi="Arial Narrow" w:cs="Arial"/>
                <w:b/>
                <w:sz w:val="20"/>
                <w:szCs w:val="20"/>
              </w:rPr>
              <w:t>Rpts</w:t>
            </w:r>
          </w:p>
        </w:tc>
        <w:tc>
          <w:tcPr>
            <w:tcW w:w="1843" w:type="dxa"/>
            <w:tcBorders>
              <w:bottom w:val="single" w:sz="4" w:space="0" w:color="auto"/>
            </w:tcBorders>
          </w:tcPr>
          <w:p w:rsidR="00826F6D" w:rsidRPr="0019793B" w:rsidRDefault="00826F6D" w:rsidP="00C37B58">
            <w:pPr>
              <w:keepNext/>
              <w:ind w:left="-108"/>
              <w:jc w:val="both"/>
              <w:rPr>
                <w:rFonts w:ascii="Arial Narrow" w:hAnsi="Arial Narrow" w:cs="Arial"/>
                <w:b/>
                <w:sz w:val="20"/>
                <w:szCs w:val="20"/>
              </w:rPr>
            </w:pPr>
            <w:r w:rsidRPr="0019793B">
              <w:rPr>
                <w:rFonts w:ascii="Arial Narrow" w:hAnsi="Arial Narrow" w:cs="Arial"/>
                <w:b/>
                <w:sz w:val="20"/>
                <w:szCs w:val="20"/>
              </w:rPr>
              <w:t>Dispensed Price for Max. Qty</w:t>
            </w:r>
          </w:p>
        </w:tc>
        <w:tc>
          <w:tcPr>
            <w:tcW w:w="2551" w:type="dxa"/>
            <w:gridSpan w:val="2"/>
            <w:tcBorders>
              <w:bottom w:val="single" w:sz="4" w:space="0" w:color="auto"/>
            </w:tcBorders>
          </w:tcPr>
          <w:p w:rsidR="00826F6D" w:rsidRPr="0019793B" w:rsidRDefault="00826F6D" w:rsidP="00C37B58">
            <w:pPr>
              <w:keepNext/>
              <w:jc w:val="both"/>
              <w:rPr>
                <w:rFonts w:ascii="Arial Narrow" w:hAnsi="Arial Narrow" w:cs="Arial"/>
                <w:b/>
                <w:sz w:val="20"/>
                <w:szCs w:val="20"/>
                <w:lang w:val="fr-FR"/>
              </w:rPr>
            </w:pPr>
            <w:r w:rsidRPr="0019793B">
              <w:rPr>
                <w:rFonts w:ascii="Arial Narrow" w:hAnsi="Arial Narrow" w:cs="Arial"/>
                <w:b/>
                <w:sz w:val="20"/>
                <w:szCs w:val="20"/>
              </w:rPr>
              <w:t>Proprietary Name and Manufacturer</w:t>
            </w:r>
          </w:p>
        </w:tc>
      </w:tr>
      <w:tr w:rsidR="00DD3FF7" w:rsidRPr="0019793B" w:rsidTr="00BA665A">
        <w:trPr>
          <w:cantSplit/>
          <w:trHeight w:val="577"/>
        </w:trPr>
        <w:tc>
          <w:tcPr>
            <w:tcW w:w="2835" w:type="dxa"/>
            <w:gridSpan w:val="2"/>
          </w:tcPr>
          <w:p w:rsidR="00DD3FF7" w:rsidRPr="0019793B" w:rsidRDefault="00DD3FF7" w:rsidP="00C37B58">
            <w:pPr>
              <w:keepNext/>
              <w:keepLines/>
              <w:rPr>
                <w:rFonts w:ascii="Arial Narrow" w:hAnsi="Arial Narrow"/>
                <w:smallCaps/>
                <w:sz w:val="20"/>
              </w:rPr>
            </w:pPr>
            <w:r w:rsidRPr="0019793B">
              <w:rPr>
                <w:rFonts w:ascii="Arial Narrow" w:hAnsi="Arial Narrow"/>
                <w:smallCaps/>
                <w:sz w:val="20"/>
              </w:rPr>
              <w:t>Apremilast</w:t>
            </w:r>
          </w:p>
          <w:p w:rsidR="00DD3FF7" w:rsidRPr="0019793B" w:rsidRDefault="00DD3FF7" w:rsidP="00C37B58">
            <w:pPr>
              <w:keepNext/>
              <w:keepLines/>
              <w:rPr>
                <w:rFonts w:ascii="Arial Narrow" w:hAnsi="Arial Narrow"/>
                <w:sz w:val="20"/>
              </w:rPr>
            </w:pPr>
            <w:r w:rsidRPr="0019793B">
              <w:rPr>
                <w:rFonts w:ascii="Arial Narrow" w:hAnsi="Arial Narrow"/>
                <w:sz w:val="20"/>
              </w:rPr>
              <w:t>Tablets, titration pack (10 mg x 4, 20 mg x 4, 30 mg x 19)</w:t>
            </w:r>
          </w:p>
          <w:p w:rsidR="00DD3FF7" w:rsidRPr="0019793B" w:rsidRDefault="00DD3FF7" w:rsidP="00C37B58">
            <w:pPr>
              <w:keepNext/>
              <w:keepLines/>
              <w:rPr>
                <w:rFonts w:ascii="Arial Narrow" w:hAnsi="Arial Narrow"/>
                <w:smallCaps/>
                <w:sz w:val="20"/>
              </w:rPr>
            </w:pPr>
          </w:p>
        </w:tc>
        <w:tc>
          <w:tcPr>
            <w:tcW w:w="567" w:type="dxa"/>
          </w:tcPr>
          <w:p w:rsidR="00DD3FF7" w:rsidRPr="0019793B" w:rsidRDefault="00DD3FF7" w:rsidP="00C37B58">
            <w:pPr>
              <w:keepNext/>
              <w:keepLines/>
              <w:rPr>
                <w:rFonts w:ascii="Arial Narrow" w:hAnsi="Arial Narrow"/>
                <w:sz w:val="20"/>
              </w:rPr>
            </w:pPr>
          </w:p>
          <w:p w:rsidR="00DD3FF7" w:rsidRPr="0019793B" w:rsidRDefault="00DD3FF7" w:rsidP="00C37B58">
            <w:pPr>
              <w:keepNext/>
              <w:keepLines/>
              <w:rPr>
                <w:rFonts w:ascii="Arial Narrow" w:hAnsi="Arial Narrow"/>
                <w:sz w:val="20"/>
              </w:rPr>
            </w:pPr>
            <w:r w:rsidRPr="0019793B">
              <w:rPr>
                <w:rFonts w:ascii="Arial Narrow" w:hAnsi="Arial Narrow"/>
                <w:sz w:val="20"/>
              </w:rPr>
              <w:t>1</w:t>
            </w:r>
          </w:p>
        </w:tc>
        <w:tc>
          <w:tcPr>
            <w:tcW w:w="567" w:type="dxa"/>
          </w:tcPr>
          <w:p w:rsidR="00DD3FF7" w:rsidRPr="0019793B" w:rsidRDefault="00DD3FF7" w:rsidP="00C37B58">
            <w:pPr>
              <w:keepNext/>
              <w:keepLines/>
              <w:rPr>
                <w:rFonts w:ascii="Arial Narrow" w:hAnsi="Arial Narrow"/>
                <w:sz w:val="20"/>
              </w:rPr>
            </w:pPr>
          </w:p>
          <w:p w:rsidR="00DD3FF7" w:rsidRPr="0019793B" w:rsidRDefault="00DD3FF7" w:rsidP="00C37B58">
            <w:pPr>
              <w:keepNext/>
              <w:keepLines/>
              <w:rPr>
                <w:rFonts w:ascii="Arial Narrow" w:hAnsi="Arial Narrow"/>
                <w:sz w:val="20"/>
              </w:rPr>
            </w:pPr>
            <w:r w:rsidRPr="0019793B">
              <w:rPr>
                <w:rFonts w:ascii="Arial Narrow" w:hAnsi="Arial Narrow"/>
                <w:sz w:val="20"/>
              </w:rPr>
              <w:t>0</w:t>
            </w:r>
          </w:p>
        </w:tc>
        <w:tc>
          <w:tcPr>
            <w:tcW w:w="1843" w:type="dxa"/>
          </w:tcPr>
          <w:p w:rsidR="00DD3FF7" w:rsidRPr="0019793B" w:rsidRDefault="00DD3FF7" w:rsidP="00C37B58">
            <w:pPr>
              <w:keepNext/>
              <w:ind w:left="-108"/>
              <w:jc w:val="both"/>
              <w:rPr>
                <w:rFonts w:ascii="Arial Narrow" w:hAnsi="Arial Narrow" w:cs="Arial"/>
                <w:sz w:val="20"/>
                <w:szCs w:val="20"/>
              </w:rPr>
            </w:pPr>
          </w:p>
          <w:p w:rsidR="00BA665A" w:rsidRPr="00F17FFB" w:rsidRDefault="00BA665A" w:rsidP="00D5365B">
            <w:pPr>
              <w:keepNext/>
              <w:ind w:left="-108"/>
              <w:jc w:val="both"/>
              <w:rPr>
                <w:rFonts w:ascii="Arial Narrow" w:hAnsi="Arial Narrow" w:cs="Arial"/>
                <w:strike/>
                <w:sz w:val="20"/>
                <w:szCs w:val="20"/>
              </w:rPr>
            </w:pPr>
            <w:r w:rsidRPr="00BE080A">
              <w:rPr>
                <w:rFonts w:ascii="Arial Narrow" w:hAnsi="Arial Narrow" w:cs="Arial"/>
                <w:strike/>
                <w:sz w:val="20"/>
                <w:szCs w:val="20"/>
              </w:rPr>
              <w:t>$</w:t>
            </w:r>
            <w:r w:rsidR="00F17FFB">
              <w:rPr>
                <w:rFonts w:ascii="Arial Narrow" w:hAnsi="Arial Narrow" w:cs="Arial"/>
                <w:strike/>
                <w:noProof/>
                <w:color w:val="000000"/>
                <w:sz w:val="20"/>
                <w:szCs w:val="20"/>
                <w:highlight w:val="black"/>
              </w:rPr>
              <w:t>''''''''''''''''</w:t>
            </w:r>
          </w:p>
          <w:p w:rsidR="00DD3FF7" w:rsidRPr="00F17FFB" w:rsidRDefault="00F17FFB" w:rsidP="00D5365B">
            <w:pPr>
              <w:keepNext/>
              <w:ind w:left="-108"/>
              <w:jc w:val="both"/>
              <w:rPr>
                <w:rFonts w:ascii="Arial Narrow" w:hAnsi="Arial Narrow" w:cs="Arial"/>
                <w:strike/>
                <w:sz w:val="20"/>
                <w:szCs w:val="20"/>
              </w:rPr>
            </w:pPr>
            <w:r>
              <w:rPr>
                <w:rFonts w:ascii="Arial Narrow" w:hAnsi="Arial Narrow" w:cs="Arial"/>
                <w:strike/>
                <w:noProof/>
                <w:color w:val="000000"/>
                <w:sz w:val="20"/>
                <w:szCs w:val="20"/>
                <w:highlight w:val="black"/>
              </w:rPr>
              <w:t>''''''''''''''''''''' ''''''''''''''''''''''</w:t>
            </w:r>
            <w:r>
              <w:rPr>
                <w:rFonts w:ascii="Arial Narrow" w:hAnsi="Arial Narrow" w:cs="Arial"/>
                <w:i/>
                <w:noProof/>
                <w:color w:val="000000"/>
                <w:sz w:val="20"/>
                <w:szCs w:val="20"/>
                <w:highlight w:val="black"/>
              </w:rPr>
              <w:t>'''''''''''''''''''''</w:t>
            </w:r>
          </w:p>
          <w:p w:rsidR="00BA665A" w:rsidRPr="0019793B" w:rsidRDefault="00BA665A" w:rsidP="00C75652">
            <w:pPr>
              <w:keepNext/>
              <w:ind w:left="-108"/>
              <w:jc w:val="both"/>
              <w:rPr>
                <w:rFonts w:ascii="Arial Narrow" w:hAnsi="Arial Narrow" w:cs="Arial"/>
                <w:sz w:val="20"/>
                <w:szCs w:val="20"/>
              </w:rPr>
            </w:pPr>
          </w:p>
        </w:tc>
        <w:tc>
          <w:tcPr>
            <w:tcW w:w="1417" w:type="dxa"/>
          </w:tcPr>
          <w:p w:rsidR="00DD3FF7" w:rsidRPr="0019793B" w:rsidRDefault="00DD3FF7" w:rsidP="00C37B58">
            <w:pPr>
              <w:keepNext/>
              <w:keepLines/>
              <w:jc w:val="center"/>
              <w:rPr>
                <w:rFonts w:ascii="Arial Narrow" w:hAnsi="Arial Narrow"/>
                <w:sz w:val="20"/>
              </w:rPr>
            </w:pPr>
            <w:r w:rsidRPr="0019793B">
              <w:rPr>
                <w:rFonts w:ascii="Arial Narrow" w:hAnsi="Arial Narrow"/>
                <w:sz w:val="20"/>
              </w:rPr>
              <w:t>Otezla®</w:t>
            </w:r>
          </w:p>
        </w:tc>
        <w:tc>
          <w:tcPr>
            <w:tcW w:w="1134" w:type="dxa"/>
          </w:tcPr>
          <w:p w:rsidR="00DD3FF7" w:rsidRPr="0019793B" w:rsidRDefault="00DD3FF7" w:rsidP="00C37B58">
            <w:pPr>
              <w:keepNext/>
              <w:keepLines/>
              <w:jc w:val="center"/>
              <w:rPr>
                <w:rFonts w:ascii="Arial Narrow" w:hAnsi="Arial Narrow"/>
                <w:sz w:val="20"/>
              </w:rPr>
            </w:pPr>
            <w:r w:rsidRPr="0019793B">
              <w:rPr>
                <w:rFonts w:ascii="Arial Narrow" w:hAnsi="Arial Narrow"/>
                <w:sz w:val="20"/>
              </w:rPr>
              <w:t>Celgene Pty Ltd</w:t>
            </w:r>
          </w:p>
        </w:tc>
      </w:tr>
      <w:tr w:rsidR="00826F6D" w:rsidRPr="0019793B"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19793B" w:rsidRDefault="00826F6D" w:rsidP="00C37B58">
            <w:pPr>
              <w:jc w:val="both"/>
              <w:rPr>
                <w:rFonts w:ascii="Arial Narrow" w:hAnsi="Arial Narrow" w:cs="Arial"/>
                <w:b/>
                <w:sz w:val="20"/>
                <w:szCs w:val="20"/>
              </w:rPr>
            </w:pPr>
            <w:r w:rsidRPr="0019793B">
              <w:rPr>
                <w:rFonts w:ascii="Arial Narrow" w:hAnsi="Arial Narrow" w:cs="Arial"/>
                <w:b/>
                <w:sz w:val="20"/>
                <w:szCs w:val="20"/>
              </w:rPr>
              <w:t xml:space="preserve">Category / </w:t>
            </w:r>
          </w:p>
          <w:p w:rsidR="00826F6D" w:rsidRPr="0019793B" w:rsidRDefault="00826F6D" w:rsidP="00C37B58">
            <w:pPr>
              <w:jc w:val="both"/>
              <w:rPr>
                <w:rFonts w:ascii="Arial Narrow" w:hAnsi="Arial Narrow" w:cs="Arial"/>
                <w:b/>
                <w:sz w:val="20"/>
                <w:szCs w:val="20"/>
              </w:rPr>
            </w:pPr>
            <w:r w:rsidRPr="0019793B">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19793B" w:rsidRDefault="00826F6D" w:rsidP="00C37B58">
            <w:pPr>
              <w:rPr>
                <w:rFonts w:ascii="Arial Narrow" w:hAnsi="Arial Narrow" w:cs="Arial"/>
                <w:sz w:val="20"/>
                <w:szCs w:val="20"/>
              </w:rPr>
            </w:pPr>
            <w:r w:rsidRPr="0019793B">
              <w:rPr>
                <w:rFonts w:ascii="Arial Narrow" w:hAnsi="Arial Narrow" w:cs="Arial"/>
                <w:sz w:val="20"/>
                <w:szCs w:val="20"/>
              </w:rPr>
              <w:t>GENERAL – General Schedule (Code GE)</w:t>
            </w:r>
          </w:p>
        </w:tc>
      </w:tr>
      <w:tr w:rsidR="00826F6D" w:rsidRPr="0019793B"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19793B" w:rsidRDefault="00826F6D" w:rsidP="00C37B58">
            <w:pPr>
              <w:jc w:val="both"/>
              <w:rPr>
                <w:rFonts w:ascii="Arial Narrow" w:hAnsi="Arial Narrow" w:cs="Arial"/>
                <w:b/>
                <w:sz w:val="20"/>
                <w:szCs w:val="20"/>
              </w:rPr>
            </w:pPr>
            <w:r w:rsidRPr="0019793B">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19793B" w:rsidRDefault="00826F6D" w:rsidP="00C37B58">
            <w:pPr>
              <w:rPr>
                <w:rFonts w:ascii="Arial Narrow" w:hAnsi="Arial Narrow" w:cs="Arial"/>
                <w:sz w:val="20"/>
                <w:szCs w:val="20"/>
              </w:rPr>
            </w:pPr>
            <w:r w:rsidRPr="0019793B">
              <w:rPr>
                <w:rFonts w:ascii="Arial Narrow" w:hAnsi="Arial Narrow" w:cs="Arial"/>
                <w:sz w:val="20"/>
                <w:szCs w:val="20"/>
              </w:rPr>
              <w:fldChar w:fldCharType="begin">
                <w:ffData>
                  <w:name w:val="Check1"/>
                  <w:enabled/>
                  <w:calcOnExit w:val="0"/>
                  <w:checkBox>
                    <w:sizeAuto/>
                    <w:default w:val="0"/>
                  </w:checkBox>
                </w:ffData>
              </w:fldChar>
            </w:r>
            <w:r w:rsidRPr="0019793B">
              <w:rPr>
                <w:rFonts w:ascii="Arial Narrow" w:hAnsi="Arial Narrow" w:cs="Arial"/>
                <w:sz w:val="20"/>
                <w:szCs w:val="20"/>
              </w:rPr>
              <w:instrText xml:space="preserve"> FORMCHECKBOX </w:instrText>
            </w:r>
            <w:r w:rsidR="00F04CB3">
              <w:rPr>
                <w:rFonts w:ascii="Arial Narrow" w:hAnsi="Arial Narrow" w:cs="Arial"/>
                <w:sz w:val="20"/>
                <w:szCs w:val="20"/>
              </w:rPr>
            </w:r>
            <w:r w:rsidR="00F04CB3">
              <w:rPr>
                <w:rFonts w:ascii="Arial Narrow" w:hAnsi="Arial Narrow" w:cs="Arial"/>
                <w:sz w:val="20"/>
                <w:szCs w:val="20"/>
              </w:rPr>
              <w:fldChar w:fldCharType="separate"/>
            </w:r>
            <w:r w:rsidRPr="0019793B">
              <w:rPr>
                <w:rFonts w:ascii="Arial Narrow" w:hAnsi="Arial Narrow" w:cs="Arial"/>
                <w:sz w:val="20"/>
                <w:szCs w:val="20"/>
              </w:rPr>
              <w:fldChar w:fldCharType="end"/>
            </w:r>
            <w:r w:rsidRPr="0019793B">
              <w:rPr>
                <w:rFonts w:ascii="Arial Narrow" w:hAnsi="Arial Narrow" w:cs="Arial"/>
                <w:sz w:val="20"/>
                <w:szCs w:val="20"/>
              </w:rPr>
              <w:t xml:space="preserve">Dental  </w:t>
            </w:r>
            <w:r w:rsidR="00EA3D88" w:rsidRPr="0019793B">
              <w:rPr>
                <w:rFonts w:ascii="Arial Narrow" w:hAnsi="Arial Narrow" w:cs="Arial"/>
                <w:sz w:val="20"/>
                <w:szCs w:val="20"/>
              </w:rPr>
              <w:fldChar w:fldCharType="begin">
                <w:ffData>
                  <w:name w:val=""/>
                  <w:enabled/>
                  <w:calcOnExit w:val="0"/>
                  <w:checkBox>
                    <w:sizeAuto/>
                    <w:default w:val="1"/>
                  </w:checkBox>
                </w:ffData>
              </w:fldChar>
            </w:r>
            <w:r w:rsidR="00EA3D88" w:rsidRPr="0019793B">
              <w:rPr>
                <w:rFonts w:ascii="Arial Narrow" w:hAnsi="Arial Narrow" w:cs="Arial"/>
                <w:sz w:val="20"/>
                <w:szCs w:val="20"/>
              </w:rPr>
              <w:instrText xml:space="preserve"> FORMCHECKBOX </w:instrText>
            </w:r>
            <w:r w:rsidR="00F04CB3">
              <w:rPr>
                <w:rFonts w:ascii="Arial Narrow" w:hAnsi="Arial Narrow" w:cs="Arial"/>
                <w:sz w:val="20"/>
                <w:szCs w:val="20"/>
              </w:rPr>
            </w:r>
            <w:r w:rsidR="00F04CB3">
              <w:rPr>
                <w:rFonts w:ascii="Arial Narrow" w:hAnsi="Arial Narrow" w:cs="Arial"/>
                <w:sz w:val="20"/>
                <w:szCs w:val="20"/>
              </w:rPr>
              <w:fldChar w:fldCharType="separate"/>
            </w:r>
            <w:r w:rsidR="00EA3D88" w:rsidRPr="0019793B">
              <w:rPr>
                <w:rFonts w:ascii="Arial Narrow" w:hAnsi="Arial Narrow" w:cs="Arial"/>
                <w:sz w:val="20"/>
                <w:szCs w:val="20"/>
              </w:rPr>
              <w:fldChar w:fldCharType="end"/>
            </w:r>
            <w:r w:rsidRPr="0019793B">
              <w:rPr>
                <w:rFonts w:ascii="Arial Narrow" w:hAnsi="Arial Narrow" w:cs="Arial"/>
                <w:sz w:val="20"/>
                <w:szCs w:val="20"/>
              </w:rPr>
              <w:t xml:space="preserve">Medical Practitioners  </w:t>
            </w:r>
            <w:r w:rsidRPr="0019793B">
              <w:rPr>
                <w:rFonts w:ascii="Arial Narrow" w:hAnsi="Arial Narrow" w:cs="Arial"/>
                <w:sz w:val="20"/>
                <w:szCs w:val="20"/>
              </w:rPr>
              <w:fldChar w:fldCharType="begin">
                <w:ffData>
                  <w:name w:val="Check3"/>
                  <w:enabled/>
                  <w:calcOnExit w:val="0"/>
                  <w:checkBox>
                    <w:sizeAuto/>
                    <w:default w:val="0"/>
                  </w:checkBox>
                </w:ffData>
              </w:fldChar>
            </w:r>
            <w:r w:rsidRPr="0019793B">
              <w:rPr>
                <w:rFonts w:ascii="Arial Narrow" w:hAnsi="Arial Narrow" w:cs="Arial"/>
                <w:sz w:val="20"/>
                <w:szCs w:val="20"/>
              </w:rPr>
              <w:instrText xml:space="preserve"> FORMCHECKBOX </w:instrText>
            </w:r>
            <w:r w:rsidR="00F04CB3">
              <w:rPr>
                <w:rFonts w:ascii="Arial Narrow" w:hAnsi="Arial Narrow" w:cs="Arial"/>
                <w:sz w:val="20"/>
                <w:szCs w:val="20"/>
              </w:rPr>
            </w:r>
            <w:r w:rsidR="00F04CB3">
              <w:rPr>
                <w:rFonts w:ascii="Arial Narrow" w:hAnsi="Arial Narrow" w:cs="Arial"/>
                <w:sz w:val="20"/>
                <w:szCs w:val="20"/>
              </w:rPr>
              <w:fldChar w:fldCharType="separate"/>
            </w:r>
            <w:r w:rsidRPr="0019793B">
              <w:rPr>
                <w:rFonts w:ascii="Arial Narrow" w:hAnsi="Arial Narrow" w:cs="Arial"/>
                <w:sz w:val="20"/>
                <w:szCs w:val="20"/>
              </w:rPr>
              <w:fldChar w:fldCharType="end"/>
            </w:r>
            <w:r w:rsidRPr="0019793B">
              <w:rPr>
                <w:rFonts w:ascii="Arial Narrow" w:hAnsi="Arial Narrow" w:cs="Arial"/>
                <w:sz w:val="20"/>
                <w:szCs w:val="20"/>
              </w:rPr>
              <w:t xml:space="preserve">Nurse practitioners  </w:t>
            </w:r>
            <w:r w:rsidRPr="0019793B">
              <w:rPr>
                <w:rFonts w:ascii="Arial Narrow" w:hAnsi="Arial Narrow" w:cs="Arial"/>
                <w:sz w:val="20"/>
                <w:szCs w:val="20"/>
              </w:rPr>
              <w:fldChar w:fldCharType="begin">
                <w:ffData>
                  <w:name w:val=""/>
                  <w:enabled/>
                  <w:calcOnExit w:val="0"/>
                  <w:checkBox>
                    <w:sizeAuto/>
                    <w:default w:val="0"/>
                  </w:checkBox>
                </w:ffData>
              </w:fldChar>
            </w:r>
            <w:r w:rsidRPr="0019793B">
              <w:rPr>
                <w:rFonts w:ascii="Arial Narrow" w:hAnsi="Arial Narrow" w:cs="Arial"/>
                <w:sz w:val="20"/>
                <w:szCs w:val="20"/>
              </w:rPr>
              <w:instrText xml:space="preserve"> FORMCHECKBOX </w:instrText>
            </w:r>
            <w:r w:rsidR="00F04CB3">
              <w:rPr>
                <w:rFonts w:ascii="Arial Narrow" w:hAnsi="Arial Narrow" w:cs="Arial"/>
                <w:sz w:val="20"/>
                <w:szCs w:val="20"/>
              </w:rPr>
            </w:r>
            <w:r w:rsidR="00F04CB3">
              <w:rPr>
                <w:rFonts w:ascii="Arial Narrow" w:hAnsi="Arial Narrow" w:cs="Arial"/>
                <w:sz w:val="20"/>
                <w:szCs w:val="20"/>
              </w:rPr>
              <w:fldChar w:fldCharType="separate"/>
            </w:r>
            <w:r w:rsidRPr="0019793B">
              <w:rPr>
                <w:rFonts w:ascii="Arial Narrow" w:hAnsi="Arial Narrow" w:cs="Arial"/>
                <w:sz w:val="20"/>
                <w:szCs w:val="20"/>
              </w:rPr>
              <w:fldChar w:fldCharType="end"/>
            </w:r>
            <w:r w:rsidRPr="0019793B">
              <w:rPr>
                <w:rFonts w:ascii="Arial Narrow" w:hAnsi="Arial Narrow" w:cs="Arial"/>
                <w:sz w:val="20"/>
                <w:szCs w:val="20"/>
              </w:rPr>
              <w:t>Optometrists</w:t>
            </w:r>
          </w:p>
          <w:p w:rsidR="00826F6D" w:rsidRPr="0019793B" w:rsidRDefault="00826F6D" w:rsidP="00C37B58">
            <w:pPr>
              <w:rPr>
                <w:rFonts w:ascii="Arial Narrow" w:hAnsi="Arial Narrow" w:cs="Arial"/>
                <w:sz w:val="20"/>
                <w:szCs w:val="20"/>
              </w:rPr>
            </w:pPr>
            <w:r w:rsidRPr="0019793B">
              <w:rPr>
                <w:rFonts w:ascii="Arial Narrow" w:hAnsi="Arial Narrow" w:cs="Arial"/>
                <w:sz w:val="20"/>
                <w:szCs w:val="20"/>
              </w:rPr>
              <w:fldChar w:fldCharType="begin">
                <w:ffData>
                  <w:name w:val="Check5"/>
                  <w:enabled/>
                  <w:calcOnExit w:val="0"/>
                  <w:checkBox>
                    <w:sizeAuto/>
                    <w:default w:val="0"/>
                  </w:checkBox>
                </w:ffData>
              </w:fldChar>
            </w:r>
            <w:r w:rsidRPr="0019793B">
              <w:rPr>
                <w:rFonts w:ascii="Arial Narrow" w:hAnsi="Arial Narrow" w:cs="Arial"/>
                <w:sz w:val="20"/>
                <w:szCs w:val="20"/>
              </w:rPr>
              <w:instrText xml:space="preserve"> FORMCHECKBOX </w:instrText>
            </w:r>
            <w:r w:rsidR="00F04CB3">
              <w:rPr>
                <w:rFonts w:ascii="Arial Narrow" w:hAnsi="Arial Narrow" w:cs="Arial"/>
                <w:sz w:val="20"/>
                <w:szCs w:val="20"/>
              </w:rPr>
            </w:r>
            <w:r w:rsidR="00F04CB3">
              <w:rPr>
                <w:rFonts w:ascii="Arial Narrow" w:hAnsi="Arial Narrow" w:cs="Arial"/>
                <w:sz w:val="20"/>
                <w:szCs w:val="20"/>
              </w:rPr>
              <w:fldChar w:fldCharType="separate"/>
            </w:r>
            <w:r w:rsidRPr="0019793B">
              <w:rPr>
                <w:rFonts w:ascii="Arial Narrow" w:hAnsi="Arial Narrow" w:cs="Arial"/>
                <w:sz w:val="20"/>
                <w:szCs w:val="20"/>
              </w:rPr>
              <w:fldChar w:fldCharType="end"/>
            </w:r>
            <w:r w:rsidRPr="0019793B">
              <w:rPr>
                <w:rFonts w:ascii="Arial Narrow" w:hAnsi="Arial Narrow" w:cs="Arial"/>
                <w:sz w:val="20"/>
                <w:szCs w:val="20"/>
              </w:rPr>
              <w:t>Midwives</w:t>
            </w:r>
          </w:p>
        </w:tc>
      </w:tr>
      <w:tr w:rsidR="00826F6D" w:rsidRPr="0019793B"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19793B" w:rsidRDefault="00826F6D" w:rsidP="00C37B58">
            <w:pPr>
              <w:jc w:val="both"/>
              <w:rPr>
                <w:rFonts w:ascii="Arial Narrow" w:hAnsi="Arial Narrow" w:cs="Arial"/>
                <w:b/>
                <w:sz w:val="20"/>
                <w:szCs w:val="20"/>
              </w:rPr>
            </w:pPr>
            <w:r w:rsidRPr="0019793B">
              <w:rPr>
                <w:rFonts w:ascii="Arial Narrow" w:hAnsi="Arial Narrow" w:cs="Arial"/>
                <w:b/>
                <w:sz w:val="20"/>
                <w:szCs w:val="20"/>
              </w:rPr>
              <w:t>Episodicity:</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19793B" w:rsidRDefault="00EA3D88" w:rsidP="00C37B58">
            <w:pPr>
              <w:rPr>
                <w:rFonts w:ascii="Arial Narrow" w:hAnsi="Arial Narrow" w:cs="Arial"/>
                <w:sz w:val="20"/>
                <w:szCs w:val="20"/>
              </w:rPr>
            </w:pPr>
            <w:r w:rsidRPr="0019793B">
              <w:rPr>
                <w:rFonts w:ascii="Arial Narrow" w:hAnsi="Arial Narrow" w:cs="Arial"/>
                <w:sz w:val="20"/>
                <w:szCs w:val="20"/>
              </w:rPr>
              <w:t>-</w:t>
            </w:r>
          </w:p>
        </w:tc>
      </w:tr>
      <w:tr w:rsidR="00EA3D88" w:rsidRPr="0019793B"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EA3D88" w:rsidRPr="0019793B" w:rsidRDefault="00EA3D88" w:rsidP="00C37B58">
            <w:pPr>
              <w:jc w:val="both"/>
              <w:rPr>
                <w:rFonts w:ascii="Arial Narrow" w:hAnsi="Arial Narrow" w:cs="Arial"/>
                <w:b/>
                <w:sz w:val="20"/>
                <w:szCs w:val="20"/>
              </w:rPr>
            </w:pPr>
            <w:r w:rsidRPr="0019793B">
              <w:rPr>
                <w:rFonts w:ascii="Arial Narrow" w:hAnsi="Arial Narrow" w:cs="Arial"/>
                <w:b/>
                <w:sz w:val="20"/>
                <w:szCs w:val="20"/>
              </w:rPr>
              <w:t>Severity:</w:t>
            </w:r>
          </w:p>
        </w:tc>
        <w:tc>
          <w:tcPr>
            <w:tcW w:w="6378" w:type="dxa"/>
            <w:gridSpan w:val="6"/>
            <w:tcBorders>
              <w:top w:val="single" w:sz="4" w:space="0" w:color="auto"/>
              <w:left w:val="single" w:sz="4" w:space="0" w:color="auto"/>
              <w:bottom w:val="single" w:sz="4" w:space="0" w:color="auto"/>
              <w:right w:val="single" w:sz="4" w:space="0" w:color="auto"/>
            </w:tcBorders>
          </w:tcPr>
          <w:p w:rsidR="00EA3D88" w:rsidRPr="0019793B" w:rsidRDefault="00EA3D88" w:rsidP="00C37B58">
            <w:pPr>
              <w:keepNext/>
              <w:rPr>
                <w:rFonts w:ascii="Arial Narrow" w:hAnsi="Arial Narrow"/>
                <w:sz w:val="20"/>
              </w:rPr>
            </w:pPr>
            <w:r w:rsidRPr="0019793B">
              <w:rPr>
                <w:rFonts w:ascii="Arial Narrow" w:hAnsi="Arial Narrow"/>
                <w:sz w:val="20"/>
              </w:rPr>
              <w:t>Moderate to severe</w:t>
            </w:r>
          </w:p>
        </w:tc>
      </w:tr>
      <w:tr w:rsidR="00EA3D88" w:rsidRPr="0019793B"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EA3D88" w:rsidRPr="0019793B" w:rsidRDefault="00EA3D88" w:rsidP="00C37B58">
            <w:pPr>
              <w:jc w:val="both"/>
              <w:rPr>
                <w:rFonts w:ascii="Arial Narrow" w:hAnsi="Arial Narrow" w:cs="Arial"/>
                <w:b/>
                <w:sz w:val="20"/>
                <w:szCs w:val="20"/>
              </w:rPr>
            </w:pPr>
            <w:r w:rsidRPr="0019793B">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EA3D88" w:rsidRPr="0019793B" w:rsidRDefault="00EA3D88" w:rsidP="00C37B58">
            <w:pPr>
              <w:keepNext/>
              <w:rPr>
                <w:rFonts w:ascii="Arial Narrow" w:hAnsi="Arial Narrow"/>
                <w:sz w:val="20"/>
              </w:rPr>
            </w:pPr>
            <w:r w:rsidRPr="0019793B">
              <w:rPr>
                <w:rFonts w:ascii="Arial Narrow" w:hAnsi="Arial Narrow"/>
                <w:sz w:val="20"/>
              </w:rPr>
              <w:t>plaque psoriasis</w:t>
            </w:r>
          </w:p>
        </w:tc>
      </w:tr>
      <w:tr w:rsidR="00EA3D88" w:rsidRPr="0019793B"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EA3D88" w:rsidRPr="0019793B" w:rsidRDefault="00EA3D88" w:rsidP="00C37B58">
            <w:pPr>
              <w:jc w:val="both"/>
              <w:rPr>
                <w:rFonts w:ascii="Arial Narrow" w:hAnsi="Arial Narrow" w:cs="Arial"/>
                <w:b/>
                <w:sz w:val="20"/>
                <w:szCs w:val="20"/>
              </w:rPr>
            </w:pPr>
            <w:r w:rsidRPr="0019793B">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EA3D88" w:rsidRPr="0019793B" w:rsidRDefault="00EA3D88" w:rsidP="00C37B58">
            <w:pPr>
              <w:keepNext/>
              <w:rPr>
                <w:rFonts w:ascii="Arial Narrow" w:hAnsi="Arial Narrow"/>
                <w:sz w:val="20"/>
              </w:rPr>
            </w:pPr>
            <w:r w:rsidRPr="0019793B">
              <w:rPr>
                <w:rFonts w:ascii="Arial Narrow" w:hAnsi="Arial Narrow"/>
                <w:sz w:val="20"/>
              </w:rPr>
              <w:t>Moderate to severe plaque psoriasis</w:t>
            </w:r>
          </w:p>
        </w:tc>
      </w:tr>
      <w:tr w:rsidR="00EA3D88" w:rsidRPr="0019793B"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EA3D88" w:rsidRPr="0019793B" w:rsidRDefault="00EA3D88" w:rsidP="00C37B58">
            <w:pPr>
              <w:jc w:val="both"/>
              <w:rPr>
                <w:rFonts w:ascii="Arial Narrow" w:hAnsi="Arial Narrow" w:cs="Arial"/>
                <w:b/>
                <w:sz w:val="20"/>
                <w:szCs w:val="20"/>
              </w:rPr>
            </w:pPr>
            <w:r w:rsidRPr="0019793B">
              <w:rPr>
                <w:rFonts w:ascii="Arial Narrow" w:hAnsi="Arial Narrow" w:cs="Arial"/>
                <w:b/>
                <w:sz w:val="20"/>
                <w:szCs w:val="20"/>
              </w:rPr>
              <w:t>Treatment phase:</w:t>
            </w:r>
          </w:p>
        </w:tc>
        <w:tc>
          <w:tcPr>
            <w:tcW w:w="6378" w:type="dxa"/>
            <w:gridSpan w:val="6"/>
            <w:tcBorders>
              <w:top w:val="single" w:sz="4" w:space="0" w:color="auto"/>
              <w:left w:val="single" w:sz="4" w:space="0" w:color="auto"/>
              <w:bottom w:val="single" w:sz="4" w:space="0" w:color="auto"/>
              <w:right w:val="single" w:sz="4" w:space="0" w:color="auto"/>
            </w:tcBorders>
          </w:tcPr>
          <w:p w:rsidR="00EA3D88" w:rsidRPr="0019793B" w:rsidRDefault="00EA3D88" w:rsidP="00C37B58">
            <w:pPr>
              <w:keepNext/>
              <w:rPr>
                <w:rFonts w:ascii="Arial Narrow" w:hAnsi="Arial Narrow"/>
                <w:sz w:val="20"/>
              </w:rPr>
            </w:pPr>
            <w:r w:rsidRPr="0019793B">
              <w:rPr>
                <w:rFonts w:ascii="Arial Narrow" w:hAnsi="Arial Narrow"/>
                <w:sz w:val="20"/>
              </w:rPr>
              <w:t>Initial treatment</w:t>
            </w:r>
          </w:p>
        </w:tc>
      </w:tr>
      <w:tr w:rsidR="00826F6D" w:rsidRPr="0019793B"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19793B" w:rsidRDefault="00826F6D" w:rsidP="00C37B58">
            <w:pPr>
              <w:rPr>
                <w:rFonts w:ascii="Arial Narrow" w:hAnsi="Arial Narrow" w:cs="Arial"/>
                <w:b/>
                <w:sz w:val="20"/>
                <w:szCs w:val="20"/>
              </w:rPr>
            </w:pPr>
            <w:r w:rsidRPr="0019793B">
              <w:rPr>
                <w:rFonts w:ascii="Arial Narrow" w:hAnsi="Arial Narrow" w:cs="Arial"/>
                <w:b/>
                <w:sz w:val="20"/>
                <w:szCs w:val="20"/>
              </w:rPr>
              <w:t>Restriction Level / Method:</w:t>
            </w:r>
          </w:p>
          <w:p w:rsidR="00826F6D" w:rsidRPr="0019793B" w:rsidRDefault="00826F6D" w:rsidP="00C37B58">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826F6D" w:rsidRPr="0019793B" w:rsidRDefault="00826F6D" w:rsidP="00C37B58">
            <w:pPr>
              <w:rPr>
                <w:rFonts w:ascii="Arial Narrow" w:hAnsi="Arial Narrow" w:cs="Arial"/>
                <w:sz w:val="20"/>
                <w:szCs w:val="20"/>
              </w:rPr>
            </w:pPr>
            <w:r w:rsidRPr="0019793B">
              <w:rPr>
                <w:rFonts w:ascii="Arial Narrow" w:hAnsi="Arial Narrow" w:cs="Arial"/>
                <w:sz w:val="20"/>
                <w:szCs w:val="20"/>
              </w:rPr>
              <w:fldChar w:fldCharType="begin">
                <w:ffData>
                  <w:name w:val="Check1"/>
                  <w:enabled/>
                  <w:calcOnExit w:val="0"/>
                  <w:checkBox>
                    <w:sizeAuto/>
                    <w:default w:val="0"/>
                  </w:checkBox>
                </w:ffData>
              </w:fldChar>
            </w:r>
            <w:r w:rsidRPr="0019793B">
              <w:rPr>
                <w:rFonts w:ascii="Arial Narrow" w:hAnsi="Arial Narrow" w:cs="Arial"/>
                <w:sz w:val="20"/>
                <w:szCs w:val="20"/>
              </w:rPr>
              <w:instrText xml:space="preserve"> FORMCHECKBOX </w:instrText>
            </w:r>
            <w:r w:rsidR="00F04CB3">
              <w:rPr>
                <w:rFonts w:ascii="Arial Narrow" w:hAnsi="Arial Narrow" w:cs="Arial"/>
                <w:sz w:val="20"/>
                <w:szCs w:val="20"/>
              </w:rPr>
            </w:r>
            <w:r w:rsidR="00F04CB3">
              <w:rPr>
                <w:rFonts w:ascii="Arial Narrow" w:hAnsi="Arial Narrow" w:cs="Arial"/>
                <w:sz w:val="20"/>
                <w:szCs w:val="20"/>
              </w:rPr>
              <w:fldChar w:fldCharType="separate"/>
            </w:r>
            <w:r w:rsidRPr="0019793B">
              <w:rPr>
                <w:rFonts w:ascii="Arial Narrow" w:hAnsi="Arial Narrow" w:cs="Arial"/>
                <w:sz w:val="20"/>
                <w:szCs w:val="20"/>
              </w:rPr>
              <w:fldChar w:fldCharType="end"/>
            </w:r>
            <w:r w:rsidRPr="0019793B">
              <w:rPr>
                <w:rFonts w:ascii="Arial Narrow" w:hAnsi="Arial Narrow" w:cs="Arial"/>
                <w:sz w:val="20"/>
                <w:szCs w:val="20"/>
              </w:rPr>
              <w:t>Restricted benefit</w:t>
            </w:r>
          </w:p>
          <w:p w:rsidR="00826F6D" w:rsidRPr="0019793B" w:rsidRDefault="00826F6D" w:rsidP="00C37B58">
            <w:pPr>
              <w:rPr>
                <w:rFonts w:ascii="Arial Narrow" w:hAnsi="Arial Narrow" w:cs="Arial"/>
                <w:sz w:val="20"/>
                <w:szCs w:val="20"/>
              </w:rPr>
            </w:pPr>
            <w:r w:rsidRPr="0019793B">
              <w:rPr>
                <w:rFonts w:ascii="Arial Narrow" w:hAnsi="Arial Narrow" w:cs="Arial"/>
                <w:sz w:val="20"/>
                <w:szCs w:val="20"/>
              </w:rPr>
              <w:fldChar w:fldCharType="begin">
                <w:ffData>
                  <w:name w:val=""/>
                  <w:enabled/>
                  <w:calcOnExit w:val="0"/>
                  <w:checkBox>
                    <w:sizeAuto/>
                    <w:default w:val="0"/>
                  </w:checkBox>
                </w:ffData>
              </w:fldChar>
            </w:r>
            <w:r w:rsidRPr="0019793B">
              <w:rPr>
                <w:rFonts w:ascii="Arial Narrow" w:hAnsi="Arial Narrow" w:cs="Arial"/>
                <w:sz w:val="20"/>
                <w:szCs w:val="20"/>
              </w:rPr>
              <w:instrText xml:space="preserve"> FORMCHECKBOX </w:instrText>
            </w:r>
            <w:r w:rsidR="00F04CB3">
              <w:rPr>
                <w:rFonts w:ascii="Arial Narrow" w:hAnsi="Arial Narrow" w:cs="Arial"/>
                <w:sz w:val="20"/>
                <w:szCs w:val="20"/>
              </w:rPr>
            </w:r>
            <w:r w:rsidR="00F04CB3">
              <w:rPr>
                <w:rFonts w:ascii="Arial Narrow" w:hAnsi="Arial Narrow" w:cs="Arial"/>
                <w:sz w:val="20"/>
                <w:szCs w:val="20"/>
              </w:rPr>
              <w:fldChar w:fldCharType="separate"/>
            </w:r>
            <w:r w:rsidRPr="0019793B">
              <w:rPr>
                <w:rFonts w:ascii="Arial Narrow" w:hAnsi="Arial Narrow" w:cs="Arial"/>
                <w:sz w:val="20"/>
                <w:szCs w:val="20"/>
              </w:rPr>
              <w:fldChar w:fldCharType="end"/>
            </w:r>
            <w:r w:rsidRPr="0019793B">
              <w:rPr>
                <w:rFonts w:ascii="Arial Narrow" w:hAnsi="Arial Narrow" w:cs="Arial"/>
                <w:sz w:val="20"/>
                <w:szCs w:val="20"/>
              </w:rPr>
              <w:t>Authority Required - In Writing</w:t>
            </w:r>
          </w:p>
          <w:p w:rsidR="00826F6D" w:rsidRPr="0019793B" w:rsidRDefault="00826F6D" w:rsidP="00C37B58">
            <w:pPr>
              <w:rPr>
                <w:rFonts w:ascii="Arial Narrow" w:hAnsi="Arial Narrow" w:cs="Arial"/>
                <w:sz w:val="20"/>
                <w:szCs w:val="20"/>
              </w:rPr>
            </w:pPr>
            <w:r w:rsidRPr="0019793B">
              <w:rPr>
                <w:rFonts w:ascii="Arial Narrow" w:hAnsi="Arial Narrow" w:cs="Arial"/>
                <w:sz w:val="20"/>
                <w:szCs w:val="20"/>
              </w:rPr>
              <w:fldChar w:fldCharType="begin">
                <w:ffData>
                  <w:name w:val="Check3"/>
                  <w:enabled/>
                  <w:calcOnExit w:val="0"/>
                  <w:checkBox>
                    <w:sizeAuto/>
                    <w:default w:val="0"/>
                  </w:checkBox>
                </w:ffData>
              </w:fldChar>
            </w:r>
            <w:r w:rsidRPr="0019793B">
              <w:rPr>
                <w:rFonts w:ascii="Arial Narrow" w:hAnsi="Arial Narrow" w:cs="Arial"/>
                <w:sz w:val="20"/>
                <w:szCs w:val="20"/>
              </w:rPr>
              <w:instrText xml:space="preserve"> FORMCHECKBOX </w:instrText>
            </w:r>
            <w:r w:rsidR="00F04CB3">
              <w:rPr>
                <w:rFonts w:ascii="Arial Narrow" w:hAnsi="Arial Narrow" w:cs="Arial"/>
                <w:sz w:val="20"/>
                <w:szCs w:val="20"/>
              </w:rPr>
            </w:r>
            <w:r w:rsidR="00F04CB3">
              <w:rPr>
                <w:rFonts w:ascii="Arial Narrow" w:hAnsi="Arial Narrow" w:cs="Arial"/>
                <w:sz w:val="20"/>
                <w:szCs w:val="20"/>
              </w:rPr>
              <w:fldChar w:fldCharType="separate"/>
            </w:r>
            <w:r w:rsidRPr="0019793B">
              <w:rPr>
                <w:rFonts w:ascii="Arial Narrow" w:hAnsi="Arial Narrow" w:cs="Arial"/>
                <w:sz w:val="20"/>
                <w:szCs w:val="20"/>
              </w:rPr>
              <w:fldChar w:fldCharType="end"/>
            </w:r>
            <w:r w:rsidRPr="0019793B">
              <w:rPr>
                <w:rFonts w:ascii="Arial Narrow" w:hAnsi="Arial Narrow" w:cs="Arial"/>
                <w:sz w:val="20"/>
                <w:szCs w:val="20"/>
              </w:rPr>
              <w:t>Authority Required - Telephone</w:t>
            </w:r>
          </w:p>
          <w:p w:rsidR="00826F6D" w:rsidRPr="0019793B" w:rsidRDefault="00826F6D" w:rsidP="00C37B58">
            <w:pPr>
              <w:rPr>
                <w:rFonts w:ascii="Arial Narrow" w:hAnsi="Arial Narrow" w:cs="Arial"/>
                <w:sz w:val="20"/>
                <w:szCs w:val="20"/>
              </w:rPr>
            </w:pPr>
            <w:r w:rsidRPr="0019793B">
              <w:rPr>
                <w:rFonts w:ascii="Arial Narrow" w:hAnsi="Arial Narrow" w:cs="Arial"/>
                <w:sz w:val="20"/>
                <w:szCs w:val="20"/>
              </w:rPr>
              <w:fldChar w:fldCharType="begin">
                <w:ffData>
                  <w:name w:val=""/>
                  <w:enabled/>
                  <w:calcOnExit w:val="0"/>
                  <w:checkBox>
                    <w:sizeAuto/>
                    <w:default w:val="0"/>
                  </w:checkBox>
                </w:ffData>
              </w:fldChar>
            </w:r>
            <w:r w:rsidRPr="0019793B">
              <w:rPr>
                <w:rFonts w:ascii="Arial Narrow" w:hAnsi="Arial Narrow" w:cs="Arial"/>
                <w:sz w:val="20"/>
                <w:szCs w:val="20"/>
              </w:rPr>
              <w:instrText xml:space="preserve"> FORMCHECKBOX </w:instrText>
            </w:r>
            <w:r w:rsidR="00F04CB3">
              <w:rPr>
                <w:rFonts w:ascii="Arial Narrow" w:hAnsi="Arial Narrow" w:cs="Arial"/>
                <w:sz w:val="20"/>
                <w:szCs w:val="20"/>
              </w:rPr>
            </w:r>
            <w:r w:rsidR="00F04CB3">
              <w:rPr>
                <w:rFonts w:ascii="Arial Narrow" w:hAnsi="Arial Narrow" w:cs="Arial"/>
                <w:sz w:val="20"/>
                <w:szCs w:val="20"/>
              </w:rPr>
              <w:fldChar w:fldCharType="separate"/>
            </w:r>
            <w:r w:rsidRPr="0019793B">
              <w:rPr>
                <w:rFonts w:ascii="Arial Narrow" w:hAnsi="Arial Narrow" w:cs="Arial"/>
                <w:sz w:val="20"/>
                <w:szCs w:val="20"/>
              </w:rPr>
              <w:fldChar w:fldCharType="end"/>
            </w:r>
            <w:r w:rsidRPr="0019793B">
              <w:rPr>
                <w:rFonts w:ascii="Arial Narrow" w:hAnsi="Arial Narrow" w:cs="Arial"/>
                <w:sz w:val="20"/>
                <w:szCs w:val="20"/>
              </w:rPr>
              <w:t xml:space="preserve">Authority Required </w:t>
            </w:r>
            <w:r w:rsidR="0053347E" w:rsidRPr="0019793B">
              <w:rPr>
                <w:rFonts w:ascii="Arial Narrow" w:hAnsi="Arial Narrow" w:cs="Arial"/>
                <w:sz w:val="20"/>
                <w:szCs w:val="20"/>
              </w:rPr>
              <w:t>-</w:t>
            </w:r>
            <w:r w:rsidRPr="0019793B">
              <w:rPr>
                <w:rFonts w:ascii="Arial Narrow" w:hAnsi="Arial Narrow" w:cs="Arial"/>
                <w:sz w:val="20"/>
                <w:szCs w:val="20"/>
              </w:rPr>
              <w:t xml:space="preserve"> Emergency</w:t>
            </w:r>
          </w:p>
          <w:p w:rsidR="00826F6D" w:rsidRPr="0019793B" w:rsidRDefault="00826F6D" w:rsidP="00C37B58">
            <w:pPr>
              <w:rPr>
                <w:rFonts w:ascii="Arial Narrow" w:hAnsi="Arial Narrow" w:cs="Arial"/>
                <w:sz w:val="20"/>
                <w:szCs w:val="20"/>
              </w:rPr>
            </w:pPr>
            <w:r w:rsidRPr="0019793B">
              <w:rPr>
                <w:rFonts w:ascii="Arial Narrow" w:hAnsi="Arial Narrow" w:cs="Arial"/>
                <w:sz w:val="20"/>
                <w:szCs w:val="20"/>
              </w:rPr>
              <w:fldChar w:fldCharType="begin">
                <w:ffData>
                  <w:name w:val="Check5"/>
                  <w:enabled/>
                  <w:calcOnExit w:val="0"/>
                  <w:checkBox>
                    <w:sizeAuto/>
                    <w:default w:val="0"/>
                  </w:checkBox>
                </w:ffData>
              </w:fldChar>
            </w:r>
            <w:r w:rsidRPr="0019793B">
              <w:rPr>
                <w:rFonts w:ascii="Arial Narrow" w:hAnsi="Arial Narrow" w:cs="Arial"/>
                <w:sz w:val="20"/>
                <w:szCs w:val="20"/>
              </w:rPr>
              <w:instrText xml:space="preserve"> FORMCHECKBOX </w:instrText>
            </w:r>
            <w:r w:rsidR="00F04CB3">
              <w:rPr>
                <w:rFonts w:ascii="Arial Narrow" w:hAnsi="Arial Narrow" w:cs="Arial"/>
                <w:sz w:val="20"/>
                <w:szCs w:val="20"/>
              </w:rPr>
            </w:r>
            <w:r w:rsidR="00F04CB3">
              <w:rPr>
                <w:rFonts w:ascii="Arial Narrow" w:hAnsi="Arial Narrow" w:cs="Arial"/>
                <w:sz w:val="20"/>
                <w:szCs w:val="20"/>
              </w:rPr>
              <w:fldChar w:fldCharType="separate"/>
            </w:r>
            <w:r w:rsidRPr="0019793B">
              <w:rPr>
                <w:rFonts w:ascii="Arial Narrow" w:hAnsi="Arial Narrow" w:cs="Arial"/>
                <w:sz w:val="20"/>
                <w:szCs w:val="20"/>
              </w:rPr>
              <w:fldChar w:fldCharType="end"/>
            </w:r>
            <w:r w:rsidRPr="0019793B">
              <w:rPr>
                <w:rFonts w:ascii="Arial Narrow" w:hAnsi="Arial Narrow" w:cs="Arial"/>
                <w:sz w:val="20"/>
                <w:szCs w:val="20"/>
              </w:rPr>
              <w:t>Authority Required - Electronic</w:t>
            </w:r>
          </w:p>
          <w:p w:rsidR="00826F6D" w:rsidRPr="0019793B" w:rsidRDefault="00EA3D88" w:rsidP="00C37B58">
            <w:pPr>
              <w:rPr>
                <w:rFonts w:ascii="Arial Narrow" w:hAnsi="Arial Narrow" w:cs="Arial"/>
                <w:sz w:val="20"/>
                <w:szCs w:val="20"/>
              </w:rPr>
            </w:pPr>
            <w:r w:rsidRPr="0019793B">
              <w:rPr>
                <w:rFonts w:ascii="Arial Narrow" w:hAnsi="Arial Narrow" w:cs="Arial"/>
                <w:sz w:val="20"/>
                <w:szCs w:val="20"/>
              </w:rPr>
              <w:fldChar w:fldCharType="begin">
                <w:ffData>
                  <w:name w:val="Check5"/>
                  <w:enabled/>
                  <w:calcOnExit w:val="0"/>
                  <w:checkBox>
                    <w:sizeAuto/>
                    <w:default w:val="1"/>
                  </w:checkBox>
                </w:ffData>
              </w:fldChar>
            </w:r>
            <w:bookmarkStart w:id="0" w:name="Check5"/>
            <w:r w:rsidRPr="0019793B">
              <w:rPr>
                <w:rFonts w:ascii="Arial Narrow" w:hAnsi="Arial Narrow" w:cs="Arial"/>
                <w:sz w:val="20"/>
                <w:szCs w:val="20"/>
              </w:rPr>
              <w:instrText xml:space="preserve"> FORMCHECKBOX </w:instrText>
            </w:r>
            <w:r w:rsidR="00F04CB3">
              <w:rPr>
                <w:rFonts w:ascii="Arial Narrow" w:hAnsi="Arial Narrow" w:cs="Arial"/>
                <w:sz w:val="20"/>
                <w:szCs w:val="20"/>
              </w:rPr>
            </w:r>
            <w:r w:rsidR="00F04CB3">
              <w:rPr>
                <w:rFonts w:ascii="Arial Narrow" w:hAnsi="Arial Narrow" w:cs="Arial"/>
                <w:sz w:val="20"/>
                <w:szCs w:val="20"/>
              </w:rPr>
              <w:fldChar w:fldCharType="separate"/>
            </w:r>
            <w:r w:rsidRPr="0019793B">
              <w:rPr>
                <w:rFonts w:ascii="Arial Narrow" w:hAnsi="Arial Narrow" w:cs="Arial"/>
                <w:sz w:val="20"/>
                <w:szCs w:val="20"/>
              </w:rPr>
              <w:fldChar w:fldCharType="end"/>
            </w:r>
            <w:bookmarkEnd w:id="0"/>
            <w:r w:rsidR="00826F6D" w:rsidRPr="0019793B">
              <w:rPr>
                <w:rFonts w:ascii="Arial Narrow" w:hAnsi="Arial Narrow" w:cs="Arial"/>
                <w:sz w:val="20"/>
                <w:szCs w:val="20"/>
              </w:rPr>
              <w:t>Streamlined</w:t>
            </w:r>
          </w:p>
        </w:tc>
      </w:tr>
      <w:tr w:rsidR="00826F6D" w:rsidRPr="0019793B"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19793B" w:rsidRDefault="00826F6D" w:rsidP="00C37B58">
            <w:pPr>
              <w:rPr>
                <w:rFonts w:ascii="Arial Narrow" w:hAnsi="Arial Narrow" w:cs="Arial"/>
                <w:b/>
                <w:sz w:val="20"/>
                <w:szCs w:val="20"/>
              </w:rPr>
            </w:pPr>
            <w:r w:rsidRPr="0019793B">
              <w:rPr>
                <w:rFonts w:ascii="Arial Narrow" w:hAnsi="Arial Narrow" w:cs="Arial"/>
                <w:b/>
                <w:sz w:val="20"/>
                <w:szCs w:val="20"/>
              </w:rPr>
              <w:t>Treatment criteria:</w:t>
            </w:r>
          </w:p>
          <w:p w:rsidR="00826F6D" w:rsidRPr="0019793B" w:rsidRDefault="00826F6D" w:rsidP="00C37B58">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EA3D88" w:rsidRPr="0019793B" w:rsidRDefault="00EA3D88" w:rsidP="00C37B58">
            <w:pPr>
              <w:keepNext/>
              <w:keepLines/>
              <w:spacing w:line="276" w:lineRule="auto"/>
              <w:rPr>
                <w:rFonts w:ascii="Arial Narrow" w:hAnsi="Arial Narrow"/>
                <w:sz w:val="20"/>
              </w:rPr>
            </w:pPr>
            <w:r w:rsidRPr="0019793B">
              <w:rPr>
                <w:rFonts w:ascii="Arial Narrow" w:hAnsi="Arial Narrow"/>
                <w:sz w:val="20"/>
              </w:rPr>
              <w:t>Must be treated by a dermatologist, OR</w:t>
            </w:r>
          </w:p>
          <w:p w:rsidR="00826F6D" w:rsidRPr="0019793B" w:rsidRDefault="00EA3D88" w:rsidP="00C37B58">
            <w:pPr>
              <w:keepNext/>
              <w:keepLines/>
              <w:spacing w:line="276" w:lineRule="auto"/>
              <w:rPr>
                <w:rFonts w:ascii="Arial Narrow" w:hAnsi="Arial Narrow" w:cs="Arial"/>
                <w:sz w:val="20"/>
                <w:szCs w:val="20"/>
              </w:rPr>
            </w:pPr>
            <w:r w:rsidRPr="0019793B">
              <w:rPr>
                <w:rFonts w:ascii="Arial Narrow" w:hAnsi="Arial Narrow"/>
                <w:sz w:val="20"/>
              </w:rPr>
              <w:t>Must be treated by a general physician with expertise in the management of plaque psoriasis.</w:t>
            </w:r>
          </w:p>
        </w:tc>
      </w:tr>
      <w:tr w:rsidR="00826F6D" w:rsidRPr="0019793B"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19793B" w:rsidRDefault="00826F6D" w:rsidP="00C37B58">
            <w:pPr>
              <w:jc w:val="both"/>
              <w:rPr>
                <w:rFonts w:ascii="Arial Narrow" w:hAnsi="Arial Narrow" w:cs="Arial"/>
                <w:b/>
                <w:sz w:val="20"/>
                <w:szCs w:val="20"/>
              </w:rPr>
            </w:pPr>
            <w:r w:rsidRPr="0019793B">
              <w:rPr>
                <w:rFonts w:ascii="Arial Narrow" w:hAnsi="Arial Narrow" w:cs="Arial"/>
                <w:b/>
                <w:sz w:val="20"/>
                <w:szCs w:val="20"/>
              </w:rPr>
              <w:t>Clinical criteria:</w:t>
            </w:r>
          </w:p>
          <w:p w:rsidR="00826F6D" w:rsidRPr="0019793B" w:rsidRDefault="00826F6D" w:rsidP="00C37B58">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826F6D" w:rsidRPr="0019793B" w:rsidRDefault="00EA3D88" w:rsidP="00C37B58">
            <w:pPr>
              <w:jc w:val="both"/>
              <w:rPr>
                <w:rFonts w:ascii="Arial Narrow" w:hAnsi="Arial Narrow" w:cs="Arial"/>
                <w:sz w:val="20"/>
                <w:szCs w:val="20"/>
              </w:rPr>
            </w:pPr>
            <w:r w:rsidRPr="0019793B">
              <w:rPr>
                <w:rFonts w:ascii="Arial Narrow" w:hAnsi="Arial Narrow"/>
                <w:i/>
                <w:sz w:val="20"/>
              </w:rPr>
              <w:t>Patient must have failed to achieve an adequate response or be contraindicated to treatment with methotrexate</w:t>
            </w:r>
          </w:p>
        </w:tc>
      </w:tr>
      <w:tr w:rsidR="00826F6D" w:rsidRPr="0019793B"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19793B" w:rsidRDefault="00826F6D" w:rsidP="00C37B58">
            <w:pPr>
              <w:jc w:val="both"/>
              <w:rPr>
                <w:rFonts w:ascii="Arial Narrow" w:hAnsi="Arial Narrow" w:cs="Arial"/>
                <w:b/>
                <w:sz w:val="20"/>
                <w:szCs w:val="20"/>
              </w:rPr>
            </w:pPr>
            <w:r w:rsidRPr="0019793B">
              <w:rPr>
                <w:rFonts w:ascii="Arial Narrow" w:hAnsi="Arial Narrow" w:cs="Arial"/>
                <w:b/>
                <w:sz w:val="20"/>
                <w:szCs w:val="20"/>
              </w:rPr>
              <w:lastRenderedPageBreak/>
              <w:t>Administrative Advice</w:t>
            </w:r>
          </w:p>
        </w:tc>
        <w:tc>
          <w:tcPr>
            <w:tcW w:w="6378" w:type="dxa"/>
            <w:gridSpan w:val="6"/>
            <w:tcBorders>
              <w:top w:val="single" w:sz="4" w:space="0" w:color="auto"/>
              <w:left w:val="single" w:sz="4" w:space="0" w:color="auto"/>
              <w:bottom w:val="single" w:sz="4" w:space="0" w:color="auto"/>
              <w:right w:val="single" w:sz="4" w:space="0" w:color="auto"/>
            </w:tcBorders>
          </w:tcPr>
          <w:p w:rsidR="00EA3D88" w:rsidRPr="0019793B" w:rsidRDefault="00EA3D88" w:rsidP="00C37B58">
            <w:pPr>
              <w:keepNext/>
              <w:rPr>
                <w:rFonts w:ascii="Arial Narrow" w:hAnsi="Arial Narrow"/>
                <w:sz w:val="20"/>
              </w:rPr>
            </w:pPr>
            <w:r w:rsidRPr="0019793B">
              <w:rPr>
                <w:rFonts w:ascii="Arial Narrow" w:hAnsi="Arial Narrow"/>
                <w:sz w:val="20"/>
              </w:rPr>
              <w:t>No increase in the maximum number of repeats may be authorised.</w:t>
            </w:r>
          </w:p>
          <w:p w:rsidR="00EA3D88" w:rsidRPr="0019793B" w:rsidRDefault="00EA3D88" w:rsidP="00C37B58">
            <w:pPr>
              <w:keepNext/>
              <w:rPr>
                <w:rFonts w:ascii="Arial Narrow" w:hAnsi="Arial Narrow"/>
                <w:sz w:val="20"/>
              </w:rPr>
            </w:pPr>
          </w:p>
          <w:p w:rsidR="00EA3D88" w:rsidRPr="0019793B" w:rsidRDefault="00EA3D88" w:rsidP="00C37B58">
            <w:pPr>
              <w:keepNext/>
              <w:rPr>
                <w:rFonts w:ascii="Arial Narrow" w:hAnsi="Arial Narrow"/>
                <w:sz w:val="20"/>
              </w:rPr>
            </w:pPr>
            <w:r w:rsidRPr="0019793B">
              <w:rPr>
                <w:rFonts w:ascii="Arial Narrow" w:hAnsi="Arial Narrow"/>
                <w:sz w:val="20"/>
              </w:rPr>
              <w:t>No increase in the maximum quantity or number of units may be authorised.</w:t>
            </w:r>
          </w:p>
          <w:p w:rsidR="00EA3D88" w:rsidRPr="0019793B" w:rsidRDefault="00EA3D88" w:rsidP="00C37B58">
            <w:pPr>
              <w:keepNext/>
              <w:rPr>
                <w:rFonts w:ascii="Arial Narrow" w:hAnsi="Arial Narrow"/>
                <w:sz w:val="20"/>
              </w:rPr>
            </w:pPr>
          </w:p>
          <w:p w:rsidR="00826F6D" w:rsidRPr="0019793B" w:rsidRDefault="00EA3D88" w:rsidP="00C37B58">
            <w:pPr>
              <w:rPr>
                <w:rFonts w:ascii="Arial Narrow" w:hAnsi="Arial Narrow" w:cs="Arial"/>
                <w:sz w:val="20"/>
                <w:szCs w:val="20"/>
              </w:rPr>
            </w:pPr>
            <w:r w:rsidRPr="0019793B">
              <w:rPr>
                <w:rFonts w:ascii="Arial Narrow" w:hAnsi="Arial Narrow"/>
                <w:sz w:val="20"/>
              </w:rPr>
              <w:t>Special Pricing Arrangements apply.</w:t>
            </w:r>
          </w:p>
        </w:tc>
      </w:tr>
    </w:tbl>
    <w:p w:rsidR="00826F6D" w:rsidRPr="0019793B" w:rsidRDefault="00826F6D" w:rsidP="00C37B58">
      <w:pPr>
        <w:pStyle w:val="ListParagraph"/>
        <w:widowControl/>
        <w:rPr>
          <w:szCs w:val="22"/>
        </w:rPr>
      </w:pPr>
    </w:p>
    <w:tbl>
      <w:tblPr>
        <w:tblW w:w="8363" w:type="dxa"/>
        <w:tblInd w:w="817" w:type="dxa"/>
        <w:tblLayout w:type="fixed"/>
        <w:tblLook w:val="0000" w:firstRow="0" w:lastRow="0" w:firstColumn="0" w:lastColumn="0" w:noHBand="0" w:noVBand="0"/>
      </w:tblPr>
      <w:tblGrid>
        <w:gridCol w:w="1985"/>
        <w:gridCol w:w="567"/>
        <w:gridCol w:w="708"/>
        <w:gridCol w:w="709"/>
        <w:gridCol w:w="1985"/>
        <w:gridCol w:w="1275"/>
        <w:gridCol w:w="1134"/>
      </w:tblGrid>
      <w:tr w:rsidR="00EA3D88" w:rsidRPr="0019793B" w:rsidTr="00BA665A">
        <w:trPr>
          <w:cantSplit/>
          <w:trHeight w:val="471"/>
        </w:trPr>
        <w:tc>
          <w:tcPr>
            <w:tcW w:w="2552" w:type="dxa"/>
            <w:gridSpan w:val="2"/>
            <w:tcBorders>
              <w:bottom w:val="single" w:sz="4" w:space="0" w:color="auto"/>
            </w:tcBorders>
          </w:tcPr>
          <w:p w:rsidR="00EA3D88" w:rsidRPr="0019793B" w:rsidRDefault="00EA3D88" w:rsidP="00C37B58">
            <w:pPr>
              <w:keepNext/>
              <w:ind w:left="-108"/>
              <w:jc w:val="both"/>
              <w:rPr>
                <w:rFonts w:ascii="Arial Narrow" w:hAnsi="Arial Narrow" w:cs="Arial"/>
                <w:b/>
                <w:sz w:val="20"/>
                <w:szCs w:val="20"/>
              </w:rPr>
            </w:pPr>
            <w:r w:rsidRPr="0019793B">
              <w:rPr>
                <w:rFonts w:ascii="Arial Narrow" w:hAnsi="Arial Narrow" w:cs="Arial"/>
                <w:b/>
                <w:sz w:val="20"/>
                <w:szCs w:val="20"/>
              </w:rPr>
              <w:t>Name, Restriction,</w:t>
            </w:r>
          </w:p>
          <w:p w:rsidR="00EA3D88" w:rsidRPr="0019793B" w:rsidRDefault="00EA3D88" w:rsidP="00C37B58">
            <w:pPr>
              <w:keepNext/>
              <w:ind w:left="-108"/>
              <w:jc w:val="both"/>
              <w:rPr>
                <w:rFonts w:ascii="Arial Narrow" w:hAnsi="Arial Narrow" w:cs="Arial"/>
                <w:b/>
                <w:sz w:val="20"/>
                <w:szCs w:val="20"/>
              </w:rPr>
            </w:pPr>
            <w:r w:rsidRPr="0019793B">
              <w:rPr>
                <w:rFonts w:ascii="Arial Narrow" w:hAnsi="Arial Narrow" w:cs="Arial"/>
                <w:b/>
                <w:sz w:val="20"/>
                <w:szCs w:val="20"/>
              </w:rPr>
              <w:t>Manner of administration and form</w:t>
            </w:r>
          </w:p>
        </w:tc>
        <w:tc>
          <w:tcPr>
            <w:tcW w:w="708" w:type="dxa"/>
            <w:tcBorders>
              <w:bottom w:val="single" w:sz="4" w:space="0" w:color="auto"/>
            </w:tcBorders>
          </w:tcPr>
          <w:p w:rsidR="00EA3D88" w:rsidRPr="0019793B" w:rsidRDefault="00EA3D88" w:rsidP="00C37B58">
            <w:pPr>
              <w:keepNext/>
              <w:ind w:left="-108"/>
              <w:rPr>
                <w:rFonts w:ascii="Arial Narrow" w:hAnsi="Arial Narrow" w:cs="Arial"/>
                <w:b/>
                <w:sz w:val="20"/>
                <w:szCs w:val="20"/>
              </w:rPr>
            </w:pPr>
            <w:r w:rsidRPr="0019793B">
              <w:rPr>
                <w:rFonts w:ascii="Arial Narrow" w:hAnsi="Arial Narrow" w:cs="Arial"/>
                <w:b/>
                <w:sz w:val="20"/>
                <w:szCs w:val="20"/>
              </w:rPr>
              <w:t>Max.</w:t>
            </w:r>
          </w:p>
          <w:p w:rsidR="00EA3D88" w:rsidRPr="0019793B" w:rsidRDefault="00EA3D88" w:rsidP="00C37B58">
            <w:pPr>
              <w:keepNext/>
              <w:ind w:left="-108"/>
              <w:rPr>
                <w:rFonts w:ascii="Arial Narrow" w:hAnsi="Arial Narrow" w:cs="Arial"/>
                <w:b/>
                <w:sz w:val="20"/>
                <w:szCs w:val="20"/>
              </w:rPr>
            </w:pPr>
            <w:r w:rsidRPr="0019793B">
              <w:rPr>
                <w:rFonts w:ascii="Arial Narrow" w:hAnsi="Arial Narrow" w:cs="Arial"/>
                <w:b/>
                <w:sz w:val="20"/>
                <w:szCs w:val="20"/>
              </w:rPr>
              <w:t>Qty</w:t>
            </w:r>
          </w:p>
        </w:tc>
        <w:tc>
          <w:tcPr>
            <w:tcW w:w="709" w:type="dxa"/>
            <w:tcBorders>
              <w:bottom w:val="single" w:sz="4" w:space="0" w:color="auto"/>
            </w:tcBorders>
          </w:tcPr>
          <w:p w:rsidR="00EA3D88" w:rsidRPr="0019793B" w:rsidRDefault="00EA3D88" w:rsidP="00C37B58">
            <w:pPr>
              <w:keepNext/>
              <w:ind w:left="-108"/>
              <w:rPr>
                <w:rFonts w:ascii="Arial Narrow" w:hAnsi="Arial Narrow" w:cs="Arial"/>
                <w:b/>
                <w:sz w:val="20"/>
                <w:szCs w:val="20"/>
              </w:rPr>
            </w:pPr>
            <w:r w:rsidRPr="0019793B">
              <w:rPr>
                <w:rFonts w:ascii="Arial Narrow" w:hAnsi="Arial Narrow" w:cs="Arial"/>
                <w:b/>
                <w:sz w:val="20"/>
                <w:szCs w:val="20"/>
              </w:rPr>
              <w:t>№.of</w:t>
            </w:r>
          </w:p>
          <w:p w:rsidR="00EA3D88" w:rsidRPr="0019793B" w:rsidRDefault="00EA3D88" w:rsidP="00C37B58">
            <w:pPr>
              <w:keepNext/>
              <w:ind w:left="-108"/>
              <w:rPr>
                <w:rFonts w:ascii="Arial Narrow" w:hAnsi="Arial Narrow" w:cs="Arial"/>
                <w:b/>
                <w:sz w:val="20"/>
                <w:szCs w:val="20"/>
              </w:rPr>
            </w:pPr>
            <w:r w:rsidRPr="0019793B">
              <w:rPr>
                <w:rFonts w:ascii="Arial Narrow" w:hAnsi="Arial Narrow" w:cs="Arial"/>
                <w:b/>
                <w:sz w:val="20"/>
                <w:szCs w:val="20"/>
              </w:rPr>
              <w:t>Rpts</w:t>
            </w:r>
          </w:p>
        </w:tc>
        <w:tc>
          <w:tcPr>
            <w:tcW w:w="1985" w:type="dxa"/>
            <w:tcBorders>
              <w:bottom w:val="single" w:sz="4" w:space="0" w:color="auto"/>
            </w:tcBorders>
          </w:tcPr>
          <w:p w:rsidR="00EA3D88" w:rsidRPr="0019793B" w:rsidRDefault="00EA3D88" w:rsidP="00C37B58">
            <w:pPr>
              <w:keepNext/>
              <w:ind w:left="-108"/>
              <w:jc w:val="both"/>
              <w:rPr>
                <w:rFonts w:ascii="Arial Narrow" w:hAnsi="Arial Narrow" w:cs="Arial"/>
                <w:b/>
                <w:sz w:val="20"/>
                <w:szCs w:val="20"/>
              </w:rPr>
            </w:pPr>
            <w:r w:rsidRPr="0019793B">
              <w:rPr>
                <w:rFonts w:ascii="Arial Narrow" w:hAnsi="Arial Narrow" w:cs="Arial"/>
                <w:b/>
                <w:sz w:val="20"/>
                <w:szCs w:val="20"/>
              </w:rPr>
              <w:t>Dispensed Price for Max. Qty</w:t>
            </w:r>
          </w:p>
        </w:tc>
        <w:tc>
          <w:tcPr>
            <w:tcW w:w="2409" w:type="dxa"/>
            <w:gridSpan w:val="2"/>
            <w:tcBorders>
              <w:bottom w:val="single" w:sz="4" w:space="0" w:color="auto"/>
            </w:tcBorders>
          </w:tcPr>
          <w:p w:rsidR="00EA3D88" w:rsidRPr="0019793B" w:rsidRDefault="00EA3D88" w:rsidP="00C37B58">
            <w:pPr>
              <w:keepNext/>
              <w:jc w:val="both"/>
              <w:rPr>
                <w:rFonts w:ascii="Arial Narrow" w:hAnsi="Arial Narrow" w:cs="Arial"/>
                <w:b/>
                <w:sz w:val="20"/>
                <w:szCs w:val="20"/>
                <w:lang w:val="fr-FR"/>
              </w:rPr>
            </w:pPr>
            <w:r w:rsidRPr="0019793B">
              <w:rPr>
                <w:rFonts w:ascii="Arial Narrow" w:hAnsi="Arial Narrow" w:cs="Arial"/>
                <w:b/>
                <w:sz w:val="20"/>
                <w:szCs w:val="20"/>
              </w:rPr>
              <w:t>Proprietary Name and Manufacturer</w:t>
            </w:r>
          </w:p>
        </w:tc>
      </w:tr>
      <w:tr w:rsidR="00EA3D88" w:rsidRPr="0019793B" w:rsidTr="00BA665A">
        <w:trPr>
          <w:cantSplit/>
          <w:trHeight w:val="325"/>
        </w:trPr>
        <w:tc>
          <w:tcPr>
            <w:tcW w:w="2552" w:type="dxa"/>
            <w:gridSpan w:val="2"/>
          </w:tcPr>
          <w:p w:rsidR="00EA3D88" w:rsidRPr="0019793B" w:rsidRDefault="00EA3D88" w:rsidP="00C37B58">
            <w:pPr>
              <w:keepNext/>
              <w:keepLines/>
              <w:rPr>
                <w:rFonts w:ascii="Arial Narrow" w:hAnsi="Arial Narrow"/>
                <w:smallCaps/>
                <w:sz w:val="20"/>
              </w:rPr>
            </w:pPr>
            <w:r w:rsidRPr="0019793B">
              <w:rPr>
                <w:rFonts w:ascii="Arial Narrow" w:hAnsi="Arial Narrow"/>
                <w:smallCaps/>
                <w:sz w:val="20"/>
              </w:rPr>
              <w:t>Apremilast</w:t>
            </w:r>
          </w:p>
          <w:p w:rsidR="00EA3D88" w:rsidRPr="0019793B" w:rsidRDefault="00EA3D88" w:rsidP="00C37B58">
            <w:pPr>
              <w:keepNext/>
              <w:keepLines/>
              <w:rPr>
                <w:rFonts w:ascii="Arial Narrow" w:hAnsi="Arial Narrow"/>
                <w:sz w:val="20"/>
              </w:rPr>
            </w:pPr>
            <w:r w:rsidRPr="0019793B">
              <w:rPr>
                <w:rFonts w:ascii="Arial Narrow" w:hAnsi="Arial Narrow"/>
                <w:sz w:val="20"/>
              </w:rPr>
              <w:t>Tablets, 30mg</w:t>
            </w:r>
          </w:p>
          <w:p w:rsidR="00EA3D88" w:rsidRPr="0019793B" w:rsidRDefault="00EA3D88" w:rsidP="00C37B58">
            <w:pPr>
              <w:keepNext/>
              <w:keepLines/>
              <w:rPr>
                <w:rFonts w:ascii="Arial Narrow" w:hAnsi="Arial Narrow"/>
                <w:smallCaps/>
                <w:sz w:val="20"/>
              </w:rPr>
            </w:pPr>
          </w:p>
        </w:tc>
        <w:tc>
          <w:tcPr>
            <w:tcW w:w="708" w:type="dxa"/>
          </w:tcPr>
          <w:p w:rsidR="00EA3D88" w:rsidRPr="0019793B" w:rsidRDefault="00EA3D88" w:rsidP="00C37B58">
            <w:pPr>
              <w:keepNext/>
              <w:keepLines/>
              <w:rPr>
                <w:rFonts w:ascii="Arial Narrow" w:hAnsi="Arial Narrow"/>
                <w:sz w:val="20"/>
              </w:rPr>
            </w:pPr>
          </w:p>
          <w:p w:rsidR="00EA3D88" w:rsidRPr="0019793B" w:rsidRDefault="00EA3D88" w:rsidP="00C37B58">
            <w:pPr>
              <w:keepNext/>
              <w:keepLines/>
              <w:rPr>
                <w:rFonts w:ascii="Arial Narrow" w:hAnsi="Arial Narrow"/>
                <w:sz w:val="20"/>
              </w:rPr>
            </w:pPr>
            <w:r w:rsidRPr="0019793B">
              <w:rPr>
                <w:rFonts w:ascii="Arial Narrow" w:hAnsi="Arial Narrow"/>
                <w:sz w:val="20"/>
              </w:rPr>
              <w:t>56</w:t>
            </w:r>
          </w:p>
        </w:tc>
        <w:tc>
          <w:tcPr>
            <w:tcW w:w="709" w:type="dxa"/>
          </w:tcPr>
          <w:p w:rsidR="00EA3D88" w:rsidRPr="0019793B" w:rsidRDefault="00EA3D88" w:rsidP="00C37B58">
            <w:pPr>
              <w:keepNext/>
              <w:keepLines/>
              <w:rPr>
                <w:rFonts w:ascii="Arial Narrow" w:hAnsi="Arial Narrow"/>
                <w:sz w:val="20"/>
              </w:rPr>
            </w:pPr>
          </w:p>
          <w:p w:rsidR="00EA3D88" w:rsidRPr="0019793B" w:rsidRDefault="00EA3D88" w:rsidP="00C37B58">
            <w:pPr>
              <w:keepNext/>
              <w:keepLines/>
              <w:rPr>
                <w:rFonts w:ascii="Arial Narrow" w:hAnsi="Arial Narrow"/>
                <w:sz w:val="20"/>
              </w:rPr>
            </w:pPr>
            <w:r w:rsidRPr="0019793B">
              <w:rPr>
                <w:rFonts w:ascii="Arial Narrow" w:hAnsi="Arial Narrow"/>
                <w:sz w:val="20"/>
              </w:rPr>
              <w:t>5</w:t>
            </w:r>
          </w:p>
        </w:tc>
        <w:tc>
          <w:tcPr>
            <w:tcW w:w="1985" w:type="dxa"/>
          </w:tcPr>
          <w:p w:rsidR="00EA3D88" w:rsidRPr="0019793B" w:rsidRDefault="00EA3D88" w:rsidP="00C37B58">
            <w:pPr>
              <w:keepNext/>
              <w:keepLines/>
              <w:rPr>
                <w:rFonts w:ascii="Arial Narrow" w:hAnsi="Arial Narrow"/>
                <w:sz w:val="20"/>
              </w:rPr>
            </w:pPr>
          </w:p>
          <w:p w:rsidR="00BA665A" w:rsidRPr="00F17FFB" w:rsidRDefault="00BA665A" w:rsidP="00D5365B">
            <w:pPr>
              <w:keepNext/>
              <w:keepLines/>
              <w:rPr>
                <w:rFonts w:ascii="Arial Narrow" w:hAnsi="Arial Narrow"/>
                <w:strike/>
                <w:sz w:val="20"/>
              </w:rPr>
            </w:pPr>
            <w:r w:rsidRPr="00BE080A">
              <w:rPr>
                <w:rFonts w:ascii="Arial Narrow" w:hAnsi="Arial Narrow"/>
                <w:strike/>
                <w:sz w:val="20"/>
              </w:rPr>
              <w:t>$</w:t>
            </w:r>
            <w:r w:rsidR="00F17FFB">
              <w:rPr>
                <w:rFonts w:ascii="Arial Narrow" w:hAnsi="Arial Narrow"/>
                <w:strike/>
                <w:noProof/>
                <w:color w:val="000000"/>
                <w:sz w:val="20"/>
                <w:highlight w:val="black"/>
              </w:rPr>
              <w:t>''''''''''''''''</w:t>
            </w:r>
          </w:p>
          <w:p w:rsidR="00EA3D88" w:rsidRPr="00BE080A" w:rsidRDefault="00F17FFB" w:rsidP="00D5365B">
            <w:pPr>
              <w:keepNext/>
              <w:keepLines/>
              <w:rPr>
                <w:rFonts w:ascii="Arial Narrow" w:hAnsi="Arial Narrow"/>
                <w:i/>
                <w:sz w:val="20"/>
              </w:rPr>
            </w:pPr>
            <w:r>
              <w:rPr>
                <w:rFonts w:ascii="Arial Narrow" w:hAnsi="Arial Narrow"/>
                <w:strike/>
                <w:noProof/>
                <w:color w:val="000000"/>
                <w:sz w:val="20"/>
                <w:highlight w:val="black"/>
              </w:rPr>
              <w:t>''''''''''''''''''''''' '''''''''''''''''''</w:t>
            </w:r>
            <w:r w:rsidR="00D5365B" w:rsidRPr="00BE080A">
              <w:rPr>
                <w:rFonts w:ascii="Arial Narrow" w:hAnsi="Arial Narrow"/>
                <w:i/>
                <w:sz w:val="20"/>
              </w:rPr>
              <w:t>$</w:t>
            </w:r>
            <w:r>
              <w:rPr>
                <w:rFonts w:ascii="Arial Narrow" w:hAnsi="Arial Narrow"/>
                <w:i/>
                <w:noProof/>
                <w:color w:val="000000"/>
                <w:sz w:val="20"/>
                <w:highlight w:val="black"/>
              </w:rPr>
              <w:t>''''''''''''''''''</w:t>
            </w:r>
          </w:p>
        </w:tc>
        <w:tc>
          <w:tcPr>
            <w:tcW w:w="1275" w:type="dxa"/>
            <w:vAlign w:val="center"/>
          </w:tcPr>
          <w:p w:rsidR="00EA3D88" w:rsidRPr="0019793B" w:rsidRDefault="00EA3D88" w:rsidP="00C37B58">
            <w:pPr>
              <w:keepNext/>
              <w:keepLines/>
              <w:jc w:val="center"/>
              <w:rPr>
                <w:rFonts w:ascii="Arial Narrow" w:hAnsi="Arial Narrow"/>
                <w:sz w:val="20"/>
              </w:rPr>
            </w:pPr>
            <w:r w:rsidRPr="0019793B">
              <w:rPr>
                <w:rFonts w:ascii="Arial Narrow" w:hAnsi="Arial Narrow"/>
                <w:sz w:val="20"/>
              </w:rPr>
              <w:t>Otezla®</w:t>
            </w:r>
          </w:p>
        </w:tc>
        <w:tc>
          <w:tcPr>
            <w:tcW w:w="1134" w:type="dxa"/>
            <w:vAlign w:val="center"/>
          </w:tcPr>
          <w:p w:rsidR="00EA3D88" w:rsidRPr="0019793B" w:rsidRDefault="00EA3D88" w:rsidP="00C37B58">
            <w:pPr>
              <w:keepNext/>
              <w:keepLines/>
              <w:jc w:val="center"/>
              <w:rPr>
                <w:rFonts w:ascii="Arial Narrow" w:hAnsi="Arial Narrow"/>
                <w:sz w:val="20"/>
              </w:rPr>
            </w:pPr>
            <w:r w:rsidRPr="0019793B">
              <w:rPr>
                <w:rFonts w:ascii="Arial Narrow" w:hAnsi="Arial Narrow"/>
                <w:sz w:val="20"/>
              </w:rPr>
              <w:t>Celgene Pty Ltd</w:t>
            </w:r>
          </w:p>
        </w:tc>
      </w:tr>
      <w:tr w:rsidR="00EA3D88" w:rsidRPr="0019793B" w:rsidTr="00EA3D88">
        <w:trPr>
          <w:cantSplit/>
          <w:trHeight w:val="360"/>
        </w:trPr>
        <w:tc>
          <w:tcPr>
            <w:tcW w:w="1985" w:type="dxa"/>
            <w:tcBorders>
              <w:top w:val="single" w:sz="4" w:space="0" w:color="auto"/>
              <w:left w:val="single" w:sz="4" w:space="0" w:color="auto"/>
              <w:bottom w:val="single" w:sz="4" w:space="0" w:color="auto"/>
              <w:right w:val="single" w:sz="4" w:space="0" w:color="auto"/>
            </w:tcBorders>
          </w:tcPr>
          <w:p w:rsidR="00EA3D88" w:rsidRPr="0019793B" w:rsidRDefault="00EA3D88" w:rsidP="00C37B58">
            <w:pPr>
              <w:jc w:val="both"/>
              <w:rPr>
                <w:rFonts w:ascii="Arial Narrow" w:hAnsi="Arial Narrow" w:cs="Arial"/>
                <w:b/>
                <w:sz w:val="20"/>
                <w:szCs w:val="20"/>
              </w:rPr>
            </w:pPr>
            <w:r w:rsidRPr="0019793B">
              <w:rPr>
                <w:rFonts w:ascii="Arial Narrow" w:hAnsi="Arial Narrow" w:cs="Arial"/>
                <w:b/>
                <w:sz w:val="20"/>
                <w:szCs w:val="20"/>
              </w:rPr>
              <w:t xml:space="preserve">Category / </w:t>
            </w:r>
          </w:p>
          <w:p w:rsidR="00EA3D88" w:rsidRPr="0019793B" w:rsidRDefault="00EA3D88" w:rsidP="00C37B58">
            <w:pPr>
              <w:jc w:val="both"/>
              <w:rPr>
                <w:rFonts w:ascii="Arial Narrow" w:hAnsi="Arial Narrow" w:cs="Arial"/>
                <w:b/>
                <w:sz w:val="20"/>
                <w:szCs w:val="20"/>
              </w:rPr>
            </w:pPr>
            <w:r w:rsidRPr="0019793B">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EA3D88" w:rsidRPr="0019793B" w:rsidRDefault="00EA3D88" w:rsidP="00C37B58">
            <w:pPr>
              <w:rPr>
                <w:rFonts w:ascii="Arial Narrow" w:hAnsi="Arial Narrow" w:cs="Arial"/>
                <w:sz w:val="20"/>
                <w:szCs w:val="20"/>
              </w:rPr>
            </w:pPr>
            <w:r w:rsidRPr="0019793B">
              <w:rPr>
                <w:rFonts w:ascii="Arial Narrow" w:hAnsi="Arial Narrow" w:cs="Arial"/>
                <w:sz w:val="20"/>
                <w:szCs w:val="20"/>
              </w:rPr>
              <w:t>GENERAL – General Schedule (Code GE)</w:t>
            </w:r>
          </w:p>
        </w:tc>
      </w:tr>
      <w:tr w:rsidR="00EA3D88" w:rsidRPr="0019793B" w:rsidTr="00EA3D88">
        <w:trPr>
          <w:cantSplit/>
          <w:trHeight w:val="360"/>
        </w:trPr>
        <w:tc>
          <w:tcPr>
            <w:tcW w:w="1985" w:type="dxa"/>
            <w:tcBorders>
              <w:top w:val="single" w:sz="4" w:space="0" w:color="auto"/>
              <w:left w:val="single" w:sz="4" w:space="0" w:color="auto"/>
              <w:bottom w:val="single" w:sz="4" w:space="0" w:color="auto"/>
              <w:right w:val="single" w:sz="4" w:space="0" w:color="auto"/>
            </w:tcBorders>
          </w:tcPr>
          <w:p w:rsidR="00EA3D88" w:rsidRPr="0019793B" w:rsidRDefault="00EA3D88" w:rsidP="00C37B58">
            <w:pPr>
              <w:jc w:val="both"/>
              <w:rPr>
                <w:rFonts w:ascii="Arial Narrow" w:hAnsi="Arial Narrow" w:cs="Arial"/>
                <w:b/>
                <w:sz w:val="20"/>
                <w:szCs w:val="20"/>
              </w:rPr>
            </w:pPr>
            <w:r w:rsidRPr="0019793B">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EA3D88" w:rsidRPr="0019793B" w:rsidRDefault="00EA3D88" w:rsidP="00C37B58">
            <w:pPr>
              <w:rPr>
                <w:rFonts w:ascii="Arial Narrow" w:hAnsi="Arial Narrow" w:cs="Arial"/>
                <w:sz w:val="20"/>
                <w:szCs w:val="20"/>
              </w:rPr>
            </w:pPr>
            <w:r w:rsidRPr="0019793B">
              <w:rPr>
                <w:rFonts w:ascii="Arial Narrow" w:hAnsi="Arial Narrow" w:cs="Arial"/>
                <w:sz w:val="20"/>
                <w:szCs w:val="20"/>
              </w:rPr>
              <w:fldChar w:fldCharType="begin">
                <w:ffData>
                  <w:name w:val="Check1"/>
                  <w:enabled/>
                  <w:calcOnExit w:val="0"/>
                  <w:checkBox>
                    <w:sizeAuto/>
                    <w:default w:val="0"/>
                  </w:checkBox>
                </w:ffData>
              </w:fldChar>
            </w:r>
            <w:r w:rsidRPr="0019793B">
              <w:rPr>
                <w:rFonts w:ascii="Arial Narrow" w:hAnsi="Arial Narrow" w:cs="Arial"/>
                <w:sz w:val="20"/>
                <w:szCs w:val="20"/>
              </w:rPr>
              <w:instrText xml:space="preserve"> FORMCHECKBOX </w:instrText>
            </w:r>
            <w:r w:rsidR="00F04CB3">
              <w:rPr>
                <w:rFonts w:ascii="Arial Narrow" w:hAnsi="Arial Narrow" w:cs="Arial"/>
                <w:sz w:val="20"/>
                <w:szCs w:val="20"/>
              </w:rPr>
            </w:r>
            <w:r w:rsidR="00F04CB3">
              <w:rPr>
                <w:rFonts w:ascii="Arial Narrow" w:hAnsi="Arial Narrow" w:cs="Arial"/>
                <w:sz w:val="20"/>
                <w:szCs w:val="20"/>
              </w:rPr>
              <w:fldChar w:fldCharType="separate"/>
            </w:r>
            <w:r w:rsidRPr="0019793B">
              <w:rPr>
                <w:rFonts w:ascii="Arial Narrow" w:hAnsi="Arial Narrow" w:cs="Arial"/>
                <w:sz w:val="20"/>
                <w:szCs w:val="20"/>
              </w:rPr>
              <w:fldChar w:fldCharType="end"/>
            </w:r>
            <w:r w:rsidRPr="0019793B">
              <w:rPr>
                <w:rFonts w:ascii="Arial Narrow" w:hAnsi="Arial Narrow" w:cs="Arial"/>
                <w:sz w:val="20"/>
                <w:szCs w:val="20"/>
              </w:rPr>
              <w:t xml:space="preserve">Dental  </w:t>
            </w:r>
            <w:r w:rsidRPr="0019793B">
              <w:rPr>
                <w:rFonts w:ascii="Arial Narrow" w:hAnsi="Arial Narrow" w:cs="Arial"/>
                <w:sz w:val="20"/>
                <w:szCs w:val="20"/>
              </w:rPr>
              <w:fldChar w:fldCharType="begin">
                <w:ffData>
                  <w:name w:val=""/>
                  <w:enabled/>
                  <w:calcOnExit w:val="0"/>
                  <w:checkBox>
                    <w:sizeAuto/>
                    <w:default w:val="1"/>
                  </w:checkBox>
                </w:ffData>
              </w:fldChar>
            </w:r>
            <w:r w:rsidRPr="0019793B">
              <w:rPr>
                <w:rFonts w:ascii="Arial Narrow" w:hAnsi="Arial Narrow" w:cs="Arial"/>
                <w:sz w:val="20"/>
                <w:szCs w:val="20"/>
              </w:rPr>
              <w:instrText xml:space="preserve"> FORMCHECKBOX </w:instrText>
            </w:r>
            <w:r w:rsidR="00F04CB3">
              <w:rPr>
                <w:rFonts w:ascii="Arial Narrow" w:hAnsi="Arial Narrow" w:cs="Arial"/>
                <w:sz w:val="20"/>
                <w:szCs w:val="20"/>
              </w:rPr>
            </w:r>
            <w:r w:rsidR="00F04CB3">
              <w:rPr>
                <w:rFonts w:ascii="Arial Narrow" w:hAnsi="Arial Narrow" w:cs="Arial"/>
                <w:sz w:val="20"/>
                <w:szCs w:val="20"/>
              </w:rPr>
              <w:fldChar w:fldCharType="separate"/>
            </w:r>
            <w:r w:rsidRPr="0019793B">
              <w:rPr>
                <w:rFonts w:ascii="Arial Narrow" w:hAnsi="Arial Narrow" w:cs="Arial"/>
                <w:sz w:val="20"/>
                <w:szCs w:val="20"/>
              </w:rPr>
              <w:fldChar w:fldCharType="end"/>
            </w:r>
            <w:r w:rsidRPr="0019793B">
              <w:rPr>
                <w:rFonts w:ascii="Arial Narrow" w:hAnsi="Arial Narrow" w:cs="Arial"/>
                <w:sz w:val="20"/>
                <w:szCs w:val="20"/>
              </w:rPr>
              <w:t xml:space="preserve">Medical Practitioners  </w:t>
            </w:r>
            <w:r w:rsidRPr="0019793B">
              <w:rPr>
                <w:rFonts w:ascii="Arial Narrow" w:hAnsi="Arial Narrow" w:cs="Arial"/>
                <w:sz w:val="20"/>
                <w:szCs w:val="20"/>
              </w:rPr>
              <w:fldChar w:fldCharType="begin">
                <w:ffData>
                  <w:name w:val="Check3"/>
                  <w:enabled/>
                  <w:calcOnExit w:val="0"/>
                  <w:checkBox>
                    <w:sizeAuto/>
                    <w:default w:val="0"/>
                  </w:checkBox>
                </w:ffData>
              </w:fldChar>
            </w:r>
            <w:r w:rsidRPr="0019793B">
              <w:rPr>
                <w:rFonts w:ascii="Arial Narrow" w:hAnsi="Arial Narrow" w:cs="Arial"/>
                <w:sz w:val="20"/>
                <w:szCs w:val="20"/>
              </w:rPr>
              <w:instrText xml:space="preserve"> FORMCHECKBOX </w:instrText>
            </w:r>
            <w:r w:rsidR="00F04CB3">
              <w:rPr>
                <w:rFonts w:ascii="Arial Narrow" w:hAnsi="Arial Narrow" w:cs="Arial"/>
                <w:sz w:val="20"/>
                <w:szCs w:val="20"/>
              </w:rPr>
            </w:r>
            <w:r w:rsidR="00F04CB3">
              <w:rPr>
                <w:rFonts w:ascii="Arial Narrow" w:hAnsi="Arial Narrow" w:cs="Arial"/>
                <w:sz w:val="20"/>
                <w:szCs w:val="20"/>
              </w:rPr>
              <w:fldChar w:fldCharType="separate"/>
            </w:r>
            <w:r w:rsidRPr="0019793B">
              <w:rPr>
                <w:rFonts w:ascii="Arial Narrow" w:hAnsi="Arial Narrow" w:cs="Arial"/>
                <w:sz w:val="20"/>
                <w:szCs w:val="20"/>
              </w:rPr>
              <w:fldChar w:fldCharType="end"/>
            </w:r>
            <w:r w:rsidRPr="0019793B">
              <w:rPr>
                <w:rFonts w:ascii="Arial Narrow" w:hAnsi="Arial Narrow" w:cs="Arial"/>
                <w:sz w:val="20"/>
                <w:szCs w:val="20"/>
              </w:rPr>
              <w:t xml:space="preserve">Nurse practitioners  </w:t>
            </w:r>
            <w:r w:rsidRPr="0019793B">
              <w:rPr>
                <w:rFonts w:ascii="Arial Narrow" w:hAnsi="Arial Narrow" w:cs="Arial"/>
                <w:sz w:val="20"/>
                <w:szCs w:val="20"/>
              </w:rPr>
              <w:fldChar w:fldCharType="begin">
                <w:ffData>
                  <w:name w:val=""/>
                  <w:enabled/>
                  <w:calcOnExit w:val="0"/>
                  <w:checkBox>
                    <w:sizeAuto/>
                    <w:default w:val="0"/>
                  </w:checkBox>
                </w:ffData>
              </w:fldChar>
            </w:r>
            <w:r w:rsidRPr="0019793B">
              <w:rPr>
                <w:rFonts w:ascii="Arial Narrow" w:hAnsi="Arial Narrow" w:cs="Arial"/>
                <w:sz w:val="20"/>
                <w:szCs w:val="20"/>
              </w:rPr>
              <w:instrText xml:space="preserve"> FORMCHECKBOX </w:instrText>
            </w:r>
            <w:r w:rsidR="00F04CB3">
              <w:rPr>
                <w:rFonts w:ascii="Arial Narrow" w:hAnsi="Arial Narrow" w:cs="Arial"/>
                <w:sz w:val="20"/>
                <w:szCs w:val="20"/>
              </w:rPr>
            </w:r>
            <w:r w:rsidR="00F04CB3">
              <w:rPr>
                <w:rFonts w:ascii="Arial Narrow" w:hAnsi="Arial Narrow" w:cs="Arial"/>
                <w:sz w:val="20"/>
                <w:szCs w:val="20"/>
              </w:rPr>
              <w:fldChar w:fldCharType="separate"/>
            </w:r>
            <w:r w:rsidRPr="0019793B">
              <w:rPr>
                <w:rFonts w:ascii="Arial Narrow" w:hAnsi="Arial Narrow" w:cs="Arial"/>
                <w:sz w:val="20"/>
                <w:szCs w:val="20"/>
              </w:rPr>
              <w:fldChar w:fldCharType="end"/>
            </w:r>
            <w:r w:rsidRPr="0019793B">
              <w:rPr>
                <w:rFonts w:ascii="Arial Narrow" w:hAnsi="Arial Narrow" w:cs="Arial"/>
                <w:sz w:val="20"/>
                <w:szCs w:val="20"/>
              </w:rPr>
              <w:t>Optometrists</w:t>
            </w:r>
          </w:p>
          <w:p w:rsidR="00EA3D88" w:rsidRPr="0019793B" w:rsidRDefault="00EA3D88" w:rsidP="00C37B58">
            <w:pPr>
              <w:rPr>
                <w:rFonts w:ascii="Arial Narrow" w:hAnsi="Arial Narrow" w:cs="Arial"/>
                <w:sz w:val="20"/>
                <w:szCs w:val="20"/>
              </w:rPr>
            </w:pPr>
            <w:r w:rsidRPr="0019793B">
              <w:rPr>
                <w:rFonts w:ascii="Arial Narrow" w:hAnsi="Arial Narrow" w:cs="Arial"/>
                <w:sz w:val="20"/>
                <w:szCs w:val="20"/>
              </w:rPr>
              <w:fldChar w:fldCharType="begin">
                <w:ffData>
                  <w:name w:val="Check5"/>
                  <w:enabled/>
                  <w:calcOnExit w:val="0"/>
                  <w:checkBox>
                    <w:sizeAuto/>
                    <w:default w:val="0"/>
                  </w:checkBox>
                </w:ffData>
              </w:fldChar>
            </w:r>
            <w:r w:rsidRPr="0019793B">
              <w:rPr>
                <w:rFonts w:ascii="Arial Narrow" w:hAnsi="Arial Narrow" w:cs="Arial"/>
                <w:sz w:val="20"/>
                <w:szCs w:val="20"/>
              </w:rPr>
              <w:instrText xml:space="preserve"> FORMCHECKBOX </w:instrText>
            </w:r>
            <w:r w:rsidR="00F04CB3">
              <w:rPr>
                <w:rFonts w:ascii="Arial Narrow" w:hAnsi="Arial Narrow" w:cs="Arial"/>
                <w:sz w:val="20"/>
                <w:szCs w:val="20"/>
              </w:rPr>
            </w:r>
            <w:r w:rsidR="00F04CB3">
              <w:rPr>
                <w:rFonts w:ascii="Arial Narrow" w:hAnsi="Arial Narrow" w:cs="Arial"/>
                <w:sz w:val="20"/>
                <w:szCs w:val="20"/>
              </w:rPr>
              <w:fldChar w:fldCharType="separate"/>
            </w:r>
            <w:r w:rsidRPr="0019793B">
              <w:rPr>
                <w:rFonts w:ascii="Arial Narrow" w:hAnsi="Arial Narrow" w:cs="Arial"/>
                <w:sz w:val="20"/>
                <w:szCs w:val="20"/>
              </w:rPr>
              <w:fldChar w:fldCharType="end"/>
            </w:r>
            <w:r w:rsidRPr="0019793B">
              <w:rPr>
                <w:rFonts w:ascii="Arial Narrow" w:hAnsi="Arial Narrow" w:cs="Arial"/>
                <w:sz w:val="20"/>
                <w:szCs w:val="20"/>
              </w:rPr>
              <w:t>Midwives</w:t>
            </w:r>
          </w:p>
        </w:tc>
      </w:tr>
      <w:tr w:rsidR="00EA3D88" w:rsidRPr="0019793B" w:rsidTr="00EA3D88">
        <w:trPr>
          <w:cantSplit/>
          <w:trHeight w:val="360"/>
        </w:trPr>
        <w:tc>
          <w:tcPr>
            <w:tcW w:w="1985" w:type="dxa"/>
            <w:tcBorders>
              <w:top w:val="single" w:sz="4" w:space="0" w:color="auto"/>
              <w:left w:val="single" w:sz="4" w:space="0" w:color="auto"/>
              <w:bottom w:val="single" w:sz="4" w:space="0" w:color="auto"/>
              <w:right w:val="single" w:sz="4" w:space="0" w:color="auto"/>
            </w:tcBorders>
          </w:tcPr>
          <w:p w:rsidR="00EA3D88" w:rsidRPr="0019793B" w:rsidRDefault="00EA3D88" w:rsidP="00C37B58">
            <w:pPr>
              <w:jc w:val="both"/>
              <w:rPr>
                <w:rFonts w:ascii="Arial Narrow" w:hAnsi="Arial Narrow" w:cs="Arial"/>
                <w:b/>
                <w:sz w:val="20"/>
                <w:szCs w:val="20"/>
              </w:rPr>
            </w:pPr>
            <w:r w:rsidRPr="0019793B">
              <w:rPr>
                <w:rFonts w:ascii="Arial Narrow" w:hAnsi="Arial Narrow" w:cs="Arial"/>
                <w:b/>
                <w:sz w:val="20"/>
                <w:szCs w:val="20"/>
              </w:rPr>
              <w:t>Episodicity:</w:t>
            </w:r>
          </w:p>
        </w:tc>
        <w:tc>
          <w:tcPr>
            <w:tcW w:w="6378" w:type="dxa"/>
            <w:gridSpan w:val="6"/>
            <w:tcBorders>
              <w:top w:val="single" w:sz="4" w:space="0" w:color="auto"/>
              <w:left w:val="single" w:sz="4" w:space="0" w:color="auto"/>
              <w:bottom w:val="single" w:sz="4" w:space="0" w:color="auto"/>
              <w:right w:val="single" w:sz="4" w:space="0" w:color="auto"/>
            </w:tcBorders>
          </w:tcPr>
          <w:p w:rsidR="00EA3D88" w:rsidRPr="0019793B" w:rsidRDefault="00EA3D88" w:rsidP="00C37B58">
            <w:pPr>
              <w:rPr>
                <w:rFonts w:ascii="Arial Narrow" w:hAnsi="Arial Narrow" w:cs="Arial"/>
                <w:sz w:val="20"/>
                <w:szCs w:val="20"/>
              </w:rPr>
            </w:pPr>
            <w:r w:rsidRPr="0019793B">
              <w:rPr>
                <w:rFonts w:ascii="Arial Narrow" w:hAnsi="Arial Narrow" w:cs="Arial"/>
                <w:sz w:val="20"/>
                <w:szCs w:val="20"/>
              </w:rPr>
              <w:t>-</w:t>
            </w:r>
          </w:p>
        </w:tc>
      </w:tr>
      <w:tr w:rsidR="00EA3D88" w:rsidRPr="0019793B" w:rsidTr="00EA3D88">
        <w:trPr>
          <w:cantSplit/>
          <w:trHeight w:val="360"/>
        </w:trPr>
        <w:tc>
          <w:tcPr>
            <w:tcW w:w="1985" w:type="dxa"/>
            <w:tcBorders>
              <w:top w:val="single" w:sz="4" w:space="0" w:color="auto"/>
              <w:left w:val="single" w:sz="4" w:space="0" w:color="auto"/>
              <w:bottom w:val="single" w:sz="4" w:space="0" w:color="auto"/>
              <w:right w:val="single" w:sz="4" w:space="0" w:color="auto"/>
            </w:tcBorders>
          </w:tcPr>
          <w:p w:rsidR="00EA3D88" w:rsidRPr="0019793B" w:rsidRDefault="00EA3D88" w:rsidP="00C37B58">
            <w:pPr>
              <w:jc w:val="both"/>
              <w:rPr>
                <w:rFonts w:ascii="Arial Narrow" w:hAnsi="Arial Narrow" w:cs="Arial"/>
                <w:b/>
                <w:sz w:val="20"/>
                <w:szCs w:val="20"/>
              </w:rPr>
            </w:pPr>
            <w:r w:rsidRPr="0019793B">
              <w:rPr>
                <w:rFonts w:ascii="Arial Narrow" w:hAnsi="Arial Narrow" w:cs="Arial"/>
                <w:b/>
                <w:sz w:val="20"/>
                <w:szCs w:val="20"/>
              </w:rPr>
              <w:t>Severity:</w:t>
            </w:r>
          </w:p>
        </w:tc>
        <w:tc>
          <w:tcPr>
            <w:tcW w:w="6378" w:type="dxa"/>
            <w:gridSpan w:val="6"/>
            <w:tcBorders>
              <w:top w:val="single" w:sz="4" w:space="0" w:color="auto"/>
              <w:left w:val="single" w:sz="4" w:space="0" w:color="auto"/>
              <w:bottom w:val="single" w:sz="4" w:space="0" w:color="auto"/>
              <w:right w:val="single" w:sz="4" w:space="0" w:color="auto"/>
            </w:tcBorders>
          </w:tcPr>
          <w:p w:rsidR="00EA3D88" w:rsidRPr="0019793B" w:rsidRDefault="00EA3D88" w:rsidP="00C37B58">
            <w:pPr>
              <w:keepNext/>
              <w:rPr>
                <w:rFonts w:ascii="Arial Narrow" w:hAnsi="Arial Narrow"/>
                <w:sz w:val="20"/>
              </w:rPr>
            </w:pPr>
            <w:r w:rsidRPr="0019793B">
              <w:rPr>
                <w:rFonts w:ascii="Arial Narrow" w:hAnsi="Arial Narrow"/>
                <w:sz w:val="20"/>
              </w:rPr>
              <w:t>Moderate to severe</w:t>
            </w:r>
          </w:p>
        </w:tc>
      </w:tr>
      <w:tr w:rsidR="00EA3D88" w:rsidRPr="0019793B" w:rsidTr="00EA3D88">
        <w:trPr>
          <w:cantSplit/>
          <w:trHeight w:val="360"/>
        </w:trPr>
        <w:tc>
          <w:tcPr>
            <w:tcW w:w="1985" w:type="dxa"/>
            <w:tcBorders>
              <w:top w:val="single" w:sz="4" w:space="0" w:color="auto"/>
              <w:left w:val="single" w:sz="4" w:space="0" w:color="auto"/>
              <w:bottom w:val="single" w:sz="4" w:space="0" w:color="auto"/>
              <w:right w:val="single" w:sz="4" w:space="0" w:color="auto"/>
            </w:tcBorders>
          </w:tcPr>
          <w:p w:rsidR="00EA3D88" w:rsidRPr="0019793B" w:rsidRDefault="00EA3D88" w:rsidP="00C37B58">
            <w:pPr>
              <w:jc w:val="both"/>
              <w:rPr>
                <w:rFonts w:ascii="Arial Narrow" w:hAnsi="Arial Narrow" w:cs="Arial"/>
                <w:b/>
                <w:sz w:val="20"/>
                <w:szCs w:val="20"/>
              </w:rPr>
            </w:pPr>
            <w:r w:rsidRPr="0019793B">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EA3D88" w:rsidRPr="0019793B" w:rsidRDefault="00EA3D88" w:rsidP="00C37B58">
            <w:pPr>
              <w:keepNext/>
              <w:rPr>
                <w:rFonts w:ascii="Arial Narrow" w:hAnsi="Arial Narrow"/>
                <w:sz w:val="20"/>
              </w:rPr>
            </w:pPr>
            <w:r w:rsidRPr="0019793B">
              <w:rPr>
                <w:rFonts w:ascii="Arial Narrow" w:hAnsi="Arial Narrow"/>
                <w:sz w:val="20"/>
              </w:rPr>
              <w:t>plaque psoriasis</w:t>
            </w:r>
          </w:p>
        </w:tc>
      </w:tr>
      <w:tr w:rsidR="00EA3D88" w:rsidRPr="0019793B" w:rsidTr="00EA3D88">
        <w:trPr>
          <w:cantSplit/>
          <w:trHeight w:val="360"/>
        </w:trPr>
        <w:tc>
          <w:tcPr>
            <w:tcW w:w="1985" w:type="dxa"/>
            <w:tcBorders>
              <w:top w:val="single" w:sz="4" w:space="0" w:color="auto"/>
              <w:left w:val="single" w:sz="4" w:space="0" w:color="auto"/>
              <w:bottom w:val="single" w:sz="4" w:space="0" w:color="auto"/>
              <w:right w:val="single" w:sz="4" w:space="0" w:color="auto"/>
            </w:tcBorders>
          </w:tcPr>
          <w:p w:rsidR="00EA3D88" w:rsidRPr="0019793B" w:rsidRDefault="00EA3D88" w:rsidP="00C37B58">
            <w:pPr>
              <w:jc w:val="both"/>
              <w:rPr>
                <w:rFonts w:ascii="Arial Narrow" w:hAnsi="Arial Narrow" w:cs="Arial"/>
                <w:b/>
                <w:sz w:val="20"/>
                <w:szCs w:val="20"/>
              </w:rPr>
            </w:pPr>
            <w:r w:rsidRPr="0019793B">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EA3D88" w:rsidRPr="0019793B" w:rsidRDefault="00EA3D88" w:rsidP="00C37B58">
            <w:pPr>
              <w:keepNext/>
              <w:rPr>
                <w:rFonts w:ascii="Arial Narrow" w:hAnsi="Arial Narrow"/>
                <w:sz w:val="20"/>
              </w:rPr>
            </w:pPr>
            <w:r w:rsidRPr="0019793B">
              <w:rPr>
                <w:rFonts w:ascii="Arial Narrow" w:hAnsi="Arial Narrow"/>
                <w:sz w:val="20"/>
              </w:rPr>
              <w:t>Moderate to severe plaque psoriasis</w:t>
            </w:r>
          </w:p>
        </w:tc>
      </w:tr>
      <w:tr w:rsidR="00EA3D88" w:rsidRPr="0019793B" w:rsidTr="00EA3D88">
        <w:trPr>
          <w:cantSplit/>
          <w:trHeight w:val="360"/>
        </w:trPr>
        <w:tc>
          <w:tcPr>
            <w:tcW w:w="1985" w:type="dxa"/>
            <w:tcBorders>
              <w:top w:val="single" w:sz="4" w:space="0" w:color="auto"/>
              <w:left w:val="single" w:sz="4" w:space="0" w:color="auto"/>
              <w:bottom w:val="single" w:sz="4" w:space="0" w:color="auto"/>
              <w:right w:val="single" w:sz="4" w:space="0" w:color="auto"/>
            </w:tcBorders>
          </w:tcPr>
          <w:p w:rsidR="00EA3D88" w:rsidRPr="0019793B" w:rsidRDefault="00EA3D88" w:rsidP="00C37B58">
            <w:pPr>
              <w:jc w:val="both"/>
              <w:rPr>
                <w:rFonts w:ascii="Arial Narrow" w:hAnsi="Arial Narrow" w:cs="Arial"/>
                <w:b/>
                <w:sz w:val="20"/>
                <w:szCs w:val="20"/>
              </w:rPr>
            </w:pPr>
            <w:r w:rsidRPr="0019793B">
              <w:rPr>
                <w:rFonts w:ascii="Arial Narrow" w:hAnsi="Arial Narrow" w:cs="Arial"/>
                <w:b/>
                <w:sz w:val="20"/>
                <w:szCs w:val="20"/>
              </w:rPr>
              <w:t>Treatment phase:</w:t>
            </w:r>
          </w:p>
        </w:tc>
        <w:tc>
          <w:tcPr>
            <w:tcW w:w="6378" w:type="dxa"/>
            <w:gridSpan w:val="6"/>
            <w:tcBorders>
              <w:top w:val="single" w:sz="4" w:space="0" w:color="auto"/>
              <w:left w:val="single" w:sz="4" w:space="0" w:color="auto"/>
              <w:bottom w:val="single" w:sz="4" w:space="0" w:color="auto"/>
              <w:right w:val="single" w:sz="4" w:space="0" w:color="auto"/>
            </w:tcBorders>
          </w:tcPr>
          <w:p w:rsidR="00EA3D88" w:rsidRPr="0019793B" w:rsidRDefault="00EA3D88" w:rsidP="00C37B58">
            <w:pPr>
              <w:keepNext/>
              <w:rPr>
                <w:rFonts w:ascii="Arial Narrow" w:hAnsi="Arial Narrow"/>
                <w:i/>
                <w:sz w:val="20"/>
              </w:rPr>
            </w:pPr>
            <w:r w:rsidRPr="0019793B">
              <w:rPr>
                <w:rFonts w:ascii="Arial Narrow" w:hAnsi="Arial Narrow"/>
                <w:i/>
                <w:sz w:val="20"/>
              </w:rPr>
              <w:t>Continuing treatment</w:t>
            </w:r>
          </w:p>
        </w:tc>
      </w:tr>
      <w:tr w:rsidR="00EA3D88" w:rsidRPr="0019793B" w:rsidTr="00EA3D88">
        <w:trPr>
          <w:cantSplit/>
          <w:trHeight w:val="360"/>
        </w:trPr>
        <w:tc>
          <w:tcPr>
            <w:tcW w:w="1985" w:type="dxa"/>
            <w:tcBorders>
              <w:top w:val="single" w:sz="4" w:space="0" w:color="auto"/>
              <w:left w:val="single" w:sz="4" w:space="0" w:color="auto"/>
              <w:bottom w:val="single" w:sz="4" w:space="0" w:color="auto"/>
              <w:right w:val="single" w:sz="4" w:space="0" w:color="auto"/>
            </w:tcBorders>
          </w:tcPr>
          <w:p w:rsidR="00EA3D88" w:rsidRPr="0019793B" w:rsidRDefault="00EA3D88" w:rsidP="00C37B58">
            <w:pPr>
              <w:rPr>
                <w:rFonts w:ascii="Arial Narrow" w:hAnsi="Arial Narrow" w:cs="Arial"/>
                <w:b/>
                <w:sz w:val="20"/>
                <w:szCs w:val="20"/>
              </w:rPr>
            </w:pPr>
            <w:r w:rsidRPr="0019793B">
              <w:rPr>
                <w:rFonts w:ascii="Arial Narrow" w:hAnsi="Arial Narrow" w:cs="Arial"/>
                <w:b/>
                <w:sz w:val="20"/>
                <w:szCs w:val="20"/>
              </w:rPr>
              <w:t>Restriction Level / Method:</w:t>
            </w:r>
          </w:p>
          <w:p w:rsidR="00EA3D88" w:rsidRPr="0019793B" w:rsidRDefault="00EA3D88" w:rsidP="00C37B58">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EA3D88" w:rsidRPr="0019793B" w:rsidRDefault="00EA3D88" w:rsidP="00C37B58">
            <w:pPr>
              <w:rPr>
                <w:rFonts w:ascii="Arial Narrow" w:hAnsi="Arial Narrow" w:cs="Arial"/>
                <w:sz w:val="20"/>
                <w:szCs w:val="20"/>
              </w:rPr>
            </w:pPr>
            <w:r w:rsidRPr="0019793B">
              <w:rPr>
                <w:rFonts w:ascii="Arial Narrow" w:hAnsi="Arial Narrow" w:cs="Arial"/>
                <w:sz w:val="20"/>
                <w:szCs w:val="20"/>
              </w:rPr>
              <w:fldChar w:fldCharType="begin">
                <w:ffData>
                  <w:name w:val="Check1"/>
                  <w:enabled/>
                  <w:calcOnExit w:val="0"/>
                  <w:checkBox>
                    <w:sizeAuto/>
                    <w:default w:val="0"/>
                  </w:checkBox>
                </w:ffData>
              </w:fldChar>
            </w:r>
            <w:r w:rsidRPr="0019793B">
              <w:rPr>
                <w:rFonts w:ascii="Arial Narrow" w:hAnsi="Arial Narrow" w:cs="Arial"/>
                <w:sz w:val="20"/>
                <w:szCs w:val="20"/>
              </w:rPr>
              <w:instrText xml:space="preserve"> FORMCHECKBOX </w:instrText>
            </w:r>
            <w:r w:rsidR="00F04CB3">
              <w:rPr>
                <w:rFonts w:ascii="Arial Narrow" w:hAnsi="Arial Narrow" w:cs="Arial"/>
                <w:sz w:val="20"/>
                <w:szCs w:val="20"/>
              </w:rPr>
            </w:r>
            <w:r w:rsidR="00F04CB3">
              <w:rPr>
                <w:rFonts w:ascii="Arial Narrow" w:hAnsi="Arial Narrow" w:cs="Arial"/>
                <w:sz w:val="20"/>
                <w:szCs w:val="20"/>
              </w:rPr>
              <w:fldChar w:fldCharType="separate"/>
            </w:r>
            <w:r w:rsidRPr="0019793B">
              <w:rPr>
                <w:rFonts w:ascii="Arial Narrow" w:hAnsi="Arial Narrow" w:cs="Arial"/>
                <w:sz w:val="20"/>
                <w:szCs w:val="20"/>
              </w:rPr>
              <w:fldChar w:fldCharType="end"/>
            </w:r>
            <w:r w:rsidRPr="0019793B">
              <w:rPr>
                <w:rFonts w:ascii="Arial Narrow" w:hAnsi="Arial Narrow" w:cs="Arial"/>
                <w:sz w:val="20"/>
                <w:szCs w:val="20"/>
              </w:rPr>
              <w:t>Restricted benefit</w:t>
            </w:r>
          </w:p>
          <w:p w:rsidR="00EA3D88" w:rsidRPr="0019793B" w:rsidRDefault="00EA3D88" w:rsidP="00C37B58">
            <w:pPr>
              <w:rPr>
                <w:rFonts w:ascii="Arial Narrow" w:hAnsi="Arial Narrow" w:cs="Arial"/>
                <w:sz w:val="20"/>
                <w:szCs w:val="20"/>
              </w:rPr>
            </w:pPr>
            <w:r w:rsidRPr="0019793B">
              <w:rPr>
                <w:rFonts w:ascii="Arial Narrow" w:hAnsi="Arial Narrow" w:cs="Arial"/>
                <w:sz w:val="20"/>
                <w:szCs w:val="20"/>
              </w:rPr>
              <w:fldChar w:fldCharType="begin">
                <w:ffData>
                  <w:name w:val=""/>
                  <w:enabled/>
                  <w:calcOnExit w:val="0"/>
                  <w:checkBox>
                    <w:sizeAuto/>
                    <w:default w:val="0"/>
                  </w:checkBox>
                </w:ffData>
              </w:fldChar>
            </w:r>
            <w:r w:rsidRPr="0019793B">
              <w:rPr>
                <w:rFonts w:ascii="Arial Narrow" w:hAnsi="Arial Narrow" w:cs="Arial"/>
                <w:sz w:val="20"/>
                <w:szCs w:val="20"/>
              </w:rPr>
              <w:instrText xml:space="preserve"> FORMCHECKBOX </w:instrText>
            </w:r>
            <w:r w:rsidR="00F04CB3">
              <w:rPr>
                <w:rFonts w:ascii="Arial Narrow" w:hAnsi="Arial Narrow" w:cs="Arial"/>
                <w:sz w:val="20"/>
                <w:szCs w:val="20"/>
              </w:rPr>
            </w:r>
            <w:r w:rsidR="00F04CB3">
              <w:rPr>
                <w:rFonts w:ascii="Arial Narrow" w:hAnsi="Arial Narrow" w:cs="Arial"/>
                <w:sz w:val="20"/>
                <w:szCs w:val="20"/>
              </w:rPr>
              <w:fldChar w:fldCharType="separate"/>
            </w:r>
            <w:r w:rsidRPr="0019793B">
              <w:rPr>
                <w:rFonts w:ascii="Arial Narrow" w:hAnsi="Arial Narrow" w:cs="Arial"/>
                <w:sz w:val="20"/>
                <w:szCs w:val="20"/>
              </w:rPr>
              <w:fldChar w:fldCharType="end"/>
            </w:r>
            <w:r w:rsidRPr="0019793B">
              <w:rPr>
                <w:rFonts w:ascii="Arial Narrow" w:hAnsi="Arial Narrow" w:cs="Arial"/>
                <w:sz w:val="20"/>
                <w:szCs w:val="20"/>
              </w:rPr>
              <w:t>Authority Required - In Writing</w:t>
            </w:r>
          </w:p>
          <w:p w:rsidR="00EA3D88" w:rsidRPr="0019793B" w:rsidRDefault="00EA3D88" w:rsidP="00C37B58">
            <w:pPr>
              <w:rPr>
                <w:rFonts w:ascii="Arial Narrow" w:hAnsi="Arial Narrow" w:cs="Arial"/>
                <w:sz w:val="20"/>
                <w:szCs w:val="20"/>
              </w:rPr>
            </w:pPr>
            <w:r w:rsidRPr="0019793B">
              <w:rPr>
                <w:rFonts w:ascii="Arial Narrow" w:hAnsi="Arial Narrow" w:cs="Arial"/>
                <w:sz w:val="20"/>
                <w:szCs w:val="20"/>
              </w:rPr>
              <w:fldChar w:fldCharType="begin">
                <w:ffData>
                  <w:name w:val="Check3"/>
                  <w:enabled/>
                  <w:calcOnExit w:val="0"/>
                  <w:checkBox>
                    <w:sizeAuto/>
                    <w:default w:val="0"/>
                  </w:checkBox>
                </w:ffData>
              </w:fldChar>
            </w:r>
            <w:r w:rsidRPr="0019793B">
              <w:rPr>
                <w:rFonts w:ascii="Arial Narrow" w:hAnsi="Arial Narrow" w:cs="Arial"/>
                <w:sz w:val="20"/>
                <w:szCs w:val="20"/>
              </w:rPr>
              <w:instrText xml:space="preserve"> FORMCHECKBOX </w:instrText>
            </w:r>
            <w:r w:rsidR="00F04CB3">
              <w:rPr>
                <w:rFonts w:ascii="Arial Narrow" w:hAnsi="Arial Narrow" w:cs="Arial"/>
                <w:sz w:val="20"/>
                <w:szCs w:val="20"/>
              </w:rPr>
            </w:r>
            <w:r w:rsidR="00F04CB3">
              <w:rPr>
                <w:rFonts w:ascii="Arial Narrow" w:hAnsi="Arial Narrow" w:cs="Arial"/>
                <w:sz w:val="20"/>
                <w:szCs w:val="20"/>
              </w:rPr>
              <w:fldChar w:fldCharType="separate"/>
            </w:r>
            <w:r w:rsidRPr="0019793B">
              <w:rPr>
                <w:rFonts w:ascii="Arial Narrow" w:hAnsi="Arial Narrow" w:cs="Arial"/>
                <w:sz w:val="20"/>
                <w:szCs w:val="20"/>
              </w:rPr>
              <w:fldChar w:fldCharType="end"/>
            </w:r>
            <w:r w:rsidRPr="0019793B">
              <w:rPr>
                <w:rFonts w:ascii="Arial Narrow" w:hAnsi="Arial Narrow" w:cs="Arial"/>
                <w:sz w:val="20"/>
                <w:szCs w:val="20"/>
              </w:rPr>
              <w:t>Authority Required - Telephone</w:t>
            </w:r>
          </w:p>
          <w:p w:rsidR="00EA3D88" w:rsidRPr="0019793B" w:rsidRDefault="00EA3D88" w:rsidP="00C37B58">
            <w:pPr>
              <w:rPr>
                <w:rFonts w:ascii="Arial Narrow" w:hAnsi="Arial Narrow" w:cs="Arial"/>
                <w:sz w:val="20"/>
                <w:szCs w:val="20"/>
              </w:rPr>
            </w:pPr>
            <w:r w:rsidRPr="0019793B">
              <w:rPr>
                <w:rFonts w:ascii="Arial Narrow" w:hAnsi="Arial Narrow" w:cs="Arial"/>
                <w:sz w:val="20"/>
                <w:szCs w:val="20"/>
              </w:rPr>
              <w:fldChar w:fldCharType="begin">
                <w:ffData>
                  <w:name w:val=""/>
                  <w:enabled/>
                  <w:calcOnExit w:val="0"/>
                  <w:checkBox>
                    <w:sizeAuto/>
                    <w:default w:val="0"/>
                  </w:checkBox>
                </w:ffData>
              </w:fldChar>
            </w:r>
            <w:r w:rsidRPr="0019793B">
              <w:rPr>
                <w:rFonts w:ascii="Arial Narrow" w:hAnsi="Arial Narrow" w:cs="Arial"/>
                <w:sz w:val="20"/>
                <w:szCs w:val="20"/>
              </w:rPr>
              <w:instrText xml:space="preserve"> FORMCHECKBOX </w:instrText>
            </w:r>
            <w:r w:rsidR="00F04CB3">
              <w:rPr>
                <w:rFonts w:ascii="Arial Narrow" w:hAnsi="Arial Narrow" w:cs="Arial"/>
                <w:sz w:val="20"/>
                <w:szCs w:val="20"/>
              </w:rPr>
            </w:r>
            <w:r w:rsidR="00F04CB3">
              <w:rPr>
                <w:rFonts w:ascii="Arial Narrow" w:hAnsi="Arial Narrow" w:cs="Arial"/>
                <w:sz w:val="20"/>
                <w:szCs w:val="20"/>
              </w:rPr>
              <w:fldChar w:fldCharType="separate"/>
            </w:r>
            <w:r w:rsidRPr="0019793B">
              <w:rPr>
                <w:rFonts w:ascii="Arial Narrow" w:hAnsi="Arial Narrow" w:cs="Arial"/>
                <w:sz w:val="20"/>
                <w:szCs w:val="20"/>
              </w:rPr>
              <w:fldChar w:fldCharType="end"/>
            </w:r>
            <w:r w:rsidRPr="0019793B">
              <w:rPr>
                <w:rFonts w:ascii="Arial Narrow" w:hAnsi="Arial Narrow" w:cs="Arial"/>
                <w:sz w:val="20"/>
                <w:szCs w:val="20"/>
              </w:rPr>
              <w:t xml:space="preserve">Authority Required </w:t>
            </w:r>
            <w:r w:rsidR="00D15C96" w:rsidRPr="0019793B">
              <w:rPr>
                <w:rFonts w:ascii="Arial Narrow" w:hAnsi="Arial Narrow" w:cs="Arial"/>
                <w:sz w:val="20"/>
                <w:szCs w:val="20"/>
              </w:rPr>
              <w:t>-</w:t>
            </w:r>
            <w:r w:rsidRPr="0019793B">
              <w:rPr>
                <w:rFonts w:ascii="Arial Narrow" w:hAnsi="Arial Narrow" w:cs="Arial"/>
                <w:sz w:val="20"/>
                <w:szCs w:val="20"/>
              </w:rPr>
              <w:t xml:space="preserve"> Emergency</w:t>
            </w:r>
          </w:p>
          <w:p w:rsidR="00EA3D88" w:rsidRPr="0019793B" w:rsidRDefault="00EA3D88" w:rsidP="00C37B58">
            <w:pPr>
              <w:rPr>
                <w:rFonts w:ascii="Arial Narrow" w:hAnsi="Arial Narrow" w:cs="Arial"/>
                <w:sz w:val="20"/>
                <w:szCs w:val="20"/>
              </w:rPr>
            </w:pPr>
            <w:r w:rsidRPr="0019793B">
              <w:rPr>
                <w:rFonts w:ascii="Arial Narrow" w:hAnsi="Arial Narrow" w:cs="Arial"/>
                <w:sz w:val="20"/>
                <w:szCs w:val="20"/>
              </w:rPr>
              <w:fldChar w:fldCharType="begin">
                <w:ffData>
                  <w:name w:val="Check5"/>
                  <w:enabled/>
                  <w:calcOnExit w:val="0"/>
                  <w:checkBox>
                    <w:sizeAuto/>
                    <w:default w:val="0"/>
                  </w:checkBox>
                </w:ffData>
              </w:fldChar>
            </w:r>
            <w:r w:rsidRPr="0019793B">
              <w:rPr>
                <w:rFonts w:ascii="Arial Narrow" w:hAnsi="Arial Narrow" w:cs="Arial"/>
                <w:sz w:val="20"/>
                <w:szCs w:val="20"/>
              </w:rPr>
              <w:instrText xml:space="preserve"> FORMCHECKBOX </w:instrText>
            </w:r>
            <w:r w:rsidR="00F04CB3">
              <w:rPr>
                <w:rFonts w:ascii="Arial Narrow" w:hAnsi="Arial Narrow" w:cs="Arial"/>
                <w:sz w:val="20"/>
                <w:szCs w:val="20"/>
              </w:rPr>
            </w:r>
            <w:r w:rsidR="00F04CB3">
              <w:rPr>
                <w:rFonts w:ascii="Arial Narrow" w:hAnsi="Arial Narrow" w:cs="Arial"/>
                <w:sz w:val="20"/>
                <w:szCs w:val="20"/>
              </w:rPr>
              <w:fldChar w:fldCharType="separate"/>
            </w:r>
            <w:r w:rsidRPr="0019793B">
              <w:rPr>
                <w:rFonts w:ascii="Arial Narrow" w:hAnsi="Arial Narrow" w:cs="Arial"/>
                <w:sz w:val="20"/>
                <w:szCs w:val="20"/>
              </w:rPr>
              <w:fldChar w:fldCharType="end"/>
            </w:r>
            <w:r w:rsidRPr="0019793B">
              <w:rPr>
                <w:rFonts w:ascii="Arial Narrow" w:hAnsi="Arial Narrow" w:cs="Arial"/>
                <w:sz w:val="20"/>
                <w:szCs w:val="20"/>
              </w:rPr>
              <w:t>Authority Required - Electronic</w:t>
            </w:r>
          </w:p>
          <w:p w:rsidR="00EA3D88" w:rsidRPr="0019793B" w:rsidRDefault="00EA3D88" w:rsidP="00C37B58">
            <w:pPr>
              <w:rPr>
                <w:rFonts w:ascii="Arial Narrow" w:hAnsi="Arial Narrow" w:cs="Arial"/>
                <w:sz w:val="20"/>
                <w:szCs w:val="20"/>
              </w:rPr>
            </w:pPr>
            <w:r w:rsidRPr="0019793B">
              <w:rPr>
                <w:rFonts w:ascii="Arial Narrow" w:hAnsi="Arial Narrow" w:cs="Arial"/>
                <w:sz w:val="20"/>
                <w:szCs w:val="20"/>
              </w:rPr>
              <w:fldChar w:fldCharType="begin">
                <w:ffData>
                  <w:name w:val="Check5"/>
                  <w:enabled/>
                  <w:calcOnExit w:val="0"/>
                  <w:checkBox>
                    <w:sizeAuto/>
                    <w:default w:val="1"/>
                  </w:checkBox>
                </w:ffData>
              </w:fldChar>
            </w:r>
            <w:r w:rsidRPr="0019793B">
              <w:rPr>
                <w:rFonts w:ascii="Arial Narrow" w:hAnsi="Arial Narrow" w:cs="Arial"/>
                <w:sz w:val="20"/>
                <w:szCs w:val="20"/>
              </w:rPr>
              <w:instrText xml:space="preserve"> FORMCHECKBOX </w:instrText>
            </w:r>
            <w:r w:rsidR="00F04CB3">
              <w:rPr>
                <w:rFonts w:ascii="Arial Narrow" w:hAnsi="Arial Narrow" w:cs="Arial"/>
                <w:sz w:val="20"/>
                <w:szCs w:val="20"/>
              </w:rPr>
            </w:r>
            <w:r w:rsidR="00F04CB3">
              <w:rPr>
                <w:rFonts w:ascii="Arial Narrow" w:hAnsi="Arial Narrow" w:cs="Arial"/>
                <w:sz w:val="20"/>
                <w:szCs w:val="20"/>
              </w:rPr>
              <w:fldChar w:fldCharType="separate"/>
            </w:r>
            <w:r w:rsidRPr="0019793B">
              <w:rPr>
                <w:rFonts w:ascii="Arial Narrow" w:hAnsi="Arial Narrow" w:cs="Arial"/>
                <w:sz w:val="20"/>
                <w:szCs w:val="20"/>
              </w:rPr>
              <w:fldChar w:fldCharType="end"/>
            </w:r>
            <w:r w:rsidRPr="0019793B">
              <w:rPr>
                <w:rFonts w:ascii="Arial Narrow" w:hAnsi="Arial Narrow" w:cs="Arial"/>
                <w:sz w:val="20"/>
                <w:szCs w:val="20"/>
              </w:rPr>
              <w:t>Streamlined</w:t>
            </w:r>
          </w:p>
        </w:tc>
      </w:tr>
      <w:tr w:rsidR="00EA3D88" w:rsidRPr="0019793B" w:rsidTr="00EA3D88">
        <w:trPr>
          <w:cantSplit/>
          <w:trHeight w:val="360"/>
        </w:trPr>
        <w:tc>
          <w:tcPr>
            <w:tcW w:w="1985" w:type="dxa"/>
            <w:tcBorders>
              <w:top w:val="single" w:sz="4" w:space="0" w:color="auto"/>
              <w:left w:val="single" w:sz="4" w:space="0" w:color="auto"/>
              <w:bottom w:val="single" w:sz="4" w:space="0" w:color="auto"/>
              <w:right w:val="single" w:sz="4" w:space="0" w:color="auto"/>
            </w:tcBorders>
          </w:tcPr>
          <w:p w:rsidR="00EA3D88" w:rsidRPr="0019793B" w:rsidRDefault="00EA3D88" w:rsidP="00C37B58">
            <w:pPr>
              <w:rPr>
                <w:rFonts w:ascii="Arial Narrow" w:hAnsi="Arial Narrow" w:cs="Arial"/>
                <w:b/>
                <w:sz w:val="20"/>
                <w:szCs w:val="20"/>
              </w:rPr>
            </w:pPr>
            <w:r w:rsidRPr="0019793B">
              <w:rPr>
                <w:rFonts w:ascii="Arial Narrow" w:hAnsi="Arial Narrow" w:cs="Arial"/>
                <w:b/>
                <w:sz w:val="20"/>
                <w:szCs w:val="20"/>
              </w:rPr>
              <w:t>Treatment criteria:</w:t>
            </w:r>
          </w:p>
          <w:p w:rsidR="00EA3D88" w:rsidRPr="0019793B" w:rsidRDefault="00EA3D88" w:rsidP="00C37B58">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EA3D88" w:rsidRPr="0019793B" w:rsidRDefault="00EA3D88" w:rsidP="00C37B58">
            <w:pPr>
              <w:keepNext/>
              <w:keepLines/>
              <w:spacing w:line="276" w:lineRule="auto"/>
              <w:rPr>
                <w:rFonts w:ascii="Arial Narrow" w:hAnsi="Arial Narrow"/>
                <w:sz w:val="20"/>
              </w:rPr>
            </w:pPr>
            <w:r w:rsidRPr="0019793B">
              <w:rPr>
                <w:rFonts w:ascii="Arial Narrow" w:hAnsi="Arial Narrow"/>
                <w:sz w:val="20"/>
              </w:rPr>
              <w:t>Must be treated by a dermatologist, OR</w:t>
            </w:r>
          </w:p>
          <w:p w:rsidR="00EA3D88" w:rsidRPr="0019793B" w:rsidRDefault="00EA3D88" w:rsidP="00C37B58">
            <w:pPr>
              <w:keepNext/>
              <w:keepLines/>
              <w:spacing w:line="276" w:lineRule="auto"/>
              <w:rPr>
                <w:rFonts w:ascii="Arial Narrow" w:hAnsi="Arial Narrow" w:cs="Arial"/>
                <w:sz w:val="20"/>
                <w:szCs w:val="20"/>
              </w:rPr>
            </w:pPr>
            <w:r w:rsidRPr="0019793B">
              <w:rPr>
                <w:rFonts w:ascii="Arial Narrow" w:hAnsi="Arial Narrow"/>
                <w:sz w:val="20"/>
              </w:rPr>
              <w:t>Must be treated by a general physician with expertise in the management of plaque psoriasis.</w:t>
            </w:r>
          </w:p>
        </w:tc>
      </w:tr>
      <w:tr w:rsidR="00EA3D88" w:rsidRPr="0019793B" w:rsidTr="00EA3D88">
        <w:trPr>
          <w:cantSplit/>
          <w:trHeight w:val="360"/>
        </w:trPr>
        <w:tc>
          <w:tcPr>
            <w:tcW w:w="1985" w:type="dxa"/>
            <w:tcBorders>
              <w:top w:val="single" w:sz="4" w:space="0" w:color="auto"/>
              <w:left w:val="single" w:sz="4" w:space="0" w:color="auto"/>
              <w:bottom w:val="single" w:sz="4" w:space="0" w:color="auto"/>
              <w:right w:val="single" w:sz="4" w:space="0" w:color="auto"/>
            </w:tcBorders>
          </w:tcPr>
          <w:p w:rsidR="00EA3D88" w:rsidRPr="0019793B" w:rsidRDefault="00EA3D88" w:rsidP="00C37B58">
            <w:pPr>
              <w:jc w:val="both"/>
              <w:rPr>
                <w:rFonts w:ascii="Arial Narrow" w:hAnsi="Arial Narrow" w:cs="Arial"/>
                <w:b/>
                <w:sz w:val="20"/>
                <w:szCs w:val="20"/>
              </w:rPr>
            </w:pPr>
            <w:r w:rsidRPr="0019793B">
              <w:rPr>
                <w:rFonts w:ascii="Arial Narrow" w:hAnsi="Arial Narrow" w:cs="Arial"/>
                <w:b/>
                <w:sz w:val="20"/>
                <w:szCs w:val="20"/>
              </w:rPr>
              <w:t>Clinical criteria:</w:t>
            </w:r>
          </w:p>
        </w:tc>
        <w:tc>
          <w:tcPr>
            <w:tcW w:w="6378" w:type="dxa"/>
            <w:gridSpan w:val="6"/>
            <w:tcBorders>
              <w:top w:val="single" w:sz="4" w:space="0" w:color="auto"/>
              <w:left w:val="single" w:sz="4" w:space="0" w:color="auto"/>
              <w:bottom w:val="single" w:sz="4" w:space="0" w:color="auto"/>
              <w:right w:val="single" w:sz="4" w:space="0" w:color="auto"/>
            </w:tcBorders>
          </w:tcPr>
          <w:p w:rsidR="00EA3D88" w:rsidRPr="0019793B" w:rsidRDefault="00EA3D88" w:rsidP="00C37B58">
            <w:pPr>
              <w:jc w:val="both"/>
              <w:rPr>
                <w:rFonts w:ascii="Arial Narrow" w:hAnsi="Arial Narrow" w:cs="Arial"/>
                <w:sz w:val="20"/>
                <w:szCs w:val="20"/>
              </w:rPr>
            </w:pPr>
            <w:r w:rsidRPr="0019793B">
              <w:rPr>
                <w:rFonts w:ascii="Arial Narrow" w:hAnsi="Arial Narrow"/>
                <w:i/>
                <w:sz w:val="20"/>
              </w:rPr>
              <w:t>Patient must have previously received PBS-subsidised treatment with apremilast</w:t>
            </w:r>
          </w:p>
        </w:tc>
      </w:tr>
      <w:tr w:rsidR="00EA3D88" w:rsidRPr="0019793B" w:rsidTr="00EA3D88">
        <w:trPr>
          <w:cantSplit/>
          <w:trHeight w:val="360"/>
        </w:trPr>
        <w:tc>
          <w:tcPr>
            <w:tcW w:w="1985" w:type="dxa"/>
            <w:tcBorders>
              <w:top w:val="single" w:sz="4" w:space="0" w:color="auto"/>
              <w:left w:val="single" w:sz="4" w:space="0" w:color="auto"/>
              <w:bottom w:val="single" w:sz="4" w:space="0" w:color="auto"/>
              <w:right w:val="single" w:sz="4" w:space="0" w:color="auto"/>
            </w:tcBorders>
          </w:tcPr>
          <w:p w:rsidR="00EA3D88" w:rsidRPr="0019793B" w:rsidRDefault="00EA3D88" w:rsidP="00C37B58">
            <w:pPr>
              <w:jc w:val="both"/>
              <w:rPr>
                <w:rFonts w:ascii="Arial Narrow" w:hAnsi="Arial Narrow" w:cs="Arial"/>
                <w:b/>
                <w:sz w:val="20"/>
                <w:szCs w:val="20"/>
              </w:rPr>
            </w:pPr>
            <w:r w:rsidRPr="0019793B">
              <w:rPr>
                <w:rFonts w:ascii="Arial Narrow" w:hAnsi="Arial Narrow" w:cs="Arial"/>
                <w:b/>
                <w:sz w:val="20"/>
                <w:szCs w:val="20"/>
              </w:rPr>
              <w:t>Administrative Advice</w:t>
            </w:r>
          </w:p>
        </w:tc>
        <w:tc>
          <w:tcPr>
            <w:tcW w:w="6378" w:type="dxa"/>
            <w:gridSpan w:val="6"/>
            <w:tcBorders>
              <w:top w:val="single" w:sz="4" w:space="0" w:color="auto"/>
              <w:left w:val="single" w:sz="4" w:space="0" w:color="auto"/>
              <w:bottom w:val="single" w:sz="4" w:space="0" w:color="auto"/>
              <w:right w:val="single" w:sz="4" w:space="0" w:color="auto"/>
            </w:tcBorders>
          </w:tcPr>
          <w:p w:rsidR="00EA3D88" w:rsidRPr="0019793B" w:rsidRDefault="00EA3D88" w:rsidP="00C37B58">
            <w:pPr>
              <w:keepNext/>
              <w:rPr>
                <w:rFonts w:ascii="Arial Narrow" w:hAnsi="Arial Narrow"/>
                <w:sz w:val="20"/>
              </w:rPr>
            </w:pPr>
            <w:r w:rsidRPr="0019793B">
              <w:rPr>
                <w:rFonts w:ascii="Arial Narrow" w:hAnsi="Arial Narrow"/>
                <w:sz w:val="20"/>
              </w:rPr>
              <w:t>No increase in the maximum number of repeats may be authorised.</w:t>
            </w:r>
          </w:p>
          <w:p w:rsidR="00EA3D88" w:rsidRPr="0019793B" w:rsidRDefault="00EA3D88" w:rsidP="00C37B58">
            <w:pPr>
              <w:keepNext/>
              <w:rPr>
                <w:rFonts w:ascii="Arial Narrow" w:hAnsi="Arial Narrow"/>
                <w:sz w:val="20"/>
              </w:rPr>
            </w:pPr>
          </w:p>
          <w:p w:rsidR="00EA3D88" w:rsidRPr="0019793B" w:rsidRDefault="00EA3D88" w:rsidP="00C37B58">
            <w:pPr>
              <w:keepNext/>
              <w:rPr>
                <w:rFonts w:ascii="Arial Narrow" w:hAnsi="Arial Narrow"/>
                <w:sz w:val="20"/>
              </w:rPr>
            </w:pPr>
            <w:r w:rsidRPr="0019793B">
              <w:rPr>
                <w:rFonts w:ascii="Arial Narrow" w:hAnsi="Arial Narrow"/>
                <w:sz w:val="20"/>
              </w:rPr>
              <w:t>No increase in the maximum quantity or number of units may be authorised.</w:t>
            </w:r>
          </w:p>
          <w:p w:rsidR="00EA3D88" w:rsidRPr="0019793B" w:rsidRDefault="00EA3D88" w:rsidP="00C37B58">
            <w:pPr>
              <w:keepNext/>
              <w:rPr>
                <w:rFonts w:ascii="Arial Narrow" w:hAnsi="Arial Narrow"/>
                <w:sz w:val="20"/>
              </w:rPr>
            </w:pPr>
          </w:p>
          <w:p w:rsidR="00EA3D88" w:rsidRPr="0019793B" w:rsidRDefault="00EA3D88" w:rsidP="00C37B58">
            <w:pPr>
              <w:rPr>
                <w:rFonts w:ascii="Arial Narrow" w:hAnsi="Arial Narrow" w:cs="Arial"/>
                <w:sz w:val="20"/>
                <w:szCs w:val="20"/>
              </w:rPr>
            </w:pPr>
            <w:r w:rsidRPr="0019793B">
              <w:rPr>
                <w:rFonts w:ascii="Arial Narrow" w:hAnsi="Arial Narrow"/>
                <w:sz w:val="20"/>
              </w:rPr>
              <w:t>Special Pricing Arrangements apply.</w:t>
            </w:r>
          </w:p>
        </w:tc>
      </w:tr>
    </w:tbl>
    <w:p w:rsidR="008C4E37" w:rsidRPr="0019793B" w:rsidRDefault="008C4E37" w:rsidP="00C37B58">
      <w:pPr>
        <w:pStyle w:val="ListParagraph"/>
        <w:widowControl/>
        <w:rPr>
          <w:szCs w:val="22"/>
        </w:rPr>
      </w:pPr>
    </w:p>
    <w:p w:rsidR="00EC0AF1" w:rsidRPr="00685C10" w:rsidRDefault="00EC0AF1" w:rsidP="00685C10">
      <w:pPr>
        <w:pStyle w:val="ListParagraph"/>
        <w:widowControl/>
        <w:numPr>
          <w:ilvl w:val="1"/>
          <w:numId w:val="5"/>
        </w:numPr>
        <w:rPr>
          <w:szCs w:val="22"/>
        </w:rPr>
      </w:pPr>
      <w:r w:rsidRPr="00685C10">
        <w:rPr>
          <w:szCs w:val="22"/>
        </w:rPr>
        <w:t>The change to the requested restriction in the minor resubmission is a</w:t>
      </w:r>
      <w:r w:rsidR="00D15C96" w:rsidRPr="00685C10">
        <w:rPr>
          <w:szCs w:val="22"/>
        </w:rPr>
        <w:t>n additional</w:t>
      </w:r>
      <w:r w:rsidRPr="00E90102">
        <w:rPr>
          <w:szCs w:val="22"/>
        </w:rPr>
        <w:t xml:space="preserve"> requirement that patients must have failed to achieve an adequate response or be contraindicated to treatment with methotrexate.</w:t>
      </w:r>
      <w:r w:rsidR="00685C10" w:rsidRPr="00685C10">
        <w:rPr>
          <w:szCs w:val="22"/>
        </w:rPr>
        <w:t xml:space="preserve"> In </w:t>
      </w:r>
      <w:r w:rsidR="003B68B9">
        <w:rPr>
          <w:szCs w:val="22"/>
        </w:rPr>
        <w:t>its</w:t>
      </w:r>
      <w:r w:rsidR="00685C10" w:rsidRPr="00685C10">
        <w:rPr>
          <w:szCs w:val="22"/>
        </w:rPr>
        <w:t xml:space="preserve"> </w:t>
      </w:r>
      <w:r w:rsidR="003B68B9">
        <w:rPr>
          <w:szCs w:val="22"/>
        </w:rPr>
        <w:t>p</w:t>
      </w:r>
      <w:r w:rsidR="00685C10" w:rsidRPr="00685C10">
        <w:rPr>
          <w:szCs w:val="22"/>
        </w:rPr>
        <w:t xml:space="preserve">re-PBAC response (p3), the sponsor requested the inclusion of a grandfathering restriction to allow </w:t>
      </w:r>
      <w:r w:rsidR="006513CC">
        <w:rPr>
          <w:szCs w:val="22"/>
        </w:rPr>
        <w:t>P</w:t>
      </w:r>
      <w:r w:rsidR="00685C10" w:rsidRPr="00685C10">
        <w:rPr>
          <w:szCs w:val="22"/>
        </w:rPr>
        <w:t xml:space="preserve">atient </w:t>
      </w:r>
      <w:r w:rsidR="006513CC">
        <w:rPr>
          <w:szCs w:val="22"/>
        </w:rPr>
        <w:t>F</w:t>
      </w:r>
      <w:r w:rsidR="00685C10" w:rsidRPr="00685C10">
        <w:rPr>
          <w:szCs w:val="22"/>
        </w:rPr>
        <w:t xml:space="preserve">amiliarisation </w:t>
      </w:r>
      <w:r w:rsidR="006513CC">
        <w:rPr>
          <w:szCs w:val="22"/>
        </w:rPr>
        <w:t>P</w:t>
      </w:r>
      <w:r w:rsidR="00685C10" w:rsidRPr="00685C10">
        <w:rPr>
          <w:szCs w:val="22"/>
        </w:rPr>
        <w:t>rogram patients PBS subsidised access to the continuing treatment pack.</w:t>
      </w:r>
    </w:p>
    <w:p w:rsidR="00BB7EC3" w:rsidRDefault="00BB7EC3" w:rsidP="00C37B58">
      <w:pPr>
        <w:jc w:val="both"/>
        <w:rPr>
          <w:rFonts w:ascii="Arial" w:hAnsi="Arial"/>
          <w:b/>
          <w:sz w:val="22"/>
          <w:szCs w:val="22"/>
        </w:rPr>
      </w:pPr>
    </w:p>
    <w:p w:rsidR="00C6105D" w:rsidRPr="00C6105D" w:rsidRDefault="00C6105D" w:rsidP="00C6105D">
      <w:pPr>
        <w:ind w:firstLine="720"/>
        <w:rPr>
          <w:rFonts w:ascii="Arial" w:hAnsi="Arial" w:cs="Arial"/>
          <w:bCs/>
          <w:sz w:val="22"/>
          <w:szCs w:val="22"/>
        </w:rPr>
      </w:pPr>
      <w:r w:rsidRPr="00412AA4">
        <w:rPr>
          <w:rFonts w:ascii="Arial" w:hAnsi="Arial" w:cs="Arial"/>
          <w:bCs/>
          <w:i/>
          <w:sz w:val="22"/>
          <w:szCs w:val="22"/>
        </w:rPr>
        <w:t>For more detail on PBAC’s view, see section 7 “PBAC outcome”</w:t>
      </w:r>
    </w:p>
    <w:p w:rsidR="00C6105D" w:rsidRDefault="00C6105D" w:rsidP="00C37B58">
      <w:pPr>
        <w:jc w:val="both"/>
        <w:rPr>
          <w:rFonts w:ascii="Arial" w:hAnsi="Arial"/>
          <w:b/>
          <w:sz w:val="22"/>
          <w:szCs w:val="22"/>
        </w:rPr>
      </w:pPr>
    </w:p>
    <w:p w:rsidR="00AA4252" w:rsidRDefault="00AA4252" w:rsidP="00C37B58">
      <w:pPr>
        <w:jc w:val="both"/>
        <w:rPr>
          <w:rFonts w:ascii="Arial" w:hAnsi="Arial"/>
          <w:b/>
          <w:sz w:val="22"/>
          <w:szCs w:val="22"/>
        </w:rPr>
      </w:pPr>
    </w:p>
    <w:p w:rsidR="00CE10C4" w:rsidRPr="0019793B" w:rsidRDefault="00CE10C4" w:rsidP="00C37B58">
      <w:pPr>
        <w:pStyle w:val="PBACHeading1"/>
        <w:keepNext/>
      </w:pPr>
      <w:r w:rsidRPr="0019793B">
        <w:lastRenderedPageBreak/>
        <w:t>Background</w:t>
      </w:r>
    </w:p>
    <w:p w:rsidR="00C603D4" w:rsidRPr="0019793B" w:rsidRDefault="00C603D4" w:rsidP="00C37B58">
      <w:pPr>
        <w:pStyle w:val="ListParagraph"/>
        <w:keepNext/>
        <w:widowControl/>
        <w:rPr>
          <w:i/>
          <w:szCs w:val="22"/>
        </w:rPr>
      </w:pPr>
    </w:p>
    <w:p w:rsidR="00B11CE3" w:rsidRPr="0019793B" w:rsidRDefault="00B11CE3" w:rsidP="00C37B58">
      <w:pPr>
        <w:pStyle w:val="ListParagraph"/>
        <w:widowControl/>
        <w:numPr>
          <w:ilvl w:val="1"/>
          <w:numId w:val="5"/>
        </w:numPr>
        <w:rPr>
          <w:szCs w:val="22"/>
        </w:rPr>
      </w:pPr>
      <w:r w:rsidRPr="0019793B">
        <w:rPr>
          <w:szCs w:val="22"/>
        </w:rPr>
        <w:t>Apremilast was TGA registered on 19 March 2015 for the treatment of adult patients with moderate-to-severe plaque psoriasis who are candidates for phototherapy or systemic therapy.</w:t>
      </w:r>
    </w:p>
    <w:p w:rsidR="006B0D94" w:rsidRPr="0019793B" w:rsidRDefault="006B0D94" w:rsidP="00C37B58">
      <w:pPr>
        <w:pStyle w:val="ListParagraph"/>
        <w:widowControl/>
        <w:rPr>
          <w:szCs w:val="22"/>
        </w:rPr>
      </w:pPr>
    </w:p>
    <w:p w:rsidR="00B11CE3" w:rsidRPr="0019793B" w:rsidRDefault="00B11CE3" w:rsidP="00C37B58">
      <w:pPr>
        <w:pStyle w:val="ListParagraph"/>
        <w:widowControl/>
        <w:numPr>
          <w:ilvl w:val="1"/>
          <w:numId w:val="5"/>
        </w:numPr>
        <w:rPr>
          <w:szCs w:val="22"/>
        </w:rPr>
      </w:pPr>
      <w:r w:rsidRPr="0019793B">
        <w:rPr>
          <w:szCs w:val="22"/>
        </w:rPr>
        <w:t>The PBAC previously considered apremilast for plaque psoriasis at the March 2015 and November 2016 meetings. A summary of the comparison of the March 2015 submission, November 2016 resubmission and the current resubmission is outlined in Table 1.</w:t>
      </w:r>
    </w:p>
    <w:p w:rsidR="00BB7EC3" w:rsidRDefault="00BB7EC3" w:rsidP="00C37B58">
      <w:pPr>
        <w:jc w:val="both"/>
        <w:rPr>
          <w:rFonts w:ascii="Arial" w:hAnsi="Arial"/>
          <w:b/>
          <w:sz w:val="22"/>
          <w:szCs w:val="22"/>
        </w:rPr>
      </w:pPr>
    </w:p>
    <w:p w:rsidR="00B11CE3" w:rsidRPr="0019793B" w:rsidRDefault="00B11CE3" w:rsidP="00685C10">
      <w:pPr>
        <w:pStyle w:val="Caption"/>
        <w:keepNext/>
        <w:widowControl/>
        <w:ind w:firstLine="720"/>
      </w:pPr>
      <w:r w:rsidRPr="0019793B">
        <w:t xml:space="preserve">Table </w:t>
      </w:r>
      <w:r w:rsidR="006513CC">
        <w:rPr>
          <w:noProof/>
        </w:rPr>
        <w:t>1</w:t>
      </w:r>
      <w:r w:rsidRPr="0019793B">
        <w:t>: Summary of the previous submission</w:t>
      </w:r>
      <w:r w:rsidR="002A0540" w:rsidRPr="0019793B">
        <w:t>s</w:t>
      </w:r>
      <w:r w:rsidRPr="0019793B">
        <w:t xml:space="preserve"> and current resubmission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276"/>
        <w:gridCol w:w="2356"/>
        <w:gridCol w:w="2356"/>
        <w:gridCol w:w="2357"/>
      </w:tblGrid>
      <w:tr w:rsidR="00B11CE3" w:rsidRPr="0019793B" w:rsidTr="00494814">
        <w:trPr>
          <w:cantSplit/>
          <w:trHeight w:val="220"/>
          <w:tblHeader/>
        </w:trPr>
        <w:tc>
          <w:tcPr>
            <w:tcW w:w="1276" w:type="dxa"/>
            <w:vAlign w:val="center"/>
          </w:tcPr>
          <w:p w:rsidR="00B11CE3" w:rsidRPr="0019793B" w:rsidRDefault="00B11CE3" w:rsidP="00494814">
            <w:pPr>
              <w:keepNext/>
              <w:jc w:val="center"/>
              <w:rPr>
                <w:rFonts w:ascii="Arial Narrow" w:hAnsi="Arial Narrow"/>
                <w:sz w:val="20"/>
                <w:szCs w:val="20"/>
              </w:rPr>
            </w:pPr>
          </w:p>
        </w:tc>
        <w:tc>
          <w:tcPr>
            <w:tcW w:w="2356" w:type="dxa"/>
            <w:vAlign w:val="center"/>
          </w:tcPr>
          <w:p w:rsidR="00B11CE3" w:rsidRPr="0019793B" w:rsidRDefault="00B11CE3" w:rsidP="00494814">
            <w:pPr>
              <w:keepNext/>
              <w:jc w:val="center"/>
              <w:rPr>
                <w:rFonts w:ascii="Arial Narrow" w:hAnsi="Arial Narrow"/>
                <w:b/>
                <w:sz w:val="20"/>
                <w:szCs w:val="20"/>
              </w:rPr>
            </w:pPr>
            <w:r w:rsidRPr="0019793B">
              <w:rPr>
                <w:rFonts w:ascii="Arial Narrow" w:hAnsi="Arial Narrow"/>
                <w:b/>
                <w:sz w:val="20"/>
                <w:szCs w:val="20"/>
              </w:rPr>
              <w:t>March 2015 submission</w:t>
            </w:r>
          </w:p>
        </w:tc>
        <w:tc>
          <w:tcPr>
            <w:tcW w:w="2356" w:type="dxa"/>
            <w:vAlign w:val="center"/>
          </w:tcPr>
          <w:p w:rsidR="00B11CE3" w:rsidRPr="0019793B" w:rsidRDefault="00B11CE3" w:rsidP="00494814">
            <w:pPr>
              <w:keepNext/>
              <w:jc w:val="center"/>
              <w:rPr>
                <w:rFonts w:ascii="Arial Narrow" w:hAnsi="Arial Narrow"/>
                <w:b/>
                <w:sz w:val="20"/>
                <w:szCs w:val="20"/>
              </w:rPr>
            </w:pPr>
            <w:r w:rsidRPr="0019793B">
              <w:rPr>
                <w:rFonts w:ascii="Arial Narrow" w:hAnsi="Arial Narrow"/>
                <w:b/>
                <w:sz w:val="20"/>
                <w:szCs w:val="20"/>
              </w:rPr>
              <w:t>November 2016 resubmission</w:t>
            </w:r>
          </w:p>
        </w:tc>
        <w:tc>
          <w:tcPr>
            <w:tcW w:w="2357" w:type="dxa"/>
            <w:vAlign w:val="center"/>
          </w:tcPr>
          <w:p w:rsidR="00B11CE3" w:rsidRPr="0019793B" w:rsidRDefault="00B11CE3" w:rsidP="00494814">
            <w:pPr>
              <w:keepNext/>
              <w:jc w:val="center"/>
              <w:rPr>
                <w:rFonts w:ascii="Arial Narrow" w:hAnsi="Arial Narrow"/>
                <w:b/>
                <w:sz w:val="20"/>
                <w:szCs w:val="20"/>
              </w:rPr>
            </w:pPr>
            <w:r w:rsidRPr="0019793B">
              <w:rPr>
                <w:rFonts w:ascii="Arial Narrow" w:hAnsi="Arial Narrow"/>
                <w:b/>
                <w:sz w:val="20"/>
                <w:szCs w:val="20"/>
              </w:rPr>
              <w:t>Current resubmission</w:t>
            </w:r>
          </w:p>
        </w:tc>
      </w:tr>
      <w:tr w:rsidR="00B11CE3" w:rsidRPr="0019793B" w:rsidTr="00494814">
        <w:trPr>
          <w:cantSplit/>
          <w:trHeight w:val="525"/>
        </w:trPr>
        <w:tc>
          <w:tcPr>
            <w:tcW w:w="1276" w:type="dxa"/>
            <w:shd w:val="clear" w:color="auto" w:fill="auto"/>
          </w:tcPr>
          <w:p w:rsidR="00B11CE3" w:rsidRPr="0019793B" w:rsidRDefault="00B11CE3" w:rsidP="00C37B58">
            <w:pPr>
              <w:rPr>
                <w:rFonts w:ascii="Arial Narrow" w:hAnsi="Arial Narrow"/>
                <w:sz w:val="20"/>
                <w:szCs w:val="20"/>
              </w:rPr>
            </w:pPr>
            <w:r w:rsidRPr="0019793B">
              <w:rPr>
                <w:rFonts w:ascii="Arial Narrow" w:hAnsi="Arial Narrow"/>
                <w:sz w:val="20"/>
                <w:szCs w:val="20"/>
              </w:rPr>
              <w:t>Requested PBS listing</w:t>
            </w:r>
          </w:p>
        </w:tc>
        <w:tc>
          <w:tcPr>
            <w:tcW w:w="2356" w:type="dxa"/>
            <w:shd w:val="clear" w:color="auto" w:fill="auto"/>
          </w:tcPr>
          <w:p w:rsidR="00B11CE3" w:rsidRPr="0019793B" w:rsidRDefault="00B11CE3" w:rsidP="00C37B58">
            <w:pPr>
              <w:rPr>
                <w:rFonts w:ascii="Arial Narrow" w:hAnsi="Arial Narrow"/>
                <w:sz w:val="20"/>
                <w:szCs w:val="20"/>
              </w:rPr>
            </w:pPr>
            <w:r w:rsidRPr="0019793B">
              <w:rPr>
                <w:rFonts w:ascii="Arial Narrow" w:hAnsi="Arial Narrow"/>
                <w:sz w:val="20"/>
                <w:szCs w:val="20"/>
              </w:rPr>
              <w:t>Moderate-to-severe plaque psoriasis, where other systemic therapies (including methotrexate) are ineffective or inappropriate.</w:t>
            </w:r>
          </w:p>
          <w:p w:rsidR="00B11CE3" w:rsidRPr="0019793B" w:rsidRDefault="00B11CE3" w:rsidP="00C37B58">
            <w:pPr>
              <w:rPr>
                <w:rFonts w:ascii="Arial Narrow" w:hAnsi="Arial Narrow"/>
                <w:sz w:val="20"/>
                <w:szCs w:val="20"/>
              </w:rPr>
            </w:pPr>
            <w:r w:rsidRPr="0019793B">
              <w:rPr>
                <w:rFonts w:ascii="Arial Narrow" w:hAnsi="Arial Narrow"/>
                <w:b/>
                <w:sz w:val="20"/>
                <w:szCs w:val="20"/>
                <w:lang w:val="fr-FR"/>
              </w:rPr>
              <w:t xml:space="preserve">PBAC Comment: </w:t>
            </w:r>
            <w:r w:rsidRPr="0019793B">
              <w:rPr>
                <w:rFonts w:ascii="Arial Narrow" w:hAnsi="Arial Narrow"/>
                <w:sz w:val="20"/>
                <w:szCs w:val="20"/>
                <w:lang w:val="fr-FR"/>
              </w:rPr>
              <w:t xml:space="preserve">(paragraph 7.2). </w:t>
            </w:r>
            <w:r w:rsidRPr="0019793B">
              <w:rPr>
                <w:rFonts w:ascii="Arial Narrow" w:hAnsi="Arial Narrow"/>
                <w:sz w:val="20"/>
                <w:szCs w:val="20"/>
              </w:rPr>
              <w:t>The PBAC expressed concerns over the potential delay in prescribers being able to initiate bDMARD therapy.</w:t>
            </w:r>
          </w:p>
        </w:tc>
        <w:tc>
          <w:tcPr>
            <w:tcW w:w="2356" w:type="dxa"/>
            <w:shd w:val="clear" w:color="auto" w:fill="auto"/>
          </w:tcPr>
          <w:p w:rsidR="005F4F97" w:rsidRPr="0019793B" w:rsidRDefault="00B11CE3" w:rsidP="00C37B58">
            <w:pPr>
              <w:rPr>
                <w:rFonts w:ascii="Arial Narrow" w:hAnsi="Arial Narrow"/>
                <w:sz w:val="20"/>
                <w:szCs w:val="20"/>
              </w:rPr>
            </w:pPr>
            <w:r w:rsidRPr="0019793B">
              <w:rPr>
                <w:rFonts w:ascii="Arial Narrow" w:hAnsi="Arial Narrow"/>
                <w:sz w:val="20"/>
                <w:szCs w:val="20"/>
              </w:rPr>
              <w:t>Moderate-to-severe plaque psoriasis</w:t>
            </w:r>
            <w:r w:rsidR="005F4F97" w:rsidRPr="0019793B">
              <w:rPr>
                <w:rFonts w:ascii="Arial Narrow" w:hAnsi="Arial Narrow"/>
                <w:sz w:val="20"/>
                <w:szCs w:val="20"/>
              </w:rPr>
              <w:t>.</w:t>
            </w:r>
          </w:p>
          <w:p w:rsidR="00B11CE3" w:rsidRPr="0019793B" w:rsidRDefault="005F4F97" w:rsidP="00C37B58">
            <w:pPr>
              <w:rPr>
                <w:rFonts w:ascii="Arial Narrow" w:hAnsi="Arial Narrow"/>
                <w:sz w:val="20"/>
                <w:szCs w:val="20"/>
              </w:rPr>
            </w:pPr>
            <w:r w:rsidRPr="0019793B">
              <w:rPr>
                <w:rFonts w:ascii="Arial Narrow" w:hAnsi="Arial Narrow"/>
                <w:b/>
                <w:sz w:val="20"/>
                <w:szCs w:val="20"/>
              </w:rPr>
              <w:t>PBAC Comment:</w:t>
            </w:r>
            <w:r w:rsidRPr="0019793B">
              <w:rPr>
                <w:rFonts w:ascii="Arial Narrow" w:hAnsi="Arial Narrow"/>
                <w:sz w:val="20"/>
                <w:szCs w:val="20"/>
              </w:rPr>
              <w:t xml:space="preserve"> (paragraph 7.2) The PBAC noted the resubmission’s proposed clinical place in therapy as an additional treatment option in the same line of therapy as cyclosporin. The PBAC considered there was a clinical place for apremilast as an alternative treatment option for plaque psoriasis.</w:t>
            </w:r>
            <w:r w:rsidR="00B11CE3" w:rsidRPr="0019793B">
              <w:rPr>
                <w:rFonts w:ascii="Arial Narrow" w:hAnsi="Arial Narrow"/>
                <w:sz w:val="20"/>
                <w:szCs w:val="20"/>
              </w:rPr>
              <w:t xml:space="preserve"> </w:t>
            </w:r>
          </w:p>
        </w:tc>
        <w:tc>
          <w:tcPr>
            <w:tcW w:w="2357" w:type="dxa"/>
          </w:tcPr>
          <w:p w:rsidR="00B11CE3" w:rsidRPr="0019793B" w:rsidRDefault="003537E7" w:rsidP="00626F63">
            <w:pPr>
              <w:rPr>
                <w:rFonts w:ascii="Arial Narrow" w:hAnsi="Arial Narrow"/>
                <w:sz w:val="20"/>
                <w:szCs w:val="20"/>
              </w:rPr>
            </w:pPr>
            <w:r w:rsidRPr="0019793B">
              <w:rPr>
                <w:rFonts w:ascii="Arial Narrow" w:hAnsi="Arial Narrow"/>
                <w:sz w:val="20"/>
                <w:szCs w:val="20"/>
              </w:rPr>
              <w:t>Moderate-to-severe plaque psoriasis</w:t>
            </w:r>
            <w:r w:rsidR="00B503D6" w:rsidRPr="0019793B">
              <w:rPr>
                <w:rFonts w:ascii="Arial Narrow" w:hAnsi="Arial Narrow"/>
                <w:sz w:val="20"/>
                <w:szCs w:val="20"/>
              </w:rPr>
              <w:t xml:space="preserve"> in</w:t>
            </w:r>
            <w:r w:rsidRPr="0019793B">
              <w:rPr>
                <w:rFonts w:ascii="Arial Narrow" w:hAnsi="Arial Narrow"/>
                <w:sz w:val="20"/>
                <w:szCs w:val="20"/>
              </w:rPr>
              <w:t xml:space="preserve"> </w:t>
            </w:r>
            <w:r w:rsidR="00B503D6" w:rsidRPr="0019793B">
              <w:rPr>
                <w:rFonts w:ascii="Arial Narrow" w:hAnsi="Arial Narrow"/>
                <w:sz w:val="20"/>
                <w:szCs w:val="20"/>
              </w:rPr>
              <w:t xml:space="preserve">patients </w:t>
            </w:r>
            <w:r w:rsidRPr="0019793B">
              <w:rPr>
                <w:rFonts w:ascii="Arial Narrow" w:hAnsi="Arial Narrow"/>
                <w:sz w:val="20"/>
                <w:szCs w:val="20"/>
              </w:rPr>
              <w:t>who have failed to achi</w:t>
            </w:r>
            <w:r w:rsidR="00F34FF2" w:rsidRPr="0019793B">
              <w:rPr>
                <w:rFonts w:ascii="Arial Narrow" w:hAnsi="Arial Narrow"/>
                <w:sz w:val="20"/>
                <w:szCs w:val="20"/>
              </w:rPr>
              <w:t xml:space="preserve">eve an adequate response or are </w:t>
            </w:r>
            <w:r w:rsidRPr="0019793B">
              <w:rPr>
                <w:rFonts w:ascii="Arial Narrow" w:hAnsi="Arial Narrow"/>
                <w:sz w:val="20"/>
                <w:szCs w:val="20"/>
              </w:rPr>
              <w:t>contraindicated to treatment with methotrexate.</w:t>
            </w:r>
          </w:p>
        </w:tc>
      </w:tr>
      <w:tr w:rsidR="00B11CE3" w:rsidRPr="0019793B" w:rsidTr="00494814">
        <w:trPr>
          <w:cantSplit/>
          <w:trHeight w:val="422"/>
        </w:trPr>
        <w:tc>
          <w:tcPr>
            <w:tcW w:w="1276" w:type="dxa"/>
          </w:tcPr>
          <w:p w:rsidR="00B11CE3" w:rsidRPr="0019793B" w:rsidRDefault="00B11CE3" w:rsidP="00C37B58">
            <w:pPr>
              <w:rPr>
                <w:rFonts w:ascii="Arial Narrow" w:hAnsi="Arial Narrow"/>
                <w:sz w:val="20"/>
                <w:szCs w:val="20"/>
              </w:rPr>
            </w:pPr>
            <w:r w:rsidRPr="0019793B">
              <w:rPr>
                <w:rFonts w:ascii="Arial Narrow" w:hAnsi="Arial Narrow"/>
                <w:sz w:val="20"/>
                <w:szCs w:val="20"/>
              </w:rPr>
              <w:t>Requested</w:t>
            </w:r>
            <w:r w:rsidR="003537E7" w:rsidRPr="0019793B">
              <w:rPr>
                <w:rFonts w:ascii="Arial Narrow" w:hAnsi="Arial Narrow"/>
                <w:sz w:val="20"/>
                <w:szCs w:val="20"/>
              </w:rPr>
              <w:t xml:space="preserve"> effective</w:t>
            </w:r>
            <w:r w:rsidRPr="0019793B">
              <w:rPr>
                <w:rFonts w:ascii="Arial Narrow" w:hAnsi="Arial Narrow"/>
                <w:sz w:val="20"/>
                <w:szCs w:val="20"/>
              </w:rPr>
              <w:t xml:space="preserve"> DPMQ</w:t>
            </w:r>
            <w:r w:rsidR="009C4AF7" w:rsidRPr="0019793B">
              <w:rPr>
                <w:rFonts w:ascii="Arial Narrow" w:hAnsi="Arial Narrow"/>
                <w:sz w:val="20"/>
                <w:szCs w:val="20"/>
              </w:rPr>
              <w:t>s</w:t>
            </w:r>
          </w:p>
        </w:tc>
        <w:tc>
          <w:tcPr>
            <w:tcW w:w="2356" w:type="dxa"/>
          </w:tcPr>
          <w:p w:rsidR="00B11CE3" w:rsidRPr="0019793B" w:rsidRDefault="003537E7" w:rsidP="00C37B58">
            <w:pPr>
              <w:pStyle w:val="ListParagraph"/>
              <w:widowControl/>
              <w:numPr>
                <w:ilvl w:val="0"/>
                <w:numId w:val="15"/>
              </w:numPr>
              <w:ind w:left="114" w:hanging="114"/>
              <w:jc w:val="left"/>
              <w:rPr>
                <w:rFonts w:ascii="Arial Narrow" w:hAnsi="Arial Narrow"/>
                <w:sz w:val="20"/>
              </w:rPr>
            </w:pPr>
            <w:r w:rsidRPr="0019793B">
              <w:rPr>
                <w:rFonts w:ascii="Arial Narrow" w:hAnsi="Arial Narrow"/>
                <w:sz w:val="20"/>
              </w:rPr>
              <w:t>Apremilast 10mg x 4, 20mg x 4, 30mg x 19</w:t>
            </w:r>
            <w:r w:rsidR="00B11CE3" w:rsidRPr="0019793B">
              <w:rPr>
                <w:rFonts w:ascii="Arial Narrow" w:hAnsi="Arial Narrow"/>
                <w:sz w:val="20"/>
              </w:rPr>
              <w:t>: $</w:t>
            </w:r>
            <w:r w:rsidR="00F17FFB">
              <w:rPr>
                <w:rFonts w:ascii="Arial Narrow" w:hAnsi="Arial Narrow"/>
                <w:noProof/>
                <w:color w:val="000000"/>
                <w:sz w:val="20"/>
                <w:highlight w:val="black"/>
              </w:rPr>
              <w:t>'''''''''''''''</w:t>
            </w:r>
          </w:p>
          <w:p w:rsidR="00B11CE3" w:rsidRPr="0019793B" w:rsidRDefault="003537E7" w:rsidP="00C37B58">
            <w:pPr>
              <w:pStyle w:val="ListParagraph"/>
              <w:widowControl/>
              <w:numPr>
                <w:ilvl w:val="0"/>
                <w:numId w:val="15"/>
              </w:numPr>
              <w:ind w:left="114" w:hanging="114"/>
              <w:jc w:val="left"/>
              <w:rPr>
                <w:rFonts w:ascii="Arial Narrow" w:hAnsi="Arial Narrow"/>
                <w:sz w:val="20"/>
              </w:rPr>
            </w:pPr>
            <w:r w:rsidRPr="0019793B">
              <w:rPr>
                <w:rFonts w:ascii="Arial Narrow" w:hAnsi="Arial Narrow"/>
                <w:sz w:val="20"/>
              </w:rPr>
              <w:t xml:space="preserve">Apremilast 30 mg x </w:t>
            </w:r>
            <w:r w:rsidR="00B11CE3" w:rsidRPr="0019793B">
              <w:rPr>
                <w:rFonts w:ascii="Arial Narrow" w:hAnsi="Arial Narrow"/>
                <w:sz w:val="20"/>
              </w:rPr>
              <w:t>56: $</w:t>
            </w:r>
            <w:r w:rsidR="00F17FFB">
              <w:rPr>
                <w:rFonts w:ascii="Arial Narrow" w:hAnsi="Arial Narrow"/>
                <w:noProof/>
                <w:color w:val="000000"/>
                <w:sz w:val="20"/>
                <w:highlight w:val="black"/>
              </w:rPr>
              <w:t>'''''''''''''''''''''</w:t>
            </w:r>
          </w:p>
        </w:tc>
        <w:tc>
          <w:tcPr>
            <w:tcW w:w="2356" w:type="dxa"/>
          </w:tcPr>
          <w:p w:rsidR="00B11CE3" w:rsidRPr="0019793B" w:rsidRDefault="003537E7" w:rsidP="00C37B58">
            <w:pPr>
              <w:pStyle w:val="ListParagraph"/>
              <w:widowControl/>
              <w:numPr>
                <w:ilvl w:val="0"/>
                <w:numId w:val="15"/>
              </w:numPr>
              <w:ind w:left="114" w:hanging="114"/>
              <w:jc w:val="left"/>
              <w:rPr>
                <w:rFonts w:ascii="Arial Narrow" w:hAnsi="Arial Narrow"/>
                <w:sz w:val="20"/>
              </w:rPr>
            </w:pPr>
            <w:r w:rsidRPr="0019793B">
              <w:rPr>
                <w:rFonts w:ascii="Arial Narrow" w:hAnsi="Arial Narrow"/>
                <w:sz w:val="20"/>
              </w:rPr>
              <w:t xml:space="preserve">Apremilast </w:t>
            </w:r>
            <w:r w:rsidR="00B11CE3" w:rsidRPr="0019793B">
              <w:rPr>
                <w:rFonts w:ascii="Arial Narrow" w:hAnsi="Arial Narrow"/>
                <w:sz w:val="20"/>
              </w:rPr>
              <w:t>10mg x 4, 20mg x 4, 30m</w:t>
            </w:r>
            <w:r w:rsidRPr="0019793B">
              <w:rPr>
                <w:rFonts w:ascii="Arial Narrow" w:hAnsi="Arial Narrow"/>
                <w:sz w:val="20"/>
              </w:rPr>
              <w:t>g x 19</w:t>
            </w:r>
            <w:r w:rsidR="00B11CE3" w:rsidRPr="0019793B">
              <w:rPr>
                <w:rFonts w:ascii="Arial Narrow" w:hAnsi="Arial Narrow"/>
                <w:sz w:val="20"/>
              </w:rPr>
              <w:t>: $</w:t>
            </w:r>
            <w:r w:rsidR="00F17FFB">
              <w:rPr>
                <w:rFonts w:ascii="Arial Narrow" w:hAnsi="Arial Narrow"/>
                <w:noProof/>
                <w:color w:val="000000"/>
                <w:sz w:val="20"/>
                <w:highlight w:val="black"/>
              </w:rPr>
              <w:t>''''''''''''''''''</w:t>
            </w:r>
          </w:p>
          <w:p w:rsidR="00B11CE3" w:rsidRPr="0019793B" w:rsidRDefault="003537E7" w:rsidP="00C37B58">
            <w:pPr>
              <w:pStyle w:val="ListParagraph"/>
              <w:widowControl/>
              <w:numPr>
                <w:ilvl w:val="0"/>
                <w:numId w:val="15"/>
              </w:numPr>
              <w:ind w:left="114" w:hanging="114"/>
              <w:jc w:val="left"/>
              <w:rPr>
                <w:rFonts w:ascii="Arial Narrow" w:hAnsi="Arial Narrow"/>
                <w:sz w:val="20"/>
              </w:rPr>
            </w:pPr>
            <w:r w:rsidRPr="0019793B">
              <w:rPr>
                <w:rFonts w:ascii="Arial Narrow" w:hAnsi="Arial Narrow"/>
                <w:sz w:val="20"/>
              </w:rPr>
              <w:t xml:space="preserve">Apremilast 30 mg x </w:t>
            </w:r>
            <w:r w:rsidR="00B11CE3" w:rsidRPr="0019793B">
              <w:rPr>
                <w:rFonts w:ascii="Arial Narrow" w:hAnsi="Arial Narrow"/>
                <w:sz w:val="20"/>
              </w:rPr>
              <w:t>56: $</w:t>
            </w:r>
            <w:r w:rsidR="00F17FFB">
              <w:rPr>
                <w:rFonts w:ascii="Arial Narrow" w:hAnsi="Arial Narrow"/>
                <w:noProof/>
                <w:color w:val="000000"/>
                <w:sz w:val="20"/>
                <w:highlight w:val="black"/>
              </w:rPr>
              <w:t>''''''''''''''''</w:t>
            </w:r>
          </w:p>
        </w:tc>
        <w:tc>
          <w:tcPr>
            <w:tcW w:w="2357" w:type="dxa"/>
          </w:tcPr>
          <w:p w:rsidR="003537E7" w:rsidRPr="0019793B" w:rsidRDefault="003537E7" w:rsidP="00C37B58">
            <w:pPr>
              <w:pStyle w:val="ListParagraph"/>
              <w:widowControl/>
              <w:numPr>
                <w:ilvl w:val="0"/>
                <w:numId w:val="15"/>
              </w:numPr>
              <w:ind w:left="114" w:hanging="114"/>
              <w:jc w:val="left"/>
              <w:rPr>
                <w:rFonts w:ascii="Arial Narrow" w:hAnsi="Arial Narrow"/>
                <w:sz w:val="20"/>
              </w:rPr>
            </w:pPr>
            <w:r w:rsidRPr="0019793B">
              <w:rPr>
                <w:rFonts w:ascii="Arial Narrow" w:hAnsi="Arial Narrow"/>
                <w:sz w:val="20"/>
              </w:rPr>
              <w:t>Apremilast (10mg x 4, 20mg x 4, 30mg x 19): $</w:t>
            </w:r>
            <w:r w:rsidR="00F17FFB">
              <w:rPr>
                <w:rFonts w:ascii="Arial Narrow" w:hAnsi="Arial Narrow"/>
                <w:noProof/>
                <w:color w:val="000000"/>
                <w:sz w:val="20"/>
                <w:highlight w:val="black"/>
              </w:rPr>
              <w:t>'''''''''''''''''</w:t>
            </w:r>
          </w:p>
          <w:p w:rsidR="003537E7" w:rsidRPr="0019793B" w:rsidRDefault="003537E7" w:rsidP="00C37B58">
            <w:pPr>
              <w:pStyle w:val="ListParagraph"/>
              <w:widowControl/>
              <w:numPr>
                <w:ilvl w:val="0"/>
                <w:numId w:val="15"/>
              </w:numPr>
              <w:ind w:left="114" w:hanging="114"/>
              <w:jc w:val="left"/>
              <w:rPr>
                <w:rFonts w:ascii="Arial Narrow" w:hAnsi="Arial Narrow"/>
                <w:sz w:val="20"/>
              </w:rPr>
            </w:pPr>
            <w:r w:rsidRPr="0019793B">
              <w:rPr>
                <w:rFonts w:ascii="Arial Narrow" w:hAnsi="Arial Narrow"/>
                <w:sz w:val="20"/>
              </w:rPr>
              <w:t>Apremilast 30 mg x 56: $</w:t>
            </w:r>
            <w:r w:rsidR="00F17FFB">
              <w:rPr>
                <w:rFonts w:ascii="Arial Narrow" w:hAnsi="Arial Narrow"/>
                <w:noProof/>
                <w:color w:val="000000"/>
                <w:sz w:val="20"/>
                <w:highlight w:val="black"/>
              </w:rPr>
              <w:t>'''''''''''''''</w:t>
            </w:r>
          </w:p>
        </w:tc>
      </w:tr>
      <w:tr w:rsidR="007B0490" w:rsidRPr="0019793B" w:rsidTr="00494814">
        <w:trPr>
          <w:cantSplit/>
          <w:trHeight w:val="860"/>
        </w:trPr>
        <w:tc>
          <w:tcPr>
            <w:tcW w:w="1276" w:type="dxa"/>
          </w:tcPr>
          <w:p w:rsidR="007B0490" w:rsidRPr="0019793B" w:rsidRDefault="00EC5B37" w:rsidP="00C37B58">
            <w:pPr>
              <w:rPr>
                <w:rFonts w:ascii="Arial Narrow" w:hAnsi="Arial Narrow"/>
                <w:sz w:val="20"/>
                <w:szCs w:val="20"/>
              </w:rPr>
            </w:pPr>
            <w:r w:rsidRPr="0019793B">
              <w:rPr>
                <w:rFonts w:ascii="Arial Narrow" w:hAnsi="Arial Narrow"/>
                <w:sz w:val="20"/>
                <w:szCs w:val="20"/>
              </w:rPr>
              <w:lastRenderedPageBreak/>
              <w:t>C</w:t>
            </w:r>
            <w:r w:rsidR="007B0490" w:rsidRPr="0019793B">
              <w:rPr>
                <w:rFonts w:ascii="Arial Narrow" w:hAnsi="Arial Narrow"/>
                <w:sz w:val="20"/>
                <w:szCs w:val="20"/>
              </w:rPr>
              <w:t>omparator</w:t>
            </w:r>
          </w:p>
        </w:tc>
        <w:tc>
          <w:tcPr>
            <w:tcW w:w="2356" w:type="dxa"/>
          </w:tcPr>
          <w:p w:rsidR="00CC3790" w:rsidRPr="0019793B" w:rsidRDefault="00CC3790" w:rsidP="00C37B58">
            <w:pPr>
              <w:pStyle w:val="ListParagraph"/>
              <w:widowControl/>
              <w:numPr>
                <w:ilvl w:val="0"/>
                <w:numId w:val="15"/>
              </w:numPr>
              <w:ind w:left="114" w:hanging="114"/>
              <w:jc w:val="left"/>
              <w:rPr>
                <w:rFonts w:ascii="Arial Narrow" w:hAnsi="Arial Narrow"/>
                <w:sz w:val="20"/>
              </w:rPr>
            </w:pPr>
            <w:r w:rsidRPr="0019793B">
              <w:rPr>
                <w:rFonts w:ascii="Arial Narrow" w:hAnsi="Arial Narrow"/>
                <w:sz w:val="20"/>
              </w:rPr>
              <w:t>Cyclosporin</w:t>
            </w:r>
          </w:p>
          <w:p w:rsidR="007B0490" w:rsidRPr="0019793B" w:rsidRDefault="00CC3790" w:rsidP="00C37B58">
            <w:pPr>
              <w:rPr>
                <w:rFonts w:ascii="Arial Narrow" w:hAnsi="Arial Narrow"/>
                <w:sz w:val="20"/>
                <w:szCs w:val="20"/>
              </w:rPr>
            </w:pPr>
            <w:r w:rsidRPr="0019793B">
              <w:rPr>
                <w:rFonts w:ascii="Arial Narrow" w:hAnsi="Arial Narrow"/>
                <w:b/>
                <w:sz w:val="20"/>
                <w:szCs w:val="20"/>
              </w:rPr>
              <w:t>PBAC Comment:</w:t>
            </w:r>
            <w:r w:rsidRPr="0019793B">
              <w:rPr>
                <w:rFonts w:ascii="Arial Narrow" w:hAnsi="Arial Narrow"/>
                <w:sz w:val="20"/>
                <w:szCs w:val="20"/>
              </w:rPr>
              <w:t xml:space="preserve"> (paragraph 7.3) The PBAC accepted this, but noted that acitretin would also be a relevant comparator.</w:t>
            </w:r>
          </w:p>
        </w:tc>
        <w:tc>
          <w:tcPr>
            <w:tcW w:w="2356" w:type="dxa"/>
          </w:tcPr>
          <w:p w:rsidR="007B0490" w:rsidRPr="0019793B" w:rsidRDefault="007B0490" w:rsidP="00C37B58">
            <w:pPr>
              <w:pStyle w:val="ListParagraph"/>
              <w:widowControl/>
              <w:numPr>
                <w:ilvl w:val="0"/>
                <w:numId w:val="15"/>
              </w:numPr>
              <w:ind w:left="114" w:hanging="114"/>
              <w:jc w:val="left"/>
              <w:rPr>
                <w:rFonts w:ascii="Arial Narrow" w:hAnsi="Arial Narrow"/>
                <w:sz w:val="20"/>
              </w:rPr>
            </w:pPr>
            <w:r w:rsidRPr="0019793B">
              <w:rPr>
                <w:rFonts w:ascii="Arial Narrow" w:hAnsi="Arial Narrow"/>
                <w:sz w:val="20"/>
              </w:rPr>
              <w:t>Cyc</w:t>
            </w:r>
            <w:r w:rsidR="001D2F07" w:rsidRPr="0019793B">
              <w:rPr>
                <w:rFonts w:ascii="Arial Narrow" w:hAnsi="Arial Narrow"/>
                <w:sz w:val="20"/>
              </w:rPr>
              <w:t>losporin</w:t>
            </w:r>
          </w:p>
          <w:p w:rsidR="007B0490" w:rsidRPr="0019793B" w:rsidRDefault="007B0490" w:rsidP="00C37B58">
            <w:pPr>
              <w:rPr>
                <w:rFonts w:ascii="Arial Narrow" w:hAnsi="Arial Narrow"/>
                <w:sz w:val="20"/>
                <w:szCs w:val="20"/>
              </w:rPr>
            </w:pPr>
            <w:r w:rsidRPr="0019793B">
              <w:rPr>
                <w:rFonts w:ascii="Arial Narrow" w:hAnsi="Arial Narrow"/>
                <w:b/>
                <w:sz w:val="20"/>
                <w:szCs w:val="20"/>
              </w:rPr>
              <w:t>PBAC Comment:</w:t>
            </w:r>
            <w:r w:rsidRPr="0019793B">
              <w:rPr>
                <w:rFonts w:ascii="Arial Narrow" w:hAnsi="Arial Narrow"/>
                <w:sz w:val="20"/>
                <w:szCs w:val="20"/>
              </w:rPr>
              <w:t xml:space="preserve"> (paragraph</w:t>
            </w:r>
            <w:r w:rsidR="001D2F07" w:rsidRPr="0019793B">
              <w:rPr>
                <w:rFonts w:ascii="Arial Narrow" w:hAnsi="Arial Narrow"/>
                <w:sz w:val="20"/>
                <w:szCs w:val="20"/>
              </w:rPr>
              <w:t xml:space="preserve"> 7.5</w:t>
            </w:r>
            <w:r w:rsidRPr="0019793B">
              <w:rPr>
                <w:rFonts w:ascii="Arial Narrow" w:hAnsi="Arial Narrow"/>
                <w:sz w:val="20"/>
                <w:szCs w:val="20"/>
              </w:rPr>
              <w:t xml:space="preserve">) On the basis of the clinical place proposed in the resubmission, the PBAC considered that cyclosporin, methotrexate and acitretin were all relevant comparators. The PBAC accepted cyclosporin as the main comparator if apremilast </w:t>
            </w:r>
            <w:r w:rsidR="001D2F07" w:rsidRPr="0019793B">
              <w:rPr>
                <w:rFonts w:ascii="Arial Narrow" w:hAnsi="Arial Narrow"/>
                <w:sz w:val="20"/>
                <w:szCs w:val="20"/>
              </w:rPr>
              <w:t>was</w:t>
            </w:r>
            <w:r w:rsidRPr="0019793B">
              <w:rPr>
                <w:rFonts w:ascii="Arial Narrow" w:hAnsi="Arial Narrow"/>
                <w:sz w:val="20"/>
                <w:szCs w:val="20"/>
              </w:rPr>
              <w:t xml:space="preserve"> restricted to patients who have failed treatment with methotrexate.</w:t>
            </w:r>
          </w:p>
        </w:tc>
        <w:tc>
          <w:tcPr>
            <w:tcW w:w="2357" w:type="dxa"/>
          </w:tcPr>
          <w:p w:rsidR="007B0490" w:rsidRPr="0019793B" w:rsidRDefault="00015A7C" w:rsidP="00C37B58">
            <w:pPr>
              <w:pStyle w:val="ListParagraph"/>
              <w:widowControl/>
              <w:numPr>
                <w:ilvl w:val="0"/>
                <w:numId w:val="15"/>
              </w:numPr>
              <w:ind w:left="114" w:hanging="114"/>
              <w:jc w:val="left"/>
              <w:rPr>
                <w:rFonts w:ascii="Arial Narrow" w:hAnsi="Arial Narrow"/>
                <w:sz w:val="20"/>
              </w:rPr>
            </w:pPr>
            <w:r w:rsidRPr="0019793B">
              <w:rPr>
                <w:rFonts w:ascii="Arial Narrow" w:hAnsi="Arial Narrow"/>
                <w:sz w:val="20"/>
              </w:rPr>
              <w:t xml:space="preserve">Not stated, </w:t>
            </w:r>
            <w:r w:rsidR="00650632" w:rsidRPr="0019793B">
              <w:rPr>
                <w:rFonts w:ascii="Arial Narrow" w:hAnsi="Arial Narrow"/>
                <w:sz w:val="20"/>
              </w:rPr>
              <w:t xml:space="preserve">but </w:t>
            </w:r>
            <w:r w:rsidRPr="0019793B">
              <w:rPr>
                <w:rFonts w:ascii="Arial Narrow" w:hAnsi="Arial Narrow"/>
                <w:sz w:val="20"/>
              </w:rPr>
              <w:t>assumed to be unchanged.</w:t>
            </w:r>
          </w:p>
        </w:tc>
      </w:tr>
      <w:tr w:rsidR="00B11CE3" w:rsidRPr="0019793B" w:rsidTr="00494814">
        <w:trPr>
          <w:cantSplit/>
          <w:trHeight w:val="860"/>
        </w:trPr>
        <w:tc>
          <w:tcPr>
            <w:tcW w:w="1276" w:type="dxa"/>
          </w:tcPr>
          <w:p w:rsidR="00B11CE3" w:rsidRPr="0019793B" w:rsidRDefault="00B11CE3" w:rsidP="00C37B58">
            <w:pPr>
              <w:rPr>
                <w:rFonts w:ascii="Arial Narrow" w:hAnsi="Arial Narrow"/>
                <w:sz w:val="20"/>
                <w:szCs w:val="20"/>
              </w:rPr>
            </w:pPr>
            <w:r w:rsidRPr="0019793B">
              <w:rPr>
                <w:rFonts w:ascii="Arial Narrow" w:hAnsi="Arial Narrow"/>
                <w:sz w:val="20"/>
                <w:szCs w:val="20"/>
              </w:rPr>
              <w:t>Clinical evidence</w:t>
            </w:r>
          </w:p>
        </w:tc>
        <w:tc>
          <w:tcPr>
            <w:tcW w:w="2356" w:type="dxa"/>
          </w:tcPr>
          <w:p w:rsidR="00B11CE3" w:rsidRPr="0019793B" w:rsidRDefault="00B11CE3" w:rsidP="00C37B58">
            <w:pPr>
              <w:pStyle w:val="ListParagraph"/>
              <w:widowControl/>
              <w:numPr>
                <w:ilvl w:val="0"/>
                <w:numId w:val="15"/>
              </w:numPr>
              <w:ind w:left="114" w:hanging="114"/>
              <w:jc w:val="left"/>
              <w:rPr>
                <w:rFonts w:ascii="Arial Narrow" w:hAnsi="Arial Narrow"/>
                <w:sz w:val="20"/>
              </w:rPr>
            </w:pPr>
            <w:r w:rsidRPr="0019793B">
              <w:rPr>
                <w:rFonts w:ascii="Arial Narrow" w:hAnsi="Arial Narrow"/>
                <w:sz w:val="20"/>
              </w:rPr>
              <w:t>Apremilast versus placebo: 3 pivotal trials</w:t>
            </w:r>
          </w:p>
          <w:p w:rsidR="00B11CE3" w:rsidRPr="0019793B" w:rsidRDefault="00B11CE3" w:rsidP="00C37B58">
            <w:pPr>
              <w:pStyle w:val="ListParagraph"/>
              <w:widowControl/>
              <w:numPr>
                <w:ilvl w:val="0"/>
                <w:numId w:val="15"/>
              </w:numPr>
              <w:ind w:left="114" w:hanging="114"/>
              <w:jc w:val="left"/>
              <w:rPr>
                <w:rFonts w:ascii="Arial Narrow" w:hAnsi="Arial Narrow"/>
                <w:sz w:val="20"/>
              </w:rPr>
            </w:pPr>
            <w:r w:rsidRPr="0019793B">
              <w:rPr>
                <w:rFonts w:ascii="Arial Narrow" w:hAnsi="Arial Narrow"/>
                <w:sz w:val="20"/>
              </w:rPr>
              <w:t>Cyclosporin versus placebo:1 pivotal trial</w:t>
            </w:r>
          </w:p>
          <w:p w:rsidR="00B11CE3" w:rsidRPr="0019793B" w:rsidRDefault="00B11CE3" w:rsidP="00C37B58">
            <w:pPr>
              <w:rPr>
                <w:rFonts w:ascii="Arial Narrow" w:hAnsi="Arial Narrow"/>
                <w:color w:val="0000FF"/>
                <w:sz w:val="20"/>
                <w:szCs w:val="20"/>
              </w:rPr>
            </w:pPr>
            <w:r w:rsidRPr="0019793B">
              <w:rPr>
                <w:rFonts w:ascii="Arial Narrow" w:hAnsi="Arial Narrow"/>
                <w:b/>
                <w:sz w:val="20"/>
                <w:szCs w:val="20"/>
              </w:rPr>
              <w:t>PBAC Comment:</w:t>
            </w:r>
            <w:r w:rsidRPr="0019793B">
              <w:rPr>
                <w:rFonts w:ascii="Arial Narrow" w:hAnsi="Arial Narrow"/>
                <w:sz w:val="20"/>
                <w:szCs w:val="20"/>
              </w:rPr>
              <w:t xml:space="preserve"> (paragraphs 6.17; 7.4) The fixed dose of cyclosporin 2.5mg/kg/day for 10 weeks in the Meffert (1997) trial was not the recommended dose regimen.</w:t>
            </w:r>
          </w:p>
        </w:tc>
        <w:tc>
          <w:tcPr>
            <w:tcW w:w="2356" w:type="dxa"/>
          </w:tcPr>
          <w:p w:rsidR="00B11CE3" w:rsidRPr="0019793B" w:rsidRDefault="00B11CE3" w:rsidP="00C37B58">
            <w:pPr>
              <w:pStyle w:val="ListParagraph"/>
              <w:widowControl/>
              <w:numPr>
                <w:ilvl w:val="0"/>
                <w:numId w:val="15"/>
              </w:numPr>
              <w:ind w:left="114" w:hanging="114"/>
              <w:jc w:val="left"/>
              <w:rPr>
                <w:rFonts w:ascii="Arial Narrow" w:hAnsi="Arial Narrow"/>
                <w:sz w:val="20"/>
              </w:rPr>
            </w:pPr>
            <w:r w:rsidRPr="0019793B">
              <w:rPr>
                <w:rFonts w:ascii="Arial Narrow" w:hAnsi="Arial Narrow"/>
                <w:sz w:val="20"/>
              </w:rPr>
              <w:t>Randomised evidence: Apremilast versus placebo: 3 trials, plus 1 inappropriately excluded trial.</w:t>
            </w:r>
          </w:p>
          <w:p w:rsidR="00B11CE3" w:rsidRPr="0019793B" w:rsidRDefault="00B11CE3" w:rsidP="00C37B58">
            <w:pPr>
              <w:pStyle w:val="ListParagraph"/>
              <w:widowControl/>
              <w:numPr>
                <w:ilvl w:val="0"/>
                <w:numId w:val="15"/>
              </w:numPr>
              <w:ind w:left="114" w:hanging="114"/>
              <w:jc w:val="left"/>
              <w:rPr>
                <w:rFonts w:ascii="Arial Narrow" w:hAnsi="Arial Narrow"/>
                <w:sz w:val="20"/>
              </w:rPr>
            </w:pPr>
            <w:r w:rsidRPr="0019793B">
              <w:rPr>
                <w:rFonts w:ascii="Arial Narrow" w:hAnsi="Arial Narrow"/>
                <w:sz w:val="20"/>
              </w:rPr>
              <w:t>Non-randomised evidence: A</w:t>
            </w:r>
            <w:r w:rsidR="00F34FF2" w:rsidRPr="0019793B">
              <w:rPr>
                <w:rFonts w:ascii="Arial Narrow" w:hAnsi="Arial Narrow"/>
                <w:sz w:val="20"/>
              </w:rPr>
              <w:t>premilast versus cyclosporin: 1 </w:t>
            </w:r>
            <w:r w:rsidRPr="0019793B">
              <w:rPr>
                <w:rFonts w:ascii="Arial Narrow" w:hAnsi="Arial Narrow"/>
                <w:sz w:val="20"/>
              </w:rPr>
              <w:t xml:space="preserve">pivotal study. </w:t>
            </w:r>
          </w:p>
          <w:p w:rsidR="007B0490" w:rsidRPr="0019793B" w:rsidRDefault="00B11CE3" w:rsidP="00C37B58">
            <w:pPr>
              <w:pStyle w:val="ListParagraph"/>
              <w:widowControl/>
              <w:numPr>
                <w:ilvl w:val="0"/>
                <w:numId w:val="15"/>
              </w:numPr>
              <w:ind w:left="114" w:hanging="114"/>
              <w:jc w:val="left"/>
              <w:rPr>
                <w:rFonts w:ascii="Arial Narrow" w:hAnsi="Arial Narrow"/>
                <w:sz w:val="20"/>
              </w:rPr>
            </w:pPr>
            <w:r w:rsidRPr="0019793B">
              <w:rPr>
                <w:rFonts w:ascii="Arial Narrow" w:hAnsi="Arial Narrow"/>
                <w:sz w:val="20"/>
              </w:rPr>
              <w:t>Apremilast single arm: 3 supportive studies</w:t>
            </w:r>
          </w:p>
        </w:tc>
        <w:tc>
          <w:tcPr>
            <w:tcW w:w="2357" w:type="dxa"/>
          </w:tcPr>
          <w:p w:rsidR="00B11CE3" w:rsidRPr="0019793B" w:rsidRDefault="007B0490" w:rsidP="00C37B58">
            <w:pPr>
              <w:rPr>
                <w:rFonts w:ascii="Arial Narrow" w:hAnsi="Arial Narrow"/>
                <w:sz w:val="20"/>
                <w:szCs w:val="20"/>
              </w:rPr>
            </w:pPr>
            <w:r w:rsidRPr="0019793B">
              <w:rPr>
                <w:rFonts w:ascii="Arial Narrow" w:hAnsi="Arial Narrow"/>
                <w:sz w:val="20"/>
                <w:szCs w:val="20"/>
              </w:rPr>
              <w:t>No additional clinical evidence presented.</w:t>
            </w:r>
          </w:p>
        </w:tc>
      </w:tr>
      <w:tr w:rsidR="00B11CE3" w:rsidRPr="0019793B" w:rsidTr="00494814">
        <w:trPr>
          <w:cantSplit/>
          <w:trHeight w:val="8159"/>
        </w:trPr>
        <w:tc>
          <w:tcPr>
            <w:tcW w:w="1276" w:type="dxa"/>
          </w:tcPr>
          <w:p w:rsidR="00B11CE3" w:rsidRPr="0019793B" w:rsidRDefault="00B11CE3" w:rsidP="00C37B58">
            <w:pPr>
              <w:rPr>
                <w:rFonts w:ascii="Arial Narrow" w:hAnsi="Arial Narrow"/>
                <w:sz w:val="20"/>
                <w:szCs w:val="20"/>
              </w:rPr>
            </w:pPr>
            <w:r w:rsidRPr="0019793B">
              <w:rPr>
                <w:rFonts w:ascii="Arial Narrow" w:hAnsi="Arial Narrow"/>
                <w:sz w:val="20"/>
                <w:szCs w:val="20"/>
              </w:rPr>
              <w:t>Key effectiveness data</w:t>
            </w:r>
          </w:p>
        </w:tc>
        <w:tc>
          <w:tcPr>
            <w:tcW w:w="2356" w:type="dxa"/>
          </w:tcPr>
          <w:p w:rsidR="00B11CE3" w:rsidRPr="0019793B" w:rsidRDefault="00B11CE3" w:rsidP="00C37B58">
            <w:pPr>
              <w:rPr>
                <w:rFonts w:ascii="Arial Narrow" w:hAnsi="Arial Narrow"/>
                <w:sz w:val="20"/>
                <w:szCs w:val="20"/>
              </w:rPr>
            </w:pPr>
            <w:r w:rsidRPr="0019793B">
              <w:rPr>
                <w:rFonts w:ascii="Arial Narrow" w:hAnsi="Arial Narrow"/>
                <w:sz w:val="20"/>
                <w:szCs w:val="20"/>
              </w:rPr>
              <w:t xml:space="preserve">PASI 75 response at 16 weeks for apremilast </w:t>
            </w:r>
          </w:p>
          <w:p w:rsidR="00B11CE3" w:rsidRPr="0019793B" w:rsidRDefault="00B11CE3" w:rsidP="00C37B58">
            <w:pPr>
              <w:rPr>
                <w:rFonts w:ascii="Arial Narrow" w:hAnsi="Arial Narrow"/>
                <w:sz w:val="20"/>
                <w:szCs w:val="20"/>
              </w:rPr>
            </w:pPr>
            <w:r w:rsidRPr="0019793B">
              <w:rPr>
                <w:rFonts w:ascii="Arial Narrow" w:hAnsi="Arial Narrow"/>
                <w:sz w:val="20"/>
                <w:szCs w:val="20"/>
              </w:rPr>
              <w:t>PASI 75 response at 10 weeks for cyclosporin (Meffert 1997)</w:t>
            </w:r>
          </w:p>
          <w:p w:rsidR="00B11CE3" w:rsidRPr="0019793B" w:rsidRDefault="00B11CE3" w:rsidP="00C37B58">
            <w:pPr>
              <w:rPr>
                <w:rFonts w:ascii="Arial Narrow" w:hAnsi="Arial Narrow"/>
                <w:sz w:val="20"/>
                <w:szCs w:val="20"/>
              </w:rPr>
            </w:pPr>
            <w:r w:rsidRPr="0019793B">
              <w:rPr>
                <w:rFonts w:ascii="Arial Narrow" w:hAnsi="Arial Narrow"/>
                <w:sz w:val="20"/>
                <w:szCs w:val="20"/>
              </w:rPr>
              <w:t>Indirect comparison of apremilast versus cyclosporin: RR=0.94 (95% CI: 0.22, 4.12)</w:t>
            </w:r>
          </w:p>
          <w:p w:rsidR="00B11CE3" w:rsidRPr="0019793B" w:rsidRDefault="00B11CE3" w:rsidP="00C37B58">
            <w:pPr>
              <w:rPr>
                <w:rFonts w:ascii="Arial Narrow" w:hAnsi="Arial Narrow"/>
                <w:sz w:val="20"/>
                <w:szCs w:val="20"/>
              </w:rPr>
            </w:pPr>
            <w:r w:rsidRPr="0019793B">
              <w:rPr>
                <w:rFonts w:ascii="Arial Narrow" w:hAnsi="Arial Narrow"/>
                <w:b/>
                <w:sz w:val="20"/>
                <w:szCs w:val="20"/>
              </w:rPr>
              <w:t>PBAC comment:</w:t>
            </w:r>
            <w:r w:rsidRPr="0019793B">
              <w:rPr>
                <w:rFonts w:ascii="Arial Narrow" w:hAnsi="Arial Narrow"/>
                <w:sz w:val="20"/>
                <w:szCs w:val="20"/>
              </w:rPr>
              <w:t xml:space="preserve"> (paragraph 7.4) PASI 50 response at 16 weeks favoured cyclosporin and the cyclosporin dosing in the Meffert 1997 trial may have been suboptimal.</w:t>
            </w:r>
          </w:p>
        </w:tc>
        <w:tc>
          <w:tcPr>
            <w:tcW w:w="2356" w:type="dxa"/>
          </w:tcPr>
          <w:p w:rsidR="00B11CE3" w:rsidRPr="0019793B" w:rsidRDefault="00B11CE3" w:rsidP="00C37B58">
            <w:pPr>
              <w:rPr>
                <w:rFonts w:ascii="Arial Narrow" w:hAnsi="Arial Narrow"/>
                <w:sz w:val="20"/>
                <w:szCs w:val="20"/>
              </w:rPr>
            </w:pPr>
            <w:r w:rsidRPr="0019793B">
              <w:rPr>
                <w:rFonts w:ascii="Arial Narrow" w:hAnsi="Arial Narrow"/>
                <w:sz w:val="20"/>
                <w:szCs w:val="20"/>
              </w:rPr>
              <w:t xml:space="preserve">PASI 75 response at 16 weeks for apremilast </w:t>
            </w:r>
          </w:p>
          <w:p w:rsidR="00B11CE3" w:rsidRPr="0019793B" w:rsidRDefault="00B11CE3" w:rsidP="00C37B58">
            <w:pPr>
              <w:rPr>
                <w:rFonts w:ascii="Arial Narrow" w:hAnsi="Arial Narrow"/>
                <w:sz w:val="20"/>
                <w:szCs w:val="20"/>
              </w:rPr>
            </w:pPr>
            <w:r w:rsidRPr="0019793B">
              <w:rPr>
                <w:rFonts w:ascii="Arial Narrow" w:hAnsi="Arial Narrow"/>
                <w:sz w:val="20"/>
                <w:szCs w:val="20"/>
              </w:rPr>
              <w:t xml:space="preserve">Pooled RR of apremilast versus placebo = </w:t>
            </w:r>
            <w:r w:rsidRPr="0019793B">
              <w:rPr>
                <w:rFonts w:ascii="Arial Narrow" w:hAnsi="Arial Narrow"/>
                <w:b/>
                <w:bCs/>
                <w:sz w:val="20"/>
                <w:szCs w:val="20"/>
              </w:rPr>
              <w:t>5.16 (95% CI: 3.74, 7.12</w:t>
            </w:r>
            <w:r w:rsidRPr="0019793B">
              <w:rPr>
                <w:rFonts w:ascii="Arial Narrow" w:hAnsi="Arial Narrow"/>
                <w:sz w:val="20"/>
                <w:szCs w:val="20"/>
              </w:rPr>
              <w:t>)</w:t>
            </w:r>
          </w:p>
          <w:p w:rsidR="00B11CE3" w:rsidRPr="0019793B" w:rsidRDefault="00B11CE3" w:rsidP="00C37B58">
            <w:pPr>
              <w:rPr>
                <w:rFonts w:ascii="Arial Narrow" w:hAnsi="Arial Narrow"/>
                <w:sz w:val="20"/>
                <w:szCs w:val="20"/>
                <w:u w:val="single"/>
              </w:rPr>
            </w:pPr>
            <w:r w:rsidRPr="0019793B">
              <w:rPr>
                <w:rFonts w:ascii="Arial Narrow" w:hAnsi="Arial Narrow"/>
                <w:sz w:val="20"/>
                <w:szCs w:val="20"/>
                <w:u w:val="single"/>
              </w:rPr>
              <w:t>Non-randomised studies</w:t>
            </w:r>
          </w:p>
          <w:p w:rsidR="00B11CE3" w:rsidRPr="0019793B" w:rsidRDefault="00F34FF2" w:rsidP="00C37B58">
            <w:pPr>
              <w:pStyle w:val="ListParagraph"/>
              <w:widowControl/>
              <w:ind w:left="0"/>
              <w:jc w:val="left"/>
              <w:rPr>
                <w:rFonts w:ascii="Arial Narrow" w:hAnsi="Arial Narrow"/>
                <w:sz w:val="20"/>
              </w:rPr>
            </w:pPr>
            <w:r w:rsidRPr="0019793B">
              <w:rPr>
                <w:rFonts w:ascii="Arial Narrow" w:hAnsi="Arial Narrow"/>
                <w:sz w:val="20"/>
              </w:rPr>
              <w:t>Persistence rates at 1 month; 4 </w:t>
            </w:r>
            <w:r w:rsidR="00B11CE3" w:rsidRPr="0019793B">
              <w:rPr>
                <w:rFonts w:ascii="Arial Narrow" w:hAnsi="Arial Narrow"/>
                <w:sz w:val="20"/>
              </w:rPr>
              <w:t>months:</w:t>
            </w:r>
          </w:p>
          <w:tbl>
            <w:tblPr>
              <w:tblStyle w:val="TableGrid"/>
              <w:tblW w:w="2118" w:type="dxa"/>
              <w:jc w:val="center"/>
              <w:tblInd w:w="1846" w:type="dxa"/>
              <w:tblLayout w:type="fixed"/>
              <w:tblCellMar>
                <w:left w:w="28" w:type="dxa"/>
                <w:right w:w="28" w:type="dxa"/>
              </w:tblCellMar>
              <w:tblLook w:val="04A0" w:firstRow="1" w:lastRow="0" w:firstColumn="1" w:lastColumn="0" w:noHBand="0" w:noVBand="1"/>
              <w:tblCaption w:val="Summary of persistence rates"/>
              <w:tblDescription w:val="Summary of persistence rates in U.S. and AU populations for apremilast and cyclosporin."/>
            </w:tblPr>
            <w:tblGrid>
              <w:gridCol w:w="927"/>
              <w:gridCol w:w="1191"/>
            </w:tblGrid>
            <w:tr w:rsidR="00B11CE3" w:rsidRPr="0019793B" w:rsidTr="00494814">
              <w:trPr>
                <w:tblHeader/>
                <w:jc w:val="center"/>
              </w:trPr>
              <w:tc>
                <w:tcPr>
                  <w:tcW w:w="927" w:type="dxa"/>
                </w:tcPr>
                <w:p w:rsidR="00B11CE3" w:rsidRPr="0019793B" w:rsidRDefault="00B11CE3" w:rsidP="00C37B58">
                  <w:pPr>
                    <w:rPr>
                      <w:rFonts w:ascii="Arial Narrow" w:hAnsi="Arial Narrow"/>
                      <w:sz w:val="20"/>
                      <w:szCs w:val="20"/>
                    </w:rPr>
                  </w:pPr>
                  <w:r w:rsidRPr="0019793B">
                    <w:rPr>
                      <w:rFonts w:ascii="Arial Narrow" w:hAnsi="Arial Narrow"/>
                      <w:sz w:val="20"/>
                      <w:szCs w:val="20"/>
                    </w:rPr>
                    <w:t>US</w:t>
                  </w:r>
                </w:p>
              </w:tc>
              <w:tc>
                <w:tcPr>
                  <w:tcW w:w="1191" w:type="dxa"/>
                </w:tcPr>
                <w:p w:rsidR="00B11CE3" w:rsidRPr="0019793B" w:rsidRDefault="00B11CE3" w:rsidP="00C37B58">
                  <w:pPr>
                    <w:rPr>
                      <w:rFonts w:ascii="Arial Narrow" w:hAnsi="Arial Narrow"/>
                      <w:sz w:val="20"/>
                      <w:szCs w:val="20"/>
                    </w:rPr>
                  </w:pPr>
                  <w:r w:rsidRPr="0019793B">
                    <w:rPr>
                      <w:rFonts w:ascii="Arial Narrow" w:hAnsi="Arial Narrow"/>
                      <w:sz w:val="20"/>
                      <w:szCs w:val="20"/>
                    </w:rPr>
                    <w:t xml:space="preserve">Apremilast:  </w:t>
                  </w:r>
                  <w:r w:rsidR="00F17FFB">
                    <w:rPr>
                      <w:rFonts w:ascii="Arial Narrow" w:hAnsi="Arial Narrow"/>
                      <w:noProof/>
                      <w:color w:val="000000"/>
                      <w:sz w:val="20"/>
                      <w:szCs w:val="20"/>
                      <w:highlight w:val="black"/>
                    </w:rPr>
                    <w:t>''''''''''</w:t>
                  </w:r>
                  <w:r w:rsidRPr="0019793B">
                    <w:rPr>
                      <w:rFonts w:ascii="Arial Narrow" w:hAnsi="Arial Narrow"/>
                      <w:sz w:val="20"/>
                      <w:szCs w:val="20"/>
                    </w:rPr>
                    <w:t xml:space="preserve">%; </w:t>
                  </w:r>
                  <w:r w:rsidR="00F17FFB">
                    <w:rPr>
                      <w:rFonts w:ascii="Arial Narrow" w:hAnsi="Arial Narrow"/>
                      <w:noProof/>
                      <w:color w:val="000000"/>
                      <w:sz w:val="20"/>
                      <w:szCs w:val="20"/>
                      <w:highlight w:val="black"/>
                    </w:rPr>
                    <w:t>''''''''''''</w:t>
                  </w:r>
                  <w:r w:rsidRPr="0019793B">
                    <w:rPr>
                      <w:rFonts w:ascii="Arial Narrow" w:hAnsi="Arial Narrow"/>
                      <w:sz w:val="20"/>
                      <w:szCs w:val="20"/>
                    </w:rPr>
                    <w:t>%,</w:t>
                  </w:r>
                </w:p>
                <w:p w:rsidR="00B11CE3" w:rsidRPr="0019793B" w:rsidRDefault="00B11CE3" w:rsidP="00494814">
                  <w:pPr>
                    <w:rPr>
                      <w:rFonts w:ascii="Arial Narrow" w:hAnsi="Arial Narrow"/>
                      <w:sz w:val="20"/>
                      <w:szCs w:val="20"/>
                    </w:rPr>
                  </w:pPr>
                  <w:r w:rsidRPr="0019793B">
                    <w:rPr>
                      <w:rFonts w:ascii="Arial Narrow" w:hAnsi="Arial Narrow"/>
                      <w:sz w:val="20"/>
                      <w:szCs w:val="20"/>
                    </w:rPr>
                    <w:t xml:space="preserve">Cyclosporin: </w:t>
                  </w:r>
                  <w:r w:rsidR="00F17FFB">
                    <w:rPr>
                      <w:rFonts w:ascii="Arial Narrow" w:hAnsi="Arial Narrow"/>
                      <w:noProof/>
                      <w:color w:val="000000"/>
                      <w:sz w:val="20"/>
                      <w:szCs w:val="20"/>
                      <w:highlight w:val="black"/>
                    </w:rPr>
                    <w:t>''''''''''</w:t>
                  </w:r>
                  <w:r w:rsidRPr="0019793B">
                    <w:rPr>
                      <w:rFonts w:ascii="Arial Narrow" w:hAnsi="Arial Narrow"/>
                      <w:sz w:val="20"/>
                      <w:szCs w:val="20"/>
                    </w:rPr>
                    <w:t xml:space="preserve">%; </w:t>
                  </w:r>
                  <w:r w:rsidR="00F17FFB">
                    <w:rPr>
                      <w:rFonts w:ascii="Arial Narrow" w:hAnsi="Arial Narrow"/>
                      <w:noProof/>
                      <w:color w:val="000000"/>
                      <w:sz w:val="20"/>
                      <w:szCs w:val="20"/>
                      <w:highlight w:val="black"/>
                    </w:rPr>
                    <w:t>'''''''''''</w:t>
                  </w:r>
                  <w:r w:rsidRPr="0019793B">
                    <w:rPr>
                      <w:rFonts w:ascii="Arial Narrow" w:hAnsi="Arial Narrow"/>
                      <w:sz w:val="20"/>
                      <w:szCs w:val="20"/>
                    </w:rPr>
                    <w:t>%</w:t>
                  </w:r>
                </w:p>
              </w:tc>
            </w:tr>
            <w:tr w:rsidR="00B11CE3" w:rsidRPr="0019793B" w:rsidTr="00494814">
              <w:trPr>
                <w:jc w:val="center"/>
              </w:trPr>
              <w:tc>
                <w:tcPr>
                  <w:tcW w:w="927" w:type="dxa"/>
                </w:tcPr>
                <w:p w:rsidR="00B11CE3" w:rsidRPr="0019793B" w:rsidRDefault="00B11CE3" w:rsidP="00C37B58">
                  <w:pPr>
                    <w:rPr>
                      <w:rFonts w:ascii="Arial Narrow" w:hAnsi="Arial Narrow"/>
                      <w:sz w:val="20"/>
                      <w:szCs w:val="20"/>
                    </w:rPr>
                  </w:pPr>
                  <w:r w:rsidRPr="0019793B">
                    <w:rPr>
                      <w:rFonts w:ascii="Arial Narrow" w:hAnsi="Arial Narrow"/>
                      <w:sz w:val="20"/>
                      <w:szCs w:val="20"/>
                    </w:rPr>
                    <w:t>Australian</w:t>
                  </w:r>
                </w:p>
              </w:tc>
              <w:tc>
                <w:tcPr>
                  <w:tcW w:w="1191" w:type="dxa"/>
                </w:tcPr>
                <w:p w:rsidR="00B11CE3" w:rsidRPr="0019793B" w:rsidRDefault="00B11CE3" w:rsidP="00C37B58">
                  <w:pPr>
                    <w:rPr>
                      <w:rFonts w:ascii="Arial Narrow" w:hAnsi="Arial Narrow"/>
                      <w:sz w:val="20"/>
                      <w:szCs w:val="20"/>
                    </w:rPr>
                  </w:pPr>
                  <w:r w:rsidRPr="0019793B">
                    <w:rPr>
                      <w:rFonts w:ascii="Arial Narrow" w:hAnsi="Arial Narrow"/>
                      <w:sz w:val="20"/>
                      <w:szCs w:val="20"/>
                    </w:rPr>
                    <w:t xml:space="preserve">Apremilast: </w:t>
                  </w:r>
                </w:p>
                <w:p w:rsidR="00B11CE3" w:rsidRPr="0019793B" w:rsidRDefault="00F17FFB" w:rsidP="00C37B58">
                  <w:pPr>
                    <w:rPr>
                      <w:rFonts w:ascii="Arial Narrow" w:hAnsi="Arial Narrow"/>
                      <w:sz w:val="20"/>
                      <w:szCs w:val="20"/>
                    </w:rPr>
                  </w:pPr>
                  <w:r>
                    <w:rPr>
                      <w:rFonts w:ascii="Arial Narrow" w:hAnsi="Arial Narrow"/>
                      <w:noProof/>
                      <w:color w:val="000000"/>
                      <w:sz w:val="20"/>
                      <w:szCs w:val="20"/>
                      <w:highlight w:val="black"/>
                    </w:rPr>
                    <w:t>''''''''''</w:t>
                  </w:r>
                  <w:r w:rsidR="00B11CE3" w:rsidRPr="0019793B">
                    <w:rPr>
                      <w:rFonts w:ascii="Arial Narrow" w:hAnsi="Arial Narrow"/>
                      <w:sz w:val="20"/>
                      <w:szCs w:val="20"/>
                    </w:rPr>
                    <w:t xml:space="preserve">%; </w:t>
                  </w:r>
                  <w:r>
                    <w:rPr>
                      <w:rFonts w:ascii="Arial Narrow" w:hAnsi="Arial Narrow"/>
                      <w:noProof/>
                      <w:color w:val="000000"/>
                      <w:sz w:val="20"/>
                      <w:szCs w:val="20"/>
                      <w:highlight w:val="black"/>
                    </w:rPr>
                    <w:t>'''''''''''</w:t>
                  </w:r>
                  <w:r w:rsidR="00B11CE3" w:rsidRPr="0019793B">
                    <w:rPr>
                      <w:rFonts w:ascii="Arial Narrow" w:hAnsi="Arial Narrow"/>
                      <w:sz w:val="20"/>
                      <w:szCs w:val="20"/>
                    </w:rPr>
                    <w:t>% (C1 cohort)</w:t>
                  </w:r>
                </w:p>
                <w:p w:rsidR="00B11CE3" w:rsidRPr="0019793B" w:rsidRDefault="00F17FFB" w:rsidP="00C37B58">
                  <w:pPr>
                    <w:rPr>
                      <w:rFonts w:ascii="Arial Narrow" w:hAnsi="Arial Narrow"/>
                      <w:sz w:val="20"/>
                      <w:szCs w:val="20"/>
                    </w:rPr>
                  </w:pPr>
                  <w:r>
                    <w:rPr>
                      <w:rFonts w:ascii="Arial Narrow" w:hAnsi="Arial Narrow"/>
                      <w:noProof/>
                      <w:color w:val="000000"/>
                      <w:sz w:val="20"/>
                      <w:szCs w:val="20"/>
                      <w:highlight w:val="black"/>
                    </w:rPr>
                    <w:t>''''''''''</w:t>
                  </w:r>
                  <w:r w:rsidR="00B11CE3" w:rsidRPr="0019793B">
                    <w:rPr>
                      <w:rFonts w:ascii="Arial Narrow" w:hAnsi="Arial Narrow"/>
                      <w:sz w:val="20"/>
                      <w:szCs w:val="20"/>
                    </w:rPr>
                    <w:t xml:space="preserve">%; </w:t>
                  </w:r>
                  <w:r>
                    <w:rPr>
                      <w:rFonts w:ascii="Arial Narrow" w:hAnsi="Arial Narrow"/>
                      <w:noProof/>
                      <w:color w:val="000000"/>
                      <w:sz w:val="20"/>
                      <w:szCs w:val="20"/>
                      <w:highlight w:val="black"/>
                    </w:rPr>
                    <w:t>'''''''''''</w:t>
                  </w:r>
                  <w:r w:rsidR="00B11CE3" w:rsidRPr="0019793B">
                    <w:rPr>
                      <w:rFonts w:ascii="Arial Narrow" w:hAnsi="Arial Narrow"/>
                      <w:sz w:val="20"/>
                      <w:szCs w:val="20"/>
                    </w:rPr>
                    <w:t>% (C2 cohort)</w:t>
                  </w:r>
                </w:p>
                <w:p w:rsidR="00B11CE3" w:rsidRPr="0019793B" w:rsidRDefault="00F17FFB" w:rsidP="00C37B58">
                  <w:pPr>
                    <w:rPr>
                      <w:rFonts w:ascii="Arial Narrow" w:hAnsi="Arial Narrow"/>
                      <w:sz w:val="20"/>
                      <w:szCs w:val="20"/>
                    </w:rPr>
                  </w:pPr>
                  <w:r>
                    <w:rPr>
                      <w:rFonts w:ascii="Arial Narrow" w:hAnsi="Arial Narrow"/>
                      <w:noProof/>
                      <w:color w:val="000000"/>
                      <w:sz w:val="20"/>
                      <w:szCs w:val="20"/>
                      <w:highlight w:val="black"/>
                    </w:rPr>
                    <w:t>''''''''''''</w:t>
                  </w:r>
                  <w:r w:rsidR="00B11CE3" w:rsidRPr="0019793B">
                    <w:rPr>
                      <w:rFonts w:ascii="Arial Narrow" w:hAnsi="Arial Narrow"/>
                      <w:sz w:val="20"/>
                      <w:szCs w:val="20"/>
                    </w:rPr>
                    <w:t xml:space="preserve">%; </w:t>
                  </w:r>
                  <w:r>
                    <w:rPr>
                      <w:rFonts w:ascii="Arial Narrow" w:hAnsi="Arial Narrow"/>
                      <w:noProof/>
                      <w:color w:val="000000"/>
                      <w:sz w:val="20"/>
                      <w:szCs w:val="20"/>
                      <w:highlight w:val="black"/>
                    </w:rPr>
                    <w:t>'''''''''''</w:t>
                  </w:r>
                  <w:r w:rsidR="00B11CE3" w:rsidRPr="0019793B">
                    <w:rPr>
                      <w:rFonts w:ascii="Arial Narrow" w:hAnsi="Arial Narrow"/>
                      <w:sz w:val="20"/>
                      <w:szCs w:val="20"/>
                    </w:rPr>
                    <w:t>% (C3 cohort)</w:t>
                  </w:r>
                </w:p>
              </w:tc>
            </w:tr>
            <w:tr w:rsidR="00B11CE3" w:rsidRPr="0019793B" w:rsidTr="00494814">
              <w:trPr>
                <w:jc w:val="center"/>
              </w:trPr>
              <w:tc>
                <w:tcPr>
                  <w:tcW w:w="927" w:type="dxa"/>
                </w:tcPr>
                <w:p w:rsidR="00B11CE3" w:rsidRPr="0019793B" w:rsidRDefault="00B11CE3" w:rsidP="00C37B58">
                  <w:pPr>
                    <w:rPr>
                      <w:rFonts w:ascii="Arial Narrow" w:hAnsi="Arial Narrow"/>
                      <w:sz w:val="20"/>
                      <w:szCs w:val="20"/>
                    </w:rPr>
                  </w:pPr>
                  <w:r w:rsidRPr="0019793B">
                    <w:rPr>
                      <w:rFonts w:ascii="Arial Narrow" w:hAnsi="Arial Narrow"/>
                      <w:sz w:val="20"/>
                      <w:szCs w:val="20"/>
                    </w:rPr>
                    <w:t>German</w:t>
                  </w:r>
                </w:p>
              </w:tc>
              <w:tc>
                <w:tcPr>
                  <w:tcW w:w="1191" w:type="dxa"/>
                </w:tcPr>
                <w:p w:rsidR="00B11CE3" w:rsidRPr="0019793B" w:rsidRDefault="00B11CE3" w:rsidP="00C37B58">
                  <w:pPr>
                    <w:rPr>
                      <w:rFonts w:ascii="Arial Narrow" w:hAnsi="Arial Narrow"/>
                      <w:sz w:val="20"/>
                      <w:szCs w:val="20"/>
                    </w:rPr>
                  </w:pPr>
                  <w:r w:rsidRPr="0019793B">
                    <w:rPr>
                      <w:rFonts w:ascii="Arial Narrow" w:hAnsi="Arial Narrow"/>
                      <w:sz w:val="20"/>
                      <w:szCs w:val="20"/>
                    </w:rPr>
                    <w:t xml:space="preserve">Apremilast: </w:t>
                  </w:r>
                  <w:r w:rsidR="00F17FFB">
                    <w:rPr>
                      <w:rFonts w:ascii="Arial Narrow" w:hAnsi="Arial Narrow"/>
                      <w:noProof/>
                      <w:color w:val="000000"/>
                      <w:sz w:val="20"/>
                      <w:szCs w:val="20"/>
                      <w:highlight w:val="black"/>
                    </w:rPr>
                    <w:t>''''''''''</w:t>
                  </w:r>
                  <w:r w:rsidRPr="0019793B">
                    <w:rPr>
                      <w:rFonts w:ascii="Arial Narrow" w:hAnsi="Arial Narrow"/>
                      <w:sz w:val="20"/>
                      <w:szCs w:val="20"/>
                    </w:rPr>
                    <w:t xml:space="preserve">%; </w:t>
                  </w:r>
                  <w:r w:rsidR="00F17FFB">
                    <w:rPr>
                      <w:rFonts w:ascii="Arial Narrow" w:hAnsi="Arial Narrow"/>
                      <w:noProof/>
                      <w:color w:val="000000"/>
                      <w:sz w:val="20"/>
                      <w:szCs w:val="20"/>
                      <w:highlight w:val="black"/>
                    </w:rPr>
                    <w:t>'''''</w:t>
                  </w:r>
                  <w:r w:rsidRPr="0019793B">
                    <w:rPr>
                      <w:rFonts w:ascii="Arial Narrow" w:hAnsi="Arial Narrow"/>
                      <w:sz w:val="20"/>
                      <w:szCs w:val="20"/>
                    </w:rPr>
                    <w:t>%</w:t>
                  </w:r>
                </w:p>
              </w:tc>
            </w:tr>
            <w:tr w:rsidR="00B11CE3" w:rsidRPr="0019793B" w:rsidTr="00494814">
              <w:trPr>
                <w:trHeight w:val="488"/>
                <w:jc w:val="center"/>
              </w:trPr>
              <w:tc>
                <w:tcPr>
                  <w:tcW w:w="927" w:type="dxa"/>
                </w:tcPr>
                <w:p w:rsidR="00B11CE3" w:rsidRPr="0019793B" w:rsidRDefault="00B11CE3" w:rsidP="00C37B58">
                  <w:pPr>
                    <w:rPr>
                      <w:rFonts w:ascii="Arial Narrow" w:hAnsi="Arial Narrow"/>
                      <w:sz w:val="20"/>
                      <w:szCs w:val="20"/>
                    </w:rPr>
                  </w:pPr>
                  <w:r w:rsidRPr="0019793B">
                    <w:rPr>
                      <w:rFonts w:ascii="Arial Narrow" w:hAnsi="Arial Narrow"/>
                      <w:sz w:val="20"/>
                      <w:szCs w:val="20"/>
                    </w:rPr>
                    <w:t>Canadian</w:t>
                  </w:r>
                </w:p>
              </w:tc>
              <w:tc>
                <w:tcPr>
                  <w:tcW w:w="1191" w:type="dxa"/>
                </w:tcPr>
                <w:p w:rsidR="00B11CE3" w:rsidRPr="0019793B" w:rsidRDefault="00B11CE3" w:rsidP="00C37B58">
                  <w:pPr>
                    <w:rPr>
                      <w:rFonts w:ascii="Arial Narrow" w:hAnsi="Arial Narrow"/>
                      <w:sz w:val="20"/>
                      <w:szCs w:val="20"/>
                    </w:rPr>
                  </w:pPr>
                  <w:r w:rsidRPr="0019793B">
                    <w:rPr>
                      <w:rFonts w:ascii="Arial Narrow" w:hAnsi="Arial Narrow"/>
                      <w:sz w:val="20"/>
                      <w:szCs w:val="20"/>
                    </w:rPr>
                    <w:t>Apremilast</w:t>
                  </w:r>
                  <w:r w:rsidRPr="0019793B">
                    <w:rPr>
                      <w:rFonts w:ascii="Arial Narrow" w:hAnsi="Arial Narrow"/>
                      <w:b/>
                      <w:bCs/>
                      <w:sz w:val="20"/>
                      <w:szCs w:val="20"/>
                    </w:rPr>
                    <w:t xml:space="preserve">: </w:t>
                  </w:r>
                  <w:r w:rsidR="00F17FFB">
                    <w:rPr>
                      <w:rFonts w:ascii="Arial Narrow" w:hAnsi="Arial Narrow"/>
                      <w:iCs/>
                      <w:noProof/>
                      <w:color w:val="000000"/>
                      <w:sz w:val="20"/>
                      <w:szCs w:val="20"/>
                      <w:highlight w:val="black"/>
                    </w:rPr>
                    <w:t>''''''</w:t>
                  </w:r>
                  <w:r w:rsidRPr="0019793B">
                    <w:rPr>
                      <w:rFonts w:ascii="Arial Narrow" w:hAnsi="Arial Narrow"/>
                      <w:bCs/>
                      <w:iCs/>
                      <w:sz w:val="20"/>
                      <w:szCs w:val="20"/>
                    </w:rPr>
                    <w:t xml:space="preserve">%; </w:t>
                  </w:r>
                  <w:r w:rsidR="00F17FFB">
                    <w:rPr>
                      <w:rFonts w:ascii="Arial Narrow" w:hAnsi="Arial Narrow"/>
                      <w:bCs/>
                      <w:iCs/>
                      <w:noProof/>
                      <w:color w:val="000000"/>
                      <w:sz w:val="20"/>
                      <w:szCs w:val="20"/>
                      <w:highlight w:val="black"/>
                    </w:rPr>
                    <w:t>'''''''</w:t>
                  </w:r>
                  <w:r w:rsidRPr="0019793B">
                    <w:rPr>
                      <w:rFonts w:ascii="Arial Narrow" w:hAnsi="Arial Narrow"/>
                      <w:bCs/>
                      <w:iCs/>
                      <w:sz w:val="20"/>
                      <w:szCs w:val="20"/>
                    </w:rPr>
                    <w:t>%</w:t>
                  </w:r>
                </w:p>
              </w:tc>
            </w:tr>
          </w:tbl>
          <w:p w:rsidR="00B11CE3" w:rsidRPr="0019793B" w:rsidRDefault="00B11CE3" w:rsidP="00C37B58">
            <w:pPr>
              <w:pStyle w:val="ListParagraph"/>
              <w:widowControl/>
              <w:ind w:left="0"/>
              <w:jc w:val="left"/>
              <w:rPr>
                <w:rFonts w:ascii="Arial Narrow" w:hAnsi="Arial Narrow"/>
                <w:sz w:val="20"/>
              </w:rPr>
            </w:pPr>
          </w:p>
        </w:tc>
        <w:tc>
          <w:tcPr>
            <w:tcW w:w="2357" w:type="dxa"/>
          </w:tcPr>
          <w:p w:rsidR="00B11CE3" w:rsidRPr="0019793B" w:rsidRDefault="001D2F07" w:rsidP="00C37B58">
            <w:pPr>
              <w:rPr>
                <w:rFonts w:ascii="Arial Narrow" w:hAnsi="Arial Narrow"/>
                <w:sz w:val="20"/>
                <w:szCs w:val="20"/>
              </w:rPr>
            </w:pPr>
            <w:r w:rsidRPr="0019793B">
              <w:rPr>
                <w:rFonts w:ascii="Arial Narrow" w:hAnsi="Arial Narrow"/>
                <w:sz w:val="20"/>
                <w:szCs w:val="20"/>
              </w:rPr>
              <w:t>No additional clinical evidence prese</w:t>
            </w:r>
            <w:bookmarkStart w:id="1" w:name="_GoBack"/>
            <w:bookmarkEnd w:id="1"/>
            <w:r w:rsidRPr="0019793B">
              <w:rPr>
                <w:rFonts w:ascii="Arial Narrow" w:hAnsi="Arial Narrow"/>
                <w:sz w:val="20"/>
                <w:szCs w:val="20"/>
              </w:rPr>
              <w:t>nted.</w:t>
            </w:r>
          </w:p>
        </w:tc>
      </w:tr>
      <w:tr w:rsidR="00B11CE3" w:rsidRPr="0019793B" w:rsidTr="00494814">
        <w:trPr>
          <w:cantSplit/>
          <w:trHeight w:val="860"/>
        </w:trPr>
        <w:tc>
          <w:tcPr>
            <w:tcW w:w="1276" w:type="dxa"/>
          </w:tcPr>
          <w:p w:rsidR="00B11CE3" w:rsidRPr="0019793B" w:rsidRDefault="00B11CE3" w:rsidP="00C37B58">
            <w:pPr>
              <w:rPr>
                <w:rFonts w:ascii="Arial Narrow" w:hAnsi="Arial Narrow"/>
                <w:sz w:val="20"/>
                <w:szCs w:val="20"/>
              </w:rPr>
            </w:pPr>
            <w:r w:rsidRPr="0019793B">
              <w:rPr>
                <w:rFonts w:ascii="Arial Narrow" w:hAnsi="Arial Narrow"/>
                <w:sz w:val="20"/>
                <w:szCs w:val="20"/>
              </w:rPr>
              <w:t>Clinical claim</w:t>
            </w:r>
          </w:p>
        </w:tc>
        <w:tc>
          <w:tcPr>
            <w:tcW w:w="2356" w:type="dxa"/>
          </w:tcPr>
          <w:p w:rsidR="00B11CE3" w:rsidRPr="0019793B" w:rsidRDefault="00B11CE3" w:rsidP="00C37B58">
            <w:pPr>
              <w:rPr>
                <w:rFonts w:ascii="Arial Narrow" w:hAnsi="Arial Narrow"/>
                <w:sz w:val="20"/>
                <w:szCs w:val="20"/>
              </w:rPr>
            </w:pPr>
            <w:r w:rsidRPr="0019793B">
              <w:rPr>
                <w:rFonts w:ascii="Arial Narrow" w:hAnsi="Arial Narrow"/>
                <w:sz w:val="20"/>
                <w:szCs w:val="20"/>
              </w:rPr>
              <w:t xml:space="preserve">Apremilast is non-inferior in terms of comparative effectiveness and superior in terms of safety over cyclosporin. </w:t>
            </w:r>
          </w:p>
          <w:p w:rsidR="00B11CE3" w:rsidRPr="0019793B" w:rsidRDefault="00B11CE3" w:rsidP="00C37B58">
            <w:pPr>
              <w:rPr>
                <w:rFonts w:ascii="Arial Narrow" w:hAnsi="Arial Narrow"/>
                <w:sz w:val="20"/>
                <w:szCs w:val="20"/>
              </w:rPr>
            </w:pPr>
            <w:r w:rsidRPr="0019793B">
              <w:rPr>
                <w:rFonts w:ascii="Arial Narrow" w:hAnsi="Arial Narrow"/>
                <w:b/>
                <w:sz w:val="20"/>
                <w:szCs w:val="20"/>
              </w:rPr>
              <w:t>PBAC Comment:</w:t>
            </w:r>
            <w:r w:rsidRPr="0019793B">
              <w:rPr>
                <w:rFonts w:ascii="Arial Narrow" w:hAnsi="Arial Narrow"/>
                <w:sz w:val="20"/>
                <w:szCs w:val="20"/>
              </w:rPr>
              <w:t xml:space="preserve"> (paragraphs 7.4, 7.5) In the absence of a formal indirect comparison between apremilast and cyclosporin in terms of comparative harms and the absence of long-term comparative safety data for apremilast, the PBAC did not consider the submission’s claim of superior safety to have been adequately supported.</w:t>
            </w:r>
          </w:p>
          <w:p w:rsidR="00B11CE3" w:rsidRPr="0019793B" w:rsidRDefault="00B11CE3" w:rsidP="00C37B58">
            <w:pPr>
              <w:rPr>
                <w:rFonts w:ascii="Arial Narrow" w:hAnsi="Arial Narrow"/>
                <w:sz w:val="20"/>
                <w:szCs w:val="20"/>
              </w:rPr>
            </w:pPr>
            <w:r w:rsidRPr="0019793B">
              <w:rPr>
                <w:rFonts w:ascii="Arial Narrow" w:hAnsi="Arial Narrow"/>
                <w:sz w:val="20"/>
                <w:szCs w:val="20"/>
              </w:rPr>
              <w:t>Non-inferiority in terms of comparative effectiveness was not established.</w:t>
            </w:r>
          </w:p>
        </w:tc>
        <w:tc>
          <w:tcPr>
            <w:tcW w:w="2356" w:type="dxa"/>
          </w:tcPr>
          <w:p w:rsidR="00B11CE3" w:rsidRPr="0019793B" w:rsidRDefault="00B11CE3" w:rsidP="00C37B58">
            <w:pPr>
              <w:rPr>
                <w:rFonts w:ascii="Arial Narrow" w:hAnsi="Arial Narrow"/>
                <w:sz w:val="20"/>
                <w:szCs w:val="20"/>
              </w:rPr>
            </w:pPr>
            <w:r w:rsidRPr="0019793B">
              <w:rPr>
                <w:rFonts w:ascii="Arial Narrow" w:hAnsi="Arial Narrow"/>
                <w:sz w:val="20"/>
                <w:szCs w:val="20"/>
              </w:rPr>
              <w:t>Apremilast is superior in terms of comparative effectiveness and superior in terms of comparative safety over cyclosporin, based on the real-world comparative claims data from the US.</w:t>
            </w:r>
          </w:p>
          <w:p w:rsidR="001D2F07" w:rsidRPr="0019793B" w:rsidRDefault="001D2F07" w:rsidP="00C37B58">
            <w:pPr>
              <w:rPr>
                <w:rFonts w:ascii="Arial Narrow" w:hAnsi="Arial Narrow"/>
                <w:sz w:val="20"/>
                <w:szCs w:val="20"/>
              </w:rPr>
            </w:pPr>
            <w:r w:rsidRPr="0019793B">
              <w:rPr>
                <w:rFonts w:ascii="Arial Narrow" w:hAnsi="Arial Narrow"/>
                <w:b/>
                <w:sz w:val="20"/>
                <w:szCs w:val="20"/>
              </w:rPr>
              <w:t>PBAC Comment:</w:t>
            </w:r>
            <w:r w:rsidRPr="0019793B">
              <w:rPr>
                <w:rFonts w:ascii="Arial Narrow" w:hAnsi="Arial Narrow"/>
                <w:sz w:val="20"/>
                <w:szCs w:val="20"/>
              </w:rPr>
              <w:t xml:space="preserve"> (paragraph 7.7)</w:t>
            </w:r>
            <w:r w:rsidRPr="0019793B">
              <w:rPr>
                <w:sz w:val="20"/>
                <w:szCs w:val="20"/>
              </w:rPr>
              <w:t xml:space="preserve"> </w:t>
            </w:r>
            <w:r w:rsidRPr="0019793B">
              <w:rPr>
                <w:rFonts w:ascii="Arial Narrow" w:hAnsi="Arial Narrow"/>
                <w:sz w:val="20"/>
                <w:szCs w:val="20"/>
              </w:rPr>
              <w:t>non-randomised persistence data was relevant supportive information, but it was an insufficient basis to support the claim of superiority in comparative effectiveness or safety.</w:t>
            </w:r>
          </w:p>
          <w:p w:rsidR="001D2F07" w:rsidRPr="0019793B" w:rsidRDefault="001D2F07" w:rsidP="00C37B58">
            <w:pPr>
              <w:rPr>
                <w:rFonts w:ascii="Arial Narrow" w:hAnsi="Arial Narrow"/>
                <w:sz w:val="20"/>
                <w:szCs w:val="20"/>
              </w:rPr>
            </w:pPr>
          </w:p>
        </w:tc>
        <w:tc>
          <w:tcPr>
            <w:tcW w:w="2357" w:type="dxa"/>
          </w:tcPr>
          <w:p w:rsidR="00B11CE3" w:rsidRPr="0019793B" w:rsidRDefault="001D2F07" w:rsidP="00C37B58">
            <w:pPr>
              <w:rPr>
                <w:rFonts w:ascii="Arial Narrow" w:hAnsi="Arial Narrow"/>
                <w:sz w:val="20"/>
                <w:szCs w:val="20"/>
              </w:rPr>
            </w:pPr>
            <w:r w:rsidRPr="0019793B">
              <w:rPr>
                <w:rFonts w:ascii="Arial Narrow" w:hAnsi="Arial Narrow"/>
                <w:sz w:val="20"/>
                <w:szCs w:val="20"/>
              </w:rPr>
              <w:t>Not addressed.</w:t>
            </w:r>
          </w:p>
        </w:tc>
      </w:tr>
      <w:tr w:rsidR="00B11CE3" w:rsidRPr="0019793B" w:rsidTr="00494814">
        <w:trPr>
          <w:cantSplit/>
          <w:trHeight w:val="860"/>
        </w:trPr>
        <w:tc>
          <w:tcPr>
            <w:tcW w:w="1276" w:type="dxa"/>
          </w:tcPr>
          <w:p w:rsidR="00B11CE3" w:rsidRPr="0019793B" w:rsidRDefault="00B11CE3" w:rsidP="00C37B58">
            <w:pPr>
              <w:rPr>
                <w:rFonts w:ascii="Arial Narrow" w:hAnsi="Arial Narrow"/>
                <w:sz w:val="20"/>
                <w:szCs w:val="20"/>
              </w:rPr>
            </w:pPr>
            <w:r w:rsidRPr="0019793B">
              <w:rPr>
                <w:rFonts w:ascii="Arial Narrow" w:hAnsi="Arial Narrow"/>
                <w:sz w:val="20"/>
                <w:szCs w:val="20"/>
              </w:rPr>
              <w:t>Economic evaluation</w:t>
            </w:r>
          </w:p>
        </w:tc>
        <w:tc>
          <w:tcPr>
            <w:tcW w:w="2356" w:type="dxa"/>
          </w:tcPr>
          <w:p w:rsidR="00B11CE3" w:rsidRPr="0019793B" w:rsidRDefault="00B11CE3" w:rsidP="00C37B58">
            <w:pPr>
              <w:rPr>
                <w:rFonts w:ascii="Arial Narrow" w:hAnsi="Arial Narrow"/>
                <w:sz w:val="20"/>
                <w:szCs w:val="20"/>
              </w:rPr>
            </w:pPr>
            <w:r w:rsidRPr="0019793B">
              <w:rPr>
                <w:rFonts w:ascii="Arial Narrow" w:hAnsi="Arial Narrow"/>
                <w:sz w:val="20"/>
                <w:szCs w:val="20"/>
              </w:rPr>
              <w:t xml:space="preserve">Assumption that apremilast will </w:t>
            </w:r>
            <w:r w:rsidRPr="0019793B">
              <w:rPr>
                <w:rFonts w:ascii="Arial Narrow" w:hAnsi="Arial Narrow"/>
                <w:sz w:val="20"/>
                <w:szCs w:val="20"/>
                <w:u w:val="single"/>
              </w:rPr>
              <w:t>extend the period of time patients would be treated with systemic therapies</w:t>
            </w:r>
            <w:r w:rsidRPr="0019793B">
              <w:rPr>
                <w:rFonts w:ascii="Arial Narrow" w:hAnsi="Arial Narrow"/>
                <w:sz w:val="20"/>
                <w:szCs w:val="20"/>
              </w:rPr>
              <w:t xml:space="preserve"> for psoriasis, but this was deemed to be uninformative.</w:t>
            </w:r>
          </w:p>
        </w:tc>
        <w:tc>
          <w:tcPr>
            <w:tcW w:w="2356" w:type="dxa"/>
            <w:vAlign w:val="center"/>
          </w:tcPr>
          <w:p w:rsidR="00B11CE3" w:rsidRPr="0019793B" w:rsidRDefault="00B11CE3" w:rsidP="00C37B58">
            <w:pPr>
              <w:rPr>
                <w:rFonts w:ascii="Arial Narrow" w:hAnsi="Arial Narrow"/>
                <w:b/>
                <w:iCs/>
                <w:sz w:val="20"/>
                <w:szCs w:val="20"/>
              </w:rPr>
            </w:pPr>
            <w:r w:rsidRPr="0019793B">
              <w:rPr>
                <w:rFonts w:ascii="Arial Narrow" w:hAnsi="Arial Narrow"/>
                <w:sz w:val="20"/>
                <w:szCs w:val="20"/>
              </w:rPr>
              <w:t>Cost-utility model of apremilast versus cyclosporin with cost/QALY $</w:t>
            </w:r>
            <w:r w:rsidR="005D5FEB">
              <w:rPr>
                <w:rFonts w:ascii="Arial Narrow" w:hAnsi="Arial Narrow"/>
                <w:iCs/>
                <w:sz w:val="20"/>
                <w:szCs w:val="20"/>
              </w:rPr>
              <w:t>15,000 - $45,000</w:t>
            </w:r>
            <w:r w:rsidRPr="0019793B">
              <w:rPr>
                <w:rFonts w:ascii="Arial Narrow" w:hAnsi="Arial Narrow"/>
                <w:iCs/>
                <w:sz w:val="20"/>
                <w:szCs w:val="20"/>
              </w:rPr>
              <w:t>.</w:t>
            </w:r>
            <w:r w:rsidRPr="0019793B">
              <w:rPr>
                <w:rFonts w:ascii="Arial Narrow" w:hAnsi="Arial Narrow"/>
                <w:b/>
                <w:iCs/>
                <w:sz w:val="20"/>
                <w:szCs w:val="20"/>
              </w:rPr>
              <w:t xml:space="preserve"> </w:t>
            </w:r>
          </w:p>
          <w:p w:rsidR="00B11CE3" w:rsidRPr="0019793B" w:rsidRDefault="00B11CE3" w:rsidP="00C37B58">
            <w:pPr>
              <w:rPr>
                <w:rFonts w:ascii="Arial Narrow" w:hAnsi="Arial Narrow"/>
                <w:sz w:val="20"/>
                <w:szCs w:val="20"/>
              </w:rPr>
            </w:pPr>
            <w:r w:rsidRPr="0019793B">
              <w:rPr>
                <w:rFonts w:ascii="Arial Narrow" w:hAnsi="Arial Narrow"/>
                <w:sz w:val="20"/>
                <w:szCs w:val="20"/>
              </w:rPr>
              <w:t xml:space="preserve">Based on persistence rates from the </w:t>
            </w:r>
            <w:r w:rsidRPr="0019793B">
              <w:rPr>
                <w:rFonts w:ascii="Arial Narrow" w:hAnsi="Arial Narrow"/>
                <w:sz w:val="20"/>
                <w:szCs w:val="20"/>
                <w:u w:val="single"/>
              </w:rPr>
              <w:t>non-randomised</w:t>
            </w:r>
            <w:r w:rsidRPr="0019793B">
              <w:rPr>
                <w:rFonts w:ascii="Arial Narrow" w:hAnsi="Arial Narrow"/>
                <w:sz w:val="20"/>
                <w:szCs w:val="20"/>
              </w:rPr>
              <w:t xml:space="preserve"> US comparative data.</w:t>
            </w:r>
          </w:p>
          <w:p w:rsidR="001D2F07" w:rsidRPr="0019793B" w:rsidRDefault="001D2F07" w:rsidP="00C37B58">
            <w:pPr>
              <w:rPr>
                <w:rFonts w:ascii="Arial Narrow" w:hAnsi="Arial Narrow"/>
                <w:iCs/>
                <w:sz w:val="20"/>
                <w:szCs w:val="20"/>
              </w:rPr>
            </w:pPr>
            <w:r w:rsidRPr="0019793B">
              <w:rPr>
                <w:rFonts w:ascii="Arial Narrow" w:hAnsi="Arial Narrow"/>
                <w:b/>
                <w:sz w:val="20"/>
                <w:szCs w:val="20"/>
              </w:rPr>
              <w:t>PBAC Comment:</w:t>
            </w:r>
            <w:r w:rsidRPr="0019793B">
              <w:rPr>
                <w:rFonts w:ascii="Arial Narrow" w:hAnsi="Arial Narrow"/>
                <w:sz w:val="20"/>
                <w:szCs w:val="20"/>
              </w:rPr>
              <w:t xml:space="preserve"> (paragraph 7.8) Given that the economic model used non-randomised persistence data as an unsubstantiated proxy for the comparative effectiveness and safety of apremilast and cyclosporin, the PBAC considered the model to be uninformative for decision making. </w:t>
            </w:r>
            <w:r w:rsidR="00EC5B37" w:rsidRPr="0019793B">
              <w:rPr>
                <w:rFonts w:ascii="Arial Narrow" w:hAnsi="Arial Narrow"/>
                <w:sz w:val="20"/>
                <w:szCs w:val="20"/>
              </w:rPr>
              <w:t>In addition, the PBAC considered the ICER was uncertain and unacceptably high when the effective prices of the biologics were used in the model.</w:t>
            </w:r>
          </w:p>
        </w:tc>
        <w:tc>
          <w:tcPr>
            <w:tcW w:w="2357" w:type="dxa"/>
          </w:tcPr>
          <w:p w:rsidR="00B11CE3" w:rsidRPr="0019793B" w:rsidRDefault="00650632" w:rsidP="00C37B58">
            <w:pPr>
              <w:rPr>
                <w:rFonts w:ascii="Arial Narrow" w:hAnsi="Arial Narrow"/>
                <w:sz w:val="20"/>
                <w:szCs w:val="20"/>
              </w:rPr>
            </w:pPr>
            <w:r w:rsidRPr="0019793B">
              <w:rPr>
                <w:rFonts w:ascii="Arial Narrow" w:hAnsi="Arial Narrow"/>
                <w:sz w:val="20"/>
                <w:szCs w:val="20"/>
              </w:rPr>
              <w:t>Not addressed.</w:t>
            </w:r>
          </w:p>
        </w:tc>
      </w:tr>
      <w:tr w:rsidR="00EC5B37" w:rsidRPr="0019793B" w:rsidTr="00494814">
        <w:trPr>
          <w:cantSplit/>
          <w:trHeight w:val="1084"/>
        </w:trPr>
        <w:tc>
          <w:tcPr>
            <w:tcW w:w="1276" w:type="dxa"/>
          </w:tcPr>
          <w:p w:rsidR="00EC5B37" w:rsidRPr="0019793B" w:rsidRDefault="00EC5B37" w:rsidP="00C37B58">
            <w:pPr>
              <w:rPr>
                <w:rFonts w:ascii="Arial Narrow" w:hAnsi="Arial Narrow"/>
                <w:sz w:val="20"/>
                <w:szCs w:val="20"/>
              </w:rPr>
            </w:pPr>
            <w:r w:rsidRPr="0019793B">
              <w:rPr>
                <w:rFonts w:ascii="Arial Narrow" w:hAnsi="Arial Narrow"/>
                <w:sz w:val="20"/>
                <w:szCs w:val="20"/>
              </w:rPr>
              <w:t>Number of patients</w:t>
            </w:r>
          </w:p>
        </w:tc>
        <w:tc>
          <w:tcPr>
            <w:tcW w:w="2356" w:type="dxa"/>
          </w:tcPr>
          <w:p w:rsidR="00EC5B37" w:rsidRPr="0019793B" w:rsidRDefault="00006BA9" w:rsidP="005D5FEB">
            <w:pPr>
              <w:rPr>
                <w:rFonts w:ascii="Arial Narrow" w:hAnsi="Arial Narrow"/>
                <w:sz w:val="20"/>
                <w:szCs w:val="20"/>
              </w:rPr>
            </w:pPr>
            <w:r w:rsidRPr="0019793B">
              <w:rPr>
                <w:rFonts w:ascii="Arial Narrow" w:hAnsi="Arial Narrow"/>
                <w:sz w:val="20"/>
                <w:szCs w:val="20"/>
              </w:rPr>
              <w:t xml:space="preserve">Expansion of the treatment sequence for plaque psoriasis: </w:t>
            </w:r>
            <w:r w:rsidR="005D5FEB">
              <w:rPr>
                <w:rFonts w:ascii="Arial Narrow" w:hAnsi="Arial Narrow"/>
                <w:sz w:val="20"/>
                <w:szCs w:val="20"/>
              </w:rPr>
              <w:t>less than 10,000</w:t>
            </w:r>
            <w:r w:rsidR="00EC5B37" w:rsidRPr="0019793B">
              <w:rPr>
                <w:rFonts w:ascii="Arial Narrow" w:hAnsi="Arial Narrow"/>
                <w:sz w:val="20"/>
                <w:szCs w:val="20"/>
              </w:rPr>
              <w:t xml:space="preserve"> in Year 1, increasing to </w:t>
            </w:r>
            <w:r w:rsidR="005D5FEB" w:rsidRPr="005D5FEB">
              <w:rPr>
                <w:rFonts w:ascii="Arial Narrow" w:hAnsi="Arial Narrow"/>
                <w:sz w:val="20"/>
                <w:szCs w:val="20"/>
              </w:rPr>
              <w:t>less than 10,000</w:t>
            </w:r>
            <w:r w:rsidR="00EC5B37" w:rsidRPr="0019793B">
              <w:rPr>
                <w:rFonts w:ascii="Arial Narrow" w:hAnsi="Arial Narrow"/>
                <w:sz w:val="20"/>
                <w:szCs w:val="20"/>
              </w:rPr>
              <w:t>in Year 5.</w:t>
            </w:r>
          </w:p>
        </w:tc>
        <w:tc>
          <w:tcPr>
            <w:tcW w:w="2356" w:type="dxa"/>
          </w:tcPr>
          <w:p w:rsidR="00EC5B37" w:rsidRPr="0019793B" w:rsidRDefault="00463AFD" w:rsidP="00C37B58">
            <w:pPr>
              <w:rPr>
                <w:rFonts w:ascii="Arial Narrow" w:hAnsi="Arial Narrow"/>
                <w:sz w:val="20"/>
                <w:szCs w:val="20"/>
              </w:rPr>
            </w:pPr>
            <w:r w:rsidRPr="0019793B">
              <w:rPr>
                <w:rFonts w:ascii="Arial Narrow" w:hAnsi="Arial Narrow"/>
                <w:sz w:val="20"/>
                <w:szCs w:val="20"/>
              </w:rPr>
              <w:t xml:space="preserve">Combined epidemiological and market share approach: </w:t>
            </w:r>
            <w:r w:rsidR="005D5FEB">
              <w:rPr>
                <w:rFonts w:ascii="Arial Narrow" w:hAnsi="Arial Narrow"/>
                <w:sz w:val="20"/>
                <w:szCs w:val="20"/>
              </w:rPr>
              <w:t>less than 10,000</w:t>
            </w:r>
            <w:r w:rsidR="00446806" w:rsidRPr="0019793B">
              <w:rPr>
                <w:rFonts w:ascii="Arial Narrow" w:hAnsi="Arial Narrow"/>
                <w:sz w:val="20"/>
                <w:szCs w:val="20"/>
              </w:rPr>
              <w:t xml:space="preserve">in Year 1, </w:t>
            </w:r>
            <w:r w:rsidR="00650632" w:rsidRPr="0019793B">
              <w:rPr>
                <w:rFonts w:ascii="Arial Narrow" w:hAnsi="Arial Narrow"/>
                <w:sz w:val="20"/>
                <w:szCs w:val="20"/>
              </w:rPr>
              <w:t>decreasing</w:t>
            </w:r>
            <w:r w:rsidR="00706177" w:rsidRPr="0019793B">
              <w:rPr>
                <w:rFonts w:ascii="Arial Narrow" w:hAnsi="Arial Narrow"/>
                <w:sz w:val="20"/>
                <w:szCs w:val="20"/>
              </w:rPr>
              <w:t xml:space="preserve"> to </w:t>
            </w:r>
            <w:r w:rsidR="005D5FEB">
              <w:rPr>
                <w:rFonts w:ascii="Arial Narrow" w:hAnsi="Arial Narrow"/>
                <w:sz w:val="20"/>
                <w:szCs w:val="20"/>
              </w:rPr>
              <w:t>less than 10,000</w:t>
            </w:r>
            <w:r w:rsidR="00706177" w:rsidRPr="0019793B">
              <w:rPr>
                <w:rFonts w:ascii="Arial Narrow" w:hAnsi="Arial Narrow"/>
                <w:sz w:val="20"/>
                <w:szCs w:val="20"/>
              </w:rPr>
              <w:t>in Year </w:t>
            </w:r>
            <w:r w:rsidR="00446806" w:rsidRPr="0019793B">
              <w:rPr>
                <w:rFonts w:ascii="Arial Narrow" w:hAnsi="Arial Narrow"/>
                <w:sz w:val="20"/>
                <w:szCs w:val="20"/>
              </w:rPr>
              <w:t>5.</w:t>
            </w:r>
          </w:p>
        </w:tc>
        <w:tc>
          <w:tcPr>
            <w:tcW w:w="2357" w:type="dxa"/>
          </w:tcPr>
          <w:p w:rsidR="00EC5B37" w:rsidRPr="0019793B" w:rsidRDefault="00463AFD" w:rsidP="00C37B58">
            <w:pPr>
              <w:rPr>
                <w:rFonts w:ascii="Arial Narrow" w:hAnsi="Arial Narrow"/>
                <w:sz w:val="20"/>
                <w:szCs w:val="20"/>
              </w:rPr>
            </w:pPr>
            <w:r w:rsidRPr="0019793B">
              <w:rPr>
                <w:rFonts w:ascii="Arial Narrow" w:hAnsi="Arial Narrow"/>
                <w:sz w:val="20"/>
                <w:szCs w:val="20"/>
              </w:rPr>
              <w:t xml:space="preserve">Market share approach: </w:t>
            </w:r>
            <w:r w:rsidR="005D5FEB">
              <w:rPr>
                <w:rFonts w:ascii="Arial Narrow" w:hAnsi="Arial Narrow"/>
                <w:sz w:val="20"/>
                <w:szCs w:val="20"/>
              </w:rPr>
              <w:t>less than 10,000</w:t>
            </w:r>
            <w:r w:rsidR="00446806" w:rsidRPr="0019793B">
              <w:rPr>
                <w:rFonts w:ascii="Arial Narrow" w:hAnsi="Arial Narrow"/>
                <w:sz w:val="20"/>
                <w:szCs w:val="20"/>
              </w:rPr>
              <w:t xml:space="preserve">in Year </w:t>
            </w:r>
            <w:r w:rsidR="00706177" w:rsidRPr="0019793B">
              <w:rPr>
                <w:rFonts w:ascii="Arial Narrow" w:hAnsi="Arial Narrow"/>
                <w:sz w:val="20"/>
                <w:szCs w:val="20"/>
              </w:rPr>
              <w:t xml:space="preserve">1, increasing to </w:t>
            </w:r>
            <w:r w:rsidR="005D5FEB" w:rsidRPr="005D5FEB">
              <w:rPr>
                <w:rFonts w:ascii="Arial Narrow" w:hAnsi="Arial Narrow"/>
                <w:sz w:val="20"/>
                <w:szCs w:val="20"/>
              </w:rPr>
              <w:t xml:space="preserve">10,000 – 50,000 </w:t>
            </w:r>
            <w:r w:rsidR="00706177" w:rsidRPr="0019793B">
              <w:rPr>
                <w:rFonts w:ascii="Arial Narrow" w:hAnsi="Arial Narrow"/>
                <w:sz w:val="20"/>
                <w:szCs w:val="20"/>
              </w:rPr>
              <w:t>in Year </w:t>
            </w:r>
            <w:r w:rsidR="00446806" w:rsidRPr="0019793B">
              <w:rPr>
                <w:rFonts w:ascii="Arial Narrow" w:hAnsi="Arial Narrow"/>
                <w:sz w:val="20"/>
                <w:szCs w:val="20"/>
              </w:rPr>
              <w:t>5.</w:t>
            </w:r>
          </w:p>
        </w:tc>
      </w:tr>
      <w:tr w:rsidR="00B11CE3" w:rsidRPr="0019793B" w:rsidTr="00494814">
        <w:trPr>
          <w:cantSplit/>
          <w:trHeight w:val="416"/>
        </w:trPr>
        <w:tc>
          <w:tcPr>
            <w:tcW w:w="1276" w:type="dxa"/>
          </w:tcPr>
          <w:p w:rsidR="00B11CE3" w:rsidRPr="0019793B" w:rsidRDefault="00B11CE3" w:rsidP="00C37B58">
            <w:pPr>
              <w:rPr>
                <w:rFonts w:ascii="Arial Narrow" w:hAnsi="Arial Narrow"/>
                <w:sz w:val="20"/>
                <w:szCs w:val="20"/>
              </w:rPr>
            </w:pPr>
            <w:r w:rsidRPr="0019793B">
              <w:rPr>
                <w:rFonts w:ascii="Arial Narrow" w:hAnsi="Arial Narrow"/>
                <w:sz w:val="20"/>
                <w:szCs w:val="20"/>
              </w:rPr>
              <w:t>Estimated net cost to PBS</w:t>
            </w:r>
          </w:p>
        </w:tc>
        <w:tc>
          <w:tcPr>
            <w:tcW w:w="2356" w:type="dxa"/>
          </w:tcPr>
          <w:p w:rsidR="00B11CE3" w:rsidRPr="0019793B" w:rsidRDefault="005D5FEB" w:rsidP="005D5FEB">
            <w:pPr>
              <w:rPr>
                <w:rFonts w:ascii="Arial Narrow" w:hAnsi="Arial Narrow"/>
                <w:sz w:val="20"/>
                <w:szCs w:val="20"/>
              </w:rPr>
            </w:pPr>
            <w:r>
              <w:rPr>
                <w:rFonts w:ascii="Arial Narrow" w:hAnsi="Arial Narrow"/>
                <w:sz w:val="20"/>
                <w:szCs w:val="20"/>
              </w:rPr>
              <w:t>Less than $10</w:t>
            </w:r>
            <w:r w:rsidR="00EC5B37" w:rsidRPr="0019793B">
              <w:rPr>
                <w:rFonts w:ascii="Arial Narrow" w:hAnsi="Arial Narrow"/>
                <w:sz w:val="20"/>
                <w:szCs w:val="20"/>
              </w:rPr>
              <w:t xml:space="preserve"> million</w:t>
            </w:r>
            <w:r w:rsidR="00B11CE3" w:rsidRPr="0019793B">
              <w:rPr>
                <w:rFonts w:ascii="Arial Narrow" w:hAnsi="Arial Narrow"/>
                <w:sz w:val="20"/>
                <w:szCs w:val="20"/>
              </w:rPr>
              <w:t xml:space="preserve"> in Year 1 increasing to $</w:t>
            </w:r>
            <w:r>
              <w:rPr>
                <w:rFonts w:ascii="Arial Narrow" w:hAnsi="Arial Narrow"/>
                <w:sz w:val="20"/>
                <w:szCs w:val="20"/>
              </w:rPr>
              <w:t>30 -$60</w:t>
            </w:r>
            <w:r w:rsidR="00EC5B37" w:rsidRPr="0019793B">
              <w:rPr>
                <w:rFonts w:ascii="Arial Narrow" w:hAnsi="Arial Narrow"/>
                <w:sz w:val="20"/>
                <w:szCs w:val="20"/>
              </w:rPr>
              <w:t xml:space="preserve"> million</w:t>
            </w:r>
            <w:r w:rsidR="00B11CE3" w:rsidRPr="0019793B">
              <w:rPr>
                <w:rFonts w:ascii="Arial Narrow" w:hAnsi="Arial Narrow"/>
                <w:sz w:val="20"/>
                <w:szCs w:val="20"/>
              </w:rPr>
              <w:t xml:space="preserve"> in Year 5 for a total of </w:t>
            </w:r>
            <w:r>
              <w:rPr>
                <w:rFonts w:ascii="Arial Narrow" w:hAnsi="Arial Narrow"/>
                <w:sz w:val="20"/>
                <w:szCs w:val="20"/>
              </w:rPr>
              <w:t>more than $100</w:t>
            </w:r>
            <w:r w:rsidR="00EC5B37" w:rsidRPr="0019793B">
              <w:rPr>
                <w:rFonts w:ascii="Arial Narrow" w:hAnsi="Arial Narrow"/>
                <w:sz w:val="20"/>
                <w:szCs w:val="20"/>
              </w:rPr>
              <w:t xml:space="preserve"> million</w:t>
            </w:r>
            <w:r w:rsidR="00B11CE3" w:rsidRPr="0019793B">
              <w:rPr>
                <w:rFonts w:ascii="Arial Narrow" w:hAnsi="Arial Narrow"/>
                <w:sz w:val="20"/>
                <w:szCs w:val="20"/>
              </w:rPr>
              <w:t xml:space="preserve"> over the first 5 years of listing.</w:t>
            </w:r>
          </w:p>
        </w:tc>
        <w:tc>
          <w:tcPr>
            <w:tcW w:w="2356" w:type="dxa"/>
          </w:tcPr>
          <w:p w:rsidR="00B11CE3" w:rsidRPr="0019793B" w:rsidRDefault="00B11CE3" w:rsidP="00C37B58">
            <w:pPr>
              <w:rPr>
                <w:rFonts w:ascii="Arial Narrow" w:hAnsi="Arial Narrow"/>
                <w:sz w:val="20"/>
                <w:szCs w:val="20"/>
              </w:rPr>
            </w:pPr>
            <w:r w:rsidRPr="0019793B">
              <w:rPr>
                <w:rFonts w:ascii="Arial Narrow" w:hAnsi="Arial Narrow"/>
                <w:sz w:val="20"/>
                <w:szCs w:val="20"/>
              </w:rPr>
              <w:t>$</w:t>
            </w:r>
            <w:r w:rsidR="005D5FEB">
              <w:rPr>
                <w:rFonts w:ascii="Arial Narrow" w:hAnsi="Arial Narrow"/>
                <w:sz w:val="20"/>
                <w:szCs w:val="20"/>
              </w:rPr>
              <w:t>30</w:t>
            </w:r>
            <w:r w:rsidR="00ED7FF4">
              <w:rPr>
                <w:rFonts w:ascii="Arial Narrow" w:hAnsi="Arial Narrow"/>
                <w:sz w:val="20"/>
                <w:szCs w:val="20"/>
              </w:rPr>
              <w:t xml:space="preserve"> </w:t>
            </w:r>
            <w:r w:rsidR="005D5FEB">
              <w:rPr>
                <w:rFonts w:ascii="Arial Narrow" w:hAnsi="Arial Narrow"/>
                <w:sz w:val="20"/>
                <w:szCs w:val="20"/>
              </w:rPr>
              <w:t>-</w:t>
            </w:r>
            <w:r w:rsidR="00ED7FF4">
              <w:rPr>
                <w:rFonts w:ascii="Arial Narrow" w:hAnsi="Arial Narrow"/>
                <w:sz w:val="20"/>
                <w:szCs w:val="20"/>
              </w:rPr>
              <w:t xml:space="preserve"> </w:t>
            </w:r>
            <w:r w:rsidR="005D5FEB">
              <w:rPr>
                <w:rFonts w:ascii="Arial Narrow" w:hAnsi="Arial Narrow"/>
                <w:sz w:val="20"/>
                <w:szCs w:val="20"/>
              </w:rPr>
              <w:t>$60</w:t>
            </w:r>
            <w:r w:rsidR="00EC5B37" w:rsidRPr="0019793B">
              <w:rPr>
                <w:rFonts w:ascii="Arial Narrow" w:hAnsi="Arial Narrow"/>
                <w:sz w:val="20"/>
                <w:szCs w:val="20"/>
              </w:rPr>
              <w:t xml:space="preserve"> million</w:t>
            </w:r>
            <w:r w:rsidRPr="0019793B">
              <w:rPr>
                <w:rFonts w:ascii="Arial Narrow" w:hAnsi="Arial Narrow"/>
                <w:sz w:val="20"/>
                <w:szCs w:val="20"/>
              </w:rPr>
              <w:t xml:space="preserve"> in Year 1 increasing to </w:t>
            </w:r>
            <w:r w:rsidR="005D5FEB">
              <w:rPr>
                <w:rFonts w:ascii="Arial Narrow" w:hAnsi="Arial Narrow"/>
                <w:sz w:val="20"/>
                <w:szCs w:val="20"/>
              </w:rPr>
              <w:t>more than $100</w:t>
            </w:r>
            <w:r w:rsidR="00EC5B37" w:rsidRPr="0019793B">
              <w:rPr>
                <w:rFonts w:ascii="Arial Narrow" w:hAnsi="Arial Narrow"/>
                <w:iCs/>
                <w:sz w:val="20"/>
                <w:szCs w:val="20"/>
              </w:rPr>
              <w:t xml:space="preserve"> million</w:t>
            </w:r>
            <w:r w:rsidRPr="0019793B">
              <w:rPr>
                <w:rFonts w:ascii="Arial Narrow" w:hAnsi="Arial Narrow"/>
                <w:sz w:val="20"/>
                <w:szCs w:val="20"/>
              </w:rPr>
              <w:t xml:space="preserve"> in Year 5 for a total of </w:t>
            </w:r>
            <w:r w:rsidR="005D5FEB">
              <w:rPr>
                <w:rFonts w:ascii="Arial Narrow" w:hAnsi="Arial Narrow"/>
                <w:sz w:val="20"/>
                <w:szCs w:val="20"/>
              </w:rPr>
              <w:t>more than $100</w:t>
            </w:r>
            <w:r w:rsidR="005D5FEB" w:rsidRPr="0019793B">
              <w:rPr>
                <w:rFonts w:ascii="Arial Narrow" w:hAnsi="Arial Narrow"/>
                <w:iCs/>
                <w:sz w:val="20"/>
                <w:szCs w:val="20"/>
              </w:rPr>
              <w:t xml:space="preserve"> </w:t>
            </w:r>
            <w:r w:rsidR="00EC5B37" w:rsidRPr="0019793B">
              <w:rPr>
                <w:rFonts w:ascii="Arial Narrow" w:hAnsi="Arial Narrow"/>
                <w:iCs/>
                <w:sz w:val="20"/>
                <w:szCs w:val="20"/>
              </w:rPr>
              <w:t>million</w:t>
            </w:r>
            <w:r w:rsidRPr="0019793B">
              <w:rPr>
                <w:rFonts w:ascii="Arial Narrow" w:hAnsi="Arial Narrow"/>
                <w:sz w:val="20"/>
                <w:szCs w:val="20"/>
              </w:rPr>
              <w:t xml:space="preserve"> over the first 5 years of listing.</w:t>
            </w:r>
          </w:p>
          <w:p w:rsidR="00446806" w:rsidRPr="0019793B" w:rsidRDefault="00446806" w:rsidP="00C37B58">
            <w:pPr>
              <w:rPr>
                <w:rFonts w:ascii="Arial Narrow" w:hAnsi="Arial Narrow"/>
                <w:sz w:val="20"/>
                <w:szCs w:val="20"/>
              </w:rPr>
            </w:pPr>
            <w:r w:rsidRPr="0019793B">
              <w:rPr>
                <w:rFonts w:ascii="Arial Narrow" w:hAnsi="Arial Narrow"/>
                <w:b/>
                <w:sz w:val="20"/>
                <w:szCs w:val="20"/>
              </w:rPr>
              <w:t>PBAC Comment:</w:t>
            </w:r>
            <w:r w:rsidRPr="0019793B">
              <w:rPr>
                <w:rFonts w:ascii="Arial Narrow" w:hAnsi="Arial Narrow"/>
                <w:sz w:val="20"/>
                <w:szCs w:val="20"/>
              </w:rPr>
              <w:t xml:space="preserve"> (paragraph 7.9) The PBAC noted the substantial opportunity cost of listing apremilast for moderate to severe plaque psoriasis, particularly in the context of the uncertain treatment benefit over other systemic therapies. Furthermore, the PBAC agreed with the DUSC that the utilisation estimates were likely to be underestimated</w:t>
            </w:r>
            <w:r w:rsidR="00650632" w:rsidRPr="0019793B">
              <w:rPr>
                <w:rFonts w:ascii="Arial Narrow" w:hAnsi="Arial Narrow"/>
                <w:sz w:val="20"/>
                <w:szCs w:val="20"/>
              </w:rPr>
              <w:t>.</w:t>
            </w:r>
          </w:p>
        </w:tc>
        <w:tc>
          <w:tcPr>
            <w:tcW w:w="2357" w:type="dxa"/>
          </w:tcPr>
          <w:p w:rsidR="00B11CE3" w:rsidRPr="0019793B" w:rsidRDefault="00EC5B37" w:rsidP="00ED7FF4">
            <w:pPr>
              <w:rPr>
                <w:rFonts w:ascii="Arial Narrow" w:hAnsi="Arial Narrow"/>
                <w:sz w:val="20"/>
                <w:szCs w:val="20"/>
              </w:rPr>
            </w:pPr>
            <w:r w:rsidRPr="0019793B">
              <w:rPr>
                <w:rFonts w:ascii="Arial Narrow" w:hAnsi="Arial Narrow"/>
                <w:sz w:val="20"/>
                <w:szCs w:val="20"/>
              </w:rPr>
              <w:t>$</w:t>
            </w:r>
            <w:r w:rsidR="00ED7FF4">
              <w:rPr>
                <w:rFonts w:ascii="Arial Narrow" w:hAnsi="Arial Narrow"/>
                <w:sz w:val="20"/>
                <w:szCs w:val="20"/>
              </w:rPr>
              <w:t>10 - $20</w:t>
            </w:r>
            <w:r w:rsidRPr="0019793B">
              <w:rPr>
                <w:rFonts w:ascii="Arial Narrow" w:hAnsi="Arial Narrow"/>
                <w:sz w:val="20"/>
                <w:szCs w:val="20"/>
              </w:rPr>
              <w:t xml:space="preserve"> million in Year 1 increasing to $</w:t>
            </w:r>
            <w:r w:rsidR="00ED7FF4">
              <w:rPr>
                <w:rFonts w:ascii="Arial Narrow" w:hAnsi="Arial Narrow"/>
                <w:sz w:val="20"/>
                <w:szCs w:val="20"/>
              </w:rPr>
              <w:t>60 - $100</w:t>
            </w:r>
            <w:r w:rsidRPr="0019793B">
              <w:rPr>
                <w:rFonts w:ascii="Arial Narrow" w:hAnsi="Arial Narrow"/>
                <w:sz w:val="20"/>
                <w:szCs w:val="20"/>
              </w:rPr>
              <w:t xml:space="preserve"> million in Year 5 for a total of </w:t>
            </w:r>
            <w:r w:rsidR="00ED7FF4">
              <w:rPr>
                <w:rFonts w:ascii="Arial Narrow" w:hAnsi="Arial Narrow"/>
                <w:sz w:val="20"/>
                <w:szCs w:val="20"/>
              </w:rPr>
              <w:t>more than $100</w:t>
            </w:r>
            <w:r w:rsidR="00ED7FF4" w:rsidRPr="0019793B">
              <w:rPr>
                <w:rFonts w:ascii="Arial Narrow" w:hAnsi="Arial Narrow"/>
                <w:iCs/>
                <w:sz w:val="20"/>
                <w:szCs w:val="20"/>
              </w:rPr>
              <w:t xml:space="preserve"> </w:t>
            </w:r>
            <w:r w:rsidRPr="0019793B">
              <w:rPr>
                <w:rFonts w:ascii="Arial Narrow" w:hAnsi="Arial Narrow"/>
                <w:sz w:val="20"/>
                <w:szCs w:val="20"/>
              </w:rPr>
              <w:t>million ove</w:t>
            </w:r>
            <w:r w:rsidR="000555D4" w:rsidRPr="0019793B">
              <w:rPr>
                <w:rFonts w:ascii="Arial Narrow" w:hAnsi="Arial Narrow"/>
                <w:sz w:val="20"/>
                <w:szCs w:val="20"/>
              </w:rPr>
              <w:t>r the first 5 years of listing.</w:t>
            </w:r>
          </w:p>
        </w:tc>
      </w:tr>
      <w:tr w:rsidR="00EC5B37" w:rsidRPr="0019793B" w:rsidTr="00494814">
        <w:trPr>
          <w:cantSplit/>
          <w:trHeight w:val="416"/>
        </w:trPr>
        <w:tc>
          <w:tcPr>
            <w:tcW w:w="1276" w:type="dxa"/>
          </w:tcPr>
          <w:p w:rsidR="00EC5B37" w:rsidRPr="0019793B" w:rsidRDefault="00EC5B37" w:rsidP="00C37B58">
            <w:pPr>
              <w:rPr>
                <w:rFonts w:ascii="Arial Narrow" w:hAnsi="Arial Narrow"/>
                <w:sz w:val="20"/>
                <w:szCs w:val="20"/>
              </w:rPr>
            </w:pPr>
            <w:r w:rsidRPr="0019793B">
              <w:rPr>
                <w:rFonts w:ascii="Arial Narrow" w:hAnsi="Arial Narrow"/>
                <w:sz w:val="20"/>
                <w:szCs w:val="20"/>
              </w:rPr>
              <w:t>Risk sharing arrangement</w:t>
            </w:r>
          </w:p>
        </w:tc>
        <w:tc>
          <w:tcPr>
            <w:tcW w:w="2356" w:type="dxa"/>
          </w:tcPr>
          <w:p w:rsidR="00EC5B37" w:rsidRPr="0019793B" w:rsidRDefault="00D01B8D" w:rsidP="00C37B58">
            <w:pPr>
              <w:rPr>
                <w:rFonts w:ascii="Arial Narrow" w:hAnsi="Arial Narrow"/>
                <w:sz w:val="20"/>
                <w:szCs w:val="20"/>
              </w:rPr>
            </w:pPr>
            <w:r w:rsidRPr="0019793B">
              <w:rPr>
                <w:rFonts w:ascii="Arial Narrow" w:hAnsi="Arial Narrow"/>
                <w:sz w:val="20"/>
                <w:szCs w:val="20"/>
              </w:rPr>
              <w:t>Not proposed.</w:t>
            </w:r>
          </w:p>
        </w:tc>
        <w:tc>
          <w:tcPr>
            <w:tcW w:w="2356" w:type="dxa"/>
          </w:tcPr>
          <w:p w:rsidR="00EC5B37" w:rsidRPr="0019793B" w:rsidRDefault="00446806" w:rsidP="00C37B58">
            <w:pPr>
              <w:rPr>
                <w:rFonts w:ascii="Arial Narrow" w:hAnsi="Arial Narrow"/>
                <w:sz w:val="20"/>
                <w:szCs w:val="20"/>
              </w:rPr>
            </w:pPr>
            <w:r w:rsidRPr="0019793B">
              <w:rPr>
                <w:rFonts w:ascii="Arial Narrow" w:hAnsi="Arial Narrow"/>
                <w:sz w:val="20"/>
                <w:szCs w:val="20"/>
              </w:rPr>
              <w:t>The resubmission did not propose an RSA but stated that the Sponsor accepts that an RSA which would minimise any potential uncertainties around the budgetary impact of this listing would need to be negotiated with the Department of Health/PBAC.</w:t>
            </w:r>
          </w:p>
        </w:tc>
        <w:tc>
          <w:tcPr>
            <w:tcW w:w="2357" w:type="dxa"/>
          </w:tcPr>
          <w:p w:rsidR="00446806" w:rsidRPr="00F17FFB" w:rsidRDefault="00F17FFB" w:rsidP="00C37B58">
            <w:pPr>
              <w:rPr>
                <w:rFonts w:ascii="Arial Narrow" w:hAnsi="Arial Narrow"/>
                <w:sz w:val="20"/>
                <w:szCs w:val="20"/>
                <w:highlight w:val="black"/>
              </w:rPr>
            </w:pPr>
            <w:r>
              <w:rPr>
                <w:rFonts w:ascii="Arial Narrow" w:hAnsi="Arial Narrow"/>
                <w:noProof/>
                <w:color w:val="000000"/>
                <w:sz w:val="20"/>
                <w:szCs w:val="20"/>
                <w:highlight w:val="black"/>
              </w:rPr>
              <w:t xml:space="preserve">'''''''''' ''''''''''''' ''''''''''''''''''''' '''''''''' </w:t>
            </w:r>
          </w:p>
          <w:p w:rsidR="00EC5B37" w:rsidRPr="00F17FFB" w:rsidRDefault="00F17FFB" w:rsidP="00F17FFB">
            <w:pPr>
              <w:ind w:left="114" w:hanging="114"/>
              <w:rPr>
                <w:rFonts w:ascii="Arial Narrow" w:hAnsi="Arial Narrow"/>
                <w:sz w:val="20"/>
                <w:highlight w:val="black"/>
              </w:rPr>
            </w:pP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p>
          <w:p w:rsidR="00446806" w:rsidRPr="00F17FFB" w:rsidRDefault="00F17FFB" w:rsidP="00F17FFB">
            <w:pPr>
              <w:ind w:left="114" w:hanging="114"/>
              <w:rPr>
                <w:rFonts w:ascii="Arial Narrow" w:hAnsi="Arial Narrow"/>
                <w:sz w:val="20"/>
                <w:highlight w:val="black"/>
              </w:rPr>
            </w:pP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p>
          <w:p w:rsidR="00446806" w:rsidRPr="0019793B" w:rsidRDefault="00446806" w:rsidP="00ED7FF4">
            <w:pPr>
              <w:rPr>
                <w:rFonts w:ascii="Arial Narrow" w:hAnsi="Arial Narrow"/>
                <w:sz w:val="20"/>
                <w:szCs w:val="20"/>
              </w:rPr>
            </w:pPr>
            <w:r w:rsidRPr="0019793B">
              <w:rPr>
                <w:rFonts w:ascii="Arial Narrow" w:hAnsi="Arial Narrow"/>
                <w:sz w:val="20"/>
                <w:szCs w:val="20"/>
              </w:rPr>
              <w:t xml:space="preserve">Estimated </w:t>
            </w:r>
            <w:r w:rsidR="00D01B8D" w:rsidRPr="0019793B">
              <w:rPr>
                <w:rFonts w:ascii="Arial Narrow" w:hAnsi="Arial Narrow"/>
                <w:sz w:val="20"/>
                <w:szCs w:val="20"/>
              </w:rPr>
              <w:t>net cost to PBS with caps over the first 5 years of listing</w:t>
            </w:r>
            <w:r w:rsidRPr="0019793B">
              <w:rPr>
                <w:rFonts w:ascii="Arial Narrow" w:hAnsi="Arial Narrow"/>
                <w:sz w:val="20"/>
                <w:szCs w:val="20"/>
              </w:rPr>
              <w:t xml:space="preserve">: </w:t>
            </w:r>
            <w:r w:rsidR="00ED7FF4">
              <w:rPr>
                <w:rFonts w:ascii="Arial Narrow" w:hAnsi="Arial Narrow"/>
                <w:sz w:val="20"/>
                <w:szCs w:val="20"/>
              </w:rPr>
              <w:t>more</w:t>
            </w:r>
            <w:r w:rsidR="00A21A15">
              <w:rPr>
                <w:rFonts w:ascii="Arial Narrow" w:hAnsi="Arial Narrow"/>
                <w:sz w:val="20"/>
                <w:szCs w:val="20"/>
              </w:rPr>
              <w:t xml:space="preserve"> than</w:t>
            </w:r>
            <w:r w:rsidR="00ED7FF4">
              <w:rPr>
                <w:rFonts w:ascii="Arial Narrow" w:hAnsi="Arial Narrow"/>
                <w:sz w:val="20"/>
                <w:szCs w:val="20"/>
              </w:rPr>
              <w:t xml:space="preserve"> $100</w:t>
            </w:r>
            <w:r w:rsidRPr="0019793B">
              <w:rPr>
                <w:rFonts w:ascii="Arial Narrow" w:hAnsi="Arial Narrow"/>
                <w:sz w:val="20"/>
                <w:szCs w:val="20"/>
              </w:rPr>
              <w:t xml:space="preserve"> million</w:t>
            </w:r>
            <w:r w:rsidR="004A78A0" w:rsidRPr="0019793B">
              <w:rPr>
                <w:rFonts w:ascii="Arial Narrow" w:hAnsi="Arial Narrow"/>
                <w:sz w:val="20"/>
                <w:szCs w:val="20"/>
              </w:rPr>
              <w:t>.</w:t>
            </w:r>
          </w:p>
        </w:tc>
      </w:tr>
      <w:tr w:rsidR="00B11CE3" w:rsidRPr="0019793B" w:rsidTr="00494814">
        <w:trPr>
          <w:cantSplit/>
          <w:trHeight w:val="860"/>
        </w:trPr>
        <w:tc>
          <w:tcPr>
            <w:tcW w:w="1276" w:type="dxa"/>
          </w:tcPr>
          <w:p w:rsidR="00B11CE3" w:rsidRPr="0019793B" w:rsidRDefault="00B11CE3" w:rsidP="00C37B58">
            <w:pPr>
              <w:rPr>
                <w:rFonts w:ascii="Arial Narrow" w:hAnsi="Arial Narrow"/>
                <w:sz w:val="20"/>
                <w:szCs w:val="20"/>
              </w:rPr>
            </w:pPr>
            <w:r w:rsidRPr="0019793B">
              <w:rPr>
                <w:rFonts w:ascii="Arial Narrow" w:hAnsi="Arial Narrow"/>
                <w:sz w:val="20"/>
                <w:szCs w:val="20"/>
              </w:rPr>
              <w:br w:type="page"/>
              <w:t>PBAC decision</w:t>
            </w:r>
          </w:p>
        </w:tc>
        <w:tc>
          <w:tcPr>
            <w:tcW w:w="2356" w:type="dxa"/>
          </w:tcPr>
          <w:p w:rsidR="00B11CE3" w:rsidRPr="0019793B" w:rsidRDefault="00B11CE3" w:rsidP="00C37B58">
            <w:pPr>
              <w:rPr>
                <w:rFonts w:ascii="Arial Narrow" w:hAnsi="Arial Narrow"/>
                <w:bCs/>
                <w:sz w:val="20"/>
                <w:szCs w:val="20"/>
              </w:rPr>
            </w:pPr>
            <w:r w:rsidRPr="0019793B">
              <w:rPr>
                <w:rFonts w:ascii="Arial Narrow" w:hAnsi="Arial Narrow"/>
                <w:bCs/>
                <w:sz w:val="20"/>
                <w:szCs w:val="20"/>
              </w:rPr>
              <w:t xml:space="preserve">Reject.  </w:t>
            </w:r>
          </w:p>
          <w:p w:rsidR="00B11CE3" w:rsidRPr="0019793B" w:rsidRDefault="00B11CE3" w:rsidP="00C37B58">
            <w:pPr>
              <w:rPr>
                <w:rFonts w:ascii="Arial Narrow" w:hAnsi="Arial Narrow"/>
                <w:sz w:val="20"/>
                <w:szCs w:val="20"/>
              </w:rPr>
            </w:pPr>
            <w:r w:rsidRPr="0019793B">
              <w:rPr>
                <w:rFonts w:ascii="Arial Narrow" w:hAnsi="Arial Narrow"/>
                <w:b/>
                <w:sz w:val="20"/>
                <w:szCs w:val="20"/>
              </w:rPr>
              <w:t>PBAC Comment:</w:t>
            </w:r>
            <w:r w:rsidRPr="0019793B">
              <w:rPr>
                <w:rFonts w:ascii="Arial Narrow" w:hAnsi="Arial Narrow"/>
                <w:sz w:val="20"/>
                <w:szCs w:val="20"/>
              </w:rPr>
              <w:t xml:space="preserve"> (paragraph 7.1) The PBAC rejected the submission on the basis that cost-effectiveness compared to cyclosporin treatment had not been adequately established at the price proposed in the submission.</w:t>
            </w:r>
          </w:p>
        </w:tc>
        <w:tc>
          <w:tcPr>
            <w:tcW w:w="2356" w:type="dxa"/>
          </w:tcPr>
          <w:p w:rsidR="00B11CE3" w:rsidRPr="0019793B" w:rsidRDefault="00B11CE3" w:rsidP="00C37B58">
            <w:pPr>
              <w:rPr>
                <w:rFonts w:ascii="Arial Narrow" w:hAnsi="Arial Narrow"/>
                <w:sz w:val="20"/>
                <w:szCs w:val="20"/>
              </w:rPr>
            </w:pPr>
            <w:r w:rsidRPr="0019793B">
              <w:rPr>
                <w:rFonts w:ascii="Arial Narrow" w:hAnsi="Arial Narrow"/>
                <w:sz w:val="20"/>
                <w:szCs w:val="20"/>
              </w:rPr>
              <w:br w:type="page"/>
              <w:t>Reject</w:t>
            </w:r>
          </w:p>
          <w:p w:rsidR="00B11CE3" w:rsidRPr="0019793B" w:rsidRDefault="00B11CE3" w:rsidP="00C37B58">
            <w:pPr>
              <w:rPr>
                <w:rFonts w:ascii="Arial Narrow" w:hAnsi="Arial Narrow"/>
                <w:sz w:val="20"/>
                <w:szCs w:val="20"/>
              </w:rPr>
            </w:pPr>
            <w:r w:rsidRPr="0019793B">
              <w:rPr>
                <w:rFonts w:ascii="Arial Narrow" w:hAnsi="Arial Narrow"/>
                <w:b/>
                <w:sz w:val="20"/>
                <w:szCs w:val="20"/>
              </w:rPr>
              <w:t>PBAC Comment:</w:t>
            </w:r>
            <w:r w:rsidRPr="0019793B">
              <w:rPr>
                <w:rFonts w:ascii="Arial Narrow" w:hAnsi="Arial Narrow"/>
                <w:sz w:val="20"/>
                <w:szCs w:val="20"/>
              </w:rPr>
              <w:t xml:space="preserve"> (paragraph 7.1) The PBAC did not recommend the listing of apremilast for moderate to severe plaque psoriasis on the basis that the evidence presented did not support the claims of superior comparative efficacy or safety versus cyclosporin and the cost effectiveness of apremilast was uncertain and unacceptable at the requested price.</w:t>
            </w:r>
          </w:p>
        </w:tc>
        <w:tc>
          <w:tcPr>
            <w:tcW w:w="2357" w:type="dxa"/>
          </w:tcPr>
          <w:p w:rsidR="00B11CE3" w:rsidRPr="0019793B" w:rsidRDefault="00E60369" w:rsidP="00C37B58">
            <w:pPr>
              <w:rPr>
                <w:rFonts w:ascii="Arial Narrow" w:hAnsi="Arial Narrow"/>
                <w:sz w:val="20"/>
                <w:szCs w:val="20"/>
              </w:rPr>
            </w:pPr>
            <w:r w:rsidRPr="0019793B">
              <w:rPr>
                <w:rFonts w:ascii="Arial Narrow" w:hAnsi="Arial Narrow"/>
                <w:sz w:val="20"/>
                <w:szCs w:val="20"/>
              </w:rPr>
              <w:t>-</w:t>
            </w:r>
          </w:p>
        </w:tc>
      </w:tr>
    </w:tbl>
    <w:p w:rsidR="00B11CE3" w:rsidRPr="0019793B" w:rsidRDefault="00B11CE3" w:rsidP="00685C10">
      <w:pPr>
        <w:pStyle w:val="TableFooter"/>
        <w:widowControl/>
        <w:ind w:left="720"/>
      </w:pPr>
      <w:r w:rsidRPr="0019793B">
        <w:t xml:space="preserve">Source: Compiled during the evaluation. Paragraph references for March 2015 refer to the apremilast (plaque psoriasis) public summary document. Paragraph references for November 2016 refer to the apremilast </w:t>
      </w:r>
      <w:r w:rsidR="003255BE" w:rsidRPr="0019793B">
        <w:t>public summary document</w:t>
      </w:r>
      <w:r w:rsidRPr="0019793B">
        <w:t xml:space="preserve">. </w:t>
      </w:r>
    </w:p>
    <w:p w:rsidR="00B11CE3" w:rsidRPr="0019793B" w:rsidRDefault="00B11CE3" w:rsidP="00C37B58">
      <w:pPr>
        <w:jc w:val="both"/>
        <w:rPr>
          <w:rFonts w:ascii="Arial" w:hAnsi="Arial"/>
          <w:b/>
          <w:sz w:val="22"/>
          <w:szCs w:val="22"/>
        </w:rPr>
      </w:pPr>
    </w:p>
    <w:p w:rsidR="00B11CE3" w:rsidRPr="0019793B" w:rsidRDefault="00B11CE3" w:rsidP="00685C10">
      <w:pPr>
        <w:pStyle w:val="NoSpacing"/>
        <w:keepNext/>
        <w:ind w:firstLine="720"/>
        <w:rPr>
          <w:rFonts w:ascii="Arial Narrow" w:hAnsi="Arial Narrow"/>
          <w:b/>
          <w:sz w:val="20"/>
        </w:rPr>
      </w:pPr>
      <w:r w:rsidRPr="0019793B">
        <w:rPr>
          <w:rFonts w:ascii="Arial Narrow" w:hAnsi="Arial Narrow"/>
          <w:b/>
          <w:sz w:val="20"/>
        </w:rPr>
        <w:t>Table 2: PBAC matters of concern in previous consideration (November 2016)</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245"/>
        <w:gridCol w:w="3118"/>
      </w:tblGrid>
      <w:tr w:rsidR="00B11CE3" w:rsidRPr="0019793B" w:rsidTr="00494814">
        <w:trPr>
          <w:trHeight w:val="240"/>
        </w:trPr>
        <w:tc>
          <w:tcPr>
            <w:tcW w:w="3136" w:type="pct"/>
            <w:shd w:val="clear" w:color="auto" w:fill="auto"/>
          </w:tcPr>
          <w:p w:rsidR="00B11CE3" w:rsidRPr="0019793B" w:rsidRDefault="00B11CE3" w:rsidP="00C37B58">
            <w:pPr>
              <w:keepNext/>
              <w:rPr>
                <w:rFonts w:ascii="Arial Narrow" w:hAnsi="Arial Narrow"/>
                <w:b/>
                <w:sz w:val="20"/>
              </w:rPr>
            </w:pPr>
            <w:r w:rsidRPr="0019793B">
              <w:rPr>
                <w:rFonts w:ascii="Arial Narrow" w:hAnsi="Arial Narrow"/>
                <w:b/>
                <w:sz w:val="20"/>
              </w:rPr>
              <w:t>Matters of concern</w:t>
            </w:r>
          </w:p>
        </w:tc>
        <w:tc>
          <w:tcPr>
            <w:tcW w:w="1864" w:type="pct"/>
            <w:shd w:val="clear" w:color="auto" w:fill="auto"/>
          </w:tcPr>
          <w:p w:rsidR="00B11CE3" w:rsidRPr="0019793B" w:rsidRDefault="00B11CE3" w:rsidP="00C37B58">
            <w:pPr>
              <w:keepNext/>
              <w:jc w:val="center"/>
              <w:rPr>
                <w:rFonts w:ascii="Arial Narrow" w:hAnsi="Arial Narrow"/>
                <w:b/>
                <w:sz w:val="20"/>
              </w:rPr>
            </w:pPr>
            <w:r w:rsidRPr="0019793B">
              <w:rPr>
                <w:rFonts w:ascii="Arial Narrow" w:hAnsi="Arial Narrow"/>
                <w:b/>
                <w:sz w:val="20"/>
              </w:rPr>
              <w:t>How the resubmission addresses it</w:t>
            </w:r>
          </w:p>
        </w:tc>
      </w:tr>
      <w:tr w:rsidR="00D30236" w:rsidRPr="0019793B" w:rsidTr="00494814">
        <w:trPr>
          <w:trHeight w:val="788"/>
        </w:trPr>
        <w:tc>
          <w:tcPr>
            <w:tcW w:w="3136" w:type="pct"/>
            <w:shd w:val="clear" w:color="auto" w:fill="auto"/>
          </w:tcPr>
          <w:p w:rsidR="00D30236" w:rsidRPr="0019793B" w:rsidRDefault="00D30236" w:rsidP="00C37B58">
            <w:pPr>
              <w:keepNext/>
              <w:rPr>
                <w:rFonts w:ascii="Arial Narrow" w:hAnsi="Arial Narrow"/>
                <w:sz w:val="20"/>
              </w:rPr>
            </w:pPr>
            <w:r w:rsidRPr="0019793B">
              <w:rPr>
                <w:rFonts w:ascii="Arial Narrow" w:hAnsi="Arial Narrow"/>
                <w:sz w:val="20"/>
              </w:rPr>
              <w:t>“…the submission did not demonstrate that apremilast was associated with improvements in health outcomes relevant to psoriasis (compared with cyclosporin).” (paragraph 7.7)</w:t>
            </w:r>
          </w:p>
        </w:tc>
        <w:tc>
          <w:tcPr>
            <w:tcW w:w="1864" w:type="pct"/>
            <w:shd w:val="clear" w:color="auto" w:fill="auto"/>
          </w:tcPr>
          <w:p w:rsidR="00D30236" w:rsidRPr="0019793B" w:rsidRDefault="00D30236" w:rsidP="00C37B58">
            <w:pPr>
              <w:keepNext/>
              <w:rPr>
                <w:rFonts w:ascii="Arial Narrow" w:hAnsi="Arial Narrow"/>
                <w:sz w:val="20"/>
              </w:rPr>
            </w:pPr>
            <w:r w:rsidRPr="0019793B">
              <w:rPr>
                <w:rFonts w:ascii="Arial Narrow" w:hAnsi="Arial Narrow"/>
                <w:sz w:val="20"/>
              </w:rPr>
              <w:t>Not addressed</w:t>
            </w:r>
          </w:p>
        </w:tc>
      </w:tr>
      <w:tr w:rsidR="00B11CE3" w:rsidRPr="0019793B" w:rsidTr="00494814">
        <w:trPr>
          <w:trHeight w:val="788"/>
        </w:trPr>
        <w:tc>
          <w:tcPr>
            <w:tcW w:w="3136" w:type="pct"/>
            <w:shd w:val="clear" w:color="auto" w:fill="auto"/>
          </w:tcPr>
          <w:p w:rsidR="00B11CE3" w:rsidRPr="0019793B" w:rsidRDefault="00B11CE3" w:rsidP="00C37B58">
            <w:pPr>
              <w:keepNext/>
              <w:rPr>
                <w:rFonts w:ascii="Arial Narrow" w:hAnsi="Arial Narrow"/>
                <w:sz w:val="20"/>
              </w:rPr>
            </w:pPr>
            <w:r w:rsidRPr="0019793B">
              <w:rPr>
                <w:rFonts w:ascii="Arial Narrow" w:hAnsi="Arial Narrow"/>
                <w:sz w:val="20"/>
              </w:rPr>
              <w:t>“…</w:t>
            </w:r>
            <w:r w:rsidR="00D30236" w:rsidRPr="0019793B">
              <w:rPr>
                <w:rFonts w:ascii="Arial Narrow" w:hAnsi="Arial Narrow"/>
                <w:sz w:val="20"/>
              </w:rPr>
              <w:t>the PBAC considered that the non-randomised persistence data was relevant supportive information, but that it was an insufficient basis to support the claim of superiority in comparative effectiveness or safety [to cyclosporin]</w:t>
            </w:r>
            <w:r w:rsidR="00D30236" w:rsidRPr="0019793B">
              <w:rPr>
                <w:rFonts w:ascii="Arial Narrow" w:hAnsi="Arial Narrow"/>
                <w:sz w:val="20"/>
                <w:szCs w:val="20"/>
              </w:rPr>
              <w:t>” (paragraph 7.7</w:t>
            </w:r>
            <w:r w:rsidRPr="0019793B">
              <w:rPr>
                <w:rFonts w:ascii="Arial Narrow" w:hAnsi="Arial Narrow"/>
                <w:sz w:val="20"/>
                <w:szCs w:val="20"/>
              </w:rPr>
              <w:t>)</w:t>
            </w:r>
          </w:p>
        </w:tc>
        <w:tc>
          <w:tcPr>
            <w:tcW w:w="1864" w:type="pct"/>
            <w:shd w:val="clear" w:color="auto" w:fill="auto"/>
          </w:tcPr>
          <w:p w:rsidR="00B11CE3" w:rsidRPr="0019793B" w:rsidRDefault="00B11CE3" w:rsidP="00C37B58">
            <w:pPr>
              <w:keepNext/>
              <w:rPr>
                <w:rFonts w:ascii="Arial Narrow" w:hAnsi="Arial Narrow"/>
                <w:sz w:val="20"/>
              </w:rPr>
            </w:pPr>
            <w:r w:rsidRPr="0019793B">
              <w:rPr>
                <w:rFonts w:ascii="Arial Narrow" w:hAnsi="Arial Narrow"/>
                <w:sz w:val="20"/>
              </w:rPr>
              <w:t>Not addressed</w:t>
            </w:r>
          </w:p>
        </w:tc>
      </w:tr>
      <w:tr w:rsidR="00B11CE3" w:rsidRPr="0019793B" w:rsidTr="00494814">
        <w:trPr>
          <w:trHeight w:val="487"/>
        </w:trPr>
        <w:tc>
          <w:tcPr>
            <w:tcW w:w="3136" w:type="pct"/>
            <w:shd w:val="clear" w:color="auto" w:fill="auto"/>
          </w:tcPr>
          <w:p w:rsidR="00D30236" w:rsidRPr="0019793B" w:rsidRDefault="00D30236" w:rsidP="00C37B58">
            <w:pPr>
              <w:keepNext/>
              <w:rPr>
                <w:rFonts w:ascii="Arial Narrow" w:hAnsi="Arial Narrow"/>
                <w:sz w:val="20"/>
              </w:rPr>
            </w:pPr>
            <w:r w:rsidRPr="0019793B">
              <w:rPr>
                <w:rFonts w:ascii="Arial Narrow" w:hAnsi="Arial Narrow"/>
                <w:sz w:val="20"/>
              </w:rPr>
              <w:t>Given that the economic model used non-randomised persistence data as an unsubstantiated proxy for the comparative effectiveness and safety of apremilast and cyclosporin, the PBAC considered the model to be uninformative for decision making. In addition, the PBAC considered the ICER for apremilast was uncertain due to the following issues:</w:t>
            </w:r>
          </w:p>
          <w:p w:rsidR="00D30236" w:rsidRPr="0019793B" w:rsidRDefault="00D30236" w:rsidP="00C37B58">
            <w:pPr>
              <w:pStyle w:val="ListParagraph"/>
              <w:keepNext/>
              <w:widowControl/>
              <w:numPr>
                <w:ilvl w:val="0"/>
                <w:numId w:val="16"/>
              </w:numPr>
              <w:ind w:left="284" w:hanging="284"/>
              <w:rPr>
                <w:rFonts w:ascii="Arial Narrow" w:hAnsi="Arial Narrow"/>
                <w:sz w:val="20"/>
              </w:rPr>
            </w:pPr>
            <w:r w:rsidRPr="0019793B">
              <w:rPr>
                <w:rFonts w:ascii="Arial Narrow" w:hAnsi="Arial Narrow"/>
                <w:sz w:val="20"/>
              </w:rPr>
              <w:t>Utilities were applied to treatment states, rather than health states defined by PASI and/or DLQI scores, which assumed that there was a constant treatment effect for all patients on apremilast regardless of symptom severity.</w:t>
            </w:r>
          </w:p>
          <w:p w:rsidR="00D30236" w:rsidRPr="0019793B" w:rsidRDefault="00D30236" w:rsidP="00C37B58">
            <w:pPr>
              <w:pStyle w:val="ListParagraph"/>
              <w:keepNext/>
              <w:widowControl/>
              <w:numPr>
                <w:ilvl w:val="0"/>
                <w:numId w:val="16"/>
              </w:numPr>
              <w:ind w:left="284" w:hanging="284"/>
              <w:rPr>
                <w:rFonts w:ascii="Arial Narrow" w:hAnsi="Arial Narrow"/>
                <w:sz w:val="20"/>
              </w:rPr>
            </w:pPr>
            <w:r w:rsidRPr="0019793B">
              <w:rPr>
                <w:rFonts w:ascii="Arial Narrow" w:hAnsi="Arial Narrow"/>
                <w:sz w:val="20"/>
              </w:rPr>
              <w:t>The model results were sensitive to changes in utility values and the difference between the utility values for apremilast (0.84) and the biologics (0.80) lacked face validity.</w:t>
            </w:r>
          </w:p>
          <w:p w:rsidR="00D30236" w:rsidRPr="0019793B" w:rsidRDefault="00D30236" w:rsidP="00C37B58">
            <w:pPr>
              <w:pStyle w:val="ListParagraph"/>
              <w:keepNext/>
              <w:widowControl/>
              <w:numPr>
                <w:ilvl w:val="0"/>
                <w:numId w:val="16"/>
              </w:numPr>
              <w:ind w:left="284" w:hanging="284"/>
              <w:rPr>
                <w:rFonts w:ascii="Arial Narrow" w:hAnsi="Arial Narrow"/>
                <w:sz w:val="20"/>
              </w:rPr>
            </w:pPr>
            <w:r w:rsidRPr="0019793B">
              <w:rPr>
                <w:rFonts w:ascii="Arial Narrow" w:hAnsi="Arial Narrow"/>
                <w:sz w:val="20"/>
              </w:rPr>
              <w:t>The costs for adverse events were not included in the model, and costs for physician visits (initiation of treatment) were omitted for apremilast.</w:t>
            </w:r>
          </w:p>
          <w:p w:rsidR="00D30236" w:rsidRPr="0019793B" w:rsidRDefault="00D30236" w:rsidP="00C37B58">
            <w:pPr>
              <w:pStyle w:val="ListParagraph"/>
              <w:keepNext/>
              <w:widowControl/>
              <w:numPr>
                <w:ilvl w:val="0"/>
                <w:numId w:val="16"/>
              </w:numPr>
              <w:ind w:left="284" w:hanging="284"/>
              <w:rPr>
                <w:rFonts w:ascii="Arial Narrow" w:hAnsi="Arial Narrow"/>
                <w:sz w:val="20"/>
              </w:rPr>
            </w:pPr>
            <w:r w:rsidRPr="0019793B">
              <w:rPr>
                <w:rFonts w:ascii="Arial Narrow" w:hAnsi="Arial Narrow"/>
                <w:sz w:val="20"/>
              </w:rPr>
              <w:t xml:space="preserve">It was not possible to test the sensitivity of the model to the time horizon beyond 10 years. </w:t>
            </w:r>
          </w:p>
          <w:p w:rsidR="00B11CE3" w:rsidRPr="0019793B" w:rsidRDefault="00D30236" w:rsidP="00C37B58">
            <w:pPr>
              <w:keepNext/>
              <w:rPr>
                <w:rFonts w:ascii="Arial Narrow" w:hAnsi="Arial Narrow"/>
                <w:sz w:val="20"/>
              </w:rPr>
            </w:pPr>
            <w:r w:rsidRPr="0019793B">
              <w:rPr>
                <w:rFonts w:ascii="Arial Narrow" w:hAnsi="Arial Narrow"/>
                <w:sz w:val="20"/>
              </w:rPr>
              <w:t xml:space="preserve">Notwithstanding these issues, in its consideration of the results of the economic model using the effective prices of biologics (see paragraph 6.37), the PBAC considered that the ICER at the requested price for apremilast was unacceptably high.” </w:t>
            </w:r>
            <w:r w:rsidR="00B11CE3" w:rsidRPr="0019793B">
              <w:rPr>
                <w:rFonts w:ascii="Arial Narrow" w:hAnsi="Arial Narrow"/>
                <w:sz w:val="20"/>
              </w:rPr>
              <w:t>(paragraph 7.</w:t>
            </w:r>
            <w:r w:rsidRPr="0019793B">
              <w:rPr>
                <w:rFonts w:ascii="Arial Narrow" w:hAnsi="Arial Narrow"/>
                <w:sz w:val="20"/>
              </w:rPr>
              <w:t>8</w:t>
            </w:r>
            <w:r w:rsidR="00B11CE3" w:rsidRPr="0019793B">
              <w:rPr>
                <w:rFonts w:ascii="Arial Narrow" w:hAnsi="Arial Narrow"/>
                <w:sz w:val="20"/>
              </w:rPr>
              <w:t>)</w:t>
            </w:r>
          </w:p>
        </w:tc>
        <w:tc>
          <w:tcPr>
            <w:tcW w:w="1864" w:type="pct"/>
            <w:shd w:val="clear" w:color="auto" w:fill="auto"/>
          </w:tcPr>
          <w:p w:rsidR="00CC3790" w:rsidRPr="0019793B" w:rsidRDefault="00D30236" w:rsidP="00C37B58">
            <w:pPr>
              <w:keepNext/>
              <w:rPr>
                <w:rFonts w:ascii="Arial Narrow" w:hAnsi="Arial Narrow"/>
                <w:sz w:val="20"/>
              </w:rPr>
            </w:pPr>
            <w:r w:rsidRPr="0019793B">
              <w:rPr>
                <w:rFonts w:ascii="Arial Narrow" w:hAnsi="Arial Narrow"/>
                <w:sz w:val="20"/>
              </w:rPr>
              <w:t>Issues with the economic model n</w:t>
            </w:r>
            <w:r w:rsidR="00B11CE3" w:rsidRPr="0019793B">
              <w:rPr>
                <w:rFonts w:ascii="Arial Narrow" w:hAnsi="Arial Narrow"/>
                <w:sz w:val="20"/>
              </w:rPr>
              <w:t>ot addressed.</w:t>
            </w:r>
            <w:r w:rsidRPr="0019793B">
              <w:rPr>
                <w:rFonts w:ascii="Arial Narrow" w:hAnsi="Arial Narrow"/>
                <w:sz w:val="20"/>
              </w:rPr>
              <w:t xml:space="preserve"> </w:t>
            </w:r>
          </w:p>
          <w:p w:rsidR="00CC3790" w:rsidRPr="0019793B" w:rsidRDefault="00CC3790" w:rsidP="00C37B58">
            <w:pPr>
              <w:keepNext/>
              <w:rPr>
                <w:rFonts w:ascii="Arial Narrow" w:hAnsi="Arial Narrow"/>
                <w:sz w:val="20"/>
              </w:rPr>
            </w:pPr>
          </w:p>
          <w:p w:rsidR="00B11CE3" w:rsidRPr="0019793B" w:rsidRDefault="00CC3790" w:rsidP="00C37B58">
            <w:pPr>
              <w:keepNext/>
              <w:rPr>
                <w:rFonts w:ascii="Arial Narrow" w:hAnsi="Arial Narrow"/>
                <w:sz w:val="20"/>
              </w:rPr>
            </w:pPr>
            <w:r w:rsidRPr="0019793B">
              <w:rPr>
                <w:rFonts w:ascii="Arial Narrow" w:hAnsi="Arial Narrow"/>
                <w:sz w:val="20"/>
              </w:rPr>
              <w:t>The r</w:t>
            </w:r>
            <w:r w:rsidR="00D30236" w:rsidRPr="0019793B">
              <w:rPr>
                <w:rFonts w:ascii="Arial Narrow" w:hAnsi="Arial Narrow"/>
                <w:sz w:val="20"/>
              </w:rPr>
              <w:t>equested effective price of apremilast was reduced but a revised ICER was not presented.</w:t>
            </w:r>
          </w:p>
        </w:tc>
      </w:tr>
      <w:tr w:rsidR="00B11CE3" w:rsidRPr="0019793B" w:rsidTr="00494814">
        <w:trPr>
          <w:trHeight w:val="930"/>
        </w:trPr>
        <w:tc>
          <w:tcPr>
            <w:tcW w:w="3136" w:type="pct"/>
            <w:shd w:val="clear" w:color="auto" w:fill="auto"/>
          </w:tcPr>
          <w:p w:rsidR="00B11CE3" w:rsidRPr="0019793B" w:rsidRDefault="00B11CE3" w:rsidP="00C37B58">
            <w:pPr>
              <w:keepNext/>
              <w:rPr>
                <w:rFonts w:ascii="Arial Narrow" w:hAnsi="Arial Narrow"/>
                <w:sz w:val="20"/>
              </w:rPr>
            </w:pPr>
            <w:r w:rsidRPr="0019793B">
              <w:rPr>
                <w:rFonts w:ascii="Arial Narrow" w:hAnsi="Arial Narrow"/>
                <w:sz w:val="20"/>
              </w:rPr>
              <w:t>“</w:t>
            </w:r>
            <w:r w:rsidR="00D30236" w:rsidRPr="0019793B">
              <w:rPr>
                <w:rFonts w:ascii="Arial Narrow" w:hAnsi="Arial Narrow"/>
                <w:sz w:val="20"/>
              </w:rPr>
              <w:t>The PBAC noted the substantial opportunity cost of listing apremilast for moderate to severe plaque psoriasis, particularly in the context of the uncertain treatment benefit over other systemic therapies.” (paragraph 7.9</w:t>
            </w:r>
            <w:r w:rsidRPr="0019793B">
              <w:rPr>
                <w:rFonts w:ascii="Arial Narrow" w:hAnsi="Arial Narrow"/>
                <w:sz w:val="20"/>
              </w:rPr>
              <w:t>)</w:t>
            </w:r>
          </w:p>
        </w:tc>
        <w:tc>
          <w:tcPr>
            <w:tcW w:w="1864" w:type="pct"/>
            <w:shd w:val="clear" w:color="auto" w:fill="auto"/>
          </w:tcPr>
          <w:p w:rsidR="00B11CE3" w:rsidRPr="0019793B" w:rsidRDefault="00650632" w:rsidP="00C37B58">
            <w:pPr>
              <w:keepNext/>
              <w:rPr>
                <w:rFonts w:ascii="Arial Narrow" w:hAnsi="Arial Narrow"/>
                <w:sz w:val="20"/>
              </w:rPr>
            </w:pPr>
            <w:r w:rsidRPr="0019793B">
              <w:rPr>
                <w:rFonts w:ascii="Arial Narrow" w:hAnsi="Arial Narrow"/>
                <w:sz w:val="20"/>
              </w:rPr>
              <w:t>Reduction in requested effective price and p</w:t>
            </w:r>
            <w:r w:rsidR="002A0540" w:rsidRPr="0019793B">
              <w:rPr>
                <w:rFonts w:ascii="Arial Narrow" w:hAnsi="Arial Narrow"/>
                <w:sz w:val="20"/>
              </w:rPr>
              <w:t>roposed risk sharing arrangement with two tiered financial cap.</w:t>
            </w:r>
          </w:p>
        </w:tc>
      </w:tr>
      <w:tr w:rsidR="00B11CE3" w:rsidRPr="0019793B" w:rsidTr="00494814">
        <w:trPr>
          <w:trHeight w:val="259"/>
        </w:trPr>
        <w:tc>
          <w:tcPr>
            <w:tcW w:w="3136" w:type="pct"/>
            <w:shd w:val="clear" w:color="auto" w:fill="auto"/>
          </w:tcPr>
          <w:p w:rsidR="00B11CE3" w:rsidRPr="0019793B" w:rsidRDefault="00B11CE3" w:rsidP="00C37B58">
            <w:pPr>
              <w:rPr>
                <w:rFonts w:ascii="Arial Narrow" w:hAnsi="Arial Narrow"/>
                <w:sz w:val="20"/>
              </w:rPr>
            </w:pPr>
            <w:r w:rsidRPr="0019793B">
              <w:rPr>
                <w:rFonts w:ascii="Arial Narrow" w:hAnsi="Arial Narrow"/>
                <w:sz w:val="20"/>
              </w:rPr>
              <w:t>“</w:t>
            </w:r>
            <w:r w:rsidR="00D30236" w:rsidRPr="0019793B">
              <w:rPr>
                <w:rFonts w:ascii="Arial Narrow" w:hAnsi="Arial Narrow"/>
                <w:sz w:val="20"/>
              </w:rPr>
              <w:t>…the utilisation estimates were likely to be underestimated due to limitations with the METIS survey, and the assumptions used to estimate the population eligible to receive apremilast.” (paragraph 7.9</w:t>
            </w:r>
            <w:r w:rsidRPr="0019793B">
              <w:rPr>
                <w:rFonts w:ascii="Arial Narrow" w:hAnsi="Arial Narrow"/>
                <w:sz w:val="20"/>
              </w:rPr>
              <w:t>)</w:t>
            </w:r>
          </w:p>
        </w:tc>
        <w:tc>
          <w:tcPr>
            <w:tcW w:w="1864" w:type="pct"/>
            <w:shd w:val="clear" w:color="auto" w:fill="auto"/>
          </w:tcPr>
          <w:p w:rsidR="00B11CE3" w:rsidRPr="0019793B" w:rsidRDefault="00E14668" w:rsidP="00C37B58">
            <w:pPr>
              <w:rPr>
                <w:rFonts w:ascii="Arial Narrow" w:hAnsi="Arial Narrow"/>
                <w:sz w:val="20"/>
              </w:rPr>
            </w:pPr>
            <w:r w:rsidRPr="0019793B">
              <w:rPr>
                <w:rFonts w:ascii="Arial Narrow" w:hAnsi="Arial Narrow"/>
                <w:sz w:val="20"/>
              </w:rPr>
              <w:t>Revised utilisation estimates</w:t>
            </w:r>
            <w:r w:rsidR="00463AFD" w:rsidRPr="0019793B">
              <w:rPr>
                <w:rFonts w:ascii="Arial Narrow" w:hAnsi="Arial Narrow"/>
                <w:sz w:val="20"/>
              </w:rPr>
              <w:t xml:space="preserve"> using a market share approach</w:t>
            </w:r>
            <w:r w:rsidR="00650632" w:rsidRPr="0019793B">
              <w:rPr>
                <w:rFonts w:ascii="Arial Narrow" w:hAnsi="Arial Narrow"/>
                <w:sz w:val="20"/>
              </w:rPr>
              <w:t xml:space="preserve"> and proposed risk sharing arrangement with two tiered financial cap.</w:t>
            </w:r>
          </w:p>
        </w:tc>
      </w:tr>
    </w:tbl>
    <w:p w:rsidR="00B11CE3" w:rsidRDefault="00B11CE3" w:rsidP="00ED78F1">
      <w:pPr>
        <w:pStyle w:val="TableFooter"/>
        <w:widowControl/>
        <w:ind w:left="709" w:firstLine="11"/>
      </w:pPr>
      <w:r w:rsidRPr="0019793B">
        <w:t xml:space="preserve">Source: Compiled during the evaluation. Paragraph references refer to the </w:t>
      </w:r>
      <w:r w:rsidR="00650632" w:rsidRPr="0019793B">
        <w:t xml:space="preserve">November 2016 apremilast </w:t>
      </w:r>
      <w:r w:rsidR="00ED78F1">
        <w:t>public summary document</w:t>
      </w:r>
      <w:r w:rsidR="00650632" w:rsidRPr="0019793B">
        <w:t>.</w:t>
      </w:r>
    </w:p>
    <w:p w:rsidR="003255BE" w:rsidRDefault="003255BE" w:rsidP="00685C10">
      <w:pPr>
        <w:pStyle w:val="TableFooter"/>
        <w:widowControl/>
        <w:ind w:firstLine="720"/>
      </w:pPr>
    </w:p>
    <w:p w:rsidR="00412AA4" w:rsidRPr="0019793B" w:rsidRDefault="00412AA4" w:rsidP="00412AA4">
      <w:pPr>
        <w:ind w:firstLine="720"/>
        <w:rPr>
          <w:rFonts w:ascii="Arial" w:hAnsi="Arial"/>
          <w:b/>
          <w:sz w:val="22"/>
          <w:szCs w:val="22"/>
        </w:rPr>
      </w:pPr>
      <w:r w:rsidRPr="00412AA4">
        <w:rPr>
          <w:rFonts w:ascii="Arial" w:hAnsi="Arial" w:cs="Arial"/>
          <w:bCs/>
          <w:i/>
          <w:sz w:val="22"/>
          <w:szCs w:val="22"/>
        </w:rPr>
        <w:t>For more detail on PBAC’s view, see section 7 “PBAC outcome”</w:t>
      </w:r>
    </w:p>
    <w:p w:rsidR="008A1956" w:rsidRDefault="008A1956" w:rsidP="00C37B58">
      <w:pPr>
        <w:jc w:val="both"/>
        <w:rPr>
          <w:rFonts w:ascii="Arial" w:hAnsi="Arial"/>
          <w:b/>
          <w:sz w:val="22"/>
          <w:szCs w:val="22"/>
        </w:rPr>
      </w:pPr>
    </w:p>
    <w:p w:rsidR="00AA4252" w:rsidRPr="0019793B" w:rsidRDefault="00AA4252" w:rsidP="00C37B58">
      <w:pPr>
        <w:jc w:val="both"/>
        <w:rPr>
          <w:rFonts w:ascii="Arial" w:hAnsi="Arial"/>
          <w:b/>
          <w:sz w:val="22"/>
          <w:szCs w:val="22"/>
        </w:rPr>
      </w:pPr>
    </w:p>
    <w:p w:rsidR="00CE10C4" w:rsidRPr="0019793B" w:rsidRDefault="00CE10C4" w:rsidP="00C37B58">
      <w:pPr>
        <w:pStyle w:val="PBACHeading1"/>
      </w:pPr>
      <w:r w:rsidRPr="0019793B">
        <w:t>Clinical place for the proposed ther</w:t>
      </w:r>
      <w:r w:rsidR="006A12A5" w:rsidRPr="0019793B">
        <w:t>apy</w:t>
      </w:r>
    </w:p>
    <w:p w:rsidR="00CE10C4" w:rsidRPr="0019793B" w:rsidRDefault="00CE10C4" w:rsidP="00C37B58">
      <w:pPr>
        <w:jc w:val="both"/>
        <w:rPr>
          <w:rFonts w:ascii="Arial" w:hAnsi="Arial"/>
          <w:sz w:val="22"/>
          <w:szCs w:val="22"/>
        </w:rPr>
      </w:pPr>
    </w:p>
    <w:p w:rsidR="000919AF" w:rsidRPr="0019793B" w:rsidRDefault="000919AF" w:rsidP="00C37B58">
      <w:pPr>
        <w:pStyle w:val="ListParagraph"/>
        <w:widowControl/>
        <w:numPr>
          <w:ilvl w:val="1"/>
          <w:numId w:val="5"/>
        </w:numPr>
        <w:rPr>
          <w:szCs w:val="22"/>
        </w:rPr>
      </w:pPr>
      <w:r w:rsidRPr="0019793B">
        <w:t xml:space="preserve">The resubmission proposed that apremilast be an alternative to cyclosporin for patients who failed to achieve an adequate response or are contraindicated to treatment with methotrexate. This differed to the previous resubmission which proposed that apremilast be an additional treatment option in the same line of therapy as cyclosporin, </w:t>
      </w:r>
      <w:r w:rsidRPr="0019793B">
        <w:rPr>
          <w:szCs w:val="22"/>
        </w:rPr>
        <w:t>methotrexate and acitretin.</w:t>
      </w:r>
    </w:p>
    <w:p w:rsidR="000919AF" w:rsidRPr="0019793B" w:rsidRDefault="000919AF" w:rsidP="00C37B58">
      <w:pPr>
        <w:pStyle w:val="ListParagraph"/>
        <w:widowControl/>
        <w:rPr>
          <w:szCs w:val="22"/>
        </w:rPr>
      </w:pPr>
    </w:p>
    <w:p w:rsidR="000919AF" w:rsidRPr="0019793B" w:rsidRDefault="000919AF" w:rsidP="00C37B58">
      <w:pPr>
        <w:pStyle w:val="ListParagraph"/>
        <w:widowControl/>
        <w:numPr>
          <w:ilvl w:val="1"/>
          <w:numId w:val="5"/>
        </w:numPr>
        <w:rPr>
          <w:szCs w:val="22"/>
        </w:rPr>
      </w:pPr>
      <w:r w:rsidRPr="0019793B">
        <w:t xml:space="preserve">The </w:t>
      </w:r>
      <w:r w:rsidR="007352FC" w:rsidRPr="0019793B">
        <w:t xml:space="preserve">previous </w:t>
      </w:r>
      <w:r w:rsidRPr="0019793B">
        <w:t xml:space="preserve">resubmission proposed that apremilast be added to the ‘Conditions and criteria’ for the PBS authority application for PBS subsidised treatment with a biological agent for severe chronic plaque psoriasis. It was proposed </w:t>
      </w:r>
      <w:r w:rsidRPr="0019793B">
        <w:rPr>
          <w:iCs/>
        </w:rPr>
        <w:t xml:space="preserve">(changes are underlined) </w:t>
      </w:r>
      <w:r w:rsidRPr="0019793B">
        <w:t xml:space="preserve">that apremilast be included such that patients seeking to access PBS subsidised treatment with a biological agent for severe plaque psoriasis be required to have failed to achieve an adequate response to three of the following </w:t>
      </w:r>
      <w:r w:rsidRPr="0019793B">
        <w:rPr>
          <w:u w:val="single"/>
        </w:rPr>
        <w:t>five</w:t>
      </w:r>
      <w:r w:rsidRPr="0019793B">
        <w:t xml:space="preserve"> </w:t>
      </w:r>
      <w:r w:rsidRPr="0019793B">
        <w:rPr>
          <w:iCs/>
        </w:rPr>
        <w:t>(currently four)</w:t>
      </w:r>
      <w:r w:rsidRPr="0019793B">
        <w:t xml:space="preserve"> treatments: phototherapy, methotrexate, cyclosporin, acitretin, and </w:t>
      </w:r>
      <w:r w:rsidRPr="0019793B">
        <w:rPr>
          <w:u w:val="single"/>
        </w:rPr>
        <w:t>apremilast</w:t>
      </w:r>
      <w:r w:rsidRPr="0019793B">
        <w:t>.</w:t>
      </w:r>
      <w:r w:rsidR="004D30A9" w:rsidRPr="0019793B">
        <w:t xml:space="preserve"> The minor resubmission did not </w:t>
      </w:r>
      <w:r w:rsidR="00706177" w:rsidRPr="0019793B">
        <w:t xml:space="preserve">indicate a </w:t>
      </w:r>
      <w:r w:rsidR="004D30A9" w:rsidRPr="0019793B">
        <w:t xml:space="preserve">change </w:t>
      </w:r>
      <w:r w:rsidR="00706177" w:rsidRPr="0019793B">
        <w:t xml:space="preserve">to </w:t>
      </w:r>
      <w:r w:rsidR="004D30A9" w:rsidRPr="0019793B">
        <w:t>this proposal</w:t>
      </w:r>
      <w:r w:rsidR="00650632" w:rsidRPr="0019793B">
        <w:t>.</w:t>
      </w:r>
    </w:p>
    <w:p w:rsidR="008A1956" w:rsidRDefault="008A1956" w:rsidP="00C37B58">
      <w:pPr>
        <w:pStyle w:val="Header"/>
        <w:tabs>
          <w:tab w:val="clear" w:pos="4153"/>
          <w:tab w:val="clear" w:pos="8306"/>
        </w:tabs>
        <w:jc w:val="both"/>
        <w:rPr>
          <w:rFonts w:ascii="Arial" w:hAnsi="Arial"/>
          <w:sz w:val="22"/>
          <w:szCs w:val="22"/>
        </w:rPr>
      </w:pPr>
    </w:p>
    <w:p w:rsidR="00C6105D" w:rsidRDefault="00C6105D" w:rsidP="00C6105D">
      <w:pPr>
        <w:pStyle w:val="Header"/>
        <w:tabs>
          <w:tab w:val="clear" w:pos="4153"/>
          <w:tab w:val="clear" w:pos="8306"/>
        </w:tabs>
        <w:ind w:firstLine="720"/>
        <w:jc w:val="both"/>
        <w:rPr>
          <w:rFonts w:ascii="Arial" w:hAnsi="Arial" w:cs="Arial"/>
          <w:bCs/>
          <w:i/>
          <w:sz w:val="22"/>
          <w:szCs w:val="22"/>
        </w:rPr>
      </w:pPr>
      <w:r w:rsidRPr="00CA654E">
        <w:rPr>
          <w:rFonts w:ascii="Arial" w:hAnsi="Arial" w:cs="Arial"/>
          <w:bCs/>
          <w:i/>
          <w:sz w:val="22"/>
          <w:szCs w:val="22"/>
        </w:rPr>
        <w:t>For more detail on PBAC’s view, see section 7 “PBAC outcome”</w:t>
      </w:r>
    </w:p>
    <w:p w:rsidR="00C6105D" w:rsidRDefault="00C6105D" w:rsidP="00C37B58">
      <w:pPr>
        <w:pStyle w:val="Header"/>
        <w:tabs>
          <w:tab w:val="clear" w:pos="4153"/>
          <w:tab w:val="clear" w:pos="8306"/>
        </w:tabs>
        <w:jc w:val="both"/>
        <w:rPr>
          <w:rFonts w:ascii="Arial" w:hAnsi="Arial"/>
          <w:sz w:val="22"/>
          <w:szCs w:val="22"/>
        </w:rPr>
      </w:pPr>
    </w:p>
    <w:p w:rsidR="00AA4252" w:rsidRPr="0019793B" w:rsidRDefault="00AA4252" w:rsidP="00C37B58">
      <w:pPr>
        <w:pStyle w:val="Header"/>
        <w:tabs>
          <w:tab w:val="clear" w:pos="4153"/>
          <w:tab w:val="clear" w:pos="8306"/>
        </w:tabs>
        <w:jc w:val="both"/>
        <w:rPr>
          <w:rFonts w:ascii="Arial" w:hAnsi="Arial"/>
          <w:sz w:val="22"/>
          <w:szCs w:val="22"/>
        </w:rPr>
      </w:pPr>
    </w:p>
    <w:p w:rsidR="005A3173" w:rsidRPr="0019793B" w:rsidRDefault="005A3173" w:rsidP="00C37B58">
      <w:pPr>
        <w:pStyle w:val="PBACHeading1"/>
        <w:keepNext/>
      </w:pPr>
      <w:r w:rsidRPr="0019793B">
        <w:t>Comparator</w:t>
      </w:r>
    </w:p>
    <w:p w:rsidR="005A3173" w:rsidRPr="0019793B" w:rsidRDefault="005A3173" w:rsidP="00C37B58">
      <w:pPr>
        <w:pStyle w:val="Header"/>
        <w:keepNext/>
        <w:tabs>
          <w:tab w:val="clear" w:pos="4153"/>
          <w:tab w:val="clear" w:pos="8306"/>
        </w:tabs>
        <w:jc w:val="both"/>
        <w:rPr>
          <w:rFonts w:ascii="Arial" w:hAnsi="Arial"/>
          <w:b/>
          <w:sz w:val="22"/>
          <w:szCs w:val="22"/>
        </w:rPr>
      </w:pPr>
    </w:p>
    <w:p w:rsidR="00C35996" w:rsidRPr="0019793B" w:rsidRDefault="00FF2801" w:rsidP="00C37B58">
      <w:pPr>
        <w:pStyle w:val="ListParagraph"/>
        <w:widowControl/>
        <w:numPr>
          <w:ilvl w:val="1"/>
          <w:numId w:val="5"/>
        </w:numPr>
        <w:rPr>
          <w:szCs w:val="22"/>
        </w:rPr>
      </w:pPr>
      <w:r w:rsidRPr="0019793B">
        <w:rPr>
          <w:szCs w:val="22"/>
        </w:rPr>
        <w:t xml:space="preserve">The </w:t>
      </w:r>
      <w:r w:rsidR="00015A7C" w:rsidRPr="0019793B">
        <w:rPr>
          <w:szCs w:val="22"/>
        </w:rPr>
        <w:t>previous re</w:t>
      </w:r>
      <w:r w:rsidRPr="0019793B">
        <w:rPr>
          <w:szCs w:val="22"/>
        </w:rPr>
        <w:t>submission nominated</w:t>
      </w:r>
      <w:r w:rsidR="00015A7C" w:rsidRPr="0019793B">
        <w:rPr>
          <w:szCs w:val="22"/>
        </w:rPr>
        <w:t xml:space="preserve"> cyclosporin as the main comparator.</w:t>
      </w:r>
      <w:r w:rsidR="00533023" w:rsidRPr="0019793B">
        <w:rPr>
          <w:szCs w:val="22"/>
        </w:rPr>
        <w:t xml:space="preserve"> The PBAC accepted cyclosporin as the main comparator if apremilast was restricted to patients who have failed treatment with methotrexate. The minor resubmission did not change the main </w:t>
      </w:r>
      <w:r w:rsidR="009B71CB" w:rsidRPr="0019793B">
        <w:rPr>
          <w:szCs w:val="22"/>
        </w:rPr>
        <w:t>comparator.</w:t>
      </w:r>
    </w:p>
    <w:p w:rsidR="008A1956" w:rsidRDefault="008A1956" w:rsidP="00C37B58">
      <w:pPr>
        <w:jc w:val="both"/>
        <w:rPr>
          <w:rFonts w:ascii="Arial" w:hAnsi="Arial"/>
          <w:sz w:val="22"/>
          <w:szCs w:val="22"/>
        </w:rPr>
      </w:pPr>
    </w:p>
    <w:p w:rsidR="00C6105D" w:rsidRDefault="00C6105D" w:rsidP="00C6105D">
      <w:pPr>
        <w:ind w:left="720"/>
        <w:jc w:val="both"/>
        <w:rPr>
          <w:rFonts w:ascii="Arial" w:hAnsi="Arial" w:cs="Arial"/>
          <w:bCs/>
          <w:i/>
          <w:sz w:val="22"/>
          <w:szCs w:val="22"/>
        </w:rPr>
      </w:pPr>
      <w:r w:rsidRPr="0051476A">
        <w:rPr>
          <w:rFonts w:ascii="Arial" w:hAnsi="Arial" w:cs="Arial"/>
          <w:bCs/>
          <w:i/>
          <w:sz w:val="22"/>
          <w:szCs w:val="22"/>
        </w:rPr>
        <w:t>For more detail on PBAC’s view, see section 7 “PBAC outcome”</w:t>
      </w:r>
    </w:p>
    <w:p w:rsidR="00C6105D" w:rsidRDefault="00C6105D" w:rsidP="00C6105D">
      <w:pPr>
        <w:ind w:left="720"/>
        <w:jc w:val="both"/>
        <w:rPr>
          <w:rFonts w:ascii="Arial" w:hAnsi="Arial"/>
          <w:sz w:val="22"/>
          <w:szCs w:val="22"/>
        </w:rPr>
      </w:pPr>
    </w:p>
    <w:p w:rsidR="00AA4252" w:rsidRPr="0019793B" w:rsidRDefault="00AA4252" w:rsidP="00C6105D">
      <w:pPr>
        <w:ind w:left="720"/>
        <w:jc w:val="both"/>
        <w:rPr>
          <w:rFonts w:ascii="Arial" w:hAnsi="Arial"/>
          <w:sz w:val="22"/>
          <w:szCs w:val="22"/>
        </w:rPr>
      </w:pPr>
    </w:p>
    <w:p w:rsidR="000B558D" w:rsidRPr="0019793B" w:rsidRDefault="008D7A41" w:rsidP="00C37B58">
      <w:pPr>
        <w:pStyle w:val="PBACHeading1"/>
      </w:pPr>
      <w:r w:rsidRPr="0019793B">
        <w:t>C</w:t>
      </w:r>
      <w:r w:rsidR="00D84934" w:rsidRPr="0019793B">
        <w:t>onsideration of the evidence</w:t>
      </w:r>
    </w:p>
    <w:p w:rsidR="00BB7EC3" w:rsidRPr="0019793B" w:rsidRDefault="00BB7EC3" w:rsidP="00C37B58">
      <w:pPr>
        <w:jc w:val="both"/>
        <w:rPr>
          <w:rFonts w:ascii="Arial" w:hAnsi="Arial"/>
          <w:sz w:val="22"/>
          <w:szCs w:val="22"/>
        </w:rPr>
      </w:pPr>
    </w:p>
    <w:p w:rsidR="007B0767" w:rsidRPr="00BE080A" w:rsidRDefault="007B0767" w:rsidP="00BE080A">
      <w:pPr>
        <w:pStyle w:val="Heading2"/>
        <w:rPr>
          <w:b w:val="0"/>
          <w:i w:val="0"/>
        </w:rPr>
      </w:pPr>
      <w:r w:rsidRPr="00BE080A">
        <w:t>Sponsor hearing</w:t>
      </w:r>
    </w:p>
    <w:p w:rsidR="007B0767" w:rsidRPr="00323B0F" w:rsidRDefault="007B0767" w:rsidP="007B0767">
      <w:pPr>
        <w:rPr>
          <w:rFonts w:ascii="Arial" w:hAnsi="Arial" w:cs="Arial"/>
          <w:b/>
          <w:bCs/>
          <w:snapToGrid w:val="0"/>
          <w:sz w:val="22"/>
          <w:szCs w:val="22"/>
        </w:rPr>
      </w:pPr>
    </w:p>
    <w:p w:rsidR="007B0767" w:rsidRPr="00323B0F" w:rsidRDefault="007B0767" w:rsidP="00C37B58">
      <w:pPr>
        <w:numPr>
          <w:ilvl w:val="1"/>
          <w:numId w:val="5"/>
        </w:numPr>
        <w:rPr>
          <w:rFonts w:ascii="Arial" w:hAnsi="Arial" w:cs="Arial"/>
          <w:bCs/>
          <w:snapToGrid w:val="0"/>
          <w:sz w:val="22"/>
          <w:szCs w:val="22"/>
        </w:rPr>
      </w:pPr>
      <w:r w:rsidRPr="00323B0F">
        <w:rPr>
          <w:rFonts w:ascii="Arial" w:hAnsi="Arial" w:cs="Arial"/>
          <w:bCs/>
          <w:snapToGrid w:val="0"/>
          <w:sz w:val="22"/>
          <w:szCs w:val="22"/>
        </w:rPr>
        <w:t>There was no hearing for this item as it was a minor su</w:t>
      </w:r>
      <w:r w:rsidR="00323B0F" w:rsidRPr="00323B0F">
        <w:rPr>
          <w:rFonts w:ascii="Arial" w:hAnsi="Arial" w:cs="Arial"/>
          <w:bCs/>
          <w:snapToGrid w:val="0"/>
          <w:sz w:val="22"/>
          <w:szCs w:val="22"/>
        </w:rPr>
        <w:t>bmission.</w:t>
      </w:r>
    </w:p>
    <w:p w:rsidR="007B0767" w:rsidRDefault="007B0767" w:rsidP="007B0767">
      <w:pPr>
        <w:pStyle w:val="ListParagraph"/>
        <w:rPr>
          <w:bCs/>
          <w:szCs w:val="22"/>
          <w:highlight w:val="yellow"/>
        </w:rPr>
      </w:pPr>
    </w:p>
    <w:p w:rsidR="007B0767" w:rsidRPr="00BE080A" w:rsidRDefault="007B0767" w:rsidP="00BE080A">
      <w:pPr>
        <w:pStyle w:val="Heading2"/>
        <w:rPr>
          <w:b w:val="0"/>
          <w:i w:val="0"/>
        </w:rPr>
      </w:pPr>
      <w:r w:rsidRPr="00BE080A">
        <w:t>Consumer comments</w:t>
      </w:r>
    </w:p>
    <w:p w:rsidR="007B0767" w:rsidRPr="00323B0F" w:rsidRDefault="007B0767" w:rsidP="007B0767">
      <w:pPr>
        <w:rPr>
          <w:rFonts w:ascii="Arial" w:hAnsi="Arial" w:cs="Arial"/>
          <w:b/>
          <w:bCs/>
          <w:snapToGrid w:val="0"/>
          <w:sz w:val="22"/>
          <w:szCs w:val="22"/>
        </w:rPr>
      </w:pPr>
    </w:p>
    <w:p w:rsidR="007B0767" w:rsidRPr="00323B0F" w:rsidRDefault="007B0767" w:rsidP="00323B0F">
      <w:pPr>
        <w:widowControl w:val="0"/>
        <w:numPr>
          <w:ilvl w:val="1"/>
          <w:numId w:val="5"/>
        </w:numPr>
        <w:jc w:val="both"/>
        <w:rPr>
          <w:rFonts w:ascii="Arial" w:hAnsi="Arial" w:cs="Arial"/>
          <w:bCs/>
          <w:snapToGrid w:val="0"/>
          <w:sz w:val="22"/>
          <w:szCs w:val="20"/>
          <w:lang w:val="en-GB"/>
        </w:rPr>
      </w:pPr>
      <w:r w:rsidRPr="00323B0F">
        <w:rPr>
          <w:rFonts w:ascii="Arial" w:hAnsi="Arial" w:cs="Arial"/>
          <w:bCs/>
          <w:snapToGrid w:val="0"/>
          <w:sz w:val="22"/>
          <w:szCs w:val="22"/>
        </w:rPr>
        <w:t>The PBAC noted that no consumer comme</w:t>
      </w:r>
      <w:r w:rsidR="00323B0F" w:rsidRPr="00323B0F">
        <w:rPr>
          <w:rFonts w:ascii="Arial" w:hAnsi="Arial" w:cs="Arial"/>
          <w:bCs/>
          <w:snapToGrid w:val="0"/>
          <w:sz w:val="22"/>
          <w:szCs w:val="22"/>
        </w:rPr>
        <w:t>nts were received for this item</w:t>
      </w:r>
      <w:r w:rsidR="00B751F3">
        <w:rPr>
          <w:rFonts w:ascii="Arial" w:hAnsi="Arial" w:cs="Arial"/>
          <w:bCs/>
          <w:snapToGrid w:val="0"/>
          <w:sz w:val="22"/>
          <w:szCs w:val="22"/>
        </w:rPr>
        <w:t>.</w:t>
      </w:r>
    </w:p>
    <w:p w:rsidR="007B0767" w:rsidRPr="00BE080A" w:rsidRDefault="007B0767" w:rsidP="00BE080A">
      <w:pPr>
        <w:pStyle w:val="ListParagraph"/>
        <w:rPr>
          <w:bCs/>
          <w:szCs w:val="22"/>
          <w:highlight w:val="yellow"/>
        </w:rPr>
      </w:pPr>
    </w:p>
    <w:p w:rsidR="00D84934" w:rsidRPr="0019793B" w:rsidRDefault="00D84934" w:rsidP="00C37B58">
      <w:pPr>
        <w:pStyle w:val="Heading2"/>
      </w:pPr>
      <w:r w:rsidRPr="0019793B">
        <w:t>Clinical trials</w:t>
      </w:r>
    </w:p>
    <w:p w:rsidR="00D84934" w:rsidRPr="0019793B" w:rsidRDefault="00D84934" w:rsidP="00C37B58">
      <w:pPr>
        <w:jc w:val="both"/>
        <w:rPr>
          <w:rFonts w:ascii="Arial" w:hAnsi="Arial"/>
          <w:sz w:val="22"/>
          <w:szCs w:val="22"/>
        </w:rPr>
      </w:pPr>
    </w:p>
    <w:p w:rsidR="004B7F53" w:rsidRPr="004B7F53" w:rsidRDefault="00CF6805" w:rsidP="00C37B58">
      <w:pPr>
        <w:pStyle w:val="ListParagraph"/>
        <w:widowControl/>
        <w:numPr>
          <w:ilvl w:val="1"/>
          <w:numId w:val="5"/>
        </w:numPr>
        <w:rPr>
          <w:szCs w:val="22"/>
        </w:rPr>
      </w:pPr>
      <w:r w:rsidRPr="0019793B">
        <w:rPr>
          <w:szCs w:val="22"/>
        </w:rPr>
        <w:t>N</w:t>
      </w:r>
      <w:r w:rsidR="00625556" w:rsidRPr="0019793B">
        <w:rPr>
          <w:szCs w:val="22"/>
        </w:rPr>
        <w:t>o new</w:t>
      </w:r>
      <w:r w:rsidR="0076420C" w:rsidRPr="0019793B">
        <w:rPr>
          <w:szCs w:val="22"/>
        </w:rPr>
        <w:t xml:space="preserve"> clinical trials </w:t>
      </w:r>
      <w:r w:rsidR="00FF2801" w:rsidRPr="0019793B">
        <w:rPr>
          <w:szCs w:val="22"/>
        </w:rPr>
        <w:t>were</w:t>
      </w:r>
      <w:r w:rsidR="00625556" w:rsidRPr="0019793B">
        <w:rPr>
          <w:szCs w:val="22"/>
        </w:rPr>
        <w:t xml:space="preserve"> presented in the </w:t>
      </w:r>
      <w:r w:rsidRPr="0019793B">
        <w:rPr>
          <w:szCs w:val="22"/>
        </w:rPr>
        <w:t xml:space="preserve">minor </w:t>
      </w:r>
      <w:r w:rsidR="00625556" w:rsidRPr="0019793B">
        <w:rPr>
          <w:szCs w:val="22"/>
        </w:rPr>
        <w:t>re</w:t>
      </w:r>
      <w:r w:rsidR="0076420C" w:rsidRPr="0019793B">
        <w:rPr>
          <w:szCs w:val="22"/>
        </w:rPr>
        <w:t>submission.</w:t>
      </w:r>
      <w:r w:rsidR="00F34C19" w:rsidRPr="0019793B">
        <w:rPr>
          <w:szCs w:val="22"/>
        </w:rPr>
        <w:t xml:space="preserve"> </w:t>
      </w:r>
      <w:r w:rsidR="00F34C19" w:rsidRPr="0019793B">
        <w:t>The November 2016 resubmission was largely based on one pivotal real-world US study of claims data comparing apremilast to cyclosporin (US MarketScan® databases; n=5,592), and three supportive apremilast single-arm studies (Australian Otezla® Product Familiarisation Program, German IMS longitudinal prescription tracking, and Canadian ez Start program; n=3,296). The November 2016 resubmission also presented three head-to-head trials comparing apremilast to placebo (ESTEEM-1, ESTEEM-2, LIBERATE; n=1,424).</w:t>
      </w:r>
    </w:p>
    <w:p w:rsidR="004B7F53" w:rsidRPr="004B7F53" w:rsidRDefault="004B7F53" w:rsidP="004B7F53">
      <w:pPr>
        <w:pStyle w:val="ListParagraph"/>
        <w:widowControl/>
        <w:rPr>
          <w:szCs w:val="22"/>
        </w:rPr>
      </w:pPr>
    </w:p>
    <w:p w:rsidR="0076420C" w:rsidRPr="0019793B" w:rsidRDefault="004B7F53" w:rsidP="00C37B58">
      <w:pPr>
        <w:pStyle w:val="ListParagraph"/>
        <w:widowControl/>
        <w:numPr>
          <w:ilvl w:val="1"/>
          <w:numId w:val="5"/>
        </w:numPr>
        <w:rPr>
          <w:szCs w:val="22"/>
        </w:rPr>
      </w:pPr>
      <w:r w:rsidRPr="0019793B">
        <w:rPr>
          <w:szCs w:val="22"/>
        </w:rPr>
        <w:t xml:space="preserve"> </w:t>
      </w:r>
      <w:r w:rsidR="00CF6805" w:rsidRPr="0019793B">
        <w:rPr>
          <w:szCs w:val="22"/>
        </w:rPr>
        <w:t>The minor re</w:t>
      </w:r>
      <w:r w:rsidR="0076420C" w:rsidRPr="0019793B">
        <w:rPr>
          <w:szCs w:val="22"/>
        </w:rPr>
        <w:t xml:space="preserve">submission </w:t>
      </w:r>
      <w:r w:rsidR="00FF2801" w:rsidRPr="0019793B">
        <w:rPr>
          <w:szCs w:val="22"/>
        </w:rPr>
        <w:t>sought</w:t>
      </w:r>
      <w:r w:rsidR="0076420C" w:rsidRPr="0019793B">
        <w:rPr>
          <w:szCs w:val="22"/>
        </w:rPr>
        <w:t xml:space="preserve"> to </w:t>
      </w:r>
      <w:r w:rsidR="00CF6805" w:rsidRPr="0019793B">
        <w:rPr>
          <w:szCs w:val="22"/>
        </w:rPr>
        <w:t>address the PBAC’s previous concerns with a change to the requested restriction, a reduction in the published and effective prices of apremilast and a two-tiered financial risk sharing arrangement</w:t>
      </w:r>
      <w:r w:rsidR="00D62EA0">
        <w:rPr>
          <w:szCs w:val="22"/>
        </w:rPr>
        <w:t xml:space="preserve"> (RSA)</w:t>
      </w:r>
      <w:r w:rsidR="00CF6805" w:rsidRPr="0019793B">
        <w:rPr>
          <w:szCs w:val="22"/>
        </w:rPr>
        <w:t>.</w:t>
      </w:r>
    </w:p>
    <w:p w:rsidR="00FA6055" w:rsidRPr="0019793B" w:rsidRDefault="00FA6055" w:rsidP="00C37B58">
      <w:pPr>
        <w:jc w:val="both"/>
        <w:rPr>
          <w:rFonts w:ascii="Arial" w:hAnsi="Arial"/>
          <w:sz w:val="22"/>
          <w:szCs w:val="22"/>
        </w:rPr>
      </w:pPr>
    </w:p>
    <w:p w:rsidR="005A3173" w:rsidRPr="0019793B" w:rsidRDefault="005A3173" w:rsidP="00C37B58">
      <w:pPr>
        <w:pStyle w:val="Heading2"/>
      </w:pPr>
      <w:r w:rsidRPr="0019793B">
        <w:t>Clinical claim</w:t>
      </w:r>
    </w:p>
    <w:p w:rsidR="005A3173" w:rsidRPr="0019793B" w:rsidRDefault="005A3173" w:rsidP="00C37B58">
      <w:pPr>
        <w:ind w:left="720" w:hanging="720"/>
        <w:jc w:val="both"/>
        <w:rPr>
          <w:rFonts w:ascii="Arial" w:hAnsi="Arial"/>
          <w:sz w:val="22"/>
          <w:szCs w:val="22"/>
        </w:rPr>
      </w:pPr>
    </w:p>
    <w:p w:rsidR="00F34C19" w:rsidRPr="0019793B" w:rsidRDefault="00F34C19" w:rsidP="00C37B58">
      <w:pPr>
        <w:pStyle w:val="ListParagraph"/>
        <w:widowControl/>
        <w:numPr>
          <w:ilvl w:val="1"/>
          <w:numId w:val="5"/>
        </w:numPr>
        <w:rPr>
          <w:szCs w:val="22"/>
        </w:rPr>
      </w:pPr>
      <w:r w:rsidRPr="0019793B">
        <w:rPr>
          <w:szCs w:val="22"/>
        </w:rPr>
        <w:t xml:space="preserve">The March 2015 major submission described apremilast as </w:t>
      </w:r>
      <w:r w:rsidR="00B751F3">
        <w:rPr>
          <w:szCs w:val="22"/>
        </w:rPr>
        <w:t xml:space="preserve">having </w:t>
      </w:r>
      <w:r w:rsidRPr="0019793B">
        <w:rPr>
          <w:szCs w:val="22"/>
        </w:rPr>
        <w:t>non-inferior effectiveness and superior safety compared with cyclosporin. The PBAC previously considered that neither of these claims had been adequately supported (paragraph</w:t>
      </w:r>
      <w:r w:rsidR="007A6E68" w:rsidRPr="0019793B">
        <w:rPr>
          <w:szCs w:val="22"/>
        </w:rPr>
        <w:t xml:space="preserve"> </w:t>
      </w:r>
      <w:r w:rsidRPr="0019793B">
        <w:rPr>
          <w:szCs w:val="22"/>
        </w:rPr>
        <w:t xml:space="preserve">7.4-7.5, March 2015 </w:t>
      </w:r>
      <w:r w:rsidR="00CF0B02" w:rsidRPr="0019793B">
        <w:rPr>
          <w:szCs w:val="22"/>
        </w:rPr>
        <w:t>Public Summary Document</w:t>
      </w:r>
      <w:r w:rsidRPr="0019793B">
        <w:rPr>
          <w:szCs w:val="22"/>
        </w:rPr>
        <w:t>)</w:t>
      </w:r>
      <w:r w:rsidR="00464B60" w:rsidRPr="0019793B">
        <w:rPr>
          <w:szCs w:val="22"/>
        </w:rPr>
        <w:t>.</w:t>
      </w:r>
    </w:p>
    <w:p w:rsidR="00F34C19" w:rsidRPr="0019793B" w:rsidRDefault="00F34C19" w:rsidP="00C37B58">
      <w:pPr>
        <w:rPr>
          <w:szCs w:val="22"/>
        </w:rPr>
      </w:pPr>
    </w:p>
    <w:p w:rsidR="00A27184" w:rsidRDefault="00F34C19" w:rsidP="00A27184">
      <w:pPr>
        <w:pStyle w:val="ListParagraph"/>
        <w:widowControl/>
        <w:numPr>
          <w:ilvl w:val="1"/>
          <w:numId w:val="5"/>
        </w:numPr>
        <w:rPr>
          <w:szCs w:val="22"/>
        </w:rPr>
      </w:pPr>
      <w:r w:rsidRPr="0019793B">
        <w:rPr>
          <w:szCs w:val="22"/>
        </w:rPr>
        <w:t xml:space="preserve">The November 2016 major resubmission revised the clinical claim to describe apremilast as superior </w:t>
      </w:r>
      <w:r w:rsidR="00B751F3">
        <w:rPr>
          <w:szCs w:val="22"/>
        </w:rPr>
        <w:t xml:space="preserve">to </w:t>
      </w:r>
      <w:r w:rsidR="00B751F3" w:rsidRPr="0019793B">
        <w:rPr>
          <w:szCs w:val="22"/>
        </w:rPr>
        <w:t xml:space="preserve">cyclosporin </w:t>
      </w:r>
      <w:r w:rsidRPr="0019793B">
        <w:rPr>
          <w:szCs w:val="22"/>
        </w:rPr>
        <w:t>in terms of comparative effectiveness and safety. The revision to the clinical claim was based on a real-wo</w:t>
      </w:r>
      <w:r w:rsidR="00DA1BF6" w:rsidRPr="0019793B">
        <w:rPr>
          <w:szCs w:val="22"/>
        </w:rPr>
        <w:t>rld, non</w:t>
      </w:r>
      <w:r w:rsidR="00DA1BF6" w:rsidRPr="0019793B">
        <w:rPr>
          <w:szCs w:val="22"/>
        </w:rPr>
        <w:noBreakHyphen/>
      </w:r>
      <w:r w:rsidRPr="0019793B">
        <w:rPr>
          <w:szCs w:val="22"/>
        </w:rPr>
        <w:t>randomised US study of comparative persistence rates and supportive analyses of persistence from medicine access programs in Australia, Canada and Germany. The PBAC considered that the applicability of the non-randomised US persistence data presented in the submission to the likely PBS use of apremilast was unclear. Furthermore, the submission did not demonstrate that apremilast was associated with improvements in health outcomes relevant to psoriasis (compared with cyclosporin). In this regard, the PBAC noted that the indirect comparison of clinical trial evidence suggested that there is no statistically significant difference in the proportion of patients achieving PASI 75 response at 16 weeks for apremilast versus 10 weeks for cyclosporin. Overall, the PBAC considered that the non-randomised persistence data was relevant supportive information, but that it was an insufficient basis to support the claim of superiority in comp</w:t>
      </w:r>
      <w:r w:rsidR="00464B60" w:rsidRPr="0019793B">
        <w:rPr>
          <w:szCs w:val="22"/>
        </w:rPr>
        <w:t>arative effectiveness or safety</w:t>
      </w:r>
      <w:r w:rsidRPr="0019793B">
        <w:rPr>
          <w:szCs w:val="22"/>
        </w:rPr>
        <w:t xml:space="preserve"> (paragraph 7.7, November 2016 </w:t>
      </w:r>
      <w:r w:rsidR="00ED78F1" w:rsidRPr="0019793B">
        <w:rPr>
          <w:szCs w:val="22"/>
        </w:rPr>
        <w:t>Public Summary Document</w:t>
      </w:r>
      <w:r w:rsidRPr="0019793B">
        <w:rPr>
          <w:szCs w:val="22"/>
        </w:rPr>
        <w:t>)</w:t>
      </w:r>
      <w:r w:rsidR="00464B60" w:rsidRPr="0019793B">
        <w:rPr>
          <w:szCs w:val="22"/>
        </w:rPr>
        <w:t>.</w:t>
      </w:r>
    </w:p>
    <w:p w:rsidR="00A27184" w:rsidRDefault="00A27184" w:rsidP="00A27184">
      <w:pPr>
        <w:pStyle w:val="ListParagraph"/>
        <w:widowControl/>
        <w:rPr>
          <w:szCs w:val="22"/>
        </w:rPr>
      </w:pPr>
    </w:p>
    <w:p w:rsidR="00B751F3" w:rsidRPr="00A27184" w:rsidRDefault="00BB7C9F" w:rsidP="00B751F3">
      <w:pPr>
        <w:pStyle w:val="ListParagraph"/>
        <w:widowControl/>
        <w:numPr>
          <w:ilvl w:val="1"/>
          <w:numId w:val="5"/>
        </w:numPr>
        <w:rPr>
          <w:szCs w:val="22"/>
        </w:rPr>
      </w:pPr>
      <w:r w:rsidRPr="00A27184">
        <w:rPr>
          <w:szCs w:val="22"/>
        </w:rPr>
        <w:t>The minor resubmission did not address the PBAC’s previous concerns with the clinical claim of superiority in effectiveness and safety compared with cyclosporin.</w:t>
      </w:r>
      <w:r w:rsidR="00B751F3">
        <w:rPr>
          <w:szCs w:val="22"/>
        </w:rPr>
        <w:t xml:space="preserve"> The sponsor argued in its pre-PBAC response that the non-randomised persistence data for apremilast and cyclosporin should be considered as primary evidence in the absence of more robust clinical trials comparing apremilast and cyclosporin.</w:t>
      </w:r>
    </w:p>
    <w:p w:rsidR="00A27184" w:rsidRPr="00A27184" w:rsidRDefault="00A27184" w:rsidP="00A27184">
      <w:pPr>
        <w:pStyle w:val="ListParagraph"/>
        <w:rPr>
          <w:szCs w:val="22"/>
        </w:rPr>
      </w:pPr>
    </w:p>
    <w:p w:rsidR="00A27184" w:rsidRPr="00A27184" w:rsidRDefault="00A27184" w:rsidP="00A27184">
      <w:pPr>
        <w:pStyle w:val="ListParagraph"/>
        <w:widowControl/>
        <w:numPr>
          <w:ilvl w:val="1"/>
          <w:numId w:val="5"/>
        </w:numPr>
        <w:rPr>
          <w:szCs w:val="22"/>
        </w:rPr>
      </w:pPr>
      <w:r>
        <w:rPr>
          <w:szCs w:val="22"/>
        </w:rPr>
        <w:t xml:space="preserve">The sponsor </w:t>
      </w:r>
      <w:r w:rsidR="00B751F3">
        <w:rPr>
          <w:szCs w:val="22"/>
        </w:rPr>
        <w:t xml:space="preserve">further </w:t>
      </w:r>
      <w:r>
        <w:rPr>
          <w:szCs w:val="22"/>
        </w:rPr>
        <w:t xml:space="preserve">stated in its </w:t>
      </w:r>
      <w:r w:rsidR="00B751F3">
        <w:rPr>
          <w:szCs w:val="22"/>
        </w:rPr>
        <w:t>p</w:t>
      </w:r>
      <w:r>
        <w:rPr>
          <w:szCs w:val="22"/>
        </w:rPr>
        <w:t xml:space="preserve">re-PBAC response that the intent of this minor resubmission </w:t>
      </w:r>
      <w:r w:rsidR="00B751F3">
        <w:rPr>
          <w:szCs w:val="22"/>
        </w:rPr>
        <w:t>wa</w:t>
      </w:r>
      <w:r>
        <w:rPr>
          <w:szCs w:val="22"/>
        </w:rPr>
        <w:t>s not to directly address clinical concerns raised by the PBAC in its consideration of the November 201</w:t>
      </w:r>
      <w:r w:rsidR="00391B69">
        <w:rPr>
          <w:szCs w:val="22"/>
        </w:rPr>
        <w:t>6</w:t>
      </w:r>
      <w:r>
        <w:rPr>
          <w:szCs w:val="22"/>
        </w:rPr>
        <w:t xml:space="preserve"> major resubmission, but to reduce the uncertainty to a level of cost-effectiveness that will enable </w:t>
      </w:r>
      <w:r w:rsidR="00391B69">
        <w:rPr>
          <w:szCs w:val="22"/>
        </w:rPr>
        <w:t>t</w:t>
      </w:r>
      <w:r>
        <w:rPr>
          <w:szCs w:val="22"/>
        </w:rPr>
        <w:t>he PBAC to make a positive recommendation.</w:t>
      </w:r>
    </w:p>
    <w:p w:rsidR="00F57A6D" w:rsidRDefault="00F57A6D" w:rsidP="00C37B58">
      <w:pPr>
        <w:ind w:left="720" w:hanging="720"/>
        <w:jc w:val="both"/>
        <w:rPr>
          <w:rFonts w:ascii="Arial" w:hAnsi="Arial"/>
          <w:sz w:val="22"/>
          <w:szCs w:val="22"/>
        </w:rPr>
      </w:pPr>
    </w:p>
    <w:p w:rsidR="00DD1757" w:rsidRPr="00DD1757" w:rsidRDefault="00DD1757" w:rsidP="00A928F8">
      <w:pPr>
        <w:pStyle w:val="ListParagraph"/>
        <w:widowControl/>
        <w:numPr>
          <w:ilvl w:val="1"/>
          <w:numId w:val="5"/>
        </w:numPr>
        <w:contextualSpacing w:val="0"/>
        <w:rPr>
          <w:bCs/>
        </w:rPr>
      </w:pPr>
      <w:r w:rsidRPr="00DD1757">
        <w:rPr>
          <w:bCs/>
          <w:szCs w:val="22"/>
        </w:rPr>
        <w:t xml:space="preserve">The PBAC considered that the claim of superior comparative effectiveness </w:t>
      </w:r>
      <w:r w:rsidR="00B751F3">
        <w:rPr>
          <w:bCs/>
          <w:szCs w:val="22"/>
        </w:rPr>
        <w:t xml:space="preserve">and safety </w:t>
      </w:r>
      <w:r w:rsidR="003241FA">
        <w:rPr>
          <w:bCs/>
          <w:szCs w:val="22"/>
        </w:rPr>
        <w:t>remained</w:t>
      </w:r>
      <w:r w:rsidR="003241FA" w:rsidRPr="00DD1757">
        <w:rPr>
          <w:bCs/>
          <w:szCs w:val="22"/>
        </w:rPr>
        <w:t xml:space="preserve"> </w:t>
      </w:r>
      <w:r w:rsidR="003241FA">
        <w:rPr>
          <w:bCs/>
          <w:szCs w:val="22"/>
        </w:rPr>
        <w:t>in</w:t>
      </w:r>
      <w:r w:rsidRPr="00DD1757">
        <w:rPr>
          <w:bCs/>
          <w:szCs w:val="22"/>
        </w:rPr>
        <w:t>adequately supported by the data.</w:t>
      </w:r>
    </w:p>
    <w:p w:rsidR="0022059F" w:rsidRPr="0019793B" w:rsidRDefault="0022059F" w:rsidP="00C37B58">
      <w:pPr>
        <w:ind w:left="720" w:hanging="720"/>
        <w:jc w:val="both"/>
        <w:rPr>
          <w:rFonts w:ascii="Arial" w:hAnsi="Arial"/>
          <w:sz w:val="22"/>
          <w:szCs w:val="22"/>
        </w:rPr>
      </w:pPr>
    </w:p>
    <w:p w:rsidR="005A3173" w:rsidRPr="0019793B" w:rsidRDefault="005A3173" w:rsidP="00F82D41">
      <w:pPr>
        <w:pStyle w:val="Heading2"/>
      </w:pPr>
      <w:r w:rsidRPr="0019793B">
        <w:t>Economic analysis</w:t>
      </w:r>
    </w:p>
    <w:p w:rsidR="005A3173" w:rsidRPr="0019793B" w:rsidRDefault="005A3173" w:rsidP="00F82D41">
      <w:pPr>
        <w:pStyle w:val="NoSpacing"/>
        <w:keepNext/>
      </w:pPr>
    </w:p>
    <w:p w:rsidR="00CF6805" w:rsidRPr="0019793B" w:rsidRDefault="00F34C19" w:rsidP="00C37B58">
      <w:pPr>
        <w:pStyle w:val="ListParagraph"/>
        <w:widowControl/>
        <w:numPr>
          <w:ilvl w:val="1"/>
          <w:numId w:val="5"/>
        </w:numPr>
        <w:rPr>
          <w:szCs w:val="22"/>
        </w:rPr>
      </w:pPr>
      <w:r w:rsidRPr="0019793B">
        <w:rPr>
          <w:szCs w:val="22"/>
        </w:rPr>
        <w:t>The November 2016 major</w:t>
      </w:r>
      <w:r w:rsidR="009B0F67" w:rsidRPr="0019793B">
        <w:rPr>
          <w:szCs w:val="22"/>
        </w:rPr>
        <w:t xml:space="preserve"> </w:t>
      </w:r>
      <w:r w:rsidRPr="0019793B">
        <w:rPr>
          <w:szCs w:val="22"/>
        </w:rPr>
        <w:t>re</w:t>
      </w:r>
      <w:r w:rsidR="009B0F67" w:rsidRPr="0019793B">
        <w:rPr>
          <w:szCs w:val="22"/>
        </w:rPr>
        <w:t xml:space="preserve">submission presented a cost-effectiveness analysis against </w:t>
      </w:r>
      <w:r w:rsidR="00CF6805" w:rsidRPr="0019793B">
        <w:rPr>
          <w:szCs w:val="22"/>
        </w:rPr>
        <w:t xml:space="preserve">cyclosporin. The PBAC considered that the economic model was uninformative for decision making given that it used non-randomised persistence data as an unsubstantiated proxy for the comparative effectiveness and safety of apremilast and cyclosporin. In addition, the PBAC considered the </w:t>
      </w:r>
      <w:r w:rsidR="006B37B3">
        <w:rPr>
          <w:szCs w:val="22"/>
        </w:rPr>
        <w:t>incremental cost effectiveness ratio (</w:t>
      </w:r>
      <w:r w:rsidR="00CF6805" w:rsidRPr="0019793B">
        <w:rPr>
          <w:szCs w:val="22"/>
        </w:rPr>
        <w:t>ICER</w:t>
      </w:r>
      <w:r w:rsidR="006B37B3">
        <w:rPr>
          <w:szCs w:val="22"/>
        </w:rPr>
        <w:t>)</w:t>
      </w:r>
      <w:r w:rsidR="00CF6805" w:rsidRPr="0019793B">
        <w:rPr>
          <w:szCs w:val="22"/>
        </w:rPr>
        <w:t xml:space="preserve"> for apremilast was uncertain due to the following issues:</w:t>
      </w:r>
    </w:p>
    <w:p w:rsidR="00CF6805" w:rsidRPr="0019793B" w:rsidRDefault="00CF6805" w:rsidP="00C37B58">
      <w:pPr>
        <w:pStyle w:val="ListParagraph"/>
        <w:widowControl/>
        <w:numPr>
          <w:ilvl w:val="1"/>
          <w:numId w:val="18"/>
        </w:numPr>
        <w:ind w:left="1134" w:hanging="425"/>
        <w:rPr>
          <w:szCs w:val="22"/>
        </w:rPr>
      </w:pPr>
      <w:r w:rsidRPr="0019793B">
        <w:rPr>
          <w:szCs w:val="22"/>
        </w:rPr>
        <w:t>Utilities were applied to treatment states, rather than health states defined by PASI and/or DLQI scores, which assumed that there was a constant treatment effect for all patients on apremilast regardless of symptom severity.</w:t>
      </w:r>
    </w:p>
    <w:p w:rsidR="00CF6805" w:rsidRPr="0019793B" w:rsidRDefault="00CF6805" w:rsidP="00C37B58">
      <w:pPr>
        <w:pStyle w:val="ListParagraph"/>
        <w:widowControl/>
        <w:numPr>
          <w:ilvl w:val="1"/>
          <w:numId w:val="18"/>
        </w:numPr>
        <w:ind w:left="1134" w:hanging="425"/>
        <w:rPr>
          <w:szCs w:val="22"/>
        </w:rPr>
      </w:pPr>
      <w:r w:rsidRPr="0019793B">
        <w:rPr>
          <w:szCs w:val="22"/>
        </w:rPr>
        <w:t>The model results were sensitive to changes in utility values and the difference between the utility values for apremilast (</w:t>
      </w:r>
      <w:r w:rsidR="00F17FFB">
        <w:rPr>
          <w:noProof/>
          <w:color w:val="000000"/>
          <w:szCs w:val="22"/>
          <w:highlight w:val="black"/>
        </w:rPr>
        <w:t>'''''''''''</w:t>
      </w:r>
      <w:r w:rsidRPr="0019793B">
        <w:rPr>
          <w:szCs w:val="22"/>
        </w:rPr>
        <w:t>) and the biologics (0.80) lacked face validity.</w:t>
      </w:r>
    </w:p>
    <w:p w:rsidR="00CF6805" w:rsidRPr="0019793B" w:rsidRDefault="00CF6805" w:rsidP="00C37B58">
      <w:pPr>
        <w:pStyle w:val="ListParagraph"/>
        <w:widowControl/>
        <w:numPr>
          <w:ilvl w:val="1"/>
          <w:numId w:val="18"/>
        </w:numPr>
        <w:ind w:left="1134" w:hanging="425"/>
        <w:rPr>
          <w:szCs w:val="22"/>
        </w:rPr>
      </w:pPr>
      <w:r w:rsidRPr="0019793B">
        <w:rPr>
          <w:szCs w:val="22"/>
        </w:rPr>
        <w:t>The costs for adverse events were not included in the model, and costs for physician visits (initiation of treatment) were omitted for apremilast.</w:t>
      </w:r>
    </w:p>
    <w:p w:rsidR="00CF6805" w:rsidRPr="0019793B" w:rsidRDefault="00CF6805" w:rsidP="00C37B58">
      <w:pPr>
        <w:pStyle w:val="ListParagraph"/>
        <w:widowControl/>
        <w:numPr>
          <w:ilvl w:val="1"/>
          <w:numId w:val="18"/>
        </w:numPr>
        <w:ind w:left="1134" w:hanging="425"/>
        <w:rPr>
          <w:szCs w:val="22"/>
        </w:rPr>
      </w:pPr>
      <w:r w:rsidRPr="0019793B">
        <w:rPr>
          <w:szCs w:val="22"/>
        </w:rPr>
        <w:t>It was not possible to test the sensitivity of the model to the time horizon beyond 10 years.</w:t>
      </w:r>
    </w:p>
    <w:p w:rsidR="007B4137" w:rsidRDefault="00CF6805" w:rsidP="007B4137">
      <w:pPr>
        <w:pStyle w:val="ListParagraph"/>
        <w:widowControl/>
        <w:rPr>
          <w:szCs w:val="22"/>
        </w:rPr>
      </w:pPr>
      <w:r w:rsidRPr="0019793B">
        <w:rPr>
          <w:szCs w:val="22"/>
        </w:rPr>
        <w:t>Notwithstanding these issues, in its consideration of the results of the economic model using the effective prices of biologics, the PBAC considered that the ICER at the requested price for apremilast was unacceptably high (November 2016</w:t>
      </w:r>
      <w:r w:rsidR="00ED78F1">
        <w:rPr>
          <w:szCs w:val="22"/>
        </w:rPr>
        <w:t xml:space="preserve"> Public Summary Document</w:t>
      </w:r>
      <w:r w:rsidRPr="0019793B">
        <w:rPr>
          <w:szCs w:val="22"/>
        </w:rPr>
        <w:t xml:space="preserve">, paragraph </w:t>
      </w:r>
      <w:r w:rsidR="00E06424">
        <w:rPr>
          <w:szCs w:val="22"/>
        </w:rPr>
        <w:t>7.8</w:t>
      </w:r>
      <w:r w:rsidRPr="0019793B">
        <w:rPr>
          <w:szCs w:val="22"/>
        </w:rPr>
        <w:t>).</w:t>
      </w:r>
    </w:p>
    <w:p w:rsidR="00D62EA0" w:rsidRDefault="00D62EA0" w:rsidP="007B4137">
      <w:pPr>
        <w:pStyle w:val="ListParagraph"/>
        <w:widowControl/>
        <w:rPr>
          <w:szCs w:val="22"/>
        </w:rPr>
      </w:pPr>
    </w:p>
    <w:p w:rsidR="009B0F67" w:rsidRPr="00BE080A" w:rsidRDefault="00CF6805" w:rsidP="00C37B58">
      <w:pPr>
        <w:pStyle w:val="ListParagraph"/>
        <w:widowControl/>
        <w:numPr>
          <w:ilvl w:val="1"/>
          <w:numId w:val="5"/>
        </w:numPr>
        <w:rPr>
          <w:i/>
          <w:szCs w:val="22"/>
        </w:rPr>
      </w:pPr>
      <w:r w:rsidRPr="0019793B">
        <w:rPr>
          <w:szCs w:val="22"/>
        </w:rPr>
        <w:t>The minor re</w:t>
      </w:r>
      <w:r w:rsidR="009B0F67" w:rsidRPr="0019793B">
        <w:rPr>
          <w:szCs w:val="22"/>
        </w:rPr>
        <w:t xml:space="preserve">submission </w:t>
      </w:r>
      <w:r w:rsidR="00FF2801" w:rsidRPr="0019793B">
        <w:rPr>
          <w:szCs w:val="22"/>
        </w:rPr>
        <w:t>did</w:t>
      </w:r>
      <w:r w:rsidR="009B0F67" w:rsidRPr="0019793B">
        <w:rPr>
          <w:szCs w:val="22"/>
        </w:rPr>
        <w:t xml:space="preserve"> not </w:t>
      </w:r>
      <w:r w:rsidR="00F97F93" w:rsidRPr="0019793B">
        <w:rPr>
          <w:szCs w:val="22"/>
        </w:rPr>
        <w:t xml:space="preserve">address the issues raised by the PBAC with regards to the economic model and did not present a revised ICER </w:t>
      </w:r>
      <w:r w:rsidRPr="0019793B">
        <w:rPr>
          <w:szCs w:val="22"/>
        </w:rPr>
        <w:t>usi</w:t>
      </w:r>
      <w:r w:rsidR="00F97F93" w:rsidRPr="0019793B">
        <w:rPr>
          <w:szCs w:val="22"/>
        </w:rPr>
        <w:t>ng the reduced effect</w:t>
      </w:r>
      <w:r w:rsidR="00F97F93" w:rsidRPr="007F7BB9">
        <w:rPr>
          <w:szCs w:val="22"/>
        </w:rPr>
        <w:t xml:space="preserve">ive price. </w:t>
      </w:r>
    </w:p>
    <w:p w:rsidR="00B45EC5" w:rsidRPr="00BE080A" w:rsidRDefault="00B45EC5" w:rsidP="00BE080A">
      <w:pPr>
        <w:pStyle w:val="ListParagraph"/>
        <w:widowControl/>
        <w:rPr>
          <w:i/>
          <w:szCs w:val="22"/>
        </w:rPr>
      </w:pPr>
    </w:p>
    <w:p w:rsidR="00337E19" w:rsidRPr="0019793B" w:rsidRDefault="00391B69" w:rsidP="00C37B58">
      <w:pPr>
        <w:pStyle w:val="ListParagraph"/>
        <w:widowControl/>
        <w:numPr>
          <w:ilvl w:val="1"/>
          <w:numId w:val="5"/>
        </w:numPr>
        <w:rPr>
          <w:i/>
          <w:szCs w:val="22"/>
        </w:rPr>
      </w:pPr>
      <w:r>
        <w:rPr>
          <w:szCs w:val="22"/>
        </w:rPr>
        <w:t xml:space="preserve">In </w:t>
      </w:r>
      <w:r w:rsidR="00870908">
        <w:rPr>
          <w:szCs w:val="22"/>
        </w:rPr>
        <w:t>its</w:t>
      </w:r>
      <w:r>
        <w:rPr>
          <w:szCs w:val="22"/>
        </w:rPr>
        <w:t xml:space="preserve"> </w:t>
      </w:r>
      <w:r w:rsidR="00870908">
        <w:rPr>
          <w:szCs w:val="22"/>
        </w:rPr>
        <w:t>p</w:t>
      </w:r>
      <w:r w:rsidR="00F20466">
        <w:rPr>
          <w:szCs w:val="22"/>
        </w:rPr>
        <w:t>re-PBAC respon</w:t>
      </w:r>
      <w:r w:rsidR="00B45EC5">
        <w:rPr>
          <w:szCs w:val="22"/>
        </w:rPr>
        <w:t>s</w:t>
      </w:r>
      <w:r w:rsidR="00F20466">
        <w:rPr>
          <w:szCs w:val="22"/>
        </w:rPr>
        <w:t>e (p3)</w:t>
      </w:r>
      <w:r w:rsidR="00870908">
        <w:rPr>
          <w:szCs w:val="22"/>
        </w:rPr>
        <w:t>,</w:t>
      </w:r>
      <w:r w:rsidR="00F20466">
        <w:rPr>
          <w:szCs w:val="22"/>
        </w:rPr>
        <w:t xml:space="preserve"> the sponsor </w:t>
      </w:r>
      <w:r w:rsidR="00870908">
        <w:rPr>
          <w:szCs w:val="22"/>
        </w:rPr>
        <w:t>provided a</w:t>
      </w:r>
      <w:r w:rsidR="00337E19">
        <w:rPr>
          <w:szCs w:val="22"/>
        </w:rPr>
        <w:t xml:space="preserve"> revised</w:t>
      </w:r>
      <w:r w:rsidR="00870908">
        <w:rPr>
          <w:szCs w:val="22"/>
        </w:rPr>
        <w:t xml:space="preserve"> indicative </w:t>
      </w:r>
      <w:r w:rsidR="00337E19">
        <w:rPr>
          <w:szCs w:val="22"/>
        </w:rPr>
        <w:t>ICER</w:t>
      </w:r>
      <w:r w:rsidR="00870908">
        <w:rPr>
          <w:szCs w:val="22"/>
        </w:rPr>
        <w:t xml:space="preserve"> of $</w:t>
      </w:r>
      <w:r w:rsidR="00E06424">
        <w:rPr>
          <w:szCs w:val="22"/>
        </w:rPr>
        <w:t>15,000 - $45,000</w:t>
      </w:r>
      <w:r w:rsidR="00870908">
        <w:rPr>
          <w:szCs w:val="22"/>
        </w:rPr>
        <w:t xml:space="preserve"> per QALY which</w:t>
      </w:r>
      <w:r w:rsidR="00337E19">
        <w:rPr>
          <w:szCs w:val="22"/>
        </w:rPr>
        <w:t xml:space="preserve"> assum</w:t>
      </w:r>
      <w:r w:rsidR="00870908">
        <w:rPr>
          <w:szCs w:val="22"/>
        </w:rPr>
        <w:t>ed</w:t>
      </w:r>
      <w:r w:rsidR="00337E19">
        <w:rPr>
          <w:szCs w:val="22"/>
        </w:rPr>
        <w:t xml:space="preserve"> a 40% rebate </w:t>
      </w:r>
      <w:r w:rsidR="00870908">
        <w:rPr>
          <w:szCs w:val="22"/>
        </w:rPr>
        <w:t xml:space="preserve">for </w:t>
      </w:r>
      <w:r w:rsidR="00337E19">
        <w:rPr>
          <w:szCs w:val="22"/>
        </w:rPr>
        <w:t>all biologic</w:t>
      </w:r>
      <w:r w:rsidR="00870908">
        <w:rPr>
          <w:szCs w:val="22"/>
        </w:rPr>
        <w:t>al DMARDs</w:t>
      </w:r>
      <w:r w:rsidR="00337E19">
        <w:rPr>
          <w:szCs w:val="22"/>
        </w:rPr>
        <w:t xml:space="preserve"> </w:t>
      </w:r>
      <w:r w:rsidR="00870908">
        <w:rPr>
          <w:szCs w:val="22"/>
        </w:rPr>
        <w:t xml:space="preserve">listed for plaque psoriasis </w:t>
      </w:r>
      <w:r w:rsidR="00337E19">
        <w:rPr>
          <w:szCs w:val="22"/>
        </w:rPr>
        <w:t xml:space="preserve">and the net price of apremilast </w:t>
      </w:r>
      <w:r w:rsidR="00870908">
        <w:rPr>
          <w:szCs w:val="22"/>
        </w:rPr>
        <w:t xml:space="preserve">under the proposed </w:t>
      </w:r>
      <w:r w:rsidR="00D62EA0">
        <w:rPr>
          <w:szCs w:val="22"/>
        </w:rPr>
        <w:t>RSA</w:t>
      </w:r>
      <w:r w:rsidR="00337E19">
        <w:rPr>
          <w:szCs w:val="22"/>
        </w:rPr>
        <w:t>. Th</w:t>
      </w:r>
      <w:r w:rsidR="00870908">
        <w:rPr>
          <w:szCs w:val="22"/>
        </w:rPr>
        <w:t>is</w:t>
      </w:r>
      <w:r w:rsidR="00337E19">
        <w:rPr>
          <w:szCs w:val="22"/>
        </w:rPr>
        <w:t xml:space="preserve"> </w:t>
      </w:r>
      <w:r w:rsidR="00870908">
        <w:rPr>
          <w:szCs w:val="22"/>
        </w:rPr>
        <w:t xml:space="preserve">ICER was </w:t>
      </w:r>
      <w:r w:rsidR="00337E19">
        <w:rPr>
          <w:szCs w:val="22"/>
        </w:rPr>
        <w:t>not verified prior to PBAC consideration.</w:t>
      </w:r>
    </w:p>
    <w:p w:rsidR="00DA1BF6" w:rsidRPr="0019793B" w:rsidRDefault="00DA1BF6" w:rsidP="00DA1BF6">
      <w:pPr>
        <w:pStyle w:val="ListParagraph"/>
        <w:widowControl/>
        <w:rPr>
          <w:i/>
          <w:szCs w:val="22"/>
        </w:rPr>
      </w:pPr>
    </w:p>
    <w:p w:rsidR="00A55FEE" w:rsidRPr="0019793B" w:rsidRDefault="00A55FEE" w:rsidP="00C37B58">
      <w:pPr>
        <w:pStyle w:val="Heading2"/>
      </w:pPr>
      <w:r w:rsidRPr="0019793B">
        <w:t>Drug c</w:t>
      </w:r>
      <w:r w:rsidR="00F97F93" w:rsidRPr="0019793B">
        <w:t>ost/patient/year: $</w:t>
      </w:r>
      <w:r w:rsidR="00F17FFB">
        <w:rPr>
          <w:noProof/>
          <w:color w:val="000000"/>
          <w:highlight w:val="black"/>
        </w:rPr>
        <w:t>''''''''''''''</w:t>
      </w:r>
    </w:p>
    <w:p w:rsidR="00A55FEE" w:rsidRPr="0019793B" w:rsidRDefault="00A55FEE" w:rsidP="00C37B58">
      <w:pPr>
        <w:keepNext/>
        <w:ind w:left="720" w:hanging="720"/>
        <w:jc w:val="both"/>
        <w:rPr>
          <w:rFonts w:ascii="Arial" w:hAnsi="Arial"/>
          <w:b/>
          <w:i/>
          <w:sz w:val="22"/>
          <w:szCs w:val="22"/>
        </w:rPr>
      </w:pPr>
    </w:p>
    <w:p w:rsidR="00F97F93" w:rsidRPr="0019793B" w:rsidRDefault="00B45EC5" w:rsidP="00C37B58">
      <w:pPr>
        <w:pStyle w:val="ListParagraph"/>
        <w:widowControl/>
        <w:numPr>
          <w:ilvl w:val="1"/>
          <w:numId w:val="5"/>
        </w:numPr>
        <w:snapToGrid w:val="0"/>
        <w:rPr>
          <w:szCs w:val="22"/>
        </w:rPr>
      </w:pPr>
      <w:r>
        <w:rPr>
          <w:szCs w:val="22"/>
        </w:rPr>
        <w:t xml:space="preserve">The drug cost per patient per year was calculated at </w:t>
      </w:r>
      <w:r w:rsidR="00F97F93" w:rsidRPr="0019793B">
        <w:rPr>
          <w:szCs w:val="22"/>
        </w:rPr>
        <w:t>$</w:t>
      </w:r>
      <w:r w:rsidR="00F17FFB">
        <w:rPr>
          <w:noProof/>
          <w:color w:val="000000"/>
          <w:szCs w:val="22"/>
          <w:highlight w:val="black"/>
        </w:rPr>
        <w:t>'''''''''''''''''''''</w:t>
      </w:r>
      <w:r w:rsidR="00F97F93" w:rsidRPr="0019793B">
        <w:rPr>
          <w:szCs w:val="22"/>
        </w:rPr>
        <w:t xml:space="preserve"> assuming one titration script (lasting for 2 weeks) at an effective DPMQ of $</w:t>
      </w:r>
      <w:r w:rsidR="00F17FFB">
        <w:rPr>
          <w:noProof/>
          <w:color w:val="000000"/>
          <w:szCs w:val="22"/>
          <w:highlight w:val="black"/>
        </w:rPr>
        <w:t>''''''''''''''''</w:t>
      </w:r>
      <w:r w:rsidR="00F97F93" w:rsidRPr="0019793B">
        <w:rPr>
          <w:szCs w:val="22"/>
        </w:rPr>
        <w:t xml:space="preserve"> and 12.5 maintenance scripts per year (lasting for 50 weeks) at an effective DPMQ of $</w:t>
      </w:r>
      <w:r w:rsidR="00F17FFB">
        <w:rPr>
          <w:noProof/>
          <w:color w:val="000000"/>
          <w:szCs w:val="22"/>
          <w:highlight w:val="black"/>
        </w:rPr>
        <w:t>''''''''''''''''</w:t>
      </w:r>
      <w:r w:rsidR="00F97F93" w:rsidRPr="0019793B">
        <w:rPr>
          <w:szCs w:val="22"/>
        </w:rPr>
        <w:t>.</w:t>
      </w:r>
    </w:p>
    <w:p w:rsidR="00F97F93" w:rsidRPr="0019793B" w:rsidRDefault="00F97F93" w:rsidP="00C37B58">
      <w:pPr>
        <w:pStyle w:val="ListParagraph"/>
        <w:widowControl/>
        <w:snapToGrid w:val="0"/>
        <w:rPr>
          <w:szCs w:val="22"/>
        </w:rPr>
      </w:pPr>
    </w:p>
    <w:p w:rsidR="00F97F93" w:rsidRPr="0019793B" w:rsidRDefault="00F97F93" w:rsidP="00C37B58">
      <w:pPr>
        <w:pStyle w:val="ListParagraph"/>
        <w:widowControl/>
        <w:numPr>
          <w:ilvl w:val="1"/>
          <w:numId w:val="5"/>
        </w:numPr>
        <w:snapToGrid w:val="0"/>
        <w:rPr>
          <w:szCs w:val="22"/>
        </w:rPr>
      </w:pPr>
      <w:r w:rsidRPr="0019793B">
        <w:t>The cost of cyclosporin cannot be estimated given details of the mean weight of psoriasis patients and mean dose of cyclosporin used in the Australian setting is unknown. However, the estimated cost per patient per year for cyclosporin applied in the November 2016 major resubmission (and revised in the evaluation) was $</w:t>
      </w:r>
      <w:r w:rsidR="00F17FFB">
        <w:rPr>
          <w:noProof/>
          <w:color w:val="000000"/>
          <w:highlight w:val="black"/>
        </w:rPr>
        <w:t>'''''''''''''''''''</w:t>
      </w:r>
      <w:r w:rsidRPr="0019793B">
        <w:t xml:space="preserve"> per patient per year assuming the varying dosage (mg per day) from the US MarketScan® databases and $4,993.49 assuming a cyclosporin fixed daily dose of 250 mg per day.</w:t>
      </w:r>
    </w:p>
    <w:p w:rsidR="00A55FEE" w:rsidRPr="0019793B" w:rsidRDefault="00A55FEE" w:rsidP="00C37B58">
      <w:pPr>
        <w:ind w:left="720" w:hanging="720"/>
        <w:jc w:val="both"/>
        <w:rPr>
          <w:rFonts w:ascii="Arial" w:hAnsi="Arial"/>
          <w:b/>
          <w:i/>
          <w:sz w:val="22"/>
          <w:szCs w:val="22"/>
        </w:rPr>
      </w:pPr>
    </w:p>
    <w:p w:rsidR="005A3173" w:rsidRPr="0019793B" w:rsidRDefault="005A3173" w:rsidP="00C37B58">
      <w:pPr>
        <w:pStyle w:val="Heading2"/>
      </w:pPr>
      <w:r w:rsidRPr="0019793B">
        <w:t>Estimated PBS usage &amp; financial implications</w:t>
      </w:r>
    </w:p>
    <w:p w:rsidR="005A3173" w:rsidRPr="0019793B" w:rsidRDefault="005A3173" w:rsidP="00C37B58">
      <w:pPr>
        <w:ind w:left="720" w:hanging="720"/>
        <w:jc w:val="both"/>
        <w:rPr>
          <w:rFonts w:ascii="Arial" w:hAnsi="Arial"/>
          <w:b/>
          <w:i/>
          <w:sz w:val="22"/>
          <w:szCs w:val="22"/>
        </w:rPr>
      </w:pPr>
    </w:p>
    <w:p w:rsidR="00773210" w:rsidRPr="0019793B" w:rsidRDefault="00FF2801" w:rsidP="00773210">
      <w:pPr>
        <w:pStyle w:val="ListParagraph"/>
        <w:widowControl/>
        <w:numPr>
          <w:ilvl w:val="1"/>
          <w:numId w:val="5"/>
        </w:numPr>
        <w:snapToGrid w:val="0"/>
      </w:pPr>
      <w:r w:rsidRPr="0019793B">
        <w:t xml:space="preserve">The minor </w:t>
      </w:r>
      <w:r w:rsidR="00E24F73" w:rsidRPr="0019793B">
        <w:t>re</w:t>
      </w:r>
      <w:r w:rsidRPr="0019793B">
        <w:t xml:space="preserve">submission </w:t>
      </w:r>
      <w:r w:rsidR="00F97F93" w:rsidRPr="0019793B">
        <w:t xml:space="preserve">revised the previous utilisation estimates using a market based </w:t>
      </w:r>
      <w:r w:rsidR="00876E33" w:rsidRPr="0019793B">
        <w:t>approach</w:t>
      </w:r>
      <w:r w:rsidR="00F97F93" w:rsidRPr="0019793B">
        <w:t xml:space="preserve"> to reflect the proposed post-methotrexate PBS listing</w:t>
      </w:r>
      <w:r w:rsidR="00773210" w:rsidRPr="0019793B">
        <w:t xml:space="preserve">. </w:t>
      </w:r>
      <w:r w:rsidR="00876E33" w:rsidRPr="0019793B">
        <w:t>By comparison, the November</w:t>
      </w:r>
      <w:r w:rsidR="00F97F93" w:rsidRPr="0019793B">
        <w:t xml:space="preserve"> </w:t>
      </w:r>
      <w:r w:rsidR="00876E33" w:rsidRPr="0019793B">
        <w:t xml:space="preserve">2016 major resubmission used a </w:t>
      </w:r>
      <w:r w:rsidR="00F97F93" w:rsidRPr="0019793B">
        <w:t>combined epidemiological and market share approach.</w:t>
      </w:r>
      <w:r w:rsidR="00C130DF">
        <w:t xml:space="preserve"> The revised approach was not evaluated as this was a minor submission.</w:t>
      </w:r>
    </w:p>
    <w:p w:rsidR="00773210" w:rsidRPr="0019793B" w:rsidRDefault="00773210" w:rsidP="00773210">
      <w:pPr>
        <w:pStyle w:val="ListParagraph"/>
        <w:widowControl/>
        <w:snapToGrid w:val="0"/>
      </w:pPr>
    </w:p>
    <w:p w:rsidR="00B130B8" w:rsidRDefault="00B130B8" w:rsidP="00B130B8">
      <w:pPr>
        <w:pStyle w:val="ListParagraph"/>
        <w:widowControl/>
        <w:numPr>
          <w:ilvl w:val="1"/>
          <w:numId w:val="5"/>
        </w:numPr>
        <w:snapToGrid w:val="0"/>
      </w:pPr>
      <w:r w:rsidRPr="0019793B">
        <w:t xml:space="preserve">The minor </w:t>
      </w:r>
      <w:r w:rsidR="00E24F73" w:rsidRPr="0019793B">
        <w:t>re</w:t>
      </w:r>
      <w:r w:rsidRPr="0019793B">
        <w:t>submission estimated the number of patients eligible for apremilast by estimating the number of patient</w:t>
      </w:r>
      <w:r w:rsidR="00B45EC5">
        <w:t>s</w:t>
      </w:r>
      <w:r w:rsidRPr="0019793B">
        <w:t xml:space="preserve"> initiating and prevalent to methotrexate using NostraData. </w:t>
      </w:r>
      <w:r w:rsidRPr="00D67EC7">
        <w:t xml:space="preserve">The Secretariat checked this estimate by counting patients initiating and prevalent to methotrexate in the full PBS prescription dataset. This showed that the submission had overestimated methotrexate initiators by approximately 35% and underestimated prevalent patients by approximately 34%. If the PBS dataset methotrexate patient counts </w:t>
      </w:r>
      <w:r w:rsidR="0047195D">
        <w:t>were</w:t>
      </w:r>
      <w:r w:rsidR="0047195D" w:rsidRPr="00D67EC7">
        <w:t xml:space="preserve"> </w:t>
      </w:r>
      <w:r w:rsidRPr="00D67EC7">
        <w:t>used in the submission’s utilisation spreadsheet (i.e. keeping all other submission assumptions) then the number of patients in Year 1 increase</w:t>
      </w:r>
      <w:r w:rsidR="0047195D">
        <w:t>d</w:t>
      </w:r>
      <w:r w:rsidRPr="00D67EC7">
        <w:t xml:space="preserve"> by 16% (due to the higher number of prevalent patients) and decrease</w:t>
      </w:r>
      <w:r w:rsidR="0047195D">
        <w:t>d</w:t>
      </w:r>
      <w:r w:rsidRPr="00D67EC7">
        <w:t xml:space="preserve"> by 22% in Year 5 (due to the lower number of initiating patients). Over the 5 year period the total number of patients treated is approximately the same (i.e. a 4% decrease when using the PBS dataset methotrexate patient counts</w:t>
      </w:r>
      <w:r w:rsidR="00F12675" w:rsidRPr="00D67EC7">
        <w:t>)</w:t>
      </w:r>
      <w:r w:rsidRPr="00D67EC7">
        <w:t>. However, the cost to the PBS of apremilast in Year 5 would be reduced to around $</w:t>
      </w:r>
      <w:r w:rsidR="00FB3907">
        <w:t>30 - 60</w:t>
      </w:r>
      <w:r w:rsidR="00FB3907" w:rsidRPr="00D67EC7">
        <w:t xml:space="preserve"> </w:t>
      </w:r>
      <w:r w:rsidRPr="00D67EC7">
        <w:t>million which is below Cap 1 of the proposed</w:t>
      </w:r>
      <w:r w:rsidR="00D62EA0">
        <w:t xml:space="preserve"> </w:t>
      </w:r>
      <w:r w:rsidRPr="00D67EC7">
        <w:t>RSA (see Table 4).</w:t>
      </w:r>
    </w:p>
    <w:p w:rsidR="00337E19" w:rsidRDefault="00337E19" w:rsidP="00BE080A">
      <w:pPr>
        <w:pStyle w:val="ListParagraph"/>
        <w:widowControl/>
        <w:snapToGrid w:val="0"/>
      </w:pPr>
    </w:p>
    <w:p w:rsidR="00337E19" w:rsidRPr="00D67EC7" w:rsidRDefault="00F20466" w:rsidP="00B130B8">
      <w:pPr>
        <w:pStyle w:val="ListParagraph"/>
        <w:widowControl/>
        <w:numPr>
          <w:ilvl w:val="1"/>
          <w:numId w:val="5"/>
        </w:numPr>
        <w:snapToGrid w:val="0"/>
      </w:pPr>
      <w:r>
        <w:t xml:space="preserve">In </w:t>
      </w:r>
      <w:r w:rsidR="00C34752">
        <w:t>its</w:t>
      </w:r>
      <w:r w:rsidR="00391B69">
        <w:t xml:space="preserve"> </w:t>
      </w:r>
      <w:r w:rsidR="00C34752">
        <w:t>p</w:t>
      </w:r>
      <w:r w:rsidR="00337E19">
        <w:t>re-PBAC response</w:t>
      </w:r>
      <w:r>
        <w:t xml:space="preserve"> (p3)</w:t>
      </w:r>
      <w:r w:rsidR="00C34752">
        <w:t>,</w:t>
      </w:r>
      <w:r>
        <w:t xml:space="preserve"> the sponsor stated it is willing to establish appropriate inputs for methotrexate initiation and prevalence</w:t>
      </w:r>
      <w:r w:rsidR="004F1C84">
        <w:t>,</w:t>
      </w:r>
      <w:r>
        <w:t xml:space="preserve"> and recalculate the </w:t>
      </w:r>
      <w:r w:rsidR="00C34752">
        <w:t>proposed RSA c</w:t>
      </w:r>
      <w:r>
        <w:t>aps to result in the same net price for apremilast as proposed in this submission</w:t>
      </w:r>
      <w:r w:rsidR="00527F3B">
        <w:t>.</w:t>
      </w:r>
    </w:p>
    <w:p w:rsidR="00B130B8" w:rsidRPr="0019793B" w:rsidRDefault="00B130B8" w:rsidP="00B130B8">
      <w:pPr>
        <w:pStyle w:val="ListParagraph"/>
        <w:rPr>
          <w:i/>
        </w:rPr>
      </w:pPr>
    </w:p>
    <w:p w:rsidR="00BB7EC3" w:rsidRDefault="00F97F93" w:rsidP="00C37B58">
      <w:pPr>
        <w:pStyle w:val="ListParagraph"/>
        <w:widowControl/>
        <w:numPr>
          <w:ilvl w:val="1"/>
          <w:numId w:val="5"/>
        </w:numPr>
        <w:snapToGrid w:val="0"/>
      </w:pPr>
      <w:r w:rsidRPr="0019793B">
        <w:t xml:space="preserve">The minor resubmission </w:t>
      </w:r>
      <w:r w:rsidR="00FF2801" w:rsidRPr="0019793B">
        <w:t>estimated</w:t>
      </w:r>
      <w:r w:rsidR="00C00DA7" w:rsidRPr="0019793B">
        <w:t xml:space="preserve"> </w:t>
      </w:r>
      <w:r w:rsidR="00FB3907">
        <w:t>10,000 – 50,000</w:t>
      </w:r>
      <w:r w:rsidR="00F720FD" w:rsidRPr="0019793B">
        <w:t xml:space="preserve"> patients and </w:t>
      </w:r>
      <w:r w:rsidR="00C00DA7" w:rsidRPr="0019793B">
        <w:t>a net cost</w:t>
      </w:r>
      <w:r w:rsidR="00F720FD" w:rsidRPr="0019793B">
        <w:t xml:space="preserve"> to the PBS</w:t>
      </w:r>
      <w:r w:rsidR="00FA3D95" w:rsidRPr="0019793B">
        <w:t>/RPBS</w:t>
      </w:r>
      <w:r w:rsidR="00F720FD" w:rsidRPr="0019793B">
        <w:t xml:space="preserve"> of $</w:t>
      </w:r>
      <w:r w:rsidR="00FB3907">
        <w:t>60 - $100</w:t>
      </w:r>
      <w:r w:rsidR="00FB3907" w:rsidRPr="0019793B">
        <w:t> </w:t>
      </w:r>
      <w:r w:rsidR="00F720FD" w:rsidRPr="0019793B">
        <w:t>million</w:t>
      </w:r>
      <w:r w:rsidR="00C00DA7" w:rsidRPr="0019793B">
        <w:t xml:space="preserve"> in Year 5 of listing, with a total </w:t>
      </w:r>
      <w:r w:rsidR="00FA3D95" w:rsidRPr="0019793B">
        <w:t>net cost</w:t>
      </w:r>
      <w:r w:rsidR="00F720FD" w:rsidRPr="0019793B">
        <w:t xml:space="preserve"> to </w:t>
      </w:r>
      <w:r w:rsidR="00FA3D95" w:rsidRPr="0019793B">
        <w:t xml:space="preserve">the PBS/RPBS of </w:t>
      </w:r>
      <w:r w:rsidR="00FB3907">
        <w:t>more than $100</w:t>
      </w:r>
      <w:r w:rsidR="00FA3D95" w:rsidRPr="0019793B">
        <w:t> </w:t>
      </w:r>
      <w:r w:rsidR="00F720FD" w:rsidRPr="0019793B">
        <w:t>million over the first five</w:t>
      </w:r>
      <w:r w:rsidR="00C00DA7" w:rsidRPr="0019793B">
        <w:t xml:space="preserve"> years.  This is summarised in </w:t>
      </w:r>
      <w:r w:rsidR="00956081" w:rsidRPr="0019793B">
        <w:t>T</w:t>
      </w:r>
      <w:r w:rsidR="00C00DA7" w:rsidRPr="0019793B">
        <w:t xml:space="preserve">able </w:t>
      </w:r>
      <w:r w:rsidR="00956081" w:rsidRPr="0019793B">
        <w:t>3</w:t>
      </w:r>
      <w:r w:rsidR="00C00DA7" w:rsidRPr="0019793B">
        <w:t>.</w:t>
      </w:r>
    </w:p>
    <w:p w:rsidR="00494814" w:rsidRDefault="00494814" w:rsidP="00494814">
      <w:pPr>
        <w:pStyle w:val="ListParagraph"/>
      </w:pPr>
    </w:p>
    <w:p w:rsidR="00F720FD" w:rsidRPr="0019793B" w:rsidRDefault="00956081" w:rsidP="00685C10">
      <w:pPr>
        <w:keepNext/>
        <w:ind w:firstLine="720"/>
        <w:rPr>
          <w:rStyle w:val="CommentReference"/>
          <w:rFonts w:ascii="Arial Narrow" w:hAnsi="Arial Narrow"/>
          <w:b/>
          <w:sz w:val="20"/>
          <w:szCs w:val="20"/>
        </w:rPr>
      </w:pPr>
      <w:r w:rsidRPr="0019793B">
        <w:rPr>
          <w:rStyle w:val="CommentReference"/>
          <w:rFonts w:ascii="Arial Narrow" w:hAnsi="Arial Narrow"/>
          <w:b/>
          <w:sz w:val="20"/>
          <w:szCs w:val="20"/>
        </w:rPr>
        <w:t>Table 3</w:t>
      </w:r>
      <w:r w:rsidR="00F720FD" w:rsidRPr="0019793B">
        <w:rPr>
          <w:rStyle w:val="CommentReference"/>
          <w:rFonts w:ascii="Arial Narrow" w:hAnsi="Arial Narrow"/>
          <w:b/>
          <w:sz w:val="20"/>
          <w:szCs w:val="20"/>
        </w:rPr>
        <w:t>: Estimated use and financial implications</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84"/>
        <w:gridCol w:w="1275"/>
        <w:gridCol w:w="992"/>
        <w:gridCol w:w="992"/>
        <w:gridCol w:w="1561"/>
        <w:gridCol w:w="1559"/>
      </w:tblGrid>
      <w:tr w:rsidR="00F720FD" w:rsidRPr="0019793B" w:rsidTr="00494814">
        <w:trPr>
          <w:tblHeader/>
        </w:trPr>
        <w:tc>
          <w:tcPr>
            <w:tcW w:w="1187" w:type="pct"/>
            <w:shd w:val="clear" w:color="auto" w:fill="auto"/>
            <w:vAlign w:val="center"/>
          </w:tcPr>
          <w:p w:rsidR="00F720FD" w:rsidRPr="0019793B" w:rsidRDefault="00F720FD" w:rsidP="00C37B58">
            <w:pPr>
              <w:keepNext/>
              <w:tabs>
                <w:tab w:val="left" w:pos="142"/>
              </w:tabs>
              <w:ind w:right="93"/>
              <w:rPr>
                <w:rFonts w:ascii="Arial Narrow" w:hAnsi="Arial Narrow"/>
                <w:b/>
                <w:sz w:val="20"/>
              </w:rPr>
            </w:pPr>
          </w:p>
        </w:tc>
        <w:tc>
          <w:tcPr>
            <w:tcW w:w="762" w:type="pct"/>
            <w:shd w:val="clear" w:color="auto" w:fill="auto"/>
            <w:vAlign w:val="center"/>
          </w:tcPr>
          <w:p w:rsidR="00F720FD" w:rsidRPr="0019793B" w:rsidRDefault="00F720FD" w:rsidP="00C37B58">
            <w:pPr>
              <w:keepNext/>
              <w:ind w:right="93"/>
              <w:jc w:val="center"/>
              <w:rPr>
                <w:rFonts w:ascii="Arial Narrow" w:hAnsi="Arial Narrow"/>
                <w:b/>
                <w:sz w:val="20"/>
              </w:rPr>
            </w:pPr>
            <w:r w:rsidRPr="0019793B">
              <w:rPr>
                <w:rFonts w:ascii="Arial Narrow" w:hAnsi="Arial Narrow"/>
                <w:b/>
                <w:sz w:val="20"/>
              </w:rPr>
              <w:t>Year 1</w:t>
            </w:r>
          </w:p>
        </w:tc>
        <w:tc>
          <w:tcPr>
            <w:tcW w:w="593" w:type="pct"/>
            <w:shd w:val="clear" w:color="auto" w:fill="auto"/>
            <w:vAlign w:val="center"/>
          </w:tcPr>
          <w:p w:rsidR="00F720FD" w:rsidRPr="0019793B" w:rsidRDefault="00F720FD" w:rsidP="00C37B58">
            <w:pPr>
              <w:keepNext/>
              <w:ind w:right="93"/>
              <w:jc w:val="center"/>
              <w:rPr>
                <w:rFonts w:ascii="Arial Narrow" w:hAnsi="Arial Narrow"/>
                <w:b/>
                <w:sz w:val="20"/>
              </w:rPr>
            </w:pPr>
            <w:r w:rsidRPr="0019793B">
              <w:rPr>
                <w:rFonts w:ascii="Arial Narrow" w:hAnsi="Arial Narrow"/>
                <w:b/>
                <w:sz w:val="20"/>
              </w:rPr>
              <w:t>Year 2</w:t>
            </w:r>
          </w:p>
        </w:tc>
        <w:tc>
          <w:tcPr>
            <w:tcW w:w="593" w:type="pct"/>
            <w:shd w:val="clear" w:color="auto" w:fill="auto"/>
            <w:vAlign w:val="center"/>
          </w:tcPr>
          <w:p w:rsidR="00F720FD" w:rsidRPr="0019793B" w:rsidRDefault="00F720FD" w:rsidP="00C37B58">
            <w:pPr>
              <w:keepNext/>
              <w:ind w:right="93"/>
              <w:jc w:val="center"/>
              <w:rPr>
                <w:rFonts w:ascii="Arial Narrow" w:hAnsi="Arial Narrow"/>
                <w:b/>
                <w:sz w:val="20"/>
              </w:rPr>
            </w:pPr>
            <w:r w:rsidRPr="0019793B">
              <w:rPr>
                <w:rFonts w:ascii="Arial Narrow" w:hAnsi="Arial Narrow"/>
                <w:b/>
                <w:sz w:val="20"/>
              </w:rPr>
              <w:t>Year 3</w:t>
            </w:r>
          </w:p>
        </w:tc>
        <w:tc>
          <w:tcPr>
            <w:tcW w:w="933" w:type="pct"/>
            <w:shd w:val="clear" w:color="auto" w:fill="auto"/>
            <w:vAlign w:val="center"/>
          </w:tcPr>
          <w:p w:rsidR="00F720FD" w:rsidRPr="0019793B" w:rsidRDefault="00F720FD" w:rsidP="00C37B58">
            <w:pPr>
              <w:keepNext/>
              <w:ind w:right="93"/>
              <w:jc w:val="center"/>
              <w:rPr>
                <w:rFonts w:ascii="Arial Narrow" w:hAnsi="Arial Narrow"/>
                <w:b/>
                <w:sz w:val="20"/>
              </w:rPr>
            </w:pPr>
            <w:r w:rsidRPr="0019793B">
              <w:rPr>
                <w:rFonts w:ascii="Arial Narrow" w:hAnsi="Arial Narrow"/>
                <w:b/>
                <w:sz w:val="20"/>
              </w:rPr>
              <w:t>Year 4</w:t>
            </w:r>
          </w:p>
        </w:tc>
        <w:tc>
          <w:tcPr>
            <w:tcW w:w="932" w:type="pct"/>
            <w:shd w:val="clear" w:color="auto" w:fill="auto"/>
            <w:vAlign w:val="center"/>
          </w:tcPr>
          <w:p w:rsidR="00F720FD" w:rsidRPr="0019793B" w:rsidRDefault="00F720FD" w:rsidP="00C37B58">
            <w:pPr>
              <w:keepNext/>
              <w:ind w:right="93"/>
              <w:jc w:val="center"/>
              <w:rPr>
                <w:rFonts w:ascii="Arial Narrow" w:hAnsi="Arial Narrow"/>
                <w:b/>
                <w:sz w:val="20"/>
              </w:rPr>
            </w:pPr>
            <w:r w:rsidRPr="0019793B">
              <w:rPr>
                <w:rFonts w:ascii="Arial Narrow" w:hAnsi="Arial Narrow"/>
                <w:b/>
                <w:sz w:val="20"/>
              </w:rPr>
              <w:t>Year 5</w:t>
            </w:r>
          </w:p>
        </w:tc>
      </w:tr>
      <w:tr w:rsidR="00F720FD" w:rsidRPr="0019793B" w:rsidTr="00494814">
        <w:tc>
          <w:tcPr>
            <w:tcW w:w="5000" w:type="pct"/>
            <w:gridSpan w:val="6"/>
            <w:shd w:val="clear" w:color="auto" w:fill="auto"/>
            <w:vAlign w:val="center"/>
          </w:tcPr>
          <w:p w:rsidR="00F720FD" w:rsidRPr="0019793B" w:rsidRDefault="00F720FD" w:rsidP="00C37B58">
            <w:pPr>
              <w:keepNext/>
              <w:ind w:right="93"/>
              <w:rPr>
                <w:rFonts w:ascii="Arial Narrow" w:hAnsi="Arial Narrow"/>
                <w:b/>
                <w:bCs/>
                <w:color w:val="000000"/>
                <w:sz w:val="20"/>
              </w:rPr>
            </w:pPr>
            <w:r w:rsidRPr="0019793B">
              <w:rPr>
                <w:rFonts w:ascii="Arial Narrow" w:hAnsi="Arial Narrow"/>
                <w:b/>
                <w:bCs/>
                <w:color w:val="000000"/>
                <w:sz w:val="20"/>
              </w:rPr>
              <w:t>Estimated extent of use</w:t>
            </w:r>
          </w:p>
        </w:tc>
      </w:tr>
      <w:tr w:rsidR="00956081" w:rsidRPr="0019793B" w:rsidTr="00494814">
        <w:tc>
          <w:tcPr>
            <w:tcW w:w="1187" w:type="pct"/>
            <w:shd w:val="clear" w:color="auto" w:fill="auto"/>
            <w:vAlign w:val="center"/>
          </w:tcPr>
          <w:p w:rsidR="00956081" w:rsidRPr="0019793B" w:rsidRDefault="00956081" w:rsidP="00C37B58">
            <w:pPr>
              <w:keepNext/>
              <w:tabs>
                <w:tab w:val="left" w:pos="142"/>
              </w:tabs>
              <w:ind w:right="93"/>
              <w:rPr>
                <w:rFonts w:ascii="Arial Narrow" w:hAnsi="Arial Narrow"/>
                <w:sz w:val="20"/>
              </w:rPr>
            </w:pPr>
            <w:r w:rsidRPr="0019793B">
              <w:rPr>
                <w:rFonts w:ascii="Arial Narrow" w:hAnsi="Arial Narrow"/>
                <w:sz w:val="20"/>
              </w:rPr>
              <w:t>Number treated</w:t>
            </w:r>
          </w:p>
        </w:tc>
        <w:tc>
          <w:tcPr>
            <w:tcW w:w="762" w:type="pct"/>
            <w:vAlign w:val="center"/>
          </w:tcPr>
          <w:p w:rsidR="00956081" w:rsidRPr="0019793B" w:rsidRDefault="00F17FFB" w:rsidP="00C37B58">
            <w:pPr>
              <w:keepNext/>
              <w:ind w:right="93"/>
              <w:jc w:val="center"/>
              <w:rPr>
                <w:rFonts w:ascii="Arial Narrow" w:hAnsi="Arial Narrow"/>
                <w:sz w:val="20"/>
              </w:rPr>
            </w:pPr>
            <w:r>
              <w:rPr>
                <w:rFonts w:ascii="Arial Narrow" w:hAnsi="Arial Narrow"/>
                <w:noProof/>
                <w:color w:val="000000"/>
                <w:sz w:val="20"/>
                <w:highlight w:val="black"/>
              </w:rPr>
              <w:t>'''''''''''''''</w:t>
            </w:r>
            <w:r w:rsidR="003A61DE" w:rsidRPr="0019793B">
              <w:rPr>
                <w:rFonts w:ascii="Arial Narrow" w:hAnsi="Arial Narrow"/>
                <w:sz w:val="20"/>
                <w:vertAlign w:val="superscript"/>
              </w:rPr>
              <w:t>a</w:t>
            </w:r>
          </w:p>
        </w:tc>
        <w:tc>
          <w:tcPr>
            <w:tcW w:w="593" w:type="pct"/>
            <w:vAlign w:val="center"/>
          </w:tcPr>
          <w:p w:rsidR="00956081" w:rsidRPr="00F17FFB" w:rsidRDefault="00F17FFB" w:rsidP="00C37B58">
            <w:pPr>
              <w:keepNext/>
              <w:ind w:right="93"/>
              <w:jc w:val="center"/>
              <w:rPr>
                <w:rFonts w:ascii="Arial Narrow" w:hAnsi="Arial Narrow"/>
                <w:sz w:val="20"/>
                <w:highlight w:val="black"/>
              </w:rPr>
            </w:pPr>
            <w:r>
              <w:rPr>
                <w:rFonts w:ascii="Arial Narrow" w:hAnsi="Arial Narrow"/>
                <w:noProof/>
                <w:color w:val="000000"/>
                <w:sz w:val="20"/>
                <w:highlight w:val="black"/>
              </w:rPr>
              <w:t>'''''''''''''</w:t>
            </w:r>
          </w:p>
        </w:tc>
        <w:tc>
          <w:tcPr>
            <w:tcW w:w="593" w:type="pct"/>
            <w:vAlign w:val="center"/>
          </w:tcPr>
          <w:p w:rsidR="00956081" w:rsidRPr="00F17FFB" w:rsidRDefault="00F17FFB" w:rsidP="00C37B58">
            <w:pPr>
              <w:keepNext/>
              <w:ind w:right="93"/>
              <w:jc w:val="center"/>
              <w:rPr>
                <w:rFonts w:ascii="Arial Narrow" w:hAnsi="Arial Narrow"/>
                <w:sz w:val="20"/>
                <w:highlight w:val="black"/>
              </w:rPr>
            </w:pPr>
            <w:r>
              <w:rPr>
                <w:rFonts w:ascii="Arial Narrow" w:hAnsi="Arial Narrow"/>
                <w:noProof/>
                <w:color w:val="000000"/>
                <w:sz w:val="20"/>
                <w:highlight w:val="black"/>
              </w:rPr>
              <w:t>'''''''''''''''</w:t>
            </w:r>
          </w:p>
        </w:tc>
        <w:tc>
          <w:tcPr>
            <w:tcW w:w="933" w:type="pct"/>
            <w:vAlign w:val="center"/>
          </w:tcPr>
          <w:p w:rsidR="00956081" w:rsidRPr="00F17FFB" w:rsidRDefault="00F17FFB" w:rsidP="00C37B58">
            <w:pPr>
              <w:keepNext/>
              <w:ind w:right="93"/>
              <w:jc w:val="center"/>
              <w:rPr>
                <w:rFonts w:ascii="Arial Narrow" w:hAnsi="Arial Narrow"/>
                <w:sz w:val="20"/>
                <w:highlight w:val="black"/>
              </w:rPr>
            </w:pPr>
            <w:r>
              <w:rPr>
                <w:rFonts w:ascii="Arial Narrow" w:hAnsi="Arial Narrow"/>
                <w:noProof/>
                <w:color w:val="000000"/>
                <w:sz w:val="20"/>
                <w:highlight w:val="black"/>
              </w:rPr>
              <w:t>''''''''''''''''</w:t>
            </w:r>
          </w:p>
        </w:tc>
        <w:tc>
          <w:tcPr>
            <w:tcW w:w="932" w:type="pct"/>
            <w:vAlign w:val="center"/>
          </w:tcPr>
          <w:p w:rsidR="00956081" w:rsidRPr="00F17FFB" w:rsidRDefault="00F17FFB" w:rsidP="00C37B58">
            <w:pPr>
              <w:keepNext/>
              <w:ind w:right="93"/>
              <w:jc w:val="center"/>
              <w:rPr>
                <w:rFonts w:ascii="Arial Narrow" w:hAnsi="Arial Narrow"/>
                <w:sz w:val="20"/>
                <w:highlight w:val="black"/>
              </w:rPr>
            </w:pPr>
            <w:r>
              <w:rPr>
                <w:rFonts w:ascii="Arial Narrow" w:hAnsi="Arial Narrow"/>
                <w:noProof/>
                <w:color w:val="000000"/>
                <w:sz w:val="20"/>
                <w:highlight w:val="black"/>
              </w:rPr>
              <w:t>'''''''''''''''''</w:t>
            </w:r>
          </w:p>
        </w:tc>
      </w:tr>
      <w:tr w:rsidR="00F720FD" w:rsidRPr="0019793B" w:rsidTr="00494814">
        <w:tc>
          <w:tcPr>
            <w:tcW w:w="1187" w:type="pct"/>
            <w:tcBorders>
              <w:bottom w:val="single" w:sz="4" w:space="0" w:color="auto"/>
            </w:tcBorders>
            <w:shd w:val="clear" w:color="auto" w:fill="auto"/>
            <w:vAlign w:val="center"/>
          </w:tcPr>
          <w:p w:rsidR="00F720FD" w:rsidRPr="00BE080A" w:rsidRDefault="00F720FD" w:rsidP="00C37B58">
            <w:pPr>
              <w:keepNext/>
              <w:tabs>
                <w:tab w:val="left" w:pos="142"/>
              </w:tabs>
              <w:ind w:right="93"/>
              <w:rPr>
                <w:rFonts w:ascii="Arial Narrow" w:hAnsi="Arial Narrow"/>
                <w:sz w:val="20"/>
              </w:rPr>
            </w:pPr>
            <w:r w:rsidRPr="00BE080A">
              <w:rPr>
                <w:rFonts w:ascii="Arial Narrow" w:hAnsi="Arial Narrow"/>
                <w:sz w:val="20"/>
              </w:rPr>
              <w:t>Number treated</w:t>
            </w:r>
            <w:r w:rsidR="00956081" w:rsidRPr="00BE080A">
              <w:rPr>
                <w:rFonts w:ascii="Arial Narrow" w:hAnsi="Arial Narrow"/>
                <w:sz w:val="20"/>
              </w:rPr>
              <w:t xml:space="preserve"> – Nov 2016</w:t>
            </w:r>
          </w:p>
        </w:tc>
        <w:tc>
          <w:tcPr>
            <w:tcW w:w="762" w:type="pct"/>
            <w:tcBorders>
              <w:bottom w:val="single" w:sz="4" w:space="0" w:color="auto"/>
            </w:tcBorders>
            <w:vAlign w:val="center"/>
          </w:tcPr>
          <w:p w:rsidR="00F720FD" w:rsidRPr="00F17FFB" w:rsidRDefault="00F17FFB" w:rsidP="00C37B58">
            <w:pPr>
              <w:keepNext/>
              <w:ind w:right="93"/>
              <w:jc w:val="center"/>
              <w:rPr>
                <w:rFonts w:ascii="Arial Narrow" w:hAnsi="Arial Narrow"/>
                <w:color w:val="000000"/>
                <w:sz w:val="20"/>
                <w:highlight w:val="black"/>
              </w:rPr>
            </w:pPr>
            <w:r>
              <w:rPr>
                <w:rFonts w:ascii="Arial Narrow" w:hAnsi="Arial Narrow"/>
                <w:noProof/>
                <w:color w:val="000000"/>
                <w:sz w:val="20"/>
                <w:highlight w:val="black"/>
              </w:rPr>
              <w:t>'''''''''''''</w:t>
            </w:r>
          </w:p>
        </w:tc>
        <w:tc>
          <w:tcPr>
            <w:tcW w:w="593" w:type="pct"/>
            <w:tcBorders>
              <w:bottom w:val="single" w:sz="4" w:space="0" w:color="auto"/>
            </w:tcBorders>
            <w:vAlign w:val="center"/>
          </w:tcPr>
          <w:p w:rsidR="00F720FD" w:rsidRPr="00F17FFB" w:rsidRDefault="00F17FFB" w:rsidP="00C37B58">
            <w:pPr>
              <w:keepNext/>
              <w:ind w:right="93"/>
              <w:jc w:val="center"/>
              <w:rPr>
                <w:rFonts w:ascii="Arial Narrow" w:hAnsi="Arial Narrow"/>
                <w:color w:val="000000"/>
                <w:sz w:val="20"/>
                <w:highlight w:val="black"/>
              </w:rPr>
            </w:pPr>
            <w:r>
              <w:rPr>
                <w:rFonts w:ascii="Arial Narrow" w:hAnsi="Arial Narrow"/>
                <w:noProof/>
                <w:color w:val="000000"/>
                <w:sz w:val="20"/>
                <w:highlight w:val="black"/>
              </w:rPr>
              <w:t>''''''''''''''</w:t>
            </w:r>
          </w:p>
        </w:tc>
        <w:tc>
          <w:tcPr>
            <w:tcW w:w="593" w:type="pct"/>
            <w:tcBorders>
              <w:bottom w:val="single" w:sz="4" w:space="0" w:color="auto"/>
            </w:tcBorders>
            <w:vAlign w:val="center"/>
          </w:tcPr>
          <w:p w:rsidR="00F720FD" w:rsidRPr="00F17FFB" w:rsidRDefault="00F17FFB" w:rsidP="00C37B58">
            <w:pPr>
              <w:keepNext/>
              <w:ind w:right="93"/>
              <w:jc w:val="center"/>
              <w:rPr>
                <w:rFonts w:ascii="Arial Narrow" w:hAnsi="Arial Narrow"/>
                <w:color w:val="000000"/>
                <w:sz w:val="20"/>
                <w:highlight w:val="black"/>
              </w:rPr>
            </w:pPr>
            <w:r>
              <w:rPr>
                <w:rFonts w:ascii="Arial Narrow" w:hAnsi="Arial Narrow"/>
                <w:noProof/>
                <w:color w:val="000000"/>
                <w:sz w:val="20"/>
                <w:highlight w:val="black"/>
              </w:rPr>
              <w:t>'''''''''''''</w:t>
            </w:r>
          </w:p>
        </w:tc>
        <w:tc>
          <w:tcPr>
            <w:tcW w:w="933" w:type="pct"/>
            <w:tcBorders>
              <w:bottom w:val="single" w:sz="4" w:space="0" w:color="auto"/>
            </w:tcBorders>
            <w:vAlign w:val="center"/>
          </w:tcPr>
          <w:p w:rsidR="00F720FD" w:rsidRPr="00F17FFB" w:rsidRDefault="00F17FFB" w:rsidP="00C37B58">
            <w:pPr>
              <w:keepNext/>
              <w:ind w:right="93"/>
              <w:jc w:val="center"/>
              <w:rPr>
                <w:rFonts w:ascii="Arial Narrow" w:hAnsi="Arial Narrow"/>
                <w:color w:val="000000"/>
                <w:sz w:val="20"/>
                <w:highlight w:val="black"/>
              </w:rPr>
            </w:pPr>
            <w:r>
              <w:rPr>
                <w:rFonts w:ascii="Arial Narrow" w:hAnsi="Arial Narrow"/>
                <w:noProof/>
                <w:color w:val="000000"/>
                <w:sz w:val="20"/>
                <w:highlight w:val="black"/>
              </w:rPr>
              <w:t>''''''''''''''</w:t>
            </w:r>
          </w:p>
        </w:tc>
        <w:tc>
          <w:tcPr>
            <w:tcW w:w="932" w:type="pct"/>
            <w:tcBorders>
              <w:bottom w:val="single" w:sz="4" w:space="0" w:color="auto"/>
            </w:tcBorders>
            <w:vAlign w:val="center"/>
          </w:tcPr>
          <w:p w:rsidR="00F720FD" w:rsidRPr="00F17FFB" w:rsidRDefault="00F17FFB" w:rsidP="00C37B58">
            <w:pPr>
              <w:keepNext/>
              <w:ind w:right="93"/>
              <w:jc w:val="center"/>
              <w:rPr>
                <w:rFonts w:ascii="Arial Narrow" w:hAnsi="Arial Narrow"/>
                <w:color w:val="000000"/>
                <w:sz w:val="20"/>
                <w:highlight w:val="black"/>
              </w:rPr>
            </w:pPr>
            <w:r>
              <w:rPr>
                <w:rFonts w:ascii="Arial Narrow" w:hAnsi="Arial Narrow"/>
                <w:noProof/>
                <w:color w:val="000000"/>
                <w:sz w:val="20"/>
                <w:highlight w:val="black"/>
              </w:rPr>
              <w:t>''''''''''''</w:t>
            </w:r>
          </w:p>
        </w:tc>
      </w:tr>
      <w:tr w:rsidR="00F720FD" w:rsidRPr="0019793B" w:rsidTr="00494814">
        <w:trPr>
          <w:trHeight w:val="179"/>
        </w:trPr>
        <w:tc>
          <w:tcPr>
            <w:tcW w:w="1187" w:type="pct"/>
            <w:tcBorders>
              <w:bottom w:val="nil"/>
            </w:tcBorders>
            <w:shd w:val="clear" w:color="auto" w:fill="auto"/>
            <w:vAlign w:val="center"/>
          </w:tcPr>
          <w:p w:rsidR="00F720FD" w:rsidRPr="00BB5D14" w:rsidRDefault="00F720FD" w:rsidP="003A61DE">
            <w:pPr>
              <w:keepNext/>
              <w:tabs>
                <w:tab w:val="left" w:pos="142"/>
              </w:tabs>
              <w:ind w:right="93"/>
              <w:rPr>
                <w:rFonts w:ascii="Arial Narrow" w:hAnsi="Arial Narrow"/>
                <w:sz w:val="20"/>
              </w:rPr>
            </w:pPr>
            <w:r w:rsidRPr="00C34752">
              <w:rPr>
                <w:rFonts w:ascii="Arial Narrow" w:hAnsi="Arial Narrow"/>
                <w:sz w:val="20"/>
              </w:rPr>
              <w:t>Titration packs</w:t>
            </w:r>
            <w:r w:rsidR="003A61DE" w:rsidRPr="002E44DB">
              <w:rPr>
                <w:rFonts w:ascii="Arial Narrow" w:hAnsi="Arial Narrow"/>
                <w:sz w:val="20"/>
                <w:vertAlign w:val="superscript"/>
              </w:rPr>
              <w:t>b</w:t>
            </w:r>
          </w:p>
        </w:tc>
        <w:tc>
          <w:tcPr>
            <w:tcW w:w="762" w:type="pct"/>
            <w:tcBorders>
              <w:bottom w:val="nil"/>
            </w:tcBorders>
            <w:vAlign w:val="center"/>
          </w:tcPr>
          <w:p w:rsidR="00F720FD" w:rsidRPr="00F17FFB" w:rsidRDefault="00F17FFB" w:rsidP="006B1573">
            <w:pPr>
              <w:keepNext/>
              <w:ind w:right="93"/>
              <w:jc w:val="center"/>
              <w:rPr>
                <w:rFonts w:ascii="Arial Narrow" w:hAnsi="Arial Narrow"/>
                <w:sz w:val="20"/>
                <w:highlight w:val="black"/>
              </w:rPr>
            </w:pPr>
            <w:r>
              <w:rPr>
                <w:rFonts w:ascii="Arial Narrow" w:hAnsi="Arial Narrow"/>
                <w:noProof/>
                <w:color w:val="000000"/>
                <w:sz w:val="20"/>
                <w:highlight w:val="black"/>
              </w:rPr>
              <w:t>''''''''''''''</w:t>
            </w:r>
          </w:p>
        </w:tc>
        <w:tc>
          <w:tcPr>
            <w:tcW w:w="593" w:type="pct"/>
            <w:tcBorders>
              <w:bottom w:val="nil"/>
            </w:tcBorders>
            <w:vAlign w:val="center"/>
          </w:tcPr>
          <w:p w:rsidR="00F720FD" w:rsidRPr="00F17FFB" w:rsidRDefault="00F17FFB" w:rsidP="006B1573">
            <w:pPr>
              <w:keepNext/>
              <w:ind w:right="93"/>
              <w:jc w:val="center"/>
              <w:rPr>
                <w:rFonts w:ascii="Arial Narrow" w:hAnsi="Arial Narrow"/>
                <w:sz w:val="20"/>
                <w:highlight w:val="black"/>
              </w:rPr>
            </w:pPr>
            <w:r>
              <w:rPr>
                <w:rFonts w:ascii="Arial Narrow" w:hAnsi="Arial Narrow"/>
                <w:noProof/>
                <w:color w:val="000000"/>
                <w:sz w:val="20"/>
                <w:highlight w:val="black"/>
              </w:rPr>
              <w:t>''''''''''''</w:t>
            </w:r>
          </w:p>
        </w:tc>
        <w:tc>
          <w:tcPr>
            <w:tcW w:w="593" w:type="pct"/>
            <w:tcBorders>
              <w:bottom w:val="nil"/>
            </w:tcBorders>
            <w:vAlign w:val="center"/>
          </w:tcPr>
          <w:p w:rsidR="00F720FD" w:rsidRPr="00F17FFB" w:rsidRDefault="00F17FFB" w:rsidP="006B1573">
            <w:pPr>
              <w:keepNext/>
              <w:ind w:right="93"/>
              <w:jc w:val="center"/>
              <w:rPr>
                <w:rFonts w:ascii="Arial Narrow" w:hAnsi="Arial Narrow"/>
                <w:sz w:val="20"/>
                <w:highlight w:val="black"/>
              </w:rPr>
            </w:pPr>
            <w:r>
              <w:rPr>
                <w:rFonts w:ascii="Arial Narrow" w:hAnsi="Arial Narrow"/>
                <w:noProof/>
                <w:color w:val="000000"/>
                <w:sz w:val="20"/>
                <w:highlight w:val="black"/>
              </w:rPr>
              <w:t>'''''''''''''</w:t>
            </w:r>
          </w:p>
        </w:tc>
        <w:tc>
          <w:tcPr>
            <w:tcW w:w="933" w:type="pct"/>
            <w:tcBorders>
              <w:bottom w:val="nil"/>
            </w:tcBorders>
            <w:vAlign w:val="center"/>
          </w:tcPr>
          <w:p w:rsidR="00F720FD" w:rsidRPr="00F17FFB" w:rsidRDefault="00F17FFB" w:rsidP="006B1573">
            <w:pPr>
              <w:keepNext/>
              <w:ind w:right="93"/>
              <w:jc w:val="center"/>
              <w:rPr>
                <w:rFonts w:ascii="Arial Narrow" w:hAnsi="Arial Narrow"/>
                <w:sz w:val="20"/>
                <w:highlight w:val="black"/>
              </w:rPr>
            </w:pPr>
            <w:r>
              <w:rPr>
                <w:rFonts w:ascii="Arial Narrow" w:hAnsi="Arial Narrow"/>
                <w:noProof/>
                <w:color w:val="000000"/>
                <w:sz w:val="20"/>
                <w:highlight w:val="black"/>
              </w:rPr>
              <w:t>'''''''''''''</w:t>
            </w:r>
          </w:p>
        </w:tc>
        <w:tc>
          <w:tcPr>
            <w:tcW w:w="932" w:type="pct"/>
            <w:tcBorders>
              <w:bottom w:val="nil"/>
            </w:tcBorders>
            <w:vAlign w:val="center"/>
          </w:tcPr>
          <w:p w:rsidR="00F720FD" w:rsidRPr="00F17FFB" w:rsidRDefault="00F17FFB" w:rsidP="006B1573">
            <w:pPr>
              <w:keepNext/>
              <w:ind w:right="93"/>
              <w:jc w:val="center"/>
              <w:rPr>
                <w:rFonts w:ascii="Arial Narrow" w:hAnsi="Arial Narrow"/>
                <w:sz w:val="20"/>
                <w:highlight w:val="black"/>
              </w:rPr>
            </w:pPr>
            <w:r>
              <w:rPr>
                <w:rFonts w:ascii="Arial Narrow" w:hAnsi="Arial Narrow"/>
                <w:noProof/>
                <w:color w:val="000000"/>
                <w:sz w:val="20"/>
                <w:highlight w:val="black"/>
              </w:rPr>
              <w:t>'''''''''''''</w:t>
            </w:r>
          </w:p>
        </w:tc>
      </w:tr>
      <w:tr w:rsidR="006B1573" w:rsidRPr="0019793B" w:rsidTr="00494814">
        <w:trPr>
          <w:trHeight w:val="226"/>
        </w:trPr>
        <w:tc>
          <w:tcPr>
            <w:tcW w:w="1187" w:type="pct"/>
            <w:tcBorders>
              <w:top w:val="nil"/>
            </w:tcBorders>
            <w:shd w:val="clear" w:color="auto" w:fill="auto"/>
            <w:vAlign w:val="center"/>
          </w:tcPr>
          <w:p w:rsidR="006B1573" w:rsidRPr="00BB5D14" w:rsidRDefault="006B1573" w:rsidP="00C37B58">
            <w:pPr>
              <w:keepNext/>
              <w:tabs>
                <w:tab w:val="left" w:pos="142"/>
              </w:tabs>
              <w:ind w:right="93"/>
              <w:rPr>
                <w:rFonts w:ascii="Arial Narrow" w:hAnsi="Arial Narrow"/>
                <w:sz w:val="20"/>
              </w:rPr>
            </w:pPr>
            <w:r w:rsidRPr="00C34752">
              <w:rPr>
                <w:rFonts w:ascii="Arial Narrow" w:hAnsi="Arial Narrow"/>
                <w:sz w:val="20"/>
              </w:rPr>
              <w:t>Standard packs</w:t>
            </w:r>
            <w:r w:rsidR="003A61DE" w:rsidRPr="002E44DB">
              <w:rPr>
                <w:rFonts w:ascii="Arial Narrow" w:hAnsi="Arial Narrow"/>
                <w:sz w:val="20"/>
                <w:vertAlign w:val="superscript"/>
              </w:rPr>
              <w:t>c</w:t>
            </w:r>
          </w:p>
        </w:tc>
        <w:tc>
          <w:tcPr>
            <w:tcW w:w="762" w:type="pct"/>
            <w:tcBorders>
              <w:top w:val="nil"/>
            </w:tcBorders>
            <w:vAlign w:val="center"/>
          </w:tcPr>
          <w:p w:rsidR="006B1573" w:rsidRPr="00F17FFB" w:rsidRDefault="00F17FFB" w:rsidP="00C37B58">
            <w:pPr>
              <w:keepNext/>
              <w:ind w:right="93"/>
              <w:jc w:val="center"/>
              <w:rPr>
                <w:rFonts w:ascii="Arial Narrow" w:hAnsi="Arial Narrow"/>
                <w:sz w:val="20"/>
                <w:highlight w:val="black"/>
              </w:rPr>
            </w:pPr>
            <w:r>
              <w:rPr>
                <w:rFonts w:ascii="Arial Narrow" w:hAnsi="Arial Narrow"/>
                <w:noProof/>
                <w:color w:val="000000"/>
                <w:sz w:val="20"/>
                <w:highlight w:val="black"/>
              </w:rPr>
              <w:t>''''''''''''''''''</w:t>
            </w:r>
          </w:p>
        </w:tc>
        <w:tc>
          <w:tcPr>
            <w:tcW w:w="593" w:type="pct"/>
            <w:tcBorders>
              <w:top w:val="nil"/>
            </w:tcBorders>
            <w:vAlign w:val="center"/>
          </w:tcPr>
          <w:p w:rsidR="006B1573" w:rsidRPr="00F17FFB" w:rsidRDefault="00F17FFB" w:rsidP="00C37B58">
            <w:pPr>
              <w:keepNext/>
              <w:ind w:right="93"/>
              <w:jc w:val="center"/>
              <w:rPr>
                <w:rFonts w:ascii="Arial Narrow" w:hAnsi="Arial Narrow"/>
                <w:sz w:val="20"/>
                <w:highlight w:val="black"/>
              </w:rPr>
            </w:pPr>
            <w:r>
              <w:rPr>
                <w:rFonts w:ascii="Arial Narrow" w:hAnsi="Arial Narrow"/>
                <w:noProof/>
                <w:color w:val="000000"/>
                <w:sz w:val="20"/>
                <w:highlight w:val="black"/>
              </w:rPr>
              <w:t>''''''''''''''''</w:t>
            </w:r>
          </w:p>
        </w:tc>
        <w:tc>
          <w:tcPr>
            <w:tcW w:w="593" w:type="pct"/>
            <w:tcBorders>
              <w:top w:val="nil"/>
            </w:tcBorders>
            <w:vAlign w:val="center"/>
          </w:tcPr>
          <w:p w:rsidR="006B1573" w:rsidRPr="00F17FFB" w:rsidRDefault="00F17FFB" w:rsidP="00C37B58">
            <w:pPr>
              <w:keepNext/>
              <w:ind w:right="93"/>
              <w:jc w:val="center"/>
              <w:rPr>
                <w:rFonts w:ascii="Arial Narrow" w:hAnsi="Arial Narrow"/>
                <w:sz w:val="20"/>
                <w:highlight w:val="black"/>
              </w:rPr>
            </w:pPr>
            <w:r>
              <w:rPr>
                <w:rFonts w:ascii="Arial Narrow" w:hAnsi="Arial Narrow"/>
                <w:noProof/>
                <w:color w:val="000000"/>
                <w:sz w:val="20"/>
                <w:highlight w:val="black"/>
              </w:rPr>
              <w:t>'''''''''''''''''</w:t>
            </w:r>
          </w:p>
        </w:tc>
        <w:tc>
          <w:tcPr>
            <w:tcW w:w="933" w:type="pct"/>
            <w:tcBorders>
              <w:top w:val="nil"/>
            </w:tcBorders>
            <w:vAlign w:val="center"/>
          </w:tcPr>
          <w:p w:rsidR="006B1573" w:rsidRPr="00F17FFB" w:rsidRDefault="00F17FFB" w:rsidP="00C37B58">
            <w:pPr>
              <w:keepNext/>
              <w:ind w:right="93"/>
              <w:jc w:val="center"/>
              <w:rPr>
                <w:rFonts w:ascii="Arial Narrow" w:hAnsi="Arial Narrow"/>
                <w:sz w:val="20"/>
                <w:highlight w:val="black"/>
              </w:rPr>
            </w:pPr>
            <w:r>
              <w:rPr>
                <w:rFonts w:ascii="Arial Narrow" w:hAnsi="Arial Narrow"/>
                <w:noProof/>
                <w:color w:val="000000"/>
                <w:sz w:val="20"/>
                <w:highlight w:val="black"/>
              </w:rPr>
              <w:t>'''''''''''''''''</w:t>
            </w:r>
          </w:p>
        </w:tc>
        <w:tc>
          <w:tcPr>
            <w:tcW w:w="932" w:type="pct"/>
            <w:tcBorders>
              <w:top w:val="nil"/>
            </w:tcBorders>
            <w:vAlign w:val="center"/>
          </w:tcPr>
          <w:p w:rsidR="006B1573" w:rsidRPr="00F17FFB" w:rsidRDefault="00F17FFB" w:rsidP="00C37B58">
            <w:pPr>
              <w:keepNext/>
              <w:ind w:right="93"/>
              <w:jc w:val="center"/>
              <w:rPr>
                <w:rFonts w:ascii="Arial Narrow" w:hAnsi="Arial Narrow"/>
                <w:sz w:val="20"/>
                <w:highlight w:val="black"/>
              </w:rPr>
            </w:pPr>
            <w:r>
              <w:rPr>
                <w:rFonts w:ascii="Arial Narrow" w:hAnsi="Arial Narrow"/>
                <w:noProof/>
                <w:color w:val="000000"/>
                <w:sz w:val="20"/>
                <w:highlight w:val="black"/>
              </w:rPr>
              <w:t>''''''''''''''''''</w:t>
            </w:r>
          </w:p>
        </w:tc>
      </w:tr>
      <w:tr w:rsidR="006B1573" w:rsidRPr="0019793B" w:rsidTr="00494814">
        <w:tc>
          <w:tcPr>
            <w:tcW w:w="1187" w:type="pct"/>
            <w:shd w:val="clear" w:color="auto" w:fill="auto"/>
            <w:vAlign w:val="center"/>
          </w:tcPr>
          <w:p w:rsidR="006B1573" w:rsidRPr="00C34752" w:rsidRDefault="006B1573" w:rsidP="00C37B58">
            <w:pPr>
              <w:keepNext/>
              <w:tabs>
                <w:tab w:val="left" w:pos="142"/>
              </w:tabs>
              <w:ind w:right="93"/>
              <w:rPr>
                <w:rFonts w:ascii="Arial Narrow" w:hAnsi="Arial Narrow"/>
                <w:sz w:val="20"/>
              </w:rPr>
            </w:pPr>
            <w:r w:rsidRPr="00C34752">
              <w:rPr>
                <w:rFonts w:ascii="Arial Narrow" w:hAnsi="Arial Narrow"/>
                <w:sz w:val="20"/>
              </w:rPr>
              <w:t>Total packs</w:t>
            </w:r>
          </w:p>
        </w:tc>
        <w:tc>
          <w:tcPr>
            <w:tcW w:w="762" w:type="pct"/>
            <w:vAlign w:val="center"/>
          </w:tcPr>
          <w:p w:rsidR="006B1573" w:rsidRPr="00F17FFB" w:rsidRDefault="00F17FFB" w:rsidP="00C37B58">
            <w:pPr>
              <w:keepNext/>
              <w:ind w:right="93"/>
              <w:jc w:val="center"/>
              <w:rPr>
                <w:rFonts w:ascii="Arial Narrow" w:hAnsi="Arial Narrow"/>
                <w:sz w:val="20"/>
                <w:highlight w:val="black"/>
              </w:rPr>
            </w:pPr>
            <w:r>
              <w:rPr>
                <w:rFonts w:ascii="Arial Narrow" w:hAnsi="Arial Narrow"/>
                <w:noProof/>
                <w:color w:val="000000"/>
                <w:sz w:val="20"/>
                <w:highlight w:val="black"/>
              </w:rPr>
              <w:t>''''''''''''''''</w:t>
            </w:r>
          </w:p>
        </w:tc>
        <w:tc>
          <w:tcPr>
            <w:tcW w:w="593" w:type="pct"/>
            <w:vAlign w:val="center"/>
          </w:tcPr>
          <w:p w:rsidR="006B1573" w:rsidRPr="00F17FFB" w:rsidRDefault="00F17FFB" w:rsidP="00C37B58">
            <w:pPr>
              <w:keepNext/>
              <w:ind w:right="93"/>
              <w:jc w:val="center"/>
              <w:rPr>
                <w:rFonts w:ascii="Arial Narrow" w:hAnsi="Arial Narrow"/>
                <w:sz w:val="20"/>
                <w:highlight w:val="black"/>
              </w:rPr>
            </w:pPr>
            <w:r>
              <w:rPr>
                <w:rFonts w:ascii="Arial Narrow" w:hAnsi="Arial Narrow"/>
                <w:noProof/>
                <w:color w:val="000000"/>
                <w:sz w:val="20"/>
                <w:highlight w:val="black"/>
              </w:rPr>
              <w:t>'''''''''''''''''</w:t>
            </w:r>
          </w:p>
        </w:tc>
        <w:tc>
          <w:tcPr>
            <w:tcW w:w="593" w:type="pct"/>
            <w:vAlign w:val="center"/>
          </w:tcPr>
          <w:p w:rsidR="006B1573" w:rsidRPr="00F17FFB" w:rsidRDefault="00F17FFB" w:rsidP="00C37B58">
            <w:pPr>
              <w:keepNext/>
              <w:ind w:right="93"/>
              <w:jc w:val="center"/>
              <w:rPr>
                <w:rFonts w:ascii="Arial Narrow" w:hAnsi="Arial Narrow"/>
                <w:sz w:val="20"/>
                <w:highlight w:val="black"/>
              </w:rPr>
            </w:pPr>
            <w:r>
              <w:rPr>
                <w:rFonts w:ascii="Arial Narrow" w:hAnsi="Arial Narrow"/>
                <w:noProof/>
                <w:color w:val="000000"/>
                <w:sz w:val="20"/>
                <w:highlight w:val="black"/>
              </w:rPr>
              <w:t>''''''''''''''''</w:t>
            </w:r>
          </w:p>
        </w:tc>
        <w:tc>
          <w:tcPr>
            <w:tcW w:w="933" w:type="pct"/>
            <w:vAlign w:val="center"/>
          </w:tcPr>
          <w:p w:rsidR="006B1573" w:rsidRPr="00F17FFB" w:rsidRDefault="00F17FFB" w:rsidP="00C37B58">
            <w:pPr>
              <w:keepNext/>
              <w:ind w:right="93"/>
              <w:jc w:val="center"/>
              <w:rPr>
                <w:rFonts w:ascii="Arial Narrow" w:hAnsi="Arial Narrow"/>
                <w:sz w:val="20"/>
                <w:highlight w:val="black"/>
              </w:rPr>
            </w:pPr>
            <w:r>
              <w:rPr>
                <w:rFonts w:ascii="Arial Narrow" w:hAnsi="Arial Narrow"/>
                <w:noProof/>
                <w:color w:val="000000"/>
                <w:sz w:val="20"/>
                <w:highlight w:val="black"/>
              </w:rPr>
              <w:t>'''''''''''''''</w:t>
            </w:r>
          </w:p>
        </w:tc>
        <w:tc>
          <w:tcPr>
            <w:tcW w:w="932" w:type="pct"/>
            <w:vAlign w:val="center"/>
          </w:tcPr>
          <w:p w:rsidR="006B1573" w:rsidRPr="00F17FFB" w:rsidRDefault="00F17FFB" w:rsidP="00C37B58">
            <w:pPr>
              <w:keepNext/>
              <w:ind w:right="93"/>
              <w:jc w:val="center"/>
              <w:rPr>
                <w:rFonts w:ascii="Arial Narrow" w:hAnsi="Arial Narrow"/>
                <w:sz w:val="20"/>
                <w:highlight w:val="black"/>
              </w:rPr>
            </w:pPr>
            <w:r>
              <w:rPr>
                <w:rFonts w:ascii="Arial Narrow" w:hAnsi="Arial Narrow"/>
                <w:noProof/>
                <w:color w:val="000000"/>
                <w:sz w:val="20"/>
                <w:highlight w:val="black"/>
              </w:rPr>
              <w:t>'''''''''''''''''</w:t>
            </w:r>
          </w:p>
        </w:tc>
      </w:tr>
      <w:tr w:rsidR="00F720FD" w:rsidRPr="0019793B" w:rsidTr="00494814">
        <w:tc>
          <w:tcPr>
            <w:tcW w:w="1187" w:type="pct"/>
            <w:shd w:val="clear" w:color="auto" w:fill="auto"/>
            <w:vAlign w:val="center"/>
          </w:tcPr>
          <w:p w:rsidR="00F720FD" w:rsidRPr="00BE080A" w:rsidRDefault="00F720FD" w:rsidP="00C37B58">
            <w:pPr>
              <w:keepNext/>
              <w:tabs>
                <w:tab w:val="left" w:pos="142"/>
              </w:tabs>
              <w:ind w:right="93"/>
              <w:rPr>
                <w:rFonts w:ascii="Arial Narrow" w:hAnsi="Arial Narrow"/>
                <w:sz w:val="20"/>
              </w:rPr>
            </w:pPr>
            <w:r w:rsidRPr="00BE080A">
              <w:rPr>
                <w:rFonts w:ascii="Arial Narrow" w:hAnsi="Arial Narrow"/>
                <w:sz w:val="20"/>
              </w:rPr>
              <w:t>Total packs</w:t>
            </w:r>
            <w:r w:rsidR="00956081" w:rsidRPr="00BE080A">
              <w:rPr>
                <w:rFonts w:ascii="Arial Narrow" w:hAnsi="Arial Narrow"/>
                <w:sz w:val="20"/>
              </w:rPr>
              <w:t xml:space="preserve"> – Nov 2016</w:t>
            </w:r>
          </w:p>
        </w:tc>
        <w:tc>
          <w:tcPr>
            <w:tcW w:w="762" w:type="pct"/>
            <w:vAlign w:val="center"/>
          </w:tcPr>
          <w:p w:rsidR="00F720FD" w:rsidRPr="00F17FFB" w:rsidRDefault="00F17FFB" w:rsidP="00C37B58">
            <w:pPr>
              <w:keepNext/>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93" w:type="pct"/>
            <w:vAlign w:val="center"/>
          </w:tcPr>
          <w:p w:rsidR="00F720FD" w:rsidRPr="00F17FFB" w:rsidRDefault="00F17FFB" w:rsidP="00C37B58">
            <w:pPr>
              <w:keepNext/>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93" w:type="pct"/>
            <w:vAlign w:val="center"/>
          </w:tcPr>
          <w:p w:rsidR="00F720FD" w:rsidRPr="00F17FFB" w:rsidRDefault="00F17FFB" w:rsidP="00C37B58">
            <w:pPr>
              <w:keepNext/>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933" w:type="pct"/>
            <w:vAlign w:val="center"/>
          </w:tcPr>
          <w:p w:rsidR="00F720FD" w:rsidRPr="00F17FFB" w:rsidRDefault="00F17FFB" w:rsidP="00C37B58">
            <w:pPr>
              <w:keepNext/>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932" w:type="pct"/>
            <w:vAlign w:val="center"/>
          </w:tcPr>
          <w:p w:rsidR="00F720FD" w:rsidRPr="00F17FFB" w:rsidRDefault="00F17FFB" w:rsidP="00C37B58">
            <w:pPr>
              <w:keepNext/>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F720FD" w:rsidRPr="0019793B" w:rsidTr="00494814">
        <w:tc>
          <w:tcPr>
            <w:tcW w:w="5000" w:type="pct"/>
            <w:gridSpan w:val="6"/>
            <w:shd w:val="clear" w:color="auto" w:fill="auto"/>
            <w:vAlign w:val="center"/>
          </w:tcPr>
          <w:p w:rsidR="00F720FD" w:rsidRPr="002E44DB" w:rsidRDefault="004B5A20" w:rsidP="00C37B58">
            <w:pPr>
              <w:keepNext/>
              <w:ind w:right="93"/>
              <w:rPr>
                <w:rFonts w:ascii="Arial Narrow" w:hAnsi="Arial Narrow"/>
                <w:b/>
                <w:bCs/>
                <w:color w:val="000000"/>
                <w:sz w:val="20"/>
              </w:rPr>
            </w:pPr>
            <w:r w:rsidRPr="00C34752">
              <w:rPr>
                <w:rFonts w:ascii="Arial Narrow" w:hAnsi="Arial Narrow"/>
                <w:b/>
                <w:bCs/>
                <w:color w:val="000000"/>
                <w:sz w:val="20"/>
              </w:rPr>
              <w:t>Estimated net cost to PBS/RPBS</w:t>
            </w:r>
          </w:p>
        </w:tc>
      </w:tr>
      <w:tr w:rsidR="00892EA5" w:rsidRPr="0019793B" w:rsidTr="00494814">
        <w:tc>
          <w:tcPr>
            <w:tcW w:w="1187" w:type="pct"/>
            <w:shd w:val="clear" w:color="auto" w:fill="auto"/>
            <w:vAlign w:val="center"/>
          </w:tcPr>
          <w:p w:rsidR="00892EA5" w:rsidRPr="00BB5D14" w:rsidRDefault="00892EA5" w:rsidP="00C37B58">
            <w:pPr>
              <w:keepNext/>
              <w:tabs>
                <w:tab w:val="left" w:pos="142"/>
              </w:tabs>
              <w:ind w:right="93"/>
              <w:rPr>
                <w:rFonts w:ascii="Arial Narrow" w:hAnsi="Arial Narrow"/>
                <w:sz w:val="20"/>
              </w:rPr>
            </w:pPr>
            <w:r w:rsidRPr="00C34752">
              <w:rPr>
                <w:rFonts w:ascii="Arial Narrow" w:hAnsi="Arial Narrow"/>
                <w:sz w:val="20"/>
              </w:rPr>
              <w:t>Cost to PBS</w:t>
            </w:r>
            <w:r w:rsidR="004B5A20" w:rsidRPr="002E44DB">
              <w:rPr>
                <w:rFonts w:ascii="Arial Narrow" w:hAnsi="Arial Narrow"/>
                <w:sz w:val="20"/>
              </w:rPr>
              <w:t>/RPBS</w:t>
            </w:r>
            <w:r w:rsidRPr="00BB5D14">
              <w:rPr>
                <w:rFonts w:ascii="Arial Narrow" w:hAnsi="Arial Narrow"/>
                <w:sz w:val="20"/>
              </w:rPr>
              <w:t xml:space="preserve"> of apremilast (less copayments)</w:t>
            </w:r>
          </w:p>
        </w:tc>
        <w:tc>
          <w:tcPr>
            <w:tcW w:w="762" w:type="pct"/>
          </w:tcPr>
          <w:p w:rsidR="00892EA5" w:rsidRPr="00BB5D14" w:rsidRDefault="00892EA5" w:rsidP="00892EA5">
            <w:pPr>
              <w:jc w:val="center"/>
              <w:rPr>
                <w:rFonts w:ascii="Arial Narrow" w:hAnsi="Arial Narrow"/>
                <w:color w:val="000000"/>
                <w:sz w:val="20"/>
                <w:szCs w:val="20"/>
                <w:lang w:val="en-US"/>
              </w:rPr>
            </w:pPr>
            <w:r w:rsidRPr="00BB5D14">
              <w:rPr>
                <w:rFonts w:ascii="Arial Narrow" w:hAnsi="Arial Narrow"/>
                <w:color w:val="000000"/>
                <w:sz w:val="20"/>
                <w:szCs w:val="20"/>
                <w:lang w:val="en-US"/>
              </w:rPr>
              <w:t>$</w:t>
            </w:r>
            <w:r w:rsidR="00F17FFB">
              <w:rPr>
                <w:rFonts w:ascii="Arial Narrow" w:hAnsi="Arial Narrow"/>
                <w:noProof/>
                <w:color w:val="000000"/>
                <w:sz w:val="20"/>
                <w:szCs w:val="20"/>
                <w:highlight w:val="black"/>
                <w:lang w:val="en-US"/>
              </w:rPr>
              <w:t>''''''''''''''''''''''''</w:t>
            </w:r>
          </w:p>
        </w:tc>
        <w:tc>
          <w:tcPr>
            <w:tcW w:w="593" w:type="pct"/>
          </w:tcPr>
          <w:p w:rsidR="00892EA5" w:rsidRPr="00BB5D14" w:rsidRDefault="00892EA5" w:rsidP="00892EA5">
            <w:pPr>
              <w:jc w:val="center"/>
              <w:rPr>
                <w:rFonts w:ascii="Arial Narrow" w:hAnsi="Arial Narrow"/>
                <w:color w:val="000000"/>
                <w:sz w:val="20"/>
                <w:szCs w:val="20"/>
                <w:lang w:val="en-US"/>
              </w:rPr>
            </w:pPr>
            <w:r w:rsidRPr="00BB5D14">
              <w:rPr>
                <w:rFonts w:ascii="Arial Narrow" w:hAnsi="Arial Narrow"/>
                <w:color w:val="000000"/>
                <w:sz w:val="20"/>
                <w:szCs w:val="20"/>
                <w:lang w:val="en-US"/>
              </w:rPr>
              <w:t>$</w:t>
            </w:r>
            <w:r w:rsidR="00F17FFB">
              <w:rPr>
                <w:rFonts w:ascii="Arial Narrow" w:hAnsi="Arial Narrow"/>
                <w:noProof/>
                <w:color w:val="000000"/>
                <w:sz w:val="20"/>
                <w:szCs w:val="20"/>
                <w:highlight w:val="black"/>
                <w:lang w:val="en-US"/>
              </w:rPr>
              <w:t>'''''''''''''''''''''''''''</w:t>
            </w:r>
          </w:p>
        </w:tc>
        <w:tc>
          <w:tcPr>
            <w:tcW w:w="593" w:type="pct"/>
          </w:tcPr>
          <w:p w:rsidR="00892EA5" w:rsidRPr="00BB5D14" w:rsidRDefault="00892EA5" w:rsidP="00892EA5">
            <w:pPr>
              <w:jc w:val="center"/>
              <w:rPr>
                <w:rFonts w:ascii="Arial Narrow" w:hAnsi="Arial Narrow"/>
                <w:color w:val="000000"/>
                <w:sz w:val="20"/>
                <w:szCs w:val="20"/>
                <w:lang w:val="en-US"/>
              </w:rPr>
            </w:pPr>
            <w:r w:rsidRPr="00BB5D14">
              <w:rPr>
                <w:rFonts w:ascii="Arial Narrow" w:hAnsi="Arial Narrow"/>
                <w:color w:val="000000"/>
                <w:sz w:val="20"/>
                <w:szCs w:val="20"/>
                <w:lang w:val="en-US"/>
              </w:rPr>
              <w:t>$</w:t>
            </w:r>
            <w:r w:rsidR="00F17FFB">
              <w:rPr>
                <w:rFonts w:ascii="Arial Narrow" w:hAnsi="Arial Narrow"/>
                <w:noProof/>
                <w:color w:val="000000"/>
                <w:sz w:val="20"/>
                <w:szCs w:val="20"/>
                <w:highlight w:val="black"/>
                <w:lang w:val="en-US"/>
              </w:rPr>
              <w:t>''''''''''''''''''''''''</w:t>
            </w:r>
          </w:p>
        </w:tc>
        <w:tc>
          <w:tcPr>
            <w:tcW w:w="933" w:type="pct"/>
          </w:tcPr>
          <w:p w:rsidR="00892EA5" w:rsidRPr="00BB5D14" w:rsidRDefault="00892EA5" w:rsidP="00892EA5">
            <w:pPr>
              <w:jc w:val="center"/>
              <w:rPr>
                <w:rFonts w:ascii="Arial Narrow" w:hAnsi="Arial Narrow"/>
                <w:color w:val="000000"/>
                <w:sz w:val="20"/>
                <w:szCs w:val="20"/>
                <w:lang w:val="en-US"/>
              </w:rPr>
            </w:pPr>
            <w:r w:rsidRPr="00BB5D14">
              <w:rPr>
                <w:rFonts w:ascii="Arial Narrow" w:hAnsi="Arial Narrow"/>
                <w:color w:val="000000"/>
                <w:sz w:val="20"/>
                <w:szCs w:val="20"/>
                <w:lang w:val="en-US"/>
              </w:rPr>
              <w:t>$</w:t>
            </w:r>
            <w:r w:rsidR="00F17FFB">
              <w:rPr>
                <w:rFonts w:ascii="Arial Narrow" w:hAnsi="Arial Narrow"/>
                <w:noProof/>
                <w:color w:val="000000"/>
                <w:sz w:val="20"/>
                <w:szCs w:val="20"/>
                <w:highlight w:val="black"/>
                <w:lang w:val="en-US"/>
              </w:rPr>
              <w:t>'''''''''''''''''''''''</w:t>
            </w:r>
          </w:p>
        </w:tc>
        <w:tc>
          <w:tcPr>
            <w:tcW w:w="932" w:type="pct"/>
          </w:tcPr>
          <w:p w:rsidR="00892EA5" w:rsidRPr="00C34752" w:rsidRDefault="00892EA5" w:rsidP="00892EA5">
            <w:pPr>
              <w:jc w:val="center"/>
              <w:rPr>
                <w:rFonts w:ascii="Arial Narrow" w:hAnsi="Arial Narrow"/>
                <w:color w:val="000000"/>
                <w:sz w:val="20"/>
                <w:szCs w:val="20"/>
                <w:lang w:val="en-US"/>
              </w:rPr>
            </w:pPr>
            <w:r w:rsidRPr="00C34752">
              <w:rPr>
                <w:rFonts w:ascii="Arial Narrow" w:hAnsi="Arial Narrow"/>
                <w:color w:val="000000"/>
                <w:sz w:val="20"/>
                <w:szCs w:val="20"/>
                <w:lang w:val="en-US"/>
              </w:rPr>
              <w:t>$</w:t>
            </w:r>
            <w:r w:rsidR="00F17FFB">
              <w:rPr>
                <w:rFonts w:ascii="Arial Narrow" w:hAnsi="Arial Narrow"/>
                <w:noProof/>
                <w:color w:val="000000"/>
                <w:sz w:val="20"/>
                <w:szCs w:val="20"/>
                <w:highlight w:val="black"/>
                <w:lang w:val="en-US"/>
              </w:rPr>
              <w:t>''''''''''''''''''''''''''</w:t>
            </w:r>
          </w:p>
        </w:tc>
      </w:tr>
      <w:tr w:rsidR="00892EA5" w:rsidRPr="0019793B" w:rsidTr="00494814">
        <w:tc>
          <w:tcPr>
            <w:tcW w:w="1187" w:type="pct"/>
            <w:shd w:val="clear" w:color="auto" w:fill="auto"/>
            <w:vAlign w:val="center"/>
          </w:tcPr>
          <w:p w:rsidR="00892EA5" w:rsidRPr="00BB5D14" w:rsidRDefault="00E2004E" w:rsidP="00E2004E">
            <w:pPr>
              <w:keepNext/>
              <w:tabs>
                <w:tab w:val="left" w:pos="142"/>
              </w:tabs>
              <w:ind w:right="93"/>
              <w:rPr>
                <w:rFonts w:ascii="Arial Narrow" w:hAnsi="Arial Narrow"/>
                <w:sz w:val="20"/>
              </w:rPr>
            </w:pPr>
            <w:r w:rsidRPr="00C34752">
              <w:rPr>
                <w:rFonts w:ascii="Arial Narrow" w:hAnsi="Arial Narrow"/>
                <w:sz w:val="20"/>
              </w:rPr>
              <w:t>Cos</w:t>
            </w:r>
            <w:r w:rsidRPr="002E44DB">
              <w:rPr>
                <w:rFonts w:ascii="Arial Narrow" w:hAnsi="Arial Narrow"/>
                <w:sz w:val="20"/>
              </w:rPr>
              <w:t>t to PBS/RPBS of r</w:t>
            </w:r>
            <w:r w:rsidR="00892EA5" w:rsidRPr="00BB5D14">
              <w:rPr>
                <w:rFonts w:ascii="Arial Narrow" w:hAnsi="Arial Narrow"/>
                <w:sz w:val="20"/>
              </w:rPr>
              <w:t>educed utilisation of other drugs</w:t>
            </w:r>
          </w:p>
        </w:tc>
        <w:tc>
          <w:tcPr>
            <w:tcW w:w="762" w:type="pct"/>
          </w:tcPr>
          <w:p w:rsidR="00892EA5" w:rsidRPr="00BB5D14" w:rsidRDefault="00E2004E" w:rsidP="00892EA5">
            <w:pPr>
              <w:jc w:val="center"/>
              <w:rPr>
                <w:rFonts w:ascii="Arial Narrow" w:hAnsi="Arial Narrow"/>
                <w:color w:val="000000"/>
                <w:sz w:val="20"/>
                <w:szCs w:val="20"/>
                <w:lang w:val="en-US"/>
              </w:rPr>
            </w:pPr>
            <w:r w:rsidRPr="00BB5D14">
              <w:rPr>
                <w:rFonts w:ascii="Arial Narrow" w:hAnsi="Arial Narrow"/>
                <w:color w:val="000000"/>
                <w:sz w:val="20"/>
                <w:szCs w:val="20"/>
                <w:lang w:val="en-US"/>
              </w:rPr>
              <w:t>-</w:t>
            </w:r>
            <w:r w:rsidR="00892EA5" w:rsidRPr="00BB5D14">
              <w:rPr>
                <w:rFonts w:ascii="Arial Narrow" w:hAnsi="Arial Narrow"/>
                <w:color w:val="000000"/>
                <w:sz w:val="20"/>
                <w:szCs w:val="20"/>
                <w:lang w:val="en-US"/>
              </w:rPr>
              <w:t>$</w:t>
            </w:r>
            <w:r w:rsidR="00F17FFB">
              <w:rPr>
                <w:rFonts w:ascii="Arial Narrow" w:hAnsi="Arial Narrow"/>
                <w:noProof/>
                <w:color w:val="000000"/>
                <w:sz w:val="20"/>
                <w:szCs w:val="20"/>
                <w:highlight w:val="black"/>
                <w:lang w:val="en-US"/>
              </w:rPr>
              <w:t>''''''''''''''''''''''''</w:t>
            </w:r>
          </w:p>
        </w:tc>
        <w:tc>
          <w:tcPr>
            <w:tcW w:w="593" w:type="pct"/>
          </w:tcPr>
          <w:p w:rsidR="00892EA5" w:rsidRPr="00BB5D14" w:rsidRDefault="00E2004E" w:rsidP="00892EA5">
            <w:pPr>
              <w:jc w:val="center"/>
              <w:rPr>
                <w:rFonts w:ascii="Arial Narrow" w:hAnsi="Arial Narrow"/>
                <w:color w:val="000000"/>
                <w:sz w:val="20"/>
                <w:szCs w:val="20"/>
                <w:lang w:val="en-US"/>
              </w:rPr>
            </w:pPr>
            <w:r w:rsidRPr="00BB5D14">
              <w:rPr>
                <w:rFonts w:ascii="Arial Narrow" w:hAnsi="Arial Narrow"/>
                <w:color w:val="000000"/>
                <w:sz w:val="20"/>
                <w:szCs w:val="20"/>
                <w:lang w:val="en-US"/>
              </w:rPr>
              <w:t>-</w:t>
            </w:r>
            <w:r w:rsidR="00892EA5" w:rsidRPr="00BB5D14">
              <w:rPr>
                <w:rFonts w:ascii="Arial Narrow" w:hAnsi="Arial Narrow"/>
                <w:color w:val="000000"/>
                <w:sz w:val="20"/>
                <w:szCs w:val="20"/>
                <w:lang w:val="en-US"/>
              </w:rPr>
              <w:t>$</w:t>
            </w:r>
            <w:r w:rsidR="00F17FFB">
              <w:rPr>
                <w:rFonts w:ascii="Arial Narrow" w:hAnsi="Arial Narrow"/>
                <w:noProof/>
                <w:color w:val="000000"/>
                <w:sz w:val="20"/>
                <w:szCs w:val="20"/>
                <w:highlight w:val="black"/>
                <w:lang w:val="en-US"/>
              </w:rPr>
              <w:t>'''''''''''''''''''''</w:t>
            </w:r>
          </w:p>
        </w:tc>
        <w:tc>
          <w:tcPr>
            <w:tcW w:w="593" w:type="pct"/>
          </w:tcPr>
          <w:p w:rsidR="00892EA5" w:rsidRPr="00C34752" w:rsidRDefault="00E2004E" w:rsidP="00892EA5">
            <w:pPr>
              <w:jc w:val="center"/>
              <w:rPr>
                <w:rFonts w:ascii="Arial Narrow" w:hAnsi="Arial Narrow"/>
                <w:color w:val="000000"/>
                <w:sz w:val="20"/>
                <w:szCs w:val="20"/>
                <w:lang w:val="en-US"/>
              </w:rPr>
            </w:pPr>
            <w:r w:rsidRPr="00C34752">
              <w:rPr>
                <w:rFonts w:ascii="Arial Narrow" w:hAnsi="Arial Narrow"/>
                <w:color w:val="000000"/>
                <w:sz w:val="20"/>
                <w:szCs w:val="20"/>
                <w:lang w:val="en-US"/>
              </w:rPr>
              <w:t>-</w:t>
            </w:r>
            <w:r w:rsidR="00892EA5" w:rsidRPr="00C34752">
              <w:rPr>
                <w:rFonts w:ascii="Arial Narrow" w:hAnsi="Arial Narrow"/>
                <w:color w:val="000000"/>
                <w:sz w:val="20"/>
                <w:szCs w:val="20"/>
                <w:lang w:val="en-US"/>
              </w:rPr>
              <w:t>$</w:t>
            </w:r>
            <w:r w:rsidR="00F17FFB">
              <w:rPr>
                <w:rFonts w:ascii="Arial Narrow" w:hAnsi="Arial Narrow"/>
                <w:noProof/>
                <w:color w:val="000000"/>
                <w:sz w:val="20"/>
                <w:szCs w:val="20"/>
                <w:highlight w:val="black"/>
                <w:lang w:val="en-US"/>
              </w:rPr>
              <w:t>'''''''''''''''''''''''</w:t>
            </w:r>
          </w:p>
        </w:tc>
        <w:tc>
          <w:tcPr>
            <w:tcW w:w="933" w:type="pct"/>
          </w:tcPr>
          <w:p w:rsidR="00892EA5" w:rsidRPr="00C34752" w:rsidRDefault="00E2004E" w:rsidP="00892EA5">
            <w:pPr>
              <w:jc w:val="center"/>
              <w:rPr>
                <w:rFonts w:ascii="Arial Narrow" w:hAnsi="Arial Narrow"/>
                <w:color w:val="000000"/>
                <w:sz w:val="20"/>
                <w:szCs w:val="20"/>
                <w:lang w:val="en-US"/>
              </w:rPr>
            </w:pPr>
            <w:r w:rsidRPr="00C34752">
              <w:rPr>
                <w:rFonts w:ascii="Arial Narrow" w:hAnsi="Arial Narrow"/>
                <w:color w:val="000000"/>
                <w:sz w:val="20"/>
                <w:szCs w:val="20"/>
                <w:lang w:val="en-US"/>
              </w:rPr>
              <w:t>-</w:t>
            </w:r>
            <w:r w:rsidR="00892EA5" w:rsidRPr="00C34752">
              <w:rPr>
                <w:rFonts w:ascii="Arial Narrow" w:hAnsi="Arial Narrow"/>
                <w:color w:val="000000"/>
                <w:sz w:val="20"/>
                <w:szCs w:val="20"/>
                <w:lang w:val="en-US"/>
              </w:rPr>
              <w:t>$</w:t>
            </w:r>
            <w:r w:rsidR="00F17FFB">
              <w:rPr>
                <w:rFonts w:ascii="Arial Narrow" w:hAnsi="Arial Narrow"/>
                <w:noProof/>
                <w:color w:val="000000"/>
                <w:sz w:val="20"/>
                <w:szCs w:val="20"/>
                <w:highlight w:val="black"/>
                <w:lang w:val="en-US"/>
              </w:rPr>
              <w:t>'''''''''''''''''''''''</w:t>
            </w:r>
          </w:p>
        </w:tc>
        <w:tc>
          <w:tcPr>
            <w:tcW w:w="932" w:type="pct"/>
          </w:tcPr>
          <w:p w:rsidR="00892EA5" w:rsidRPr="00C34752" w:rsidRDefault="00E2004E" w:rsidP="00892EA5">
            <w:pPr>
              <w:jc w:val="center"/>
              <w:rPr>
                <w:rFonts w:ascii="Arial Narrow" w:hAnsi="Arial Narrow"/>
                <w:color w:val="000000"/>
                <w:sz w:val="20"/>
                <w:szCs w:val="20"/>
                <w:lang w:val="en-US"/>
              </w:rPr>
            </w:pPr>
            <w:r w:rsidRPr="00C34752">
              <w:rPr>
                <w:rFonts w:ascii="Arial Narrow" w:hAnsi="Arial Narrow"/>
                <w:color w:val="000000"/>
                <w:sz w:val="20"/>
                <w:szCs w:val="20"/>
                <w:lang w:val="en-US"/>
              </w:rPr>
              <w:t>-</w:t>
            </w:r>
            <w:r w:rsidR="00892EA5" w:rsidRPr="00C34752">
              <w:rPr>
                <w:rFonts w:ascii="Arial Narrow" w:hAnsi="Arial Narrow"/>
                <w:color w:val="000000"/>
                <w:sz w:val="20"/>
                <w:szCs w:val="20"/>
                <w:lang w:val="en-US"/>
              </w:rPr>
              <w:t>$</w:t>
            </w:r>
            <w:r w:rsidR="00F17FFB">
              <w:rPr>
                <w:rFonts w:ascii="Arial Narrow" w:hAnsi="Arial Narrow"/>
                <w:noProof/>
                <w:color w:val="000000"/>
                <w:sz w:val="20"/>
                <w:szCs w:val="20"/>
                <w:highlight w:val="black"/>
                <w:lang w:val="en-US"/>
              </w:rPr>
              <w:t>'''''''''''''''''''''''''</w:t>
            </w:r>
          </w:p>
        </w:tc>
      </w:tr>
      <w:tr w:rsidR="00892EA5" w:rsidRPr="0019793B" w:rsidTr="00494814">
        <w:tc>
          <w:tcPr>
            <w:tcW w:w="1187" w:type="pct"/>
            <w:shd w:val="clear" w:color="auto" w:fill="auto"/>
            <w:vAlign w:val="center"/>
          </w:tcPr>
          <w:p w:rsidR="00892EA5" w:rsidRPr="00BB5D14" w:rsidRDefault="00892EA5" w:rsidP="00892EA5">
            <w:pPr>
              <w:keepNext/>
              <w:tabs>
                <w:tab w:val="left" w:pos="142"/>
              </w:tabs>
              <w:ind w:right="93"/>
              <w:rPr>
                <w:rFonts w:ascii="Arial Narrow" w:hAnsi="Arial Narrow"/>
                <w:sz w:val="20"/>
              </w:rPr>
            </w:pPr>
            <w:r w:rsidRPr="00C34752">
              <w:rPr>
                <w:rFonts w:ascii="Arial Narrow" w:hAnsi="Arial Narrow"/>
                <w:sz w:val="20"/>
              </w:rPr>
              <w:t>Net cost to PBS</w:t>
            </w:r>
            <w:r w:rsidR="004B5A20" w:rsidRPr="002E44DB">
              <w:rPr>
                <w:rFonts w:ascii="Arial Narrow" w:hAnsi="Arial Narrow"/>
                <w:sz w:val="20"/>
              </w:rPr>
              <w:t>/RPBS</w:t>
            </w:r>
          </w:p>
        </w:tc>
        <w:tc>
          <w:tcPr>
            <w:tcW w:w="762" w:type="pct"/>
          </w:tcPr>
          <w:p w:rsidR="00892EA5" w:rsidRPr="00BB5D14" w:rsidRDefault="00892EA5" w:rsidP="00892EA5">
            <w:pPr>
              <w:jc w:val="center"/>
              <w:rPr>
                <w:rFonts w:ascii="Arial Narrow" w:hAnsi="Arial Narrow"/>
                <w:color w:val="000000"/>
                <w:sz w:val="20"/>
                <w:szCs w:val="20"/>
                <w:lang w:val="en-US"/>
              </w:rPr>
            </w:pPr>
            <w:r w:rsidRPr="00BB5D14">
              <w:rPr>
                <w:rFonts w:ascii="Arial Narrow" w:hAnsi="Arial Narrow"/>
                <w:color w:val="000000"/>
                <w:sz w:val="20"/>
                <w:szCs w:val="20"/>
                <w:lang w:val="en-US"/>
              </w:rPr>
              <w:t>$</w:t>
            </w:r>
            <w:r w:rsidR="00F17FFB">
              <w:rPr>
                <w:rFonts w:ascii="Arial Narrow" w:hAnsi="Arial Narrow"/>
                <w:noProof/>
                <w:color w:val="000000"/>
                <w:sz w:val="20"/>
                <w:szCs w:val="20"/>
                <w:highlight w:val="black"/>
                <w:lang w:val="en-US"/>
              </w:rPr>
              <w:t>'''''''''''''''''''''''''</w:t>
            </w:r>
          </w:p>
        </w:tc>
        <w:tc>
          <w:tcPr>
            <w:tcW w:w="593" w:type="pct"/>
          </w:tcPr>
          <w:p w:rsidR="00892EA5" w:rsidRPr="00BB5D14" w:rsidRDefault="00892EA5" w:rsidP="00892EA5">
            <w:pPr>
              <w:jc w:val="center"/>
              <w:rPr>
                <w:rFonts w:ascii="Arial Narrow" w:hAnsi="Arial Narrow"/>
                <w:color w:val="000000"/>
                <w:sz w:val="20"/>
                <w:szCs w:val="20"/>
                <w:lang w:val="en-US"/>
              </w:rPr>
            </w:pPr>
            <w:r w:rsidRPr="00BB5D14">
              <w:rPr>
                <w:rFonts w:ascii="Arial Narrow" w:hAnsi="Arial Narrow"/>
                <w:color w:val="000000"/>
                <w:sz w:val="20"/>
                <w:szCs w:val="20"/>
                <w:lang w:val="en-US"/>
              </w:rPr>
              <w:t>$</w:t>
            </w:r>
            <w:r w:rsidR="00F17FFB">
              <w:rPr>
                <w:rFonts w:ascii="Arial Narrow" w:hAnsi="Arial Narrow"/>
                <w:noProof/>
                <w:color w:val="000000"/>
                <w:sz w:val="20"/>
                <w:szCs w:val="20"/>
                <w:highlight w:val="black"/>
                <w:lang w:val="en-US"/>
              </w:rPr>
              <w:t>''''''''''''''''''''''''''''</w:t>
            </w:r>
          </w:p>
        </w:tc>
        <w:tc>
          <w:tcPr>
            <w:tcW w:w="593" w:type="pct"/>
          </w:tcPr>
          <w:p w:rsidR="00892EA5" w:rsidRPr="00BB5D14" w:rsidRDefault="00892EA5" w:rsidP="00892EA5">
            <w:pPr>
              <w:jc w:val="center"/>
              <w:rPr>
                <w:rFonts w:ascii="Arial Narrow" w:hAnsi="Arial Narrow"/>
                <w:color w:val="000000"/>
                <w:sz w:val="20"/>
                <w:szCs w:val="20"/>
                <w:lang w:val="en-US"/>
              </w:rPr>
            </w:pPr>
            <w:r w:rsidRPr="00BB5D14">
              <w:rPr>
                <w:rFonts w:ascii="Arial Narrow" w:hAnsi="Arial Narrow"/>
                <w:color w:val="000000"/>
                <w:sz w:val="20"/>
                <w:szCs w:val="20"/>
                <w:lang w:val="en-US"/>
              </w:rPr>
              <w:t>$</w:t>
            </w:r>
            <w:r w:rsidR="00F17FFB">
              <w:rPr>
                <w:rFonts w:ascii="Arial Narrow" w:hAnsi="Arial Narrow"/>
                <w:noProof/>
                <w:color w:val="000000"/>
                <w:sz w:val="20"/>
                <w:szCs w:val="20"/>
                <w:highlight w:val="black"/>
                <w:lang w:val="en-US"/>
              </w:rPr>
              <w:t>'''''''''''''''''''''''''</w:t>
            </w:r>
          </w:p>
        </w:tc>
        <w:tc>
          <w:tcPr>
            <w:tcW w:w="933" w:type="pct"/>
          </w:tcPr>
          <w:p w:rsidR="00892EA5" w:rsidRPr="00BB5D14" w:rsidRDefault="00892EA5" w:rsidP="00892EA5">
            <w:pPr>
              <w:jc w:val="center"/>
              <w:rPr>
                <w:rFonts w:ascii="Arial Narrow" w:hAnsi="Arial Narrow"/>
                <w:color w:val="000000"/>
                <w:sz w:val="20"/>
                <w:szCs w:val="20"/>
                <w:lang w:val="en-US"/>
              </w:rPr>
            </w:pPr>
            <w:r w:rsidRPr="00BB5D14">
              <w:rPr>
                <w:rFonts w:ascii="Arial Narrow" w:hAnsi="Arial Narrow"/>
                <w:color w:val="000000"/>
                <w:sz w:val="20"/>
                <w:szCs w:val="20"/>
                <w:lang w:val="en-US"/>
              </w:rPr>
              <w:t>$</w:t>
            </w:r>
            <w:r w:rsidR="00F17FFB">
              <w:rPr>
                <w:rFonts w:ascii="Arial Narrow" w:hAnsi="Arial Narrow"/>
                <w:noProof/>
                <w:color w:val="000000"/>
                <w:sz w:val="20"/>
                <w:szCs w:val="20"/>
                <w:highlight w:val="black"/>
                <w:lang w:val="en-US"/>
              </w:rPr>
              <w:t>''''''''''''''''''''''''''''</w:t>
            </w:r>
          </w:p>
        </w:tc>
        <w:tc>
          <w:tcPr>
            <w:tcW w:w="932" w:type="pct"/>
          </w:tcPr>
          <w:p w:rsidR="00892EA5" w:rsidRPr="00C34752" w:rsidRDefault="00892EA5" w:rsidP="00892EA5">
            <w:pPr>
              <w:jc w:val="center"/>
              <w:rPr>
                <w:rFonts w:ascii="Arial Narrow" w:hAnsi="Arial Narrow"/>
                <w:color w:val="000000"/>
                <w:sz w:val="20"/>
                <w:szCs w:val="20"/>
                <w:lang w:val="en-US"/>
              </w:rPr>
            </w:pPr>
            <w:r w:rsidRPr="00C34752">
              <w:rPr>
                <w:rFonts w:ascii="Arial Narrow" w:hAnsi="Arial Narrow"/>
                <w:color w:val="000000"/>
                <w:sz w:val="20"/>
                <w:szCs w:val="20"/>
                <w:lang w:val="en-US"/>
              </w:rPr>
              <w:t>$</w:t>
            </w:r>
            <w:r w:rsidR="00F17FFB">
              <w:rPr>
                <w:rFonts w:ascii="Arial Narrow" w:hAnsi="Arial Narrow"/>
                <w:noProof/>
                <w:color w:val="000000"/>
                <w:sz w:val="20"/>
                <w:szCs w:val="20"/>
                <w:highlight w:val="black"/>
                <w:lang w:val="en-US"/>
              </w:rPr>
              <w:t>''''''''''''''''''''''''</w:t>
            </w:r>
          </w:p>
        </w:tc>
      </w:tr>
      <w:tr w:rsidR="004B5A20" w:rsidRPr="0019793B" w:rsidTr="00494814">
        <w:tc>
          <w:tcPr>
            <w:tcW w:w="1187" w:type="pct"/>
            <w:shd w:val="clear" w:color="auto" w:fill="auto"/>
            <w:vAlign w:val="center"/>
          </w:tcPr>
          <w:p w:rsidR="004B5A20" w:rsidRPr="00BE080A" w:rsidRDefault="004B5A20" w:rsidP="00892EA5">
            <w:pPr>
              <w:keepNext/>
              <w:tabs>
                <w:tab w:val="left" w:pos="142"/>
              </w:tabs>
              <w:ind w:right="93"/>
              <w:rPr>
                <w:rFonts w:ascii="Arial Narrow" w:hAnsi="Arial Narrow"/>
                <w:sz w:val="20"/>
              </w:rPr>
            </w:pPr>
            <w:r w:rsidRPr="00BE080A">
              <w:rPr>
                <w:rFonts w:ascii="Arial Narrow" w:hAnsi="Arial Narrow"/>
                <w:sz w:val="20"/>
              </w:rPr>
              <w:t>Net cost to PBS/RPBS – Nov 2016</w:t>
            </w:r>
          </w:p>
        </w:tc>
        <w:tc>
          <w:tcPr>
            <w:tcW w:w="762" w:type="pct"/>
            <w:vAlign w:val="bottom"/>
          </w:tcPr>
          <w:p w:rsidR="004B5A20" w:rsidRPr="00BE080A" w:rsidRDefault="004B5A20" w:rsidP="0053347E">
            <w:pPr>
              <w:keepNext/>
              <w:ind w:right="93"/>
              <w:jc w:val="center"/>
              <w:rPr>
                <w:rFonts w:ascii="Arial Narrow" w:hAnsi="Arial Narrow"/>
                <w:color w:val="000000"/>
                <w:sz w:val="20"/>
              </w:rPr>
            </w:pPr>
            <w:r w:rsidRPr="00BE080A">
              <w:rPr>
                <w:rFonts w:ascii="Arial Narrow" w:hAnsi="Arial Narrow"/>
                <w:sz w:val="20"/>
              </w:rPr>
              <w:t>$</w:t>
            </w:r>
            <w:r w:rsidR="00F17FFB">
              <w:rPr>
                <w:rFonts w:ascii="Arial Narrow" w:hAnsi="Arial Narrow"/>
                <w:noProof/>
                <w:color w:val="000000"/>
                <w:sz w:val="20"/>
                <w:highlight w:val="black"/>
              </w:rPr>
              <w:t>''''''''''''''''''''''''''''</w:t>
            </w:r>
          </w:p>
        </w:tc>
        <w:tc>
          <w:tcPr>
            <w:tcW w:w="593" w:type="pct"/>
            <w:vAlign w:val="bottom"/>
          </w:tcPr>
          <w:p w:rsidR="004B5A20" w:rsidRPr="00BE080A" w:rsidRDefault="004B5A20" w:rsidP="0053347E">
            <w:pPr>
              <w:keepNext/>
              <w:ind w:right="93"/>
              <w:jc w:val="center"/>
              <w:rPr>
                <w:rFonts w:ascii="Arial Narrow" w:hAnsi="Arial Narrow"/>
                <w:color w:val="000000"/>
                <w:sz w:val="20"/>
              </w:rPr>
            </w:pPr>
            <w:r w:rsidRPr="00BE080A">
              <w:rPr>
                <w:rFonts w:ascii="Arial Narrow" w:hAnsi="Arial Narrow"/>
                <w:iCs/>
                <w:sz w:val="20"/>
              </w:rPr>
              <w:t>$</w:t>
            </w:r>
            <w:r w:rsidR="00F17FFB">
              <w:rPr>
                <w:rFonts w:ascii="Arial Narrow" w:hAnsi="Arial Narrow"/>
                <w:iCs/>
                <w:noProof/>
                <w:color w:val="000000"/>
                <w:sz w:val="20"/>
                <w:highlight w:val="black"/>
              </w:rPr>
              <w:t>''''''''''''''''''''''''''''</w:t>
            </w:r>
          </w:p>
        </w:tc>
        <w:tc>
          <w:tcPr>
            <w:tcW w:w="593" w:type="pct"/>
            <w:vAlign w:val="bottom"/>
          </w:tcPr>
          <w:p w:rsidR="004B5A20" w:rsidRPr="00BE080A" w:rsidRDefault="004B5A20" w:rsidP="0053347E">
            <w:pPr>
              <w:keepNext/>
              <w:ind w:right="93"/>
              <w:jc w:val="center"/>
              <w:rPr>
                <w:rFonts w:ascii="Arial Narrow" w:hAnsi="Arial Narrow"/>
                <w:color w:val="000000"/>
                <w:sz w:val="20"/>
              </w:rPr>
            </w:pPr>
            <w:r w:rsidRPr="00BE080A">
              <w:rPr>
                <w:rFonts w:ascii="Arial Narrow" w:hAnsi="Arial Narrow"/>
                <w:iCs/>
                <w:sz w:val="20"/>
              </w:rPr>
              <w:t>$</w:t>
            </w:r>
            <w:r w:rsidR="00F17FFB">
              <w:rPr>
                <w:rFonts w:ascii="Arial Narrow" w:hAnsi="Arial Narrow"/>
                <w:iCs/>
                <w:noProof/>
                <w:color w:val="000000"/>
                <w:sz w:val="20"/>
                <w:highlight w:val="black"/>
              </w:rPr>
              <w:t>''''''''''''''''''''''''''''''</w:t>
            </w:r>
          </w:p>
        </w:tc>
        <w:tc>
          <w:tcPr>
            <w:tcW w:w="933" w:type="pct"/>
            <w:vAlign w:val="bottom"/>
          </w:tcPr>
          <w:p w:rsidR="004B5A20" w:rsidRPr="00BE080A" w:rsidRDefault="004B5A20" w:rsidP="0053347E">
            <w:pPr>
              <w:keepNext/>
              <w:ind w:right="93"/>
              <w:jc w:val="center"/>
              <w:rPr>
                <w:rFonts w:ascii="Arial Narrow" w:hAnsi="Arial Narrow"/>
                <w:color w:val="000000"/>
                <w:sz w:val="20"/>
              </w:rPr>
            </w:pPr>
            <w:r w:rsidRPr="00BE080A">
              <w:rPr>
                <w:rFonts w:ascii="Arial Narrow" w:hAnsi="Arial Narrow"/>
                <w:iCs/>
                <w:sz w:val="20"/>
              </w:rPr>
              <w:t>$</w:t>
            </w:r>
            <w:r w:rsidR="00F17FFB">
              <w:rPr>
                <w:rFonts w:ascii="Arial Narrow" w:hAnsi="Arial Narrow"/>
                <w:iCs/>
                <w:noProof/>
                <w:color w:val="000000"/>
                <w:sz w:val="20"/>
                <w:highlight w:val="black"/>
              </w:rPr>
              <w:t>'''''''''''''''''''''''''''</w:t>
            </w:r>
          </w:p>
        </w:tc>
        <w:tc>
          <w:tcPr>
            <w:tcW w:w="932" w:type="pct"/>
            <w:vAlign w:val="bottom"/>
          </w:tcPr>
          <w:p w:rsidR="004B5A20" w:rsidRPr="00BE080A" w:rsidRDefault="004B5A20" w:rsidP="0053347E">
            <w:pPr>
              <w:keepNext/>
              <w:ind w:right="93"/>
              <w:jc w:val="center"/>
              <w:rPr>
                <w:rFonts w:ascii="Arial Narrow" w:hAnsi="Arial Narrow"/>
                <w:color w:val="000000"/>
                <w:sz w:val="20"/>
              </w:rPr>
            </w:pPr>
            <w:r w:rsidRPr="00BE080A">
              <w:rPr>
                <w:rFonts w:ascii="Arial Narrow" w:hAnsi="Arial Narrow"/>
                <w:iCs/>
                <w:sz w:val="20"/>
              </w:rPr>
              <w:t>$</w:t>
            </w:r>
            <w:r w:rsidR="00F17FFB">
              <w:rPr>
                <w:rFonts w:ascii="Arial Narrow" w:hAnsi="Arial Narrow"/>
                <w:iCs/>
                <w:noProof/>
                <w:color w:val="000000"/>
                <w:sz w:val="20"/>
                <w:highlight w:val="black"/>
              </w:rPr>
              <w:t>'''''''''''''''''''''''''''''</w:t>
            </w:r>
          </w:p>
        </w:tc>
      </w:tr>
      <w:tr w:rsidR="00F720FD" w:rsidRPr="0019793B" w:rsidTr="00494814">
        <w:tc>
          <w:tcPr>
            <w:tcW w:w="5000" w:type="pct"/>
            <w:gridSpan w:val="6"/>
            <w:shd w:val="clear" w:color="auto" w:fill="auto"/>
            <w:vAlign w:val="center"/>
          </w:tcPr>
          <w:p w:rsidR="00F720FD" w:rsidRPr="00C34752" w:rsidRDefault="00F720FD" w:rsidP="00C37B58">
            <w:pPr>
              <w:keepNext/>
              <w:ind w:right="93"/>
              <w:rPr>
                <w:rFonts w:ascii="Arial Narrow" w:hAnsi="Arial Narrow"/>
                <w:b/>
                <w:color w:val="000000"/>
                <w:sz w:val="20"/>
              </w:rPr>
            </w:pPr>
            <w:r w:rsidRPr="00C34752">
              <w:rPr>
                <w:rFonts w:ascii="Arial Narrow" w:hAnsi="Arial Narrow"/>
                <w:b/>
                <w:color w:val="000000"/>
                <w:sz w:val="20"/>
              </w:rPr>
              <w:t>Estimated total net cost</w:t>
            </w:r>
          </w:p>
        </w:tc>
      </w:tr>
      <w:tr w:rsidR="004B5A20" w:rsidRPr="0019793B" w:rsidTr="00494814">
        <w:tc>
          <w:tcPr>
            <w:tcW w:w="1187" w:type="pct"/>
            <w:shd w:val="clear" w:color="auto" w:fill="auto"/>
            <w:vAlign w:val="center"/>
          </w:tcPr>
          <w:p w:rsidR="004B5A20" w:rsidRPr="00BB5D14" w:rsidRDefault="004B5A20" w:rsidP="004B5A20">
            <w:pPr>
              <w:keepNext/>
              <w:tabs>
                <w:tab w:val="left" w:pos="142"/>
              </w:tabs>
              <w:ind w:right="93"/>
              <w:rPr>
                <w:rFonts w:ascii="Arial Narrow" w:hAnsi="Arial Narrow"/>
                <w:bCs/>
                <w:color w:val="000000"/>
                <w:sz w:val="20"/>
              </w:rPr>
            </w:pPr>
            <w:r w:rsidRPr="00C34752">
              <w:rPr>
                <w:rFonts w:ascii="Arial Narrow" w:hAnsi="Arial Narrow"/>
                <w:bCs/>
                <w:color w:val="000000"/>
                <w:sz w:val="20"/>
              </w:rPr>
              <w:t>Net cost to MBS</w:t>
            </w:r>
            <w:r w:rsidRPr="002E44DB">
              <w:rPr>
                <w:rFonts w:ascii="Arial Narrow" w:hAnsi="Arial Narrow"/>
                <w:bCs/>
                <w:color w:val="000000"/>
                <w:sz w:val="20"/>
                <w:vertAlign w:val="superscript"/>
              </w:rPr>
              <w:t>d</w:t>
            </w:r>
          </w:p>
        </w:tc>
        <w:tc>
          <w:tcPr>
            <w:tcW w:w="762" w:type="pct"/>
            <w:vAlign w:val="bottom"/>
          </w:tcPr>
          <w:p w:rsidR="004B5A20" w:rsidRPr="00BB5D14" w:rsidRDefault="004B5A20">
            <w:pPr>
              <w:jc w:val="center"/>
              <w:rPr>
                <w:rFonts w:ascii="Arial Narrow" w:hAnsi="Arial Narrow" w:cs="Arial"/>
                <w:sz w:val="20"/>
                <w:szCs w:val="20"/>
              </w:rPr>
            </w:pPr>
            <w:r w:rsidRPr="00BB5D14">
              <w:rPr>
                <w:rFonts w:ascii="Arial Narrow" w:hAnsi="Arial Narrow" w:cs="Arial"/>
                <w:sz w:val="20"/>
                <w:szCs w:val="20"/>
              </w:rPr>
              <w:t>-$</w:t>
            </w:r>
            <w:r w:rsidR="00F17FFB">
              <w:rPr>
                <w:rFonts w:ascii="Arial Narrow" w:hAnsi="Arial Narrow" w:cs="Arial"/>
                <w:noProof/>
                <w:color w:val="000000"/>
                <w:sz w:val="20"/>
                <w:szCs w:val="20"/>
                <w:highlight w:val="black"/>
              </w:rPr>
              <w:t>''''''''''''''''''''''''''</w:t>
            </w:r>
          </w:p>
        </w:tc>
        <w:tc>
          <w:tcPr>
            <w:tcW w:w="593" w:type="pct"/>
            <w:vAlign w:val="bottom"/>
          </w:tcPr>
          <w:p w:rsidR="004B5A20" w:rsidRPr="00BB5D14" w:rsidRDefault="004B5A20">
            <w:pPr>
              <w:jc w:val="center"/>
              <w:rPr>
                <w:rFonts w:ascii="Arial Narrow" w:hAnsi="Arial Narrow" w:cs="Arial"/>
                <w:sz w:val="20"/>
                <w:szCs w:val="20"/>
              </w:rPr>
            </w:pPr>
            <w:r w:rsidRPr="00BB5D14">
              <w:rPr>
                <w:rFonts w:ascii="Arial Narrow" w:hAnsi="Arial Narrow" w:cs="Arial"/>
                <w:sz w:val="20"/>
                <w:szCs w:val="20"/>
              </w:rPr>
              <w:t>-$</w:t>
            </w:r>
            <w:r w:rsidR="00F17FFB">
              <w:rPr>
                <w:rFonts w:ascii="Arial Narrow" w:hAnsi="Arial Narrow" w:cs="Arial"/>
                <w:noProof/>
                <w:color w:val="000000"/>
                <w:sz w:val="20"/>
                <w:szCs w:val="20"/>
                <w:highlight w:val="black"/>
              </w:rPr>
              <w:t>''''''''''''''''''''''''''</w:t>
            </w:r>
          </w:p>
        </w:tc>
        <w:tc>
          <w:tcPr>
            <w:tcW w:w="593" w:type="pct"/>
            <w:vAlign w:val="bottom"/>
          </w:tcPr>
          <w:p w:rsidR="004B5A20" w:rsidRPr="00BB5D14" w:rsidRDefault="004B5A20">
            <w:pPr>
              <w:jc w:val="center"/>
              <w:rPr>
                <w:rFonts w:ascii="Arial Narrow" w:hAnsi="Arial Narrow" w:cs="Arial"/>
                <w:sz w:val="20"/>
                <w:szCs w:val="20"/>
              </w:rPr>
            </w:pPr>
            <w:r w:rsidRPr="00BB5D14">
              <w:rPr>
                <w:rFonts w:ascii="Arial Narrow" w:hAnsi="Arial Narrow" w:cs="Arial"/>
                <w:sz w:val="20"/>
                <w:szCs w:val="20"/>
              </w:rPr>
              <w:t>-$</w:t>
            </w:r>
            <w:r w:rsidR="00F17FFB">
              <w:rPr>
                <w:rFonts w:ascii="Arial Narrow" w:hAnsi="Arial Narrow" w:cs="Arial"/>
                <w:noProof/>
                <w:color w:val="000000"/>
                <w:sz w:val="20"/>
                <w:szCs w:val="20"/>
                <w:highlight w:val="black"/>
              </w:rPr>
              <w:t>'''''''''''''''''''''''</w:t>
            </w:r>
          </w:p>
        </w:tc>
        <w:tc>
          <w:tcPr>
            <w:tcW w:w="933" w:type="pct"/>
            <w:vAlign w:val="bottom"/>
          </w:tcPr>
          <w:p w:rsidR="004B5A20" w:rsidRPr="00BB5D14" w:rsidRDefault="004B5A20">
            <w:pPr>
              <w:jc w:val="center"/>
              <w:rPr>
                <w:rFonts w:ascii="Arial Narrow" w:hAnsi="Arial Narrow" w:cs="Arial"/>
                <w:sz w:val="20"/>
                <w:szCs w:val="20"/>
              </w:rPr>
            </w:pPr>
            <w:r w:rsidRPr="00BB5D14">
              <w:rPr>
                <w:rFonts w:ascii="Arial Narrow" w:hAnsi="Arial Narrow" w:cs="Arial"/>
                <w:sz w:val="20"/>
                <w:szCs w:val="20"/>
              </w:rPr>
              <w:t>-$</w:t>
            </w:r>
            <w:r w:rsidR="00F17FFB">
              <w:rPr>
                <w:rFonts w:ascii="Arial Narrow" w:hAnsi="Arial Narrow" w:cs="Arial"/>
                <w:noProof/>
                <w:color w:val="000000"/>
                <w:sz w:val="20"/>
                <w:szCs w:val="20"/>
                <w:highlight w:val="black"/>
              </w:rPr>
              <w:t>'''''''''''''''''''''''''</w:t>
            </w:r>
          </w:p>
        </w:tc>
        <w:tc>
          <w:tcPr>
            <w:tcW w:w="932" w:type="pct"/>
            <w:vAlign w:val="bottom"/>
          </w:tcPr>
          <w:p w:rsidR="004B5A20" w:rsidRPr="00C34752" w:rsidRDefault="004B5A20">
            <w:pPr>
              <w:jc w:val="center"/>
              <w:rPr>
                <w:rFonts w:ascii="Arial Narrow" w:hAnsi="Arial Narrow" w:cs="Arial"/>
                <w:sz w:val="20"/>
                <w:szCs w:val="20"/>
              </w:rPr>
            </w:pPr>
            <w:r w:rsidRPr="00C34752">
              <w:rPr>
                <w:rFonts w:ascii="Arial Narrow" w:hAnsi="Arial Narrow" w:cs="Arial"/>
                <w:sz w:val="20"/>
                <w:szCs w:val="20"/>
              </w:rPr>
              <w:t>-$</w:t>
            </w:r>
            <w:r w:rsidR="00F17FFB">
              <w:rPr>
                <w:rFonts w:ascii="Arial Narrow" w:hAnsi="Arial Narrow" w:cs="Arial"/>
                <w:noProof/>
                <w:color w:val="000000"/>
                <w:sz w:val="20"/>
                <w:szCs w:val="20"/>
                <w:highlight w:val="black"/>
              </w:rPr>
              <w:t>''''''''''''''''''''''</w:t>
            </w:r>
          </w:p>
        </w:tc>
      </w:tr>
      <w:tr w:rsidR="004B5A20" w:rsidRPr="0019793B" w:rsidTr="00494814">
        <w:tc>
          <w:tcPr>
            <w:tcW w:w="1187" w:type="pct"/>
            <w:shd w:val="clear" w:color="auto" w:fill="auto"/>
            <w:vAlign w:val="center"/>
          </w:tcPr>
          <w:p w:rsidR="004B5A20" w:rsidRPr="00C34752" w:rsidRDefault="004B5A20" w:rsidP="00C37B58">
            <w:pPr>
              <w:keepNext/>
              <w:tabs>
                <w:tab w:val="left" w:pos="142"/>
              </w:tabs>
              <w:ind w:right="93"/>
              <w:rPr>
                <w:rFonts w:ascii="Arial Narrow" w:hAnsi="Arial Narrow"/>
                <w:bCs/>
                <w:color w:val="000000"/>
                <w:sz w:val="20"/>
              </w:rPr>
            </w:pPr>
            <w:r w:rsidRPr="00C34752">
              <w:rPr>
                <w:rFonts w:ascii="Arial Narrow" w:hAnsi="Arial Narrow"/>
                <w:bCs/>
                <w:color w:val="000000"/>
                <w:sz w:val="20"/>
              </w:rPr>
              <w:t>Net cost to Government</w:t>
            </w:r>
          </w:p>
        </w:tc>
        <w:tc>
          <w:tcPr>
            <w:tcW w:w="762" w:type="pct"/>
            <w:vAlign w:val="bottom"/>
          </w:tcPr>
          <w:p w:rsidR="004B5A20" w:rsidRPr="00BB5D14" w:rsidRDefault="004B5A20">
            <w:pPr>
              <w:jc w:val="center"/>
              <w:rPr>
                <w:rFonts w:ascii="Arial Narrow" w:hAnsi="Arial Narrow" w:cs="Arial"/>
                <w:sz w:val="20"/>
                <w:szCs w:val="20"/>
              </w:rPr>
            </w:pPr>
            <w:r w:rsidRPr="00BB5D14">
              <w:rPr>
                <w:rFonts w:ascii="Arial Narrow" w:hAnsi="Arial Narrow" w:cs="Arial"/>
                <w:sz w:val="20"/>
                <w:szCs w:val="20"/>
              </w:rPr>
              <w:t>$</w:t>
            </w:r>
            <w:r w:rsidR="00F17FFB">
              <w:rPr>
                <w:rFonts w:ascii="Arial Narrow" w:hAnsi="Arial Narrow" w:cs="Arial"/>
                <w:noProof/>
                <w:color w:val="000000"/>
                <w:sz w:val="20"/>
                <w:szCs w:val="20"/>
                <w:highlight w:val="black"/>
              </w:rPr>
              <w:t>'''''''''''''''''''''''''</w:t>
            </w:r>
          </w:p>
        </w:tc>
        <w:tc>
          <w:tcPr>
            <w:tcW w:w="593" w:type="pct"/>
            <w:vAlign w:val="bottom"/>
          </w:tcPr>
          <w:p w:rsidR="004B5A20" w:rsidRPr="00BB5D14" w:rsidRDefault="004B5A20">
            <w:pPr>
              <w:jc w:val="center"/>
              <w:rPr>
                <w:rFonts w:ascii="Arial Narrow" w:hAnsi="Arial Narrow" w:cs="Arial"/>
                <w:sz w:val="20"/>
                <w:szCs w:val="20"/>
              </w:rPr>
            </w:pPr>
            <w:r w:rsidRPr="00BB5D14">
              <w:rPr>
                <w:rFonts w:ascii="Arial Narrow" w:hAnsi="Arial Narrow" w:cs="Arial"/>
                <w:sz w:val="20"/>
                <w:szCs w:val="20"/>
              </w:rPr>
              <w:t>$</w:t>
            </w:r>
            <w:r w:rsidR="00F17FFB">
              <w:rPr>
                <w:rFonts w:ascii="Arial Narrow" w:hAnsi="Arial Narrow" w:cs="Arial"/>
                <w:noProof/>
                <w:color w:val="000000"/>
                <w:sz w:val="20"/>
                <w:szCs w:val="20"/>
                <w:highlight w:val="black"/>
              </w:rPr>
              <w:t>'''''''''''''''''''''''''</w:t>
            </w:r>
          </w:p>
        </w:tc>
        <w:tc>
          <w:tcPr>
            <w:tcW w:w="593" w:type="pct"/>
            <w:vAlign w:val="bottom"/>
          </w:tcPr>
          <w:p w:rsidR="004B5A20" w:rsidRPr="00BB5D14" w:rsidRDefault="004B5A20">
            <w:pPr>
              <w:jc w:val="center"/>
              <w:rPr>
                <w:rFonts w:ascii="Arial Narrow" w:hAnsi="Arial Narrow" w:cs="Arial"/>
                <w:sz w:val="20"/>
                <w:szCs w:val="20"/>
              </w:rPr>
            </w:pPr>
            <w:r w:rsidRPr="00BB5D14">
              <w:rPr>
                <w:rFonts w:ascii="Arial Narrow" w:hAnsi="Arial Narrow" w:cs="Arial"/>
                <w:sz w:val="20"/>
                <w:szCs w:val="20"/>
              </w:rPr>
              <w:t>$</w:t>
            </w:r>
            <w:r w:rsidR="00F17FFB">
              <w:rPr>
                <w:rFonts w:ascii="Arial Narrow" w:hAnsi="Arial Narrow" w:cs="Arial"/>
                <w:noProof/>
                <w:color w:val="000000"/>
                <w:sz w:val="20"/>
                <w:szCs w:val="20"/>
                <w:highlight w:val="black"/>
              </w:rPr>
              <w:t>'''''''''''''''''''''''''''</w:t>
            </w:r>
          </w:p>
        </w:tc>
        <w:tc>
          <w:tcPr>
            <w:tcW w:w="933" w:type="pct"/>
            <w:vAlign w:val="bottom"/>
          </w:tcPr>
          <w:p w:rsidR="004B5A20" w:rsidRPr="00BB5D14" w:rsidRDefault="004B5A20">
            <w:pPr>
              <w:jc w:val="center"/>
              <w:rPr>
                <w:rFonts w:ascii="Arial Narrow" w:hAnsi="Arial Narrow" w:cs="Arial"/>
                <w:sz w:val="20"/>
                <w:szCs w:val="20"/>
              </w:rPr>
            </w:pPr>
            <w:r w:rsidRPr="00BB5D14">
              <w:rPr>
                <w:rFonts w:ascii="Arial Narrow" w:hAnsi="Arial Narrow" w:cs="Arial"/>
                <w:sz w:val="20"/>
                <w:szCs w:val="20"/>
              </w:rPr>
              <w:t>$</w:t>
            </w:r>
            <w:r w:rsidR="00F17FFB">
              <w:rPr>
                <w:rFonts w:ascii="Arial Narrow" w:hAnsi="Arial Narrow" w:cs="Arial"/>
                <w:noProof/>
                <w:color w:val="000000"/>
                <w:sz w:val="20"/>
                <w:szCs w:val="20"/>
                <w:highlight w:val="black"/>
              </w:rPr>
              <w:t>'''''''''''''''''''''''</w:t>
            </w:r>
          </w:p>
        </w:tc>
        <w:tc>
          <w:tcPr>
            <w:tcW w:w="932" w:type="pct"/>
            <w:vAlign w:val="bottom"/>
          </w:tcPr>
          <w:p w:rsidR="004B5A20" w:rsidRPr="00C34752" w:rsidRDefault="004B5A20">
            <w:pPr>
              <w:jc w:val="center"/>
              <w:rPr>
                <w:rFonts w:ascii="Arial Narrow" w:hAnsi="Arial Narrow" w:cs="Arial"/>
                <w:sz w:val="20"/>
                <w:szCs w:val="20"/>
              </w:rPr>
            </w:pPr>
            <w:r w:rsidRPr="00C34752">
              <w:rPr>
                <w:rFonts w:ascii="Arial Narrow" w:hAnsi="Arial Narrow" w:cs="Arial"/>
                <w:sz w:val="20"/>
                <w:szCs w:val="20"/>
              </w:rPr>
              <w:t>$</w:t>
            </w:r>
            <w:r w:rsidR="00F17FFB">
              <w:rPr>
                <w:rFonts w:ascii="Arial Narrow" w:hAnsi="Arial Narrow" w:cs="Arial"/>
                <w:noProof/>
                <w:color w:val="000000"/>
                <w:sz w:val="20"/>
                <w:szCs w:val="20"/>
                <w:highlight w:val="black"/>
              </w:rPr>
              <w:t>'''''''''''''''''''''''''''''</w:t>
            </w:r>
          </w:p>
        </w:tc>
      </w:tr>
      <w:tr w:rsidR="004B5A20" w:rsidRPr="0019793B" w:rsidTr="00494814">
        <w:tc>
          <w:tcPr>
            <w:tcW w:w="1187" w:type="pct"/>
            <w:shd w:val="clear" w:color="auto" w:fill="auto"/>
            <w:vAlign w:val="center"/>
          </w:tcPr>
          <w:p w:rsidR="004B5A20" w:rsidRPr="00BE080A" w:rsidRDefault="004B5A20" w:rsidP="00C37B58">
            <w:pPr>
              <w:keepNext/>
              <w:tabs>
                <w:tab w:val="left" w:pos="142"/>
              </w:tabs>
              <w:ind w:right="93"/>
              <w:rPr>
                <w:rFonts w:ascii="Arial Narrow" w:hAnsi="Arial Narrow"/>
                <w:bCs/>
                <w:color w:val="000000"/>
                <w:sz w:val="20"/>
              </w:rPr>
            </w:pPr>
            <w:r w:rsidRPr="00BE080A">
              <w:rPr>
                <w:rFonts w:ascii="Arial Narrow" w:hAnsi="Arial Narrow"/>
                <w:bCs/>
                <w:color w:val="000000"/>
                <w:sz w:val="20"/>
              </w:rPr>
              <w:t>Net cost to Government – Nov 2016</w:t>
            </w:r>
          </w:p>
        </w:tc>
        <w:tc>
          <w:tcPr>
            <w:tcW w:w="762" w:type="pct"/>
            <w:vAlign w:val="center"/>
          </w:tcPr>
          <w:p w:rsidR="004B5A20" w:rsidRPr="00BE080A" w:rsidRDefault="004B5A20" w:rsidP="0053347E">
            <w:pPr>
              <w:keepNext/>
              <w:ind w:right="93"/>
              <w:jc w:val="center"/>
              <w:rPr>
                <w:rFonts w:ascii="Arial Narrow" w:hAnsi="Arial Narrow"/>
                <w:bCs/>
                <w:sz w:val="20"/>
              </w:rPr>
            </w:pPr>
            <w:r w:rsidRPr="00BE080A">
              <w:rPr>
                <w:rFonts w:ascii="Arial Narrow" w:hAnsi="Arial Narrow"/>
                <w:bCs/>
                <w:sz w:val="20"/>
              </w:rPr>
              <w:t>$</w:t>
            </w:r>
            <w:r w:rsidR="00F17FFB">
              <w:rPr>
                <w:rFonts w:ascii="Arial Narrow" w:hAnsi="Arial Narrow"/>
                <w:bCs/>
                <w:noProof/>
                <w:color w:val="000000"/>
                <w:sz w:val="20"/>
                <w:highlight w:val="black"/>
              </w:rPr>
              <w:t>''''''''''''''''''''''''''</w:t>
            </w:r>
          </w:p>
        </w:tc>
        <w:tc>
          <w:tcPr>
            <w:tcW w:w="593" w:type="pct"/>
            <w:vAlign w:val="center"/>
          </w:tcPr>
          <w:p w:rsidR="004B5A20" w:rsidRPr="00BE080A" w:rsidRDefault="004B5A20" w:rsidP="0053347E">
            <w:pPr>
              <w:keepNext/>
              <w:ind w:right="93"/>
              <w:jc w:val="center"/>
              <w:rPr>
                <w:rFonts w:ascii="Arial Narrow" w:hAnsi="Arial Narrow"/>
                <w:bCs/>
                <w:sz w:val="20"/>
              </w:rPr>
            </w:pPr>
            <w:r w:rsidRPr="00BE080A">
              <w:rPr>
                <w:rFonts w:ascii="Arial Narrow" w:hAnsi="Arial Narrow"/>
                <w:bCs/>
                <w:iCs/>
                <w:sz w:val="20"/>
              </w:rPr>
              <w:t>$</w:t>
            </w:r>
            <w:r w:rsidR="00F17FFB">
              <w:rPr>
                <w:rFonts w:ascii="Arial Narrow" w:hAnsi="Arial Narrow"/>
                <w:bCs/>
                <w:iCs/>
                <w:noProof/>
                <w:color w:val="000000"/>
                <w:sz w:val="20"/>
                <w:highlight w:val="black"/>
              </w:rPr>
              <w:t>''''''''''''''''''''''''''''''''</w:t>
            </w:r>
          </w:p>
        </w:tc>
        <w:tc>
          <w:tcPr>
            <w:tcW w:w="593" w:type="pct"/>
            <w:vAlign w:val="center"/>
          </w:tcPr>
          <w:p w:rsidR="004B5A20" w:rsidRPr="00BE080A" w:rsidRDefault="004B5A20" w:rsidP="0053347E">
            <w:pPr>
              <w:keepNext/>
              <w:ind w:right="93"/>
              <w:jc w:val="center"/>
              <w:rPr>
                <w:rFonts w:ascii="Arial Narrow" w:hAnsi="Arial Narrow"/>
                <w:bCs/>
                <w:sz w:val="20"/>
              </w:rPr>
            </w:pPr>
            <w:r w:rsidRPr="00BE080A">
              <w:rPr>
                <w:rFonts w:ascii="Arial Narrow" w:hAnsi="Arial Narrow"/>
                <w:bCs/>
                <w:iCs/>
                <w:sz w:val="20"/>
              </w:rPr>
              <w:t>$</w:t>
            </w:r>
            <w:r w:rsidR="00F17FFB">
              <w:rPr>
                <w:rFonts w:ascii="Arial Narrow" w:hAnsi="Arial Narrow"/>
                <w:bCs/>
                <w:iCs/>
                <w:noProof/>
                <w:color w:val="000000"/>
                <w:sz w:val="20"/>
                <w:highlight w:val="black"/>
              </w:rPr>
              <w:t>'''''''''''''''''''''''''''''</w:t>
            </w:r>
          </w:p>
        </w:tc>
        <w:tc>
          <w:tcPr>
            <w:tcW w:w="933" w:type="pct"/>
            <w:vAlign w:val="center"/>
          </w:tcPr>
          <w:p w:rsidR="004B5A20" w:rsidRPr="00BE080A" w:rsidRDefault="004B5A20" w:rsidP="0053347E">
            <w:pPr>
              <w:keepNext/>
              <w:ind w:right="93"/>
              <w:jc w:val="center"/>
              <w:rPr>
                <w:rFonts w:ascii="Arial Narrow" w:hAnsi="Arial Narrow"/>
                <w:bCs/>
                <w:sz w:val="20"/>
              </w:rPr>
            </w:pPr>
            <w:r w:rsidRPr="00BE080A">
              <w:rPr>
                <w:rFonts w:ascii="Arial Narrow" w:hAnsi="Arial Narrow"/>
                <w:bCs/>
                <w:iCs/>
                <w:sz w:val="20"/>
              </w:rPr>
              <w:t>$</w:t>
            </w:r>
            <w:r w:rsidR="00F17FFB">
              <w:rPr>
                <w:rFonts w:ascii="Arial Narrow" w:hAnsi="Arial Narrow"/>
                <w:bCs/>
                <w:iCs/>
                <w:noProof/>
                <w:color w:val="000000"/>
                <w:sz w:val="20"/>
                <w:highlight w:val="black"/>
              </w:rPr>
              <w:t>'''''''''''''''''''''''''''''''</w:t>
            </w:r>
          </w:p>
        </w:tc>
        <w:tc>
          <w:tcPr>
            <w:tcW w:w="932" w:type="pct"/>
            <w:vAlign w:val="center"/>
          </w:tcPr>
          <w:p w:rsidR="004B5A20" w:rsidRPr="00BE080A" w:rsidRDefault="004B5A20" w:rsidP="0053347E">
            <w:pPr>
              <w:keepNext/>
              <w:ind w:right="93"/>
              <w:jc w:val="center"/>
              <w:rPr>
                <w:rFonts w:ascii="Arial Narrow" w:hAnsi="Arial Narrow"/>
                <w:bCs/>
                <w:sz w:val="20"/>
              </w:rPr>
            </w:pPr>
            <w:r w:rsidRPr="00BE080A">
              <w:rPr>
                <w:rFonts w:ascii="Arial Narrow" w:hAnsi="Arial Narrow"/>
                <w:bCs/>
                <w:iCs/>
                <w:sz w:val="20"/>
              </w:rPr>
              <w:t>$</w:t>
            </w:r>
            <w:r w:rsidR="00F17FFB">
              <w:rPr>
                <w:rFonts w:ascii="Arial Narrow" w:hAnsi="Arial Narrow"/>
                <w:bCs/>
                <w:iCs/>
                <w:noProof/>
                <w:color w:val="000000"/>
                <w:sz w:val="20"/>
                <w:highlight w:val="black"/>
              </w:rPr>
              <w:t>''''''''''''''''''''''''''''</w:t>
            </w:r>
          </w:p>
        </w:tc>
      </w:tr>
    </w:tbl>
    <w:p w:rsidR="00F720FD" w:rsidRPr="0019793B" w:rsidRDefault="00F720FD" w:rsidP="00685C10">
      <w:pPr>
        <w:pStyle w:val="TableFooter"/>
        <w:keepNext/>
        <w:widowControl/>
        <w:ind w:left="709"/>
        <w:rPr>
          <w:szCs w:val="22"/>
        </w:rPr>
      </w:pPr>
      <w:r w:rsidRPr="0019793B">
        <w:t xml:space="preserve">Source: </w:t>
      </w:r>
      <w:r w:rsidR="003A61DE" w:rsidRPr="0019793B">
        <w:t>Tables 8, 9, 10 and 11 of the minor resubmission and November 2016 PBAC minutes for apremilast.</w:t>
      </w:r>
    </w:p>
    <w:p w:rsidR="003A61DE" w:rsidRPr="0019793B" w:rsidRDefault="003A61DE" w:rsidP="00685C10">
      <w:pPr>
        <w:pStyle w:val="TableFooter"/>
        <w:keepNext/>
        <w:widowControl/>
        <w:tabs>
          <w:tab w:val="left" w:pos="567"/>
          <w:tab w:val="left" w:pos="709"/>
          <w:tab w:val="left" w:pos="993"/>
        </w:tabs>
        <w:ind w:left="709"/>
      </w:pPr>
      <w:r w:rsidRPr="0019793B">
        <w:rPr>
          <w:vertAlign w:val="superscript"/>
        </w:rPr>
        <w:t xml:space="preserve">a </w:t>
      </w:r>
      <w:r w:rsidRPr="0019793B">
        <w:t xml:space="preserve">The number of patients treated in Year 1 includes </w:t>
      </w:r>
      <w:r w:rsidR="00F17FFB">
        <w:rPr>
          <w:noProof/>
          <w:color w:val="000000"/>
          <w:highlight w:val="black"/>
        </w:rPr>
        <w:t>'''''''''</w:t>
      </w:r>
      <w:r w:rsidRPr="0019793B">
        <w:t xml:space="preserve"> grandfathered patients who were assumed will enter PBS subsidised treatment after approximately 2 years of treatment via the patient familiarisation program.</w:t>
      </w:r>
    </w:p>
    <w:p w:rsidR="00F720FD" w:rsidRPr="0019793B" w:rsidRDefault="003A61DE" w:rsidP="00685C10">
      <w:pPr>
        <w:pStyle w:val="TableFooter"/>
        <w:keepNext/>
        <w:widowControl/>
        <w:tabs>
          <w:tab w:val="left" w:pos="567"/>
          <w:tab w:val="left" w:pos="709"/>
          <w:tab w:val="left" w:pos="993"/>
        </w:tabs>
        <w:ind w:left="709"/>
      </w:pPr>
      <w:r w:rsidRPr="0019793B">
        <w:rPr>
          <w:vertAlign w:val="superscript"/>
        </w:rPr>
        <w:t>b</w:t>
      </w:r>
      <w:r w:rsidR="00700539" w:rsidRPr="0019793B">
        <w:t xml:space="preserve"> </w:t>
      </w:r>
      <w:r w:rsidR="00F720FD" w:rsidRPr="0019793B">
        <w:t>One titration pack per patient initiating treatment</w:t>
      </w:r>
      <w:r w:rsidRPr="0019793B">
        <w:t xml:space="preserve"> with compliance of 86%.</w:t>
      </w:r>
    </w:p>
    <w:p w:rsidR="00F720FD" w:rsidRPr="0019793B" w:rsidRDefault="003A61DE" w:rsidP="00685C10">
      <w:pPr>
        <w:pStyle w:val="TableFooter"/>
        <w:widowControl/>
        <w:tabs>
          <w:tab w:val="left" w:pos="567"/>
          <w:tab w:val="left" w:pos="709"/>
          <w:tab w:val="left" w:pos="993"/>
        </w:tabs>
        <w:ind w:left="709"/>
      </w:pPr>
      <w:r w:rsidRPr="0019793B">
        <w:rPr>
          <w:vertAlign w:val="superscript"/>
        </w:rPr>
        <w:t>c</w:t>
      </w:r>
      <w:r w:rsidR="00F720FD" w:rsidRPr="0019793B">
        <w:rPr>
          <w:vertAlign w:val="superscript"/>
        </w:rPr>
        <w:t xml:space="preserve"> </w:t>
      </w:r>
      <w:r w:rsidR="00F720FD" w:rsidRPr="0019793B">
        <w:t>Base case assumption that mean duration of apremilast treatment is 28.9 months (13 continuation packs in the first two years of treatment, 2.8 continuation packs in the third year of treatment)</w:t>
      </w:r>
      <w:r w:rsidRPr="0019793B">
        <w:t xml:space="preserve"> with compliance of 86%</w:t>
      </w:r>
      <w:r w:rsidR="00F720FD" w:rsidRPr="0019793B">
        <w:t>.</w:t>
      </w:r>
    </w:p>
    <w:p w:rsidR="00FB3907" w:rsidRPr="0019793B" w:rsidRDefault="004B5A20" w:rsidP="00685C10">
      <w:pPr>
        <w:pStyle w:val="TableFooter"/>
        <w:widowControl/>
        <w:tabs>
          <w:tab w:val="left" w:pos="567"/>
          <w:tab w:val="left" w:pos="709"/>
          <w:tab w:val="left" w:pos="993"/>
        </w:tabs>
        <w:ind w:left="709"/>
      </w:pPr>
      <w:r w:rsidRPr="0019793B">
        <w:rPr>
          <w:vertAlign w:val="superscript"/>
        </w:rPr>
        <w:t xml:space="preserve">d </w:t>
      </w:r>
      <w:r w:rsidRPr="0019793B">
        <w:t>Decreased monitoring costs associated with treatment with cyclosporin and acitretin.</w:t>
      </w:r>
    </w:p>
    <w:p w:rsidR="00C37B58" w:rsidRDefault="00C37B58" w:rsidP="00C37B58">
      <w:pPr>
        <w:tabs>
          <w:tab w:val="left" w:pos="6458"/>
        </w:tabs>
        <w:rPr>
          <w:rFonts w:ascii="Arial" w:hAnsi="Arial"/>
          <w:sz w:val="22"/>
          <w:szCs w:val="22"/>
        </w:rPr>
      </w:pPr>
    </w:p>
    <w:p w:rsidR="00677E6D" w:rsidRPr="008B379D" w:rsidRDefault="00677E6D" w:rsidP="00677E6D">
      <w:pPr>
        <w:pStyle w:val="ListParagraph"/>
        <w:widowControl/>
        <w:numPr>
          <w:ilvl w:val="1"/>
          <w:numId w:val="5"/>
        </w:numPr>
        <w:snapToGrid w:val="0"/>
      </w:pPr>
      <w:r w:rsidRPr="00677E6D">
        <w:t>In its pre-PBAC response (p3)</w:t>
      </w:r>
      <w:r w:rsidR="00527F3B">
        <w:t>,</w:t>
      </w:r>
      <w:r w:rsidRPr="00677E6D">
        <w:t xml:space="preserve"> the sponsor </w:t>
      </w:r>
      <w:r>
        <w:t>corrected an error in the minor resubmission’s financial estimates</w:t>
      </w:r>
      <w:r w:rsidR="00527F3B">
        <w:t xml:space="preserve"> </w:t>
      </w:r>
      <w:r w:rsidR="00527F3B" w:rsidRPr="00D67EC7">
        <w:t>that resulted in the estimates of patients substituting from cyclosporin and acitretin bein</w:t>
      </w:r>
      <w:r w:rsidR="00527F3B">
        <w:t>g based on unique patients in 3 </w:t>
      </w:r>
      <w:r w:rsidR="00527F3B" w:rsidRPr="00D67EC7">
        <w:t>months instead of 12 months</w:t>
      </w:r>
      <w:r>
        <w:t>. T</w:t>
      </w:r>
      <w:r w:rsidRPr="008B379D">
        <w:t xml:space="preserve">he </w:t>
      </w:r>
      <w:r w:rsidR="00527F3B">
        <w:t xml:space="preserve">sponsor stated that the </w:t>
      </w:r>
      <w:r w:rsidRPr="008B379D">
        <w:t>revised estimates of patient</w:t>
      </w:r>
      <w:r w:rsidR="00527F3B">
        <w:t>s</w:t>
      </w:r>
      <w:r w:rsidRPr="008B379D">
        <w:t xml:space="preserve"> treat</w:t>
      </w:r>
      <w:r w:rsidR="00527F3B">
        <w:t>ed</w:t>
      </w:r>
      <w:r w:rsidRPr="008B379D">
        <w:t xml:space="preserve"> with cyclosporin and ac</w:t>
      </w:r>
      <w:r w:rsidR="00606224">
        <w:t>i</w:t>
      </w:r>
      <w:r w:rsidRPr="008B379D">
        <w:t>tretin resulted in a decrease in</w:t>
      </w:r>
      <w:r>
        <w:t xml:space="preserve"> the estimated total net cost to government</w:t>
      </w:r>
      <w:r w:rsidR="00675223">
        <w:t>,</w:t>
      </w:r>
      <w:r>
        <w:t xml:space="preserve"> with a </w:t>
      </w:r>
      <w:r w:rsidR="00675223">
        <w:t xml:space="preserve">total </w:t>
      </w:r>
      <w:r>
        <w:t xml:space="preserve">net </w:t>
      </w:r>
      <w:r w:rsidR="00A8690A">
        <w:t xml:space="preserve">cost </w:t>
      </w:r>
      <w:r w:rsidR="00675223">
        <w:t xml:space="preserve">to the Australian Government </w:t>
      </w:r>
      <w:r>
        <w:t>of $</w:t>
      </w:r>
      <w:r w:rsidR="00FB3907">
        <w:t xml:space="preserve">more than $100 </w:t>
      </w:r>
      <w:r w:rsidR="00527F3B">
        <w:t>million</w:t>
      </w:r>
      <w:r>
        <w:t xml:space="preserve"> </w:t>
      </w:r>
      <w:r w:rsidR="00675223">
        <w:t>over the first five years of listing (</w:t>
      </w:r>
      <w:r w:rsidR="00527F3B">
        <w:t xml:space="preserve">compared with </w:t>
      </w:r>
      <w:r w:rsidR="00FB3907">
        <w:t>more than $100</w:t>
      </w:r>
      <w:r w:rsidR="00527F3B">
        <w:t xml:space="preserve"> million </w:t>
      </w:r>
      <w:r w:rsidR="00675223">
        <w:t>based on the estimates in</w:t>
      </w:r>
      <w:r>
        <w:t xml:space="preserve"> </w:t>
      </w:r>
      <w:r w:rsidR="00527F3B">
        <w:t>T</w:t>
      </w:r>
      <w:r>
        <w:t xml:space="preserve">able </w:t>
      </w:r>
      <w:r w:rsidR="00527F3B">
        <w:t>3</w:t>
      </w:r>
      <w:r w:rsidR="00675223">
        <w:t>)</w:t>
      </w:r>
      <w:r>
        <w:t>.</w:t>
      </w:r>
    </w:p>
    <w:p w:rsidR="00677E6D" w:rsidRPr="00677E6D" w:rsidRDefault="00677E6D" w:rsidP="00527F3B">
      <w:pPr>
        <w:pStyle w:val="ListParagraph"/>
        <w:widowControl/>
        <w:snapToGrid w:val="0"/>
      </w:pPr>
    </w:p>
    <w:p w:rsidR="006B1573" w:rsidRPr="0019793B" w:rsidRDefault="006B1573" w:rsidP="006B1573">
      <w:pPr>
        <w:pStyle w:val="Heading2"/>
        <w:rPr>
          <w:i w:val="0"/>
          <w:szCs w:val="22"/>
        </w:rPr>
      </w:pPr>
      <w:bookmarkStart w:id="2" w:name="_Toc392858203"/>
      <w:bookmarkStart w:id="3" w:name="_Toc440960989"/>
      <w:r w:rsidRPr="0019793B">
        <w:t>Financial Management – Risk Sharing Arrangements</w:t>
      </w:r>
      <w:bookmarkEnd w:id="2"/>
      <w:bookmarkEnd w:id="3"/>
    </w:p>
    <w:p w:rsidR="00D45844" w:rsidRPr="0019793B" w:rsidRDefault="00D45844" w:rsidP="00C37B58">
      <w:pPr>
        <w:tabs>
          <w:tab w:val="left" w:pos="6458"/>
        </w:tabs>
        <w:rPr>
          <w:rFonts w:ascii="Arial" w:hAnsi="Arial"/>
          <w:sz w:val="22"/>
          <w:szCs w:val="22"/>
        </w:rPr>
      </w:pPr>
    </w:p>
    <w:p w:rsidR="00EB260A" w:rsidRPr="00F17FFB" w:rsidRDefault="00F17FFB" w:rsidP="00F17FFB">
      <w:pPr>
        <w:snapToGrid w:val="0"/>
        <w:ind w:left="720" w:hanging="720"/>
        <w:rPr>
          <w:highlight w:val="black"/>
        </w:rPr>
      </w:pPr>
      <w:r>
        <w:rPr>
          <w:rFonts w:ascii="Arial" w:hAnsi="Arial" w:cs="Arial"/>
          <w:noProof/>
          <w:snapToGrid w:val="0"/>
          <w:color w:val="000000"/>
          <w:sz w:val="22"/>
          <w:szCs w:val="20"/>
          <w:highlight w:val="black"/>
          <w:lang w:eastAsia="en-US"/>
        </w:rPr>
        <w:t>''''''''''''''''''' '''''''''''''' ''''''''''''''''''''''''''''''''' '''''''''''''''''''' ''' '''''''' '''''''''''''' ''''''''''''''''''' '''''''''' '''''''''''''''''' '''''' ''''''''''' '''' '''''''''''''' ''''''' ''''''' '''''''''' '''''''''' '''''''''''''' '''' ''''''''''''''''</w:t>
      </w:r>
    </w:p>
    <w:p w:rsidR="00EB260A" w:rsidRPr="00F17FFB" w:rsidRDefault="00F17FFB" w:rsidP="00F17FFB">
      <w:pPr>
        <w:snapToGrid w:val="0"/>
        <w:ind w:left="993" w:hanging="284"/>
        <w:rPr>
          <w:highlight w:val="black"/>
        </w:rPr>
      </w:pP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p>
    <w:p w:rsidR="00EB260A" w:rsidRPr="00F17FFB" w:rsidRDefault="00F17FFB" w:rsidP="00F17FFB">
      <w:pPr>
        <w:snapToGrid w:val="0"/>
        <w:ind w:left="993" w:hanging="284"/>
        <w:rPr>
          <w:highlight w:val="black"/>
        </w:rPr>
      </w:pP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r>
        <w:rPr>
          <w:rFonts w:ascii="Symbol" w:hAnsi="Symbol" w:cs="Arial"/>
          <w:noProof/>
          <w:snapToGrid w:val="0"/>
          <w:color w:val="000000"/>
          <w:sz w:val="22"/>
          <w:szCs w:val="20"/>
          <w:highlight w:val="black"/>
          <w:lang w:eastAsia="en-US"/>
        </w:rPr>
        <w:t></w:t>
      </w:r>
    </w:p>
    <w:p w:rsidR="00892EA5" w:rsidRPr="0019793B" w:rsidRDefault="00892EA5" w:rsidP="00B802D4">
      <w:pPr>
        <w:rPr>
          <w:rStyle w:val="CommentReference"/>
          <w:rFonts w:ascii="Arial" w:hAnsi="Arial" w:cs="Arial"/>
          <w:b/>
          <w:sz w:val="22"/>
          <w:szCs w:val="22"/>
        </w:rPr>
      </w:pPr>
    </w:p>
    <w:p w:rsidR="00977393" w:rsidRPr="0019793B" w:rsidRDefault="00977393" w:rsidP="00977393">
      <w:pPr>
        <w:pStyle w:val="ListParagraph"/>
        <w:widowControl/>
        <w:numPr>
          <w:ilvl w:val="1"/>
          <w:numId w:val="5"/>
        </w:numPr>
        <w:snapToGrid w:val="0"/>
      </w:pPr>
      <w:r w:rsidRPr="0019793B">
        <w:t xml:space="preserve">The proposed RSA reduced the estimated net cost to the PBS/RPBS over the first five years of listing from </w:t>
      </w:r>
      <w:r w:rsidR="00D130D8">
        <w:t>more than $100</w:t>
      </w:r>
      <w:r w:rsidRPr="0019793B">
        <w:t xml:space="preserve"> million to </w:t>
      </w:r>
      <w:r w:rsidR="00D130D8">
        <w:t>more than $100</w:t>
      </w:r>
      <w:r w:rsidRPr="0019793B">
        <w:t xml:space="preserve"> million.</w:t>
      </w:r>
    </w:p>
    <w:p w:rsidR="0022059F" w:rsidRDefault="0022059F" w:rsidP="00C6105D">
      <w:pPr>
        <w:ind w:left="720"/>
        <w:rPr>
          <w:rFonts w:ascii="Arial" w:hAnsi="Arial" w:cs="Arial"/>
          <w:bCs/>
          <w:i/>
          <w:sz w:val="22"/>
          <w:szCs w:val="22"/>
        </w:rPr>
      </w:pPr>
    </w:p>
    <w:p w:rsidR="00EB260A" w:rsidRPr="0019793B" w:rsidRDefault="00892EA5" w:rsidP="00685C10">
      <w:pPr>
        <w:keepNext/>
        <w:ind w:firstLine="720"/>
        <w:rPr>
          <w:rStyle w:val="CommentReference"/>
          <w:b/>
          <w:sz w:val="20"/>
          <w:szCs w:val="20"/>
        </w:rPr>
      </w:pPr>
      <w:r w:rsidRPr="0019793B">
        <w:rPr>
          <w:rStyle w:val="CommentReference"/>
          <w:rFonts w:ascii="Arial Narrow" w:hAnsi="Arial Narrow"/>
          <w:b/>
          <w:sz w:val="20"/>
          <w:szCs w:val="20"/>
        </w:rPr>
        <w:t xml:space="preserve">Table </w:t>
      </w:r>
      <w:r w:rsidR="00B802D4" w:rsidRPr="0019793B">
        <w:rPr>
          <w:rStyle w:val="CommentReference"/>
          <w:rFonts w:ascii="Arial Narrow" w:hAnsi="Arial Narrow"/>
          <w:b/>
          <w:sz w:val="20"/>
          <w:szCs w:val="20"/>
        </w:rPr>
        <w:t>4</w:t>
      </w:r>
      <w:r w:rsidRPr="0019793B">
        <w:rPr>
          <w:rStyle w:val="CommentReference"/>
          <w:rFonts w:ascii="Arial Narrow" w:hAnsi="Arial Narrow"/>
          <w:b/>
          <w:sz w:val="20"/>
          <w:szCs w:val="20"/>
        </w:rPr>
        <w:t>: Proposed risk sharing arrangement</w:t>
      </w:r>
    </w:p>
    <w:tbl>
      <w:tblPr>
        <w:tblW w:w="4524"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1204"/>
        <w:gridCol w:w="1206"/>
        <w:gridCol w:w="1204"/>
        <w:gridCol w:w="1206"/>
        <w:gridCol w:w="1204"/>
        <w:gridCol w:w="1202"/>
      </w:tblGrid>
      <w:tr w:rsidR="00891E1B" w:rsidRPr="0019793B" w:rsidTr="00494814">
        <w:trPr>
          <w:trHeight w:val="315"/>
        </w:trPr>
        <w:tc>
          <w:tcPr>
            <w:tcW w:w="679" w:type="pct"/>
            <w:shd w:val="clear" w:color="auto" w:fill="auto"/>
            <w:noWrap/>
            <w:vAlign w:val="center"/>
            <w:hideMark/>
          </w:tcPr>
          <w:p w:rsidR="00A55EB9" w:rsidRPr="0019793B" w:rsidRDefault="00A55EB9" w:rsidP="00485BF8">
            <w:pPr>
              <w:keepNext/>
              <w:rPr>
                <w:rFonts w:ascii="Arial Narrow" w:hAnsi="Arial Narrow"/>
                <w:b/>
                <w:bCs/>
                <w:color w:val="000000"/>
                <w:sz w:val="20"/>
                <w:szCs w:val="20"/>
              </w:rPr>
            </w:pPr>
            <w:r w:rsidRPr="0019793B">
              <w:rPr>
                <w:rFonts w:ascii="Arial Narrow" w:hAnsi="Arial Narrow"/>
                <w:b/>
                <w:bCs/>
                <w:color w:val="000000"/>
                <w:sz w:val="20"/>
                <w:szCs w:val="20"/>
                <w:lang w:val="en-US"/>
              </w:rPr>
              <w:t> </w:t>
            </w:r>
          </w:p>
        </w:tc>
        <w:tc>
          <w:tcPr>
            <w:tcW w:w="720" w:type="pct"/>
            <w:shd w:val="clear" w:color="auto" w:fill="auto"/>
            <w:noWrap/>
            <w:vAlign w:val="center"/>
            <w:hideMark/>
          </w:tcPr>
          <w:p w:rsidR="00A55EB9" w:rsidRPr="0019793B" w:rsidRDefault="00A55EB9" w:rsidP="00485BF8">
            <w:pPr>
              <w:keepNext/>
              <w:jc w:val="center"/>
              <w:rPr>
                <w:rFonts w:ascii="Arial Narrow" w:hAnsi="Arial Narrow"/>
                <w:b/>
                <w:bCs/>
                <w:color w:val="000000"/>
                <w:sz w:val="20"/>
                <w:szCs w:val="20"/>
              </w:rPr>
            </w:pPr>
            <w:r w:rsidRPr="0019793B">
              <w:rPr>
                <w:rFonts w:ascii="Arial Narrow" w:hAnsi="Arial Narrow"/>
                <w:b/>
                <w:bCs/>
                <w:color w:val="000000"/>
                <w:sz w:val="20"/>
                <w:szCs w:val="20"/>
                <w:lang w:val="en-US"/>
              </w:rPr>
              <w:t>Year 1</w:t>
            </w:r>
          </w:p>
        </w:tc>
        <w:tc>
          <w:tcPr>
            <w:tcW w:w="721" w:type="pct"/>
            <w:shd w:val="clear" w:color="auto" w:fill="auto"/>
            <w:noWrap/>
            <w:vAlign w:val="center"/>
            <w:hideMark/>
          </w:tcPr>
          <w:p w:rsidR="00A55EB9" w:rsidRPr="0019793B" w:rsidRDefault="00A55EB9" w:rsidP="00485BF8">
            <w:pPr>
              <w:keepNext/>
              <w:jc w:val="center"/>
              <w:rPr>
                <w:rFonts w:ascii="Arial Narrow" w:hAnsi="Arial Narrow"/>
                <w:b/>
                <w:bCs/>
                <w:color w:val="000000"/>
                <w:sz w:val="20"/>
                <w:szCs w:val="20"/>
              </w:rPr>
            </w:pPr>
            <w:r w:rsidRPr="0019793B">
              <w:rPr>
                <w:rFonts w:ascii="Arial Narrow" w:hAnsi="Arial Narrow"/>
                <w:b/>
                <w:bCs/>
                <w:color w:val="000000"/>
                <w:sz w:val="20"/>
                <w:szCs w:val="20"/>
                <w:lang w:val="en-US"/>
              </w:rPr>
              <w:t>Year 2</w:t>
            </w:r>
          </w:p>
        </w:tc>
        <w:tc>
          <w:tcPr>
            <w:tcW w:w="720" w:type="pct"/>
            <w:shd w:val="clear" w:color="auto" w:fill="auto"/>
            <w:noWrap/>
            <w:vAlign w:val="center"/>
            <w:hideMark/>
          </w:tcPr>
          <w:p w:rsidR="00A55EB9" w:rsidRPr="0019793B" w:rsidRDefault="00A55EB9" w:rsidP="00485BF8">
            <w:pPr>
              <w:keepNext/>
              <w:jc w:val="center"/>
              <w:rPr>
                <w:rFonts w:ascii="Arial Narrow" w:hAnsi="Arial Narrow"/>
                <w:b/>
                <w:bCs/>
                <w:color w:val="000000"/>
                <w:sz w:val="20"/>
                <w:szCs w:val="20"/>
              </w:rPr>
            </w:pPr>
            <w:r w:rsidRPr="0019793B">
              <w:rPr>
                <w:rFonts w:ascii="Arial Narrow" w:hAnsi="Arial Narrow"/>
                <w:b/>
                <w:bCs/>
                <w:color w:val="000000"/>
                <w:sz w:val="20"/>
                <w:szCs w:val="20"/>
                <w:lang w:val="en-US"/>
              </w:rPr>
              <w:t>Year 3</w:t>
            </w:r>
          </w:p>
        </w:tc>
        <w:tc>
          <w:tcPr>
            <w:tcW w:w="721" w:type="pct"/>
            <w:shd w:val="clear" w:color="auto" w:fill="auto"/>
            <w:noWrap/>
            <w:vAlign w:val="center"/>
            <w:hideMark/>
          </w:tcPr>
          <w:p w:rsidR="00A55EB9" w:rsidRPr="0019793B" w:rsidRDefault="00A55EB9" w:rsidP="00485BF8">
            <w:pPr>
              <w:keepNext/>
              <w:jc w:val="center"/>
              <w:rPr>
                <w:rFonts w:ascii="Arial Narrow" w:hAnsi="Arial Narrow"/>
                <w:b/>
                <w:bCs/>
                <w:color w:val="000000"/>
                <w:sz w:val="20"/>
                <w:szCs w:val="20"/>
              </w:rPr>
            </w:pPr>
            <w:r w:rsidRPr="0019793B">
              <w:rPr>
                <w:rFonts w:ascii="Arial Narrow" w:hAnsi="Arial Narrow"/>
                <w:b/>
                <w:bCs/>
                <w:color w:val="000000"/>
                <w:sz w:val="20"/>
                <w:szCs w:val="20"/>
                <w:lang w:val="en-US"/>
              </w:rPr>
              <w:t>Year 4</w:t>
            </w:r>
          </w:p>
        </w:tc>
        <w:tc>
          <w:tcPr>
            <w:tcW w:w="720" w:type="pct"/>
            <w:shd w:val="clear" w:color="auto" w:fill="auto"/>
            <w:noWrap/>
            <w:vAlign w:val="center"/>
            <w:hideMark/>
          </w:tcPr>
          <w:p w:rsidR="00A55EB9" w:rsidRPr="0019793B" w:rsidRDefault="00A55EB9" w:rsidP="00485BF8">
            <w:pPr>
              <w:keepNext/>
              <w:jc w:val="center"/>
              <w:rPr>
                <w:rFonts w:ascii="Arial Narrow" w:hAnsi="Arial Narrow"/>
                <w:b/>
                <w:bCs/>
                <w:color w:val="000000"/>
                <w:sz w:val="20"/>
                <w:szCs w:val="20"/>
              </w:rPr>
            </w:pPr>
            <w:r w:rsidRPr="0019793B">
              <w:rPr>
                <w:rFonts w:ascii="Arial Narrow" w:hAnsi="Arial Narrow"/>
                <w:b/>
                <w:bCs/>
                <w:color w:val="000000"/>
                <w:sz w:val="20"/>
                <w:szCs w:val="20"/>
                <w:lang w:val="en-US"/>
              </w:rPr>
              <w:t>Year 5</w:t>
            </w:r>
          </w:p>
        </w:tc>
        <w:tc>
          <w:tcPr>
            <w:tcW w:w="721" w:type="pct"/>
            <w:shd w:val="clear" w:color="auto" w:fill="auto"/>
            <w:noWrap/>
            <w:vAlign w:val="center"/>
            <w:hideMark/>
          </w:tcPr>
          <w:p w:rsidR="00A55EB9" w:rsidRPr="0019793B" w:rsidRDefault="004B5A20" w:rsidP="00485BF8">
            <w:pPr>
              <w:keepNext/>
              <w:jc w:val="center"/>
              <w:rPr>
                <w:rFonts w:ascii="Arial Narrow" w:hAnsi="Arial Narrow"/>
                <w:b/>
                <w:bCs/>
                <w:color w:val="000000"/>
                <w:sz w:val="20"/>
                <w:szCs w:val="20"/>
              </w:rPr>
            </w:pPr>
            <w:r w:rsidRPr="0019793B">
              <w:rPr>
                <w:rFonts w:ascii="Arial Narrow" w:hAnsi="Arial Narrow"/>
                <w:b/>
                <w:bCs/>
                <w:color w:val="000000"/>
                <w:sz w:val="20"/>
                <w:szCs w:val="20"/>
                <w:lang w:val="en-US"/>
              </w:rPr>
              <w:t>T</w:t>
            </w:r>
            <w:r w:rsidR="00A55EB9" w:rsidRPr="0019793B">
              <w:rPr>
                <w:rFonts w:ascii="Arial Narrow" w:hAnsi="Arial Narrow"/>
                <w:b/>
                <w:bCs/>
                <w:color w:val="000000"/>
                <w:sz w:val="20"/>
                <w:szCs w:val="20"/>
                <w:lang w:val="en-US"/>
              </w:rPr>
              <w:t>otal</w:t>
            </w:r>
          </w:p>
        </w:tc>
      </w:tr>
      <w:tr w:rsidR="00891E1B" w:rsidRPr="0019793B" w:rsidTr="00494814">
        <w:trPr>
          <w:trHeight w:val="315"/>
        </w:trPr>
        <w:tc>
          <w:tcPr>
            <w:tcW w:w="679" w:type="pct"/>
            <w:shd w:val="clear" w:color="auto" w:fill="auto"/>
            <w:noWrap/>
            <w:vAlign w:val="center"/>
            <w:hideMark/>
          </w:tcPr>
          <w:p w:rsidR="00A55EB9" w:rsidRPr="00F17FFB" w:rsidRDefault="00F17FFB" w:rsidP="00485BF8">
            <w:pPr>
              <w:keepNext/>
              <w:rPr>
                <w:rFonts w:ascii="Arial Narrow" w:hAnsi="Arial Narrow"/>
                <w:b/>
                <w:bCs/>
                <w:color w:val="000000"/>
                <w:sz w:val="20"/>
                <w:szCs w:val="20"/>
                <w:highlight w:val="black"/>
              </w:rPr>
            </w:pPr>
            <w:r>
              <w:rPr>
                <w:rFonts w:ascii="Arial Narrow" w:hAnsi="Arial Narrow"/>
                <w:b/>
                <w:bCs/>
                <w:noProof/>
                <w:color w:val="000000"/>
                <w:sz w:val="20"/>
                <w:szCs w:val="20"/>
                <w:highlight w:val="black"/>
                <w:lang w:val="en-US"/>
              </w:rPr>
              <w:t>'''''''' '''</w:t>
            </w:r>
          </w:p>
        </w:tc>
        <w:tc>
          <w:tcPr>
            <w:tcW w:w="720" w:type="pct"/>
            <w:shd w:val="clear" w:color="auto" w:fill="auto"/>
            <w:noWrap/>
            <w:vAlign w:val="center"/>
            <w:hideMark/>
          </w:tcPr>
          <w:p w:rsidR="00A55EB9" w:rsidRPr="0019793B" w:rsidRDefault="00A55EB9" w:rsidP="00485BF8">
            <w:pPr>
              <w:keepNext/>
              <w:jc w:val="center"/>
              <w:rPr>
                <w:rFonts w:ascii="Arial Narrow" w:hAnsi="Arial Narrow"/>
                <w:b/>
                <w:bCs/>
                <w:color w:val="000000"/>
                <w:sz w:val="20"/>
                <w:szCs w:val="20"/>
              </w:rPr>
            </w:pPr>
            <w:r w:rsidRPr="0019793B">
              <w:rPr>
                <w:rFonts w:ascii="Arial Narrow" w:hAnsi="Arial Narrow"/>
                <w:b/>
                <w:bCs/>
                <w:color w:val="000000"/>
                <w:sz w:val="20"/>
                <w:szCs w:val="20"/>
                <w:lang w:val="en-US"/>
              </w:rPr>
              <w:t>$</w:t>
            </w:r>
            <w:r w:rsidR="00F17FFB">
              <w:rPr>
                <w:rFonts w:ascii="Arial Narrow" w:hAnsi="Arial Narrow"/>
                <w:b/>
                <w:bCs/>
                <w:noProof/>
                <w:color w:val="000000"/>
                <w:sz w:val="20"/>
                <w:szCs w:val="20"/>
                <w:highlight w:val="black"/>
                <w:lang w:val="en-US"/>
              </w:rPr>
              <w:t>'''''''''''''''''''''''</w:t>
            </w:r>
          </w:p>
        </w:tc>
        <w:tc>
          <w:tcPr>
            <w:tcW w:w="721" w:type="pct"/>
            <w:shd w:val="clear" w:color="auto" w:fill="auto"/>
            <w:noWrap/>
            <w:vAlign w:val="center"/>
            <w:hideMark/>
          </w:tcPr>
          <w:p w:rsidR="00A55EB9" w:rsidRPr="0019793B" w:rsidRDefault="00A55EB9" w:rsidP="00485BF8">
            <w:pPr>
              <w:keepNext/>
              <w:jc w:val="center"/>
              <w:rPr>
                <w:rFonts w:ascii="Arial Narrow" w:hAnsi="Arial Narrow"/>
                <w:b/>
                <w:bCs/>
                <w:color w:val="000000"/>
                <w:sz w:val="20"/>
                <w:szCs w:val="20"/>
              </w:rPr>
            </w:pPr>
            <w:r w:rsidRPr="0019793B">
              <w:rPr>
                <w:rFonts w:ascii="Arial Narrow" w:hAnsi="Arial Narrow"/>
                <w:b/>
                <w:bCs/>
                <w:color w:val="000000"/>
                <w:sz w:val="20"/>
                <w:szCs w:val="20"/>
                <w:lang w:val="en-US"/>
              </w:rPr>
              <w:t>$</w:t>
            </w:r>
            <w:r w:rsidR="00F17FFB">
              <w:rPr>
                <w:rFonts w:ascii="Arial Narrow" w:hAnsi="Arial Narrow"/>
                <w:b/>
                <w:bCs/>
                <w:noProof/>
                <w:color w:val="000000"/>
                <w:sz w:val="20"/>
                <w:szCs w:val="20"/>
                <w:highlight w:val="black"/>
                <w:lang w:val="en-US"/>
              </w:rPr>
              <w:t>''''''''''''''''''''''</w:t>
            </w:r>
          </w:p>
        </w:tc>
        <w:tc>
          <w:tcPr>
            <w:tcW w:w="720" w:type="pct"/>
            <w:shd w:val="clear" w:color="auto" w:fill="auto"/>
            <w:noWrap/>
            <w:vAlign w:val="center"/>
            <w:hideMark/>
          </w:tcPr>
          <w:p w:rsidR="00A55EB9" w:rsidRPr="0019793B" w:rsidRDefault="00A55EB9" w:rsidP="00485BF8">
            <w:pPr>
              <w:keepNext/>
              <w:jc w:val="center"/>
              <w:rPr>
                <w:rFonts w:ascii="Arial Narrow" w:hAnsi="Arial Narrow"/>
                <w:b/>
                <w:bCs/>
                <w:color w:val="000000"/>
                <w:sz w:val="20"/>
                <w:szCs w:val="20"/>
              </w:rPr>
            </w:pPr>
            <w:r w:rsidRPr="0019793B">
              <w:rPr>
                <w:rFonts w:ascii="Arial Narrow" w:hAnsi="Arial Narrow"/>
                <w:b/>
                <w:bCs/>
                <w:color w:val="000000"/>
                <w:sz w:val="20"/>
                <w:szCs w:val="20"/>
                <w:lang w:val="en-US"/>
              </w:rPr>
              <w:t>$</w:t>
            </w:r>
            <w:r w:rsidR="00F17FFB">
              <w:rPr>
                <w:rFonts w:ascii="Arial Narrow" w:hAnsi="Arial Narrow"/>
                <w:b/>
                <w:bCs/>
                <w:noProof/>
                <w:color w:val="000000"/>
                <w:sz w:val="20"/>
                <w:szCs w:val="20"/>
                <w:highlight w:val="black"/>
                <w:lang w:val="en-US"/>
              </w:rPr>
              <w:t>'''''''''''''''''''</w:t>
            </w:r>
          </w:p>
        </w:tc>
        <w:tc>
          <w:tcPr>
            <w:tcW w:w="721" w:type="pct"/>
            <w:shd w:val="clear" w:color="auto" w:fill="auto"/>
            <w:noWrap/>
            <w:vAlign w:val="center"/>
            <w:hideMark/>
          </w:tcPr>
          <w:p w:rsidR="00A55EB9" w:rsidRPr="0019793B" w:rsidRDefault="00A55EB9" w:rsidP="00485BF8">
            <w:pPr>
              <w:keepNext/>
              <w:jc w:val="center"/>
              <w:rPr>
                <w:rFonts w:ascii="Arial Narrow" w:hAnsi="Arial Narrow"/>
                <w:b/>
                <w:bCs/>
                <w:color w:val="000000"/>
                <w:sz w:val="20"/>
                <w:szCs w:val="20"/>
              </w:rPr>
            </w:pPr>
            <w:r w:rsidRPr="0019793B">
              <w:rPr>
                <w:rFonts w:ascii="Arial Narrow" w:hAnsi="Arial Narrow"/>
                <w:b/>
                <w:bCs/>
                <w:color w:val="000000"/>
                <w:sz w:val="20"/>
                <w:szCs w:val="20"/>
                <w:lang w:val="en-US"/>
              </w:rPr>
              <w:t>$</w:t>
            </w:r>
            <w:r w:rsidR="00F17FFB">
              <w:rPr>
                <w:rFonts w:ascii="Arial Narrow" w:hAnsi="Arial Narrow"/>
                <w:b/>
                <w:bCs/>
                <w:noProof/>
                <w:color w:val="000000"/>
                <w:sz w:val="20"/>
                <w:szCs w:val="20"/>
                <w:highlight w:val="black"/>
                <w:lang w:val="en-US"/>
              </w:rPr>
              <w:t>'''''''''''''''''''''''</w:t>
            </w:r>
          </w:p>
        </w:tc>
        <w:tc>
          <w:tcPr>
            <w:tcW w:w="720" w:type="pct"/>
            <w:shd w:val="clear" w:color="auto" w:fill="auto"/>
            <w:noWrap/>
            <w:vAlign w:val="center"/>
            <w:hideMark/>
          </w:tcPr>
          <w:p w:rsidR="00A55EB9" w:rsidRPr="0019793B" w:rsidRDefault="00A55EB9" w:rsidP="00485BF8">
            <w:pPr>
              <w:keepNext/>
              <w:jc w:val="center"/>
              <w:rPr>
                <w:rFonts w:ascii="Arial Narrow" w:hAnsi="Arial Narrow"/>
                <w:b/>
                <w:bCs/>
                <w:color w:val="000000"/>
                <w:sz w:val="20"/>
                <w:szCs w:val="20"/>
              </w:rPr>
            </w:pPr>
            <w:r w:rsidRPr="0019793B">
              <w:rPr>
                <w:rFonts w:ascii="Arial Narrow" w:hAnsi="Arial Narrow"/>
                <w:b/>
                <w:bCs/>
                <w:color w:val="000000"/>
                <w:sz w:val="20"/>
                <w:szCs w:val="20"/>
                <w:lang w:val="en-US"/>
              </w:rPr>
              <w:t>$</w:t>
            </w:r>
            <w:r w:rsidR="00F17FFB">
              <w:rPr>
                <w:rFonts w:ascii="Arial Narrow" w:hAnsi="Arial Narrow"/>
                <w:b/>
                <w:bCs/>
                <w:noProof/>
                <w:color w:val="000000"/>
                <w:sz w:val="20"/>
                <w:szCs w:val="20"/>
                <w:highlight w:val="black"/>
                <w:lang w:val="en-US"/>
              </w:rPr>
              <w:t>'''''''''''''''''''''</w:t>
            </w:r>
          </w:p>
        </w:tc>
        <w:tc>
          <w:tcPr>
            <w:tcW w:w="721" w:type="pct"/>
            <w:shd w:val="clear" w:color="auto" w:fill="auto"/>
            <w:noWrap/>
            <w:vAlign w:val="center"/>
            <w:hideMark/>
          </w:tcPr>
          <w:p w:rsidR="00A55EB9" w:rsidRPr="0019793B" w:rsidRDefault="00A55EB9" w:rsidP="00485BF8">
            <w:pPr>
              <w:keepNext/>
              <w:jc w:val="center"/>
              <w:rPr>
                <w:rFonts w:ascii="Arial Narrow" w:hAnsi="Arial Narrow"/>
                <w:b/>
                <w:bCs/>
                <w:color w:val="000000"/>
                <w:sz w:val="20"/>
                <w:szCs w:val="20"/>
              </w:rPr>
            </w:pPr>
            <w:r w:rsidRPr="0019793B">
              <w:rPr>
                <w:rFonts w:ascii="Arial Narrow" w:hAnsi="Arial Narrow"/>
                <w:b/>
                <w:bCs/>
                <w:color w:val="000000"/>
                <w:sz w:val="20"/>
                <w:szCs w:val="20"/>
                <w:lang w:val="en-US"/>
              </w:rPr>
              <w:t>$</w:t>
            </w:r>
            <w:r w:rsidR="00F17FFB">
              <w:rPr>
                <w:rFonts w:ascii="Arial Narrow" w:hAnsi="Arial Narrow"/>
                <w:b/>
                <w:bCs/>
                <w:noProof/>
                <w:color w:val="000000"/>
                <w:sz w:val="20"/>
                <w:szCs w:val="20"/>
                <w:highlight w:val="black"/>
                <w:lang w:val="en-US"/>
              </w:rPr>
              <w:t>'''''''''''''''''''''''''</w:t>
            </w:r>
          </w:p>
        </w:tc>
      </w:tr>
      <w:tr w:rsidR="00891E1B" w:rsidRPr="0019793B" w:rsidTr="00494814">
        <w:trPr>
          <w:trHeight w:val="315"/>
        </w:trPr>
        <w:tc>
          <w:tcPr>
            <w:tcW w:w="679" w:type="pct"/>
            <w:shd w:val="clear" w:color="auto" w:fill="auto"/>
            <w:noWrap/>
            <w:vAlign w:val="center"/>
            <w:hideMark/>
          </w:tcPr>
          <w:p w:rsidR="00A55EB9" w:rsidRPr="0019793B" w:rsidRDefault="004B5A20" w:rsidP="00485BF8">
            <w:pPr>
              <w:keepNext/>
              <w:rPr>
                <w:rFonts w:ascii="Arial Narrow" w:hAnsi="Arial Narrow"/>
                <w:color w:val="000000"/>
                <w:sz w:val="20"/>
                <w:szCs w:val="20"/>
              </w:rPr>
            </w:pPr>
            <w:r w:rsidRPr="0019793B">
              <w:rPr>
                <w:rFonts w:ascii="Arial Narrow" w:hAnsi="Arial Narrow"/>
                <w:color w:val="000000"/>
                <w:sz w:val="20"/>
                <w:szCs w:val="20"/>
                <w:lang w:val="en-US"/>
              </w:rPr>
              <w:t xml:space="preserve">Estimated expenditure </w:t>
            </w:r>
            <w:r w:rsidR="00F17FFB">
              <w:rPr>
                <w:rFonts w:ascii="Arial Narrow" w:hAnsi="Arial Narrow"/>
                <w:noProof/>
                <w:color w:val="000000"/>
                <w:sz w:val="20"/>
                <w:szCs w:val="20"/>
                <w:highlight w:val="black"/>
                <w:lang w:val="en-US"/>
              </w:rPr>
              <w:t>''''''''''' '''''''''''''''' '''' ''''</w:t>
            </w:r>
          </w:p>
        </w:tc>
        <w:tc>
          <w:tcPr>
            <w:tcW w:w="720" w:type="pct"/>
            <w:shd w:val="clear" w:color="auto" w:fill="auto"/>
            <w:noWrap/>
            <w:vAlign w:val="center"/>
            <w:hideMark/>
          </w:tcPr>
          <w:p w:rsidR="00A55EB9" w:rsidRPr="0019793B" w:rsidRDefault="00A55EB9" w:rsidP="00485BF8">
            <w:pPr>
              <w:keepNext/>
              <w:jc w:val="center"/>
              <w:rPr>
                <w:rFonts w:ascii="Arial Narrow" w:hAnsi="Arial Narrow"/>
                <w:color w:val="000000"/>
                <w:sz w:val="20"/>
                <w:szCs w:val="20"/>
              </w:rPr>
            </w:pPr>
            <w:r w:rsidRPr="0019793B">
              <w:rPr>
                <w:rFonts w:ascii="Arial Narrow" w:hAnsi="Arial Narrow"/>
                <w:color w:val="000000"/>
                <w:sz w:val="20"/>
                <w:szCs w:val="20"/>
                <w:lang w:val="en-US"/>
              </w:rPr>
              <w:t>$</w:t>
            </w:r>
            <w:r w:rsidR="00F17FFB">
              <w:rPr>
                <w:rFonts w:ascii="Arial Narrow" w:hAnsi="Arial Narrow"/>
                <w:noProof/>
                <w:color w:val="000000"/>
                <w:sz w:val="20"/>
                <w:szCs w:val="20"/>
                <w:highlight w:val="black"/>
                <w:lang w:val="en-US"/>
              </w:rPr>
              <w:t>'''''''''''''''''''''''</w:t>
            </w:r>
          </w:p>
        </w:tc>
        <w:tc>
          <w:tcPr>
            <w:tcW w:w="721" w:type="pct"/>
            <w:shd w:val="clear" w:color="auto" w:fill="auto"/>
            <w:noWrap/>
            <w:vAlign w:val="center"/>
            <w:hideMark/>
          </w:tcPr>
          <w:p w:rsidR="00A55EB9" w:rsidRPr="0019793B" w:rsidRDefault="00A55EB9" w:rsidP="00485BF8">
            <w:pPr>
              <w:keepNext/>
              <w:jc w:val="center"/>
              <w:rPr>
                <w:rFonts w:ascii="Arial Narrow" w:hAnsi="Arial Narrow"/>
                <w:color w:val="000000"/>
                <w:sz w:val="20"/>
                <w:szCs w:val="20"/>
              </w:rPr>
            </w:pPr>
            <w:r w:rsidRPr="0019793B">
              <w:rPr>
                <w:rFonts w:ascii="Arial Narrow" w:hAnsi="Arial Narrow"/>
                <w:color w:val="000000"/>
                <w:sz w:val="20"/>
                <w:szCs w:val="20"/>
                <w:lang w:val="en-US"/>
              </w:rPr>
              <w:t>$</w:t>
            </w:r>
            <w:r w:rsidR="00F17FFB">
              <w:rPr>
                <w:rFonts w:ascii="Arial Narrow" w:hAnsi="Arial Narrow"/>
                <w:noProof/>
                <w:color w:val="000000"/>
                <w:sz w:val="20"/>
                <w:szCs w:val="20"/>
                <w:highlight w:val="black"/>
                <w:lang w:val="en-US"/>
              </w:rPr>
              <w:t>'''''''''''''''''''''''''</w:t>
            </w:r>
          </w:p>
        </w:tc>
        <w:tc>
          <w:tcPr>
            <w:tcW w:w="720" w:type="pct"/>
            <w:shd w:val="clear" w:color="auto" w:fill="auto"/>
            <w:noWrap/>
            <w:vAlign w:val="center"/>
            <w:hideMark/>
          </w:tcPr>
          <w:p w:rsidR="00A55EB9" w:rsidRPr="0019793B" w:rsidRDefault="00A55EB9" w:rsidP="00485BF8">
            <w:pPr>
              <w:keepNext/>
              <w:jc w:val="center"/>
              <w:rPr>
                <w:rFonts w:ascii="Arial Narrow" w:hAnsi="Arial Narrow"/>
                <w:color w:val="000000"/>
                <w:sz w:val="20"/>
                <w:szCs w:val="20"/>
              </w:rPr>
            </w:pPr>
            <w:r w:rsidRPr="0019793B">
              <w:rPr>
                <w:rFonts w:ascii="Arial Narrow" w:hAnsi="Arial Narrow"/>
                <w:color w:val="000000"/>
                <w:sz w:val="20"/>
                <w:szCs w:val="20"/>
                <w:lang w:val="en-US"/>
              </w:rPr>
              <w:t>$</w:t>
            </w:r>
            <w:r w:rsidR="00F17FFB">
              <w:rPr>
                <w:rFonts w:ascii="Arial Narrow" w:hAnsi="Arial Narrow"/>
                <w:noProof/>
                <w:color w:val="000000"/>
                <w:sz w:val="20"/>
                <w:szCs w:val="20"/>
                <w:highlight w:val="black"/>
                <w:lang w:val="en-US"/>
              </w:rPr>
              <w:t>''''''''''''''''''''''''''''</w:t>
            </w:r>
          </w:p>
        </w:tc>
        <w:tc>
          <w:tcPr>
            <w:tcW w:w="721" w:type="pct"/>
            <w:shd w:val="clear" w:color="auto" w:fill="auto"/>
            <w:noWrap/>
            <w:vAlign w:val="center"/>
            <w:hideMark/>
          </w:tcPr>
          <w:p w:rsidR="00A55EB9" w:rsidRPr="0019793B" w:rsidRDefault="00A55EB9" w:rsidP="00485BF8">
            <w:pPr>
              <w:keepNext/>
              <w:jc w:val="center"/>
              <w:rPr>
                <w:rFonts w:ascii="Arial Narrow" w:hAnsi="Arial Narrow"/>
                <w:color w:val="000000"/>
                <w:sz w:val="20"/>
                <w:szCs w:val="20"/>
              </w:rPr>
            </w:pPr>
            <w:r w:rsidRPr="0019793B">
              <w:rPr>
                <w:rFonts w:ascii="Arial Narrow" w:hAnsi="Arial Narrow"/>
                <w:color w:val="000000"/>
                <w:sz w:val="20"/>
                <w:szCs w:val="20"/>
                <w:lang w:val="en-US"/>
              </w:rPr>
              <w:t>$</w:t>
            </w:r>
            <w:r w:rsidR="00F17FFB">
              <w:rPr>
                <w:rFonts w:ascii="Arial Narrow" w:hAnsi="Arial Narrow"/>
                <w:noProof/>
                <w:color w:val="000000"/>
                <w:sz w:val="20"/>
                <w:szCs w:val="20"/>
                <w:highlight w:val="black"/>
                <w:lang w:val="en-US"/>
              </w:rPr>
              <w:t>'''''''''''''''''''''''''''''</w:t>
            </w:r>
          </w:p>
        </w:tc>
        <w:tc>
          <w:tcPr>
            <w:tcW w:w="720" w:type="pct"/>
            <w:shd w:val="clear" w:color="auto" w:fill="auto"/>
            <w:noWrap/>
            <w:vAlign w:val="center"/>
            <w:hideMark/>
          </w:tcPr>
          <w:p w:rsidR="00A55EB9" w:rsidRPr="0019793B" w:rsidRDefault="00A55EB9" w:rsidP="00485BF8">
            <w:pPr>
              <w:keepNext/>
              <w:jc w:val="center"/>
              <w:rPr>
                <w:rFonts w:ascii="Arial Narrow" w:hAnsi="Arial Narrow"/>
                <w:color w:val="000000"/>
                <w:sz w:val="20"/>
                <w:szCs w:val="20"/>
              </w:rPr>
            </w:pPr>
            <w:r w:rsidRPr="0019793B">
              <w:rPr>
                <w:rFonts w:ascii="Arial Narrow" w:hAnsi="Arial Narrow"/>
                <w:color w:val="000000"/>
                <w:sz w:val="20"/>
                <w:szCs w:val="20"/>
                <w:lang w:val="en-US"/>
              </w:rPr>
              <w:t>$</w:t>
            </w:r>
            <w:r w:rsidR="00F17FFB">
              <w:rPr>
                <w:rFonts w:ascii="Arial Narrow" w:hAnsi="Arial Narrow"/>
                <w:noProof/>
                <w:color w:val="000000"/>
                <w:sz w:val="20"/>
                <w:szCs w:val="20"/>
                <w:highlight w:val="black"/>
                <w:lang w:val="en-US"/>
              </w:rPr>
              <w:t>'''''''''''''''''''''''''''''</w:t>
            </w:r>
          </w:p>
        </w:tc>
        <w:tc>
          <w:tcPr>
            <w:tcW w:w="721" w:type="pct"/>
            <w:shd w:val="clear" w:color="auto" w:fill="auto"/>
            <w:noWrap/>
            <w:vAlign w:val="center"/>
            <w:hideMark/>
          </w:tcPr>
          <w:p w:rsidR="00A55EB9" w:rsidRPr="0019793B" w:rsidRDefault="00A55EB9" w:rsidP="00485BF8">
            <w:pPr>
              <w:keepNext/>
              <w:jc w:val="center"/>
              <w:rPr>
                <w:rFonts w:ascii="Arial Narrow" w:hAnsi="Arial Narrow"/>
                <w:color w:val="000000"/>
                <w:sz w:val="20"/>
                <w:szCs w:val="20"/>
              </w:rPr>
            </w:pPr>
            <w:r w:rsidRPr="0019793B">
              <w:rPr>
                <w:rFonts w:ascii="Arial Narrow" w:hAnsi="Arial Narrow"/>
                <w:color w:val="000000"/>
                <w:sz w:val="20"/>
                <w:szCs w:val="20"/>
                <w:lang w:val="en-US"/>
              </w:rPr>
              <w:t>$</w:t>
            </w:r>
            <w:r w:rsidR="00F17FFB">
              <w:rPr>
                <w:rFonts w:ascii="Arial Narrow" w:hAnsi="Arial Narrow"/>
                <w:noProof/>
                <w:color w:val="000000"/>
                <w:sz w:val="20"/>
                <w:szCs w:val="20"/>
                <w:highlight w:val="black"/>
                <w:lang w:val="en-US"/>
              </w:rPr>
              <w:t>'''''''''''''''''''''''''</w:t>
            </w:r>
          </w:p>
        </w:tc>
      </w:tr>
      <w:tr w:rsidR="00891E1B" w:rsidRPr="0019793B" w:rsidTr="00494814">
        <w:trPr>
          <w:trHeight w:val="315"/>
        </w:trPr>
        <w:tc>
          <w:tcPr>
            <w:tcW w:w="679" w:type="pct"/>
            <w:shd w:val="clear" w:color="auto" w:fill="auto"/>
            <w:noWrap/>
            <w:vAlign w:val="center"/>
            <w:hideMark/>
          </w:tcPr>
          <w:p w:rsidR="00A55EB9" w:rsidRPr="00F17FFB" w:rsidRDefault="00F17FFB" w:rsidP="00485BF8">
            <w:pPr>
              <w:keepNext/>
              <w:rPr>
                <w:rFonts w:ascii="Arial Narrow" w:hAnsi="Arial Narrow"/>
                <w:b/>
                <w:bCs/>
                <w:color w:val="000000"/>
                <w:sz w:val="20"/>
                <w:szCs w:val="20"/>
                <w:highlight w:val="black"/>
              </w:rPr>
            </w:pPr>
            <w:r>
              <w:rPr>
                <w:rFonts w:ascii="Arial Narrow" w:hAnsi="Arial Narrow"/>
                <w:b/>
                <w:bCs/>
                <w:noProof/>
                <w:color w:val="000000"/>
                <w:sz w:val="20"/>
                <w:szCs w:val="20"/>
                <w:highlight w:val="black"/>
                <w:lang w:val="en-US"/>
              </w:rPr>
              <w:t>''''''''' '''</w:t>
            </w:r>
          </w:p>
        </w:tc>
        <w:tc>
          <w:tcPr>
            <w:tcW w:w="720" w:type="pct"/>
            <w:shd w:val="clear" w:color="auto" w:fill="auto"/>
            <w:noWrap/>
            <w:vAlign w:val="center"/>
            <w:hideMark/>
          </w:tcPr>
          <w:p w:rsidR="00A55EB9" w:rsidRPr="0019793B" w:rsidRDefault="00A55EB9" w:rsidP="00485BF8">
            <w:pPr>
              <w:keepNext/>
              <w:jc w:val="center"/>
              <w:rPr>
                <w:rFonts w:ascii="Arial Narrow" w:hAnsi="Arial Narrow"/>
                <w:b/>
                <w:bCs/>
                <w:color w:val="000000"/>
                <w:sz w:val="20"/>
                <w:szCs w:val="20"/>
              </w:rPr>
            </w:pPr>
            <w:r w:rsidRPr="0019793B">
              <w:rPr>
                <w:rFonts w:ascii="Arial Narrow" w:hAnsi="Arial Narrow"/>
                <w:b/>
                <w:bCs/>
                <w:color w:val="000000"/>
                <w:sz w:val="20"/>
                <w:szCs w:val="20"/>
                <w:lang w:val="en-US"/>
              </w:rPr>
              <w:t>$</w:t>
            </w:r>
            <w:r w:rsidR="00F17FFB">
              <w:rPr>
                <w:rFonts w:ascii="Arial Narrow" w:hAnsi="Arial Narrow"/>
                <w:b/>
                <w:bCs/>
                <w:noProof/>
                <w:color w:val="000000"/>
                <w:sz w:val="20"/>
                <w:szCs w:val="20"/>
                <w:highlight w:val="black"/>
                <w:lang w:val="en-US"/>
              </w:rPr>
              <w:t>'''''''''''''''''''''</w:t>
            </w:r>
          </w:p>
        </w:tc>
        <w:tc>
          <w:tcPr>
            <w:tcW w:w="721" w:type="pct"/>
            <w:shd w:val="clear" w:color="auto" w:fill="auto"/>
            <w:noWrap/>
            <w:vAlign w:val="center"/>
            <w:hideMark/>
          </w:tcPr>
          <w:p w:rsidR="00A55EB9" w:rsidRPr="0019793B" w:rsidRDefault="00A55EB9" w:rsidP="00485BF8">
            <w:pPr>
              <w:keepNext/>
              <w:jc w:val="center"/>
              <w:rPr>
                <w:rFonts w:ascii="Arial Narrow" w:hAnsi="Arial Narrow"/>
                <w:b/>
                <w:bCs/>
                <w:color w:val="000000"/>
                <w:sz w:val="20"/>
                <w:szCs w:val="20"/>
              </w:rPr>
            </w:pPr>
            <w:r w:rsidRPr="0019793B">
              <w:rPr>
                <w:rFonts w:ascii="Arial Narrow" w:hAnsi="Arial Narrow"/>
                <w:b/>
                <w:bCs/>
                <w:color w:val="000000"/>
                <w:sz w:val="20"/>
                <w:szCs w:val="20"/>
                <w:lang w:val="en-US"/>
              </w:rPr>
              <w:t>$</w:t>
            </w:r>
            <w:r w:rsidR="00F17FFB">
              <w:rPr>
                <w:rFonts w:ascii="Arial Narrow" w:hAnsi="Arial Narrow"/>
                <w:b/>
                <w:bCs/>
                <w:noProof/>
                <w:color w:val="000000"/>
                <w:sz w:val="20"/>
                <w:szCs w:val="20"/>
                <w:highlight w:val="black"/>
                <w:lang w:val="en-US"/>
              </w:rPr>
              <w:t>'''''''''''''''''''''</w:t>
            </w:r>
          </w:p>
        </w:tc>
        <w:tc>
          <w:tcPr>
            <w:tcW w:w="720" w:type="pct"/>
            <w:shd w:val="clear" w:color="auto" w:fill="auto"/>
            <w:noWrap/>
            <w:vAlign w:val="center"/>
            <w:hideMark/>
          </w:tcPr>
          <w:p w:rsidR="00A55EB9" w:rsidRPr="0019793B" w:rsidRDefault="00A55EB9" w:rsidP="00485BF8">
            <w:pPr>
              <w:keepNext/>
              <w:jc w:val="center"/>
              <w:rPr>
                <w:rFonts w:ascii="Arial Narrow" w:hAnsi="Arial Narrow"/>
                <w:b/>
                <w:bCs/>
                <w:color w:val="000000"/>
                <w:sz w:val="20"/>
                <w:szCs w:val="20"/>
              </w:rPr>
            </w:pPr>
            <w:r w:rsidRPr="0019793B">
              <w:rPr>
                <w:rFonts w:ascii="Arial Narrow" w:hAnsi="Arial Narrow"/>
                <w:b/>
                <w:bCs/>
                <w:color w:val="000000"/>
                <w:sz w:val="20"/>
                <w:szCs w:val="20"/>
                <w:lang w:val="en-US"/>
              </w:rPr>
              <w:t>$</w:t>
            </w:r>
            <w:r w:rsidR="00F17FFB">
              <w:rPr>
                <w:rFonts w:ascii="Arial Narrow" w:hAnsi="Arial Narrow"/>
                <w:b/>
                <w:bCs/>
                <w:noProof/>
                <w:color w:val="000000"/>
                <w:sz w:val="20"/>
                <w:szCs w:val="20"/>
                <w:highlight w:val="black"/>
                <w:lang w:val="en-US"/>
              </w:rPr>
              <w:t>'''''''''''''''''''''''</w:t>
            </w:r>
          </w:p>
        </w:tc>
        <w:tc>
          <w:tcPr>
            <w:tcW w:w="721" w:type="pct"/>
            <w:shd w:val="clear" w:color="auto" w:fill="auto"/>
            <w:noWrap/>
            <w:vAlign w:val="center"/>
            <w:hideMark/>
          </w:tcPr>
          <w:p w:rsidR="00A55EB9" w:rsidRPr="0019793B" w:rsidRDefault="00A55EB9" w:rsidP="00485BF8">
            <w:pPr>
              <w:keepNext/>
              <w:jc w:val="center"/>
              <w:rPr>
                <w:rFonts w:ascii="Arial Narrow" w:hAnsi="Arial Narrow"/>
                <w:b/>
                <w:bCs/>
                <w:color w:val="000000"/>
                <w:sz w:val="20"/>
                <w:szCs w:val="20"/>
              </w:rPr>
            </w:pPr>
            <w:r w:rsidRPr="0019793B">
              <w:rPr>
                <w:rFonts w:ascii="Arial Narrow" w:hAnsi="Arial Narrow"/>
                <w:b/>
                <w:bCs/>
                <w:color w:val="000000"/>
                <w:sz w:val="20"/>
                <w:szCs w:val="20"/>
                <w:lang w:val="en-US"/>
              </w:rPr>
              <w:t>$</w:t>
            </w:r>
            <w:r w:rsidR="00F17FFB">
              <w:rPr>
                <w:rFonts w:ascii="Arial Narrow" w:hAnsi="Arial Narrow"/>
                <w:b/>
                <w:bCs/>
                <w:noProof/>
                <w:color w:val="000000"/>
                <w:sz w:val="20"/>
                <w:szCs w:val="20"/>
                <w:highlight w:val="black"/>
                <w:lang w:val="en-US"/>
              </w:rPr>
              <w:t>''''''''''''''''''''''</w:t>
            </w:r>
          </w:p>
        </w:tc>
        <w:tc>
          <w:tcPr>
            <w:tcW w:w="720" w:type="pct"/>
            <w:shd w:val="clear" w:color="auto" w:fill="auto"/>
            <w:noWrap/>
            <w:vAlign w:val="center"/>
            <w:hideMark/>
          </w:tcPr>
          <w:p w:rsidR="00A55EB9" w:rsidRPr="0019793B" w:rsidRDefault="00A55EB9" w:rsidP="00485BF8">
            <w:pPr>
              <w:keepNext/>
              <w:jc w:val="center"/>
              <w:rPr>
                <w:rFonts w:ascii="Arial Narrow" w:hAnsi="Arial Narrow"/>
                <w:b/>
                <w:bCs/>
                <w:color w:val="000000"/>
                <w:sz w:val="20"/>
                <w:szCs w:val="20"/>
              </w:rPr>
            </w:pPr>
            <w:r w:rsidRPr="0019793B">
              <w:rPr>
                <w:rFonts w:ascii="Arial Narrow" w:hAnsi="Arial Narrow"/>
                <w:b/>
                <w:bCs/>
                <w:color w:val="000000"/>
                <w:sz w:val="20"/>
                <w:szCs w:val="20"/>
                <w:lang w:val="en-US"/>
              </w:rPr>
              <w:t>$</w:t>
            </w:r>
            <w:r w:rsidR="00F17FFB">
              <w:rPr>
                <w:rFonts w:ascii="Arial Narrow" w:hAnsi="Arial Narrow"/>
                <w:b/>
                <w:bCs/>
                <w:noProof/>
                <w:color w:val="000000"/>
                <w:sz w:val="20"/>
                <w:szCs w:val="20"/>
                <w:highlight w:val="black"/>
                <w:lang w:val="en-US"/>
              </w:rPr>
              <w:t>'''''''''''''''''''''</w:t>
            </w:r>
          </w:p>
        </w:tc>
        <w:tc>
          <w:tcPr>
            <w:tcW w:w="721" w:type="pct"/>
            <w:shd w:val="clear" w:color="auto" w:fill="auto"/>
            <w:noWrap/>
            <w:vAlign w:val="center"/>
            <w:hideMark/>
          </w:tcPr>
          <w:p w:rsidR="00A55EB9" w:rsidRPr="0019793B" w:rsidRDefault="00A55EB9" w:rsidP="00485BF8">
            <w:pPr>
              <w:keepNext/>
              <w:jc w:val="center"/>
              <w:rPr>
                <w:rFonts w:ascii="Arial Narrow" w:hAnsi="Arial Narrow"/>
                <w:b/>
                <w:bCs/>
                <w:color w:val="000000"/>
                <w:sz w:val="20"/>
                <w:szCs w:val="20"/>
              </w:rPr>
            </w:pPr>
            <w:r w:rsidRPr="0019793B">
              <w:rPr>
                <w:rFonts w:ascii="Arial Narrow" w:hAnsi="Arial Narrow"/>
                <w:b/>
                <w:bCs/>
                <w:color w:val="000000"/>
                <w:sz w:val="20"/>
                <w:szCs w:val="20"/>
                <w:lang w:val="en-US"/>
              </w:rPr>
              <w:t>$</w:t>
            </w:r>
            <w:r w:rsidR="00F17FFB">
              <w:rPr>
                <w:rFonts w:ascii="Arial Narrow" w:hAnsi="Arial Narrow"/>
                <w:b/>
                <w:bCs/>
                <w:noProof/>
                <w:color w:val="000000"/>
                <w:sz w:val="20"/>
                <w:szCs w:val="20"/>
                <w:highlight w:val="black"/>
                <w:lang w:val="en-US"/>
              </w:rPr>
              <w:t>''''''''''''''''''''''</w:t>
            </w:r>
          </w:p>
        </w:tc>
      </w:tr>
      <w:tr w:rsidR="00891E1B" w:rsidRPr="0019793B" w:rsidTr="00494814">
        <w:trPr>
          <w:trHeight w:val="315"/>
        </w:trPr>
        <w:tc>
          <w:tcPr>
            <w:tcW w:w="679" w:type="pct"/>
            <w:shd w:val="clear" w:color="auto" w:fill="auto"/>
            <w:noWrap/>
            <w:vAlign w:val="center"/>
          </w:tcPr>
          <w:p w:rsidR="004B5A20" w:rsidRPr="0019793B" w:rsidRDefault="004B5A20" w:rsidP="00485BF8">
            <w:pPr>
              <w:keepNext/>
              <w:rPr>
                <w:rFonts w:ascii="Arial Narrow" w:hAnsi="Arial Narrow"/>
                <w:color w:val="000000"/>
                <w:sz w:val="20"/>
                <w:szCs w:val="20"/>
                <w:lang w:val="en-US"/>
              </w:rPr>
            </w:pPr>
            <w:r w:rsidRPr="0019793B">
              <w:rPr>
                <w:rFonts w:ascii="Arial Narrow" w:hAnsi="Arial Narrow"/>
                <w:color w:val="000000"/>
                <w:sz w:val="20"/>
                <w:szCs w:val="20"/>
                <w:lang w:val="en-US"/>
              </w:rPr>
              <w:t xml:space="preserve">Estimated expenditure </w:t>
            </w:r>
            <w:r w:rsidR="00F17FFB">
              <w:rPr>
                <w:rFonts w:ascii="Arial Narrow" w:hAnsi="Arial Narrow"/>
                <w:noProof/>
                <w:color w:val="000000"/>
                <w:sz w:val="20"/>
                <w:szCs w:val="20"/>
                <w:highlight w:val="black"/>
                <w:lang w:val="en-US"/>
              </w:rPr>
              <w:t>'''''''''' ''''''''''''' '''' ''''</w:t>
            </w:r>
          </w:p>
        </w:tc>
        <w:tc>
          <w:tcPr>
            <w:tcW w:w="720" w:type="pct"/>
            <w:shd w:val="clear" w:color="auto" w:fill="auto"/>
            <w:noWrap/>
            <w:vAlign w:val="center"/>
          </w:tcPr>
          <w:p w:rsidR="004B5A20" w:rsidRPr="0019793B" w:rsidRDefault="004B5A20" w:rsidP="00485BF8">
            <w:pPr>
              <w:keepNext/>
              <w:jc w:val="center"/>
              <w:rPr>
                <w:rFonts w:ascii="Arial Narrow" w:hAnsi="Arial Narrow"/>
                <w:color w:val="000000"/>
                <w:sz w:val="20"/>
                <w:szCs w:val="20"/>
                <w:lang w:val="en-US"/>
              </w:rPr>
            </w:pPr>
            <w:r w:rsidRPr="0019793B">
              <w:rPr>
                <w:rFonts w:ascii="Arial Narrow" w:hAnsi="Arial Narrow"/>
                <w:color w:val="000000"/>
                <w:sz w:val="20"/>
                <w:szCs w:val="20"/>
                <w:lang w:val="en-US"/>
              </w:rPr>
              <w:t>$</w:t>
            </w:r>
            <w:r w:rsidR="00F17FFB">
              <w:rPr>
                <w:rFonts w:ascii="Arial Narrow" w:hAnsi="Arial Narrow"/>
                <w:noProof/>
                <w:color w:val="000000"/>
                <w:sz w:val="20"/>
                <w:szCs w:val="20"/>
                <w:highlight w:val="black"/>
                <w:lang w:val="en-US"/>
              </w:rPr>
              <w:t>''''</w:t>
            </w:r>
          </w:p>
        </w:tc>
        <w:tc>
          <w:tcPr>
            <w:tcW w:w="721" w:type="pct"/>
            <w:shd w:val="clear" w:color="auto" w:fill="auto"/>
            <w:noWrap/>
            <w:vAlign w:val="center"/>
          </w:tcPr>
          <w:p w:rsidR="004B5A20" w:rsidRPr="0019793B" w:rsidRDefault="004B5A20" w:rsidP="00485BF8">
            <w:pPr>
              <w:keepNext/>
              <w:jc w:val="center"/>
              <w:rPr>
                <w:rFonts w:ascii="Arial Narrow" w:hAnsi="Arial Narrow"/>
                <w:color w:val="000000"/>
                <w:sz w:val="20"/>
                <w:szCs w:val="20"/>
                <w:lang w:val="en-US"/>
              </w:rPr>
            </w:pPr>
            <w:r w:rsidRPr="0019793B">
              <w:rPr>
                <w:rFonts w:ascii="Arial Narrow" w:hAnsi="Arial Narrow"/>
                <w:color w:val="000000"/>
                <w:sz w:val="20"/>
                <w:szCs w:val="20"/>
                <w:lang w:val="en-US"/>
              </w:rPr>
              <w:t>$</w:t>
            </w:r>
            <w:r w:rsidR="00F17FFB">
              <w:rPr>
                <w:rFonts w:ascii="Arial Narrow" w:hAnsi="Arial Narrow"/>
                <w:noProof/>
                <w:color w:val="000000"/>
                <w:sz w:val="20"/>
                <w:szCs w:val="20"/>
                <w:highlight w:val="black"/>
                <w:lang w:val="en-US"/>
              </w:rPr>
              <w:t>''''</w:t>
            </w:r>
          </w:p>
        </w:tc>
        <w:tc>
          <w:tcPr>
            <w:tcW w:w="720" w:type="pct"/>
            <w:shd w:val="clear" w:color="auto" w:fill="auto"/>
            <w:noWrap/>
            <w:vAlign w:val="center"/>
          </w:tcPr>
          <w:p w:rsidR="004B5A20" w:rsidRPr="0019793B" w:rsidRDefault="004B5A20" w:rsidP="00485BF8">
            <w:pPr>
              <w:keepNext/>
              <w:jc w:val="center"/>
              <w:rPr>
                <w:rFonts w:ascii="Arial Narrow" w:hAnsi="Arial Narrow"/>
                <w:color w:val="000000"/>
                <w:sz w:val="20"/>
                <w:szCs w:val="20"/>
                <w:lang w:val="en-US"/>
              </w:rPr>
            </w:pPr>
            <w:r w:rsidRPr="0019793B">
              <w:rPr>
                <w:rFonts w:ascii="Arial Narrow" w:hAnsi="Arial Narrow"/>
                <w:color w:val="000000"/>
                <w:sz w:val="20"/>
                <w:szCs w:val="20"/>
                <w:lang w:val="en-US"/>
              </w:rPr>
              <w:t>$</w:t>
            </w:r>
            <w:r w:rsidR="00F17FFB">
              <w:rPr>
                <w:rFonts w:ascii="Arial Narrow" w:hAnsi="Arial Narrow"/>
                <w:noProof/>
                <w:color w:val="000000"/>
                <w:sz w:val="20"/>
                <w:szCs w:val="20"/>
                <w:highlight w:val="black"/>
                <w:lang w:val="en-US"/>
              </w:rPr>
              <w:t>'''</w:t>
            </w:r>
          </w:p>
        </w:tc>
        <w:tc>
          <w:tcPr>
            <w:tcW w:w="721" w:type="pct"/>
            <w:shd w:val="clear" w:color="auto" w:fill="auto"/>
            <w:noWrap/>
            <w:vAlign w:val="center"/>
          </w:tcPr>
          <w:p w:rsidR="004B5A20" w:rsidRPr="0019793B" w:rsidRDefault="004B5A20" w:rsidP="00485BF8">
            <w:pPr>
              <w:keepNext/>
              <w:jc w:val="center"/>
              <w:rPr>
                <w:rFonts w:ascii="Arial Narrow" w:hAnsi="Arial Narrow"/>
                <w:color w:val="000000"/>
                <w:sz w:val="20"/>
                <w:szCs w:val="20"/>
                <w:lang w:val="en-US"/>
              </w:rPr>
            </w:pPr>
            <w:r w:rsidRPr="0019793B">
              <w:rPr>
                <w:rFonts w:ascii="Arial Narrow" w:hAnsi="Arial Narrow"/>
                <w:color w:val="000000"/>
                <w:sz w:val="20"/>
                <w:szCs w:val="20"/>
                <w:lang w:val="en-US"/>
              </w:rPr>
              <w:t>$</w:t>
            </w:r>
            <w:r w:rsidR="00F17FFB">
              <w:rPr>
                <w:rFonts w:ascii="Arial Narrow" w:hAnsi="Arial Narrow"/>
                <w:noProof/>
                <w:color w:val="000000"/>
                <w:sz w:val="20"/>
                <w:szCs w:val="20"/>
                <w:highlight w:val="black"/>
                <w:lang w:val="en-US"/>
              </w:rPr>
              <w:t>'''</w:t>
            </w:r>
          </w:p>
        </w:tc>
        <w:tc>
          <w:tcPr>
            <w:tcW w:w="720" w:type="pct"/>
            <w:shd w:val="clear" w:color="auto" w:fill="auto"/>
            <w:noWrap/>
            <w:vAlign w:val="center"/>
          </w:tcPr>
          <w:p w:rsidR="004B5A20" w:rsidRPr="0019793B" w:rsidRDefault="004B5A20" w:rsidP="00485BF8">
            <w:pPr>
              <w:keepNext/>
              <w:jc w:val="center"/>
              <w:rPr>
                <w:rFonts w:ascii="Arial Narrow" w:hAnsi="Arial Narrow"/>
                <w:color w:val="000000"/>
                <w:sz w:val="20"/>
                <w:szCs w:val="20"/>
                <w:lang w:val="en-US"/>
              </w:rPr>
            </w:pPr>
            <w:r w:rsidRPr="0019793B">
              <w:rPr>
                <w:rFonts w:ascii="Arial Narrow" w:hAnsi="Arial Narrow"/>
                <w:color w:val="000000"/>
                <w:sz w:val="20"/>
                <w:szCs w:val="20"/>
                <w:lang w:val="en-US"/>
              </w:rPr>
              <w:t>$</w:t>
            </w:r>
            <w:r w:rsidR="00F17FFB">
              <w:rPr>
                <w:rFonts w:ascii="Arial Narrow" w:hAnsi="Arial Narrow"/>
                <w:noProof/>
                <w:color w:val="000000"/>
                <w:sz w:val="20"/>
                <w:szCs w:val="20"/>
                <w:highlight w:val="black"/>
                <w:lang w:val="en-US"/>
              </w:rPr>
              <w:t>'''</w:t>
            </w:r>
          </w:p>
        </w:tc>
        <w:tc>
          <w:tcPr>
            <w:tcW w:w="721" w:type="pct"/>
            <w:shd w:val="clear" w:color="auto" w:fill="auto"/>
            <w:noWrap/>
            <w:vAlign w:val="center"/>
          </w:tcPr>
          <w:p w:rsidR="004B5A20" w:rsidRPr="0019793B" w:rsidRDefault="004B5A20" w:rsidP="00485BF8">
            <w:pPr>
              <w:keepNext/>
              <w:jc w:val="center"/>
              <w:rPr>
                <w:rFonts w:ascii="Arial Narrow" w:hAnsi="Arial Narrow"/>
                <w:color w:val="000000"/>
                <w:sz w:val="20"/>
                <w:szCs w:val="20"/>
                <w:lang w:val="en-US"/>
              </w:rPr>
            </w:pPr>
            <w:r w:rsidRPr="0019793B">
              <w:rPr>
                <w:rFonts w:ascii="Arial Narrow" w:hAnsi="Arial Narrow"/>
                <w:color w:val="000000"/>
                <w:sz w:val="20"/>
                <w:szCs w:val="20"/>
                <w:lang w:val="en-US"/>
              </w:rPr>
              <w:t>$</w:t>
            </w:r>
            <w:r w:rsidR="00F17FFB">
              <w:rPr>
                <w:rFonts w:ascii="Arial Narrow" w:hAnsi="Arial Narrow"/>
                <w:noProof/>
                <w:color w:val="000000"/>
                <w:sz w:val="20"/>
                <w:szCs w:val="20"/>
                <w:highlight w:val="black"/>
                <w:lang w:val="en-US"/>
              </w:rPr>
              <w:t>''''</w:t>
            </w:r>
          </w:p>
        </w:tc>
      </w:tr>
      <w:tr w:rsidR="00891E1B" w:rsidRPr="0019793B" w:rsidTr="00494814">
        <w:trPr>
          <w:trHeight w:val="315"/>
        </w:trPr>
        <w:tc>
          <w:tcPr>
            <w:tcW w:w="679" w:type="pct"/>
            <w:shd w:val="clear" w:color="auto" w:fill="auto"/>
            <w:noWrap/>
            <w:vAlign w:val="center"/>
            <w:hideMark/>
          </w:tcPr>
          <w:p w:rsidR="00A55EB9" w:rsidRPr="0019793B" w:rsidRDefault="00A55EB9" w:rsidP="00485BF8">
            <w:pPr>
              <w:keepNext/>
              <w:rPr>
                <w:rFonts w:ascii="Arial Narrow" w:hAnsi="Arial Narrow"/>
                <w:color w:val="000000"/>
                <w:sz w:val="20"/>
                <w:szCs w:val="20"/>
              </w:rPr>
            </w:pPr>
            <w:r w:rsidRPr="0019793B">
              <w:rPr>
                <w:rFonts w:ascii="Arial Narrow" w:hAnsi="Arial Narrow"/>
                <w:color w:val="000000"/>
                <w:sz w:val="20"/>
                <w:szCs w:val="20"/>
                <w:lang w:val="en-US"/>
              </w:rPr>
              <w:t>Estimated reimbursement</w:t>
            </w:r>
            <w:r w:rsidR="0039072A" w:rsidRPr="0019793B">
              <w:rPr>
                <w:rFonts w:ascii="Arial Narrow" w:hAnsi="Arial Narrow"/>
                <w:color w:val="000000"/>
                <w:sz w:val="20"/>
                <w:szCs w:val="20"/>
                <w:lang w:val="en-US"/>
              </w:rPr>
              <w:t xml:space="preserve"> </w:t>
            </w:r>
            <w:r w:rsidR="00F17FFB">
              <w:rPr>
                <w:rFonts w:ascii="Arial Narrow" w:hAnsi="Arial Narrow"/>
                <w:noProof/>
                <w:color w:val="000000"/>
                <w:sz w:val="20"/>
                <w:szCs w:val="20"/>
                <w:highlight w:val="black"/>
                <w:lang w:val="en-US"/>
              </w:rPr>
              <w:t>'''' '''''''''''''''''''' '''' '''' ''' ''''''''''</w:t>
            </w:r>
          </w:p>
        </w:tc>
        <w:tc>
          <w:tcPr>
            <w:tcW w:w="720" w:type="pct"/>
            <w:shd w:val="clear" w:color="auto" w:fill="auto"/>
            <w:noWrap/>
            <w:vAlign w:val="center"/>
            <w:hideMark/>
          </w:tcPr>
          <w:p w:rsidR="00A55EB9" w:rsidRPr="0019793B" w:rsidRDefault="00A55EB9" w:rsidP="00485BF8">
            <w:pPr>
              <w:keepNext/>
              <w:jc w:val="center"/>
              <w:rPr>
                <w:rFonts w:ascii="Arial Narrow" w:hAnsi="Arial Narrow"/>
                <w:color w:val="000000"/>
                <w:sz w:val="20"/>
                <w:szCs w:val="20"/>
              </w:rPr>
            </w:pPr>
            <w:r w:rsidRPr="0019793B">
              <w:rPr>
                <w:rFonts w:ascii="Arial Narrow" w:hAnsi="Arial Narrow"/>
                <w:color w:val="000000"/>
                <w:sz w:val="20"/>
                <w:szCs w:val="20"/>
                <w:lang w:val="en-US"/>
              </w:rPr>
              <w:t>$</w:t>
            </w:r>
            <w:r w:rsidR="00F17FFB">
              <w:rPr>
                <w:rFonts w:ascii="Arial Narrow" w:hAnsi="Arial Narrow"/>
                <w:noProof/>
                <w:color w:val="000000"/>
                <w:sz w:val="20"/>
                <w:szCs w:val="20"/>
                <w:highlight w:val="black"/>
                <w:lang w:val="en-US"/>
              </w:rPr>
              <w:t>''''''''''''''''''''''</w:t>
            </w:r>
          </w:p>
        </w:tc>
        <w:tc>
          <w:tcPr>
            <w:tcW w:w="721" w:type="pct"/>
            <w:shd w:val="clear" w:color="auto" w:fill="auto"/>
            <w:noWrap/>
            <w:vAlign w:val="center"/>
            <w:hideMark/>
          </w:tcPr>
          <w:p w:rsidR="00A55EB9" w:rsidRPr="0019793B" w:rsidRDefault="00A55EB9" w:rsidP="00485BF8">
            <w:pPr>
              <w:keepNext/>
              <w:jc w:val="center"/>
              <w:rPr>
                <w:rFonts w:ascii="Arial Narrow" w:hAnsi="Arial Narrow"/>
                <w:color w:val="000000"/>
                <w:sz w:val="20"/>
                <w:szCs w:val="20"/>
              </w:rPr>
            </w:pPr>
            <w:r w:rsidRPr="0019793B">
              <w:rPr>
                <w:rFonts w:ascii="Arial Narrow" w:hAnsi="Arial Narrow"/>
                <w:color w:val="000000"/>
                <w:sz w:val="20"/>
                <w:szCs w:val="20"/>
                <w:lang w:val="en-US"/>
              </w:rPr>
              <w:t>$</w:t>
            </w:r>
            <w:r w:rsidR="00F17FFB">
              <w:rPr>
                <w:rFonts w:ascii="Arial Narrow" w:hAnsi="Arial Narrow"/>
                <w:noProof/>
                <w:color w:val="000000"/>
                <w:sz w:val="20"/>
                <w:szCs w:val="20"/>
                <w:highlight w:val="black"/>
                <w:lang w:val="en-US"/>
              </w:rPr>
              <w:t>'''''''''''''''''''''''</w:t>
            </w:r>
          </w:p>
        </w:tc>
        <w:tc>
          <w:tcPr>
            <w:tcW w:w="720" w:type="pct"/>
            <w:shd w:val="clear" w:color="auto" w:fill="auto"/>
            <w:noWrap/>
            <w:vAlign w:val="center"/>
            <w:hideMark/>
          </w:tcPr>
          <w:p w:rsidR="00A55EB9" w:rsidRPr="0019793B" w:rsidRDefault="00A55EB9" w:rsidP="00485BF8">
            <w:pPr>
              <w:keepNext/>
              <w:jc w:val="center"/>
              <w:rPr>
                <w:rFonts w:ascii="Arial Narrow" w:hAnsi="Arial Narrow"/>
                <w:color w:val="000000"/>
                <w:sz w:val="20"/>
                <w:szCs w:val="20"/>
              </w:rPr>
            </w:pPr>
            <w:r w:rsidRPr="0019793B">
              <w:rPr>
                <w:rFonts w:ascii="Arial Narrow" w:hAnsi="Arial Narrow"/>
                <w:color w:val="000000"/>
                <w:sz w:val="20"/>
                <w:szCs w:val="20"/>
                <w:lang w:val="en-US"/>
              </w:rPr>
              <w:t>$</w:t>
            </w:r>
            <w:r w:rsidR="00F17FFB">
              <w:rPr>
                <w:rFonts w:ascii="Arial Narrow" w:hAnsi="Arial Narrow"/>
                <w:noProof/>
                <w:color w:val="000000"/>
                <w:sz w:val="20"/>
                <w:szCs w:val="20"/>
                <w:highlight w:val="black"/>
                <w:lang w:val="en-US"/>
              </w:rPr>
              <w:t>'''''''''''''''''''''''''</w:t>
            </w:r>
          </w:p>
        </w:tc>
        <w:tc>
          <w:tcPr>
            <w:tcW w:w="721" w:type="pct"/>
            <w:shd w:val="clear" w:color="auto" w:fill="auto"/>
            <w:noWrap/>
            <w:vAlign w:val="center"/>
            <w:hideMark/>
          </w:tcPr>
          <w:p w:rsidR="00A55EB9" w:rsidRPr="0019793B" w:rsidRDefault="00A55EB9" w:rsidP="00485BF8">
            <w:pPr>
              <w:keepNext/>
              <w:jc w:val="center"/>
              <w:rPr>
                <w:rFonts w:ascii="Arial Narrow" w:hAnsi="Arial Narrow"/>
                <w:color w:val="000000"/>
                <w:sz w:val="20"/>
                <w:szCs w:val="20"/>
              </w:rPr>
            </w:pPr>
            <w:r w:rsidRPr="0019793B">
              <w:rPr>
                <w:rFonts w:ascii="Arial Narrow" w:hAnsi="Arial Narrow"/>
                <w:color w:val="000000"/>
                <w:sz w:val="20"/>
                <w:szCs w:val="20"/>
                <w:lang w:val="en-US"/>
              </w:rPr>
              <w:t>$</w:t>
            </w:r>
            <w:r w:rsidR="00F17FFB">
              <w:rPr>
                <w:rFonts w:ascii="Arial Narrow" w:hAnsi="Arial Narrow"/>
                <w:noProof/>
                <w:color w:val="000000"/>
                <w:sz w:val="20"/>
                <w:szCs w:val="20"/>
                <w:highlight w:val="black"/>
                <w:lang w:val="en-US"/>
              </w:rPr>
              <w:t>''''''''''''''''''''''''</w:t>
            </w:r>
          </w:p>
        </w:tc>
        <w:tc>
          <w:tcPr>
            <w:tcW w:w="720" w:type="pct"/>
            <w:shd w:val="clear" w:color="auto" w:fill="auto"/>
            <w:noWrap/>
            <w:vAlign w:val="center"/>
            <w:hideMark/>
          </w:tcPr>
          <w:p w:rsidR="00A55EB9" w:rsidRPr="0019793B" w:rsidRDefault="00A55EB9" w:rsidP="00485BF8">
            <w:pPr>
              <w:keepNext/>
              <w:jc w:val="center"/>
              <w:rPr>
                <w:rFonts w:ascii="Arial Narrow" w:hAnsi="Arial Narrow"/>
                <w:color w:val="000000"/>
                <w:sz w:val="20"/>
                <w:szCs w:val="20"/>
              </w:rPr>
            </w:pPr>
            <w:r w:rsidRPr="0019793B">
              <w:rPr>
                <w:rFonts w:ascii="Arial Narrow" w:hAnsi="Arial Narrow"/>
                <w:color w:val="000000"/>
                <w:sz w:val="20"/>
                <w:szCs w:val="20"/>
                <w:lang w:val="en-US"/>
              </w:rPr>
              <w:t>$</w:t>
            </w:r>
            <w:r w:rsidR="00F17FFB">
              <w:rPr>
                <w:rFonts w:ascii="Arial Narrow" w:hAnsi="Arial Narrow"/>
                <w:noProof/>
                <w:color w:val="000000"/>
                <w:sz w:val="20"/>
                <w:szCs w:val="20"/>
                <w:highlight w:val="black"/>
                <w:lang w:val="en-US"/>
              </w:rPr>
              <w:t>''''''''''''''''''''''</w:t>
            </w:r>
          </w:p>
        </w:tc>
        <w:tc>
          <w:tcPr>
            <w:tcW w:w="721" w:type="pct"/>
            <w:shd w:val="clear" w:color="auto" w:fill="auto"/>
            <w:noWrap/>
            <w:vAlign w:val="center"/>
            <w:hideMark/>
          </w:tcPr>
          <w:p w:rsidR="00A55EB9" w:rsidRPr="0019793B" w:rsidRDefault="00A55EB9" w:rsidP="00485BF8">
            <w:pPr>
              <w:keepNext/>
              <w:jc w:val="center"/>
              <w:rPr>
                <w:rFonts w:ascii="Arial Narrow" w:hAnsi="Arial Narrow"/>
                <w:color w:val="000000"/>
                <w:sz w:val="20"/>
                <w:szCs w:val="20"/>
              </w:rPr>
            </w:pPr>
            <w:r w:rsidRPr="0019793B">
              <w:rPr>
                <w:rFonts w:ascii="Arial Narrow" w:hAnsi="Arial Narrow"/>
                <w:color w:val="000000"/>
                <w:sz w:val="20"/>
                <w:szCs w:val="20"/>
                <w:lang w:val="en-US"/>
              </w:rPr>
              <w:t>$</w:t>
            </w:r>
            <w:r w:rsidR="00F17FFB">
              <w:rPr>
                <w:rFonts w:ascii="Arial Narrow" w:hAnsi="Arial Narrow"/>
                <w:noProof/>
                <w:color w:val="000000"/>
                <w:sz w:val="20"/>
                <w:szCs w:val="20"/>
                <w:highlight w:val="black"/>
                <w:lang w:val="en-US"/>
              </w:rPr>
              <w:t>'''''''''''''''''''''''''''''</w:t>
            </w:r>
          </w:p>
        </w:tc>
      </w:tr>
      <w:tr w:rsidR="00891E1B" w:rsidRPr="0019793B" w:rsidTr="00494814">
        <w:trPr>
          <w:trHeight w:val="315"/>
        </w:trPr>
        <w:tc>
          <w:tcPr>
            <w:tcW w:w="679" w:type="pct"/>
            <w:shd w:val="clear" w:color="auto" w:fill="auto"/>
            <w:noWrap/>
            <w:vAlign w:val="center"/>
            <w:hideMark/>
          </w:tcPr>
          <w:p w:rsidR="00A55EB9" w:rsidRPr="0019793B" w:rsidRDefault="00A55EB9" w:rsidP="00485BF8">
            <w:pPr>
              <w:keepNext/>
              <w:rPr>
                <w:rFonts w:ascii="Arial Narrow" w:hAnsi="Arial Narrow"/>
                <w:bCs/>
                <w:color w:val="000000"/>
                <w:sz w:val="20"/>
                <w:szCs w:val="20"/>
              </w:rPr>
            </w:pPr>
            <w:r w:rsidRPr="0019793B">
              <w:rPr>
                <w:rFonts w:ascii="Arial Narrow" w:hAnsi="Arial Narrow"/>
                <w:bCs/>
                <w:color w:val="000000"/>
                <w:sz w:val="20"/>
                <w:szCs w:val="20"/>
                <w:lang w:val="en-US"/>
              </w:rPr>
              <w:t>Estimated cost to PBS/RPBS</w:t>
            </w:r>
            <w:r w:rsidR="00E2004E" w:rsidRPr="0019793B">
              <w:rPr>
                <w:rFonts w:ascii="Arial Narrow" w:hAnsi="Arial Narrow"/>
                <w:bCs/>
                <w:color w:val="000000"/>
                <w:sz w:val="20"/>
                <w:szCs w:val="20"/>
                <w:lang w:val="en-US"/>
              </w:rPr>
              <w:t xml:space="preserve"> of apremilast</w:t>
            </w:r>
          </w:p>
        </w:tc>
        <w:tc>
          <w:tcPr>
            <w:tcW w:w="720" w:type="pct"/>
            <w:shd w:val="clear" w:color="auto" w:fill="auto"/>
            <w:noWrap/>
            <w:vAlign w:val="center"/>
            <w:hideMark/>
          </w:tcPr>
          <w:p w:rsidR="00A55EB9" w:rsidRPr="0019793B" w:rsidRDefault="00A55EB9" w:rsidP="00485BF8">
            <w:pPr>
              <w:keepNext/>
              <w:jc w:val="center"/>
              <w:rPr>
                <w:rFonts w:ascii="Arial Narrow" w:hAnsi="Arial Narrow"/>
                <w:bCs/>
                <w:color w:val="000000"/>
                <w:sz w:val="20"/>
                <w:szCs w:val="20"/>
              </w:rPr>
            </w:pPr>
            <w:r w:rsidRPr="0019793B">
              <w:rPr>
                <w:rFonts w:ascii="Arial Narrow" w:hAnsi="Arial Narrow"/>
                <w:bCs/>
                <w:color w:val="000000"/>
                <w:sz w:val="20"/>
                <w:szCs w:val="20"/>
                <w:lang w:val="en-US"/>
              </w:rPr>
              <w:t>$</w:t>
            </w:r>
            <w:r w:rsidR="00F17FFB">
              <w:rPr>
                <w:rFonts w:ascii="Arial Narrow" w:hAnsi="Arial Narrow"/>
                <w:bCs/>
                <w:noProof/>
                <w:color w:val="000000"/>
                <w:sz w:val="20"/>
                <w:szCs w:val="20"/>
                <w:highlight w:val="black"/>
                <w:lang w:val="en-US"/>
              </w:rPr>
              <w:t>''''''''''''''''''''''''''</w:t>
            </w:r>
          </w:p>
        </w:tc>
        <w:tc>
          <w:tcPr>
            <w:tcW w:w="721" w:type="pct"/>
            <w:shd w:val="clear" w:color="auto" w:fill="auto"/>
            <w:noWrap/>
            <w:vAlign w:val="center"/>
            <w:hideMark/>
          </w:tcPr>
          <w:p w:rsidR="00A55EB9" w:rsidRPr="0019793B" w:rsidRDefault="00A55EB9" w:rsidP="00485BF8">
            <w:pPr>
              <w:keepNext/>
              <w:jc w:val="center"/>
              <w:rPr>
                <w:rFonts w:ascii="Arial Narrow" w:hAnsi="Arial Narrow"/>
                <w:bCs/>
                <w:color w:val="000000"/>
                <w:sz w:val="20"/>
                <w:szCs w:val="20"/>
              </w:rPr>
            </w:pPr>
            <w:r w:rsidRPr="0019793B">
              <w:rPr>
                <w:rFonts w:ascii="Arial Narrow" w:hAnsi="Arial Narrow"/>
                <w:bCs/>
                <w:color w:val="000000"/>
                <w:sz w:val="20"/>
                <w:szCs w:val="20"/>
                <w:lang w:val="en-US"/>
              </w:rPr>
              <w:t>$</w:t>
            </w:r>
            <w:r w:rsidR="00F17FFB">
              <w:rPr>
                <w:rFonts w:ascii="Arial Narrow" w:hAnsi="Arial Narrow"/>
                <w:bCs/>
                <w:noProof/>
                <w:color w:val="000000"/>
                <w:sz w:val="20"/>
                <w:szCs w:val="20"/>
                <w:highlight w:val="black"/>
                <w:lang w:val="en-US"/>
              </w:rPr>
              <w:t>''''''''''''''''''''''''''''</w:t>
            </w:r>
          </w:p>
        </w:tc>
        <w:tc>
          <w:tcPr>
            <w:tcW w:w="720" w:type="pct"/>
            <w:shd w:val="clear" w:color="auto" w:fill="auto"/>
            <w:noWrap/>
            <w:vAlign w:val="center"/>
            <w:hideMark/>
          </w:tcPr>
          <w:p w:rsidR="00A55EB9" w:rsidRPr="0019793B" w:rsidRDefault="00A55EB9" w:rsidP="00485BF8">
            <w:pPr>
              <w:keepNext/>
              <w:jc w:val="center"/>
              <w:rPr>
                <w:rFonts w:ascii="Arial Narrow" w:hAnsi="Arial Narrow"/>
                <w:bCs/>
                <w:color w:val="000000"/>
                <w:sz w:val="20"/>
                <w:szCs w:val="20"/>
              </w:rPr>
            </w:pPr>
            <w:r w:rsidRPr="0019793B">
              <w:rPr>
                <w:rFonts w:ascii="Arial Narrow" w:hAnsi="Arial Narrow"/>
                <w:bCs/>
                <w:color w:val="000000"/>
                <w:sz w:val="20"/>
                <w:szCs w:val="20"/>
                <w:lang w:val="en-US"/>
              </w:rPr>
              <w:t>$</w:t>
            </w:r>
            <w:r w:rsidR="00F17FFB">
              <w:rPr>
                <w:rFonts w:ascii="Arial Narrow" w:hAnsi="Arial Narrow"/>
                <w:bCs/>
                <w:noProof/>
                <w:color w:val="000000"/>
                <w:sz w:val="20"/>
                <w:szCs w:val="20"/>
                <w:highlight w:val="black"/>
                <w:lang w:val="en-US"/>
              </w:rPr>
              <w:t>'''''''''''''''''''''''''''</w:t>
            </w:r>
          </w:p>
        </w:tc>
        <w:tc>
          <w:tcPr>
            <w:tcW w:w="721" w:type="pct"/>
            <w:shd w:val="clear" w:color="auto" w:fill="auto"/>
            <w:noWrap/>
            <w:vAlign w:val="center"/>
            <w:hideMark/>
          </w:tcPr>
          <w:p w:rsidR="00A55EB9" w:rsidRPr="0019793B" w:rsidRDefault="00A55EB9" w:rsidP="00485BF8">
            <w:pPr>
              <w:keepNext/>
              <w:jc w:val="center"/>
              <w:rPr>
                <w:rFonts w:ascii="Arial Narrow" w:hAnsi="Arial Narrow"/>
                <w:bCs/>
                <w:color w:val="000000"/>
                <w:sz w:val="20"/>
                <w:szCs w:val="20"/>
              </w:rPr>
            </w:pPr>
            <w:r w:rsidRPr="0019793B">
              <w:rPr>
                <w:rFonts w:ascii="Arial Narrow" w:hAnsi="Arial Narrow"/>
                <w:bCs/>
                <w:color w:val="000000"/>
                <w:sz w:val="20"/>
                <w:szCs w:val="20"/>
                <w:lang w:val="en-US"/>
              </w:rPr>
              <w:t>$</w:t>
            </w:r>
            <w:r w:rsidR="00F17FFB">
              <w:rPr>
                <w:rFonts w:ascii="Arial Narrow" w:hAnsi="Arial Narrow"/>
                <w:bCs/>
                <w:noProof/>
                <w:color w:val="000000"/>
                <w:sz w:val="20"/>
                <w:szCs w:val="20"/>
                <w:highlight w:val="black"/>
                <w:lang w:val="en-US"/>
              </w:rPr>
              <w:t>''''''''''''''''''''''''</w:t>
            </w:r>
          </w:p>
        </w:tc>
        <w:tc>
          <w:tcPr>
            <w:tcW w:w="720" w:type="pct"/>
            <w:shd w:val="clear" w:color="auto" w:fill="auto"/>
            <w:noWrap/>
            <w:vAlign w:val="center"/>
            <w:hideMark/>
          </w:tcPr>
          <w:p w:rsidR="00A55EB9" w:rsidRPr="0019793B" w:rsidRDefault="00A55EB9" w:rsidP="00485BF8">
            <w:pPr>
              <w:keepNext/>
              <w:jc w:val="center"/>
              <w:rPr>
                <w:rFonts w:ascii="Arial Narrow" w:hAnsi="Arial Narrow"/>
                <w:bCs/>
                <w:color w:val="000000"/>
                <w:sz w:val="20"/>
                <w:szCs w:val="20"/>
              </w:rPr>
            </w:pPr>
            <w:r w:rsidRPr="0019793B">
              <w:rPr>
                <w:rFonts w:ascii="Arial Narrow" w:hAnsi="Arial Narrow"/>
                <w:bCs/>
                <w:color w:val="000000"/>
                <w:sz w:val="20"/>
                <w:szCs w:val="20"/>
                <w:lang w:val="en-US"/>
              </w:rPr>
              <w:t>$</w:t>
            </w:r>
            <w:r w:rsidR="00F17FFB">
              <w:rPr>
                <w:rFonts w:ascii="Arial Narrow" w:hAnsi="Arial Narrow"/>
                <w:bCs/>
                <w:noProof/>
                <w:color w:val="000000"/>
                <w:sz w:val="20"/>
                <w:szCs w:val="20"/>
                <w:highlight w:val="black"/>
                <w:lang w:val="en-US"/>
              </w:rPr>
              <w:t>''''''''''''''''''''''''''</w:t>
            </w:r>
          </w:p>
        </w:tc>
        <w:tc>
          <w:tcPr>
            <w:tcW w:w="721" w:type="pct"/>
            <w:shd w:val="clear" w:color="auto" w:fill="auto"/>
            <w:noWrap/>
            <w:vAlign w:val="center"/>
            <w:hideMark/>
          </w:tcPr>
          <w:p w:rsidR="00A55EB9" w:rsidRPr="0019793B" w:rsidRDefault="00A55EB9" w:rsidP="00485BF8">
            <w:pPr>
              <w:keepNext/>
              <w:jc w:val="center"/>
              <w:rPr>
                <w:rFonts w:ascii="Arial Narrow" w:hAnsi="Arial Narrow"/>
                <w:bCs/>
                <w:color w:val="000000"/>
                <w:sz w:val="20"/>
                <w:szCs w:val="20"/>
              </w:rPr>
            </w:pPr>
            <w:r w:rsidRPr="0019793B">
              <w:rPr>
                <w:rFonts w:ascii="Arial Narrow" w:hAnsi="Arial Narrow"/>
                <w:bCs/>
                <w:color w:val="000000"/>
                <w:sz w:val="20"/>
                <w:szCs w:val="20"/>
                <w:lang w:val="en-US"/>
              </w:rPr>
              <w:t>$</w:t>
            </w:r>
            <w:r w:rsidR="00F17FFB">
              <w:rPr>
                <w:rFonts w:ascii="Arial Narrow" w:hAnsi="Arial Narrow"/>
                <w:bCs/>
                <w:noProof/>
                <w:color w:val="000000"/>
                <w:sz w:val="20"/>
                <w:szCs w:val="20"/>
                <w:highlight w:val="black"/>
                <w:lang w:val="en-US"/>
              </w:rPr>
              <w:t>'''''''''''''''''''''''''''''''''</w:t>
            </w:r>
          </w:p>
        </w:tc>
      </w:tr>
      <w:tr w:rsidR="00891E1B" w:rsidRPr="0019793B" w:rsidTr="00494814">
        <w:trPr>
          <w:trHeight w:val="315"/>
        </w:trPr>
        <w:tc>
          <w:tcPr>
            <w:tcW w:w="679" w:type="pct"/>
            <w:shd w:val="clear" w:color="auto" w:fill="auto"/>
            <w:noWrap/>
            <w:vAlign w:val="center"/>
          </w:tcPr>
          <w:p w:rsidR="00E2004E" w:rsidRPr="0019793B" w:rsidRDefault="00E2004E" w:rsidP="00485BF8">
            <w:pPr>
              <w:keepNext/>
              <w:rPr>
                <w:rFonts w:ascii="Arial Narrow" w:hAnsi="Arial Narrow"/>
                <w:bCs/>
                <w:color w:val="000000"/>
                <w:sz w:val="20"/>
                <w:szCs w:val="20"/>
                <w:lang w:val="en-US"/>
              </w:rPr>
            </w:pPr>
            <w:r w:rsidRPr="0019793B">
              <w:rPr>
                <w:rFonts w:ascii="Arial Narrow" w:hAnsi="Arial Narrow"/>
                <w:bCs/>
                <w:color w:val="000000"/>
                <w:sz w:val="20"/>
                <w:szCs w:val="20"/>
                <w:lang w:val="en-US"/>
              </w:rPr>
              <w:t>Estimated net cost to PBS/RPBS</w:t>
            </w:r>
          </w:p>
        </w:tc>
        <w:tc>
          <w:tcPr>
            <w:tcW w:w="720" w:type="pct"/>
            <w:shd w:val="clear" w:color="auto" w:fill="auto"/>
            <w:noWrap/>
            <w:vAlign w:val="center"/>
          </w:tcPr>
          <w:p w:rsidR="00E2004E" w:rsidRPr="0019793B" w:rsidRDefault="00E2004E" w:rsidP="00485BF8">
            <w:pPr>
              <w:keepNext/>
              <w:jc w:val="center"/>
              <w:rPr>
                <w:rFonts w:ascii="Arial Narrow" w:hAnsi="Arial Narrow"/>
                <w:sz w:val="20"/>
                <w:szCs w:val="20"/>
              </w:rPr>
            </w:pPr>
            <w:r w:rsidRPr="0019793B">
              <w:rPr>
                <w:rFonts w:ascii="Arial Narrow" w:hAnsi="Arial Narrow"/>
                <w:sz w:val="20"/>
                <w:szCs w:val="20"/>
              </w:rPr>
              <w:t>$</w:t>
            </w:r>
            <w:r w:rsidR="00F17FFB">
              <w:rPr>
                <w:rFonts w:ascii="Arial Narrow" w:hAnsi="Arial Narrow"/>
                <w:noProof/>
                <w:color w:val="000000"/>
                <w:sz w:val="20"/>
                <w:szCs w:val="20"/>
                <w:highlight w:val="black"/>
              </w:rPr>
              <w:t>'''''''''''''''''''''''''''''</w:t>
            </w:r>
          </w:p>
        </w:tc>
        <w:tc>
          <w:tcPr>
            <w:tcW w:w="721" w:type="pct"/>
            <w:shd w:val="clear" w:color="auto" w:fill="auto"/>
            <w:noWrap/>
            <w:vAlign w:val="center"/>
          </w:tcPr>
          <w:p w:rsidR="00E2004E" w:rsidRPr="0019793B" w:rsidRDefault="00E2004E" w:rsidP="00485BF8">
            <w:pPr>
              <w:keepNext/>
              <w:jc w:val="center"/>
              <w:rPr>
                <w:rFonts w:ascii="Arial Narrow" w:hAnsi="Arial Narrow"/>
                <w:sz w:val="20"/>
                <w:szCs w:val="20"/>
              </w:rPr>
            </w:pPr>
            <w:r w:rsidRPr="0019793B">
              <w:rPr>
                <w:rFonts w:ascii="Arial Narrow" w:hAnsi="Arial Narrow"/>
                <w:sz w:val="20"/>
                <w:szCs w:val="20"/>
              </w:rPr>
              <w:t>$</w:t>
            </w:r>
            <w:r w:rsidR="00F17FFB">
              <w:rPr>
                <w:rFonts w:ascii="Arial Narrow" w:hAnsi="Arial Narrow"/>
                <w:noProof/>
                <w:color w:val="000000"/>
                <w:sz w:val="20"/>
                <w:szCs w:val="20"/>
                <w:highlight w:val="black"/>
              </w:rPr>
              <w:t>''''''''''''''''''''''''''</w:t>
            </w:r>
          </w:p>
        </w:tc>
        <w:tc>
          <w:tcPr>
            <w:tcW w:w="720" w:type="pct"/>
            <w:shd w:val="clear" w:color="auto" w:fill="auto"/>
            <w:noWrap/>
            <w:vAlign w:val="center"/>
          </w:tcPr>
          <w:p w:rsidR="00E2004E" w:rsidRPr="0019793B" w:rsidRDefault="00E2004E" w:rsidP="00485BF8">
            <w:pPr>
              <w:keepNext/>
              <w:jc w:val="center"/>
              <w:rPr>
                <w:rFonts w:ascii="Arial Narrow" w:hAnsi="Arial Narrow"/>
                <w:sz w:val="20"/>
                <w:szCs w:val="20"/>
              </w:rPr>
            </w:pPr>
            <w:r w:rsidRPr="0019793B">
              <w:rPr>
                <w:rFonts w:ascii="Arial Narrow" w:hAnsi="Arial Narrow"/>
                <w:sz w:val="20"/>
                <w:szCs w:val="20"/>
              </w:rPr>
              <w:t>$</w:t>
            </w:r>
            <w:r w:rsidR="00F17FFB">
              <w:rPr>
                <w:rFonts w:ascii="Arial Narrow" w:hAnsi="Arial Narrow"/>
                <w:noProof/>
                <w:color w:val="000000"/>
                <w:sz w:val="20"/>
                <w:szCs w:val="20"/>
                <w:highlight w:val="black"/>
              </w:rPr>
              <w:t>''''''''''''''''''''''''''''</w:t>
            </w:r>
          </w:p>
        </w:tc>
        <w:tc>
          <w:tcPr>
            <w:tcW w:w="721" w:type="pct"/>
            <w:shd w:val="clear" w:color="auto" w:fill="auto"/>
            <w:noWrap/>
            <w:vAlign w:val="center"/>
          </w:tcPr>
          <w:p w:rsidR="00E2004E" w:rsidRPr="0019793B" w:rsidRDefault="00E2004E" w:rsidP="00485BF8">
            <w:pPr>
              <w:keepNext/>
              <w:jc w:val="center"/>
              <w:rPr>
                <w:rFonts w:ascii="Arial Narrow" w:hAnsi="Arial Narrow"/>
                <w:sz w:val="20"/>
                <w:szCs w:val="20"/>
              </w:rPr>
            </w:pPr>
            <w:r w:rsidRPr="0019793B">
              <w:rPr>
                <w:rFonts w:ascii="Arial Narrow" w:hAnsi="Arial Narrow"/>
                <w:sz w:val="20"/>
                <w:szCs w:val="20"/>
              </w:rPr>
              <w:t>$</w:t>
            </w:r>
            <w:r w:rsidR="00F17FFB">
              <w:rPr>
                <w:rFonts w:ascii="Arial Narrow" w:hAnsi="Arial Narrow"/>
                <w:noProof/>
                <w:color w:val="000000"/>
                <w:sz w:val="20"/>
                <w:szCs w:val="20"/>
                <w:highlight w:val="black"/>
              </w:rPr>
              <w:t>'''''''''''''''''''''''''</w:t>
            </w:r>
          </w:p>
        </w:tc>
        <w:tc>
          <w:tcPr>
            <w:tcW w:w="720" w:type="pct"/>
            <w:shd w:val="clear" w:color="auto" w:fill="auto"/>
            <w:noWrap/>
            <w:vAlign w:val="center"/>
          </w:tcPr>
          <w:p w:rsidR="00E2004E" w:rsidRPr="0019793B" w:rsidRDefault="00E2004E" w:rsidP="00485BF8">
            <w:pPr>
              <w:keepNext/>
              <w:jc w:val="center"/>
              <w:rPr>
                <w:rFonts w:ascii="Arial Narrow" w:hAnsi="Arial Narrow"/>
                <w:sz w:val="20"/>
                <w:szCs w:val="20"/>
              </w:rPr>
            </w:pPr>
            <w:r w:rsidRPr="0019793B">
              <w:rPr>
                <w:rFonts w:ascii="Arial Narrow" w:hAnsi="Arial Narrow"/>
                <w:sz w:val="20"/>
                <w:szCs w:val="20"/>
              </w:rPr>
              <w:t>$</w:t>
            </w:r>
            <w:r w:rsidR="00F17FFB">
              <w:rPr>
                <w:rFonts w:ascii="Arial Narrow" w:hAnsi="Arial Narrow"/>
                <w:noProof/>
                <w:color w:val="000000"/>
                <w:sz w:val="20"/>
                <w:szCs w:val="20"/>
                <w:highlight w:val="black"/>
              </w:rPr>
              <w:t>''''''''''''''''''''''''</w:t>
            </w:r>
          </w:p>
        </w:tc>
        <w:tc>
          <w:tcPr>
            <w:tcW w:w="721" w:type="pct"/>
            <w:shd w:val="clear" w:color="auto" w:fill="auto"/>
            <w:noWrap/>
            <w:vAlign w:val="center"/>
          </w:tcPr>
          <w:p w:rsidR="00E2004E" w:rsidRPr="0019793B" w:rsidRDefault="00E2004E" w:rsidP="00485BF8">
            <w:pPr>
              <w:keepNext/>
              <w:jc w:val="center"/>
              <w:rPr>
                <w:rFonts w:ascii="Arial Narrow" w:hAnsi="Arial Narrow"/>
                <w:sz w:val="20"/>
                <w:szCs w:val="20"/>
              </w:rPr>
            </w:pPr>
            <w:r w:rsidRPr="0019793B">
              <w:rPr>
                <w:rFonts w:ascii="Arial Narrow" w:hAnsi="Arial Narrow"/>
                <w:sz w:val="20"/>
                <w:szCs w:val="20"/>
              </w:rPr>
              <w:t>$</w:t>
            </w:r>
            <w:r w:rsidR="00F17FFB">
              <w:rPr>
                <w:rFonts w:ascii="Arial Narrow" w:hAnsi="Arial Narrow"/>
                <w:noProof/>
                <w:color w:val="000000"/>
                <w:sz w:val="20"/>
                <w:szCs w:val="20"/>
                <w:highlight w:val="black"/>
              </w:rPr>
              <w:t>'''''''''''''''''''''''''''''</w:t>
            </w:r>
          </w:p>
        </w:tc>
      </w:tr>
      <w:tr w:rsidR="00891E1B" w:rsidRPr="0019793B" w:rsidTr="00494814">
        <w:trPr>
          <w:trHeight w:val="315"/>
        </w:trPr>
        <w:tc>
          <w:tcPr>
            <w:tcW w:w="679" w:type="pct"/>
            <w:shd w:val="clear" w:color="auto" w:fill="auto"/>
            <w:noWrap/>
            <w:vAlign w:val="center"/>
          </w:tcPr>
          <w:p w:rsidR="00E2004E" w:rsidRPr="0019793B" w:rsidRDefault="00E2004E">
            <w:pPr>
              <w:rPr>
                <w:rFonts w:ascii="Arial Narrow" w:hAnsi="Arial Narrow"/>
                <w:bCs/>
                <w:color w:val="000000"/>
                <w:sz w:val="20"/>
                <w:szCs w:val="20"/>
                <w:lang w:val="en-US"/>
              </w:rPr>
            </w:pPr>
            <w:r w:rsidRPr="0019793B">
              <w:rPr>
                <w:rFonts w:ascii="Arial Narrow" w:hAnsi="Arial Narrow"/>
                <w:bCs/>
                <w:color w:val="000000"/>
                <w:sz w:val="20"/>
                <w:szCs w:val="20"/>
                <w:lang w:val="en-US"/>
              </w:rPr>
              <w:t>Estimated net cost to government</w:t>
            </w:r>
          </w:p>
        </w:tc>
        <w:tc>
          <w:tcPr>
            <w:tcW w:w="720" w:type="pct"/>
            <w:shd w:val="clear" w:color="auto" w:fill="auto"/>
            <w:noWrap/>
            <w:vAlign w:val="center"/>
          </w:tcPr>
          <w:p w:rsidR="00E2004E" w:rsidRPr="0019793B" w:rsidRDefault="00E2004E" w:rsidP="00E2004E">
            <w:pPr>
              <w:jc w:val="center"/>
              <w:rPr>
                <w:rFonts w:ascii="Arial Narrow" w:hAnsi="Arial Narrow"/>
                <w:sz w:val="20"/>
                <w:szCs w:val="20"/>
              </w:rPr>
            </w:pPr>
            <w:r w:rsidRPr="0019793B">
              <w:rPr>
                <w:rFonts w:ascii="Arial Narrow" w:hAnsi="Arial Narrow"/>
                <w:sz w:val="20"/>
                <w:szCs w:val="20"/>
              </w:rPr>
              <w:t>$</w:t>
            </w:r>
            <w:r w:rsidR="00F17FFB">
              <w:rPr>
                <w:rFonts w:ascii="Arial Narrow" w:hAnsi="Arial Narrow"/>
                <w:noProof/>
                <w:color w:val="000000"/>
                <w:sz w:val="20"/>
                <w:szCs w:val="20"/>
                <w:highlight w:val="black"/>
              </w:rPr>
              <w:t>'''''''''''''''''''''''''</w:t>
            </w:r>
          </w:p>
        </w:tc>
        <w:tc>
          <w:tcPr>
            <w:tcW w:w="721" w:type="pct"/>
            <w:shd w:val="clear" w:color="auto" w:fill="auto"/>
            <w:noWrap/>
            <w:vAlign w:val="center"/>
          </w:tcPr>
          <w:p w:rsidR="00E2004E" w:rsidRPr="0019793B" w:rsidRDefault="00E2004E" w:rsidP="00E2004E">
            <w:pPr>
              <w:jc w:val="center"/>
              <w:rPr>
                <w:rFonts w:ascii="Arial Narrow" w:hAnsi="Arial Narrow"/>
                <w:sz w:val="20"/>
                <w:szCs w:val="20"/>
              </w:rPr>
            </w:pPr>
            <w:r w:rsidRPr="0019793B">
              <w:rPr>
                <w:rFonts w:ascii="Arial Narrow" w:hAnsi="Arial Narrow"/>
                <w:sz w:val="20"/>
                <w:szCs w:val="20"/>
              </w:rPr>
              <w:t>$</w:t>
            </w:r>
            <w:r w:rsidR="00F17FFB">
              <w:rPr>
                <w:rFonts w:ascii="Arial Narrow" w:hAnsi="Arial Narrow"/>
                <w:noProof/>
                <w:color w:val="000000"/>
                <w:sz w:val="20"/>
                <w:szCs w:val="20"/>
                <w:highlight w:val="black"/>
              </w:rPr>
              <w:t>''''''''''''''''''''''''''''</w:t>
            </w:r>
          </w:p>
        </w:tc>
        <w:tc>
          <w:tcPr>
            <w:tcW w:w="720" w:type="pct"/>
            <w:shd w:val="clear" w:color="auto" w:fill="auto"/>
            <w:noWrap/>
            <w:vAlign w:val="center"/>
          </w:tcPr>
          <w:p w:rsidR="00E2004E" w:rsidRPr="0019793B" w:rsidRDefault="00E2004E" w:rsidP="00E2004E">
            <w:pPr>
              <w:jc w:val="center"/>
              <w:rPr>
                <w:rFonts w:ascii="Arial Narrow" w:hAnsi="Arial Narrow"/>
                <w:sz w:val="20"/>
                <w:szCs w:val="20"/>
              </w:rPr>
            </w:pPr>
            <w:r w:rsidRPr="0019793B">
              <w:rPr>
                <w:rFonts w:ascii="Arial Narrow" w:hAnsi="Arial Narrow"/>
                <w:sz w:val="20"/>
                <w:szCs w:val="20"/>
              </w:rPr>
              <w:t>$</w:t>
            </w:r>
            <w:r w:rsidR="00F17FFB">
              <w:rPr>
                <w:rFonts w:ascii="Arial Narrow" w:hAnsi="Arial Narrow"/>
                <w:noProof/>
                <w:color w:val="000000"/>
                <w:sz w:val="20"/>
                <w:szCs w:val="20"/>
                <w:highlight w:val="black"/>
              </w:rPr>
              <w:t>''''''''''''''''''''''''</w:t>
            </w:r>
          </w:p>
        </w:tc>
        <w:tc>
          <w:tcPr>
            <w:tcW w:w="721" w:type="pct"/>
            <w:shd w:val="clear" w:color="auto" w:fill="auto"/>
            <w:noWrap/>
            <w:vAlign w:val="center"/>
          </w:tcPr>
          <w:p w:rsidR="00E2004E" w:rsidRPr="0019793B" w:rsidRDefault="00E2004E" w:rsidP="00E2004E">
            <w:pPr>
              <w:jc w:val="center"/>
              <w:rPr>
                <w:rFonts w:ascii="Arial Narrow" w:hAnsi="Arial Narrow"/>
                <w:sz w:val="20"/>
                <w:szCs w:val="20"/>
              </w:rPr>
            </w:pPr>
            <w:r w:rsidRPr="0019793B">
              <w:rPr>
                <w:rFonts w:ascii="Arial Narrow" w:hAnsi="Arial Narrow"/>
                <w:sz w:val="20"/>
                <w:szCs w:val="20"/>
              </w:rPr>
              <w:t>$</w:t>
            </w:r>
            <w:r w:rsidR="00F17FFB">
              <w:rPr>
                <w:rFonts w:ascii="Arial Narrow" w:hAnsi="Arial Narrow"/>
                <w:noProof/>
                <w:color w:val="000000"/>
                <w:sz w:val="20"/>
                <w:szCs w:val="20"/>
                <w:highlight w:val="black"/>
              </w:rPr>
              <w:t>'''''''''''''''''''''''''''''</w:t>
            </w:r>
          </w:p>
        </w:tc>
        <w:tc>
          <w:tcPr>
            <w:tcW w:w="720" w:type="pct"/>
            <w:shd w:val="clear" w:color="auto" w:fill="auto"/>
            <w:noWrap/>
            <w:vAlign w:val="center"/>
          </w:tcPr>
          <w:p w:rsidR="00E2004E" w:rsidRPr="0019793B" w:rsidRDefault="00E2004E" w:rsidP="00E2004E">
            <w:pPr>
              <w:jc w:val="center"/>
              <w:rPr>
                <w:rFonts w:ascii="Arial Narrow" w:hAnsi="Arial Narrow"/>
                <w:sz w:val="20"/>
                <w:szCs w:val="20"/>
              </w:rPr>
            </w:pPr>
            <w:r w:rsidRPr="0019793B">
              <w:rPr>
                <w:rFonts w:ascii="Arial Narrow" w:hAnsi="Arial Narrow"/>
                <w:sz w:val="20"/>
                <w:szCs w:val="20"/>
              </w:rPr>
              <w:t>$</w:t>
            </w:r>
            <w:r w:rsidR="00F17FFB">
              <w:rPr>
                <w:rFonts w:ascii="Arial Narrow" w:hAnsi="Arial Narrow"/>
                <w:noProof/>
                <w:color w:val="000000"/>
                <w:sz w:val="20"/>
                <w:szCs w:val="20"/>
                <w:highlight w:val="black"/>
              </w:rPr>
              <w:t>'''''''''''''''''''''''''</w:t>
            </w:r>
          </w:p>
        </w:tc>
        <w:tc>
          <w:tcPr>
            <w:tcW w:w="721" w:type="pct"/>
            <w:shd w:val="clear" w:color="auto" w:fill="auto"/>
            <w:noWrap/>
            <w:vAlign w:val="center"/>
          </w:tcPr>
          <w:p w:rsidR="00E2004E" w:rsidRPr="0019793B" w:rsidRDefault="00E2004E" w:rsidP="00E2004E">
            <w:pPr>
              <w:jc w:val="center"/>
              <w:rPr>
                <w:rFonts w:ascii="Arial Narrow" w:hAnsi="Arial Narrow"/>
                <w:sz w:val="20"/>
                <w:szCs w:val="20"/>
              </w:rPr>
            </w:pPr>
            <w:r w:rsidRPr="0019793B">
              <w:rPr>
                <w:rFonts w:ascii="Arial Narrow" w:hAnsi="Arial Narrow"/>
                <w:sz w:val="20"/>
                <w:szCs w:val="20"/>
              </w:rPr>
              <w:t>$</w:t>
            </w:r>
            <w:r w:rsidR="00F17FFB">
              <w:rPr>
                <w:rFonts w:ascii="Arial Narrow" w:hAnsi="Arial Narrow"/>
                <w:noProof/>
                <w:color w:val="000000"/>
                <w:sz w:val="20"/>
                <w:szCs w:val="20"/>
                <w:highlight w:val="black"/>
              </w:rPr>
              <w:t>'''''''''''''''''''''''''''''''</w:t>
            </w:r>
          </w:p>
        </w:tc>
      </w:tr>
    </w:tbl>
    <w:p w:rsidR="0022059F" w:rsidRDefault="00485BF8" w:rsidP="00685C10">
      <w:pPr>
        <w:pStyle w:val="TableFooter"/>
        <w:keepNext/>
        <w:widowControl/>
        <w:ind w:firstLine="720"/>
        <w:rPr>
          <w:szCs w:val="22"/>
        </w:rPr>
      </w:pPr>
      <w:r w:rsidRPr="0019793B">
        <w:t>Source: Table 12 of the minor resubmission and calculated during the preparation of the minor overview.</w:t>
      </w:r>
    </w:p>
    <w:p w:rsidR="0022059F" w:rsidRDefault="0022059F" w:rsidP="0022059F">
      <w:pPr>
        <w:rPr>
          <w:lang w:eastAsia="en-US"/>
        </w:rPr>
      </w:pPr>
    </w:p>
    <w:p w:rsidR="00D130D8" w:rsidRDefault="00D130D8" w:rsidP="001D2333">
      <w:pPr>
        <w:ind w:left="720"/>
        <w:jc w:val="both"/>
        <w:rPr>
          <w:rFonts w:ascii="Arial" w:hAnsi="Arial" w:cs="Arial"/>
          <w:sz w:val="22"/>
        </w:rPr>
      </w:pPr>
      <w:r>
        <w:rPr>
          <w:rFonts w:ascii="Arial" w:hAnsi="Arial" w:cs="Arial"/>
          <w:sz w:val="22"/>
        </w:rPr>
        <w:t>The redacted table shows that a</w:t>
      </w:r>
      <w:r w:rsidRPr="00DE39BD">
        <w:rPr>
          <w:rFonts w:ascii="Arial" w:hAnsi="Arial" w:cs="Arial"/>
          <w:sz w:val="22"/>
        </w:rPr>
        <w:t xml:space="preserve">t year 5, the estimated net cost to the PBS would be </w:t>
      </w:r>
      <w:r>
        <w:rPr>
          <w:rFonts w:ascii="Arial" w:hAnsi="Arial" w:cs="Arial"/>
          <w:sz w:val="22"/>
        </w:rPr>
        <w:t xml:space="preserve">$30 - $60 million. </w:t>
      </w:r>
    </w:p>
    <w:p w:rsidR="00D130D8" w:rsidRDefault="00D130D8" w:rsidP="0022059F">
      <w:pPr>
        <w:rPr>
          <w:lang w:eastAsia="en-US"/>
        </w:rPr>
      </w:pPr>
    </w:p>
    <w:p w:rsidR="00BB5D14" w:rsidRDefault="00BB5D14" w:rsidP="00BB5D14">
      <w:pPr>
        <w:ind w:left="720"/>
        <w:rPr>
          <w:rFonts w:ascii="Arial" w:hAnsi="Arial" w:cs="Arial"/>
          <w:bCs/>
          <w:i/>
          <w:sz w:val="22"/>
          <w:szCs w:val="22"/>
        </w:rPr>
      </w:pPr>
      <w:r w:rsidRPr="004F1C84">
        <w:rPr>
          <w:rFonts w:ascii="Arial" w:hAnsi="Arial" w:cs="Arial"/>
          <w:bCs/>
          <w:i/>
          <w:sz w:val="22"/>
          <w:szCs w:val="22"/>
        </w:rPr>
        <w:t>For more detail on PBAC’s view, see section 7 “PBAC outcome”</w:t>
      </w:r>
    </w:p>
    <w:p w:rsidR="00BB5D14" w:rsidRDefault="00BB5D14" w:rsidP="0022059F">
      <w:pPr>
        <w:rPr>
          <w:lang w:eastAsia="en-US"/>
        </w:rPr>
      </w:pPr>
    </w:p>
    <w:p w:rsidR="00AA4252" w:rsidRDefault="00AA4252" w:rsidP="0022059F">
      <w:pPr>
        <w:rPr>
          <w:lang w:eastAsia="en-US"/>
        </w:rPr>
      </w:pPr>
    </w:p>
    <w:p w:rsidR="0022059F" w:rsidRPr="00BB5D14" w:rsidRDefault="0022059F" w:rsidP="00675223">
      <w:pPr>
        <w:pStyle w:val="PBACHeading1"/>
      </w:pPr>
      <w:r w:rsidRPr="00BB5D14">
        <w:t>PBAC Outcome</w:t>
      </w:r>
    </w:p>
    <w:p w:rsidR="0022059F" w:rsidRPr="00ED6D16" w:rsidRDefault="0022059F" w:rsidP="0022059F">
      <w:pPr>
        <w:widowControl w:val="0"/>
        <w:jc w:val="both"/>
        <w:rPr>
          <w:rFonts w:ascii="Arial" w:hAnsi="Arial" w:cs="Arial"/>
          <w:b/>
          <w:bCs/>
          <w:snapToGrid w:val="0"/>
          <w:sz w:val="22"/>
          <w:szCs w:val="20"/>
          <w:lang w:val="en-GB"/>
        </w:rPr>
      </w:pPr>
    </w:p>
    <w:p w:rsidR="008E571F" w:rsidRPr="00ED6D16" w:rsidRDefault="008E571F" w:rsidP="008E571F">
      <w:pPr>
        <w:pStyle w:val="ListParagraph"/>
        <w:widowControl/>
        <w:numPr>
          <w:ilvl w:val="1"/>
          <w:numId w:val="5"/>
        </w:numPr>
        <w:rPr>
          <w:szCs w:val="22"/>
        </w:rPr>
      </w:pPr>
      <w:r w:rsidRPr="00ED6D16">
        <w:rPr>
          <w:bCs/>
          <w:lang w:val="en-GB"/>
        </w:rPr>
        <w:t>The PBAC did not recommend the listing of apremilast for</w:t>
      </w:r>
      <w:r w:rsidRPr="00ED6D16">
        <w:t xml:space="preserve"> the treatment of patients with moderate-to-severe plaque psoriasis who have failed to achieve an adequate response or are contraindicated to treatment with methotrexate.</w:t>
      </w:r>
    </w:p>
    <w:p w:rsidR="008E571F" w:rsidRPr="00ED6D16" w:rsidRDefault="008E571F" w:rsidP="008E571F">
      <w:pPr>
        <w:pStyle w:val="ListParagraph"/>
        <w:widowControl/>
        <w:rPr>
          <w:szCs w:val="22"/>
        </w:rPr>
      </w:pPr>
    </w:p>
    <w:p w:rsidR="008E571F" w:rsidRPr="00ED6D16" w:rsidRDefault="008E571F" w:rsidP="008E571F">
      <w:pPr>
        <w:pStyle w:val="ListParagraph"/>
        <w:widowControl/>
        <w:numPr>
          <w:ilvl w:val="1"/>
          <w:numId w:val="5"/>
        </w:numPr>
        <w:rPr>
          <w:szCs w:val="22"/>
        </w:rPr>
      </w:pPr>
      <w:r>
        <w:t xml:space="preserve">The PBAC recalled that it rejected apremilast for moderate to severe plaque psoriasis in </w:t>
      </w:r>
      <w:r w:rsidR="00B726FC">
        <w:t xml:space="preserve">its previous consideration in </w:t>
      </w:r>
      <w:r>
        <w:t xml:space="preserve">November 2016 on the basis that </w:t>
      </w:r>
      <w:r w:rsidR="009A1BF4" w:rsidRPr="00F16087">
        <w:rPr>
          <w:bCs/>
          <w:lang w:val="en-GB"/>
        </w:rPr>
        <w:t>the evidence presented did not support the claims of superior comparative efficacy or safety versus cyclosporin and the cost effectiveness of apremilast was uncertain and unacceptable at the requested price</w:t>
      </w:r>
      <w:r>
        <w:t>.</w:t>
      </w:r>
      <w:r w:rsidR="009A1BF4" w:rsidRPr="009A1BF4">
        <w:t xml:space="preserve"> </w:t>
      </w:r>
      <w:r w:rsidR="009A1BF4">
        <w:t>The PBAC noted that the resubmission did not address the issues it previously identified in its consideration of the November 2016 major resubmission (see Table</w:t>
      </w:r>
      <w:r w:rsidR="00896448">
        <w:t>s</w:t>
      </w:r>
      <w:r w:rsidR="009A1BF4">
        <w:t xml:space="preserve"> 1</w:t>
      </w:r>
      <w:r w:rsidR="00896448">
        <w:t xml:space="preserve"> and 2</w:t>
      </w:r>
      <w:r w:rsidR="009A1BF4">
        <w:t>).</w:t>
      </w:r>
    </w:p>
    <w:p w:rsidR="008E571F" w:rsidRPr="00ED6D16" w:rsidRDefault="008E571F" w:rsidP="008E571F">
      <w:pPr>
        <w:rPr>
          <w:szCs w:val="22"/>
        </w:rPr>
      </w:pPr>
    </w:p>
    <w:p w:rsidR="008E571F" w:rsidRDefault="008E571F" w:rsidP="008E571F">
      <w:pPr>
        <w:widowControl w:val="0"/>
        <w:numPr>
          <w:ilvl w:val="1"/>
          <w:numId w:val="5"/>
        </w:numPr>
        <w:jc w:val="both"/>
        <w:rPr>
          <w:rFonts w:ascii="Arial" w:hAnsi="Arial" w:cs="Arial"/>
          <w:bCs/>
          <w:snapToGrid w:val="0"/>
          <w:sz w:val="22"/>
          <w:szCs w:val="20"/>
          <w:lang w:val="en-GB"/>
        </w:rPr>
      </w:pPr>
      <w:r w:rsidRPr="00ED6D16">
        <w:rPr>
          <w:rFonts w:ascii="Arial" w:hAnsi="Arial" w:cs="Arial"/>
          <w:bCs/>
          <w:snapToGrid w:val="0"/>
          <w:sz w:val="22"/>
          <w:szCs w:val="20"/>
          <w:lang w:val="en-GB"/>
        </w:rPr>
        <w:t>The PBAC noted the input received prior to the November 2016 PBAC meeting from individuals, health care professionals and organisations, including advice received from the Australian College of Dermatologists clarifying the likely use of apremilast in clinical practice.</w:t>
      </w:r>
    </w:p>
    <w:p w:rsidR="008E571F" w:rsidRPr="00ED6D16" w:rsidRDefault="008E571F" w:rsidP="00466375">
      <w:pPr>
        <w:widowControl w:val="0"/>
        <w:jc w:val="both"/>
        <w:rPr>
          <w:rFonts w:ascii="Arial" w:hAnsi="Arial" w:cs="Arial"/>
          <w:bCs/>
          <w:snapToGrid w:val="0"/>
          <w:sz w:val="22"/>
          <w:szCs w:val="20"/>
          <w:lang w:val="en-GB"/>
        </w:rPr>
      </w:pPr>
    </w:p>
    <w:p w:rsidR="008E571F" w:rsidRDefault="008E571F" w:rsidP="008E571F">
      <w:pPr>
        <w:pStyle w:val="ListParagraph"/>
        <w:widowControl/>
        <w:numPr>
          <w:ilvl w:val="1"/>
          <w:numId w:val="5"/>
        </w:numPr>
        <w:rPr>
          <w:szCs w:val="22"/>
        </w:rPr>
      </w:pPr>
      <w:r>
        <w:rPr>
          <w:szCs w:val="22"/>
        </w:rPr>
        <w:t>The PBAC noted the proposed place in therapy as an additional treatment option in the same line as cyclosporin in patients who have failed to achieve an adequate response or are contraindicated to treatment with methotrexate.</w:t>
      </w:r>
    </w:p>
    <w:p w:rsidR="008E571F" w:rsidRDefault="008E571F" w:rsidP="008E571F">
      <w:pPr>
        <w:pStyle w:val="ListParagraph"/>
        <w:widowControl/>
        <w:rPr>
          <w:szCs w:val="22"/>
        </w:rPr>
      </w:pPr>
    </w:p>
    <w:p w:rsidR="008E571F" w:rsidRDefault="008E571F" w:rsidP="008E571F">
      <w:pPr>
        <w:pStyle w:val="ListParagraph"/>
        <w:widowControl/>
        <w:numPr>
          <w:ilvl w:val="1"/>
          <w:numId w:val="5"/>
        </w:numPr>
        <w:rPr>
          <w:szCs w:val="22"/>
        </w:rPr>
      </w:pPr>
      <w:r>
        <w:rPr>
          <w:szCs w:val="22"/>
        </w:rPr>
        <w:t>The PBAC recalled it previously accepted cyclosporin as the main comparator if apremilast was restricted to patients who have failed treatment with methotrexate</w:t>
      </w:r>
      <w:r w:rsidR="008C0C4F">
        <w:rPr>
          <w:szCs w:val="22"/>
        </w:rPr>
        <w:t>. The PBAC noted that the minor resubmission did not change the comparator</w:t>
      </w:r>
      <w:r>
        <w:rPr>
          <w:szCs w:val="22"/>
        </w:rPr>
        <w:t>.</w:t>
      </w:r>
    </w:p>
    <w:p w:rsidR="008E571F" w:rsidRPr="00A04EC5" w:rsidRDefault="008E571F" w:rsidP="008E571F">
      <w:pPr>
        <w:pStyle w:val="ListParagraph"/>
        <w:rPr>
          <w:szCs w:val="22"/>
        </w:rPr>
      </w:pPr>
    </w:p>
    <w:p w:rsidR="006D193A" w:rsidRDefault="008E571F" w:rsidP="00466375">
      <w:pPr>
        <w:pStyle w:val="ListParagraph"/>
        <w:widowControl/>
        <w:numPr>
          <w:ilvl w:val="1"/>
          <w:numId w:val="5"/>
        </w:numPr>
        <w:rPr>
          <w:szCs w:val="22"/>
        </w:rPr>
      </w:pPr>
      <w:r w:rsidRPr="00391B69">
        <w:rPr>
          <w:szCs w:val="22"/>
        </w:rPr>
        <w:t xml:space="preserve">The PBAC </w:t>
      </w:r>
      <w:r w:rsidR="006D193A">
        <w:rPr>
          <w:szCs w:val="22"/>
        </w:rPr>
        <w:t xml:space="preserve">recalled that </w:t>
      </w:r>
      <w:r w:rsidR="003241FA">
        <w:rPr>
          <w:szCs w:val="22"/>
        </w:rPr>
        <w:t>the</w:t>
      </w:r>
      <w:r w:rsidR="006D193A">
        <w:rPr>
          <w:szCs w:val="22"/>
        </w:rPr>
        <w:t xml:space="preserve"> November 2016</w:t>
      </w:r>
      <w:r w:rsidR="003241FA">
        <w:rPr>
          <w:szCs w:val="22"/>
        </w:rPr>
        <w:t xml:space="preserve"> resubmission revised the clinical claim to superiority </w:t>
      </w:r>
      <w:r w:rsidR="00202D61">
        <w:rPr>
          <w:szCs w:val="22"/>
        </w:rPr>
        <w:t xml:space="preserve">versus cyclosporin </w:t>
      </w:r>
      <w:r w:rsidR="003241FA">
        <w:rPr>
          <w:szCs w:val="22"/>
        </w:rPr>
        <w:t>on the basis of real-world persistence data, from non-inferiority in the March 2015 submission (see paragraphs 6.5 and 6.6).</w:t>
      </w:r>
      <w:r w:rsidR="00202D61">
        <w:rPr>
          <w:szCs w:val="22"/>
        </w:rPr>
        <w:t xml:space="preserve"> </w:t>
      </w:r>
      <w:r w:rsidR="003241FA">
        <w:rPr>
          <w:szCs w:val="22"/>
        </w:rPr>
        <w:t>In November 2016, t</w:t>
      </w:r>
      <w:r w:rsidR="006D193A">
        <w:rPr>
          <w:szCs w:val="22"/>
        </w:rPr>
        <w:t xml:space="preserve">he PBAC considered </w:t>
      </w:r>
      <w:r w:rsidRPr="004F17E5">
        <w:rPr>
          <w:szCs w:val="22"/>
        </w:rPr>
        <w:t xml:space="preserve">that the non-randomised persistence data </w:t>
      </w:r>
      <w:r w:rsidR="006D193A">
        <w:rPr>
          <w:szCs w:val="22"/>
        </w:rPr>
        <w:t xml:space="preserve">was relevant supportive information but was </w:t>
      </w:r>
      <w:r w:rsidRPr="004F17E5">
        <w:rPr>
          <w:szCs w:val="22"/>
        </w:rPr>
        <w:t>a</w:t>
      </w:r>
      <w:r w:rsidR="006D193A">
        <w:rPr>
          <w:szCs w:val="22"/>
        </w:rPr>
        <w:t>n</w:t>
      </w:r>
      <w:r w:rsidRPr="004F17E5">
        <w:rPr>
          <w:szCs w:val="22"/>
        </w:rPr>
        <w:t xml:space="preserve"> </w:t>
      </w:r>
      <w:r w:rsidR="006D193A">
        <w:rPr>
          <w:szCs w:val="22"/>
        </w:rPr>
        <w:t>in</w:t>
      </w:r>
      <w:r w:rsidRPr="004F17E5">
        <w:rPr>
          <w:szCs w:val="22"/>
        </w:rPr>
        <w:t xml:space="preserve">sufficient basis to support the claim of superiority in comparative effectiveness or safety. </w:t>
      </w:r>
      <w:r w:rsidR="006D193A">
        <w:rPr>
          <w:szCs w:val="22"/>
        </w:rPr>
        <w:t xml:space="preserve">The PBAC considered that these issues had not been addressed by the minor resubmission. </w:t>
      </w:r>
    </w:p>
    <w:p w:rsidR="006D193A" w:rsidRPr="006D193A" w:rsidRDefault="006D193A" w:rsidP="00BE080A">
      <w:pPr>
        <w:pStyle w:val="ListParagraph"/>
        <w:rPr>
          <w:szCs w:val="22"/>
        </w:rPr>
      </w:pPr>
    </w:p>
    <w:p w:rsidR="004B2E84" w:rsidRDefault="006D193A" w:rsidP="00466375">
      <w:pPr>
        <w:pStyle w:val="ListParagraph"/>
        <w:widowControl/>
        <w:numPr>
          <w:ilvl w:val="1"/>
          <w:numId w:val="5"/>
        </w:numPr>
        <w:rPr>
          <w:szCs w:val="22"/>
        </w:rPr>
      </w:pPr>
      <w:r>
        <w:rPr>
          <w:szCs w:val="22"/>
        </w:rPr>
        <w:t xml:space="preserve">The PBAC noted that the pre-PBAC response </w:t>
      </w:r>
      <w:r w:rsidR="00FD51D5">
        <w:rPr>
          <w:szCs w:val="22"/>
        </w:rPr>
        <w:t xml:space="preserve">(p1) </w:t>
      </w:r>
      <w:r>
        <w:rPr>
          <w:szCs w:val="22"/>
        </w:rPr>
        <w:t xml:space="preserve">stated that “the intent of this minor submission is not to directly address these concerns [with the clinical evidence and claim] but rather to reduce the uncertainty to a level of cost-effectiveness that will enable the PBAC to </w:t>
      </w:r>
      <w:r w:rsidR="00891E1B">
        <w:rPr>
          <w:szCs w:val="22"/>
        </w:rPr>
        <w:t xml:space="preserve">make a positive recommendation”. </w:t>
      </w:r>
      <w:r>
        <w:rPr>
          <w:szCs w:val="22"/>
        </w:rPr>
        <w:t xml:space="preserve">The PBAC considered that as its concerns with </w:t>
      </w:r>
      <w:r w:rsidR="00FD51D5">
        <w:rPr>
          <w:szCs w:val="22"/>
        </w:rPr>
        <w:t xml:space="preserve">the </w:t>
      </w:r>
      <w:r>
        <w:rPr>
          <w:szCs w:val="22"/>
        </w:rPr>
        <w:t>claim of superior effectiveness and safety had not been addressed, the minor resubmission did not present a basis on which to recommend apremilast on a cost-effectiveness basis, compared with cyclosporin.</w:t>
      </w:r>
    </w:p>
    <w:p w:rsidR="004B2E84" w:rsidRPr="004B2E84" w:rsidRDefault="004B2E84" w:rsidP="00BE080A">
      <w:pPr>
        <w:pStyle w:val="ListParagraph"/>
        <w:rPr>
          <w:szCs w:val="22"/>
        </w:rPr>
      </w:pPr>
    </w:p>
    <w:p w:rsidR="008E571F" w:rsidRDefault="008E571F" w:rsidP="008E571F">
      <w:pPr>
        <w:pStyle w:val="ListParagraph"/>
        <w:widowControl/>
        <w:numPr>
          <w:ilvl w:val="1"/>
          <w:numId w:val="5"/>
        </w:numPr>
        <w:rPr>
          <w:szCs w:val="22"/>
        </w:rPr>
      </w:pPr>
      <w:r w:rsidRPr="00465976">
        <w:rPr>
          <w:szCs w:val="22"/>
        </w:rPr>
        <w:t xml:space="preserve">The PBAC </w:t>
      </w:r>
      <w:r w:rsidR="004B2E84">
        <w:rPr>
          <w:szCs w:val="22"/>
        </w:rPr>
        <w:t xml:space="preserve">noted </w:t>
      </w:r>
      <w:r w:rsidRPr="00465976">
        <w:rPr>
          <w:szCs w:val="22"/>
        </w:rPr>
        <w:t>that the</w:t>
      </w:r>
      <w:r>
        <w:rPr>
          <w:szCs w:val="22"/>
        </w:rPr>
        <w:t xml:space="preserve"> minor resubmission </w:t>
      </w:r>
      <w:r w:rsidR="004B2E84">
        <w:rPr>
          <w:szCs w:val="22"/>
        </w:rPr>
        <w:t xml:space="preserve">requested a reduced effective price of apremilast but did not </w:t>
      </w:r>
      <w:r>
        <w:rPr>
          <w:szCs w:val="22"/>
        </w:rPr>
        <w:t xml:space="preserve">address </w:t>
      </w:r>
      <w:r w:rsidR="000F5BB9">
        <w:rPr>
          <w:szCs w:val="22"/>
        </w:rPr>
        <w:t xml:space="preserve">the PBAC’s </w:t>
      </w:r>
      <w:r w:rsidR="004B2E84">
        <w:rPr>
          <w:szCs w:val="22"/>
        </w:rPr>
        <w:t xml:space="preserve">previous </w:t>
      </w:r>
      <w:r>
        <w:rPr>
          <w:szCs w:val="22"/>
        </w:rPr>
        <w:t>concerns with the</w:t>
      </w:r>
      <w:r w:rsidR="004B2E84">
        <w:rPr>
          <w:szCs w:val="22"/>
        </w:rPr>
        <w:t xml:space="preserve"> </w:t>
      </w:r>
      <w:r>
        <w:rPr>
          <w:szCs w:val="22"/>
        </w:rPr>
        <w:t xml:space="preserve">economic model presented in the November 2016 submission </w:t>
      </w:r>
      <w:r w:rsidR="004B2E84">
        <w:rPr>
          <w:szCs w:val="22"/>
        </w:rPr>
        <w:t xml:space="preserve">(see </w:t>
      </w:r>
      <w:r w:rsidR="00A8690A">
        <w:rPr>
          <w:szCs w:val="22"/>
        </w:rPr>
        <w:t>paragraph 6.10</w:t>
      </w:r>
      <w:r w:rsidR="004B2E84">
        <w:rPr>
          <w:szCs w:val="22"/>
        </w:rPr>
        <w:t>)</w:t>
      </w:r>
      <w:r>
        <w:rPr>
          <w:szCs w:val="22"/>
        </w:rPr>
        <w:t>.</w:t>
      </w:r>
      <w:r w:rsidR="004B2E84">
        <w:rPr>
          <w:szCs w:val="22"/>
        </w:rPr>
        <w:t xml:space="preserve"> </w:t>
      </w:r>
      <w:r w:rsidR="000B6630">
        <w:rPr>
          <w:szCs w:val="22"/>
        </w:rPr>
        <w:t>However</w:t>
      </w:r>
      <w:r w:rsidR="004B2E84">
        <w:rPr>
          <w:szCs w:val="22"/>
        </w:rPr>
        <w:t xml:space="preserve">, </w:t>
      </w:r>
      <w:r w:rsidR="000B6630">
        <w:rPr>
          <w:szCs w:val="22"/>
        </w:rPr>
        <w:t>the PBAC reiterated that the economic model was uninformative for decision making as</w:t>
      </w:r>
      <w:r w:rsidR="00072C4A">
        <w:rPr>
          <w:szCs w:val="22"/>
        </w:rPr>
        <w:t xml:space="preserve"> there was </w:t>
      </w:r>
      <w:r w:rsidR="009D3275">
        <w:rPr>
          <w:szCs w:val="22"/>
        </w:rPr>
        <w:t xml:space="preserve">not a </w:t>
      </w:r>
      <w:r w:rsidR="00072C4A">
        <w:rPr>
          <w:szCs w:val="22"/>
        </w:rPr>
        <w:t xml:space="preserve">sufficient justification to recommend apremilast on </w:t>
      </w:r>
      <w:r w:rsidR="00BE080A">
        <w:rPr>
          <w:szCs w:val="22"/>
        </w:rPr>
        <w:t xml:space="preserve">a </w:t>
      </w:r>
      <w:r w:rsidR="00072C4A">
        <w:rPr>
          <w:szCs w:val="22"/>
        </w:rPr>
        <w:t xml:space="preserve">cost-effectiveness </w:t>
      </w:r>
      <w:r w:rsidR="004B2E84">
        <w:rPr>
          <w:szCs w:val="22"/>
        </w:rPr>
        <w:t xml:space="preserve">basis </w:t>
      </w:r>
      <w:r w:rsidR="00072C4A">
        <w:rPr>
          <w:szCs w:val="22"/>
        </w:rPr>
        <w:t>compared with cyclosporin</w:t>
      </w:r>
      <w:r w:rsidR="004B2E84">
        <w:rPr>
          <w:szCs w:val="22"/>
        </w:rPr>
        <w:t>.</w:t>
      </w:r>
    </w:p>
    <w:p w:rsidR="008E571F" w:rsidRPr="00465976" w:rsidRDefault="008E571F" w:rsidP="008E571F">
      <w:pPr>
        <w:pStyle w:val="ListParagraph"/>
        <w:rPr>
          <w:szCs w:val="22"/>
        </w:rPr>
      </w:pPr>
    </w:p>
    <w:p w:rsidR="008E571F" w:rsidRDefault="008E571F" w:rsidP="008E571F">
      <w:pPr>
        <w:pStyle w:val="ListParagraph"/>
        <w:widowControl/>
        <w:numPr>
          <w:ilvl w:val="1"/>
          <w:numId w:val="5"/>
        </w:numPr>
        <w:rPr>
          <w:szCs w:val="22"/>
        </w:rPr>
      </w:pPr>
      <w:r>
        <w:rPr>
          <w:szCs w:val="22"/>
        </w:rPr>
        <w:t xml:space="preserve">The PBAC noted the </w:t>
      </w:r>
      <w:r w:rsidR="000B6630">
        <w:rPr>
          <w:szCs w:val="22"/>
        </w:rPr>
        <w:t>minor re</w:t>
      </w:r>
      <w:r>
        <w:rPr>
          <w:szCs w:val="22"/>
        </w:rPr>
        <w:t>submission presented revised utilisation estimates using a market based approach to reflect the proposed post-methotrexate PBS listing</w:t>
      </w:r>
      <w:r w:rsidR="000B6630">
        <w:rPr>
          <w:szCs w:val="22"/>
        </w:rPr>
        <w:t>, and that these</w:t>
      </w:r>
      <w:r w:rsidR="007F417D">
        <w:rPr>
          <w:szCs w:val="22"/>
        </w:rPr>
        <w:t xml:space="preserve"> </w:t>
      </w:r>
      <w:r w:rsidR="000B6630">
        <w:rPr>
          <w:szCs w:val="22"/>
        </w:rPr>
        <w:t>estimates</w:t>
      </w:r>
      <w:r w:rsidR="00D73C68">
        <w:rPr>
          <w:szCs w:val="22"/>
        </w:rPr>
        <w:t xml:space="preserve"> had</w:t>
      </w:r>
      <w:r>
        <w:rPr>
          <w:szCs w:val="22"/>
        </w:rPr>
        <w:t xml:space="preserve"> not </w:t>
      </w:r>
      <w:r w:rsidR="00D73C68">
        <w:rPr>
          <w:szCs w:val="22"/>
        </w:rPr>
        <w:t xml:space="preserve">been </w:t>
      </w:r>
      <w:r>
        <w:rPr>
          <w:szCs w:val="22"/>
        </w:rPr>
        <w:t>evaluated.</w:t>
      </w:r>
    </w:p>
    <w:p w:rsidR="00D73C68" w:rsidRPr="00D73C68" w:rsidRDefault="00D73C68" w:rsidP="00BE080A">
      <w:pPr>
        <w:rPr>
          <w:szCs w:val="22"/>
        </w:rPr>
      </w:pPr>
    </w:p>
    <w:p w:rsidR="00D73C68" w:rsidRDefault="00D73C68" w:rsidP="00D73C68">
      <w:pPr>
        <w:pStyle w:val="ListParagraph"/>
        <w:widowControl/>
        <w:numPr>
          <w:ilvl w:val="1"/>
          <w:numId w:val="5"/>
        </w:numPr>
        <w:rPr>
          <w:szCs w:val="22"/>
        </w:rPr>
      </w:pPr>
      <w:r>
        <w:rPr>
          <w:szCs w:val="22"/>
        </w:rPr>
        <w:t>The PBAC noted that the minor resubmission reduced the net cost of apremilast to the PBS over the first five years of listing from more than $</w:t>
      </w:r>
      <w:r w:rsidR="00D130D8">
        <w:rPr>
          <w:szCs w:val="22"/>
        </w:rPr>
        <w:t xml:space="preserve">100 </w:t>
      </w:r>
      <w:r>
        <w:rPr>
          <w:szCs w:val="22"/>
        </w:rPr>
        <w:t>million to $</w:t>
      </w:r>
      <w:r w:rsidR="00D130D8">
        <w:rPr>
          <w:szCs w:val="22"/>
        </w:rPr>
        <w:t xml:space="preserve">more than $100 </w:t>
      </w:r>
      <w:r>
        <w:rPr>
          <w:szCs w:val="22"/>
        </w:rPr>
        <w:t>million through a proposed reduction in the effective price and additional financial caps through an RSA.</w:t>
      </w:r>
      <w:r w:rsidR="003E03FB">
        <w:rPr>
          <w:szCs w:val="22"/>
        </w:rPr>
        <w:t xml:space="preserve"> </w:t>
      </w:r>
      <w:r w:rsidR="000B6630">
        <w:rPr>
          <w:bCs/>
          <w:lang w:val="en-GB"/>
        </w:rPr>
        <w:t>I</w:t>
      </w:r>
      <w:r w:rsidRPr="00F16087">
        <w:rPr>
          <w:bCs/>
          <w:lang w:val="en-GB"/>
        </w:rPr>
        <w:t>n the context of the uncertain treatment benefit over other systemic therapies</w:t>
      </w:r>
      <w:r>
        <w:rPr>
          <w:szCs w:val="22"/>
        </w:rPr>
        <w:t xml:space="preserve"> t</w:t>
      </w:r>
      <w:r w:rsidRPr="00F16087">
        <w:rPr>
          <w:bCs/>
          <w:lang w:val="en-GB"/>
        </w:rPr>
        <w:t xml:space="preserve">he PBAC </w:t>
      </w:r>
      <w:r>
        <w:rPr>
          <w:bCs/>
          <w:lang w:val="en-GB"/>
        </w:rPr>
        <w:t xml:space="preserve">considered the </w:t>
      </w:r>
      <w:r w:rsidRPr="00F16087">
        <w:rPr>
          <w:bCs/>
          <w:lang w:val="en-GB"/>
        </w:rPr>
        <w:t>opportunity cost of listing apremilast for moderate to severe plaque psoriasis</w:t>
      </w:r>
      <w:r>
        <w:rPr>
          <w:bCs/>
          <w:lang w:val="en-GB"/>
        </w:rPr>
        <w:t xml:space="preserve"> was substantial</w:t>
      </w:r>
      <w:r w:rsidRPr="00F16087">
        <w:rPr>
          <w:bCs/>
          <w:lang w:val="en-GB"/>
        </w:rPr>
        <w:t>.</w:t>
      </w:r>
    </w:p>
    <w:p w:rsidR="008E571F" w:rsidRPr="00962F6A" w:rsidRDefault="008E571F" w:rsidP="008E571F">
      <w:pPr>
        <w:pStyle w:val="ListParagraph"/>
        <w:rPr>
          <w:szCs w:val="22"/>
        </w:rPr>
      </w:pPr>
    </w:p>
    <w:p w:rsidR="004B7F53" w:rsidRDefault="008E571F" w:rsidP="004B7F53">
      <w:pPr>
        <w:widowControl w:val="0"/>
        <w:numPr>
          <w:ilvl w:val="1"/>
          <w:numId w:val="5"/>
        </w:numPr>
        <w:jc w:val="both"/>
        <w:rPr>
          <w:rFonts w:ascii="Arial" w:hAnsi="Arial" w:cs="Arial"/>
          <w:b/>
          <w:bCs/>
          <w:snapToGrid w:val="0"/>
          <w:sz w:val="22"/>
          <w:szCs w:val="20"/>
          <w:lang w:val="en-GB"/>
        </w:rPr>
      </w:pPr>
      <w:r w:rsidRPr="00412AA4">
        <w:rPr>
          <w:rFonts w:ascii="Arial" w:hAnsi="Arial" w:cs="Arial"/>
          <w:bCs/>
          <w:snapToGrid w:val="0"/>
          <w:sz w:val="22"/>
          <w:szCs w:val="20"/>
          <w:lang w:val="en-GB"/>
        </w:rPr>
        <w:t xml:space="preserve">The PBAC noted that this submission is eligible for an Independent Review. </w:t>
      </w:r>
    </w:p>
    <w:p w:rsidR="004B7F53" w:rsidRDefault="004B7F53" w:rsidP="004B7F53">
      <w:pPr>
        <w:pStyle w:val="ListParagraph"/>
        <w:rPr>
          <w:b/>
          <w:bCs/>
          <w:lang w:val="en-GB"/>
        </w:rPr>
      </w:pPr>
    </w:p>
    <w:p w:rsidR="0022059F" w:rsidRPr="00412AA4" w:rsidRDefault="0022059F" w:rsidP="004B7F53">
      <w:pPr>
        <w:widowControl w:val="0"/>
        <w:jc w:val="both"/>
        <w:rPr>
          <w:rFonts w:ascii="Arial" w:hAnsi="Arial" w:cs="Arial"/>
          <w:b/>
          <w:bCs/>
          <w:snapToGrid w:val="0"/>
          <w:sz w:val="22"/>
          <w:szCs w:val="20"/>
          <w:lang w:val="en-GB"/>
        </w:rPr>
      </w:pPr>
      <w:r w:rsidRPr="00412AA4">
        <w:rPr>
          <w:rFonts w:ascii="Arial" w:hAnsi="Arial" w:cs="Arial"/>
          <w:b/>
          <w:bCs/>
          <w:snapToGrid w:val="0"/>
          <w:sz w:val="22"/>
          <w:szCs w:val="20"/>
          <w:lang w:val="en-GB"/>
        </w:rPr>
        <w:t>Outcome:</w:t>
      </w:r>
    </w:p>
    <w:p w:rsidR="008E571F" w:rsidRPr="00412AA4" w:rsidRDefault="008E571F" w:rsidP="008E571F">
      <w:pPr>
        <w:widowControl w:val="0"/>
        <w:jc w:val="both"/>
        <w:rPr>
          <w:rFonts w:ascii="Arial" w:hAnsi="Arial" w:cs="Arial"/>
          <w:bCs/>
          <w:snapToGrid w:val="0"/>
          <w:sz w:val="22"/>
          <w:szCs w:val="20"/>
          <w:lang w:val="en-GB"/>
        </w:rPr>
      </w:pPr>
      <w:r w:rsidRPr="00412AA4">
        <w:rPr>
          <w:rFonts w:ascii="Arial" w:hAnsi="Arial" w:cs="Arial"/>
          <w:bCs/>
          <w:snapToGrid w:val="0"/>
          <w:sz w:val="22"/>
          <w:szCs w:val="20"/>
          <w:lang w:val="en-GB"/>
        </w:rPr>
        <w:t>Rejected</w:t>
      </w:r>
    </w:p>
    <w:p w:rsidR="00F64CC1" w:rsidRDefault="00F64CC1" w:rsidP="0022059F">
      <w:pPr>
        <w:rPr>
          <w:lang w:eastAsia="en-US"/>
        </w:rPr>
      </w:pPr>
    </w:p>
    <w:p w:rsidR="00BB54A3" w:rsidRDefault="00BB54A3" w:rsidP="00F82D41">
      <w:pPr>
        <w:pStyle w:val="PBACHeading1"/>
        <w:keepNext/>
        <w:numPr>
          <w:ilvl w:val="0"/>
          <w:numId w:val="5"/>
        </w:numPr>
        <w:ind w:left="709" w:hanging="709"/>
      </w:pPr>
      <w:r w:rsidRPr="00485DD3">
        <w:t>Context for Decision</w:t>
      </w:r>
    </w:p>
    <w:p w:rsidR="00BB54A3" w:rsidRDefault="00BB54A3" w:rsidP="00F82D41">
      <w:pPr>
        <w:keepNext/>
        <w:ind w:left="709"/>
        <w:jc w:val="both"/>
        <w:rPr>
          <w:rFonts w:ascii="Arial" w:hAnsi="Arial" w:cs="Arial"/>
          <w:sz w:val="22"/>
        </w:rPr>
      </w:pPr>
    </w:p>
    <w:p w:rsidR="00BB54A3" w:rsidRDefault="00BB54A3" w:rsidP="00BB54A3">
      <w:pPr>
        <w:ind w:left="709"/>
        <w:jc w:val="both"/>
        <w:rPr>
          <w:rFonts w:ascii="Arial" w:hAnsi="Arial" w:cs="Arial"/>
          <w:sz w:val="22"/>
        </w:rPr>
      </w:pPr>
      <w:r w:rsidRPr="004304F6">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BB54A3" w:rsidRDefault="00BB54A3" w:rsidP="00BB54A3">
      <w:pPr>
        <w:ind w:left="709"/>
        <w:jc w:val="both"/>
        <w:rPr>
          <w:rFonts w:ascii="Arial" w:hAnsi="Arial" w:cs="Arial"/>
          <w:sz w:val="22"/>
        </w:rPr>
      </w:pPr>
    </w:p>
    <w:p w:rsidR="00BB54A3" w:rsidRDefault="00BB54A3" w:rsidP="00BB54A3">
      <w:pPr>
        <w:ind w:left="709"/>
        <w:jc w:val="both"/>
        <w:rPr>
          <w:rFonts w:ascii="Arial" w:hAnsi="Arial" w:cs="Arial"/>
          <w:sz w:val="22"/>
        </w:rPr>
      </w:pPr>
    </w:p>
    <w:p w:rsidR="00BB54A3" w:rsidRPr="00B0280B" w:rsidRDefault="00BB54A3" w:rsidP="00BB54A3">
      <w:pPr>
        <w:pStyle w:val="PBACHeading1"/>
        <w:numPr>
          <w:ilvl w:val="0"/>
          <w:numId w:val="5"/>
        </w:numPr>
        <w:ind w:left="709" w:hanging="709"/>
      </w:pPr>
      <w:r w:rsidRPr="00485DD3">
        <w:t>Sponsor’s Comment</w:t>
      </w:r>
    </w:p>
    <w:p w:rsidR="00BB54A3" w:rsidRDefault="00BB54A3" w:rsidP="00BB54A3">
      <w:pPr>
        <w:ind w:left="709"/>
        <w:jc w:val="both"/>
        <w:rPr>
          <w:rFonts w:ascii="Arial" w:hAnsi="Arial" w:cs="Arial"/>
          <w:bCs/>
          <w:sz w:val="22"/>
          <w:highlight w:val="yellow"/>
          <w:lang w:val="en-GB"/>
        </w:rPr>
      </w:pPr>
    </w:p>
    <w:p w:rsidR="00BB54A3" w:rsidRDefault="00BB54A3" w:rsidP="00BB54A3">
      <w:pPr>
        <w:spacing w:after="120"/>
        <w:ind w:left="426" w:firstLine="283"/>
        <w:jc w:val="both"/>
        <w:rPr>
          <w:rFonts w:ascii="Arial" w:hAnsi="Arial" w:cs="Arial"/>
          <w:bCs/>
          <w:sz w:val="22"/>
        </w:rPr>
      </w:pPr>
      <w:r w:rsidRPr="003035CC">
        <w:rPr>
          <w:rFonts w:ascii="Arial" w:hAnsi="Arial" w:cs="Arial"/>
          <w:bCs/>
          <w:sz w:val="22"/>
        </w:rPr>
        <w:t>The sponsor had no comment.</w:t>
      </w:r>
    </w:p>
    <w:p w:rsidR="00BB54A3" w:rsidRPr="0022059F" w:rsidRDefault="00BB54A3" w:rsidP="0022059F">
      <w:pPr>
        <w:rPr>
          <w:lang w:eastAsia="en-US"/>
        </w:rPr>
      </w:pPr>
    </w:p>
    <w:sectPr w:rsidR="00BB54A3" w:rsidRPr="0022059F"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FFB" w:rsidRDefault="00F17FFB">
      <w:r>
        <w:separator/>
      </w:r>
    </w:p>
    <w:p w:rsidR="00F17FFB" w:rsidRDefault="00F17FFB"/>
  </w:endnote>
  <w:endnote w:type="continuationSeparator" w:id="0">
    <w:p w:rsidR="00F17FFB" w:rsidRDefault="00F17FFB">
      <w:r>
        <w:continuationSeparator/>
      </w:r>
    </w:p>
    <w:p w:rsidR="00F17FFB" w:rsidRDefault="00F17F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altName w:val="Arial"/>
    <w:panose1 w:val="020B0704020202020204"/>
    <w:charset w:val="59"/>
    <w:family w:val="auto"/>
    <w:pitch w:val="variable"/>
    <w:sig w:usb0="00000000"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805FDC" w:rsidTr="005A3173">
      <w:trPr>
        <w:trHeight w:val="151"/>
      </w:trPr>
      <w:tc>
        <w:tcPr>
          <w:tcW w:w="2250" w:type="pct"/>
          <w:tcBorders>
            <w:top w:val="nil"/>
            <w:left w:val="nil"/>
            <w:bottom w:val="single" w:sz="4" w:space="0" w:color="4F81BD"/>
            <w:right w:val="nil"/>
          </w:tcBorders>
        </w:tcPr>
        <w:p w:rsidR="00805FDC" w:rsidRPr="005A3173" w:rsidRDefault="00805FDC" w:rsidP="005A3173">
          <w:pPr>
            <w:pStyle w:val="Header"/>
            <w:spacing w:line="276" w:lineRule="auto"/>
            <w:rPr>
              <w:rFonts w:ascii="Calibri" w:eastAsia="MS Gothic" w:hAnsi="Calibri"/>
              <w:b/>
              <w:bCs/>
              <w:color w:val="4F81BD"/>
            </w:rPr>
          </w:pPr>
        </w:p>
      </w:tc>
      <w:tc>
        <w:tcPr>
          <w:tcW w:w="500" w:type="pct"/>
          <w:vMerge w:val="restart"/>
          <w:noWrap/>
          <w:vAlign w:val="center"/>
          <w:hideMark/>
        </w:tcPr>
        <w:p w:rsidR="00805FDC" w:rsidRPr="005A3173" w:rsidRDefault="00805FD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05FDC" w:rsidRPr="005A3173" w:rsidRDefault="00805FDC" w:rsidP="005A3173">
          <w:pPr>
            <w:pStyle w:val="Header"/>
            <w:spacing w:line="276" w:lineRule="auto"/>
            <w:rPr>
              <w:rFonts w:ascii="Calibri" w:eastAsia="MS Gothic" w:hAnsi="Calibri"/>
              <w:b/>
              <w:bCs/>
              <w:color w:val="4F81BD"/>
            </w:rPr>
          </w:pPr>
        </w:p>
      </w:tc>
    </w:tr>
    <w:tr w:rsidR="00805FDC" w:rsidTr="005A3173">
      <w:trPr>
        <w:trHeight w:val="150"/>
      </w:trPr>
      <w:tc>
        <w:tcPr>
          <w:tcW w:w="2250" w:type="pct"/>
          <w:tcBorders>
            <w:top w:val="single" w:sz="4" w:space="0" w:color="4F81BD"/>
            <w:left w:val="nil"/>
            <w:bottom w:val="nil"/>
            <w:right w:val="nil"/>
          </w:tcBorders>
        </w:tcPr>
        <w:p w:rsidR="00805FDC" w:rsidRPr="005A3173" w:rsidRDefault="00805FDC" w:rsidP="005A3173">
          <w:pPr>
            <w:pStyle w:val="Header"/>
            <w:spacing w:line="276" w:lineRule="auto"/>
            <w:rPr>
              <w:rFonts w:ascii="Calibri" w:eastAsia="MS Gothic" w:hAnsi="Calibri"/>
              <w:b/>
              <w:bCs/>
              <w:color w:val="4F81BD"/>
            </w:rPr>
          </w:pPr>
        </w:p>
      </w:tc>
      <w:tc>
        <w:tcPr>
          <w:tcW w:w="0" w:type="auto"/>
          <w:vMerge/>
          <w:vAlign w:val="center"/>
          <w:hideMark/>
        </w:tcPr>
        <w:p w:rsidR="00805FDC" w:rsidRPr="005A3173" w:rsidRDefault="00805FDC" w:rsidP="005A3173">
          <w:pPr>
            <w:rPr>
              <w:rFonts w:ascii="Calibri" w:hAnsi="Calibri"/>
              <w:color w:val="365F91"/>
              <w:sz w:val="22"/>
              <w:szCs w:val="22"/>
            </w:rPr>
          </w:pPr>
        </w:p>
      </w:tc>
      <w:tc>
        <w:tcPr>
          <w:tcW w:w="2250" w:type="pct"/>
          <w:tcBorders>
            <w:top w:val="single" w:sz="4" w:space="0" w:color="4F81BD"/>
            <w:left w:val="nil"/>
            <w:bottom w:val="nil"/>
            <w:right w:val="nil"/>
          </w:tcBorders>
        </w:tcPr>
        <w:p w:rsidR="00805FDC" w:rsidRPr="005A3173" w:rsidRDefault="00805FDC" w:rsidP="005A3173">
          <w:pPr>
            <w:pStyle w:val="Header"/>
            <w:spacing w:line="276" w:lineRule="auto"/>
            <w:rPr>
              <w:rFonts w:ascii="Calibri" w:eastAsia="MS Gothic" w:hAnsi="Calibri"/>
              <w:b/>
              <w:bCs/>
              <w:color w:val="4F81BD"/>
            </w:rPr>
          </w:pPr>
        </w:p>
      </w:tc>
    </w:tr>
  </w:tbl>
  <w:p w:rsidR="00805FDC" w:rsidRDefault="00805FDC"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05FDC" w:rsidRDefault="00805FDC">
    <w:pPr>
      <w:pStyle w:val="Footer"/>
    </w:pPr>
  </w:p>
  <w:p w:rsidR="00805FDC" w:rsidRDefault="00805FD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FDC" w:rsidRDefault="00805FDC" w:rsidP="00EF44A0">
    <w:pPr>
      <w:pStyle w:val="Footer"/>
      <w:jc w:val="center"/>
      <w:rPr>
        <w:rFonts w:ascii="Arial" w:hAnsi="Arial" w:cs="Arial"/>
        <w:b/>
        <w:sz w:val="20"/>
        <w:szCs w:val="20"/>
      </w:rPr>
    </w:pPr>
  </w:p>
  <w:p w:rsidR="00805FDC" w:rsidRPr="00494814" w:rsidRDefault="00805FDC" w:rsidP="00494814">
    <w:pPr>
      <w:ind w:right="360"/>
      <w:jc w:val="center"/>
      <w:rPr>
        <w:rFonts w:ascii="Arial" w:hAnsi="Arial" w:cs="Arial"/>
        <w:b/>
        <w:sz w:val="20"/>
      </w:rPr>
    </w:pPr>
    <w:r w:rsidRPr="00D67EC7">
      <w:rPr>
        <w:rFonts w:ascii="Arial" w:hAnsi="Arial" w:cs="Arial"/>
        <w:sz w:val="20"/>
      </w:rPr>
      <w:fldChar w:fldCharType="begin"/>
    </w:r>
    <w:r w:rsidRPr="00D67EC7">
      <w:rPr>
        <w:rFonts w:ascii="Arial" w:hAnsi="Arial" w:cs="Arial"/>
        <w:sz w:val="20"/>
      </w:rPr>
      <w:instrText xml:space="preserve"> PAGE   \* MERGEFORMAT </w:instrText>
    </w:r>
    <w:r w:rsidRPr="00D67EC7">
      <w:rPr>
        <w:rFonts w:ascii="Arial" w:hAnsi="Arial" w:cs="Arial"/>
        <w:sz w:val="20"/>
      </w:rPr>
      <w:fldChar w:fldCharType="separate"/>
    </w:r>
    <w:r w:rsidR="00F04CB3">
      <w:rPr>
        <w:rFonts w:ascii="Arial" w:hAnsi="Arial" w:cs="Arial"/>
        <w:noProof/>
        <w:sz w:val="20"/>
      </w:rPr>
      <w:t>4</w:t>
    </w:r>
    <w:r w:rsidRPr="00D67EC7">
      <w:rPr>
        <w:rFonts w:ascii="Arial" w:hAnsi="Arial" w:cs="Arial"/>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805FDC" w:rsidTr="005A3173">
      <w:trPr>
        <w:trHeight w:val="151"/>
      </w:trPr>
      <w:tc>
        <w:tcPr>
          <w:tcW w:w="2250" w:type="pct"/>
          <w:tcBorders>
            <w:top w:val="nil"/>
            <w:left w:val="nil"/>
            <w:bottom w:val="single" w:sz="4" w:space="0" w:color="4F81BD"/>
            <w:right w:val="nil"/>
          </w:tcBorders>
        </w:tcPr>
        <w:p w:rsidR="00805FDC" w:rsidRPr="005A3173" w:rsidRDefault="00805FDC" w:rsidP="005A3173">
          <w:pPr>
            <w:pStyle w:val="Header"/>
            <w:spacing w:line="276" w:lineRule="auto"/>
            <w:rPr>
              <w:rFonts w:ascii="Calibri" w:eastAsia="MS Gothic" w:hAnsi="Calibri"/>
              <w:b/>
              <w:bCs/>
              <w:color w:val="4F81BD"/>
            </w:rPr>
          </w:pPr>
        </w:p>
      </w:tc>
      <w:tc>
        <w:tcPr>
          <w:tcW w:w="500" w:type="pct"/>
          <w:vMerge w:val="restart"/>
          <w:noWrap/>
          <w:vAlign w:val="center"/>
          <w:hideMark/>
        </w:tcPr>
        <w:p w:rsidR="00805FDC" w:rsidRPr="005A3173" w:rsidRDefault="00805FD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05FDC" w:rsidRPr="005A3173" w:rsidRDefault="00805FDC" w:rsidP="005A3173">
          <w:pPr>
            <w:pStyle w:val="Header"/>
            <w:spacing w:line="276" w:lineRule="auto"/>
            <w:rPr>
              <w:rFonts w:ascii="Calibri" w:eastAsia="MS Gothic" w:hAnsi="Calibri"/>
              <w:b/>
              <w:bCs/>
              <w:color w:val="4F81BD"/>
            </w:rPr>
          </w:pPr>
        </w:p>
      </w:tc>
    </w:tr>
    <w:tr w:rsidR="00805FDC" w:rsidTr="005A3173">
      <w:trPr>
        <w:trHeight w:val="150"/>
      </w:trPr>
      <w:tc>
        <w:tcPr>
          <w:tcW w:w="2250" w:type="pct"/>
          <w:tcBorders>
            <w:top w:val="single" w:sz="4" w:space="0" w:color="4F81BD"/>
            <w:left w:val="nil"/>
            <w:bottom w:val="nil"/>
            <w:right w:val="nil"/>
          </w:tcBorders>
        </w:tcPr>
        <w:p w:rsidR="00805FDC" w:rsidRPr="005A3173" w:rsidRDefault="00805FDC" w:rsidP="005A3173">
          <w:pPr>
            <w:pStyle w:val="Header"/>
            <w:spacing w:line="276" w:lineRule="auto"/>
            <w:rPr>
              <w:rFonts w:ascii="Calibri" w:eastAsia="MS Gothic" w:hAnsi="Calibri"/>
              <w:b/>
              <w:bCs/>
              <w:color w:val="4F81BD"/>
            </w:rPr>
          </w:pPr>
        </w:p>
      </w:tc>
      <w:tc>
        <w:tcPr>
          <w:tcW w:w="0" w:type="auto"/>
          <w:vMerge/>
          <w:vAlign w:val="center"/>
          <w:hideMark/>
        </w:tcPr>
        <w:p w:rsidR="00805FDC" w:rsidRPr="005A3173" w:rsidRDefault="00805FDC" w:rsidP="005A3173">
          <w:pPr>
            <w:rPr>
              <w:rFonts w:ascii="Calibri" w:hAnsi="Calibri"/>
              <w:color w:val="365F91"/>
              <w:sz w:val="22"/>
              <w:szCs w:val="22"/>
            </w:rPr>
          </w:pPr>
        </w:p>
      </w:tc>
      <w:tc>
        <w:tcPr>
          <w:tcW w:w="2250" w:type="pct"/>
          <w:tcBorders>
            <w:top w:val="single" w:sz="4" w:space="0" w:color="4F81BD"/>
            <w:left w:val="nil"/>
            <w:bottom w:val="nil"/>
            <w:right w:val="nil"/>
          </w:tcBorders>
        </w:tcPr>
        <w:p w:rsidR="00805FDC" w:rsidRPr="005A3173" w:rsidRDefault="00805FDC"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805FDC" w:rsidTr="005A3173">
      <w:trPr>
        <w:trHeight w:val="151"/>
      </w:trPr>
      <w:tc>
        <w:tcPr>
          <w:tcW w:w="2250" w:type="pct"/>
          <w:tcBorders>
            <w:top w:val="nil"/>
            <w:left w:val="nil"/>
            <w:bottom w:val="single" w:sz="4" w:space="0" w:color="4F81BD"/>
            <w:right w:val="nil"/>
          </w:tcBorders>
        </w:tcPr>
        <w:p w:rsidR="00805FDC" w:rsidRPr="005A3173" w:rsidRDefault="00805FDC" w:rsidP="005A3173">
          <w:pPr>
            <w:pStyle w:val="Header"/>
            <w:spacing w:line="276" w:lineRule="auto"/>
            <w:rPr>
              <w:rFonts w:ascii="Calibri" w:eastAsia="MS Gothic" w:hAnsi="Calibri"/>
              <w:b/>
              <w:bCs/>
              <w:color w:val="4F81BD"/>
            </w:rPr>
          </w:pPr>
        </w:p>
      </w:tc>
      <w:tc>
        <w:tcPr>
          <w:tcW w:w="500" w:type="pct"/>
          <w:vMerge w:val="restart"/>
          <w:noWrap/>
          <w:vAlign w:val="center"/>
          <w:hideMark/>
        </w:tcPr>
        <w:p w:rsidR="00805FDC" w:rsidRPr="005A3173" w:rsidRDefault="00805FD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05FDC" w:rsidRPr="005A3173" w:rsidRDefault="00805FDC" w:rsidP="005A3173">
          <w:pPr>
            <w:pStyle w:val="Header"/>
            <w:spacing w:line="276" w:lineRule="auto"/>
            <w:rPr>
              <w:rFonts w:ascii="Calibri" w:eastAsia="MS Gothic" w:hAnsi="Calibri"/>
              <w:b/>
              <w:bCs/>
              <w:color w:val="4F81BD"/>
            </w:rPr>
          </w:pPr>
        </w:p>
      </w:tc>
    </w:tr>
    <w:tr w:rsidR="00805FDC" w:rsidTr="005A3173">
      <w:trPr>
        <w:trHeight w:val="150"/>
      </w:trPr>
      <w:tc>
        <w:tcPr>
          <w:tcW w:w="2250" w:type="pct"/>
          <w:tcBorders>
            <w:top w:val="single" w:sz="4" w:space="0" w:color="4F81BD"/>
            <w:left w:val="nil"/>
            <w:bottom w:val="nil"/>
            <w:right w:val="nil"/>
          </w:tcBorders>
        </w:tcPr>
        <w:p w:rsidR="00805FDC" w:rsidRPr="005A3173" w:rsidRDefault="00805FDC" w:rsidP="005A3173">
          <w:pPr>
            <w:pStyle w:val="Header"/>
            <w:spacing w:line="276" w:lineRule="auto"/>
            <w:rPr>
              <w:rFonts w:ascii="Calibri" w:eastAsia="MS Gothic" w:hAnsi="Calibri"/>
              <w:b/>
              <w:bCs/>
              <w:color w:val="4F81BD"/>
            </w:rPr>
          </w:pPr>
        </w:p>
      </w:tc>
      <w:tc>
        <w:tcPr>
          <w:tcW w:w="0" w:type="auto"/>
          <w:vMerge/>
          <w:vAlign w:val="center"/>
          <w:hideMark/>
        </w:tcPr>
        <w:p w:rsidR="00805FDC" w:rsidRPr="005A3173" w:rsidRDefault="00805FDC" w:rsidP="005A3173">
          <w:pPr>
            <w:rPr>
              <w:rFonts w:ascii="Calibri" w:hAnsi="Calibri"/>
              <w:color w:val="365F91"/>
              <w:sz w:val="22"/>
              <w:szCs w:val="22"/>
            </w:rPr>
          </w:pPr>
        </w:p>
      </w:tc>
      <w:tc>
        <w:tcPr>
          <w:tcW w:w="2250" w:type="pct"/>
          <w:tcBorders>
            <w:top w:val="single" w:sz="4" w:space="0" w:color="4F81BD"/>
            <w:left w:val="nil"/>
            <w:bottom w:val="nil"/>
            <w:right w:val="nil"/>
          </w:tcBorders>
        </w:tcPr>
        <w:p w:rsidR="00805FDC" w:rsidRPr="005A3173" w:rsidRDefault="00805FDC" w:rsidP="005A3173">
          <w:pPr>
            <w:pStyle w:val="Header"/>
            <w:spacing w:line="276" w:lineRule="auto"/>
            <w:rPr>
              <w:rFonts w:ascii="Calibri" w:eastAsia="MS Gothic" w:hAnsi="Calibri"/>
              <w:b/>
              <w:bCs/>
              <w:color w:val="4F81BD"/>
            </w:rPr>
          </w:pPr>
        </w:p>
      </w:tc>
    </w:tr>
  </w:tbl>
  <w:p w:rsidR="00805FDC" w:rsidRPr="007C0F57" w:rsidRDefault="00805FDC"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805FDC" w:rsidRPr="007C0F57" w:rsidRDefault="00805FDC" w:rsidP="007C0F57">
    <w:pPr>
      <w:pStyle w:val="Footer"/>
      <w:jc w:val="center"/>
      <w:rPr>
        <w:b/>
        <w:i/>
        <w:sz w:val="20"/>
        <w:szCs w:val="20"/>
      </w:rPr>
    </w:pPr>
    <w:r w:rsidRPr="007C0F57">
      <w:rPr>
        <w:b/>
        <w:i/>
        <w:sz w:val="20"/>
        <w:szCs w:val="20"/>
      </w:rPr>
      <w:t>Commercial-in-Confidence</w:t>
    </w:r>
  </w:p>
  <w:p w:rsidR="00805FDC" w:rsidRDefault="00805FD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FFB" w:rsidRDefault="00F17FFB">
      <w:r>
        <w:separator/>
      </w:r>
    </w:p>
    <w:p w:rsidR="00F17FFB" w:rsidRDefault="00F17FFB"/>
  </w:footnote>
  <w:footnote w:type="continuationSeparator" w:id="0">
    <w:p w:rsidR="00F17FFB" w:rsidRDefault="00F17FFB">
      <w:r>
        <w:continuationSeparator/>
      </w:r>
    </w:p>
    <w:p w:rsidR="00F17FFB" w:rsidRDefault="00F17FF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805FDC" w:rsidRPr="008E0D90" w:rsidTr="00A06225">
      <w:trPr>
        <w:trHeight w:val="151"/>
      </w:trPr>
      <w:tc>
        <w:tcPr>
          <w:tcW w:w="2389" w:type="pct"/>
          <w:tcBorders>
            <w:top w:val="nil"/>
            <w:left w:val="nil"/>
            <w:bottom w:val="single" w:sz="4" w:space="0" w:color="4F81BD"/>
            <w:right w:val="nil"/>
          </w:tcBorders>
        </w:tcPr>
        <w:p w:rsidR="00805FDC" w:rsidRPr="00A06225" w:rsidRDefault="00805FDC">
          <w:pPr>
            <w:pStyle w:val="Header"/>
            <w:spacing w:line="276" w:lineRule="auto"/>
            <w:rPr>
              <w:rFonts w:ascii="Cambria" w:eastAsia="MS Gothic" w:hAnsi="Cambria"/>
              <w:b/>
              <w:bCs/>
              <w:color w:val="4F81BD"/>
            </w:rPr>
          </w:pPr>
        </w:p>
      </w:tc>
      <w:tc>
        <w:tcPr>
          <w:tcW w:w="333" w:type="pct"/>
          <w:vMerge w:val="restart"/>
          <w:noWrap/>
          <w:vAlign w:val="center"/>
          <w:hideMark/>
        </w:tcPr>
        <w:p w:rsidR="00805FDC" w:rsidRPr="00A06225" w:rsidRDefault="00805FDC"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805FDC" w:rsidRPr="00A06225" w:rsidRDefault="00805FDC">
          <w:pPr>
            <w:pStyle w:val="Header"/>
            <w:spacing w:line="276" w:lineRule="auto"/>
            <w:rPr>
              <w:rFonts w:ascii="Cambria" w:eastAsia="MS Gothic" w:hAnsi="Cambria"/>
              <w:b/>
              <w:bCs/>
              <w:color w:val="4F81BD"/>
            </w:rPr>
          </w:pPr>
        </w:p>
      </w:tc>
    </w:tr>
    <w:tr w:rsidR="00805FDC" w:rsidRPr="008E0D90" w:rsidTr="00A06225">
      <w:trPr>
        <w:trHeight w:val="150"/>
      </w:trPr>
      <w:tc>
        <w:tcPr>
          <w:tcW w:w="2389" w:type="pct"/>
          <w:tcBorders>
            <w:top w:val="single" w:sz="4" w:space="0" w:color="4F81BD"/>
            <w:left w:val="nil"/>
            <w:bottom w:val="nil"/>
            <w:right w:val="nil"/>
          </w:tcBorders>
        </w:tcPr>
        <w:p w:rsidR="00805FDC" w:rsidRPr="00A06225" w:rsidRDefault="00805FDC">
          <w:pPr>
            <w:pStyle w:val="Header"/>
            <w:spacing w:line="276" w:lineRule="auto"/>
            <w:rPr>
              <w:rFonts w:ascii="Cambria" w:eastAsia="MS Gothic" w:hAnsi="Cambria"/>
              <w:b/>
              <w:bCs/>
              <w:color w:val="4F81BD"/>
            </w:rPr>
          </w:pPr>
        </w:p>
      </w:tc>
      <w:tc>
        <w:tcPr>
          <w:tcW w:w="0" w:type="auto"/>
          <w:vMerge/>
          <w:vAlign w:val="center"/>
          <w:hideMark/>
        </w:tcPr>
        <w:p w:rsidR="00805FDC" w:rsidRPr="00A06225" w:rsidRDefault="00805FDC">
          <w:pPr>
            <w:rPr>
              <w:rFonts w:ascii="Cambria" w:hAnsi="Cambria"/>
              <w:color w:val="4F81BD"/>
              <w:sz w:val="22"/>
              <w:szCs w:val="22"/>
            </w:rPr>
          </w:pPr>
        </w:p>
      </w:tc>
      <w:tc>
        <w:tcPr>
          <w:tcW w:w="2278" w:type="pct"/>
          <w:tcBorders>
            <w:top w:val="single" w:sz="4" w:space="0" w:color="4F81BD"/>
            <w:left w:val="nil"/>
            <w:bottom w:val="nil"/>
            <w:right w:val="nil"/>
          </w:tcBorders>
        </w:tcPr>
        <w:p w:rsidR="00805FDC" w:rsidRPr="00A06225" w:rsidRDefault="00805FDC">
          <w:pPr>
            <w:pStyle w:val="Header"/>
            <w:spacing w:line="276" w:lineRule="auto"/>
            <w:rPr>
              <w:rFonts w:ascii="Cambria" w:eastAsia="MS Gothic" w:hAnsi="Cambria"/>
              <w:b/>
              <w:bCs/>
              <w:color w:val="4F81BD"/>
            </w:rPr>
          </w:pPr>
        </w:p>
      </w:tc>
    </w:tr>
  </w:tbl>
  <w:p w:rsidR="00805FDC" w:rsidRDefault="00805FDC">
    <w:pPr>
      <w:pStyle w:val="Header"/>
    </w:pPr>
  </w:p>
  <w:p w:rsidR="00805FDC" w:rsidRDefault="00805FD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FDC" w:rsidRPr="00DF217D" w:rsidRDefault="00805FDC" w:rsidP="008A15A8">
    <w:pPr>
      <w:pStyle w:val="Header"/>
      <w:ind w:left="360"/>
      <w:jc w:val="center"/>
      <w:rPr>
        <w:rFonts w:ascii="Arial" w:hAnsi="Arial" w:cs="Arial"/>
        <w:i/>
        <w:color w:val="808080"/>
        <w:sz w:val="22"/>
      </w:rPr>
    </w:pPr>
    <w:r>
      <w:rPr>
        <w:rFonts w:ascii="Arial" w:hAnsi="Arial" w:cs="Arial"/>
        <w:i/>
        <w:color w:val="808080"/>
        <w:sz w:val="22"/>
      </w:rPr>
      <w:t xml:space="preserve">Public Summary Document </w:t>
    </w:r>
    <w:r w:rsidRPr="00DF217D">
      <w:rPr>
        <w:rFonts w:ascii="Arial" w:hAnsi="Arial" w:cs="Arial"/>
        <w:i/>
        <w:color w:val="808080"/>
        <w:sz w:val="22"/>
      </w:rPr>
      <w:t xml:space="preserve">– </w:t>
    </w:r>
    <w:r>
      <w:rPr>
        <w:rFonts w:ascii="Arial" w:hAnsi="Arial" w:cs="Arial"/>
        <w:i/>
        <w:color w:val="808080"/>
        <w:sz w:val="22"/>
      </w:rPr>
      <w:t xml:space="preserve">March 2017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805FDC" w:rsidRDefault="00805FDC"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FFB" w:rsidRDefault="00F17F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54676A0"/>
    <w:multiLevelType w:val="hybridMultilevel"/>
    <w:tmpl w:val="A1E8F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EA63A4E"/>
    <w:multiLevelType w:val="hybridMultilevel"/>
    <w:tmpl w:val="E108A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9">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nsid w:val="1F5074A0"/>
    <w:multiLevelType w:val="multilevel"/>
    <w:tmpl w:val="C91CDB6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35340E4"/>
    <w:multiLevelType w:val="hybridMultilevel"/>
    <w:tmpl w:val="79648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7D7033B"/>
    <w:multiLevelType w:val="hybridMultilevel"/>
    <w:tmpl w:val="3DAC5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84D033C"/>
    <w:multiLevelType w:val="multilevel"/>
    <w:tmpl w:val="0AD877B4"/>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3"/>
  </w:num>
  <w:num w:numId="3">
    <w:abstractNumId w:val="8"/>
  </w:num>
  <w:num w:numId="4">
    <w:abstractNumId w:val="19"/>
  </w:num>
  <w:num w:numId="5">
    <w:abstractNumId w:val="21"/>
  </w:num>
  <w:num w:numId="6">
    <w:abstractNumId w:val="9"/>
  </w:num>
  <w:num w:numId="7">
    <w:abstractNumId w:val="18"/>
  </w:num>
  <w:num w:numId="8">
    <w:abstractNumId w:val="5"/>
  </w:num>
  <w:num w:numId="9">
    <w:abstractNumId w:val="16"/>
  </w:num>
  <w:num w:numId="10">
    <w:abstractNumId w:val="14"/>
  </w:num>
  <w:num w:numId="11">
    <w:abstractNumId w:val="13"/>
  </w:num>
  <w:num w:numId="12">
    <w:abstractNumId w:val="1"/>
  </w:num>
  <w:num w:numId="13">
    <w:abstractNumId w:val="0"/>
  </w:num>
  <w:num w:numId="14">
    <w:abstractNumId w:val="21"/>
  </w:num>
  <w:num w:numId="15">
    <w:abstractNumId w:val="15"/>
  </w:num>
  <w:num w:numId="16">
    <w:abstractNumId w:val="7"/>
  </w:num>
  <w:num w:numId="17">
    <w:abstractNumId w:val="4"/>
  </w:num>
  <w:num w:numId="18">
    <w:abstractNumId w:val="11"/>
  </w:num>
  <w:num w:numId="19">
    <w:abstractNumId w:val="17"/>
  </w:num>
  <w:num w:numId="20">
    <w:abstractNumId w:val="20"/>
  </w:num>
  <w:num w:numId="21">
    <w:abstractNumId w:val="6"/>
  </w:num>
  <w:num w:numId="22">
    <w:abstractNumId w:val="2"/>
  </w:num>
  <w:num w:numId="23">
    <w:abstractNumId w:val="12"/>
  </w:num>
  <w:num w:numId="24">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4523"/>
    <w:rsid w:val="00004D66"/>
    <w:rsid w:val="00005599"/>
    <w:rsid w:val="00006BA9"/>
    <w:rsid w:val="00015A7C"/>
    <w:rsid w:val="0002464A"/>
    <w:rsid w:val="0003106B"/>
    <w:rsid w:val="000421A1"/>
    <w:rsid w:val="0004240E"/>
    <w:rsid w:val="00045449"/>
    <w:rsid w:val="00045E26"/>
    <w:rsid w:val="000514B5"/>
    <w:rsid w:val="000555D4"/>
    <w:rsid w:val="00060E64"/>
    <w:rsid w:val="00066755"/>
    <w:rsid w:val="00072C4A"/>
    <w:rsid w:val="00074619"/>
    <w:rsid w:val="00077143"/>
    <w:rsid w:val="000873B4"/>
    <w:rsid w:val="000919AF"/>
    <w:rsid w:val="000969AD"/>
    <w:rsid w:val="000A3BDE"/>
    <w:rsid w:val="000A42DA"/>
    <w:rsid w:val="000B558D"/>
    <w:rsid w:val="000B6630"/>
    <w:rsid w:val="000C6996"/>
    <w:rsid w:val="000D23BA"/>
    <w:rsid w:val="000E681E"/>
    <w:rsid w:val="000F4E6A"/>
    <w:rsid w:val="000F5BB9"/>
    <w:rsid w:val="000F770F"/>
    <w:rsid w:val="001107BF"/>
    <w:rsid w:val="0012417C"/>
    <w:rsid w:val="00142395"/>
    <w:rsid w:val="00142714"/>
    <w:rsid w:val="001452ED"/>
    <w:rsid w:val="001830CE"/>
    <w:rsid w:val="00185B56"/>
    <w:rsid w:val="0018617D"/>
    <w:rsid w:val="0018643B"/>
    <w:rsid w:val="00196307"/>
    <w:rsid w:val="0019793B"/>
    <w:rsid w:val="001B017F"/>
    <w:rsid w:val="001B5129"/>
    <w:rsid w:val="001C1195"/>
    <w:rsid w:val="001D2333"/>
    <w:rsid w:val="001D2F07"/>
    <w:rsid w:val="001F65B2"/>
    <w:rsid w:val="00202D61"/>
    <w:rsid w:val="00203688"/>
    <w:rsid w:val="00213CFB"/>
    <w:rsid w:val="0022059F"/>
    <w:rsid w:val="00245A3E"/>
    <w:rsid w:val="002472D9"/>
    <w:rsid w:val="0025403C"/>
    <w:rsid w:val="00257E04"/>
    <w:rsid w:val="0026092C"/>
    <w:rsid w:val="00271BA1"/>
    <w:rsid w:val="00277505"/>
    <w:rsid w:val="002830E1"/>
    <w:rsid w:val="0029458F"/>
    <w:rsid w:val="002947B1"/>
    <w:rsid w:val="002A0540"/>
    <w:rsid w:val="002A104C"/>
    <w:rsid w:val="002A2FC0"/>
    <w:rsid w:val="002A4960"/>
    <w:rsid w:val="002B1AE6"/>
    <w:rsid w:val="002B30F8"/>
    <w:rsid w:val="002C212F"/>
    <w:rsid w:val="002D4301"/>
    <w:rsid w:val="002E3153"/>
    <w:rsid w:val="002E44DB"/>
    <w:rsid w:val="002E72CA"/>
    <w:rsid w:val="00300AD6"/>
    <w:rsid w:val="003044AE"/>
    <w:rsid w:val="00317FA3"/>
    <w:rsid w:val="00323B0F"/>
    <w:rsid w:val="003241FA"/>
    <w:rsid w:val="003255BE"/>
    <w:rsid w:val="00326E79"/>
    <w:rsid w:val="003367EF"/>
    <w:rsid w:val="00337E19"/>
    <w:rsid w:val="00341AE4"/>
    <w:rsid w:val="003537E7"/>
    <w:rsid w:val="00381130"/>
    <w:rsid w:val="003872CF"/>
    <w:rsid w:val="0039072A"/>
    <w:rsid w:val="00391B69"/>
    <w:rsid w:val="0039782C"/>
    <w:rsid w:val="003A5B4A"/>
    <w:rsid w:val="003A61DE"/>
    <w:rsid w:val="003B23C5"/>
    <w:rsid w:val="003B2A75"/>
    <w:rsid w:val="003B68B9"/>
    <w:rsid w:val="003D0503"/>
    <w:rsid w:val="003D4AC4"/>
    <w:rsid w:val="003D63B7"/>
    <w:rsid w:val="003E03FB"/>
    <w:rsid w:val="003E468B"/>
    <w:rsid w:val="003F5C8C"/>
    <w:rsid w:val="0041174F"/>
    <w:rsid w:val="00412AA4"/>
    <w:rsid w:val="0044182A"/>
    <w:rsid w:val="004465BD"/>
    <w:rsid w:val="00446806"/>
    <w:rsid w:val="00463AFD"/>
    <w:rsid w:val="00464B60"/>
    <w:rsid w:val="00465976"/>
    <w:rsid w:val="00466375"/>
    <w:rsid w:val="00466ADA"/>
    <w:rsid w:val="0047195D"/>
    <w:rsid w:val="00476245"/>
    <w:rsid w:val="00485940"/>
    <w:rsid w:val="00485BF8"/>
    <w:rsid w:val="00494814"/>
    <w:rsid w:val="004A2484"/>
    <w:rsid w:val="004A5A85"/>
    <w:rsid w:val="004A73A9"/>
    <w:rsid w:val="004A78A0"/>
    <w:rsid w:val="004B2E84"/>
    <w:rsid w:val="004B5640"/>
    <w:rsid w:val="004B5A20"/>
    <w:rsid w:val="004B7F53"/>
    <w:rsid w:val="004C1BD7"/>
    <w:rsid w:val="004C691D"/>
    <w:rsid w:val="004D30A9"/>
    <w:rsid w:val="004E692D"/>
    <w:rsid w:val="004F17E5"/>
    <w:rsid w:val="004F1C84"/>
    <w:rsid w:val="005001B2"/>
    <w:rsid w:val="00501554"/>
    <w:rsid w:val="00505498"/>
    <w:rsid w:val="00512707"/>
    <w:rsid w:val="0051476A"/>
    <w:rsid w:val="00514CD7"/>
    <w:rsid w:val="00517AB3"/>
    <w:rsid w:val="00527F3B"/>
    <w:rsid w:val="005319B2"/>
    <w:rsid w:val="00532C74"/>
    <w:rsid w:val="00533023"/>
    <w:rsid w:val="0053347E"/>
    <w:rsid w:val="00534E2E"/>
    <w:rsid w:val="0054067B"/>
    <w:rsid w:val="00544552"/>
    <w:rsid w:val="00556880"/>
    <w:rsid w:val="005700E8"/>
    <w:rsid w:val="0057566A"/>
    <w:rsid w:val="00581932"/>
    <w:rsid w:val="00591368"/>
    <w:rsid w:val="005934B1"/>
    <w:rsid w:val="005963BB"/>
    <w:rsid w:val="005A3173"/>
    <w:rsid w:val="005A3223"/>
    <w:rsid w:val="005A3DA3"/>
    <w:rsid w:val="005A52C4"/>
    <w:rsid w:val="005D03AB"/>
    <w:rsid w:val="005D5017"/>
    <w:rsid w:val="005D5FEB"/>
    <w:rsid w:val="005E6036"/>
    <w:rsid w:val="005F4F97"/>
    <w:rsid w:val="00601A91"/>
    <w:rsid w:val="00602BA3"/>
    <w:rsid w:val="00606224"/>
    <w:rsid w:val="00614159"/>
    <w:rsid w:val="00617C00"/>
    <w:rsid w:val="00625556"/>
    <w:rsid w:val="00625DC5"/>
    <w:rsid w:val="006263BF"/>
    <w:rsid w:val="00626F63"/>
    <w:rsid w:val="0062748A"/>
    <w:rsid w:val="00630A2C"/>
    <w:rsid w:val="006456F1"/>
    <w:rsid w:val="00650632"/>
    <w:rsid w:val="00651169"/>
    <w:rsid w:val="006513CC"/>
    <w:rsid w:val="00653D69"/>
    <w:rsid w:val="00670A76"/>
    <w:rsid w:val="006711AA"/>
    <w:rsid w:val="00672B57"/>
    <w:rsid w:val="00675223"/>
    <w:rsid w:val="00675622"/>
    <w:rsid w:val="00677E6D"/>
    <w:rsid w:val="00685C10"/>
    <w:rsid w:val="00686655"/>
    <w:rsid w:val="006906DB"/>
    <w:rsid w:val="00694E14"/>
    <w:rsid w:val="006A12A5"/>
    <w:rsid w:val="006B0C9F"/>
    <w:rsid w:val="006B0D94"/>
    <w:rsid w:val="006B1573"/>
    <w:rsid w:val="006B37B3"/>
    <w:rsid w:val="006B485D"/>
    <w:rsid w:val="006C708E"/>
    <w:rsid w:val="006D008F"/>
    <w:rsid w:val="006D193A"/>
    <w:rsid w:val="006D6EC7"/>
    <w:rsid w:val="006F5125"/>
    <w:rsid w:val="00700539"/>
    <w:rsid w:val="00706177"/>
    <w:rsid w:val="007147EB"/>
    <w:rsid w:val="007174BB"/>
    <w:rsid w:val="007352FC"/>
    <w:rsid w:val="00755683"/>
    <w:rsid w:val="0076420C"/>
    <w:rsid w:val="00773210"/>
    <w:rsid w:val="007753C2"/>
    <w:rsid w:val="007838B8"/>
    <w:rsid w:val="007A2CE3"/>
    <w:rsid w:val="007A6E68"/>
    <w:rsid w:val="007B0490"/>
    <w:rsid w:val="007B0767"/>
    <w:rsid w:val="007B2631"/>
    <w:rsid w:val="007B280C"/>
    <w:rsid w:val="007B4112"/>
    <w:rsid w:val="007B4137"/>
    <w:rsid w:val="007C0F57"/>
    <w:rsid w:val="007C40B6"/>
    <w:rsid w:val="007C729F"/>
    <w:rsid w:val="007E1D28"/>
    <w:rsid w:val="007F2641"/>
    <w:rsid w:val="007F417D"/>
    <w:rsid w:val="007F4313"/>
    <w:rsid w:val="007F7BB9"/>
    <w:rsid w:val="007F7C36"/>
    <w:rsid w:val="00801D0C"/>
    <w:rsid w:val="00802435"/>
    <w:rsid w:val="00805FDC"/>
    <w:rsid w:val="00806796"/>
    <w:rsid w:val="008151D6"/>
    <w:rsid w:val="00815AE4"/>
    <w:rsid w:val="00826F6D"/>
    <w:rsid w:val="00855A2C"/>
    <w:rsid w:val="00856DDD"/>
    <w:rsid w:val="00863E68"/>
    <w:rsid w:val="00870908"/>
    <w:rsid w:val="00876E33"/>
    <w:rsid w:val="00882085"/>
    <w:rsid w:val="008828F5"/>
    <w:rsid w:val="00883188"/>
    <w:rsid w:val="00891E1B"/>
    <w:rsid w:val="00892EA5"/>
    <w:rsid w:val="00896448"/>
    <w:rsid w:val="00897D58"/>
    <w:rsid w:val="008A15A8"/>
    <w:rsid w:val="008A1956"/>
    <w:rsid w:val="008A4937"/>
    <w:rsid w:val="008A50F1"/>
    <w:rsid w:val="008A64DA"/>
    <w:rsid w:val="008C0C4F"/>
    <w:rsid w:val="008C2769"/>
    <w:rsid w:val="008C4E37"/>
    <w:rsid w:val="008D1B5C"/>
    <w:rsid w:val="008D3C82"/>
    <w:rsid w:val="008D447E"/>
    <w:rsid w:val="008D7A41"/>
    <w:rsid w:val="008E3680"/>
    <w:rsid w:val="008E571F"/>
    <w:rsid w:val="008E5870"/>
    <w:rsid w:val="008F1434"/>
    <w:rsid w:val="008F43A1"/>
    <w:rsid w:val="008F7355"/>
    <w:rsid w:val="009067B7"/>
    <w:rsid w:val="00911574"/>
    <w:rsid w:val="00912AF7"/>
    <w:rsid w:val="00920E05"/>
    <w:rsid w:val="00930937"/>
    <w:rsid w:val="00933E6C"/>
    <w:rsid w:val="009417A0"/>
    <w:rsid w:val="00942160"/>
    <w:rsid w:val="00950BD3"/>
    <w:rsid w:val="0095146F"/>
    <w:rsid w:val="00956081"/>
    <w:rsid w:val="009602C5"/>
    <w:rsid w:val="00962223"/>
    <w:rsid w:val="00962F6A"/>
    <w:rsid w:val="00974C21"/>
    <w:rsid w:val="00977393"/>
    <w:rsid w:val="009A13FC"/>
    <w:rsid w:val="009A1BF4"/>
    <w:rsid w:val="009B0F67"/>
    <w:rsid w:val="009B71CB"/>
    <w:rsid w:val="009C000A"/>
    <w:rsid w:val="009C4AF7"/>
    <w:rsid w:val="009C561C"/>
    <w:rsid w:val="009C703C"/>
    <w:rsid w:val="009D3275"/>
    <w:rsid w:val="009D3CAA"/>
    <w:rsid w:val="009E09CC"/>
    <w:rsid w:val="009F2340"/>
    <w:rsid w:val="009F4E46"/>
    <w:rsid w:val="009F5B65"/>
    <w:rsid w:val="009F5F2E"/>
    <w:rsid w:val="00A04EC5"/>
    <w:rsid w:val="00A06225"/>
    <w:rsid w:val="00A128E6"/>
    <w:rsid w:val="00A21A15"/>
    <w:rsid w:val="00A27184"/>
    <w:rsid w:val="00A33E59"/>
    <w:rsid w:val="00A37C8D"/>
    <w:rsid w:val="00A5273B"/>
    <w:rsid w:val="00A53A9D"/>
    <w:rsid w:val="00A55EB9"/>
    <w:rsid w:val="00A55FEE"/>
    <w:rsid w:val="00A62C1A"/>
    <w:rsid w:val="00A6426D"/>
    <w:rsid w:val="00A70622"/>
    <w:rsid w:val="00A70977"/>
    <w:rsid w:val="00A77613"/>
    <w:rsid w:val="00A8390C"/>
    <w:rsid w:val="00A8690A"/>
    <w:rsid w:val="00A928BD"/>
    <w:rsid w:val="00A928F8"/>
    <w:rsid w:val="00A92C31"/>
    <w:rsid w:val="00AA4252"/>
    <w:rsid w:val="00AA4D1C"/>
    <w:rsid w:val="00AC193C"/>
    <w:rsid w:val="00AC5206"/>
    <w:rsid w:val="00AE11A5"/>
    <w:rsid w:val="00AE13E2"/>
    <w:rsid w:val="00AE2DC7"/>
    <w:rsid w:val="00AF68CC"/>
    <w:rsid w:val="00B1059E"/>
    <w:rsid w:val="00B11CE3"/>
    <w:rsid w:val="00B130B8"/>
    <w:rsid w:val="00B177AB"/>
    <w:rsid w:val="00B205AA"/>
    <w:rsid w:val="00B22E84"/>
    <w:rsid w:val="00B25F75"/>
    <w:rsid w:val="00B43E90"/>
    <w:rsid w:val="00B45EC5"/>
    <w:rsid w:val="00B467DC"/>
    <w:rsid w:val="00B47F11"/>
    <w:rsid w:val="00B503D6"/>
    <w:rsid w:val="00B56118"/>
    <w:rsid w:val="00B6773F"/>
    <w:rsid w:val="00B726FC"/>
    <w:rsid w:val="00B751F3"/>
    <w:rsid w:val="00B7673B"/>
    <w:rsid w:val="00B801BA"/>
    <w:rsid w:val="00B802D4"/>
    <w:rsid w:val="00B96314"/>
    <w:rsid w:val="00BA665A"/>
    <w:rsid w:val="00BB0FF7"/>
    <w:rsid w:val="00BB54A3"/>
    <w:rsid w:val="00BB5D14"/>
    <w:rsid w:val="00BB69F5"/>
    <w:rsid w:val="00BB7C9F"/>
    <w:rsid w:val="00BB7EC3"/>
    <w:rsid w:val="00BC4B9A"/>
    <w:rsid w:val="00BD784C"/>
    <w:rsid w:val="00BE080A"/>
    <w:rsid w:val="00BE0F30"/>
    <w:rsid w:val="00BF17A0"/>
    <w:rsid w:val="00BF4CB6"/>
    <w:rsid w:val="00C00DA7"/>
    <w:rsid w:val="00C12768"/>
    <w:rsid w:val="00C130DF"/>
    <w:rsid w:val="00C22F32"/>
    <w:rsid w:val="00C27B58"/>
    <w:rsid w:val="00C34752"/>
    <w:rsid w:val="00C35996"/>
    <w:rsid w:val="00C37B58"/>
    <w:rsid w:val="00C516C3"/>
    <w:rsid w:val="00C5342C"/>
    <w:rsid w:val="00C542A7"/>
    <w:rsid w:val="00C603D4"/>
    <w:rsid w:val="00C6105D"/>
    <w:rsid w:val="00C6256A"/>
    <w:rsid w:val="00C719B7"/>
    <w:rsid w:val="00C75652"/>
    <w:rsid w:val="00C91449"/>
    <w:rsid w:val="00C92D10"/>
    <w:rsid w:val="00CA654E"/>
    <w:rsid w:val="00CA73C7"/>
    <w:rsid w:val="00CC3790"/>
    <w:rsid w:val="00CE10C4"/>
    <w:rsid w:val="00CE27B5"/>
    <w:rsid w:val="00CF0B02"/>
    <w:rsid w:val="00CF6805"/>
    <w:rsid w:val="00D01B8D"/>
    <w:rsid w:val="00D0321E"/>
    <w:rsid w:val="00D130D8"/>
    <w:rsid w:val="00D1455A"/>
    <w:rsid w:val="00D15C96"/>
    <w:rsid w:val="00D30236"/>
    <w:rsid w:val="00D3138B"/>
    <w:rsid w:val="00D3280C"/>
    <w:rsid w:val="00D3406A"/>
    <w:rsid w:val="00D45844"/>
    <w:rsid w:val="00D469B2"/>
    <w:rsid w:val="00D5365B"/>
    <w:rsid w:val="00D62EA0"/>
    <w:rsid w:val="00D67EC7"/>
    <w:rsid w:val="00D73C68"/>
    <w:rsid w:val="00D741EB"/>
    <w:rsid w:val="00D84934"/>
    <w:rsid w:val="00D8577A"/>
    <w:rsid w:val="00D91271"/>
    <w:rsid w:val="00D92EF2"/>
    <w:rsid w:val="00DA1BF6"/>
    <w:rsid w:val="00DA2CB5"/>
    <w:rsid w:val="00DA4BAC"/>
    <w:rsid w:val="00DD1757"/>
    <w:rsid w:val="00DD3B19"/>
    <w:rsid w:val="00DD3FF7"/>
    <w:rsid w:val="00DE6D27"/>
    <w:rsid w:val="00DF217D"/>
    <w:rsid w:val="00DF26A7"/>
    <w:rsid w:val="00E06424"/>
    <w:rsid w:val="00E13698"/>
    <w:rsid w:val="00E14668"/>
    <w:rsid w:val="00E15627"/>
    <w:rsid w:val="00E164B3"/>
    <w:rsid w:val="00E16910"/>
    <w:rsid w:val="00E2004E"/>
    <w:rsid w:val="00E24F73"/>
    <w:rsid w:val="00E270C7"/>
    <w:rsid w:val="00E60369"/>
    <w:rsid w:val="00E65E54"/>
    <w:rsid w:val="00E74AD8"/>
    <w:rsid w:val="00E80155"/>
    <w:rsid w:val="00E848C0"/>
    <w:rsid w:val="00E90102"/>
    <w:rsid w:val="00E91B96"/>
    <w:rsid w:val="00E941A1"/>
    <w:rsid w:val="00E95CE3"/>
    <w:rsid w:val="00EA2825"/>
    <w:rsid w:val="00EA3D88"/>
    <w:rsid w:val="00EB260A"/>
    <w:rsid w:val="00EB5088"/>
    <w:rsid w:val="00EC0AF1"/>
    <w:rsid w:val="00EC5B37"/>
    <w:rsid w:val="00ED1644"/>
    <w:rsid w:val="00ED2593"/>
    <w:rsid w:val="00ED6D16"/>
    <w:rsid w:val="00ED78F1"/>
    <w:rsid w:val="00ED7FF4"/>
    <w:rsid w:val="00EF44A0"/>
    <w:rsid w:val="00EF4FED"/>
    <w:rsid w:val="00F04CB3"/>
    <w:rsid w:val="00F050BD"/>
    <w:rsid w:val="00F05657"/>
    <w:rsid w:val="00F10F48"/>
    <w:rsid w:val="00F12675"/>
    <w:rsid w:val="00F17FFB"/>
    <w:rsid w:val="00F20466"/>
    <w:rsid w:val="00F25578"/>
    <w:rsid w:val="00F258E5"/>
    <w:rsid w:val="00F300BC"/>
    <w:rsid w:val="00F3334E"/>
    <w:rsid w:val="00F34C19"/>
    <w:rsid w:val="00F34FF2"/>
    <w:rsid w:val="00F3719B"/>
    <w:rsid w:val="00F42D97"/>
    <w:rsid w:val="00F50EC4"/>
    <w:rsid w:val="00F5742D"/>
    <w:rsid w:val="00F57A6D"/>
    <w:rsid w:val="00F638CC"/>
    <w:rsid w:val="00F64CC1"/>
    <w:rsid w:val="00F720FD"/>
    <w:rsid w:val="00F8247A"/>
    <w:rsid w:val="00F82D41"/>
    <w:rsid w:val="00F9629A"/>
    <w:rsid w:val="00F97F93"/>
    <w:rsid w:val="00FA3D91"/>
    <w:rsid w:val="00FA3D95"/>
    <w:rsid w:val="00FA5883"/>
    <w:rsid w:val="00FA6055"/>
    <w:rsid w:val="00FB322F"/>
    <w:rsid w:val="00FB3907"/>
    <w:rsid w:val="00FB442F"/>
    <w:rsid w:val="00FC1929"/>
    <w:rsid w:val="00FC5B46"/>
    <w:rsid w:val="00FD51D5"/>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paragraph" w:customStyle="1" w:styleId="PBACheading10">
    <w:name w:val="PBAC heading 1"/>
    <w:qFormat/>
    <w:rsid w:val="00F5742D"/>
    <w:pPr>
      <w:ind w:left="720" w:hanging="720"/>
    </w:pPr>
    <w:rPr>
      <w:rFonts w:ascii="Arial" w:hAnsi="Arial" w:cs="Arial"/>
      <w:snapToGrid w:val="0"/>
      <w:sz w:val="22"/>
      <w:szCs w:val="22"/>
      <w:lang w:eastAsia="en-US"/>
    </w:rPr>
  </w:style>
  <w:style w:type="paragraph" w:customStyle="1" w:styleId="TableFooter">
    <w:name w:val="Table Footer"/>
    <w:basedOn w:val="Normal"/>
    <w:qFormat/>
    <w:rsid w:val="00B11CE3"/>
    <w:pPr>
      <w:widowControl w:val="0"/>
      <w:jc w:val="both"/>
    </w:pPr>
    <w:rPr>
      <w:rFonts w:ascii="Arial Narrow" w:hAnsi="Arial Narrow" w:cs="Arial"/>
      <w:snapToGrid w:val="0"/>
      <w:sz w:val="18"/>
      <w:szCs w:val="20"/>
      <w:lang w:eastAsia="en-US"/>
    </w:rPr>
  </w:style>
  <w:style w:type="paragraph" w:styleId="Caption">
    <w:name w:val="caption"/>
    <w:basedOn w:val="Normal"/>
    <w:next w:val="Normal"/>
    <w:link w:val="CaptionChar"/>
    <w:unhideWhenUsed/>
    <w:rsid w:val="00B11CE3"/>
    <w:pPr>
      <w:widowControl w:val="0"/>
      <w:jc w:val="both"/>
    </w:pPr>
    <w:rPr>
      <w:rFonts w:ascii="Arial Narrow" w:hAnsi="Arial Narrow" w:cs="Arial"/>
      <w:b/>
      <w:bCs/>
      <w:snapToGrid w:val="0"/>
      <w:color w:val="000000" w:themeColor="text1"/>
      <w:sz w:val="20"/>
      <w:szCs w:val="18"/>
      <w:lang w:eastAsia="en-US"/>
    </w:rPr>
  </w:style>
  <w:style w:type="character" w:customStyle="1" w:styleId="CaptionChar">
    <w:name w:val="Caption Char"/>
    <w:link w:val="Caption"/>
    <w:rsid w:val="00B11CE3"/>
    <w:rPr>
      <w:rFonts w:ascii="Arial Narrow" w:hAnsi="Arial Narrow" w:cs="Arial"/>
      <w:b/>
      <w:bCs/>
      <w:snapToGrid w:val="0"/>
      <w:color w:val="000000" w:themeColor="text1"/>
      <w:szCs w:val="18"/>
      <w:lang w:eastAsia="en-US"/>
    </w:rPr>
  </w:style>
  <w:style w:type="paragraph" w:styleId="FootnoteText">
    <w:name w:val="footnote text"/>
    <w:basedOn w:val="Normal"/>
    <w:link w:val="FootnoteTextChar"/>
    <w:rsid w:val="00773210"/>
    <w:rPr>
      <w:sz w:val="20"/>
      <w:szCs w:val="20"/>
    </w:rPr>
  </w:style>
  <w:style w:type="character" w:customStyle="1" w:styleId="FootnoteTextChar">
    <w:name w:val="Footnote Text Char"/>
    <w:basedOn w:val="DefaultParagraphFont"/>
    <w:link w:val="FootnoteText"/>
    <w:rsid w:val="00773210"/>
  </w:style>
  <w:style w:type="character" w:styleId="FootnoteReference">
    <w:name w:val="footnote reference"/>
    <w:basedOn w:val="DefaultParagraphFont"/>
    <w:rsid w:val="00773210"/>
    <w:rPr>
      <w:vertAlign w:val="superscript"/>
    </w:rPr>
  </w:style>
  <w:style w:type="paragraph" w:styleId="Revision">
    <w:name w:val="Revision"/>
    <w:hidden/>
    <w:uiPriority w:val="71"/>
    <w:rsid w:val="00D92EF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paragraph" w:customStyle="1" w:styleId="PBACheading10">
    <w:name w:val="PBAC heading 1"/>
    <w:qFormat/>
    <w:rsid w:val="00F5742D"/>
    <w:pPr>
      <w:ind w:left="720" w:hanging="720"/>
    </w:pPr>
    <w:rPr>
      <w:rFonts w:ascii="Arial" w:hAnsi="Arial" w:cs="Arial"/>
      <w:snapToGrid w:val="0"/>
      <w:sz w:val="22"/>
      <w:szCs w:val="22"/>
      <w:lang w:eastAsia="en-US"/>
    </w:rPr>
  </w:style>
  <w:style w:type="paragraph" w:customStyle="1" w:styleId="TableFooter">
    <w:name w:val="Table Footer"/>
    <w:basedOn w:val="Normal"/>
    <w:qFormat/>
    <w:rsid w:val="00B11CE3"/>
    <w:pPr>
      <w:widowControl w:val="0"/>
      <w:jc w:val="both"/>
    </w:pPr>
    <w:rPr>
      <w:rFonts w:ascii="Arial Narrow" w:hAnsi="Arial Narrow" w:cs="Arial"/>
      <w:snapToGrid w:val="0"/>
      <w:sz w:val="18"/>
      <w:szCs w:val="20"/>
      <w:lang w:eastAsia="en-US"/>
    </w:rPr>
  </w:style>
  <w:style w:type="paragraph" w:styleId="Caption">
    <w:name w:val="caption"/>
    <w:basedOn w:val="Normal"/>
    <w:next w:val="Normal"/>
    <w:link w:val="CaptionChar"/>
    <w:unhideWhenUsed/>
    <w:rsid w:val="00B11CE3"/>
    <w:pPr>
      <w:widowControl w:val="0"/>
      <w:jc w:val="both"/>
    </w:pPr>
    <w:rPr>
      <w:rFonts w:ascii="Arial Narrow" w:hAnsi="Arial Narrow" w:cs="Arial"/>
      <w:b/>
      <w:bCs/>
      <w:snapToGrid w:val="0"/>
      <w:color w:val="000000" w:themeColor="text1"/>
      <w:sz w:val="20"/>
      <w:szCs w:val="18"/>
      <w:lang w:eastAsia="en-US"/>
    </w:rPr>
  </w:style>
  <w:style w:type="character" w:customStyle="1" w:styleId="CaptionChar">
    <w:name w:val="Caption Char"/>
    <w:link w:val="Caption"/>
    <w:rsid w:val="00B11CE3"/>
    <w:rPr>
      <w:rFonts w:ascii="Arial Narrow" w:hAnsi="Arial Narrow" w:cs="Arial"/>
      <w:b/>
      <w:bCs/>
      <w:snapToGrid w:val="0"/>
      <w:color w:val="000000" w:themeColor="text1"/>
      <w:szCs w:val="18"/>
      <w:lang w:eastAsia="en-US"/>
    </w:rPr>
  </w:style>
  <w:style w:type="paragraph" w:styleId="FootnoteText">
    <w:name w:val="footnote text"/>
    <w:basedOn w:val="Normal"/>
    <w:link w:val="FootnoteTextChar"/>
    <w:rsid w:val="00773210"/>
    <w:rPr>
      <w:sz w:val="20"/>
      <w:szCs w:val="20"/>
    </w:rPr>
  </w:style>
  <w:style w:type="character" w:customStyle="1" w:styleId="FootnoteTextChar">
    <w:name w:val="Footnote Text Char"/>
    <w:basedOn w:val="DefaultParagraphFont"/>
    <w:link w:val="FootnoteText"/>
    <w:rsid w:val="00773210"/>
  </w:style>
  <w:style w:type="character" w:styleId="FootnoteReference">
    <w:name w:val="footnote reference"/>
    <w:basedOn w:val="DefaultParagraphFont"/>
    <w:rsid w:val="00773210"/>
    <w:rPr>
      <w:vertAlign w:val="superscript"/>
    </w:rPr>
  </w:style>
  <w:style w:type="paragraph" w:styleId="Revision">
    <w:name w:val="Revision"/>
    <w:hidden/>
    <w:uiPriority w:val="71"/>
    <w:rsid w:val="00D92E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5109329">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AB2FF-1715-4895-8A18-C941F96D9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4745</Words>
  <Characters>31149</Characters>
  <Application>Microsoft Office Word</Application>
  <DocSecurity>0</DocSecurity>
  <Lines>259</Lines>
  <Paragraphs>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2017-06-19T07:01:00Z</dcterms:created>
  <dcterms:modified xsi:type="dcterms:W3CDTF">2017-06-19T07:10:00Z</dcterms:modified>
</cp:coreProperties>
</file>