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8C1863" w:rsidRDefault="008F363D" w:rsidP="008C1863">
      <w:pPr>
        <w:pStyle w:val="Title"/>
        <w:spacing w:after="0"/>
        <w:ind w:left="720" w:hanging="720"/>
        <w:contextualSpacing w:val="0"/>
        <w:rPr>
          <w:szCs w:val="28"/>
        </w:rPr>
      </w:pPr>
      <w:bookmarkStart w:id="0" w:name="_GoBack"/>
      <w:bookmarkEnd w:id="0"/>
      <w:r>
        <w:rPr>
          <w:szCs w:val="28"/>
        </w:rPr>
        <w:t>5.27</w:t>
      </w:r>
      <w:r w:rsidR="007C0F57" w:rsidRPr="006D6EC7">
        <w:rPr>
          <w:szCs w:val="28"/>
        </w:rPr>
        <w:tab/>
      </w:r>
      <w:r>
        <w:rPr>
          <w:szCs w:val="28"/>
        </w:rPr>
        <w:t xml:space="preserve">WARFARIN </w:t>
      </w:r>
      <w:r w:rsidR="008A50F1">
        <w:rPr>
          <w:szCs w:val="28"/>
        </w:rPr>
        <w:br/>
      </w:r>
      <w:r w:rsidR="00653E78">
        <w:rPr>
          <w:rFonts w:ascii="Arial" w:hAnsi="Arial" w:cs="Arial"/>
          <w:color w:val="000000"/>
        </w:rPr>
        <w:t>Tablet containing warfarin sodium, 1mg, 2mg, 5mg</w:t>
      </w:r>
      <w:r w:rsidR="008A50F1">
        <w:rPr>
          <w:szCs w:val="28"/>
        </w:rPr>
        <w:br/>
      </w:r>
      <w:r w:rsidR="00653E78">
        <w:rPr>
          <w:rFonts w:ascii="Arial" w:hAnsi="Arial" w:cs="Arial"/>
          <w:color w:val="000000"/>
        </w:rPr>
        <w:t xml:space="preserve">Warfarin </w:t>
      </w:r>
      <w:r w:rsidR="00A02504">
        <w:rPr>
          <w:rFonts w:ascii="Arial" w:hAnsi="Arial" w:cs="Arial"/>
          <w:color w:val="000000"/>
        </w:rPr>
        <w:t>APOTEX</w:t>
      </w:r>
      <w:r w:rsidR="00653E78" w:rsidRPr="00653E78">
        <w:rPr>
          <w:rFonts w:cs="Arial"/>
          <w:color w:val="000000"/>
          <w:vertAlign w:val="superscript"/>
        </w:rPr>
        <w:t>®</w:t>
      </w:r>
      <w:proofErr w:type="gramStart"/>
      <w:r w:rsidR="0005002C">
        <w:rPr>
          <w:szCs w:val="28"/>
        </w:rPr>
        <w:t>,</w:t>
      </w:r>
      <w:proofErr w:type="gramEnd"/>
      <w:r w:rsidR="008C1863">
        <w:rPr>
          <w:szCs w:val="28"/>
        </w:rPr>
        <w:br/>
      </w:r>
      <w:proofErr w:type="spellStart"/>
      <w:r w:rsidR="00A02504">
        <w:rPr>
          <w:rFonts w:ascii="Arial" w:hAnsi="Arial" w:cs="Arial"/>
          <w:color w:val="000000"/>
        </w:rPr>
        <w:t>Apotex</w:t>
      </w:r>
      <w:proofErr w:type="spellEnd"/>
      <w:r w:rsidR="00653E78">
        <w:rPr>
          <w:rFonts w:ascii="Arial" w:hAnsi="Arial" w:cs="Arial"/>
          <w:color w:val="000000"/>
        </w:rPr>
        <w:t xml:space="preserve"> Pty Ltd.</w:t>
      </w:r>
    </w:p>
    <w:p w:rsidR="00204E0C" w:rsidRDefault="00204E0C" w:rsidP="00204E0C"/>
    <w:p w:rsidR="0047008F" w:rsidRPr="00204E0C" w:rsidRDefault="0047008F" w:rsidP="00204E0C"/>
    <w:p w:rsidR="00E15627" w:rsidRDefault="00CE10C4" w:rsidP="00E15627">
      <w:pPr>
        <w:pStyle w:val="PBACHeading1"/>
      </w:pPr>
      <w:r w:rsidRPr="00C603D4">
        <w:t xml:space="preserve">Purpose of </w:t>
      </w:r>
      <w:r w:rsidR="0004240E" w:rsidRPr="00C603D4">
        <w:t>Application</w:t>
      </w:r>
    </w:p>
    <w:p w:rsidR="008A50F1" w:rsidRPr="00E15627" w:rsidRDefault="008A50F1" w:rsidP="00E15627"/>
    <w:p w:rsidR="008717A9" w:rsidRDefault="00EF44A0" w:rsidP="005016A6">
      <w:pPr>
        <w:pStyle w:val="ListParagraph"/>
        <w:numPr>
          <w:ilvl w:val="1"/>
          <w:numId w:val="5"/>
        </w:numPr>
      </w:pPr>
      <w:r w:rsidRPr="00E15627">
        <w:rPr>
          <w:szCs w:val="22"/>
        </w:rPr>
        <w:t>The mi</w:t>
      </w:r>
      <w:r w:rsidR="00BB7702">
        <w:rPr>
          <w:szCs w:val="22"/>
        </w:rPr>
        <w:t xml:space="preserve">nor submission </w:t>
      </w:r>
      <w:r w:rsidR="0084522C">
        <w:rPr>
          <w:szCs w:val="22"/>
        </w:rPr>
        <w:t xml:space="preserve">requested </w:t>
      </w:r>
      <w:r w:rsidR="0084522C" w:rsidRPr="00F9629A">
        <w:t>a</w:t>
      </w:r>
      <w:r w:rsidR="00BB7702">
        <w:t xml:space="preserve"> General Schedule unrestricted benefit listing for </w:t>
      </w:r>
      <w:r w:rsidR="0055729E">
        <w:t>W</w:t>
      </w:r>
      <w:r w:rsidR="00BB7702">
        <w:t xml:space="preserve">arfarin </w:t>
      </w:r>
      <w:r w:rsidR="00A02504">
        <w:t>APOTEX</w:t>
      </w:r>
      <w:r w:rsidR="00BB7702" w:rsidRPr="00653E78">
        <w:rPr>
          <w:color w:val="000000"/>
          <w:vertAlign w:val="superscript"/>
        </w:rPr>
        <w:t>®</w:t>
      </w:r>
      <w:r w:rsidR="00BB7702">
        <w:rPr>
          <w:color w:val="000000"/>
          <w:vertAlign w:val="superscript"/>
        </w:rPr>
        <w:t xml:space="preserve"> </w:t>
      </w:r>
      <w:r w:rsidR="00BB7702">
        <w:t>1mg, 2mg and 5mg tablets</w:t>
      </w:r>
      <w:r w:rsidR="008717A9">
        <w:t>.</w:t>
      </w:r>
    </w:p>
    <w:p w:rsidR="005016A6" w:rsidRDefault="005016A6" w:rsidP="005016A6">
      <w:pPr>
        <w:pStyle w:val="ListParagraph"/>
      </w:pPr>
    </w:p>
    <w:p w:rsidR="008717A9" w:rsidRPr="008717A9" w:rsidRDefault="008717A9" w:rsidP="008717A9">
      <w:pPr>
        <w:pStyle w:val="ListParagraph"/>
        <w:numPr>
          <w:ilvl w:val="1"/>
          <w:numId w:val="5"/>
        </w:numPr>
        <w:rPr>
          <w:szCs w:val="22"/>
        </w:rPr>
      </w:pPr>
      <w:r w:rsidRPr="00BB7702">
        <w:rPr>
          <w:szCs w:val="22"/>
        </w:rPr>
        <w:t xml:space="preserve">The </w:t>
      </w:r>
      <w:r w:rsidR="00431C8F">
        <w:rPr>
          <w:szCs w:val="22"/>
        </w:rPr>
        <w:t xml:space="preserve">minor </w:t>
      </w:r>
      <w:r>
        <w:rPr>
          <w:szCs w:val="22"/>
        </w:rPr>
        <w:t xml:space="preserve">submission also requested that </w:t>
      </w:r>
      <w:r w:rsidR="0055729E">
        <w:t>W</w:t>
      </w:r>
      <w:r w:rsidR="005016A6">
        <w:t xml:space="preserve">arfarin </w:t>
      </w:r>
      <w:r w:rsidR="00A02504">
        <w:t>APOTEX</w:t>
      </w:r>
      <w:r w:rsidR="005016A6" w:rsidRPr="00653E78">
        <w:rPr>
          <w:color w:val="000000"/>
          <w:vertAlign w:val="superscript"/>
        </w:rPr>
        <w:t>®</w:t>
      </w:r>
      <w:r w:rsidR="005016A6">
        <w:rPr>
          <w:color w:val="000000"/>
          <w:vertAlign w:val="superscript"/>
        </w:rPr>
        <w:t xml:space="preserve"> </w:t>
      </w:r>
      <w:r>
        <w:rPr>
          <w:szCs w:val="22"/>
        </w:rPr>
        <w:t xml:space="preserve">1mg, 2mg and 5mg </w:t>
      </w:r>
      <w:r w:rsidR="005016A6">
        <w:rPr>
          <w:szCs w:val="22"/>
        </w:rPr>
        <w:t xml:space="preserve">tablets be marked </w:t>
      </w:r>
      <w:r>
        <w:rPr>
          <w:szCs w:val="22"/>
        </w:rPr>
        <w:t>a</w:t>
      </w:r>
      <w:r w:rsidRPr="00BB7702">
        <w:rPr>
          <w:szCs w:val="22"/>
        </w:rPr>
        <w:t>s equivalent (</w:t>
      </w:r>
      <w:r w:rsidRPr="00C54BAB">
        <w:rPr>
          <w:szCs w:val="22"/>
        </w:rPr>
        <w:t>i.e.</w:t>
      </w:r>
      <w:r w:rsidR="005016A6">
        <w:rPr>
          <w:szCs w:val="22"/>
        </w:rPr>
        <w:t xml:space="preserve"> </w:t>
      </w:r>
      <w:r w:rsidR="00400485">
        <w:rPr>
          <w:szCs w:val="22"/>
        </w:rPr>
        <w:t>‘</w:t>
      </w:r>
      <w:r w:rsidR="005016A6">
        <w:rPr>
          <w:szCs w:val="22"/>
        </w:rPr>
        <w:t>a</w:t>
      </w:r>
      <w:r w:rsidR="00400485">
        <w:rPr>
          <w:szCs w:val="22"/>
        </w:rPr>
        <w:t>’</w:t>
      </w:r>
      <w:r w:rsidR="005016A6">
        <w:rPr>
          <w:szCs w:val="22"/>
        </w:rPr>
        <w:t xml:space="preserve"> flagged</w:t>
      </w:r>
      <w:r w:rsidRPr="00BB7702">
        <w:rPr>
          <w:szCs w:val="22"/>
        </w:rPr>
        <w:t xml:space="preserve">) </w:t>
      </w:r>
      <w:r w:rsidR="005016A6">
        <w:rPr>
          <w:szCs w:val="22"/>
        </w:rPr>
        <w:t xml:space="preserve">to </w:t>
      </w:r>
      <w:r w:rsidR="00431C8F">
        <w:rPr>
          <w:szCs w:val="22"/>
        </w:rPr>
        <w:t xml:space="preserve">warfarin </w:t>
      </w:r>
      <w:r w:rsidR="005016A6">
        <w:rPr>
          <w:szCs w:val="22"/>
        </w:rPr>
        <w:t>Coumadin</w:t>
      </w:r>
      <w:r w:rsidR="005016A6" w:rsidRPr="00653E78">
        <w:rPr>
          <w:color w:val="000000"/>
          <w:vertAlign w:val="superscript"/>
        </w:rPr>
        <w:t>®</w:t>
      </w:r>
      <w:r w:rsidR="00431C8F">
        <w:rPr>
          <w:szCs w:val="22"/>
        </w:rPr>
        <w:t xml:space="preserve"> brand of </w:t>
      </w:r>
      <w:r w:rsidR="005016A6">
        <w:rPr>
          <w:szCs w:val="22"/>
        </w:rPr>
        <w:t>tablets</w:t>
      </w:r>
      <w:r w:rsidR="00CB7420">
        <w:rPr>
          <w:szCs w:val="22"/>
        </w:rPr>
        <w:t>.</w:t>
      </w:r>
    </w:p>
    <w:p w:rsidR="008717A9" w:rsidRDefault="008717A9" w:rsidP="008717A9">
      <w:pPr>
        <w:pStyle w:val="ListParagraph"/>
      </w:pPr>
    </w:p>
    <w:p w:rsidR="008717A9" w:rsidRDefault="008717A9" w:rsidP="00F02BD7"/>
    <w:p w:rsidR="00CE1351" w:rsidRDefault="00CE1351" w:rsidP="00CE1351">
      <w:pPr>
        <w:pStyle w:val="PBACHeading1"/>
        <w:numPr>
          <w:ilvl w:val="0"/>
          <w:numId w:val="5"/>
        </w:numPr>
      </w:pPr>
      <w:r w:rsidRPr="004A2484">
        <w:t>Requested listing</w:t>
      </w:r>
    </w:p>
    <w:p w:rsidR="00175538" w:rsidRDefault="00175538" w:rsidP="00175538">
      <w:pPr>
        <w:pStyle w:val="ListParagraph"/>
      </w:pPr>
    </w:p>
    <w:p w:rsidR="0016556D" w:rsidRPr="0016556D" w:rsidRDefault="0016556D" w:rsidP="00CE1351">
      <w:pPr>
        <w:pStyle w:val="ListParagraph"/>
        <w:rPr>
          <w:vanish/>
        </w:rPr>
      </w:pPr>
    </w:p>
    <w:p w:rsidR="008717A9" w:rsidRDefault="008717A9" w:rsidP="00800326">
      <w:pPr>
        <w:pStyle w:val="ListParagraph"/>
        <w:numPr>
          <w:ilvl w:val="1"/>
          <w:numId w:val="5"/>
        </w:numPr>
      </w:pPr>
      <w:r>
        <w:t xml:space="preserve">The minor submission requested </w:t>
      </w:r>
      <w:r w:rsidR="0055729E">
        <w:t xml:space="preserve">a </w:t>
      </w:r>
      <w:r>
        <w:t>General Schedule un</w:t>
      </w:r>
      <w:r w:rsidR="00B43254">
        <w:t>restricted benefit listing for W</w:t>
      </w:r>
      <w:r>
        <w:t xml:space="preserve">arfarin </w:t>
      </w:r>
      <w:r w:rsidR="00A02504">
        <w:t>APOTEX</w:t>
      </w:r>
      <w:r w:rsidRPr="00653E78">
        <w:rPr>
          <w:color w:val="000000"/>
          <w:vertAlign w:val="superscript"/>
        </w:rPr>
        <w:t>®</w:t>
      </w:r>
      <w:r>
        <w:rPr>
          <w:color w:val="000000"/>
          <w:vertAlign w:val="superscript"/>
        </w:rPr>
        <w:t xml:space="preserve"> </w:t>
      </w:r>
      <w:r>
        <w:t xml:space="preserve">1mg, 2mg and 5mg tablets, consistent with the listing of </w:t>
      </w:r>
      <w:r w:rsidR="005016A6">
        <w:t xml:space="preserve">the same strengths of </w:t>
      </w:r>
      <w:r w:rsidR="00A02504">
        <w:t>Coumadin</w:t>
      </w:r>
      <w:r w:rsidR="00A02504" w:rsidRPr="00653E78">
        <w:rPr>
          <w:color w:val="000000"/>
          <w:vertAlign w:val="superscript"/>
        </w:rPr>
        <w:t>®</w:t>
      </w:r>
      <w:r w:rsidR="00A02504">
        <w:t xml:space="preserve"> and </w:t>
      </w:r>
      <w:proofErr w:type="spellStart"/>
      <w:r w:rsidR="00A02504">
        <w:t>Marevan</w:t>
      </w:r>
      <w:proofErr w:type="spellEnd"/>
      <w:r w:rsidR="00A02504" w:rsidRPr="00653E78">
        <w:rPr>
          <w:color w:val="000000"/>
          <w:vertAlign w:val="superscript"/>
        </w:rPr>
        <w:t>®</w:t>
      </w:r>
      <w:r w:rsidRPr="005016A6">
        <w:t xml:space="preserve"> </w:t>
      </w:r>
      <w:r w:rsidRPr="008717A9">
        <w:t>brands of warfarin</w:t>
      </w:r>
      <w:r w:rsidR="005016A6">
        <w:t>.</w:t>
      </w:r>
    </w:p>
    <w:p w:rsidR="008717A9" w:rsidRDefault="008717A9" w:rsidP="008717A9">
      <w:pPr>
        <w:pStyle w:val="ListParagraph"/>
      </w:pPr>
    </w:p>
    <w:p w:rsidR="005016A6" w:rsidRPr="005016A6" w:rsidRDefault="008717A9" w:rsidP="008717A9">
      <w:pPr>
        <w:pStyle w:val="ListParagraph"/>
        <w:widowControl/>
        <w:numPr>
          <w:ilvl w:val="1"/>
          <w:numId w:val="5"/>
        </w:numPr>
      </w:pPr>
      <w:r w:rsidRPr="00BB7702">
        <w:rPr>
          <w:szCs w:val="22"/>
        </w:rPr>
        <w:t xml:space="preserve">The minor submission indicated that </w:t>
      </w:r>
      <w:r w:rsidR="0055729E">
        <w:t>W</w:t>
      </w:r>
      <w:r>
        <w:t xml:space="preserve">arfarin </w:t>
      </w:r>
      <w:r w:rsidR="00A02504">
        <w:t>APOTEX</w:t>
      </w:r>
      <w:r w:rsidRPr="00F94738">
        <w:rPr>
          <w:color w:val="000000"/>
          <w:vertAlign w:val="superscript"/>
        </w:rPr>
        <w:t xml:space="preserve">® </w:t>
      </w:r>
      <w:r w:rsidRPr="00BB7702">
        <w:rPr>
          <w:szCs w:val="22"/>
        </w:rPr>
        <w:t xml:space="preserve">is </w:t>
      </w:r>
      <w:r>
        <w:rPr>
          <w:szCs w:val="22"/>
        </w:rPr>
        <w:t>bioequivalent</w:t>
      </w:r>
      <w:r w:rsidRPr="00BB7702">
        <w:rPr>
          <w:szCs w:val="22"/>
        </w:rPr>
        <w:t xml:space="preserve"> to </w:t>
      </w:r>
      <w:r>
        <w:rPr>
          <w:szCs w:val="22"/>
        </w:rPr>
        <w:t>the current PBS listed brand Coumadin</w:t>
      </w:r>
      <w:r w:rsidRPr="00F94738">
        <w:rPr>
          <w:szCs w:val="22"/>
          <w:vertAlign w:val="superscript"/>
        </w:rPr>
        <w:t>®</w:t>
      </w:r>
      <w:r w:rsidR="005016A6">
        <w:rPr>
          <w:szCs w:val="22"/>
        </w:rPr>
        <w:t>, and therefore sought for these brands to be ‘a’</w:t>
      </w:r>
      <w:r w:rsidR="000E5B32">
        <w:rPr>
          <w:szCs w:val="22"/>
        </w:rPr>
        <w:t> </w:t>
      </w:r>
      <w:r w:rsidR="005016A6">
        <w:rPr>
          <w:szCs w:val="22"/>
        </w:rPr>
        <w:t>flagged.</w:t>
      </w:r>
      <w:r w:rsidR="001B3F27">
        <w:rPr>
          <w:szCs w:val="22"/>
        </w:rPr>
        <w:t xml:space="preserve"> The minor submission did not demonstrate bioequivalence with the </w:t>
      </w:r>
      <w:proofErr w:type="spellStart"/>
      <w:r w:rsidR="001B3F27">
        <w:rPr>
          <w:szCs w:val="22"/>
        </w:rPr>
        <w:t>Marevan</w:t>
      </w:r>
      <w:proofErr w:type="spellEnd"/>
      <w:r w:rsidR="001B3F27" w:rsidRPr="001B3F27">
        <w:rPr>
          <w:szCs w:val="22"/>
          <w:vertAlign w:val="superscript"/>
        </w:rPr>
        <w:t>®</w:t>
      </w:r>
      <w:r w:rsidR="001B3F27">
        <w:rPr>
          <w:szCs w:val="22"/>
        </w:rPr>
        <w:t xml:space="preserve"> brand of warfarin.</w:t>
      </w:r>
      <w:r w:rsidR="000705F7">
        <w:rPr>
          <w:szCs w:val="22"/>
        </w:rPr>
        <w:t xml:space="preserve"> </w:t>
      </w:r>
      <w:r w:rsidR="000705F7" w:rsidRPr="00FA03C5">
        <w:rPr>
          <w:szCs w:val="22"/>
        </w:rPr>
        <w:t>Coumadin</w:t>
      </w:r>
      <w:r w:rsidR="000705F7" w:rsidRPr="00FA03C5">
        <w:rPr>
          <w:szCs w:val="22"/>
          <w:vertAlign w:val="superscript"/>
        </w:rPr>
        <w:t>®</w:t>
      </w:r>
      <w:r w:rsidR="000705F7" w:rsidRPr="00FA03C5">
        <w:rPr>
          <w:szCs w:val="22"/>
        </w:rPr>
        <w:t xml:space="preserve"> and </w:t>
      </w:r>
      <w:proofErr w:type="spellStart"/>
      <w:r w:rsidR="000705F7" w:rsidRPr="00FA03C5">
        <w:rPr>
          <w:szCs w:val="22"/>
        </w:rPr>
        <w:t>Marevan</w:t>
      </w:r>
      <w:proofErr w:type="spellEnd"/>
      <w:r w:rsidR="000705F7" w:rsidRPr="00FA03C5">
        <w:rPr>
          <w:szCs w:val="22"/>
          <w:vertAlign w:val="superscript"/>
        </w:rPr>
        <w:t>®</w:t>
      </w:r>
      <w:r w:rsidR="000705F7" w:rsidRPr="00FA03C5">
        <w:rPr>
          <w:szCs w:val="22"/>
        </w:rPr>
        <w:t xml:space="preserve"> are the two brands of warfarin currently listed on the General Schedule with an Unrestricted benefit</w:t>
      </w:r>
      <w:r w:rsidR="008D3D05">
        <w:rPr>
          <w:szCs w:val="22"/>
        </w:rPr>
        <w:t>;</w:t>
      </w:r>
      <w:r w:rsidR="000705F7" w:rsidRPr="00FA03C5">
        <w:rPr>
          <w:szCs w:val="22"/>
        </w:rPr>
        <w:t xml:space="preserve"> Coumadin</w:t>
      </w:r>
      <w:r w:rsidR="000705F7" w:rsidRPr="00FA03C5">
        <w:rPr>
          <w:szCs w:val="22"/>
          <w:vertAlign w:val="superscript"/>
        </w:rPr>
        <w:t>®</w:t>
      </w:r>
      <w:r w:rsidR="000705F7" w:rsidRPr="00FA03C5">
        <w:rPr>
          <w:szCs w:val="22"/>
        </w:rPr>
        <w:t xml:space="preserve"> and </w:t>
      </w:r>
      <w:proofErr w:type="spellStart"/>
      <w:r w:rsidR="000705F7" w:rsidRPr="00FA03C5">
        <w:rPr>
          <w:szCs w:val="22"/>
        </w:rPr>
        <w:t>Marevan</w:t>
      </w:r>
      <w:proofErr w:type="spellEnd"/>
      <w:r w:rsidR="000705F7" w:rsidRPr="00FA03C5">
        <w:rPr>
          <w:szCs w:val="22"/>
          <w:vertAlign w:val="superscript"/>
        </w:rPr>
        <w:t xml:space="preserve">® </w:t>
      </w:r>
      <w:r w:rsidR="000705F7" w:rsidRPr="00FA03C5">
        <w:rPr>
          <w:szCs w:val="22"/>
        </w:rPr>
        <w:t>are not ‘a’ flagged.</w:t>
      </w:r>
    </w:p>
    <w:p w:rsidR="005016A6" w:rsidRPr="005016A6" w:rsidRDefault="005016A6" w:rsidP="005016A6">
      <w:pPr>
        <w:pStyle w:val="ListParagraph"/>
        <w:rPr>
          <w:i/>
          <w:szCs w:val="22"/>
        </w:rPr>
      </w:pPr>
    </w:p>
    <w:p w:rsidR="005016A6" w:rsidRDefault="00317691" w:rsidP="008717A9">
      <w:pPr>
        <w:pStyle w:val="ListParagraph"/>
        <w:widowControl/>
        <w:numPr>
          <w:ilvl w:val="1"/>
          <w:numId w:val="5"/>
        </w:numPr>
      </w:pPr>
      <w:r>
        <w:t>As such</w:t>
      </w:r>
      <w:r w:rsidR="005016A6">
        <w:t xml:space="preserve">, the minor submission requested that the current ‘Caution’ note in the warfarin listing be changed from </w:t>
      </w:r>
      <w:r w:rsidR="00262A9A">
        <w:t>“</w:t>
      </w:r>
      <w:r w:rsidR="00262A9A" w:rsidRPr="00262A9A">
        <w:t xml:space="preserve">The listed brands have NOT been shown to be bioequivalent and should not be interchanged” to “The </w:t>
      </w:r>
      <w:proofErr w:type="spellStart"/>
      <w:r w:rsidR="00262A9A" w:rsidRPr="00262A9A">
        <w:t>Marevan</w:t>
      </w:r>
      <w:proofErr w:type="spellEnd"/>
      <w:r w:rsidR="00A02504" w:rsidRPr="00653E78">
        <w:rPr>
          <w:color w:val="000000"/>
          <w:vertAlign w:val="superscript"/>
        </w:rPr>
        <w:t>®</w:t>
      </w:r>
      <w:r w:rsidR="00262A9A" w:rsidRPr="00262A9A">
        <w:t xml:space="preserve"> brand has NOT been shown to be bioequivalent and should not be interchanged”.</w:t>
      </w:r>
    </w:p>
    <w:p w:rsidR="00CB7420" w:rsidRPr="0062532B" w:rsidRDefault="00CB7420" w:rsidP="00F02BD7">
      <w:pPr>
        <w:rPr>
          <w:highlight w:val="yellow"/>
        </w:rPr>
      </w:pPr>
    </w:p>
    <w:p w:rsidR="0025562D" w:rsidRDefault="00262A9A" w:rsidP="00FA03C5">
      <w:pPr>
        <w:pStyle w:val="ListParagraph"/>
        <w:widowControl/>
        <w:numPr>
          <w:ilvl w:val="1"/>
          <w:numId w:val="5"/>
        </w:numPr>
        <w:rPr>
          <w:szCs w:val="22"/>
        </w:rPr>
      </w:pPr>
      <w:r w:rsidRPr="00FA03C5" w:rsidDel="001B3F27">
        <w:rPr>
          <w:szCs w:val="22"/>
        </w:rPr>
        <w:t>The pack size, maximum quantity and number of repeats</w:t>
      </w:r>
      <w:r w:rsidR="009554DC" w:rsidRPr="00FA03C5" w:rsidDel="001B3F27">
        <w:rPr>
          <w:szCs w:val="22"/>
        </w:rPr>
        <w:t xml:space="preserve"> requested in the minor submission</w:t>
      </w:r>
      <w:r w:rsidRPr="00FA03C5" w:rsidDel="001B3F27">
        <w:rPr>
          <w:szCs w:val="22"/>
        </w:rPr>
        <w:t xml:space="preserve"> are consistent with the current listing of warfarin C</w:t>
      </w:r>
      <w:r w:rsidR="00CB7420" w:rsidRPr="00FA03C5" w:rsidDel="001B3F27">
        <w:rPr>
          <w:szCs w:val="22"/>
        </w:rPr>
        <w:t>oumadin</w:t>
      </w:r>
      <w:r w:rsidR="00A02504" w:rsidRPr="00FA03C5" w:rsidDel="001B3F27">
        <w:rPr>
          <w:color w:val="000000"/>
          <w:vertAlign w:val="superscript"/>
        </w:rPr>
        <w:t>®</w:t>
      </w:r>
      <w:r w:rsidR="00723BB7">
        <w:rPr>
          <w:color w:val="000000"/>
        </w:rPr>
        <w:t xml:space="preserve">. </w:t>
      </w:r>
      <w:r w:rsidR="00BE5DB3" w:rsidRPr="00FA03C5">
        <w:rPr>
          <w:szCs w:val="22"/>
        </w:rPr>
        <w:t>The Active Pharmaceutical I</w:t>
      </w:r>
      <w:r w:rsidR="0025562D" w:rsidRPr="00FA03C5">
        <w:rPr>
          <w:szCs w:val="22"/>
        </w:rPr>
        <w:t>ngredient (API) used in Coumadin</w:t>
      </w:r>
      <w:r w:rsidR="00A02504" w:rsidRPr="008F2231">
        <w:rPr>
          <w:szCs w:val="22"/>
          <w:vertAlign w:val="superscript"/>
        </w:rPr>
        <w:t>®</w:t>
      </w:r>
      <w:r w:rsidR="0025562D" w:rsidRPr="00FA03C5">
        <w:rPr>
          <w:szCs w:val="22"/>
        </w:rPr>
        <w:t xml:space="preserve"> is ‘warfarin sodium amorphous’, whereas the API for </w:t>
      </w:r>
      <w:r w:rsidR="0055729E" w:rsidRPr="00FA03C5">
        <w:rPr>
          <w:szCs w:val="22"/>
        </w:rPr>
        <w:t>W</w:t>
      </w:r>
      <w:r w:rsidR="0025562D" w:rsidRPr="00FA03C5">
        <w:rPr>
          <w:szCs w:val="22"/>
        </w:rPr>
        <w:t xml:space="preserve">arfarin </w:t>
      </w:r>
      <w:r w:rsidR="00A02504" w:rsidRPr="00FA03C5">
        <w:rPr>
          <w:szCs w:val="22"/>
        </w:rPr>
        <w:t>APOTEX</w:t>
      </w:r>
      <w:r w:rsidR="00A02504" w:rsidRPr="008F2231">
        <w:rPr>
          <w:szCs w:val="22"/>
          <w:vertAlign w:val="superscript"/>
        </w:rPr>
        <w:t>®</w:t>
      </w:r>
      <w:r w:rsidR="0025562D" w:rsidRPr="00FA03C5">
        <w:rPr>
          <w:szCs w:val="22"/>
        </w:rPr>
        <w:t xml:space="preserve"> is ‘warfarin sodium </w:t>
      </w:r>
      <w:proofErr w:type="spellStart"/>
      <w:r w:rsidR="0025562D" w:rsidRPr="00FA03C5">
        <w:rPr>
          <w:szCs w:val="22"/>
        </w:rPr>
        <w:t>clathrate</w:t>
      </w:r>
      <w:proofErr w:type="spellEnd"/>
      <w:r w:rsidR="0025562D" w:rsidRPr="00FA03C5">
        <w:rPr>
          <w:szCs w:val="22"/>
        </w:rPr>
        <w:t xml:space="preserve">’. </w:t>
      </w:r>
      <w:r w:rsidR="005038F1" w:rsidRPr="00FA03C5">
        <w:rPr>
          <w:szCs w:val="22"/>
        </w:rPr>
        <w:t>However, the TGA has assessed these to be bioequivalent</w:t>
      </w:r>
      <w:r w:rsidR="0025562D" w:rsidRPr="00FA03C5">
        <w:rPr>
          <w:szCs w:val="22"/>
        </w:rPr>
        <w:t>.</w:t>
      </w:r>
    </w:p>
    <w:p w:rsidR="00982830" w:rsidRPr="00FA03C5" w:rsidRDefault="00982830" w:rsidP="00982830">
      <w:pPr>
        <w:pStyle w:val="ListParagraph"/>
        <w:widowControl/>
        <w:rPr>
          <w:szCs w:val="22"/>
        </w:rPr>
      </w:pPr>
    </w:p>
    <w:p w:rsidR="00BC72D5" w:rsidRPr="00FA03C5" w:rsidRDefault="00BC72D5" w:rsidP="0047008F">
      <w:pPr>
        <w:pStyle w:val="PBACHeading1"/>
        <w:numPr>
          <w:ilvl w:val="0"/>
          <w:numId w:val="0"/>
        </w:numPr>
        <w:ind w:firstLine="720"/>
        <w:outlineLvl w:val="9"/>
        <w:rPr>
          <w:b w:val="0"/>
          <w:i/>
        </w:rPr>
      </w:pPr>
      <w:r w:rsidRPr="00FA03C5">
        <w:rPr>
          <w:b w:val="0"/>
          <w:i/>
        </w:rPr>
        <w:t>For more detail on PBAC’s view, see section 7 “PBAC outcome</w:t>
      </w:r>
      <w:r w:rsidR="00305692">
        <w:rPr>
          <w:b w:val="0"/>
          <w:i/>
        </w:rPr>
        <w:t>”</w:t>
      </w:r>
    </w:p>
    <w:p w:rsidR="00C603D4" w:rsidRDefault="00C603D4" w:rsidP="00CE1351">
      <w:pPr>
        <w:rPr>
          <w:i/>
          <w:szCs w:val="22"/>
        </w:rPr>
      </w:pPr>
    </w:p>
    <w:p w:rsidR="0047008F" w:rsidRPr="00CE1351" w:rsidRDefault="0047008F" w:rsidP="00CE1351">
      <w:pPr>
        <w:rPr>
          <w:i/>
          <w:szCs w:val="22"/>
        </w:rPr>
      </w:pPr>
    </w:p>
    <w:p w:rsidR="00175538" w:rsidRPr="0047008F" w:rsidRDefault="00CE1351" w:rsidP="0047008F">
      <w:pPr>
        <w:pStyle w:val="PBACHeading1"/>
        <w:numPr>
          <w:ilvl w:val="0"/>
          <w:numId w:val="5"/>
        </w:numPr>
      </w:pPr>
      <w:r w:rsidRPr="00C603D4">
        <w:t>Background</w:t>
      </w:r>
    </w:p>
    <w:p w:rsidR="00175538" w:rsidRPr="00175538" w:rsidRDefault="00175538" w:rsidP="00175538">
      <w:pPr>
        <w:pStyle w:val="ListParagraph"/>
        <w:rPr>
          <w:i/>
          <w:szCs w:val="22"/>
        </w:rPr>
      </w:pPr>
    </w:p>
    <w:p w:rsidR="00643E40" w:rsidRPr="00723BB7" w:rsidRDefault="006D4C3C" w:rsidP="00643E40">
      <w:pPr>
        <w:pStyle w:val="ListParagraph"/>
        <w:numPr>
          <w:ilvl w:val="1"/>
          <w:numId w:val="37"/>
        </w:numPr>
        <w:rPr>
          <w:i/>
          <w:szCs w:val="22"/>
        </w:rPr>
      </w:pPr>
      <w:r w:rsidRPr="0072353B">
        <w:rPr>
          <w:szCs w:val="22"/>
        </w:rPr>
        <w:t>Warfarin</w:t>
      </w:r>
      <w:r w:rsidR="009E4923" w:rsidRPr="0072353B">
        <w:rPr>
          <w:szCs w:val="22"/>
        </w:rPr>
        <w:t xml:space="preserve"> </w:t>
      </w:r>
      <w:r w:rsidR="003B4A52" w:rsidRPr="0072353B">
        <w:rPr>
          <w:szCs w:val="22"/>
        </w:rPr>
        <w:t>APOTEX</w:t>
      </w:r>
      <w:r w:rsidR="003B4A52" w:rsidRPr="0072353B">
        <w:rPr>
          <w:color w:val="000000"/>
          <w:vertAlign w:val="superscript"/>
        </w:rPr>
        <w:t>®</w:t>
      </w:r>
      <w:r w:rsidR="00476245" w:rsidRPr="0072353B">
        <w:rPr>
          <w:szCs w:val="22"/>
        </w:rPr>
        <w:t xml:space="preserve"> </w:t>
      </w:r>
      <w:r w:rsidRPr="0072353B">
        <w:rPr>
          <w:szCs w:val="22"/>
        </w:rPr>
        <w:t>was ARTG registered on 27 April 2016 for the following indications:</w:t>
      </w:r>
    </w:p>
    <w:p w:rsidR="00643E40" w:rsidRPr="0072353B" w:rsidRDefault="006D4C3C" w:rsidP="00643E40">
      <w:pPr>
        <w:pStyle w:val="ListParagraph"/>
        <w:numPr>
          <w:ilvl w:val="0"/>
          <w:numId w:val="19"/>
        </w:numPr>
        <w:rPr>
          <w:i/>
          <w:szCs w:val="22"/>
        </w:rPr>
      </w:pPr>
      <w:r w:rsidRPr="0072353B">
        <w:t>prophylaxis and/or treatment of venous thrombosis and its extension and pulmonary embolism</w:t>
      </w:r>
      <w:r w:rsidR="00643E40" w:rsidRPr="0072353B">
        <w:t>;</w:t>
      </w:r>
    </w:p>
    <w:p w:rsidR="00643E40" w:rsidRPr="0072353B" w:rsidRDefault="006D4C3C" w:rsidP="00643E40">
      <w:pPr>
        <w:pStyle w:val="ListParagraph"/>
        <w:numPr>
          <w:ilvl w:val="0"/>
          <w:numId w:val="19"/>
        </w:numPr>
        <w:rPr>
          <w:i/>
          <w:szCs w:val="22"/>
        </w:rPr>
      </w:pPr>
      <w:r w:rsidRPr="0072353B">
        <w:lastRenderedPageBreak/>
        <w:t>prophylaxis and/or treatment of the thromboembolic complications associated with atrial fibrillation</w:t>
      </w:r>
      <w:r w:rsidR="00643E40" w:rsidRPr="0072353B">
        <w:t>;</w:t>
      </w:r>
      <w:r w:rsidR="00431C8F" w:rsidRPr="0072353B">
        <w:t xml:space="preserve"> and</w:t>
      </w:r>
    </w:p>
    <w:p w:rsidR="00723BB7" w:rsidRPr="00723BB7" w:rsidRDefault="006D4C3C" w:rsidP="00723BB7">
      <w:pPr>
        <w:pStyle w:val="ListParagraph"/>
        <w:numPr>
          <w:ilvl w:val="0"/>
          <w:numId w:val="19"/>
        </w:numPr>
        <w:rPr>
          <w:szCs w:val="22"/>
        </w:rPr>
      </w:pPr>
      <w:proofErr w:type="gramStart"/>
      <w:r w:rsidRPr="0072353B">
        <w:t>for</w:t>
      </w:r>
      <w:proofErr w:type="gramEnd"/>
      <w:r w:rsidRPr="0072353B">
        <w:t xml:space="preserve"> use as an adjunct in the treatment of coronary occlusion</w:t>
      </w:r>
      <w:r w:rsidR="00643E40" w:rsidRPr="0072353B">
        <w:t>.</w:t>
      </w:r>
    </w:p>
    <w:p w:rsidR="00F109DE" w:rsidRPr="0072353B" w:rsidRDefault="00F109DE" w:rsidP="00F109DE">
      <w:pPr>
        <w:pStyle w:val="ListParagraph"/>
        <w:rPr>
          <w:i/>
          <w:szCs w:val="22"/>
        </w:rPr>
      </w:pPr>
      <w:r w:rsidRPr="00FA03C5">
        <w:rPr>
          <w:szCs w:val="22"/>
        </w:rPr>
        <w:t xml:space="preserve">The registered indications for </w:t>
      </w:r>
      <w:r w:rsidR="00982830">
        <w:rPr>
          <w:szCs w:val="22"/>
        </w:rPr>
        <w:t>W</w:t>
      </w:r>
      <w:r w:rsidRPr="00FA03C5">
        <w:rPr>
          <w:szCs w:val="22"/>
        </w:rPr>
        <w:t>arfarin APOTEX</w:t>
      </w:r>
      <w:r w:rsidRPr="00FA03C5">
        <w:rPr>
          <w:color w:val="000000"/>
          <w:vertAlign w:val="superscript"/>
        </w:rPr>
        <w:t>®</w:t>
      </w:r>
      <w:r w:rsidRPr="00FA03C5">
        <w:rPr>
          <w:szCs w:val="22"/>
        </w:rPr>
        <w:t xml:space="preserve"> are identical to those of the currently PBS listed Coumadin</w:t>
      </w:r>
      <w:r w:rsidRPr="00FA03C5">
        <w:rPr>
          <w:szCs w:val="22"/>
          <w:vertAlign w:val="superscript"/>
        </w:rPr>
        <w:t>®</w:t>
      </w:r>
      <w:r w:rsidRPr="00FA03C5">
        <w:rPr>
          <w:szCs w:val="22"/>
        </w:rPr>
        <w:t xml:space="preserve"> and </w:t>
      </w:r>
      <w:proofErr w:type="spellStart"/>
      <w:r w:rsidRPr="00FA03C5">
        <w:rPr>
          <w:szCs w:val="22"/>
        </w:rPr>
        <w:t>Marevan</w:t>
      </w:r>
      <w:proofErr w:type="spellEnd"/>
      <w:r w:rsidRPr="00FA03C5">
        <w:rPr>
          <w:szCs w:val="22"/>
          <w:vertAlign w:val="superscript"/>
        </w:rPr>
        <w:t xml:space="preserve">® </w:t>
      </w:r>
      <w:r w:rsidRPr="00FA03C5">
        <w:rPr>
          <w:szCs w:val="22"/>
        </w:rPr>
        <w:t>brands of warfarin</w:t>
      </w:r>
      <w:r w:rsidRPr="00FA03C5">
        <w:rPr>
          <w:szCs w:val="22"/>
          <w:vertAlign w:val="superscript"/>
        </w:rPr>
        <w:t xml:space="preserve"> </w:t>
      </w:r>
      <w:r w:rsidRPr="00FA03C5">
        <w:rPr>
          <w:szCs w:val="22"/>
        </w:rPr>
        <w:t>tablets.</w:t>
      </w:r>
    </w:p>
    <w:p w:rsidR="009E4923" w:rsidRPr="00BC72D5" w:rsidRDefault="009E4923" w:rsidP="009E4923">
      <w:pPr>
        <w:pStyle w:val="ListParagraph"/>
        <w:rPr>
          <w:szCs w:val="22"/>
        </w:rPr>
      </w:pPr>
    </w:p>
    <w:p w:rsidR="00391C92" w:rsidRPr="00BC72D5" w:rsidRDefault="00391C92" w:rsidP="00175538">
      <w:pPr>
        <w:pStyle w:val="ListParagraph"/>
        <w:numPr>
          <w:ilvl w:val="1"/>
          <w:numId w:val="37"/>
        </w:numPr>
        <w:rPr>
          <w:szCs w:val="22"/>
        </w:rPr>
      </w:pPr>
      <w:r w:rsidRPr="00BC72D5">
        <w:rPr>
          <w:szCs w:val="22"/>
        </w:rPr>
        <w:t xml:space="preserve">The TGA accepted that </w:t>
      </w:r>
      <w:r w:rsidR="005038F1" w:rsidRPr="00BC72D5">
        <w:rPr>
          <w:szCs w:val="22"/>
        </w:rPr>
        <w:t>W</w:t>
      </w:r>
      <w:r w:rsidRPr="00BC72D5">
        <w:rPr>
          <w:szCs w:val="22"/>
        </w:rPr>
        <w:t xml:space="preserve">arfarin </w:t>
      </w:r>
      <w:r w:rsidR="003B4A52" w:rsidRPr="00BC72D5">
        <w:rPr>
          <w:szCs w:val="22"/>
        </w:rPr>
        <w:t>APOTEX</w:t>
      </w:r>
      <w:r w:rsidR="003B4A52" w:rsidRPr="00BC72D5">
        <w:rPr>
          <w:color w:val="000000"/>
          <w:vertAlign w:val="superscript"/>
        </w:rPr>
        <w:t>®</w:t>
      </w:r>
      <w:r w:rsidR="003B4A52" w:rsidRPr="00BC72D5">
        <w:rPr>
          <w:szCs w:val="22"/>
        </w:rPr>
        <w:t xml:space="preserve"> and</w:t>
      </w:r>
      <w:r w:rsidRPr="00BC72D5">
        <w:rPr>
          <w:szCs w:val="22"/>
        </w:rPr>
        <w:t xml:space="preserve"> Coumadin</w:t>
      </w:r>
      <w:r w:rsidR="003B4A52" w:rsidRPr="00BC72D5">
        <w:rPr>
          <w:color w:val="000000"/>
          <w:vertAlign w:val="superscript"/>
        </w:rPr>
        <w:t>®</w:t>
      </w:r>
      <w:r w:rsidRPr="00BC72D5">
        <w:rPr>
          <w:szCs w:val="22"/>
        </w:rPr>
        <w:t xml:space="preserve"> are bioequivalent, but recommended that the sponsor for </w:t>
      </w:r>
      <w:r w:rsidR="00982830">
        <w:rPr>
          <w:szCs w:val="22"/>
        </w:rPr>
        <w:t>W</w:t>
      </w:r>
      <w:r w:rsidRPr="00BC72D5">
        <w:rPr>
          <w:szCs w:val="22"/>
        </w:rPr>
        <w:t xml:space="preserve">arfarin </w:t>
      </w:r>
      <w:r w:rsidR="003B4A52" w:rsidRPr="00BC72D5">
        <w:rPr>
          <w:szCs w:val="22"/>
        </w:rPr>
        <w:t>APOTEX</w:t>
      </w:r>
      <w:r w:rsidR="003B4A52" w:rsidRPr="00BC72D5">
        <w:rPr>
          <w:color w:val="000000"/>
          <w:vertAlign w:val="superscript"/>
        </w:rPr>
        <w:t>®</w:t>
      </w:r>
      <w:r w:rsidRPr="00BC72D5">
        <w:rPr>
          <w:szCs w:val="22"/>
        </w:rPr>
        <w:t xml:space="preserve"> address the risk of potential medication error via a risk management plan. For further details on the risk management plan presented in the minor submission, see</w:t>
      </w:r>
      <w:r w:rsidRPr="00BC72D5">
        <w:t xml:space="preserve"> “Quality use of medicines” section below.</w:t>
      </w:r>
    </w:p>
    <w:p w:rsidR="00391C92" w:rsidRPr="00BC72D5" w:rsidRDefault="00391C92" w:rsidP="00391C92">
      <w:pPr>
        <w:pStyle w:val="ListParagraph"/>
        <w:rPr>
          <w:szCs w:val="22"/>
        </w:rPr>
      </w:pPr>
    </w:p>
    <w:p w:rsidR="009E4923" w:rsidRPr="00BC72D5" w:rsidRDefault="00516954" w:rsidP="00175538">
      <w:pPr>
        <w:pStyle w:val="ListParagraph"/>
        <w:numPr>
          <w:ilvl w:val="1"/>
          <w:numId w:val="37"/>
        </w:numPr>
        <w:rPr>
          <w:szCs w:val="22"/>
        </w:rPr>
      </w:pPr>
      <w:r w:rsidRPr="00BC72D5">
        <w:rPr>
          <w:szCs w:val="22"/>
        </w:rPr>
        <w:t xml:space="preserve">A submission seeking PBS listing for </w:t>
      </w:r>
      <w:r w:rsidR="006943F2" w:rsidRPr="00BC72D5">
        <w:rPr>
          <w:szCs w:val="22"/>
        </w:rPr>
        <w:t>W</w:t>
      </w:r>
      <w:r w:rsidRPr="00BC72D5">
        <w:rPr>
          <w:szCs w:val="22"/>
        </w:rPr>
        <w:t xml:space="preserve">arfarin </w:t>
      </w:r>
      <w:r w:rsidR="003B4A52" w:rsidRPr="00BC72D5">
        <w:rPr>
          <w:szCs w:val="22"/>
        </w:rPr>
        <w:t>APOTEX</w:t>
      </w:r>
      <w:r w:rsidR="003B4A52" w:rsidRPr="00BC72D5">
        <w:rPr>
          <w:color w:val="000000"/>
          <w:vertAlign w:val="superscript"/>
        </w:rPr>
        <w:t>®</w:t>
      </w:r>
      <w:r w:rsidRPr="00BC72D5">
        <w:rPr>
          <w:szCs w:val="22"/>
        </w:rPr>
        <w:t xml:space="preserve"> has not been considered by the PBAC previously.</w:t>
      </w:r>
    </w:p>
    <w:p w:rsidR="007D5780" w:rsidRPr="00BC72D5" w:rsidRDefault="007D5780" w:rsidP="007D5780">
      <w:pPr>
        <w:pStyle w:val="ListParagraph"/>
        <w:rPr>
          <w:szCs w:val="22"/>
        </w:rPr>
      </w:pPr>
    </w:p>
    <w:p w:rsidR="000F6A4B" w:rsidRPr="00BC72D5" w:rsidRDefault="00586219" w:rsidP="00175538">
      <w:pPr>
        <w:pStyle w:val="ListParagraph"/>
        <w:numPr>
          <w:ilvl w:val="1"/>
          <w:numId w:val="37"/>
        </w:numPr>
        <w:rPr>
          <w:szCs w:val="22"/>
        </w:rPr>
      </w:pPr>
      <w:r w:rsidRPr="00BC72D5">
        <w:t>Warfarin is a dr</w:t>
      </w:r>
      <w:r w:rsidR="00E00C95" w:rsidRPr="00BC72D5">
        <w:t>ug with narrow therapeutic index</w:t>
      </w:r>
      <w:r w:rsidR="00D029D1" w:rsidRPr="00BC72D5">
        <w:t xml:space="preserve">, i.e. a small change in dose </w:t>
      </w:r>
      <w:r w:rsidR="000B2034" w:rsidRPr="00BC72D5">
        <w:t xml:space="preserve">can </w:t>
      </w:r>
      <w:r w:rsidR="00D029D1" w:rsidRPr="00BC72D5">
        <w:t xml:space="preserve">have a significant impact on </w:t>
      </w:r>
      <w:proofErr w:type="spellStart"/>
      <w:r w:rsidR="00D029D1" w:rsidRPr="00BC72D5">
        <w:t>pharmacodynamic</w:t>
      </w:r>
      <w:proofErr w:type="spellEnd"/>
      <w:r w:rsidR="00D029D1" w:rsidRPr="00BC72D5">
        <w:t xml:space="preserve"> response. Specifically for warfarin, the e</w:t>
      </w:r>
      <w:r w:rsidR="006E588A" w:rsidRPr="00BC72D5">
        <w:t xml:space="preserve">ffectiveness and safety </w:t>
      </w:r>
      <w:r w:rsidR="00D029D1" w:rsidRPr="00BC72D5">
        <w:t xml:space="preserve">profile of the drug is dependent on careful dose titration </w:t>
      </w:r>
      <w:r w:rsidR="000B2034" w:rsidRPr="00BC72D5">
        <w:t>balancing</w:t>
      </w:r>
      <w:r w:rsidR="00E00C95" w:rsidRPr="00BC72D5">
        <w:t xml:space="preserve"> between the risk of stroke and the risk of bleeding</w:t>
      </w:r>
      <w:r w:rsidR="00D029D1" w:rsidRPr="00BC72D5">
        <w:t xml:space="preserve">. </w:t>
      </w:r>
      <w:r w:rsidR="00BF7F57" w:rsidRPr="00BC72D5">
        <w:t xml:space="preserve">As such, </w:t>
      </w:r>
      <w:r w:rsidR="006E588A" w:rsidRPr="00BC72D5">
        <w:t>brand substitution of drugs with narrow therapeutic index</w:t>
      </w:r>
      <w:r w:rsidR="00BF7F57" w:rsidRPr="00BC72D5">
        <w:t xml:space="preserve"> raises </w:t>
      </w:r>
      <w:r w:rsidR="006E588A" w:rsidRPr="00BC72D5">
        <w:t xml:space="preserve">potential </w:t>
      </w:r>
      <w:r w:rsidR="00BF7F57" w:rsidRPr="00BC72D5">
        <w:t>quality use of medicines (QUM) issues. (</w:t>
      </w:r>
      <w:r w:rsidR="00254EDB" w:rsidRPr="00BC72D5">
        <w:t>See</w:t>
      </w:r>
      <w:r w:rsidR="00BF7F57" w:rsidRPr="00BC72D5">
        <w:t xml:space="preserve"> “Quality use of medicines” section below).</w:t>
      </w:r>
    </w:p>
    <w:p w:rsidR="00A84180" w:rsidRPr="00BC72D5" w:rsidRDefault="00A84180" w:rsidP="00A84180">
      <w:pPr>
        <w:pStyle w:val="ListParagraph"/>
        <w:rPr>
          <w:szCs w:val="22"/>
        </w:rPr>
      </w:pPr>
    </w:p>
    <w:p w:rsidR="00A84180" w:rsidRPr="00BC72D5" w:rsidRDefault="00414CE8" w:rsidP="00175538">
      <w:pPr>
        <w:pStyle w:val="ListParagraph"/>
        <w:numPr>
          <w:ilvl w:val="1"/>
          <w:numId w:val="37"/>
        </w:numPr>
        <w:rPr>
          <w:szCs w:val="22"/>
        </w:rPr>
      </w:pPr>
      <w:r w:rsidRPr="00BC72D5">
        <w:rPr>
          <w:szCs w:val="22"/>
        </w:rPr>
        <w:t>Narrow therapeutic index drugs</w:t>
      </w:r>
      <w:r w:rsidR="00F36998" w:rsidRPr="00BC72D5">
        <w:rPr>
          <w:szCs w:val="22"/>
        </w:rPr>
        <w:t xml:space="preserve"> have been </w:t>
      </w:r>
      <w:r w:rsidRPr="00BC72D5">
        <w:rPr>
          <w:szCs w:val="22"/>
        </w:rPr>
        <w:t>previously listed on the PBS with bioequivalent brands ‘a’ flagged to each other (e.g. digoxin).</w:t>
      </w:r>
    </w:p>
    <w:p w:rsidR="00805914" w:rsidRPr="00BC72D5" w:rsidRDefault="00805914" w:rsidP="00F36998">
      <w:pPr>
        <w:rPr>
          <w:szCs w:val="22"/>
        </w:rPr>
      </w:pPr>
    </w:p>
    <w:p w:rsidR="00643E40" w:rsidRPr="00BC72D5" w:rsidRDefault="001549CC" w:rsidP="00175538">
      <w:pPr>
        <w:pStyle w:val="ListParagraph"/>
        <w:numPr>
          <w:ilvl w:val="1"/>
          <w:numId w:val="37"/>
        </w:numPr>
        <w:rPr>
          <w:szCs w:val="22"/>
        </w:rPr>
      </w:pPr>
      <w:r w:rsidRPr="00BC72D5">
        <w:rPr>
          <w:szCs w:val="22"/>
        </w:rPr>
        <w:t>At present, listing of a new generic brand woul</w:t>
      </w:r>
      <w:r w:rsidR="00BF7F57" w:rsidRPr="00BC72D5">
        <w:rPr>
          <w:szCs w:val="22"/>
        </w:rPr>
        <w:t>d trigger a 16% price reduction across all PBS-listed brands of the drug.</w:t>
      </w:r>
    </w:p>
    <w:p w:rsidR="00BF7F57" w:rsidRPr="00BF7F57" w:rsidRDefault="00BF7F57" w:rsidP="00BF7F57">
      <w:pPr>
        <w:pStyle w:val="ListParagraph"/>
        <w:rPr>
          <w:i/>
          <w:szCs w:val="22"/>
        </w:rPr>
      </w:pPr>
    </w:p>
    <w:p w:rsidR="00FA03C5" w:rsidRPr="00275F1E" w:rsidRDefault="00BF7F57" w:rsidP="00175538">
      <w:pPr>
        <w:pStyle w:val="ListParagraph"/>
        <w:numPr>
          <w:ilvl w:val="1"/>
          <w:numId w:val="37"/>
        </w:numPr>
        <w:rPr>
          <w:szCs w:val="22"/>
        </w:rPr>
      </w:pPr>
      <w:r w:rsidRPr="00275F1E">
        <w:rPr>
          <w:szCs w:val="22"/>
        </w:rPr>
        <w:t>Further backgroun</w:t>
      </w:r>
      <w:r w:rsidR="00254EDB" w:rsidRPr="00275F1E">
        <w:rPr>
          <w:szCs w:val="22"/>
        </w:rPr>
        <w:t>d on warfarin</w:t>
      </w:r>
      <w:r w:rsidR="00FA6ACC" w:rsidRPr="00275F1E">
        <w:rPr>
          <w:szCs w:val="22"/>
        </w:rPr>
        <w:t xml:space="preserve"> is provided in the </w:t>
      </w:r>
      <w:r w:rsidR="00254EDB" w:rsidRPr="00275F1E">
        <w:rPr>
          <w:szCs w:val="22"/>
        </w:rPr>
        <w:t>“Committee-in-confidence” sec</w:t>
      </w:r>
      <w:r w:rsidR="00FA6ACC" w:rsidRPr="00275F1E">
        <w:rPr>
          <w:szCs w:val="22"/>
        </w:rPr>
        <w:t>tion.</w:t>
      </w:r>
    </w:p>
    <w:p w:rsidR="0018344A" w:rsidRPr="00FA03C5" w:rsidRDefault="0018344A" w:rsidP="00FA03C5">
      <w:pPr>
        <w:rPr>
          <w:i/>
          <w:szCs w:val="22"/>
        </w:rPr>
      </w:pPr>
    </w:p>
    <w:p w:rsidR="00BC72D5" w:rsidRPr="0018344A" w:rsidRDefault="00BC72D5" w:rsidP="0018344A">
      <w:pPr>
        <w:pStyle w:val="ListParagraph"/>
        <w:rPr>
          <w:i/>
          <w:szCs w:val="22"/>
        </w:rPr>
      </w:pPr>
      <w:r w:rsidRPr="00FA03C5">
        <w:rPr>
          <w:i/>
        </w:rPr>
        <w:t>For more detail on PBAC’s view, see section 7 “PBAC outcome”</w:t>
      </w:r>
    </w:p>
    <w:p w:rsidR="008A1956" w:rsidRDefault="008A1956" w:rsidP="00882085">
      <w:pPr>
        <w:jc w:val="both"/>
        <w:rPr>
          <w:rFonts w:ascii="Arial" w:hAnsi="Arial"/>
          <w:b/>
          <w:sz w:val="22"/>
          <w:szCs w:val="22"/>
        </w:rPr>
      </w:pPr>
    </w:p>
    <w:p w:rsidR="0047008F" w:rsidRPr="00882085" w:rsidRDefault="0047008F" w:rsidP="00882085">
      <w:pPr>
        <w:jc w:val="both"/>
        <w:rPr>
          <w:rFonts w:ascii="Arial" w:hAnsi="Arial"/>
          <w:b/>
          <w:sz w:val="22"/>
          <w:szCs w:val="22"/>
        </w:rPr>
      </w:pPr>
    </w:p>
    <w:p w:rsidR="00CE1351" w:rsidRDefault="00CE1351" w:rsidP="00175538">
      <w:pPr>
        <w:pStyle w:val="PBACHeading1"/>
        <w:numPr>
          <w:ilvl w:val="0"/>
          <w:numId w:val="37"/>
        </w:numPr>
      </w:pPr>
      <w:r w:rsidRPr="00C603D4">
        <w:t>Clinical place for the proposed therapy</w:t>
      </w:r>
    </w:p>
    <w:p w:rsidR="00316F60" w:rsidRPr="00C603D4" w:rsidRDefault="00316F60" w:rsidP="00175538">
      <w:pPr>
        <w:pStyle w:val="ListParagraph"/>
      </w:pPr>
    </w:p>
    <w:p w:rsidR="0016556D" w:rsidRPr="0016556D" w:rsidRDefault="0016556D" w:rsidP="00CE1351">
      <w:pPr>
        <w:pStyle w:val="ListParagraph"/>
        <w:rPr>
          <w:vanish/>
          <w:szCs w:val="22"/>
        </w:rPr>
      </w:pPr>
    </w:p>
    <w:p w:rsidR="00BB7EC3" w:rsidRPr="0071716E" w:rsidRDefault="006516B8" w:rsidP="00882085">
      <w:pPr>
        <w:pStyle w:val="ListParagraph"/>
        <w:numPr>
          <w:ilvl w:val="1"/>
          <w:numId w:val="37"/>
        </w:numPr>
        <w:rPr>
          <w:szCs w:val="22"/>
        </w:rPr>
      </w:pPr>
      <w:r w:rsidRPr="006516B8">
        <w:rPr>
          <w:szCs w:val="22"/>
        </w:rPr>
        <w:t xml:space="preserve">Warfarin </w:t>
      </w:r>
      <w:r w:rsidR="006943F2">
        <w:rPr>
          <w:szCs w:val="22"/>
        </w:rPr>
        <w:t>APOTEX</w:t>
      </w:r>
      <w:r w:rsidR="00204E0C" w:rsidRPr="00186420">
        <w:rPr>
          <w:szCs w:val="22"/>
          <w:vertAlign w:val="superscript"/>
        </w:rPr>
        <w:t>®</w:t>
      </w:r>
      <w:r w:rsidR="006943F2">
        <w:rPr>
          <w:szCs w:val="22"/>
        </w:rPr>
        <w:t xml:space="preserve"> </w:t>
      </w:r>
      <w:r w:rsidRPr="006516B8">
        <w:rPr>
          <w:szCs w:val="22"/>
        </w:rPr>
        <w:t xml:space="preserve">is </w:t>
      </w:r>
      <w:r w:rsidR="006943F2">
        <w:rPr>
          <w:szCs w:val="22"/>
        </w:rPr>
        <w:t>proposed to directly substitute for Coumadin</w:t>
      </w:r>
      <w:r w:rsidR="00204E0C" w:rsidRPr="00186420">
        <w:rPr>
          <w:szCs w:val="22"/>
          <w:vertAlign w:val="superscript"/>
        </w:rPr>
        <w:t>®</w:t>
      </w:r>
      <w:r w:rsidR="006943F2">
        <w:rPr>
          <w:szCs w:val="22"/>
        </w:rPr>
        <w:t>, as these brands have the same TGA approved indications.</w:t>
      </w:r>
    </w:p>
    <w:p w:rsidR="005A3173" w:rsidRPr="00882085" w:rsidRDefault="005A3173" w:rsidP="00882085">
      <w:pPr>
        <w:pStyle w:val="Header"/>
        <w:tabs>
          <w:tab w:val="clear" w:pos="4153"/>
          <w:tab w:val="clear" w:pos="8306"/>
        </w:tabs>
        <w:jc w:val="both"/>
        <w:rPr>
          <w:rFonts w:ascii="Arial" w:hAnsi="Arial"/>
          <w:b/>
          <w:sz w:val="22"/>
          <w:szCs w:val="22"/>
        </w:rPr>
      </w:pPr>
    </w:p>
    <w:p w:rsidR="00CE1351" w:rsidRDefault="00CE1351" w:rsidP="00ED3B0E">
      <w:pPr>
        <w:pStyle w:val="PBACHeading1"/>
        <w:keepNext/>
        <w:numPr>
          <w:ilvl w:val="0"/>
          <w:numId w:val="37"/>
        </w:numPr>
      </w:pPr>
      <w:r w:rsidRPr="00882085">
        <w:t>Comparator</w:t>
      </w:r>
    </w:p>
    <w:p w:rsidR="00316F60" w:rsidRPr="00882085" w:rsidRDefault="00316F60" w:rsidP="00ED3B0E">
      <w:pPr>
        <w:pStyle w:val="ListParagraph"/>
        <w:keepNext/>
      </w:pPr>
    </w:p>
    <w:p w:rsidR="0016556D" w:rsidRPr="0016556D" w:rsidRDefault="0016556D" w:rsidP="00ED3B0E">
      <w:pPr>
        <w:pStyle w:val="ListParagraph"/>
        <w:keepNext/>
        <w:rPr>
          <w:vanish/>
          <w:szCs w:val="22"/>
        </w:rPr>
      </w:pPr>
    </w:p>
    <w:p w:rsidR="00C35996" w:rsidRPr="00BC72D5" w:rsidRDefault="00FF2801" w:rsidP="00ED3B0E">
      <w:pPr>
        <w:pStyle w:val="ListParagraph"/>
        <w:keepNext/>
        <w:numPr>
          <w:ilvl w:val="1"/>
          <w:numId w:val="37"/>
        </w:numPr>
        <w:rPr>
          <w:szCs w:val="22"/>
        </w:rPr>
      </w:pPr>
      <w:r w:rsidRPr="00BC72D5">
        <w:rPr>
          <w:szCs w:val="22"/>
        </w:rPr>
        <w:t>The minor submission nominated</w:t>
      </w:r>
      <w:r w:rsidR="006516B8" w:rsidRPr="00BC72D5">
        <w:rPr>
          <w:szCs w:val="22"/>
        </w:rPr>
        <w:t xml:space="preserve"> </w:t>
      </w:r>
      <w:r w:rsidR="00A96E2F">
        <w:rPr>
          <w:szCs w:val="22"/>
        </w:rPr>
        <w:t>W</w:t>
      </w:r>
      <w:r w:rsidR="006516B8" w:rsidRPr="00BC72D5">
        <w:rPr>
          <w:szCs w:val="22"/>
        </w:rPr>
        <w:t>arfarin Coumadin</w:t>
      </w:r>
      <w:r w:rsidR="003B4A52" w:rsidRPr="00BC72D5">
        <w:rPr>
          <w:color w:val="000000"/>
          <w:vertAlign w:val="superscript"/>
        </w:rPr>
        <w:t>®</w:t>
      </w:r>
      <w:r w:rsidR="006516B8" w:rsidRPr="00BC72D5">
        <w:rPr>
          <w:szCs w:val="22"/>
        </w:rPr>
        <w:t xml:space="preserve"> as the main comparator.</w:t>
      </w:r>
      <w:r w:rsidR="00AF0817" w:rsidRPr="00BC72D5">
        <w:rPr>
          <w:szCs w:val="22"/>
        </w:rPr>
        <w:t xml:space="preserve"> </w:t>
      </w:r>
      <w:r w:rsidR="0071716E">
        <w:rPr>
          <w:szCs w:val="22"/>
        </w:rPr>
        <w:t>The PBAC considered that the proposed comparator</w:t>
      </w:r>
      <w:r w:rsidR="00AF0817" w:rsidRPr="00BC72D5">
        <w:rPr>
          <w:szCs w:val="22"/>
        </w:rPr>
        <w:t xml:space="preserve"> was appropriate, since the submission sought ‘a’ flagging of </w:t>
      </w:r>
      <w:r w:rsidR="006943F2" w:rsidRPr="00BC72D5">
        <w:rPr>
          <w:szCs w:val="22"/>
        </w:rPr>
        <w:t>W</w:t>
      </w:r>
      <w:r w:rsidR="00AF0817" w:rsidRPr="00BC72D5">
        <w:rPr>
          <w:szCs w:val="22"/>
        </w:rPr>
        <w:t xml:space="preserve">arfarin </w:t>
      </w:r>
      <w:r w:rsidR="003B4A52" w:rsidRPr="00BC72D5">
        <w:rPr>
          <w:szCs w:val="22"/>
        </w:rPr>
        <w:t>APOTEX</w:t>
      </w:r>
      <w:r w:rsidR="003B4A52" w:rsidRPr="00BC72D5">
        <w:rPr>
          <w:color w:val="000000"/>
          <w:vertAlign w:val="superscript"/>
        </w:rPr>
        <w:t>®</w:t>
      </w:r>
      <w:r w:rsidR="00AF0817" w:rsidRPr="00BC72D5">
        <w:rPr>
          <w:szCs w:val="22"/>
        </w:rPr>
        <w:t xml:space="preserve"> and Coumadin</w:t>
      </w:r>
      <w:r w:rsidR="003B4A52" w:rsidRPr="00BC72D5">
        <w:rPr>
          <w:color w:val="000000"/>
          <w:vertAlign w:val="superscript"/>
        </w:rPr>
        <w:t>®</w:t>
      </w:r>
      <w:r w:rsidR="00AF0817" w:rsidRPr="00BC72D5">
        <w:rPr>
          <w:szCs w:val="22"/>
        </w:rPr>
        <w:t>.</w:t>
      </w:r>
    </w:p>
    <w:p w:rsidR="0047008F" w:rsidRDefault="0047008F" w:rsidP="0047008F"/>
    <w:p w:rsidR="0047008F" w:rsidRPr="00476245" w:rsidRDefault="0047008F" w:rsidP="0047008F"/>
    <w:p w:rsidR="0016556D" w:rsidRPr="0047008F" w:rsidRDefault="00CE1351" w:rsidP="0047008F">
      <w:pPr>
        <w:pStyle w:val="PBACHeading1"/>
        <w:keepNext/>
        <w:numPr>
          <w:ilvl w:val="0"/>
          <w:numId w:val="37"/>
        </w:numPr>
      </w:pPr>
      <w:r>
        <w:t>Consideration of the evidence</w:t>
      </w:r>
    </w:p>
    <w:p w:rsidR="0047008F" w:rsidRDefault="0047008F" w:rsidP="0047008F">
      <w:pPr>
        <w:rPr>
          <w:snapToGrid w:val="0"/>
        </w:rPr>
      </w:pPr>
    </w:p>
    <w:p w:rsidR="00CE1351" w:rsidRDefault="00CE1351" w:rsidP="00E85F4A">
      <w:pPr>
        <w:pStyle w:val="Heading2"/>
        <w:rPr>
          <w:rFonts w:cs="Arial"/>
          <w:bCs/>
          <w:snapToGrid w:val="0"/>
          <w:szCs w:val="22"/>
        </w:rPr>
      </w:pPr>
      <w:r w:rsidRPr="00E9191D">
        <w:rPr>
          <w:rFonts w:cs="Arial"/>
          <w:bCs/>
          <w:snapToGrid w:val="0"/>
          <w:szCs w:val="22"/>
        </w:rPr>
        <w:t>Sponsor hearing</w:t>
      </w:r>
    </w:p>
    <w:p w:rsidR="00E85F4A" w:rsidRPr="00E85F4A" w:rsidRDefault="00E85F4A" w:rsidP="00E85F4A"/>
    <w:p w:rsidR="00BC72D5" w:rsidRPr="00E9191D" w:rsidRDefault="00BC72D5" w:rsidP="00175538">
      <w:pPr>
        <w:pStyle w:val="ListParagraph"/>
        <w:numPr>
          <w:ilvl w:val="1"/>
          <w:numId w:val="37"/>
        </w:numPr>
        <w:rPr>
          <w:bCs/>
          <w:szCs w:val="22"/>
        </w:rPr>
      </w:pPr>
      <w:r w:rsidRPr="00E9191D">
        <w:rPr>
          <w:bCs/>
          <w:szCs w:val="22"/>
        </w:rPr>
        <w:t>There was no hearing for this ite</w:t>
      </w:r>
      <w:r w:rsidR="00031425" w:rsidRPr="00E9191D">
        <w:rPr>
          <w:bCs/>
          <w:szCs w:val="22"/>
        </w:rPr>
        <w:t>m as it was a minor submission.</w:t>
      </w:r>
    </w:p>
    <w:p w:rsidR="00BC72D5" w:rsidRPr="00E9191D" w:rsidRDefault="00BC72D5" w:rsidP="00BC72D5">
      <w:pPr>
        <w:jc w:val="both"/>
        <w:rPr>
          <w:rFonts w:ascii="Arial" w:hAnsi="Arial" w:cs="Arial"/>
          <w:bCs/>
          <w:snapToGrid w:val="0"/>
          <w:sz w:val="22"/>
          <w:szCs w:val="22"/>
        </w:rPr>
      </w:pPr>
    </w:p>
    <w:p w:rsidR="00BC72D5" w:rsidRDefault="00BC72D5" w:rsidP="00E85F4A">
      <w:pPr>
        <w:pStyle w:val="Heading2"/>
      </w:pPr>
      <w:r w:rsidRPr="00E85F4A">
        <w:t>Consumer comments</w:t>
      </w:r>
    </w:p>
    <w:p w:rsidR="00E85F4A" w:rsidRPr="00E85F4A" w:rsidRDefault="00E85F4A" w:rsidP="00E85F4A"/>
    <w:p w:rsidR="00BC72D5" w:rsidRPr="00E9191D" w:rsidRDefault="00BC72D5" w:rsidP="00175538">
      <w:pPr>
        <w:pStyle w:val="ListParagraph"/>
        <w:numPr>
          <w:ilvl w:val="1"/>
          <w:numId w:val="37"/>
        </w:numPr>
        <w:rPr>
          <w:bCs/>
          <w:szCs w:val="22"/>
        </w:rPr>
      </w:pPr>
      <w:r w:rsidRPr="00E9191D">
        <w:rPr>
          <w:bCs/>
          <w:i/>
          <w:szCs w:val="22"/>
        </w:rPr>
        <w:t xml:space="preserve"> </w:t>
      </w:r>
      <w:r w:rsidRPr="00E9191D">
        <w:rPr>
          <w:bCs/>
          <w:szCs w:val="22"/>
        </w:rPr>
        <w:t>The PBAC noted that no consumer comments were received for this item.</w:t>
      </w:r>
    </w:p>
    <w:p w:rsidR="00BB7EC3" w:rsidRDefault="00BB7EC3" w:rsidP="00F9629A">
      <w:pPr>
        <w:jc w:val="both"/>
        <w:rPr>
          <w:rFonts w:ascii="Arial" w:hAnsi="Arial"/>
          <w:sz w:val="22"/>
          <w:szCs w:val="22"/>
        </w:rPr>
      </w:pPr>
    </w:p>
    <w:p w:rsidR="00D84934" w:rsidRPr="00882085" w:rsidRDefault="00D84934" w:rsidP="00B1059E">
      <w:pPr>
        <w:pStyle w:val="Heading2"/>
      </w:pPr>
      <w:r>
        <w:t>Clinical trials</w:t>
      </w:r>
    </w:p>
    <w:p w:rsidR="00D84934" w:rsidRPr="00F9629A" w:rsidRDefault="00D84934" w:rsidP="00F9629A">
      <w:pPr>
        <w:jc w:val="both"/>
        <w:rPr>
          <w:rFonts w:ascii="Arial" w:hAnsi="Arial"/>
          <w:sz w:val="22"/>
          <w:szCs w:val="22"/>
        </w:rPr>
      </w:pPr>
    </w:p>
    <w:p w:rsidR="009F4E46" w:rsidRDefault="009F4E46" w:rsidP="00175538">
      <w:pPr>
        <w:pStyle w:val="ListParagraph"/>
        <w:numPr>
          <w:ilvl w:val="1"/>
          <w:numId w:val="37"/>
        </w:numPr>
        <w:rPr>
          <w:szCs w:val="22"/>
        </w:rPr>
      </w:pPr>
      <w:r>
        <w:rPr>
          <w:szCs w:val="22"/>
        </w:rPr>
        <w:t>The minor submission presente</w:t>
      </w:r>
      <w:r w:rsidR="00C575A7">
        <w:rPr>
          <w:szCs w:val="22"/>
        </w:rPr>
        <w:t xml:space="preserve">d the following clinical trials as pivotal and supportive evidence of bioequivalence of </w:t>
      </w:r>
      <w:r w:rsidR="006943F2">
        <w:rPr>
          <w:szCs w:val="22"/>
        </w:rPr>
        <w:t>W</w:t>
      </w:r>
      <w:r w:rsidR="00C575A7">
        <w:rPr>
          <w:szCs w:val="22"/>
        </w:rPr>
        <w:t xml:space="preserve">arfarin </w:t>
      </w:r>
      <w:r w:rsidR="003B4A52">
        <w:rPr>
          <w:szCs w:val="22"/>
        </w:rPr>
        <w:t>APOTEX</w:t>
      </w:r>
      <w:r w:rsidR="003B4A52" w:rsidRPr="00F94738">
        <w:rPr>
          <w:color w:val="000000"/>
          <w:vertAlign w:val="superscript"/>
        </w:rPr>
        <w:t>®</w:t>
      </w:r>
      <w:r w:rsidR="003B4A52">
        <w:rPr>
          <w:color w:val="000000"/>
          <w:vertAlign w:val="superscript"/>
        </w:rPr>
        <w:t xml:space="preserve"> </w:t>
      </w:r>
      <w:r w:rsidR="00C575A7">
        <w:rPr>
          <w:szCs w:val="22"/>
        </w:rPr>
        <w:t>and Coumadin</w:t>
      </w:r>
      <w:r w:rsidR="003B4A52" w:rsidRPr="00F94738">
        <w:rPr>
          <w:color w:val="000000"/>
          <w:vertAlign w:val="superscript"/>
        </w:rPr>
        <w:t>®</w:t>
      </w:r>
      <w:r w:rsidR="00A90AB9">
        <w:rPr>
          <w:szCs w:val="22"/>
        </w:rPr>
        <w:t xml:space="preserve"> (Table</w:t>
      </w:r>
      <w:r w:rsidR="006943F2">
        <w:rPr>
          <w:szCs w:val="22"/>
        </w:rPr>
        <w:t> </w:t>
      </w:r>
      <w:r w:rsidR="00A90AB9">
        <w:rPr>
          <w:szCs w:val="22"/>
        </w:rPr>
        <w:t>1).</w:t>
      </w:r>
    </w:p>
    <w:p w:rsidR="00E17D6F" w:rsidRDefault="00E17D6F" w:rsidP="00E17D6F">
      <w:pPr>
        <w:pStyle w:val="ListParagraph"/>
        <w:rPr>
          <w:szCs w:val="22"/>
        </w:rPr>
      </w:pPr>
    </w:p>
    <w:p w:rsidR="00C575A7" w:rsidRPr="00E17D6F" w:rsidRDefault="00E17D6F" w:rsidP="00E17D6F">
      <w:pPr>
        <w:pStyle w:val="ListParagraph"/>
        <w:ind w:left="851" w:hanging="142"/>
        <w:rPr>
          <w:rFonts w:ascii="Arial Narrow" w:hAnsi="Arial Narrow" w:cs="Times New Roman"/>
          <w:b/>
          <w:snapToGrid/>
          <w:sz w:val="20"/>
          <w:szCs w:val="22"/>
          <w:lang w:eastAsia="en-AU"/>
        </w:rPr>
      </w:pPr>
      <w:r w:rsidRPr="00E17D6F">
        <w:rPr>
          <w:rFonts w:ascii="Arial Narrow" w:hAnsi="Arial Narrow" w:cs="Times New Roman"/>
          <w:b/>
          <w:snapToGrid/>
          <w:sz w:val="20"/>
          <w:szCs w:val="22"/>
          <w:lang w:eastAsia="en-AU"/>
        </w:rPr>
        <w:t>Table 1: Trials presented in the submission</w:t>
      </w:r>
    </w:p>
    <w:tbl>
      <w:tblPr>
        <w:tblStyle w:val="TableGrid"/>
        <w:tblW w:w="0" w:type="auto"/>
        <w:tblInd w:w="817" w:type="dxa"/>
        <w:tblCellMar>
          <w:left w:w="57" w:type="dxa"/>
          <w:right w:w="57" w:type="dxa"/>
        </w:tblCellMar>
        <w:tblLook w:val="04A0" w:firstRow="1" w:lastRow="0" w:firstColumn="1" w:lastColumn="0" w:noHBand="0" w:noVBand="1"/>
        <w:tblCaption w:val="Summary of trials presented in the submission"/>
      </w:tblPr>
      <w:tblGrid>
        <w:gridCol w:w="1214"/>
        <w:gridCol w:w="5410"/>
        <w:gridCol w:w="1699"/>
      </w:tblGrid>
      <w:tr w:rsidR="00251255" w:rsidRPr="00E17D6F" w:rsidTr="00A44E89">
        <w:trPr>
          <w:tblHeader/>
        </w:trPr>
        <w:tc>
          <w:tcPr>
            <w:tcW w:w="1218" w:type="dxa"/>
          </w:tcPr>
          <w:p w:rsidR="00251255" w:rsidRPr="00E17D6F" w:rsidRDefault="00251255" w:rsidP="00431C8F">
            <w:pPr>
              <w:pStyle w:val="Table"/>
              <w:rPr>
                <w:rFonts w:ascii="Arial Narrow" w:eastAsia="Times New Roman" w:hAnsi="Arial Narrow" w:cs="Times New Roman"/>
                <w:b/>
                <w:lang w:eastAsia="en-AU" w:bidi="ar-SA"/>
              </w:rPr>
            </w:pPr>
            <w:r w:rsidRPr="00E17D6F">
              <w:rPr>
                <w:rFonts w:ascii="Arial Narrow" w:eastAsia="Times New Roman" w:hAnsi="Arial Narrow" w:cs="Times New Roman"/>
                <w:b/>
                <w:lang w:eastAsia="en-AU" w:bidi="ar-SA"/>
              </w:rPr>
              <w:t>Study ID</w:t>
            </w:r>
          </w:p>
        </w:tc>
        <w:tc>
          <w:tcPr>
            <w:tcW w:w="5444" w:type="dxa"/>
          </w:tcPr>
          <w:p w:rsidR="00251255" w:rsidRPr="00E17D6F" w:rsidRDefault="00251255" w:rsidP="00431C8F">
            <w:pPr>
              <w:pStyle w:val="Table"/>
              <w:rPr>
                <w:rFonts w:ascii="Arial Narrow" w:eastAsia="Times New Roman" w:hAnsi="Arial Narrow" w:cs="Times New Roman"/>
                <w:b/>
                <w:lang w:eastAsia="en-AU" w:bidi="ar-SA"/>
              </w:rPr>
            </w:pPr>
            <w:r w:rsidRPr="00E17D6F">
              <w:rPr>
                <w:rFonts w:ascii="Arial Narrow" w:eastAsia="Times New Roman" w:hAnsi="Arial Narrow" w:cs="Times New Roman"/>
                <w:b/>
                <w:lang w:eastAsia="en-AU" w:bidi="ar-SA"/>
              </w:rPr>
              <w:t>Description</w:t>
            </w:r>
          </w:p>
        </w:tc>
        <w:tc>
          <w:tcPr>
            <w:tcW w:w="1701" w:type="dxa"/>
          </w:tcPr>
          <w:p w:rsidR="00251255" w:rsidRPr="00A96E2F" w:rsidRDefault="00251255" w:rsidP="00431C8F">
            <w:pPr>
              <w:pStyle w:val="Table"/>
              <w:rPr>
                <w:rFonts w:ascii="Arial Narrow" w:eastAsia="Times New Roman" w:hAnsi="Arial Narrow" w:cs="Times New Roman"/>
                <w:b/>
                <w:lang w:eastAsia="en-AU" w:bidi="ar-SA"/>
              </w:rPr>
            </w:pPr>
            <w:r w:rsidRPr="00A96E2F">
              <w:rPr>
                <w:rFonts w:ascii="Arial Narrow" w:eastAsia="Times New Roman" w:hAnsi="Arial Narrow" w:cs="Times New Roman"/>
                <w:b/>
                <w:lang w:eastAsia="en-AU" w:bidi="ar-SA"/>
              </w:rPr>
              <w:t>Publication citation</w:t>
            </w:r>
          </w:p>
        </w:tc>
      </w:tr>
      <w:tr w:rsidR="00251255" w:rsidRPr="00E17D6F" w:rsidTr="003C7AD7">
        <w:tc>
          <w:tcPr>
            <w:tcW w:w="1218" w:type="dxa"/>
          </w:tcPr>
          <w:p w:rsidR="00251255" w:rsidRPr="00E17D6F" w:rsidRDefault="00251255" w:rsidP="00431C8F">
            <w:pPr>
              <w:pStyle w:val="Table"/>
              <w:rPr>
                <w:rFonts w:ascii="Arial Narrow" w:hAnsi="Arial Narrow"/>
              </w:rPr>
            </w:pPr>
            <w:r w:rsidRPr="00E17D6F">
              <w:rPr>
                <w:rFonts w:ascii="Arial Narrow" w:hAnsi="Arial Narrow"/>
              </w:rPr>
              <w:t>WA8300</w:t>
            </w:r>
          </w:p>
        </w:tc>
        <w:tc>
          <w:tcPr>
            <w:tcW w:w="5444" w:type="dxa"/>
          </w:tcPr>
          <w:p w:rsidR="00251255" w:rsidRPr="00E17D6F" w:rsidRDefault="00251255" w:rsidP="00431C8F">
            <w:pPr>
              <w:pStyle w:val="Table"/>
              <w:rPr>
                <w:rFonts w:ascii="Arial Narrow" w:hAnsi="Arial Narrow"/>
              </w:rPr>
            </w:pPr>
            <w:r w:rsidRPr="00E17D6F">
              <w:rPr>
                <w:rFonts w:ascii="Arial Narrow" w:hAnsi="Arial Narrow"/>
              </w:rPr>
              <w:t xml:space="preserve">Bioequivalence study, conducted with Australian-branded Warfarin </w:t>
            </w:r>
            <w:r>
              <w:rPr>
                <w:rFonts w:ascii="Arial Narrow" w:hAnsi="Arial Narrow"/>
              </w:rPr>
              <w:t>APOTEX</w:t>
            </w:r>
            <w:r w:rsidRPr="00F94738">
              <w:rPr>
                <w:color w:val="000000"/>
                <w:vertAlign w:val="superscript"/>
              </w:rPr>
              <w:t>®</w:t>
            </w:r>
            <w:r>
              <w:rPr>
                <w:rFonts w:ascii="Arial Narrow" w:hAnsi="Arial Narrow"/>
              </w:rPr>
              <w:t xml:space="preserve"> </w:t>
            </w:r>
            <w:r w:rsidRPr="00E17D6F">
              <w:rPr>
                <w:rFonts w:ascii="Arial Narrow" w:hAnsi="Arial Narrow"/>
              </w:rPr>
              <w:t>and Coumadin</w:t>
            </w:r>
            <w:r w:rsidRPr="00F94738">
              <w:rPr>
                <w:color w:val="000000"/>
                <w:vertAlign w:val="superscript"/>
              </w:rPr>
              <w:t>®</w:t>
            </w:r>
            <w:r w:rsidRPr="00E17D6F">
              <w:rPr>
                <w:rFonts w:ascii="Arial Narrow" w:hAnsi="Arial Narrow"/>
              </w:rPr>
              <w:t xml:space="preserve"> tablets. This study was a single dose, 2-way cross over study conducted in healthy volunteers in the fasted state.</w:t>
            </w:r>
          </w:p>
        </w:tc>
        <w:tc>
          <w:tcPr>
            <w:tcW w:w="1701" w:type="dxa"/>
          </w:tcPr>
          <w:p w:rsidR="00BA1894" w:rsidRPr="00A96E2F" w:rsidRDefault="000E5B32" w:rsidP="00431C8F">
            <w:pPr>
              <w:pStyle w:val="Table"/>
              <w:rPr>
                <w:rFonts w:ascii="Arial Narrow" w:hAnsi="Arial Narrow"/>
              </w:rPr>
            </w:pPr>
            <w:r>
              <w:rPr>
                <w:rFonts w:ascii="Arial Narrow" w:hAnsi="Arial Narrow"/>
              </w:rPr>
              <w:t>Unpublished data</w:t>
            </w:r>
          </w:p>
        </w:tc>
      </w:tr>
      <w:tr w:rsidR="00BA1894" w:rsidRPr="00E17D6F" w:rsidTr="003C7AD7">
        <w:tc>
          <w:tcPr>
            <w:tcW w:w="1218" w:type="dxa"/>
          </w:tcPr>
          <w:p w:rsidR="00BA1894" w:rsidRPr="00E17D6F" w:rsidRDefault="00BA1894" w:rsidP="00431C8F">
            <w:pPr>
              <w:pStyle w:val="Table"/>
              <w:rPr>
                <w:rFonts w:ascii="Arial Narrow" w:hAnsi="Arial Narrow"/>
              </w:rPr>
            </w:pPr>
            <w:r w:rsidRPr="00E17D6F">
              <w:rPr>
                <w:rFonts w:ascii="Arial Narrow" w:hAnsi="Arial Narrow"/>
              </w:rPr>
              <w:t>WATB02</w:t>
            </w:r>
          </w:p>
        </w:tc>
        <w:tc>
          <w:tcPr>
            <w:tcW w:w="5444" w:type="dxa"/>
          </w:tcPr>
          <w:p w:rsidR="00BA1894" w:rsidRPr="00E17D6F" w:rsidRDefault="00BA1894" w:rsidP="00431C8F">
            <w:pPr>
              <w:pStyle w:val="Table"/>
              <w:rPr>
                <w:rFonts w:ascii="Arial Narrow" w:hAnsi="Arial Narrow"/>
              </w:rPr>
            </w:pPr>
            <w:r w:rsidRPr="00E17D6F">
              <w:rPr>
                <w:rFonts w:ascii="Arial Narrow" w:hAnsi="Arial Narrow"/>
              </w:rPr>
              <w:t>To determine the relative bioavailability of warfarin from two drug products in a 2-way cross-over comparative bioavailability study under fasting conditions; 10 mg tablets.</w:t>
            </w:r>
          </w:p>
        </w:tc>
        <w:tc>
          <w:tcPr>
            <w:tcW w:w="1701" w:type="dxa"/>
          </w:tcPr>
          <w:p w:rsidR="00BA1894" w:rsidRPr="00A96E2F" w:rsidRDefault="0071716E" w:rsidP="00BA1894">
            <w:pPr>
              <w:pStyle w:val="Table"/>
              <w:rPr>
                <w:rFonts w:ascii="Arial Narrow" w:hAnsi="Arial Narrow"/>
              </w:rPr>
            </w:pPr>
            <w:r>
              <w:rPr>
                <w:rFonts w:ascii="Arial Narrow" w:hAnsi="Arial Narrow"/>
              </w:rPr>
              <w:t>Unpublished data</w:t>
            </w:r>
          </w:p>
        </w:tc>
      </w:tr>
      <w:tr w:rsidR="00BA1894" w:rsidRPr="00E17D6F" w:rsidTr="003C7AD7">
        <w:tc>
          <w:tcPr>
            <w:tcW w:w="1218" w:type="dxa"/>
          </w:tcPr>
          <w:p w:rsidR="00BA1894" w:rsidRPr="00E17D6F" w:rsidRDefault="00BA1894" w:rsidP="00431C8F">
            <w:pPr>
              <w:pStyle w:val="Table"/>
              <w:rPr>
                <w:rFonts w:ascii="Arial Narrow" w:hAnsi="Arial Narrow"/>
              </w:rPr>
            </w:pPr>
            <w:r w:rsidRPr="00E17D6F">
              <w:rPr>
                <w:rFonts w:ascii="Arial Narrow" w:hAnsi="Arial Narrow"/>
              </w:rPr>
              <w:t>WATB03</w:t>
            </w:r>
          </w:p>
        </w:tc>
        <w:tc>
          <w:tcPr>
            <w:tcW w:w="5444" w:type="dxa"/>
          </w:tcPr>
          <w:p w:rsidR="00BA1894" w:rsidRPr="00E17D6F" w:rsidRDefault="00BA1894" w:rsidP="00431C8F">
            <w:pPr>
              <w:pStyle w:val="Table"/>
              <w:rPr>
                <w:rFonts w:ascii="Arial Narrow" w:hAnsi="Arial Narrow"/>
              </w:rPr>
            </w:pPr>
            <w:r w:rsidRPr="00E17D6F">
              <w:rPr>
                <w:rFonts w:ascii="Arial Narrow" w:hAnsi="Arial Narrow"/>
              </w:rPr>
              <w:t>To determine the relative bioavailability of warfarin from two drug products in a 2-way cross-over study under fed conditions; 10mg tablets.</w:t>
            </w:r>
          </w:p>
        </w:tc>
        <w:tc>
          <w:tcPr>
            <w:tcW w:w="1701" w:type="dxa"/>
          </w:tcPr>
          <w:p w:rsidR="00BA1894" w:rsidRPr="00A96E2F" w:rsidRDefault="0071716E" w:rsidP="00BA1894">
            <w:pPr>
              <w:pStyle w:val="Table"/>
              <w:rPr>
                <w:rFonts w:ascii="Arial Narrow" w:hAnsi="Arial Narrow"/>
              </w:rPr>
            </w:pPr>
            <w:r>
              <w:rPr>
                <w:rFonts w:ascii="Arial Narrow" w:hAnsi="Arial Narrow"/>
              </w:rPr>
              <w:t>Unpublished data</w:t>
            </w:r>
          </w:p>
        </w:tc>
      </w:tr>
      <w:tr w:rsidR="00BA1894" w:rsidRPr="00E17D6F" w:rsidTr="003C7AD7">
        <w:tc>
          <w:tcPr>
            <w:tcW w:w="1218" w:type="dxa"/>
          </w:tcPr>
          <w:p w:rsidR="00BA1894" w:rsidRPr="00E17D6F" w:rsidRDefault="00BA1894" w:rsidP="00431C8F">
            <w:pPr>
              <w:pStyle w:val="Table"/>
              <w:rPr>
                <w:rFonts w:ascii="Arial Narrow" w:hAnsi="Arial Narrow"/>
              </w:rPr>
            </w:pPr>
            <w:r w:rsidRPr="00E17D6F">
              <w:rPr>
                <w:rFonts w:ascii="Arial Narrow" w:hAnsi="Arial Narrow"/>
              </w:rPr>
              <w:t>WATB04</w:t>
            </w:r>
          </w:p>
        </w:tc>
        <w:tc>
          <w:tcPr>
            <w:tcW w:w="5444" w:type="dxa"/>
          </w:tcPr>
          <w:p w:rsidR="00BA1894" w:rsidRPr="00E17D6F" w:rsidRDefault="00BA1894" w:rsidP="00431C8F">
            <w:pPr>
              <w:pStyle w:val="Table"/>
              <w:rPr>
                <w:rFonts w:ascii="Arial Narrow" w:hAnsi="Arial Narrow"/>
              </w:rPr>
            </w:pPr>
            <w:r w:rsidRPr="00E17D6F">
              <w:rPr>
                <w:rFonts w:ascii="Arial Narrow" w:hAnsi="Arial Narrow"/>
              </w:rPr>
              <w:t>Bioavailability study to compare warfarin 1mg tablets (</w:t>
            </w:r>
            <w:r>
              <w:rPr>
                <w:rFonts w:ascii="Arial Narrow" w:hAnsi="Arial Narrow"/>
              </w:rPr>
              <w:t>APOTEX</w:t>
            </w:r>
            <w:r w:rsidRPr="00E17D6F">
              <w:rPr>
                <w:rFonts w:ascii="Arial Narrow" w:hAnsi="Arial Narrow"/>
              </w:rPr>
              <w:t>, Inc.) with that of Coumadin</w:t>
            </w:r>
            <w:r w:rsidRPr="00F94738">
              <w:rPr>
                <w:color w:val="000000"/>
                <w:vertAlign w:val="superscript"/>
              </w:rPr>
              <w:t>®</w:t>
            </w:r>
            <w:r w:rsidRPr="00E17D6F">
              <w:rPr>
                <w:rFonts w:ascii="Arial Narrow" w:hAnsi="Arial Narrow"/>
              </w:rPr>
              <w:t xml:space="preserve"> tablets (DuPont Pharma) in the fasted state. A single-dose, 2-way, randomised cross over study when dosed (2x1mg) after an overnight fast.</w:t>
            </w:r>
          </w:p>
        </w:tc>
        <w:tc>
          <w:tcPr>
            <w:tcW w:w="1701" w:type="dxa"/>
          </w:tcPr>
          <w:p w:rsidR="00BA1894" w:rsidRPr="00A96E2F" w:rsidRDefault="0071716E" w:rsidP="00BA1894">
            <w:pPr>
              <w:pStyle w:val="Table"/>
              <w:rPr>
                <w:rFonts w:ascii="Arial Narrow" w:hAnsi="Arial Narrow"/>
              </w:rPr>
            </w:pPr>
            <w:r>
              <w:rPr>
                <w:rFonts w:ascii="Arial Narrow" w:hAnsi="Arial Narrow"/>
              </w:rPr>
              <w:t>Unpublished data</w:t>
            </w:r>
          </w:p>
        </w:tc>
      </w:tr>
      <w:tr w:rsidR="00BA1894" w:rsidRPr="00E17D6F" w:rsidTr="003C7AD7">
        <w:tc>
          <w:tcPr>
            <w:tcW w:w="1218" w:type="dxa"/>
          </w:tcPr>
          <w:p w:rsidR="00BA1894" w:rsidRPr="00E17D6F" w:rsidRDefault="00BA1894" w:rsidP="00431C8F">
            <w:pPr>
              <w:pStyle w:val="Table"/>
              <w:rPr>
                <w:rFonts w:ascii="Arial Narrow" w:hAnsi="Arial Narrow"/>
              </w:rPr>
            </w:pPr>
            <w:r w:rsidRPr="00E17D6F">
              <w:rPr>
                <w:rFonts w:ascii="Arial Narrow" w:hAnsi="Arial Narrow"/>
              </w:rPr>
              <w:t>WATB05</w:t>
            </w:r>
          </w:p>
        </w:tc>
        <w:tc>
          <w:tcPr>
            <w:tcW w:w="5444" w:type="dxa"/>
          </w:tcPr>
          <w:p w:rsidR="00BA1894" w:rsidRPr="00E17D6F" w:rsidRDefault="00BA1894" w:rsidP="003B4A52">
            <w:pPr>
              <w:pStyle w:val="Table"/>
              <w:rPr>
                <w:rFonts w:ascii="Arial Narrow" w:hAnsi="Arial Narrow"/>
              </w:rPr>
            </w:pPr>
            <w:r w:rsidRPr="00E17D6F">
              <w:rPr>
                <w:rFonts w:ascii="Arial Narrow" w:hAnsi="Arial Narrow"/>
              </w:rPr>
              <w:t>Bioavailability study to compare warfarin 1mg tablets (</w:t>
            </w:r>
            <w:r>
              <w:rPr>
                <w:rFonts w:ascii="Arial Narrow" w:hAnsi="Arial Narrow"/>
              </w:rPr>
              <w:t>APOTEX</w:t>
            </w:r>
            <w:r w:rsidRPr="00E17D6F">
              <w:rPr>
                <w:rFonts w:ascii="Arial Narrow" w:hAnsi="Arial Narrow"/>
              </w:rPr>
              <w:t>, Inc.) with that of Coumadin</w:t>
            </w:r>
            <w:r w:rsidRPr="00F94738">
              <w:rPr>
                <w:color w:val="000000"/>
                <w:vertAlign w:val="superscript"/>
              </w:rPr>
              <w:t>®</w:t>
            </w:r>
            <w:r w:rsidRPr="00E17D6F">
              <w:rPr>
                <w:rFonts w:ascii="Arial Narrow" w:hAnsi="Arial Narrow"/>
              </w:rPr>
              <w:t xml:space="preserve"> tablets (DuPont Pharma) in the fed state. A single-dose, 2-way, randomised cross over study when dosed (2x1mg) after a high fat meal </w:t>
            </w:r>
            <w:proofErr w:type="gramStart"/>
            <w:r w:rsidRPr="00E17D6F">
              <w:rPr>
                <w:rFonts w:ascii="Arial Narrow" w:hAnsi="Arial Narrow"/>
              </w:rPr>
              <w:t>preceded</w:t>
            </w:r>
            <w:proofErr w:type="gramEnd"/>
            <w:r w:rsidRPr="00E17D6F">
              <w:rPr>
                <w:rFonts w:ascii="Arial Narrow" w:hAnsi="Arial Narrow"/>
              </w:rPr>
              <w:t xml:space="preserve"> by an overnight fast.</w:t>
            </w:r>
          </w:p>
        </w:tc>
        <w:tc>
          <w:tcPr>
            <w:tcW w:w="1701" w:type="dxa"/>
          </w:tcPr>
          <w:p w:rsidR="00BA1894" w:rsidRPr="00A96E2F" w:rsidRDefault="0071716E" w:rsidP="003B4A52">
            <w:pPr>
              <w:pStyle w:val="Table"/>
              <w:rPr>
                <w:rFonts w:ascii="Arial Narrow" w:hAnsi="Arial Narrow"/>
              </w:rPr>
            </w:pPr>
            <w:r>
              <w:rPr>
                <w:rFonts w:ascii="Arial Narrow" w:hAnsi="Arial Narrow"/>
              </w:rPr>
              <w:t>Unpublished data</w:t>
            </w:r>
          </w:p>
        </w:tc>
      </w:tr>
      <w:tr w:rsidR="00BA1894" w:rsidRPr="00E17D6F" w:rsidTr="003C7AD7">
        <w:tc>
          <w:tcPr>
            <w:tcW w:w="1218" w:type="dxa"/>
          </w:tcPr>
          <w:p w:rsidR="00BA1894" w:rsidRPr="00E17D6F" w:rsidRDefault="00BA1894" w:rsidP="00431C8F">
            <w:pPr>
              <w:pStyle w:val="Table"/>
              <w:rPr>
                <w:rFonts w:ascii="Arial Narrow" w:hAnsi="Arial Narrow"/>
              </w:rPr>
            </w:pPr>
            <w:r w:rsidRPr="00E17D6F">
              <w:rPr>
                <w:rFonts w:ascii="Arial Narrow" w:hAnsi="Arial Narrow"/>
              </w:rPr>
              <w:t>WA6231</w:t>
            </w:r>
          </w:p>
        </w:tc>
        <w:tc>
          <w:tcPr>
            <w:tcW w:w="5444" w:type="dxa"/>
          </w:tcPr>
          <w:p w:rsidR="00BA1894" w:rsidRPr="00E17D6F" w:rsidRDefault="00BA1894" w:rsidP="00431C8F">
            <w:pPr>
              <w:pStyle w:val="Table"/>
              <w:rPr>
                <w:rFonts w:ascii="Arial Narrow" w:hAnsi="Arial Narrow"/>
              </w:rPr>
            </w:pPr>
            <w:r w:rsidRPr="00E17D6F">
              <w:rPr>
                <w:rFonts w:ascii="Arial Narrow" w:hAnsi="Arial Narrow"/>
              </w:rPr>
              <w:t>Double-blind, single dose, standard randomised 2-way cross over relative bioavailability study performed on healthy adult males under fasting conditions. Test formulation: warfarin sodium tablets 10mg (</w:t>
            </w:r>
            <w:r>
              <w:rPr>
                <w:rFonts w:ascii="Arial Narrow" w:hAnsi="Arial Narrow"/>
              </w:rPr>
              <w:t>APOTEX</w:t>
            </w:r>
            <w:r w:rsidRPr="00E17D6F">
              <w:rPr>
                <w:rFonts w:ascii="Arial Narrow" w:hAnsi="Arial Narrow"/>
              </w:rPr>
              <w:t xml:space="preserve"> Inc.). Reference formulation: Coumadin</w:t>
            </w:r>
            <w:r w:rsidRPr="00F94738">
              <w:rPr>
                <w:color w:val="000000"/>
                <w:vertAlign w:val="superscript"/>
              </w:rPr>
              <w:t>®</w:t>
            </w:r>
            <w:r w:rsidRPr="00E17D6F">
              <w:rPr>
                <w:rFonts w:ascii="Arial Narrow" w:hAnsi="Arial Narrow"/>
              </w:rPr>
              <w:t xml:space="preserve"> Tablets 10mg (Bristol-Myers Squibb, Canada)</w:t>
            </w:r>
          </w:p>
        </w:tc>
        <w:tc>
          <w:tcPr>
            <w:tcW w:w="1701" w:type="dxa"/>
          </w:tcPr>
          <w:p w:rsidR="00BA1894" w:rsidRPr="00A96E2F" w:rsidRDefault="0071716E" w:rsidP="00BA1894">
            <w:pPr>
              <w:pStyle w:val="Table"/>
              <w:rPr>
                <w:rFonts w:ascii="Arial Narrow" w:hAnsi="Arial Narrow"/>
              </w:rPr>
            </w:pPr>
            <w:r>
              <w:rPr>
                <w:rFonts w:ascii="Arial Narrow" w:hAnsi="Arial Narrow"/>
              </w:rPr>
              <w:t>Unpublished data</w:t>
            </w:r>
          </w:p>
        </w:tc>
      </w:tr>
      <w:tr w:rsidR="00BA1894" w:rsidRPr="00E17D6F" w:rsidTr="003C7AD7">
        <w:tc>
          <w:tcPr>
            <w:tcW w:w="1218" w:type="dxa"/>
          </w:tcPr>
          <w:p w:rsidR="00BA1894" w:rsidRPr="00E17D6F" w:rsidRDefault="00BA1894" w:rsidP="00431C8F">
            <w:pPr>
              <w:pStyle w:val="Table"/>
              <w:rPr>
                <w:rFonts w:ascii="Arial Narrow" w:hAnsi="Arial Narrow"/>
              </w:rPr>
            </w:pPr>
            <w:r w:rsidRPr="00E17D6F">
              <w:rPr>
                <w:rFonts w:ascii="Arial Narrow" w:hAnsi="Arial Narrow"/>
              </w:rPr>
              <w:t>WA6232</w:t>
            </w:r>
          </w:p>
        </w:tc>
        <w:tc>
          <w:tcPr>
            <w:tcW w:w="5444" w:type="dxa"/>
          </w:tcPr>
          <w:p w:rsidR="00BA1894" w:rsidRPr="00E17D6F" w:rsidRDefault="00BA1894" w:rsidP="003B4A52">
            <w:pPr>
              <w:pStyle w:val="Table"/>
              <w:rPr>
                <w:rFonts w:ascii="Arial Narrow" w:hAnsi="Arial Narrow"/>
              </w:rPr>
            </w:pPr>
            <w:r w:rsidRPr="00E17D6F">
              <w:rPr>
                <w:rFonts w:ascii="Arial Narrow" w:hAnsi="Arial Narrow"/>
              </w:rPr>
              <w:t>Double-blind, single dose, standard randomised 2-way cross over relative bioavailability study performed on healthy adult males under fed conditions. Test formulation: warfarin sodium tablets 10mg (</w:t>
            </w:r>
            <w:r>
              <w:rPr>
                <w:rFonts w:ascii="Arial Narrow" w:hAnsi="Arial Narrow"/>
              </w:rPr>
              <w:t>APOTEX</w:t>
            </w:r>
            <w:r w:rsidRPr="00E17D6F">
              <w:rPr>
                <w:rFonts w:ascii="Arial Narrow" w:hAnsi="Arial Narrow"/>
              </w:rPr>
              <w:t xml:space="preserve"> Inc.). Reference formulation: Coumadin</w:t>
            </w:r>
            <w:r w:rsidRPr="00F94738">
              <w:rPr>
                <w:color w:val="000000"/>
                <w:vertAlign w:val="superscript"/>
              </w:rPr>
              <w:t>®</w:t>
            </w:r>
            <w:r w:rsidRPr="00E17D6F">
              <w:rPr>
                <w:rFonts w:ascii="Arial Narrow" w:hAnsi="Arial Narrow"/>
              </w:rPr>
              <w:t xml:space="preserve"> Tablets 10mg (Bristol-Myers Squibb, Canada)</w:t>
            </w:r>
          </w:p>
        </w:tc>
        <w:tc>
          <w:tcPr>
            <w:tcW w:w="1701" w:type="dxa"/>
          </w:tcPr>
          <w:p w:rsidR="00BA1894" w:rsidRPr="00A96E2F" w:rsidRDefault="0071716E" w:rsidP="00BA1894">
            <w:pPr>
              <w:pStyle w:val="Table"/>
              <w:rPr>
                <w:rFonts w:ascii="Arial Narrow" w:hAnsi="Arial Narrow"/>
              </w:rPr>
            </w:pPr>
            <w:r>
              <w:rPr>
                <w:rFonts w:ascii="Arial Narrow" w:hAnsi="Arial Narrow"/>
              </w:rPr>
              <w:t>Unpublished data</w:t>
            </w:r>
          </w:p>
        </w:tc>
      </w:tr>
      <w:tr w:rsidR="00251255" w:rsidRPr="00E17D6F" w:rsidTr="003C7AD7">
        <w:tc>
          <w:tcPr>
            <w:tcW w:w="1218" w:type="dxa"/>
          </w:tcPr>
          <w:p w:rsidR="00251255" w:rsidRPr="00E17D6F" w:rsidRDefault="00251255" w:rsidP="00431C8F">
            <w:pPr>
              <w:pStyle w:val="Table"/>
              <w:rPr>
                <w:rFonts w:ascii="Arial Narrow" w:hAnsi="Arial Narrow"/>
              </w:rPr>
            </w:pPr>
            <w:r w:rsidRPr="00E17D6F">
              <w:rPr>
                <w:rFonts w:ascii="Arial Narrow" w:hAnsi="Arial Narrow"/>
              </w:rPr>
              <w:t>Pereira et al 2005</w:t>
            </w:r>
          </w:p>
        </w:tc>
        <w:tc>
          <w:tcPr>
            <w:tcW w:w="5444" w:type="dxa"/>
          </w:tcPr>
          <w:p w:rsidR="00480D6E" w:rsidRPr="00A96E2F" w:rsidRDefault="00480D6E" w:rsidP="00431C8F">
            <w:pPr>
              <w:pStyle w:val="Table"/>
              <w:rPr>
                <w:rFonts w:ascii="Arial Narrow" w:hAnsi="Arial Narrow"/>
                <w:noProof/>
              </w:rPr>
            </w:pPr>
            <w:r w:rsidRPr="00A96E2F">
              <w:rPr>
                <w:rFonts w:ascii="Arial Narrow" w:hAnsi="Arial Narrow"/>
                <w:noProof/>
              </w:rPr>
              <w:t xml:space="preserve"> “Are brand-name and generic warfarin interchangeable? Multiple N-of-1 rando</w:t>
            </w:r>
            <w:r w:rsidR="0005002C">
              <w:rPr>
                <w:rFonts w:ascii="Arial Narrow" w:hAnsi="Arial Narrow"/>
                <w:noProof/>
              </w:rPr>
              <w:t>mized, crossover trials.”</w:t>
            </w:r>
          </w:p>
          <w:p w:rsidR="00251255" w:rsidRPr="00E17D6F" w:rsidRDefault="00251255" w:rsidP="00431C8F">
            <w:pPr>
              <w:pStyle w:val="Table"/>
              <w:rPr>
                <w:rFonts w:ascii="Arial Narrow" w:hAnsi="Arial Narrow"/>
              </w:rPr>
            </w:pPr>
            <w:r w:rsidRPr="00E17D6F">
              <w:rPr>
                <w:rFonts w:ascii="Arial Narrow" w:hAnsi="Arial Narrow"/>
              </w:rPr>
              <w:t>Multiple n-of-1 randomised, double-blind, crossover trials switched outpatients (N = 7) between a generic warfarin formulation (Apo-warfarin) and Coumadin</w:t>
            </w:r>
            <w:r w:rsidRPr="00F94738">
              <w:rPr>
                <w:color w:val="000000"/>
                <w:vertAlign w:val="superscript"/>
              </w:rPr>
              <w:t>®</w:t>
            </w:r>
            <w:r w:rsidRPr="00E17D6F">
              <w:rPr>
                <w:rFonts w:ascii="Arial Narrow" w:hAnsi="Arial Narrow"/>
              </w:rPr>
              <w:t xml:space="preserve"> over 30 weeks. Study patients took each drug for five 3-week periods, with international normalized ratio (INR) measurements taken twice per period. Inter- and intra-patient differences between generic warfarin and Coumadin</w:t>
            </w:r>
            <w:r w:rsidRPr="00F94738">
              <w:rPr>
                <w:color w:val="000000"/>
                <w:vertAlign w:val="superscript"/>
              </w:rPr>
              <w:t>®</w:t>
            </w:r>
            <w:r w:rsidRPr="00E17D6F">
              <w:rPr>
                <w:rFonts w:ascii="Arial Narrow" w:hAnsi="Arial Narrow"/>
              </w:rPr>
              <w:t xml:space="preserve"> were compared, and overall study patient results were compared with those of a Coumadin</w:t>
            </w:r>
            <w:r w:rsidRPr="00F94738">
              <w:rPr>
                <w:color w:val="000000"/>
                <w:vertAlign w:val="superscript"/>
              </w:rPr>
              <w:t>®</w:t>
            </w:r>
            <w:r w:rsidRPr="00E17D6F">
              <w:rPr>
                <w:rFonts w:ascii="Arial Narrow" w:hAnsi="Arial Narrow"/>
              </w:rPr>
              <w:t xml:space="preserve"> control group.</w:t>
            </w:r>
          </w:p>
        </w:tc>
        <w:tc>
          <w:tcPr>
            <w:tcW w:w="1701" w:type="dxa"/>
          </w:tcPr>
          <w:p w:rsidR="00251255" w:rsidRPr="00A96E2F" w:rsidRDefault="00480D6E" w:rsidP="00480D6E">
            <w:pPr>
              <w:pStyle w:val="Table"/>
              <w:rPr>
                <w:rFonts w:ascii="Arial Narrow" w:hAnsi="Arial Narrow"/>
              </w:rPr>
            </w:pPr>
            <w:r w:rsidRPr="00A96E2F">
              <w:rPr>
                <w:rFonts w:ascii="Arial Narrow" w:hAnsi="Arial Narrow"/>
                <w:iCs/>
                <w:noProof/>
              </w:rPr>
              <w:t xml:space="preserve">Annals of Pharmacotherapy </w:t>
            </w:r>
            <w:r w:rsidRPr="00A96E2F">
              <w:rPr>
                <w:rFonts w:ascii="Arial Narrow" w:hAnsi="Arial Narrow"/>
                <w:noProof/>
              </w:rPr>
              <w:t>39: 1188-93.</w:t>
            </w:r>
          </w:p>
        </w:tc>
      </w:tr>
    </w:tbl>
    <w:p w:rsidR="0076420C" w:rsidRPr="0076420C" w:rsidRDefault="0076420C" w:rsidP="00E17D6F">
      <w:pPr>
        <w:pStyle w:val="tablenotes"/>
        <w:ind w:firstLine="709"/>
        <w:rPr>
          <w:rFonts w:ascii="Arial Narrow" w:hAnsi="Arial Narrow"/>
          <w:sz w:val="18"/>
          <w:szCs w:val="18"/>
        </w:rPr>
      </w:pPr>
      <w:r w:rsidRPr="005838CB">
        <w:rPr>
          <w:rFonts w:ascii="Arial Narrow" w:hAnsi="Arial Narrow"/>
          <w:sz w:val="18"/>
          <w:szCs w:val="18"/>
        </w:rPr>
        <w:t xml:space="preserve">Source: </w:t>
      </w:r>
      <w:r w:rsidR="008E0EB1">
        <w:rPr>
          <w:rFonts w:ascii="Arial Narrow" w:hAnsi="Arial Narrow"/>
          <w:sz w:val="18"/>
          <w:szCs w:val="18"/>
        </w:rPr>
        <w:t>T</w:t>
      </w:r>
      <w:r w:rsidR="00E17D6F">
        <w:rPr>
          <w:rFonts w:ascii="Arial Narrow" w:hAnsi="Arial Narrow"/>
          <w:sz w:val="18"/>
          <w:szCs w:val="18"/>
        </w:rPr>
        <w:t>able 6</w:t>
      </w:r>
      <w:r w:rsidR="008E0EB1">
        <w:rPr>
          <w:rFonts w:ascii="Arial Narrow" w:hAnsi="Arial Narrow"/>
          <w:sz w:val="18"/>
          <w:szCs w:val="18"/>
        </w:rPr>
        <w:t xml:space="preserve"> of the</w:t>
      </w:r>
      <w:r w:rsidR="00E17D6F">
        <w:rPr>
          <w:rFonts w:ascii="Arial Narrow" w:hAnsi="Arial Narrow"/>
          <w:sz w:val="18"/>
          <w:szCs w:val="18"/>
        </w:rPr>
        <w:t xml:space="preserve"> submission.</w:t>
      </w:r>
    </w:p>
    <w:p w:rsidR="00D84934" w:rsidRPr="00FA03C5" w:rsidRDefault="00D84934" w:rsidP="00FA03C5">
      <w:pPr>
        <w:rPr>
          <w:color w:val="FF00FF"/>
          <w:szCs w:val="22"/>
        </w:rPr>
      </w:pPr>
    </w:p>
    <w:p w:rsidR="00BB7EC3" w:rsidRDefault="0076420C" w:rsidP="00175538">
      <w:pPr>
        <w:pStyle w:val="ListParagraph"/>
        <w:numPr>
          <w:ilvl w:val="1"/>
          <w:numId w:val="37"/>
        </w:numPr>
        <w:rPr>
          <w:szCs w:val="22"/>
        </w:rPr>
      </w:pPr>
      <w:r w:rsidRPr="0076420C">
        <w:rPr>
          <w:szCs w:val="22"/>
        </w:rPr>
        <w:t xml:space="preserve">The basis of the minor submission’s request </w:t>
      </w:r>
      <w:r w:rsidR="00FF2801">
        <w:rPr>
          <w:szCs w:val="22"/>
        </w:rPr>
        <w:t>wa</w:t>
      </w:r>
      <w:r w:rsidRPr="0076420C">
        <w:rPr>
          <w:szCs w:val="22"/>
        </w:rPr>
        <w:t>s</w:t>
      </w:r>
      <w:r w:rsidR="00FA6ACC">
        <w:rPr>
          <w:szCs w:val="22"/>
        </w:rPr>
        <w:t xml:space="preserve"> evidence of bioequivalence from the pivotal study </w:t>
      </w:r>
      <w:r w:rsidR="00377915">
        <w:rPr>
          <w:szCs w:val="22"/>
        </w:rPr>
        <w:t>WA8300.</w:t>
      </w:r>
    </w:p>
    <w:p w:rsidR="00377915" w:rsidRPr="00377915" w:rsidRDefault="00377915" w:rsidP="00377915">
      <w:pPr>
        <w:pStyle w:val="ListParagraph"/>
        <w:rPr>
          <w:szCs w:val="22"/>
        </w:rPr>
      </w:pPr>
    </w:p>
    <w:p w:rsidR="004C362C" w:rsidRDefault="004C362C" w:rsidP="00175538">
      <w:pPr>
        <w:pStyle w:val="ListParagraph"/>
        <w:numPr>
          <w:ilvl w:val="1"/>
          <w:numId w:val="37"/>
        </w:numPr>
        <w:rPr>
          <w:szCs w:val="22"/>
        </w:rPr>
      </w:pPr>
      <w:r>
        <w:rPr>
          <w:szCs w:val="22"/>
        </w:rPr>
        <w:lastRenderedPageBreak/>
        <w:t>The minor submission indicated that the study design to assess bioequivalence was developed in accordance with the European Medical Agency (EMA) guideline on investigation of bioavailability and bioequivalence. In addition,</w:t>
      </w:r>
      <w:r w:rsidR="0071716E">
        <w:rPr>
          <w:szCs w:val="22"/>
        </w:rPr>
        <w:t xml:space="preserve"> since warfarin is a drug with n</w:t>
      </w:r>
      <w:r>
        <w:rPr>
          <w:szCs w:val="22"/>
        </w:rPr>
        <w:t>arrow therapeutic index, the accepted range of confidence interval</w:t>
      </w:r>
      <w:r w:rsidR="00793156">
        <w:rPr>
          <w:szCs w:val="22"/>
        </w:rPr>
        <w:t xml:space="preserve"> (CI)</w:t>
      </w:r>
      <w:r>
        <w:rPr>
          <w:szCs w:val="22"/>
        </w:rPr>
        <w:t xml:space="preserve"> was tightened</w:t>
      </w:r>
      <w:r w:rsidR="00793156">
        <w:rPr>
          <w:szCs w:val="22"/>
        </w:rPr>
        <w:t>, such</w:t>
      </w:r>
      <w:r w:rsidR="00450BAA">
        <w:rPr>
          <w:szCs w:val="22"/>
        </w:rPr>
        <w:t xml:space="preserve"> that</w:t>
      </w:r>
      <w:r w:rsidR="00793156">
        <w:rPr>
          <w:szCs w:val="22"/>
        </w:rPr>
        <w:t xml:space="preserve"> the formulations were considered bioequivalent when the 90% CI of the test was within 90% to 111.11%</w:t>
      </w:r>
      <w:r w:rsidR="00450BAA" w:rsidRPr="00450BAA">
        <w:rPr>
          <w:szCs w:val="22"/>
        </w:rPr>
        <w:t xml:space="preserve"> </w:t>
      </w:r>
      <w:r w:rsidR="00450BAA">
        <w:rPr>
          <w:szCs w:val="22"/>
        </w:rPr>
        <w:t>of the reference formulation</w:t>
      </w:r>
      <w:r w:rsidR="00793156">
        <w:rPr>
          <w:szCs w:val="22"/>
        </w:rPr>
        <w:t xml:space="preserve">. </w:t>
      </w:r>
      <w:r>
        <w:rPr>
          <w:szCs w:val="22"/>
        </w:rPr>
        <w:t>The submission stated that this was accepted by the TGA</w:t>
      </w:r>
      <w:r w:rsidR="00E8647F">
        <w:rPr>
          <w:szCs w:val="22"/>
        </w:rPr>
        <w:t>.</w:t>
      </w:r>
    </w:p>
    <w:p w:rsidR="00EF3D97" w:rsidRPr="00EF3D97" w:rsidRDefault="00EF3D97" w:rsidP="00EF3D97">
      <w:pPr>
        <w:pStyle w:val="ListParagraph"/>
        <w:rPr>
          <w:szCs w:val="22"/>
        </w:rPr>
      </w:pPr>
    </w:p>
    <w:p w:rsidR="00EF3D97" w:rsidRPr="00FA03C5" w:rsidRDefault="00EF3D97" w:rsidP="00175538">
      <w:pPr>
        <w:pStyle w:val="ListParagraph"/>
        <w:numPr>
          <w:ilvl w:val="1"/>
          <w:numId w:val="37"/>
        </w:numPr>
        <w:rPr>
          <w:szCs w:val="22"/>
        </w:rPr>
      </w:pPr>
      <w:r>
        <w:rPr>
          <w:szCs w:val="22"/>
        </w:rPr>
        <w:t xml:space="preserve">The minor submission also presented supportive evidence from six bioequivalence studies conducted in Canada (Table 1). </w:t>
      </w:r>
      <w:r>
        <w:t xml:space="preserve">All six studies met the predefined criteria for bioequivalence. The bioequivalence criteria for </w:t>
      </w:r>
      <w:r w:rsidR="00A96E2F">
        <w:t>area under the curve (</w:t>
      </w:r>
      <w:r>
        <w:t>AUC</w:t>
      </w:r>
      <w:r w:rsidR="00A96E2F">
        <w:t>)</w:t>
      </w:r>
      <w:r>
        <w:t xml:space="preserve"> was 80</w:t>
      </w:r>
      <w:r w:rsidR="00A96E2F">
        <w:noBreakHyphen/>
      </w:r>
      <w:r>
        <w:t xml:space="preserve">125% in four of the six Canadian studies, however the </w:t>
      </w:r>
      <w:r w:rsidR="003B4A52">
        <w:t xml:space="preserve">minor </w:t>
      </w:r>
      <w:r>
        <w:t>submission claimed that the results could have also achieved the tighter criteria of 90-111.11%.</w:t>
      </w:r>
    </w:p>
    <w:p w:rsidR="00204E0C" w:rsidRDefault="00204E0C">
      <w:pPr>
        <w:rPr>
          <w:rFonts w:ascii="Arial" w:hAnsi="Arial" w:cs="Arial"/>
          <w:snapToGrid w:val="0"/>
          <w:sz w:val="22"/>
          <w:szCs w:val="22"/>
          <w:lang w:eastAsia="en-US"/>
        </w:rPr>
      </w:pPr>
    </w:p>
    <w:p w:rsidR="00EF3D97" w:rsidRDefault="00F109DE" w:rsidP="00175538">
      <w:pPr>
        <w:pStyle w:val="ListParagraph"/>
        <w:numPr>
          <w:ilvl w:val="1"/>
          <w:numId w:val="37"/>
        </w:numPr>
        <w:rPr>
          <w:szCs w:val="22"/>
        </w:rPr>
      </w:pPr>
      <w:r>
        <w:rPr>
          <w:szCs w:val="22"/>
        </w:rPr>
        <w:t>T</w:t>
      </w:r>
      <w:r w:rsidR="00EF3D97">
        <w:rPr>
          <w:szCs w:val="22"/>
        </w:rPr>
        <w:t xml:space="preserve">he </w:t>
      </w:r>
      <w:r w:rsidR="00A26C70">
        <w:rPr>
          <w:szCs w:val="22"/>
        </w:rPr>
        <w:t xml:space="preserve">minor </w:t>
      </w:r>
      <w:r w:rsidR="00EF3D97">
        <w:rPr>
          <w:szCs w:val="22"/>
        </w:rPr>
        <w:t xml:space="preserve">submission </w:t>
      </w:r>
      <w:r>
        <w:rPr>
          <w:szCs w:val="22"/>
        </w:rPr>
        <w:t xml:space="preserve">also </w:t>
      </w:r>
      <w:r w:rsidR="00EF3D97">
        <w:rPr>
          <w:szCs w:val="22"/>
        </w:rPr>
        <w:t xml:space="preserve">presented evidence from a repeat randomisation (switching study) conducted in Canada. </w:t>
      </w:r>
      <w:r w:rsidR="00A26C70">
        <w:rPr>
          <w:szCs w:val="22"/>
        </w:rPr>
        <w:t>No statistically signifi</w:t>
      </w:r>
      <w:r w:rsidR="003B4A52">
        <w:rPr>
          <w:szCs w:val="22"/>
        </w:rPr>
        <w:t>cant differences were observed</w:t>
      </w:r>
      <w:r w:rsidR="008C1863">
        <w:rPr>
          <w:szCs w:val="22"/>
        </w:rPr>
        <w:t xml:space="preserve"> in</w:t>
      </w:r>
      <w:r w:rsidR="003B4A52">
        <w:rPr>
          <w:szCs w:val="22"/>
        </w:rPr>
        <w:t xml:space="preserve"> </w:t>
      </w:r>
      <w:r w:rsidR="00A26C70">
        <w:rPr>
          <w:szCs w:val="22"/>
        </w:rPr>
        <w:t>INR levels on switching patients from Coumadin</w:t>
      </w:r>
      <w:r w:rsidR="003B4A52" w:rsidRPr="00F94738">
        <w:rPr>
          <w:color w:val="000000"/>
          <w:vertAlign w:val="superscript"/>
        </w:rPr>
        <w:t>®</w:t>
      </w:r>
      <w:r w:rsidR="00A26C70">
        <w:rPr>
          <w:szCs w:val="22"/>
        </w:rPr>
        <w:t xml:space="preserve"> to </w:t>
      </w:r>
      <w:r w:rsidR="006943F2">
        <w:rPr>
          <w:szCs w:val="22"/>
        </w:rPr>
        <w:t>W</w:t>
      </w:r>
      <w:r w:rsidR="00A26C70">
        <w:rPr>
          <w:szCs w:val="22"/>
        </w:rPr>
        <w:t xml:space="preserve">arfarin </w:t>
      </w:r>
      <w:r w:rsidR="00A02504">
        <w:rPr>
          <w:szCs w:val="22"/>
        </w:rPr>
        <w:t>APOTEX</w:t>
      </w:r>
      <w:r w:rsidR="003B4A52" w:rsidRPr="00F94738">
        <w:rPr>
          <w:color w:val="000000"/>
          <w:vertAlign w:val="superscript"/>
        </w:rPr>
        <w:t>®</w:t>
      </w:r>
      <w:r w:rsidR="00A26C70">
        <w:rPr>
          <w:szCs w:val="22"/>
        </w:rPr>
        <w:t xml:space="preserve"> (Pereira </w:t>
      </w:r>
      <w:r w:rsidR="00A26C70" w:rsidRPr="00A26C70">
        <w:rPr>
          <w:i/>
          <w:szCs w:val="22"/>
        </w:rPr>
        <w:t>et al.</w:t>
      </w:r>
      <w:r w:rsidR="00A26C70">
        <w:rPr>
          <w:szCs w:val="22"/>
        </w:rPr>
        <w:t xml:space="preserve"> 2005, Table 1).</w:t>
      </w:r>
    </w:p>
    <w:p w:rsidR="00377915" w:rsidRPr="00BC72D5" w:rsidRDefault="00377915" w:rsidP="00BC72D5">
      <w:pPr>
        <w:rPr>
          <w:szCs w:val="22"/>
        </w:rPr>
      </w:pPr>
    </w:p>
    <w:p w:rsidR="005A3173" w:rsidRPr="00882085" w:rsidRDefault="005A3173" w:rsidP="00B1059E">
      <w:pPr>
        <w:pStyle w:val="Heading2"/>
      </w:pPr>
      <w:r w:rsidRPr="00882085">
        <w:t>Clinical claim</w:t>
      </w:r>
    </w:p>
    <w:p w:rsidR="005A3173" w:rsidRPr="00882085" w:rsidRDefault="005A3173" w:rsidP="00882085">
      <w:pPr>
        <w:ind w:left="720" w:hanging="720"/>
        <w:jc w:val="both"/>
        <w:rPr>
          <w:rFonts w:ascii="Arial" w:hAnsi="Arial"/>
          <w:sz w:val="22"/>
          <w:szCs w:val="22"/>
        </w:rPr>
      </w:pPr>
    </w:p>
    <w:p w:rsidR="00BB7EC3" w:rsidRDefault="00A26C70" w:rsidP="00175538">
      <w:pPr>
        <w:pStyle w:val="ListParagraph"/>
        <w:numPr>
          <w:ilvl w:val="1"/>
          <w:numId w:val="37"/>
        </w:numPr>
        <w:rPr>
          <w:szCs w:val="22"/>
        </w:rPr>
      </w:pPr>
      <w:r w:rsidRPr="00A26C70">
        <w:t>The submission claimed that b</w:t>
      </w:r>
      <w:r w:rsidR="00450BAA">
        <w:t>ased on the evidence provided, W</w:t>
      </w:r>
      <w:r w:rsidRPr="00A26C70">
        <w:t xml:space="preserve">arfarin </w:t>
      </w:r>
      <w:r w:rsidR="003B4A52">
        <w:t>APOTEX</w:t>
      </w:r>
      <w:r w:rsidR="003B4A52" w:rsidRPr="00F94738">
        <w:rPr>
          <w:color w:val="000000"/>
          <w:vertAlign w:val="superscript"/>
        </w:rPr>
        <w:t>®</w:t>
      </w:r>
      <w:r w:rsidRPr="00A26C70">
        <w:t xml:space="preserve"> and</w:t>
      </w:r>
      <w:r w:rsidRPr="00A26C70">
        <w:rPr>
          <w:szCs w:val="22"/>
        </w:rPr>
        <w:t xml:space="preserve"> Coumadin</w:t>
      </w:r>
      <w:r w:rsidR="003B4A52" w:rsidRPr="00F94738">
        <w:rPr>
          <w:color w:val="000000"/>
          <w:vertAlign w:val="superscript"/>
        </w:rPr>
        <w:t>®</w:t>
      </w:r>
      <w:r w:rsidRPr="00A26C70">
        <w:rPr>
          <w:szCs w:val="22"/>
        </w:rPr>
        <w:t xml:space="preserve"> were bioequivalent.</w:t>
      </w:r>
    </w:p>
    <w:p w:rsidR="00F109DE" w:rsidRDefault="00F109DE" w:rsidP="00F109DE">
      <w:pPr>
        <w:pStyle w:val="ListParagraph"/>
        <w:rPr>
          <w:szCs w:val="22"/>
        </w:rPr>
      </w:pPr>
    </w:p>
    <w:p w:rsidR="00F109DE" w:rsidRDefault="00F109DE" w:rsidP="00175538">
      <w:pPr>
        <w:pStyle w:val="ListParagraph"/>
        <w:numPr>
          <w:ilvl w:val="1"/>
          <w:numId w:val="37"/>
        </w:numPr>
        <w:rPr>
          <w:szCs w:val="22"/>
        </w:rPr>
      </w:pPr>
      <w:r>
        <w:rPr>
          <w:szCs w:val="22"/>
        </w:rPr>
        <w:t xml:space="preserve">The PBAC noted that this claim was supported by the TGA assessment, which considered </w:t>
      </w:r>
      <w:r>
        <w:t>W</w:t>
      </w:r>
      <w:r w:rsidRPr="00A26C70">
        <w:t xml:space="preserve">arfarin </w:t>
      </w:r>
      <w:r>
        <w:t>APOTEX</w:t>
      </w:r>
      <w:r w:rsidRPr="00F94738">
        <w:rPr>
          <w:color w:val="000000"/>
          <w:vertAlign w:val="superscript"/>
        </w:rPr>
        <w:t>®</w:t>
      </w:r>
      <w:r w:rsidRPr="00A26C70">
        <w:t xml:space="preserve"> and</w:t>
      </w:r>
      <w:r w:rsidRPr="00A26C70">
        <w:rPr>
          <w:szCs w:val="22"/>
        </w:rPr>
        <w:t xml:space="preserve"> Coumadin</w:t>
      </w:r>
      <w:r w:rsidRPr="00F94738">
        <w:rPr>
          <w:color w:val="000000"/>
          <w:vertAlign w:val="superscript"/>
        </w:rPr>
        <w:t>®</w:t>
      </w:r>
      <w:r w:rsidRPr="00A26C70">
        <w:rPr>
          <w:szCs w:val="22"/>
        </w:rPr>
        <w:t xml:space="preserve"> </w:t>
      </w:r>
      <w:r>
        <w:rPr>
          <w:szCs w:val="22"/>
        </w:rPr>
        <w:t>to be</w:t>
      </w:r>
      <w:r w:rsidRPr="00A26C70">
        <w:rPr>
          <w:szCs w:val="22"/>
        </w:rPr>
        <w:t xml:space="preserve"> bioequivalent</w:t>
      </w:r>
      <w:r>
        <w:rPr>
          <w:szCs w:val="22"/>
        </w:rPr>
        <w:t>.</w:t>
      </w:r>
    </w:p>
    <w:p w:rsidR="00F57A6D" w:rsidRPr="00882085" w:rsidRDefault="00F57A6D" w:rsidP="00A54D20">
      <w:pPr>
        <w:jc w:val="both"/>
        <w:rPr>
          <w:rFonts w:ascii="Arial" w:hAnsi="Arial"/>
          <w:sz w:val="22"/>
          <w:szCs w:val="22"/>
        </w:rPr>
      </w:pPr>
    </w:p>
    <w:p w:rsidR="005A3173" w:rsidRPr="00882085" w:rsidRDefault="005A3173" w:rsidP="00B1059E">
      <w:pPr>
        <w:pStyle w:val="Heading2"/>
      </w:pPr>
      <w:r w:rsidRPr="00882085">
        <w:t>Economic analysis</w:t>
      </w:r>
    </w:p>
    <w:p w:rsidR="005A3173" w:rsidRPr="00882085" w:rsidRDefault="005A3173" w:rsidP="00D84934">
      <w:pPr>
        <w:pStyle w:val="NoSpacing"/>
      </w:pPr>
    </w:p>
    <w:p w:rsidR="00CD51A2" w:rsidRPr="00BC72D5" w:rsidRDefault="00C0463D" w:rsidP="00175538">
      <w:pPr>
        <w:pStyle w:val="ListParagraph"/>
        <w:numPr>
          <w:ilvl w:val="1"/>
          <w:numId w:val="37"/>
        </w:numPr>
        <w:rPr>
          <w:szCs w:val="22"/>
        </w:rPr>
      </w:pPr>
      <w:r w:rsidRPr="00BC72D5">
        <w:t>The minor submission did not present a formal economic analysis.</w:t>
      </w:r>
      <w:r w:rsidRPr="00BC72D5">
        <w:rPr>
          <w:szCs w:val="22"/>
        </w:rPr>
        <w:t xml:space="preserve"> However, a cost</w:t>
      </w:r>
      <w:r w:rsidR="00A96E2F">
        <w:rPr>
          <w:szCs w:val="22"/>
        </w:rPr>
        <w:noBreakHyphen/>
      </w:r>
      <w:r w:rsidRPr="00BC72D5">
        <w:rPr>
          <w:szCs w:val="22"/>
        </w:rPr>
        <w:t xml:space="preserve">minimisation approach was implied as </w:t>
      </w:r>
      <w:r w:rsidR="002C4EA5" w:rsidRPr="00BC72D5">
        <w:rPr>
          <w:szCs w:val="22"/>
        </w:rPr>
        <w:t>W</w:t>
      </w:r>
      <w:r w:rsidRPr="00BC72D5">
        <w:rPr>
          <w:szCs w:val="22"/>
        </w:rPr>
        <w:t xml:space="preserve">arfarin </w:t>
      </w:r>
      <w:r w:rsidR="003B4A52" w:rsidRPr="00BC72D5">
        <w:rPr>
          <w:szCs w:val="22"/>
        </w:rPr>
        <w:t>APOTEX</w:t>
      </w:r>
      <w:r w:rsidR="003B4A52" w:rsidRPr="00BC72D5">
        <w:rPr>
          <w:color w:val="000000"/>
          <w:vertAlign w:val="superscript"/>
        </w:rPr>
        <w:t>®</w:t>
      </w:r>
      <w:r w:rsidRPr="00BC72D5">
        <w:rPr>
          <w:szCs w:val="22"/>
        </w:rPr>
        <w:t xml:space="preserve"> was priced on an interchangeable basis with Coumadin</w:t>
      </w:r>
      <w:r w:rsidRPr="00BC72D5">
        <w:rPr>
          <w:szCs w:val="22"/>
          <w:vertAlign w:val="superscript"/>
        </w:rPr>
        <w:t>®</w:t>
      </w:r>
      <w:r w:rsidRPr="00BC72D5">
        <w:rPr>
          <w:szCs w:val="22"/>
        </w:rPr>
        <w:t xml:space="preserve">. The statutory 16% price reduction for </w:t>
      </w:r>
      <w:r w:rsidR="005132E3" w:rsidRPr="00BC72D5">
        <w:rPr>
          <w:szCs w:val="22"/>
        </w:rPr>
        <w:t>Coumadin</w:t>
      </w:r>
      <w:r w:rsidR="005132E3" w:rsidRPr="00BC72D5">
        <w:rPr>
          <w:szCs w:val="22"/>
          <w:vertAlign w:val="superscript"/>
        </w:rPr>
        <w:t>®</w:t>
      </w:r>
      <w:r w:rsidR="005132E3" w:rsidRPr="00BC72D5">
        <w:rPr>
          <w:szCs w:val="22"/>
        </w:rPr>
        <w:t xml:space="preserve"> </w:t>
      </w:r>
      <w:r w:rsidR="00CD51A2" w:rsidRPr="00BC72D5">
        <w:rPr>
          <w:szCs w:val="22"/>
        </w:rPr>
        <w:t>was taken</w:t>
      </w:r>
      <w:r w:rsidRPr="00BC72D5">
        <w:rPr>
          <w:szCs w:val="22"/>
        </w:rPr>
        <w:t xml:space="preserve"> into account in calculating the ex-manufacturer price for </w:t>
      </w:r>
      <w:r w:rsidR="002C4EA5" w:rsidRPr="00BC72D5">
        <w:rPr>
          <w:szCs w:val="22"/>
        </w:rPr>
        <w:t>W</w:t>
      </w:r>
      <w:r w:rsidR="005132E3" w:rsidRPr="00BC72D5">
        <w:rPr>
          <w:szCs w:val="22"/>
        </w:rPr>
        <w:t xml:space="preserve">arfarin </w:t>
      </w:r>
      <w:r w:rsidR="003B4A52" w:rsidRPr="00BC72D5">
        <w:rPr>
          <w:szCs w:val="22"/>
        </w:rPr>
        <w:t>APOTEX</w:t>
      </w:r>
      <w:r w:rsidR="003B4A52" w:rsidRPr="00BC72D5">
        <w:rPr>
          <w:color w:val="000000"/>
          <w:vertAlign w:val="superscript"/>
        </w:rPr>
        <w:t>®</w:t>
      </w:r>
      <w:r w:rsidR="00CD51A2" w:rsidRPr="00BC72D5">
        <w:rPr>
          <w:szCs w:val="22"/>
        </w:rPr>
        <w:t xml:space="preserve">, </w:t>
      </w:r>
      <w:r w:rsidR="00891CFC" w:rsidRPr="00BC72D5">
        <w:rPr>
          <w:szCs w:val="22"/>
        </w:rPr>
        <w:t xml:space="preserve">with the assumption that </w:t>
      </w:r>
      <w:r w:rsidR="002C4EA5" w:rsidRPr="00BC72D5">
        <w:rPr>
          <w:szCs w:val="22"/>
        </w:rPr>
        <w:t>W</w:t>
      </w:r>
      <w:r w:rsidR="00CD51A2" w:rsidRPr="00BC72D5">
        <w:rPr>
          <w:szCs w:val="22"/>
        </w:rPr>
        <w:t xml:space="preserve">arfarin </w:t>
      </w:r>
      <w:r w:rsidR="003B4A52" w:rsidRPr="00BC72D5">
        <w:rPr>
          <w:szCs w:val="22"/>
        </w:rPr>
        <w:t>APOTEX</w:t>
      </w:r>
      <w:r w:rsidR="003B4A52" w:rsidRPr="00BC72D5">
        <w:rPr>
          <w:color w:val="000000"/>
          <w:vertAlign w:val="superscript"/>
        </w:rPr>
        <w:t>®</w:t>
      </w:r>
      <w:r w:rsidR="00CD51A2" w:rsidRPr="00BC72D5">
        <w:rPr>
          <w:szCs w:val="22"/>
        </w:rPr>
        <w:t xml:space="preserve"> will be the first generic brand of warfarin to be listed on the PBS.</w:t>
      </w:r>
    </w:p>
    <w:p w:rsidR="00A55FEE" w:rsidRPr="00CD51A2" w:rsidRDefault="00A55FEE" w:rsidP="00CD51A2">
      <w:pPr>
        <w:rPr>
          <w:b/>
          <w:i/>
          <w:szCs w:val="22"/>
        </w:rPr>
      </w:pPr>
    </w:p>
    <w:p w:rsidR="005A3173" w:rsidRPr="00882085" w:rsidRDefault="005A3173" w:rsidP="00B1059E">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891CFC" w:rsidRPr="00BC72D5" w:rsidRDefault="00D601FD" w:rsidP="00175538">
      <w:pPr>
        <w:pStyle w:val="ListParagraph"/>
        <w:numPr>
          <w:ilvl w:val="1"/>
          <w:numId w:val="37"/>
        </w:numPr>
        <w:rPr>
          <w:color w:val="FF00FF"/>
          <w:szCs w:val="22"/>
        </w:rPr>
      </w:pPr>
      <w:r w:rsidRPr="00BC72D5">
        <w:t xml:space="preserve">The submission presented an estimated net cost to the </w:t>
      </w:r>
      <w:r w:rsidR="003F1F0A" w:rsidRPr="00BC72D5">
        <w:t>Government health budgets</w:t>
      </w:r>
      <w:r w:rsidRPr="00BC72D5">
        <w:t xml:space="preserve"> based on the</w:t>
      </w:r>
      <w:r w:rsidRPr="00BC72D5">
        <w:rPr>
          <w:color w:val="FF00FF"/>
          <w:szCs w:val="22"/>
        </w:rPr>
        <w:t xml:space="preserve"> </w:t>
      </w:r>
      <w:r w:rsidRPr="00BC72D5">
        <w:t>following assumptions:</w:t>
      </w:r>
    </w:p>
    <w:p w:rsidR="00891CFC" w:rsidRPr="00BC72D5" w:rsidRDefault="00891CFC" w:rsidP="00891CFC">
      <w:pPr>
        <w:pStyle w:val="ListParagraph"/>
        <w:numPr>
          <w:ilvl w:val="0"/>
          <w:numId w:val="20"/>
        </w:numPr>
      </w:pPr>
      <w:r w:rsidRPr="00BC72D5">
        <w:t xml:space="preserve">5 additional INR tests per patient per </w:t>
      </w:r>
      <w:r w:rsidR="00C3639B" w:rsidRPr="00BC72D5">
        <w:t xml:space="preserve">brand </w:t>
      </w:r>
      <w:r w:rsidRPr="00BC72D5">
        <w:t>switch;</w:t>
      </w:r>
    </w:p>
    <w:p w:rsidR="00891CFC" w:rsidRPr="00BC72D5" w:rsidRDefault="00891CFC" w:rsidP="00891CFC">
      <w:pPr>
        <w:pStyle w:val="ListParagraph"/>
        <w:numPr>
          <w:ilvl w:val="0"/>
          <w:numId w:val="20"/>
        </w:numPr>
      </w:pPr>
      <w:r w:rsidRPr="00BC72D5">
        <w:t>50% INR testing conducted would be MBS funded; and</w:t>
      </w:r>
    </w:p>
    <w:p w:rsidR="00891CFC" w:rsidRPr="00BC72D5" w:rsidRDefault="00A96E2F" w:rsidP="00891CFC">
      <w:pPr>
        <w:pStyle w:val="ListParagraph"/>
        <w:numPr>
          <w:ilvl w:val="0"/>
          <w:numId w:val="20"/>
        </w:numPr>
      </w:pPr>
      <w:proofErr w:type="gramStart"/>
      <w:r>
        <w:t>a</w:t>
      </w:r>
      <w:r w:rsidR="00891CFC" w:rsidRPr="00BC72D5">
        <w:t>n</w:t>
      </w:r>
      <w:proofErr w:type="gramEnd"/>
      <w:r w:rsidR="00891CFC" w:rsidRPr="00BC72D5">
        <w:t xml:space="preserve"> average treatment duration of 6 months</w:t>
      </w:r>
      <w:r>
        <w:t>.</w:t>
      </w:r>
    </w:p>
    <w:p w:rsidR="00891CFC" w:rsidRPr="00BC72D5" w:rsidRDefault="00891CFC" w:rsidP="00891CFC">
      <w:pPr>
        <w:ind w:left="709"/>
        <w:rPr>
          <w:rFonts w:ascii="Arial" w:hAnsi="Arial" w:cs="Arial"/>
          <w:snapToGrid w:val="0"/>
          <w:sz w:val="22"/>
          <w:szCs w:val="22"/>
          <w:lang w:eastAsia="en-US"/>
        </w:rPr>
      </w:pPr>
    </w:p>
    <w:p w:rsidR="00D601FD" w:rsidRPr="00BC72D5" w:rsidRDefault="003F1F0A" w:rsidP="00175538">
      <w:pPr>
        <w:pStyle w:val="ListParagraph"/>
        <w:numPr>
          <w:ilvl w:val="1"/>
          <w:numId w:val="37"/>
        </w:numPr>
        <w:rPr>
          <w:snapToGrid/>
          <w:szCs w:val="22"/>
        </w:rPr>
      </w:pPr>
      <w:r w:rsidRPr="00BC72D5">
        <w:rPr>
          <w:snapToGrid/>
          <w:szCs w:val="22"/>
        </w:rPr>
        <w:t xml:space="preserve">Based on the first two assumptions, an estimated MBS cost of additional INR testing was factored into the calculation for net cost to government health budgets. </w:t>
      </w:r>
      <w:r w:rsidR="00891CFC" w:rsidRPr="00BC72D5">
        <w:rPr>
          <w:snapToGrid/>
          <w:szCs w:val="22"/>
        </w:rPr>
        <w:t>Th</w:t>
      </w:r>
      <w:r w:rsidRPr="00BC72D5">
        <w:rPr>
          <w:snapToGrid/>
          <w:szCs w:val="22"/>
        </w:rPr>
        <w:t xml:space="preserve">ese assumptions were </w:t>
      </w:r>
      <w:r w:rsidR="006161E5" w:rsidRPr="00BC72D5">
        <w:rPr>
          <w:snapToGrid/>
          <w:szCs w:val="22"/>
        </w:rPr>
        <w:t>based on</w:t>
      </w:r>
      <w:r w:rsidR="00891CFC" w:rsidRPr="00BC72D5">
        <w:rPr>
          <w:snapToGrid/>
          <w:szCs w:val="22"/>
        </w:rPr>
        <w:t xml:space="preserve"> brand switching, rather than random brand substitution at the pharmacy level.</w:t>
      </w:r>
    </w:p>
    <w:p w:rsidR="003F1F0A" w:rsidRPr="00BC72D5" w:rsidRDefault="003F1F0A" w:rsidP="003F1F0A">
      <w:pPr>
        <w:pStyle w:val="ListParagraph"/>
        <w:rPr>
          <w:snapToGrid/>
          <w:szCs w:val="22"/>
        </w:rPr>
      </w:pPr>
    </w:p>
    <w:p w:rsidR="003F1F0A" w:rsidRPr="00BC72D5" w:rsidRDefault="00FD67DE" w:rsidP="00175538">
      <w:pPr>
        <w:pStyle w:val="ListParagraph"/>
        <w:numPr>
          <w:ilvl w:val="1"/>
          <w:numId w:val="37"/>
        </w:numPr>
        <w:rPr>
          <w:snapToGrid/>
          <w:szCs w:val="22"/>
        </w:rPr>
      </w:pPr>
      <w:r>
        <w:rPr>
          <w:snapToGrid/>
          <w:szCs w:val="22"/>
        </w:rPr>
        <w:t>T</w:t>
      </w:r>
      <w:r w:rsidR="003F1F0A" w:rsidRPr="00BC72D5">
        <w:rPr>
          <w:snapToGrid/>
          <w:szCs w:val="22"/>
        </w:rPr>
        <w:t xml:space="preserve">he </w:t>
      </w:r>
      <w:r w:rsidR="0077738D" w:rsidRPr="00BC72D5">
        <w:rPr>
          <w:snapToGrid/>
          <w:szCs w:val="22"/>
        </w:rPr>
        <w:t xml:space="preserve">minor </w:t>
      </w:r>
      <w:r w:rsidR="003F1F0A" w:rsidRPr="00BC72D5">
        <w:rPr>
          <w:snapToGrid/>
          <w:szCs w:val="22"/>
        </w:rPr>
        <w:t xml:space="preserve">submission assumed a market share model, with </w:t>
      </w:r>
      <w:r w:rsidR="002C4EA5" w:rsidRPr="00BC72D5">
        <w:rPr>
          <w:snapToGrid/>
          <w:szCs w:val="22"/>
        </w:rPr>
        <w:t>W</w:t>
      </w:r>
      <w:r w:rsidR="003F1F0A" w:rsidRPr="00BC72D5">
        <w:rPr>
          <w:snapToGrid/>
          <w:szCs w:val="22"/>
        </w:rPr>
        <w:t xml:space="preserve">arfarin </w:t>
      </w:r>
      <w:r w:rsidR="00A02504" w:rsidRPr="00BC72D5">
        <w:rPr>
          <w:snapToGrid/>
          <w:szCs w:val="22"/>
        </w:rPr>
        <w:t>A</w:t>
      </w:r>
      <w:r w:rsidR="003B4A52" w:rsidRPr="00BC72D5">
        <w:rPr>
          <w:snapToGrid/>
          <w:szCs w:val="22"/>
        </w:rPr>
        <w:t>POTEX</w:t>
      </w:r>
      <w:r w:rsidR="003B4A52" w:rsidRPr="00BC72D5">
        <w:rPr>
          <w:color w:val="000000"/>
          <w:vertAlign w:val="superscript"/>
        </w:rPr>
        <w:t>®</w:t>
      </w:r>
      <w:r w:rsidR="003F1F0A" w:rsidRPr="00BC72D5">
        <w:rPr>
          <w:snapToGrid/>
          <w:szCs w:val="22"/>
        </w:rPr>
        <w:t xml:space="preserve"> </w:t>
      </w:r>
      <w:r w:rsidR="003F1F0A" w:rsidRPr="00BC72D5">
        <w:rPr>
          <w:snapToGrid/>
          <w:szCs w:val="22"/>
        </w:rPr>
        <w:lastRenderedPageBreak/>
        <w:t>being substituted one-for-one with Coumadin</w:t>
      </w:r>
      <w:r w:rsidR="003B4A52" w:rsidRPr="00BC72D5">
        <w:rPr>
          <w:color w:val="000000"/>
          <w:vertAlign w:val="superscript"/>
        </w:rPr>
        <w:t>®</w:t>
      </w:r>
      <w:r w:rsidR="003F1F0A" w:rsidRPr="00BC72D5">
        <w:rPr>
          <w:snapToGrid/>
          <w:szCs w:val="22"/>
        </w:rPr>
        <w:t>. Therefore, although no difference in usage were presented, the submission claimed a cost saving to the government health budget in the five-year forward estimates via the statutory price reduction by listing a generic brand, despite the additional cost of MBS-funded INR testing</w:t>
      </w:r>
      <w:r w:rsidR="00544392" w:rsidRPr="00BC72D5">
        <w:rPr>
          <w:snapToGrid/>
          <w:szCs w:val="22"/>
        </w:rPr>
        <w:t xml:space="preserve"> (Table</w:t>
      </w:r>
      <w:r w:rsidR="00A96E2F">
        <w:rPr>
          <w:snapToGrid/>
          <w:szCs w:val="22"/>
        </w:rPr>
        <w:t> </w:t>
      </w:r>
      <w:r w:rsidR="00544392" w:rsidRPr="00BC72D5">
        <w:rPr>
          <w:snapToGrid/>
          <w:szCs w:val="22"/>
        </w:rPr>
        <w:t>3)</w:t>
      </w:r>
      <w:r w:rsidR="003F1F0A" w:rsidRPr="00BC72D5">
        <w:rPr>
          <w:snapToGrid/>
          <w:szCs w:val="22"/>
        </w:rPr>
        <w:t>.</w:t>
      </w:r>
    </w:p>
    <w:p w:rsidR="00E8647F" w:rsidRPr="00BC72D5" w:rsidRDefault="00E8647F" w:rsidP="00A96E2F">
      <w:pPr>
        <w:pStyle w:val="Caption"/>
        <w:keepNext/>
        <w:spacing w:after="0"/>
        <w:rPr>
          <w:rFonts w:ascii="Arial Narrow" w:hAnsi="Arial Narrow"/>
          <w:sz w:val="20"/>
        </w:rPr>
      </w:pPr>
      <w:bookmarkStart w:id="1" w:name="_Ref458434160"/>
      <w:bookmarkStart w:id="2" w:name="_Toc459282179"/>
    </w:p>
    <w:p w:rsidR="00391C92" w:rsidRPr="00391C92" w:rsidRDefault="00391C92" w:rsidP="00FA03C5">
      <w:pPr>
        <w:pStyle w:val="Caption"/>
        <w:keepNext/>
        <w:spacing w:after="0"/>
        <w:ind w:firstLine="720"/>
        <w:rPr>
          <w:rFonts w:ascii="Arial Narrow" w:hAnsi="Arial Narrow"/>
          <w:sz w:val="20"/>
        </w:rPr>
      </w:pPr>
      <w:r w:rsidRPr="00391C92">
        <w:rPr>
          <w:rFonts w:ascii="Arial Narrow" w:hAnsi="Arial Narrow"/>
          <w:sz w:val="20"/>
        </w:rPr>
        <w:t>Table</w:t>
      </w:r>
      <w:bookmarkEnd w:id="1"/>
      <w:r>
        <w:rPr>
          <w:rFonts w:ascii="Arial Narrow" w:hAnsi="Arial Narrow"/>
          <w:sz w:val="20"/>
        </w:rPr>
        <w:t>3</w:t>
      </w:r>
      <w:r w:rsidRPr="00391C92">
        <w:rPr>
          <w:rFonts w:ascii="Arial Narrow" w:hAnsi="Arial Narrow"/>
          <w:sz w:val="20"/>
        </w:rPr>
        <w:t>: Summary of net cost to government health budgets</w:t>
      </w:r>
      <w:bookmarkEnd w:id="2"/>
      <w:r w:rsidR="00431C8F">
        <w:rPr>
          <w:rFonts w:ascii="Arial Narrow" w:hAnsi="Arial Narrow"/>
          <w:sz w:val="20"/>
        </w:rPr>
        <w:t xml:space="preserve"> </w:t>
      </w:r>
    </w:p>
    <w:tbl>
      <w:tblPr>
        <w:tblStyle w:val="TableGrid"/>
        <w:tblW w:w="0" w:type="auto"/>
        <w:tblInd w:w="817" w:type="dxa"/>
        <w:tblLook w:val="04A0" w:firstRow="1" w:lastRow="0" w:firstColumn="1" w:lastColumn="0" w:noHBand="0" w:noVBand="1"/>
        <w:tblCaption w:val="Summary of financial estimates"/>
      </w:tblPr>
      <w:tblGrid>
        <w:gridCol w:w="2268"/>
        <w:gridCol w:w="1134"/>
        <w:gridCol w:w="1276"/>
        <w:gridCol w:w="1276"/>
        <w:gridCol w:w="1183"/>
        <w:gridCol w:w="1226"/>
      </w:tblGrid>
      <w:tr w:rsidR="00391C92" w:rsidRPr="00391C92" w:rsidTr="00A44E89">
        <w:trPr>
          <w:trHeight w:val="288"/>
          <w:tblHeader/>
        </w:trPr>
        <w:tc>
          <w:tcPr>
            <w:tcW w:w="2268" w:type="dxa"/>
            <w:noWrap/>
          </w:tcPr>
          <w:p w:rsidR="00391C92" w:rsidRPr="00391C92" w:rsidRDefault="00391C92" w:rsidP="00431C8F">
            <w:pPr>
              <w:pStyle w:val="Table"/>
              <w:rPr>
                <w:rFonts w:ascii="Arial Narrow" w:hAnsi="Arial Narrow"/>
              </w:rPr>
            </w:pPr>
          </w:p>
        </w:tc>
        <w:tc>
          <w:tcPr>
            <w:tcW w:w="1134" w:type="dxa"/>
            <w:noWrap/>
          </w:tcPr>
          <w:p w:rsidR="00391C92" w:rsidRPr="00391C92" w:rsidRDefault="00391C92" w:rsidP="00431C8F">
            <w:pPr>
              <w:pStyle w:val="Table"/>
              <w:rPr>
                <w:rStyle w:val="SmallBold"/>
                <w:rFonts w:ascii="Arial Narrow" w:hAnsi="Arial Narrow"/>
              </w:rPr>
            </w:pPr>
            <w:r w:rsidRPr="00391C92">
              <w:rPr>
                <w:rStyle w:val="SmallBold"/>
                <w:rFonts w:ascii="Arial Narrow" w:hAnsi="Arial Narrow"/>
              </w:rPr>
              <w:t>Year 1</w:t>
            </w:r>
          </w:p>
        </w:tc>
        <w:tc>
          <w:tcPr>
            <w:tcW w:w="1276" w:type="dxa"/>
            <w:noWrap/>
          </w:tcPr>
          <w:p w:rsidR="00391C92" w:rsidRPr="00391C92" w:rsidRDefault="00391C92" w:rsidP="00431C8F">
            <w:pPr>
              <w:pStyle w:val="Table"/>
              <w:rPr>
                <w:rStyle w:val="SmallBold"/>
                <w:rFonts w:ascii="Arial Narrow" w:hAnsi="Arial Narrow"/>
              </w:rPr>
            </w:pPr>
            <w:r w:rsidRPr="00391C92">
              <w:rPr>
                <w:rStyle w:val="SmallBold"/>
                <w:rFonts w:ascii="Arial Narrow" w:hAnsi="Arial Narrow"/>
              </w:rPr>
              <w:t>Year 2</w:t>
            </w:r>
          </w:p>
        </w:tc>
        <w:tc>
          <w:tcPr>
            <w:tcW w:w="1276" w:type="dxa"/>
            <w:noWrap/>
          </w:tcPr>
          <w:p w:rsidR="00391C92" w:rsidRPr="00391C92" w:rsidRDefault="00391C92" w:rsidP="00431C8F">
            <w:pPr>
              <w:pStyle w:val="Table"/>
              <w:rPr>
                <w:rStyle w:val="SmallBold"/>
                <w:rFonts w:ascii="Arial Narrow" w:hAnsi="Arial Narrow"/>
              </w:rPr>
            </w:pPr>
            <w:r w:rsidRPr="00391C92">
              <w:rPr>
                <w:rStyle w:val="SmallBold"/>
                <w:rFonts w:ascii="Arial Narrow" w:hAnsi="Arial Narrow"/>
              </w:rPr>
              <w:t>Year 3</w:t>
            </w:r>
          </w:p>
        </w:tc>
        <w:tc>
          <w:tcPr>
            <w:tcW w:w="1183" w:type="dxa"/>
            <w:noWrap/>
          </w:tcPr>
          <w:p w:rsidR="00391C92" w:rsidRPr="00391C92" w:rsidRDefault="00391C92" w:rsidP="00431C8F">
            <w:pPr>
              <w:pStyle w:val="Table"/>
              <w:rPr>
                <w:rStyle w:val="SmallBold"/>
                <w:rFonts w:ascii="Arial Narrow" w:hAnsi="Arial Narrow"/>
              </w:rPr>
            </w:pPr>
            <w:r w:rsidRPr="00391C92">
              <w:rPr>
                <w:rStyle w:val="SmallBold"/>
                <w:rFonts w:ascii="Arial Narrow" w:hAnsi="Arial Narrow"/>
              </w:rPr>
              <w:t>Year 4</w:t>
            </w:r>
          </w:p>
        </w:tc>
        <w:tc>
          <w:tcPr>
            <w:tcW w:w="1226" w:type="dxa"/>
            <w:noWrap/>
          </w:tcPr>
          <w:p w:rsidR="00391C92" w:rsidRPr="00391C92" w:rsidRDefault="00391C92" w:rsidP="00431C8F">
            <w:pPr>
              <w:pStyle w:val="Table"/>
              <w:rPr>
                <w:rStyle w:val="SmallBold"/>
                <w:rFonts w:ascii="Arial Narrow" w:hAnsi="Arial Narrow"/>
              </w:rPr>
            </w:pPr>
            <w:r w:rsidRPr="00391C92">
              <w:rPr>
                <w:rStyle w:val="SmallBold"/>
                <w:rFonts w:ascii="Arial Narrow" w:hAnsi="Arial Narrow"/>
              </w:rPr>
              <w:t>Year 5</w:t>
            </w:r>
          </w:p>
        </w:tc>
      </w:tr>
      <w:tr w:rsidR="00391C92" w:rsidRPr="00391C92" w:rsidTr="00A96E2F">
        <w:trPr>
          <w:trHeight w:val="288"/>
        </w:trPr>
        <w:tc>
          <w:tcPr>
            <w:tcW w:w="2268" w:type="dxa"/>
            <w:noWrap/>
            <w:hideMark/>
          </w:tcPr>
          <w:p w:rsidR="00391C92" w:rsidRPr="00391C92" w:rsidRDefault="00391C92" w:rsidP="00431C8F">
            <w:pPr>
              <w:pStyle w:val="Table"/>
              <w:rPr>
                <w:rFonts w:ascii="Arial Narrow" w:hAnsi="Arial Narrow"/>
              </w:rPr>
            </w:pPr>
            <w:r w:rsidRPr="00391C92">
              <w:rPr>
                <w:rFonts w:ascii="Arial Narrow" w:hAnsi="Arial Narrow"/>
              </w:rPr>
              <w:t>Net cost to PBS/RPBS</w:t>
            </w:r>
          </w:p>
        </w:tc>
        <w:tc>
          <w:tcPr>
            <w:tcW w:w="1134"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7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7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183"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2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r>
      <w:tr w:rsidR="00391C92" w:rsidRPr="00391C92" w:rsidTr="00A96E2F">
        <w:trPr>
          <w:trHeight w:val="288"/>
        </w:trPr>
        <w:tc>
          <w:tcPr>
            <w:tcW w:w="2268" w:type="dxa"/>
            <w:noWrap/>
            <w:hideMark/>
          </w:tcPr>
          <w:p w:rsidR="00391C92" w:rsidRPr="00391C92" w:rsidRDefault="00391C92" w:rsidP="00431C8F">
            <w:pPr>
              <w:pStyle w:val="Table"/>
              <w:rPr>
                <w:rFonts w:ascii="Arial Narrow" w:hAnsi="Arial Narrow"/>
              </w:rPr>
            </w:pPr>
            <w:r w:rsidRPr="00391C92">
              <w:rPr>
                <w:rFonts w:ascii="Arial Narrow" w:hAnsi="Arial Narrow"/>
              </w:rPr>
              <w:t>PBS</w:t>
            </w:r>
          </w:p>
        </w:tc>
        <w:tc>
          <w:tcPr>
            <w:tcW w:w="1134"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7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7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183"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2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r>
      <w:tr w:rsidR="00391C92" w:rsidRPr="00391C92" w:rsidTr="00A96E2F">
        <w:trPr>
          <w:trHeight w:val="288"/>
        </w:trPr>
        <w:tc>
          <w:tcPr>
            <w:tcW w:w="2268" w:type="dxa"/>
            <w:noWrap/>
            <w:hideMark/>
          </w:tcPr>
          <w:p w:rsidR="00391C92" w:rsidRPr="00391C92" w:rsidRDefault="00391C92" w:rsidP="00431C8F">
            <w:pPr>
              <w:pStyle w:val="Table"/>
              <w:rPr>
                <w:rFonts w:ascii="Arial Narrow" w:hAnsi="Arial Narrow"/>
              </w:rPr>
            </w:pPr>
            <w:r w:rsidRPr="00391C92">
              <w:rPr>
                <w:rFonts w:ascii="Arial Narrow" w:hAnsi="Arial Narrow"/>
              </w:rPr>
              <w:t>RPBS</w:t>
            </w:r>
          </w:p>
        </w:tc>
        <w:tc>
          <w:tcPr>
            <w:tcW w:w="1134"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7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7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183"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2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r>
      <w:tr w:rsidR="00391C92" w:rsidRPr="00391C92" w:rsidTr="00A96E2F">
        <w:trPr>
          <w:trHeight w:val="288"/>
        </w:trPr>
        <w:tc>
          <w:tcPr>
            <w:tcW w:w="2268" w:type="dxa"/>
            <w:noWrap/>
            <w:hideMark/>
          </w:tcPr>
          <w:p w:rsidR="00391C92" w:rsidRPr="00391C92" w:rsidRDefault="00391C92" w:rsidP="00431C8F">
            <w:pPr>
              <w:pStyle w:val="Table"/>
              <w:rPr>
                <w:rFonts w:ascii="Arial Narrow" w:hAnsi="Arial Narrow"/>
              </w:rPr>
            </w:pPr>
            <w:r w:rsidRPr="00391C92">
              <w:rPr>
                <w:rFonts w:ascii="Arial Narrow" w:hAnsi="Arial Narrow"/>
              </w:rPr>
              <w:t>Net cost to MBS</w:t>
            </w:r>
          </w:p>
        </w:tc>
        <w:tc>
          <w:tcPr>
            <w:tcW w:w="1134"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7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7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183"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c>
          <w:tcPr>
            <w:tcW w:w="1226" w:type="dxa"/>
            <w:noWrap/>
            <w:hideMark/>
          </w:tcPr>
          <w:p w:rsidR="00391C92" w:rsidRPr="00391C92" w:rsidRDefault="00391C92" w:rsidP="00431C8F">
            <w:pPr>
              <w:pStyle w:val="Table"/>
              <w:rPr>
                <w:rFonts w:ascii="Arial Narrow" w:hAnsi="Arial Narrow"/>
              </w:rPr>
            </w:pPr>
            <w:r w:rsidRPr="00391C92">
              <w:rPr>
                <w:rFonts w:ascii="Arial Narrow" w:hAnsi="Arial Narrow"/>
              </w:rPr>
              <w:t>$</w:t>
            </w:r>
            <w:r w:rsidR="005B0DF1">
              <w:rPr>
                <w:rFonts w:ascii="Arial Narrow" w:hAnsi="Arial Narrow"/>
                <w:noProof/>
                <w:color w:val="000000"/>
                <w:highlight w:val="black"/>
              </w:rPr>
              <w:t>'''''''''''''''''''</w:t>
            </w:r>
          </w:p>
        </w:tc>
      </w:tr>
      <w:tr w:rsidR="00391C92" w:rsidRPr="00391C92" w:rsidTr="00A96E2F">
        <w:trPr>
          <w:trHeight w:val="300"/>
        </w:trPr>
        <w:tc>
          <w:tcPr>
            <w:tcW w:w="2268" w:type="dxa"/>
            <w:noWrap/>
            <w:hideMark/>
          </w:tcPr>
          <w:p w:rsidR="00391C92" w:rsidRPr="00391C92" w:rsidRDefault="00391C92" w:rsidP="00431C8F">
            <w:pPr>
              <w:pStyle w:val="Table"/>
              <w:rPr>
                <w:rFonts w:ascii="Arial Narrow" w:hAnsi="Arial Narrow"/>
                <w:b/>
              </w:rPr>
            </w:pPr>
            <w:r w:rsidRPr="00391C92">
              <w:rPr>
                <w:rFonts w:ascii="Arial Narrow" w:hAnsi="Arial Narrow"/>
                <w:b/>
              </w:rPr>
              <w:t>Net cost to government health budgets</w:t>
            </w:r>
          </w:p>
        </w:tc>
        <w:tc>
          <w:tcPr>
            <w:tcW w:w="1134" w:type="dxa"/>
            <w:noWrap/>
            <w:hideMark/>
          </w:tcPr>
          <w:p w:rsidR="00391C92" w:rsidRPr="00391C92" w:rsidRDefault="00391C92" w:rsidP="00431C8F">
            <w:pPr>
              <w:pStyle w:val="Table"/>
              <w:rPr>
                <w:rFonts w:ascii="Arial Narrow" w:hAnsi="Arial Narrow"/>
                <w:b/>
              </w:rPr>
            </w:pPr>
            <w:r w:rsidRPr="00391C92">
              <w:rPr>
                <w:rFonts w:ascii="Arial Narrow" w:hAnsi="Arial Narrow"/>
                <w:b/>
              </w:rPr>
              <w:t>-$</w:t>
            </w:r>
            <w:r w:rsidR="005B0DF1">
              <w:rPr>
                <w:rFonts w:ascii="Arial Narrow" w:hAnsi="Arial Narrow"/>
                <w:b/>
                <w:noProof/>
                <w:color w:val="000000"/>
                <w:highlight w:val="black"/>
              </w:rPr>
              <w:t>''''''''''''''''''</w:t>
            </w:r>
          </w:p>
        </w:tc>
        <w:tc>
          <w:tcPr>
            <w:tcW w:w="1276" w:type="dxa"/>
            <w:noWrap/>
            <w:hideMark/>
          </w:tcPr>
          <w:p w:rsidR="00391C92" w:rsidRPr="00391C92" w:rsidRDefault="00391C92" w:rsidP="00431C8F">
            <w:pPr>
              <w:pStyle w:val="Table"/>
              <w:rPr>
                <w:rFonts w:ascii="Arial Narrow" w:hAnsi="Arial Narrow"/>
                <w:b/>
              </w:rPr>
            </w:pPr>
            <w:r w:rsidRPr="00391C92">
              <w:rPr>
                <w:rFonts w:ascii="Arial Narrow" w:hAnsi="Arial Narrow"/>
                <w:b/>
              </w:rPr>
              <w:t>-$</w:t>
            </w:r>
            <w:r w:rsidR="005B0DF1">
              <w:rPr>
                <w:rFonts w:ascii="Arial Narrow" w:hAnsi="Arial Narrow"/>
                <w:b/>
                <w:noProof/>
                <w:color w:val="000000"/>
                <w:highlight w:val="black"/>
              </w:rPr>
              <w:t>''''''''''''''''''''</w:t>
            </w:r>
          </w:p>
        </w:tc>
        <w:tc>
          <w:tcPr>
            <w:tcW w:w="1276" w:type="dxa"/>
            <w:noWrap/>
            <w:hideMark/>
          </w:tcPr>
          <w:p w:rsidR="00391C92" w:rsidRPr="00391C92" w:rsidRDefault="00391C92" w:rsidP="00431C8F">
            <w:pPr>
              <w:pStyle w:val="Table"/>
              <w:rPr>
                <w:rFonts w:ascii="Arial Narrow" w:hAnsi="Arial Narrow"/>
                <w:b/>
              </w:rPr>
            </w:pPr>
            <w:r w:rsidRPr="00391C92">
              <w:rPr>
                <w:rFonts w:ascii="Arial Narrow" w:hAnsi="Arial Narrow"/>
                <w:b/>
              </w:rPr>
              <w:t>-$</w:t>
            </w:r>
            <w:r w:rsidR="005B0DF1">
              <w:rPr>
                <w:rFonts w:ascii="Arial Narrow" w:hAnsi="Arial Narrow"/>
                <w:b/>
                <w:noProof/>
                <w:color w:val="000000"/>
                <w:highlight w:val="black"/>
              </w:rPr>
              <w:t>'''''''''''''''''</w:t>
            </w:r>
          </w:p>
        </w:tc>
        <w:tc>
          <w:tcPr>
            <w:tcW w:w="1183" w:type="dxa"/>
            <w:noWrap/>
            <w:hideMark/>
          </w:tcPr>
          <w:p w:rsidR="00391C92" w:rsidRPr="00391C92" w:rsidRDefault="00391C92" w:rsidP="00431C8F">
            <w:pPr>
              <w:pStyle w:val="Table"/>
              <w:rPr>
                <w:rFonts w:ascii="Arial Narrow" w:hAnsi="Arial Narrow"/>
                <w:b/>
              </w:rPr>
            </w:pPr>
            <w:r w:rsidRPr="00391C92">
              <w:rPr>
                <w:rFonts w:ascii="Arial Narrow" w:hAnsi="Arial Narrow"/>
                <w:b/>
              </w:rPr>
              <w:t>-$</w:t>
            </w:r>
            <w:r w:rsidR="005B0DF1">
              <w:rPr>
                <w:rFonts w:ascii="Arial Narrow" w:hAnsi="Arial Narrow"/>
                <w:b/>
                <w:noProof/>
                <w:color w:val="000000"/>
                <w:highlight w:val="black"/>
              </w:rPr>
              <w:t>''''''''''''''''</w:t>
            </w:r>
          </w:p>
        </w:tc>
        <w:tc>
          <w:tcPr>
            <w:tcW w:w="1226" w:type="dxa"/>
            <w:noWrap/>
            <w:hideMark/>
          </w:tcPr>
          <w:p w:rsidR="00391C92" w:rsidRPr="00391C92" w:rsidRDefault="00391C92" w:rsidP="00431C8F">
            <w:pPr>
              <w:pStyle w:val="Table"/>
              <w:rPr>
                <w:rFonts w:ascii="Arial Narrow" w:hAnsi="Arial Narrow"/>
                <w:b/>
              </w:rPr>
            </w:pPr>
            <w:r w:rsidRPr="00391C92">
              <w:rPr>
                <w:rFonts w:ascii="Arial Narrow" w:hAnsi="Arial Narrow"/>
                <w:b/>
              </w:rPr>
              <w:t>-$</w:t>
            </w:r>
            <w:r w:rsidR="005B0DF1">
              <w:rPr>
                <w:rFonts w:ascii="Arial Narrow" w:hAnsi="Arial Narrow"/>
                <w:b/>
                <w:noProof/>
                <w:color w:val="000000"/>
                <w:highlight w:val="black"/>
              </w:rPr>
              <w:t>''''''''''''''''</w:t>
            </w:r>
          </w:p>
        </w:tc>
      </w:tr>
    </w:tbl>
    <w:p w:rsidR="003F1F0A" w:rsidRDefault="003F1F0A" w:rsidP="00391C92">
      <w:pPr>
        <w:rPr>
          <w:i/>
          <w:szCs w:val="22"/>
        </w:rPr>
      </w:pPr>
    </w:p>
    <w:p w:rsidR="00053E4B" w:rsidRPr="00FD67DE" w:rsidRDefault="00053E4B" w:rsidP="00175538">
      <w:pPr>
        <w:pStyle w:val="ListParagraph"/>
        <w:numPr>
          <w:ilvl w:val="1"/>
          <w:numId w:val="37"/>
        </w:numPr>
        <w:rPr>
          <w:i/>
          <w:szCs w:val="22"/>
        </w:rPr>
      </w:pPr>
      <w:r>
        <w:rPr>
          <w:szCs w:val="22"/>
        </w:rPr>
        <w:t xml:space="preserve">At year 5, the estimated net save to the PBS </w:t>
      </w:r>
      <w:r w:rsidRPr="00053E4B">
        <w:rPr>
          <w:szCs w:val="22"/>
        </w:rPr>
        <w:t xml:space="preserve">would be </w:t>
      </w:r>
      <w:r w:rsidR="003C7AD7">
        <w:rPr>
          <w:szCs w:val="22"/>
        </w:rPr>
        <w:t>less than $10 million per year</w:t>
      </w:r>
      <w:r>
        <w:t>.</w:t>
      </w:r>
    </w:p>
    <w:p w:rsidR="00FD67DE" w:rsidRPr="00FD67DE" w:rsidRDefault="00FD67DE" w:rsidP="00FD67DE">
      <w:pPr>
        <w:pStyle w:val="ListParagraph"/>
        <w:rPr>
          <w:i/>
          <w:szCs w:val="22"/>
        </w:rPr>
      </w:pPr>
    </w:p>
    <w:p w:rsidR="00FD67DE" w:rsidRPr="00053E4B" w:rsidRDefault="00FD67DE" w:rsidP="00175538">
      <w:pPr>
        <w:pStyle w:val="ListParagraph"/>
        <w:numPr>
          <w:ilvl w:val="1"/>
          <w:numId w:val="37"/>
        </w:numPr>
        <w:rPr>
          <w:i/>
          <w:szCs w:val="22"/>
        </w:rPr>
      </w:pPr>
      <w:r>
        <w:rPr>
          <w:szCs w:val="22"/>
        </w:rPr>
        <w:t xml:space="preserve">The PBAC considered that the financial estimates did not reflect what would occur in practice if Warfarin APOTEX was </w:t>
      </w:r>
      <w:r w:rsidR="00982830">
        <w:rPr>
          <w:szCs w:val="22"/>
        </w:rPr>
        <w:t>‘</w:t>
      </w:r>
      <w:r>
        <w:rPr>
          <w:szCs w:val="22"/>
        </w:rPr>
        <w:t>a</w:t>
      </w:r>
      <w:r w:rsidR="00982830">
        <w:rPr>
          <w:szCs w:val="22"/>
        </w:rPr>
        <w:t xml:space="preserve">’ </w:t>
      </w:r>
      <w:r>
        <w:rPr>
          <w:szCs w:val="22"/>
        </w:rPr>
        <w:t>flagged</w:t>
      </w:r>
      <w:r w:rsidR="008C1863">
        <w:rPr>
          <w:szCs w:val="22"/>
        </w:rPr>
        <w:t>,</w:t>
      </w:r>
      <w:r>
        <w:rPr>
          <w:szCs w:val="22"/>
        </w:rPr>
        <w:t xml:space="preserve"> and noted that the difference in the rate and cost of additional INR testing was uncertain, as it relied on patients being informed that they should get additional INR testing, </w:t>
      </w:r>
      <w:r w:rsidR="000E5B32">
        <w:t>and was dependent on whether the testing occurred in a setting eligible for MBS rebate</w:t>
      </w:r>
      <w:r w:rsidR="0005002C">
        <w:rPr>
          <w:szCs w:val="22"/>
        </w:rPr>
        <w:t>.</w:t>
      </w:r>
    </w:p>
    <w:p w:rsidR="0077738D" w:rsidRDefault="0077738D" w:rsidP="00F02BD7"/>
    <w:p w:rsidR="0077738D" w:rsidRDefault="0077738D" w:rsidP="0077738D">
      <w:pPr>
        <w:pStyle w:val="Heading2"/>
      </w:pPr>
      <w:r>
        <w:t>Quality use of medicines</w:t>
      </w:r>
      <w:r w:rsidR="002C4EA5">
        <w:t xml:space="preserve"> </w:t>
      </w:r>
    </w:p>
    <w:p w:rsidR="00391C92" w:rsidRPr="00391C92" w:rsidRDefault="00391C92" w:rsidP="00391C92"/>
    <w:p w:rsidR="00391C92" w:rsidRDefault="00FD67DE" w:rsidP="00175538">
      <w:pPr>
        <w:pStyle w:val="ListParagraph"/>
        <w:numPr>
          <w:ilvl w:val="1"/>
          <w:numId w:val="37"/>
        </w:numPr>
      </w:pPr>
      <w:r>
        <w:t xml:space="preserve">The PBAC noted that </w:t>
      </w:r>
      <w:r w:rsidR="0050112B">
        <w:t xml:space="preserve">the TGA recommended that the sponsor of </w:t>
      </w:r>
      <w:r w:rsidR="002C4EA5">
        <w:t>W</w:t>
      </w:r>
      <w:r w:rsidR="0050112B">
        <w:t xml:space="preserve">arfarin </w:t>
      </w:r>
      <w:r w:rsidR="003B4A52">
        <w:t>APOTEX</w:t>
      </w:r>
      <w:r w:rsidR="003B4A52" w:rsidRPr="00F94738">
        <w:rPr>
          <w:color w:val="000000"/>
          <w:vertAlign w:val="superscript"/>
        </w:rPr>
        <w:t>®</w:t>
      </w:r>
      <w:r w:rsidR="0050112B">
        <w:t xml:space="preserve"> address potential </w:t>
      </w:r>
      <w:r w:rsidR="005B019D">
        <w:t>QUM</w:t>
      </w:r>
      <w:r w:rsidR="0050112B">
        <w:t xml:space="preserve"> issues </w:t>
      </w:r>
      <w:r w:rsidR="002C4EA5">
        <w:t xml:space="preserve">through </w:t>
      </w:r>
      <w:r w:rsidR="0050112B">
        <w:t>a risk management plan.</w:t>
      </w:r>
    </w:p>
    <w:p w:rsidR="0050112B" w:rsidRDefault="0050112B" w:rsidP="0050112B">
      <w:pPr>
        <w:pStyle w:val="ListParagraph"/>
      </w:pPr>
    </w:p>
    <w:p w:rsidR="0050112B" w:rsidRDefault="00C3639B" w:rsidP="00175538">
      <w:pPr>
        <w:pStyle w:val="ListParagraph"/>
        <w:numPr>
          <w:ilvl w:val="1"/>
          <w:numId w:val="37"/>
        </w:numPr>
      </w:pPr>
      <w:r>
        <w:t>T</w:t>
      </w:r>
      <w:r w:rsidR="0050112B">
        <w:t>he potential QUM issues identified were:</w:t>
      </w:r>
    </w:p>
    <w:p w:rsidR="0050112B" w:rsidRDefault="0050112B" w:rsidP="005B019D">
      <w:pPr>
        <w:pStyle w:val="ListParagraph"/>
        <w:numPr>
          <w:ilvl w:val="0"/>
          <w:numId w:val="21"/>
        </w:numPr>
        <w:ind w:left="1134" w:hanging="425"/>
      </w:pPr>
      <w:r>
        <w:t xml:space="preserve">Since bioequivalence of </w:t>
      </w:r>
      <w:r w:rsidR="00982830">
        <w:t>W</w:t>
      </w:r>
      <w:r>
        <w:t xml:space="preserve">arfarin </w:t>
      </w:r>
      <w:r w:rsidR="003B4A52">
        <w:t>APOTEX</w:t>
      </w:r>
      <w:r w:rsidR="003B4A52" w:rsidRPr="00F94738">
        <w:rPr>
          <w:color w:val="000000"/>
          <w:vertAlign w:val="superscript"/>
        </w:rPr>
        <w:t>®</w:t>
      </w:r>
      <w:r>
        <w:t xml:space="preserve"> and </w:t>
      </w:r>
      <w:r w:rsidR="00982830">
        <w:t>W</w:t>
      </w:r>
      <w:r>
        <w:t xml:space="preserve">arfarin </w:t>
      </w:r>
      <w:proofErr w:type="spellStart"/>
      <w:r>
        <w:t>Marevan</w:t>
      </w:r>
      <w:proofErr w:type="spellEnd"/>
      <w:r w:rsidR="003B4A52" w:rsidRPr="00F94738">
        <w:rPr>
          <w:color w:val="000000"/>
          <w:vertAlign w:val="superscript"/>
        </w:rPr>
        <w:t>®</w:t>
      </w:r>
      <w:r>
        <w:t xml:space="preserve"> has not been demonstrated, these products should not be substituted.</w:t>
      </w:r>
    </w:p>
    <w:p w:rsidR="0050112B" w:rsidRPr="00BC72D5" w:rsidRDefault="0050112B" w:rsidP="005B019D">
      <w:pPr>
        <w:pStyle w:val="ListParagraph"/>
        <w:numPr>
          <w:ilvl w:val="0"/>
          <w:numId w:val="21"/>
        </w:numPr>
        <w:ind w:left="1134" w:hanging="425"/>
      </w:pPr>
      <w:r>
        <w:t xml:space="preserve">Increased monitoring may be required to minimise the potential risk to the </w:t>
      </w:r>
      <w:r w:rsidR="0005002C">
        <w:t>patient.</w:t>
      </w:r>
    </w:p>
    <w:p w:rsidR="0050112B" w:rsidRDefault="0050112B" w:rsidP="005B019D">
      <w:pPr>
        <w:pStyle w:val="ListParagraph"/>
        <w:numPr>
          <w:ilvl w:val="0"/>
          <w:numId w:val="21"/>
        </w:numPr>
        <w:ind w:left="1134" w:hanging="425"/>
      </w:pPr>
      <w:r w:rsidRPr="00BC72D5">
        <w:t>Episodes of switching may need to be kept to a minimum.</w:t>
      </w:r>
    </w:p>
    <w:p w:rsidR="0071716E" w:rsidRDefault="0071716E" w:rsidP="0071716E">
      <w:pPr>
        <w:pStyle w:val="ListParagraph"/>
        <w:ind w:left="709"/>
      </w:pPr>
      <w:r>
        <w:t>The PBAC considered that ‘a’ flagging warfarin APOTEX® would exacerbate some of these QUM issues as it would enable switching between brands to occur without any limitation on the number of times, and potentially without the need for additional testing being identified.</w:t>
      </w:r>
    </w:p>
    <w:p w:rsidR="00471DC7" w:rsidRPr="00BC72D5" w:rsidRDefault="00471DC7" w:rsidP="00471DC7">
      <w:pPr>
        <w:pStyle w:val="ListParagraph"/>
        <w:ind w:left="1440"/>
      </w:pPr>
    </w:p>
    <w:p w:rsidR="00FD67DE" w:rsidRDefault="00FD67DE" w:rsidP="00175538">
      <w:pPr>
        <w:pStyle w:val="ListParagraph"/>
        <w:numPr>
          <w:ilvl w:val="1"/>
          <w:numId w:val="37"/>
        </w:numPr>
      </w:pPr>
      <w:r>
        <w:rPr>
          <w:szCs w:val="22"/>
        </w:rPr>
        <w:t xml:space="preserve">The minor submission indicated that support material for patients encourages </w:t>
      </w:r>
      <w:r>
        <w:t xml:space="preserve">patients to note the colour and strength of their regular tablets, and to continue to take the tablets they were first prescribed. The submission claimed that this is important, as it assists patients to differentiate between </w:t>
      </w:r>
      <w:r w:rsidR="005B019D">
        <w:t>W</w:t>
      </w:r>
      <w:r>
        <w:t>arfarin Coumadin</w:t>
      </w:r>
      <w:r w:rsidRPr="00F94738">
        <w:rPr>
          <w:color w:val="000000"/>
          <w:vertAlign w:val="superscript"/>
        </w:rPr>
        <w:t>®</w:t>
      </w:r>
      <w:r>
        <w:t xml:space="preserve"> or </w:t>
      </w:r>
      <w:r w:rsidR="005B019D">
        <w:t>W</w:t>
      </w:r>
      <w:r>
        <w:t xml:space="preserve">arfarin </w:t>
      </w:r>
      <w:proofErr w:type="spellStart"/>
      <w:r>
        <w:t>Marevan</w:t>
      </w:r>
      <w:proofErr w:type="spellEnd"/>
      <w:r w:rsidRPr="00F94738">
        <w:rPr>
          <w:color w:val="000000"/>
          <w:vertAlign w:val="superscript"/>
        </w:rPr>
        <w:t>®</w:t>
      </w:r>
      <w:r>
        <w:t xml:space="preserve">, since these are </w:t>
      </w:r>
      <w:r w:rsidRPr="000431A5">
        <w:rPr>
          <w:i/>
        </w:rPr>
        <w:t>not</w:t>
      </w:r>
      <w:r>
        <w:t xml:space="preserve"> bioequivalent, and are available in a different range of tablet strengths (2mg tablet is unique to Coumadin</w:t>
      </w:r>
      <w:r w:rsidRPr="00F94738">
        <w:rPr>
          <w:color w:val="000000"/>
          <w:vertAlign w:val="superscript"/>
        </w:rPr>
        <w:t>®</w:t>
      </w:r>
      <w:r>
        <w:t xml:space="preserve">; 3mg is unique to </w:t>
      </w:r>
      <w:proofErr w:type="spellStart"/>
      <w:r>
        <w:t>Marevan</w:t>
      </w:r>
      <w:proofErr w:type="spellEnd"/>
      <w:r w:rsidRPr="00F94738">
        <w:rPr>
          <w:color w:val="000000"/>
          <w:vertAlign w:val="superscript"/>
        </w:rPr>
        <w:t>®</w:t>
      </w:r>
      <w:r>
        <w:t>). The minor submission claimed that Warfarin APOTEX</w:t>
      </w:r>
      <w:r w:rsidRPr="00F94738">
        <w:rPr>
          <w:color w:val="000000"/>
          <w:vertAlign w:val="superscript"/>
        </w:rPr>
        <w:t>®</w:t>
      </w:r>
      <w:r>
        <w:t xml:space="preserve"> has been developed to resemble C</w:t>
      </w:r>
      <w:r w:rsidRPr="000431A5">
        <w:t>oumadin</w:t>
      </w:r>
      <w:r w:rsidRPr="00F94738">
        <w:rPr>
          <w:color w:val="000000"/>
          <w:vertAlign w:val="superscript"/>
        </w:rPr>
        <w:t>®</w:t>
      </w:r>
      <w:r w:rsidRPr="000431A5">
        <w:t xml:space="preserve"> tablets in shape, colour and range of strengths</w:t>
      </w:r>
      <w:r>
        <w:t xml:space="preserve">, </w:t>
      </w:r>
      <w:r w:rsidR="00F83E05">
        <w:t>to</w:t>
      </w:r>
      <w:r>
        <w:t xml:space="preserve"> prevent </w:t>
      </w:r>
      <w:r w:rsidRPr="000431A5">
        <w:t>confusion at the patient level.</w:t>
      </w:r>
    </w:p>
    <w:p w:rsidR="00391C92" w:rsidRDefault="00391C92" w:rsidP="0050112B">
      <w:pPr>
        <w:rPr>
          <w:rFonts w:ascii="Arial" w:hAnsi="Arial"/>
          <w:b/>
          <w:sz w:val="22"/>
          <w:szCs w:val="22"/>
          <w:u w:val="single"/>
        </w:rPr>
      </w:pPr>
    </w:p>
    <w:p w:rsidR="0050112B" w:rsidRPr="000431A5" w:rsidRDefault="00FD67DE" w:rsidP="00175538">
      <w:pPr>
        <w:pStyle w:val="ListParagraph"/>
        <w:numPr>
          <w:ilvl w:val="1"/>
          <w:numId w:val="37"/>
        </w:numPr>
        <w:rPr>
          <w:szCs w:val="22"/>
        </w:rPr>
      </w:pPr>
      <w:r>
        <w:rPr>
          <w:szCs w:val="22"/>
        </w:rPr>
        <w:lastRenderedPageBreak/>
        <w:t>T</w:t>
      </w:r>
      <w:r w:rsidR="0050112B">
        <w:rPr>
          <w:szCs w:val="22"/>
        </w:rPr>
        <w:t xml:space="preserve">he minor submission </w:t>
      </w:r>
      <w:r w:rsidR="0071716E">
        <w:rPr>
          <w:szCs w:val="22"/>
        </w:rPr>
        <w:t>claimed</w:t>
      </w:r>
      <w:r w:rsidR="000431A5">
        <w:rPr>
          <w:szCs w:val="22"/>
        </w:rPr>
        <w:t xml:space="preserve"> that the responsibility of ensuring safe brand substitution rests with pharmacists, who are provided certain guidelines from </w:t>
      </w:r>
      <w:r w:rsidR="000431A5">
        <w:t>The Pharmacy Board of Australia on QUM practices</w:t>
      </w:r>
      <w:r w:rsidR="00C3639B">
        <w:rPr>
          <w:rStyle w:val="FootnoteReference"/>
        </w:rPr>
        <w:footnoteReference w:id="1"/>
      </w:r>
      <w:r w:rsidR="000431A5">
        <w:t xml:space="preserve"> relating to:</w:t>
      </w:r>
    </w:p>
    <w:p w:rsidR="000431A5" w:rsidRPr="000431A5" w:rsidRDefault="000431A5" w:rsidP="005B019D">
      <w:pPr>
        <w:pStyle w:val="ListParagraph"/>
        <w:numPr>
          <w:ilvl w:val="0"/>
          <w:numId w:val="21"/>
        </w:numPr>
        <w:ind w:left="1134" w:hanging="425"/>
      </w:pPr>
      <w:r w:rsidRPr="000431A5">
        <w:t xml:space="preserve">the supply of medicines that have a narrow therapeutic index (e.g. </w:t>
      </w:r>
      <w:proofErr w:type="spellStart"/>
      <w:r w:rsidRPr="000431A5">
        <w:t>cytotoxics</w:t>
      </w:r>
      <w:proofErr w:type="spellEnd"/>
      <w:r w:rsidRPr="000431A5">
        <w:t xml:space="preserve"> and other </w:t>
      </w:r>
      <w:proofErr w:type="spellStart"/>
      <w:r w:rsidRPr="000431A5">
        <w:t>immunosuppressants</w:t>
      </w:r>
      <w:proofErr w:type="spellEnd"/>
      <w:r w:rsidRPr="000431A5">
        <w:t>, warfarin, digoxin, insulins)</w:t>
      </w:r>
      <w:r w:rsidR="005B019D">
        <w:t>;</w:t>
      </w:r>
    </w:p>
    <w:p w:rsidR="000431A5" w:rsidRPr="000431A5" w:rsidRDefault="000431A5" w:rsidP="005B019D">
      <w:pPr>
        <w:pStyle w:val="ListParagraph"/>
        <w:numPr>
          <w:ilvl w:val="0"/>
          <w:numId w:val="21"/>
        </w:numPr>
        <w:ind w:left="1134" w:hanging="425"/>
      </w:pPr>
      <w:r w:rsidRPr="000431A5">
        <w:t xml:space="preserve">the taking of medicines that require therapeutic monitoring or specific biochemistry or haematology monitoring (e.g. warfarin and other anticoagulants, </w:t>
      </w:r>
      <w:proofErr w:type="spellStart"/>
      <w:r w:rsidRPr="000431A5">
        <w:t>antithrombotics</w:t>
      </w:r>
      <w:proofErr w:type="spellEnd"/>
      <w:r w:rsidRPr="000431A5">
        <w:t>, digoxin, clozapine)</w:t>
      </w:r>
      <w:r w:rsidR="005B019D">
        <w:t>; and</w:t>
      </w:r>
    </w:p>
    <w:p w:rsidR="000431A5" w:rsidRDefault="000431A5" w:rsidP="005B019D">
      <w:pPr>
        <w:pStyle w:val="ListParagraph"/>
        <w:numPr>
          <w:ilvl w:val="0"/>
          <w:numId w:val="21"/>
        </w:numPr>
        <w:ind w:left="1134" w:hanging="425"/>
      </w:pPr>
      <w:r w:rsidRPr="000431A5">
        <w:t>when the brand of medicine has changed</w:t>
      </w:r>
      <w:r w:rsidR="005B019D">
        <w:t>.</w:t>
      </w:r>
    </w:p>
    <w:p w:rsidR="00F83E05" w:rsidRDefault="00F83E05" w:rsidP="00F83E05">
      <w:pPr>
        <w:pStyle w:val="ListParagraph"/>
      </w:pPr>
      <w:r>
        <w:t xml:space="preserve">The PBAC </w:t>
      </w:r>
      <w:r w:rsidR="00D332C8">
        <w:t>noted that</w:t>
      </w:r>
      <w:r w:rsidR="005B019D">
        <w:t>,</w:t>
      </w:r>
      <w:r w:rsidR="00D332C8">
        <w:t xml:space="preserve"> although</w:t>
      </w:r>
      <w:r>
        <w:t xml:space="preserve"> pharmacists</w:t>
      </w:r>
      <w:r w:rsidR="00D332C8">
        <w:t xml:space="preserve"> have an important role</w:t>
      </w:r>
      <w:r>
        <w:t xml:space="preserve"> in providing support to patients</w:t>
      </w:r>
      <w:r w:rsidR="00D332C8">
        <w:t>, they are not required to</w:t>
      </w:r>
      <w:r>
        <w:t xml:space="preserve"> contact the prescriber to notify them of a brand substitution </w:t>
      </w:r>
      <w:r w:rsidR="00D332C8">
        <w:t xml:space="preserve">for </w:t>
      </w:r>
      <w:r w:rsidR="00982830">
        <w:t>‘</w:t>
      </w:r>
      <w:r w:rsidR="00D332C8">
        <w:t>a</w:t>
      </w:r>
      <w:r w:rsidR="00982830">
        <w:t xml:space="preserve">’ </w:t>
      </w:r>
      <w:r w:rsidR="00D332C8">
        <w:t xml:space="preserve">flagged items on the PBS, but that </w:t>
      </w:r>
      <w:r>
        <w:t>the risk management plan</w:t>
      </w:r>
      <w:r w:rsidR="00D332C8">
        <w:t xml:space="preserve"> relies </w:t>
      </w:r>
      <w:r>
        <w:t xml:space="preserve">on </w:t>
      </w:r>
      <w:r w:rsidR="00D332C8" w:rsidRPr="00D332C8">
        <w:t>this contact occurring</w:t>
      </w:r>
      <w:r>
        <w:t>.</w:t>
      </w:r>
    </w:p>
    <w:p w:rsidR="00A02504" w:rsidRDefault="00A02504" w:rsidP="005B019D"/>
    <w:p w:rsidR="00A02504" w:rsidRPr="00DD2987" w:rsidRDefault="00FD67DE" w:rsidP="00175538">
      <w:pPr>
        <w:pStyle w:val="ListParagraph"/>
        <w:numPr>
          <w:ilvl w:val="1"/>
          <w:numId w:val="37"/>
        </w:numPr>
      </w:pPr>
      <w:r>
        <w:t>T</w:t>
      </w:r>
      <w:r w:rsidR="00A02504">
        <w:t xml:space="preserve">he </w:t>
      </w:r>
      <w:r>
        <w:t xml:space="preserve">PBAC noted that the </w:t>
      </w:r>
      <w:r w:rsidR="00A02504">
        <w:t xml:space="preserve">Precautions </w:t>
      </w:r>
      <w:r w:rsidR="00204E0C">
        <w:t>section of the W</w:t>
      </w:r>
      <w:r w:rsidR="00FD0784">
        <w:t>arfarin APOTEX</w:t>
      </w:r>
      <w:r w:rsidR="00FD0784" w:rsidRPr="00F94738">
        <w:rPr>
          <w:color w:val="000000"/>
          <w:vertAlign w:val="superscript"/>
        </w:rPr>
        <w:t>®</w:t>
      </w:r>
      <w:r w:rsidR="00A02504">
        <w:t xml:space="preserve"> Product Information </w:t>
      </w:r>
      <w:r w:rsidR="00F83E05">
        <w:t xml:space="preserve">(PI) </w:t>
      </w:r>
      <w:r w:rsidR="00A02504">
        <w:t xml:space="preserve">states that </w:t>
      </w:r>
      <w:r w:rsidR="00A02504" w:rsidRPr="00A02504">
        <w:t xml:space="preserve">“To minimise the possibility of adverse effects, substitution between Coumadin and Warfarin </w:t>
      </w:r>
      <w:r w:rsidR="00FD0784">
        <w:t>APOTEX</w:t>
      </w:r>
      <w:r w:rsidR="00FD0784" w:rsidRPr="00F94738">
        <w:rPr>
          <w:color w:val="000000"/>
          <w:vertAlign w:val="superscript"/>
        </w:rPr>
        <w:t>®</w:t>
      </w:r>
      <w:r w:rsidR="00A02504" w:rsidRPr="00A02504">
        <w:t xml:space="preserve"> should only occur if the prescriber and patient are </w:t>
      </w:r>
      <w:r w:rsidR="00A02504" w:rsidRPr="00DD2987">
        <w:t xml:space="preserve">aware of the change and a plan for INR monitoring is in place. It is recommended that vigilant INR testing should be conducted during the cross-over period.” </w:t>
      </w:r>
      <w:r w:rsidR="00F83E05" w:rsidRPr="00CE1351">
        <w:rPr>
          <w:szCs w:val="22"/>
        </w:rPr>
        <w:t xml:space="preserve">The PBAC noted that the risk management plan around </w:t>
      </w:r>
      <w:r w:rsidR="00982830">
        <w:rPr>
          <w:szCs w:val="22"/>
        </w:rPr>
        <w:t>W</w:t>
      </w:r>
      <w:r w:rsidR="00F83E05" w:rsidRPr="00CE1351">
        <w:rPr>
          <w:szCs w:val="22"/>
        </w:rPr>
        <w:t>arfarin APOTEX</w:t>
      </w:r>
      <w:r w:rsidR="00CE1351" w:rsidRPr="00F94738">
        <w:rPr>
          <w:color w:val="000000"/>
          <w:vertAlign w:val="superscript"/>
        </w:rPr>
        <w:t>®</w:t>
      </w:r>
      <w:r w:rsidR="00F83E05" w:rsidRPr="00CE1351">
        <w:rPr>
          <w:szCs w:val="22"/>
        </w:rPr>
        <w:t xml:space="preserve"> was extensive and considered that </w:t>
      </w:r>
      <w:r w:rsidR="00196963">
        <w:rPr>
          <w:szCs w:val="22"/>
        </w:rPr>
        <w:t>‘</w:t>
      </w:r>
      <w:r w:rsidR="00F83E05" w:rsidRPr="00CE1351">
        <w:rPr>
          <w:szCs w:val="22"/>
        </w:rPr>
        <w:t>a</w:t>
      </w:r>
      <w:r w:rsidR="00196963">
        <w:rPr>
          <w:szCs w:val="22"/>
        </w:rPr>
        <w:t xml:space="preserve">’ </w:t>
      </w:r>
      <w:r w:rsidR="00F83E05" w:rsidRPr="00CE1351">
        <w:rPr>
          <w:szCs w:val="22"/>
        </w:rPr>
        <w:t xml:space="preserve">flagging </w:t>
      </w:r>
      <w:r w:rsidR="00982830">
        <w:rPr>
          <w:szCs w:val="22"/>
        </w:rPr>
        <w:t>W</w:t>
      </w:r>
      <w:r w:rsidR="00F83E05" w:rsidRPr="00CE1351">
        <w:rPr>
          <w:szCs w:val="22"/>
        </w:rPr>
        <w:t>arfarin APOTEX</w:t>
      </w:r>
      <w:r w:rsidR="00CE1351" w:rsidRPr="00F94738">
        <w:rPr>
          <w:color w:val="000000"/>
          <w:vertAlign w:val="superscript"/>
        </w:rPr>
        <w:t>®</w:t>
      </w:r>
      <w:r w:rsidR="00F83E05" w:rsidRPr="00CE1351">
        <w:rPr>
          <w:szCs w:val="22"/>
        </w:rPr>
        <w:t xml:space="preserve"> would contradict the intention of both the risk management plan and the Precautions outlined in the PI, by making it possible for substitution to occur </w:t>
      </w:r>
      <w:r w:rsidR="0071716E">
        <w:rPr>
          <w:szCs w:val="22"/>
        </w:rPr>
        <w:t xml:space="preserve">regularly and </w:t>
      </w:r>
      <w:r w:rsidR="00F83E05" w:rsidRPr="00CE1351">
        <w:rPr>
          <w:szCs w:val="22"/>
        </w:rPr>
        <w:t xml:space="preserve">without the knowledge of the </w:t>
      </w:r>
      <w:r w:rsidR="00D332C8" w:rsidRPr="00CE1351">
        <w:rPr>
          <w:szCs w:val="22"/>
        </w:rPr>
        <w:t>prescriber</w:t>
      </w:r>
      <w:r w:rsidR="00F83E05" w:rsidRPr="00CE1351">
        <w:rPr>
          <w:szCs w:val="22"/>
        </w:rPr>
        <w:t>.</w:t>
      </w:r>
    </w:p>
    <w:p w:rsidR="00F36998" w:rsidRPr="00DD2987" w:rsidRDefault="00F36998" w:rsidP="00F36998">
      <w:pPr>
        <w:pStyle w:val="ListParagraph"/>
      </w:pPr>
    </w:p>
    <w:p w:rsidR="00F36998" w:rsidRDefault="00F36998" w:rsidP="00175538">
      <w:pPr>
        <w:pStyle w:val="ListParagraph"/>
        <w:numPr>
          <w:ilvl w:val="1"/>
          <w:numId w:val="37"/>
        </w:numPr>
        <w:rPr>
          <w:szCs w:val="22"/>
        </w:rPr>
      </w:pPr>
      <w:r w:rsidRPr="00DD2987">
        <w:rPr>
          <w:szCs w:val="22"/>
        </w:rPr>
        <w:t>The National Prescribing Service lists warfarin among a range of drugs that should not be substituted at the pharmacy</w:t>
      </w:r>
      <w:r w:rsidR="00196963">
        <w:rPr>
          <w:szCs w:val="22"/>
        </w:rPr>
        <w:t xml:space="preserve"> </w:t>
      </w:r>
      <w:r w:rsidRPr="00DD2987">
        <w:rPr>
          <w:szCs w:val="22"/>
        </w:rPr>
        <w:t>level without permission from the doctor</w:t>
      </w:r>
      <w:r w:rsidRPr="00DD2987">
        <w:rPr>
          <w:rStyle w:val="FootnoteReference"/>
          <w:szCs w:val="22"/>
        </w:rPr>
        <w:footnoteReference w:id="2"/>
      </w:r>
      <w:r w:rsidRPr="00DD2987">
        <w:rPr>
          <w:szCs w:val="22"/>
        </w:rPr>
        <w:t>.</w:t>
      </w:r>
    </w:p>
    <w:p w:rsidR="00D332C8" w:rsidRDefault="00D332C8" w:rsidP="00D332C8">
      <w:pPr>
        <w:pStyle w:val="ListParagraph"/>
        <w:rPr>
          <w:szCs w:val="22"/>
        </w:rPr>
      </w:pPr>
    </w:p>
    <w:p w:rsidR="00D332C8" w:rsidRDefault="00D332C8" w:rsidP="00175538">
      <w:pPr>
        <w:pStyle w:val="ListParagraph"/>
        <w:numPr>
          <w:ilvl w:val="1"/>
          <w:numId w:val="37"/>
        </w:numPr>
        <w:rPr>
          <w:szCs w:val="22"/>
        </w:rPr>
      </w:pPr>
      <w:r>
        <w:rPr>
          <w:szCs w:val="22"/>
        </w:rPr>
        <w:t xml:space="preserve">The PBAC noted that in the case of warfarin there were already two brands listed on the PBS, and Warfarin APOTEX would only be </w:t>
      </w:r>
      <w:r w:rsidR="00982830">
        <w:rPr>
          <w:szCs w:val="22"/>
        </w:rPr>
        <w:t>‘</w:t>
      </w:r>
      <w:r>
        <w:rPr>
          <w:szCs w:val="22"/>
        </w:rPr>
        <w:t>a</w:t>
      </w:r>
      <w:r w:rsidR="00982830">
        <w:rPr>
          <w:szCs w:val="22"/>
        </w:rPr>
        <w:t xml:space="preserve">’ </w:t>
      </w:r>
      <w:r>
        <w:rPr>
          <w:szCs w:val="22"/>
        </w:rPr>
        <w:t>flagged to one of these. The PBAC considered that this additional complexity would introduce an even greater risk of confusion for patients, and therefore a high risk of adverse outcomes.</w:t>
      </w:r>
      <w:r w:rsidR="00694D6E">
        <w:rPr>
          <w:szCs w:val="22"/>
        </w:rPr>
        <w:t xml:space="preserve"> Furthermore, the PBAC considered that there was no clinical need for a third brand of warfarin to be available on the PBS, particularly given the risks associated with confusion.</w:t>
      </w:r>
    </w:p>
    <w:p w:rsidR="00694D6E" w:rsidRDefault="00694D6E" w:rsidP="00694D6E">
      <w:pPr>
        <w:pStyle w:val="ListParagraph"/>
        <w:rPr>
          <w:szCs w:val="22"/>
        </w:rPr>
      </w:pPr>
    </w:p>
    <w:p w:rsidR="00694D6E" w:rsidRPr="00DD2987" w:rsidRDefault="00694D6E" w:rsidP="00175538">
      <w:pPr>
        <w:pStyle w:val="ListParagraph"/>
        <w:numPr>
          <w:ilvl w:val="1"/>
          <w:numId w:val="37"/>
        </w:numPr>
        <w:rPr>
          <w:szCs w:val="22"/>
        </w:rPr>
      </w:pPr>
      <w:r>
        <w:rPr>
          <w:szCs w:val="22"/>
        </w:rPr>
        <w:t>The PBAC noted that utilisation of warfarin was decreasing over time and considered that it was possible the patients currently taking warfarin represented a more vulnerable population, where the impacts of confusion would be even greater.</w:t>
      </w:r>
    </w:p>
    <w:p w:rsidR="00391C92" w:rsidRPr="00DD2987" w:rsidRDefault="00391C92" w:rsidP="00FA03C5">
      <w:pPr>
        <w:rPr>
          <w:rFonts w:ascii="Arial" w:hAnsi="Arial"/>
          <w:b/>
          <w:sz w:val="22"/>
          <w:szCs w:val="22"/>
          <w:u w:val="single"/>
        </w:rPr>
      </w:pPr>
    </w:p>
    <w:p w:rsidR="00623BF6" w:rsidRPr="00FA03C5" w:rsidRDefault="00623BF6" w:rsidP="00623BF6">
      <w:pPr>
        <w:jc w:val="center"/>
        <w:rPr>
          <w:rFonts w:ascii="Arial" w:hAnsi="Arial"/>
          <w:b/>
          <w:sz w:val="22"/>
          <w:szCs w:val="22"/>
          <w:u w:val="single"/>
        </w:rPr>
      </w:pPr>
      <w:r w:rsidRPr="00FA03C5">
        <w:rPr>
          <w:rFonts w:ascii="Arial" w:hAnsi="Arial"/>
          <w:b/>
          <w:sz w:val="22"/>
          <w:szCs w:val="22"/>
          <w:u w:val="single"/>
        </w:rPr>
        <w:t>COMMITTEE-IN-CONFIDENCE</w:t>
      </w:r>
    </w:p>
    <w:p w:rsidR="00623BF6" w:rsidRPr="00FA03C5" w:rsidRDefault="00623BF6" w:rsidP="00623BF6">
      <w:pPr>
        <w:jc w:val="center"/>
        <w:rPr>
          <w:rFonts w:ascii="Arial" w:hAnsi="Arial"/>
          <w:b/>
          <w:sz w:val="22"/>
          <w:szCs w:val="22"/>
          <w:u w:val="single"/>
        </w:rPr>
      </w:pPr>
    </w:p>
    <w:p w:rsidR="00623BF6" w:rsidRPr="00535CB2" w:rsidRDefault="00535CB2" w:rsidP="00535CB2">
      <w:pPr>
        <w:ind w:left="720" w:hanging="720"/>
        <w:rPr>
          <w:szCs w:val="22"/>
          <w:highlight w:val="black"/>
        </w:rPr>
      </w:pPr>
      <w:r>
        <w:rPr>
          <w:rFonts w:ascii="Arial" w:hAnsi="Arial" w:cs="Arial"/>
          <w:noProof/>
          <w:snapToGrid w:val="0"/>
          <w:color w:val="000000"/>
          <w:sz w:val="22"/>
          <w:szCs w:val="22"/>
          <w:highlight w:val="black"/>
          <w:lang w:eastAsia="en-US"/>
        </w:rPr>
        <w:t xml:space="preserve">''''''''''''' '''''' '''''''''''''''' '''''''''''''''''''' '''''''''' ''''' ''''''''''''''''''''''''' '''''''''''''' ''''''' '''''''''''''''' ''''''''''''''''''' '''' '''''''''''''''''''''''' '''''''''''''''''''' '''''''''' ''''''''''''' '''''' ''''''''' '''''''''' '''''''''''''''' '''' ''''''''''''''''''' '''''''''''''''''''''''' '''''''''' '''''''''''''''''''''''''' </w:t>
      </w:r>
    </w:p>
    <w:p w:rsidR="00623BF6" w:rsidRPr="00535CB2" w:rsidRDefault="00623BF6" w:rsidP="00623BF6">
      <w:pPr>
        <w:pStyle w:val="ListParagraph"/>
        <w:rPr>
          <w:szCs w:val="22"/>
        </w:rPr>
      </w:pPr>
    </w:p>
    <w:p w:rsidR="00623BF6" w:rsidRPr="00535CB2" w:rsidRDefault="00535CB2" w:rsidP="00535CB2">
      <w:pPr>
        <w:ind w:left="720" w:hanging="720"/>
        <w:rPr>
          <w:szCs w:val="22"/>
          <w:highlight w:val="black"/>
        </w:rPr>
      </w:pPr>
      <w:r>
        <w:rPr>
          <w:rFonts w:ascii="Arial" w:hAnsi="Arial" w:cs="Arial"/>
          <w:noProof/>
          <w:snapToGrid w:val="0"/>
          <w:color w:val="000000"/>
          <w:sz w:val="22"/>
          <w:szCs w:val="22"/>
          <w:highlight w:val="black"/>
          <w:lang w:eastAsia="en-US"/>
        </w:rPr>
        <w:lastRenderedPageBreak/>
        <w:t>'''''''''''''''''' ''''''''''''''''''''''''' '''''''''''''''''''''''''' '''''''''' '''''''''''''''''''''''''' '''''''''' '''''''''''''''''''''''''' '''''' '''''' ''''''''''''''''''' '''''''''' ''''''''''''''''''''''''' ''''''''' ''''''''''''''''''''''''''''' ''''''''''''''''''''''''''' '''''''''' '''''''''''''''''''''''' '''''''''''''''''''''' ''' '''''''''''''''''''''''' '''' '''''''''''' '''''''''''''''''''''''''''''''' ''''''''''''''''''' '''''''''' ''''''''''' '''''''''''''''' ''''' ''''''''''''''''''''''' ''''''' '''''''''' '''''''''''''''''' '''''''''''''''''''''' ''''''' ''''''''''' ''''''' '''''''''''''''''''''''''''''''''''' '''''''''' ''''''''''''''''''''</w:t>
      </w:r>
    </w:p>
    <w:p w:rsidR="00623BF6" w:rsidRPr="00535CB2" w:rsidRDefault="00623BF6" w:rsidP="00623BF6">
      <w:pPr>
        <w:pStyle w:val="ListParagraph"/>
        <w:rPr>
          <w:i/>
          <w:szCs w:val="22"/>
        </w:rPr>
      </w:pPr>
    </w:p>
    <w:p w:rsidR="00623BF6" w:rsidRPr="00535CB2" w:rsidRDefault="00535CB2" w:rsidP="00535CB2">
      <w:pPr>
        <w:ind w:left="720" w:hanging="720"/>
        <w:rPr>
          <w:szCs w:val="22"/>
          <w:highlight w:val="black"/>
        </w:rPr>
      </w:pPr>
      <w:r>
        <w:rPr>
          <w:rFonts w:ascii="Arial" w:hAnsi="Arial" w:cs="Arial"/>
          <w:noProof/>
          <w:snapToGrid w:val="0"/>
          <w:color w:val="000000"/>
          <w:sz w:val="22"/>
          <w:szCs w:val="22"/>
          <w:highlight w:val="black"/>
          <w:lang w:eastAsia="en-US"/>
        </w:rPr>
        <w:t>'''''''''' ''''' '''''''''''''''''''''' ''''' ''''''''''''''''''' '''''''' ''''''''''''''' ''''''''''''''''''''''''''''''</w:t>
      </w:r>
    </w:p>
    <w:p w:rsidR="00623BF6" w:rsidRPr="00535CB2" w:rsidRDefault="00535CB2" w:rsidP="00535CB2">
      <w:pPr>
        <w:ind w:left="1080" w:hanging="360"/>
        <w:rPr>
          <w:szCs w:val="22"/>
          <w:highlight w:val="black"/>
        </w:rPr>
      </w:pP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p>
    <w:p w:rsidR="00623BF6" w:rsidRPr="00535CB2" w:rsidRDefault="00535CB2" w:rsidP="00535CB2">
      <w:pPr>
        <w:ind w:left="1080" w:hanging="360"/>
        <w:rPr>
          <w:szCs w:val="22"/>
          <w:highlight w:val="black"/>
        </w:rPr>
      </w:pP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p>
    <w:p w:rsidR="00623BF6" w:rsidRPr="00535CB2" w:rsidRDefault="00535CB2" w:rsidP="00535CB2">
      <w:pPr>
        <w:ind w:left="1080" w:hanging="360"/>
        <w:rPr>
          <w:szCs w:val="22"/>
          <w:highlight w:val="black"/>
        </w:rPr>
      </w:pP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r>
        <w:rPr>
          <w:rFonts w:ascii="Symbol" w:hAnsi="Symbol" w:cs="Arial"/>
          <w:noProof/>
          <w:snapToGrid w:val="0"/>
          <w:color w:val="000000"/>
          <w:sz w:val="22"/>
          <w:szCs w:val="22"/>
          <w:highlight w:val="black"/>
          <w:lang w:eastAsia="en-US"/>
        </w:rPr>
        <w:t></w:t>
      </w:r>
    </w:p>
    <w:p w:rsidR="00623BF6" w:rsidRPr="00535CB2" w:rsidRDefault="00623BF6" w:rsidP="00623BF6">
      <w:pPr>
        <w:pStyle w:val="ListParagraph"/>
        <w:ind w:left="1440"/>
        <w:rPr>
          <w:szCs w:val="22"/>
        </w:rPr>
      </w:pPr>
    </w:p>
    <w:p w:rsidR="00D601FD" w:rsidRPr="00535CB2" w:rsidRDefault="00535CB2" w:rsidP="00535CB2">
      <w:pPr>
        <w:ind w:left="720" w:hanging="720"/>
        <w:rPr>
          <w:b/>
          <w:szCs w:val="22"/>
          <w:highlight w:val="black"/>
          <w:u w:val="single"/>
        </w:rPr>
      </w:pPr>
      <w:r>
        <w:rPr>
          <w:rFonts w:ascii="Arial" w:hAnsi="Arial" w:cs="Arial"/>
          <w:noProof/>
          <w:snapToGrid w:val="0"/>
          <w:color w:val="000000"/>
          <w:sz w:val="22"/>
          <w:szCs w:val="22"/>
          <w:highlight w:val="black"/>
          <w:lang w:eastAsia="en-US"/>
        </w:rPr>
        <w:t>''''''''''''' '''''''''''''''''''''''''''' '''''''' '''''''''''''''''''''''''''' ''''''''' '''''''''''''' ''''''''''' '''''''''''''' ''''''''' ''''''' ''''''''''''''' ''''' ''''''''''' ''''''''''''''''' '''''''''''''''''''' ''''''''''''''' '''''''''''''''' ''' ''''''''''''''' '''''''''''''''''''''''' '''' ''''''''''''</w:t>
      </w:r>
    </w:p>
    <w:p w:rsidR="00F36998" w:rsidRPr="00535CB2" w:rsidRDefault="00F36998" w:rsidP="00F36998">
      <w:pPr>
        <w:pStyle w:val="ListParagraph"/>
        <w:rPr>
          <w:b/>
          <w:szCs w:val="22"/>
          <w:u w:val="single"/>
        </w:rPr>
      </w:pPr>
    </w:p>
    <w:p w:rsidR="00D601FD" w:rsidRPr="00535CB2" w:rsidRDefault="00535CB2" w:rsidP="00535CB2">
      <w:pPr>
        <w:ind w:left="720" w:hanging="720"/>
        <w:rPr>
          <w:b/>
          <w:szCs w:val="22"/>
          <w:highlight w:val="black"/>
          <w:u w:val="single"/>
        </w:rPr>
      </w:pPr>
      <w:r>
        <w:rPr>
          <w:rFonts w:ascii="Arial" w:hAnsi="Arial" w:cs="Arial"/>
          <w:noProof/>
          <w:snapToGrid w:val="0"/>
          <w:color w:val="000000"/>
          <w:sz w:val="22"/>
          <w:szCs w:val="22"/>
          <w:highlight w:val="black"/>
          <w:lang w:eastAsia="en-US"/>
        </w:rPr>
        <w:t xml:space="preserve">'''''''''''''''''''' ''''''''''''''''''''''''''' ''''''''''''''''''' '''''''''''''''''''''''''''''''''''''' '''''''''''' '''''''''''''' '''''''''''''''''''''''''''''''''''''''' ''''''''''''''''''' '''''' ''''''''''''''''''''' ''''''''''''''''''''''''''''' ''''''''''''''''''' '''''''''''''''''' '''''' ''''''''''''''''' '''''''''''''''''''' '''''''''''''''''''''''''''' ''''''''' ''''''''''''''''''' ''''''''''''''''''''''''''''' ''''''''''''' ''''''''''''' ''''''''''''''' </w:t>
      </w:r>
    </w:p>
    <w:p w:rsidR="00CE10C4" w:rsidRPr="00FA03C5" w:rsidRDefault="00CE10C4" w:rsidP="00D601FD">
      <w:pPr>
        <w:pStyle w:val="ListParagraph"/>
        <w:rPr>
          <w:szCs w:val="22"/>
        </w:rPr>
      </w:pPr>
    </w:p>
    <w:p w:rsidR="00175538" w:rsidRDefault="00623BF6" w:rsidP="00175538">
      <w:pPr>
        <w:jc w:val="center"/>
        <w:rPr>
          <w:rFonts w:ascii="Arial" w:hAnsi="Arial"/>
          <w:b/>
          <w:sz w:val="22"/>
          <w:szCs w:val="22"/>
          <w:u w:val="single"/>
        </w:rPr>
      </w:pPr>
      <w:r w:rsidRPr="00FA03C5">
        <w:rPr>
          <w:rFonts w:ascii="Arial" w:hAnsi="Arial"/>
          <w:b/>
          <w:sz w:val="22"/>
          <w:szCs w:val="22"/>
          <w:u w:val="single"/>
        </w:rPr>
        <w:t>END COMMITTEE-IN-CONFIDENCE</w:t>
      </w:r>
      <w:r w:rsidR="008F0155" w:rsidRPr="00FA03C5">
        <w:rPr>
          <w:rFonts w:ascii="Arial" w:hAnsi="Arial"/>
          <w:b/>
          <w:sz w:val="22"/>
          <w:szCs w:val="22"/>
          <w:u w:val="single"/>
        </w:rPr>
        <w:br/>
      </w:r>
    </w:p>
    <w:p w:rsidR="00BC72D5" w:rsidRPr="008F0155" w:rsidRDefault="00BC72D5" w:rsidP="00ED3B0E">
      <w:pPr>
        <w:ind w:firstLine="720"/>
        <w:rPr>
          <w:rFonts w:ascii="Arial" w:hAnsi="Arial"/>
          <w:b/>
          <w:sz w:val="22"/>
          <w:szCs w:val="22"/>
          <w:u w:val="single"/>
        </w:rPr>
      </w:pPr>
      <w:r w:rsidRPr="00FA03C5">
        <w:rPr>
          <w:rFonts w:ascii="Arial" w:hAnsi="Arial" w:cs="Arial"/>
          <w:i/>
          <w:sz w:val="22"/>
          <w:szCs w:val="22"/>
        </w:rPr>
        <w:t>For more detail on PBAC’s view, see section 7 “PBAC outcome”</w:t>
      </w:r>
    </w:p>
    <w:p w:rsidR="00F64CC1" w:rsidRDefault="00F64CC1" w:rsidP="00BC72D5">
      <w:pPr>
        <w:rPr>
          <w:rFonts w:ascii="Arial" w:hAnsi="Arial" w:cs="Arial"/>
          <w:b/>
          <w:i/>
          <w:sz w:val="22"/>
          <w:szCs w:val="22"/>
        </w:rPr>
      </w:pPr>
    </w:p>
    <w:p w:rsidR="00761D7D" w:rsidRPr="006C307E" w:rsidRDefault="00761D7D" w:rsidP="00761D7D">
      <w:pPr>
        <w:contextualSpacing/>
        <w:jc w:val="both"/>
        <w:rPr>
          <w:rFonts w:ascii="Arial" w:hAnsi="Arial" w:cs="Arial"/>
          <w:b/>
          <w:bCs/>
          <w:snapToGrid w:val="0"/>
          <w:sz w:val="22"/>
          <w:szCs w:val="22"/>
          <w:highlight w:val="yellow"/>
          <w:lang w:val="en-GB"/>
        </w:rPr>
      </w:pPr>
    </w:p>
    <w:p w:rsidR="008F2231" w:rsidRDefault="008F2231" w:rsidP="008F2231">
      <w:pPr>
        <w:pStyle w:val="PBACHeading1"/>
        <w:numPr>
          <w:ilvl w:val="0"/>
          <w:numId w:val="37"/>
        </w:numPr>
      </w:pPr>
      <w:r w:rsidRPr="00FA03C5">
        <w:t>PBAC Outcome</w:t>
      </w:r>
    </w:p>
    <w:p w:rsidR="008F2231" w:rsidRPr="008F2231" w:rsidRDefault="008F2231" w:rsidP="008F2231">
      <w:pPr>
        <w:rPr>
          <w:lang w:eastAsia="en-US"/>
        </w:rPr>
      </w:pPr>
    </w:p>
    <w:p w:rsidR="00196963" w:rsidRPr="00196963" w:rsidRDefault="00196963" w:rsidP="008F2231">
      <w:pPr>
        <w:pStyle w:val="ListParagraph"/>
        <w:rPr>
          <w:vanish/>
          <w:szCs w:val="22"/>
        </w:rPr>
      </w:pPr>
    </w:p>
    <w:p w:rsidR="00053E4B" w:rsidRDefault="0072353B" w:rsidP="00196963">
      <w:pPr>
        <w:pStyle w:val="ListParagraph"/>
        <w:numPr>
          <w:ilvl w:val="1"/>
          <w:numId w:val="37"/>
        </w:numPr>
        <w:rPr>
          <w:szCs w:val="22"/>
        </w:rPr>
      </w:pPr>
      <w:r w:rsidRPr="00800326">
        <w:rPr>
          <w:szCs w:val="22"/>
        </w:rPr>
        <w:t>The PBAC did not recommend the listing of Warfarin APOTEX</w:t>
      </w:r>
      <w:r w:rsidRPr="008F2231">
        <w:rPr>
          <w:szCs w:val="22"/>
          <w:vertAlign w:val="superscript"/>
        </w:rPr>
        <w:t>®</w:t>
      </w:r>
      <w:r w:rsidRPr="00800326">
        <w:rPr>
          <w:szCs w:val="22"/>
        </w:rPr>
        <w:t xml:space="preserve"> </w:t>
      </w:r>
      <w:r w:rsidR="00E9191D" w:rsidRPr="00800326">
        <w:rPr>
          <w:szCs w:val="22"/>
        </w:rPr>
        <w:t xml:space="preserve">in the context of </w:t>
      </w:r>
      <w:r w:rsidR="00832EDF" w:rsidRPr="00800326">
        <w:rPr>
          <w:szCs w:val="22"/>
        </w:rPr>
        <w:t xml:space="preserve">potential safety and QUM </w:t>
      </w:r>
      <w:r w:rsidR="00E9191D" w:rsidRPr="00800326">
        <w:rPr>
          <w:szCs w:val="22"/>
        </w:rPr>
        <w:t>issues identified.</w:t>
      </w:r>
    </w:p>
    <w:p w:rsidR="0072353B" w:rsidRPr="00800326" w:rsidRDefault="0072353B" w:rsidP="00053E4B">
      <w:pPr>
        <w:pStyle w:val="ListParagraph"/>
        <w:rPr>
          <w:szCs w:val="22"/>
        </w:rPr>
      </w:pPr>
    </w:p>
    <w:p w:rsidR="00D332C8" w:rsidRPr="00967FB8" w:rsidRDefault="00E7302C" w:rsidP="00175538">
      <w:pPr>
        <w:pStyle w:val="ListParagraph"/>
        <w:numPr>
          <w:ilvl w:val="1"/>
          <w:numId w:val="37"/>
        </w:numPr>
        <w:rPr>
          <w:szCs w:val="22"/>
        </w:rPr>
      </w:pPr>
      <w:r w:rsidRPr="00F57F2C">
        <w:rPr>
          <w:szCs w:val="22"/>
        </w:rPr>
        <w:t>The PBAC considered that</w:t>
      </w:r>
      <w:r w:rsidR="00967FB8">
        <w:rPr>
          <w:szCs w:val="22"/>
        </w:rPr>
        <w:t xml:space="preserve">, </w:t>
      </w:r>
      <w:r w:rsidR="00967FB8" w:rsidRPr="00967FB8">
        <w:rPr>
          <w:szCs w:val="22"/>
        </w:rPr>
        <w:t>due to the narrow therapeutic index of warfarin,</w:t>
      </w:r>
      <w:r w:rsidRPr="00F57F2C">
        <w:rPr>
          <w:szCs w:val="22"/>
        </w:rPr>
        <w:t xml:space="preserve"> the listing of additional brands for warfarin would significantly increase the potential risk of adverse outcomes, and that it would likely cause confusion and distress to patients</w:t>
      </w:r>
      <w:r w:rsidRPr="00967FB8">
        <w:rPr>
          <w:szCs w:val="22"/>
        </w:rPr>
        <w:t xml:space="preserve">, particularly because </w:t>
      </w:r>
      <w:r w:rsidR="0071716E" w:rsidRPr="00967FB8">
        <w:rPr>
          <w:szCs w:val="22"/>
        </w:rPr>
        <w:t>it is important that substitution does not occur between</w:t>
      </w:r>
      <w:r w:rsidRPr="00967FB8">
        <w:rPr>
          <w:szCs w:val="22"/>
        </w:rPr>
        <w:t xml:space="preserve"> the </w:t>
      </w:r>
      <w:r w:rsidR="00D332C8" w:rsidRPr="00967FB8">
        <w:rPr>
          <w:szCs w:val="22"/>
        </w:rPr>
        <w:t xml:space="preserve">two currently listed </w:t>
      </w:r>
      <w:r w:rsidR="00E9191D" w:rsidRPr="00967FB8">
        <w:rPr>
          <w:szCs w:val="22"/>
        </w:rPr>
        <w:t>brands</w:t>
      </w:r>
      <w:r w:rsidR="00D332C8" w:rsidRPr="00967FB8">
        <w:rPr>
          <w:szCs w:val="22"/>
        </w:rPr>
        <w:t xml:space="preserve"> of warfarin</w:t>
      </w:r>
      <w:r w:rsidR="00912B93" w:rsidRPr="00967FB8">
        <w:rPr>
          <w:szCs w:val="22"/>
        </w:rPr>
        <w:t>, Coumadin</w:t>
      </w:r>
      <w:r w:rsidR="00912B93" w:rsidRPr="00967FB8">
        <w:rPr>
          <w:szCs w:val="22"/>
          <w:vertAlign w:val="superscript"/>
        </w:rPr>
        <w:t>®</w:t>
      </w:r>
      <w:r w:rsidR="00912B93" w:rsidRPr="00967FB8">
        <w:rPr>
          <w:szCs w:val="22"/>
        </w:rPr>
        <w:t xml:space="preserve"> and </w:t>
      </w:r>
      <w:proofErr w:type="spellStart"/>
      <w:r w:rsidR="00912B93" w:rsidRPr="00967FB8">
        <w:rPr>
          <w:szCs w:val="22"/>
        </w:rPr>
        <w:t>Marevan</w:t>
      </w:r>
      <w:proofErr w:type="spellEnd"/>
      <w:r w:rsidR="00912B93" w:rsidRPr="00967FB8">
        <w:rPr>
          <w:szCs w:val="22"/>
          <w:vertAlign w:val="superscript"/>
        </w:rPr>
        <w:t>®</w:t>
      </w:r>
      <w:r w:rsidR="00E9191D" w:rsidRPr="00967FB8">
        <w:rPr>
          <w:szCs w:val="22"/>
        </w:rPr>
        <w:t>.</w:t>
      </w:r>
    </w:p>
    <w:p w:rsidR="00E9191D" w:rsidRPr="00967FB8" w:rsidRDefault="00E9191D" w:rsidP="00053E4B">
      <w:pPr>
        <w:pStyle w:val="ListParagraph"/>
        <w:rPr>
          <w:szCs w:val="22"/>
        </w:rPr>
      </w:pPr>
    </w:p>
    <w:p w:rsidR="00053E4B" w:rsidRDefault="0072353B" w:rsidP="00175538">
      <w:pPr>
        <w:pStyle w:val="ListParagraph"/>
        <w:numPr>
          <w:ilvl w:val="1"/>
          <w:numId w:val="37"/>
        </w:numPr>
        <w:rPr>
          <w:szCs w:val="22"/>
        </w:rPr>
      </w:pPr>
      <w:r w:rsidRPr="00967FB8">
        <w:rPr>
          <w:szCs w:val="22"/>
        </w:rPr>
        <w:t>The PBAC noted</w:t>
      </w:r>
      <w:r w:rsidRPr="00800326">
        <w:rPr>
          <w:szCs w:val="22"/>
        </w:rPr>
        <w:t xml:space="preserve"> the </w:t>
      </w:r>
      <w:r w:rsidR="00832EDF" w:rsidRPr="00800326">
        <w:rPr>
          <w:szCs w:val="22"/>
        </w:rPr>
        <w:t xml:space="preserve">sponsor’s </w:t>
      </w:r>
      <w:r w:rsidRPr="00800326">
        <w:rPr>
          <w:szCs w:val="22"/>
        </w:rPr>
        <w:t xml:space="preserve">extensive risk management plan, </w:t>
      </w:r>
      <w:r w:rsidR="008A050C">
        <w:rPr>
          <w:szCs w:val="22"/>
        </w:rPr>
        <w:t>and</w:t>
      </w:r>
      <w:r w:rsidRPr="00800326">
        <w:rPr>
          <w:szCs w:val="22"/>
        </w:rPr>
        <w:t xml:space="preserve"> considered t</w:t>
      </w:r>
      <w:r w:rsidR="00E9191D" w:rsidRPr="00800326">
        <w:rPr>
          <w:szCs w:val="22"/>
        </w:rPr>
        <w:t xml:space="preserve">hat </w:t>
      </w:r>
      <w:r w:rsidR="00881EFF">
        <w:rPr>
          <w:szCs w:val="22"/>
        </w:rPr>
        <w:t>‘a’</w:t>
      </w:r>
      <w:r w:rsidR="008A050C">
        <w:rPr>
          <w:szCs w:val="22"/>
        </w:rPr>
        <w:t xml:space="preserve"> flagging would contradict some of the risk mitigation</w:t>
      </w:r>
      <w:r w:rsidR="00EA54B1">
        <w:rPr>
          <w:szCs w:val="22"/>
        </w:rPr>
        <w:t xml:space="preserve"> measure</w:t>
      </w:r>
      <w:r w:rsidR="008A050C">
        <w:rPr>
          <w:szCs w:val="22"/>
        </w:rPr>
        <w:t>s outlined in the plan.</w:t>
      </w:r>
      <w:r w:rsidR="00881EFF">
        <w:rPr>
          <w:szCs w:val="22"/>
        </w:rPr>
        <w:t xml:space="preserve"> </w:t>
      </w:r>
      <w:r w:rsidR="008A050C">
        <w:rPr>
          <w:szCs w:val="22"/>
        </w:rPr>
        <w:t xml:space="preserve">The PBAC considered that </w:t>
      </w:r>
      <w:r w:rsidR="00E9191D" w:rsidRPr="00800326">
        <w:rPr>
          <w:szCs w:val="22"/>
        </w:rPr>
        <w:t xml:space="preserve">in </w:t>
      </w:r>
      <w:r w:rsidR="009C00BB" w:rsidRPr="00800326">
        <w:rPr>
          <w:szCs w:val="22"/>
        </w:rPr>
        <w:t>practice,</w:t>
      </w:r>
      <w:r w:rsidR="00E9191D" w:rsidRPr="00800326">
        <w:rPr>
          <w:szCs w:val="22"/>
        </w:rPr>
        <w:t xml:space="preserve"> </w:t>
      </w:r>
      <w:r w:rsidRPr="00800326">
        <w:rPr>
          <w:szCs w:val="22"/>
        </w:rPr>
        <w:t xml:space="preserve">there was a </w:t>
      </w:r>
      <w:r w:rsidR="008A050C">
        <w:rPr>
          <w:szCs w:val="22"/>
        </w:rPr>
        <w:t>strong likelihood</w:t>
      </w:r>
      <w:r w:rsidR="00E9191D" w:rsidRPr="00800326">
        <w:rPr>
          <w:szCs w:val="22"/>
        </w:rPr>
        <w:t xml:space="preserve"> that prescribers would not be informed </w:t>
      </w:r>
      <w:r w:rsidR="008A050C">
        <w:rPr>
          <w:szCs w:val="22"/>
        </w:rPr>
        <w:t xml:space="preserve">each time </w:t>
      </w:r>
      <w:r w:rsidR="00912B93">
        <w:rPr>
          <w:szCs w:val="22"/>
        </w:rPr>
        <w:t xml:space="preserve">a change of </w:t>
      </w:r>
      <w:r w:rsidR="008A050C">
        <w:rPr>
          <w:szCs w:val="22"/>
        </w:rPr>
        <w:t>brand</w:t>
      </w:r>
      <w:r w:rsidR="00283B45" w:rsidRPr="00800326">
        <w:rPr>
          <w:szCs w:val="22"/>
        </w:rPr>
        <w:t xml:space="preserve"> </w:t>
      </w:r>
      <w:r w:rsidR="009C00BB" w:rsidRPr="00800326">
        <w:rPr>
          <w:szCs w:val="22"/>
        </w:rPr>
        <w:t>occur</w:t>
      </w:r>
      <w:r w:rsidR="008A050C">
        <w:rPr>
          <w:szCs w:val="22"/>
        </w:rPr>
        <w:t>s</w:t>
      </w:r>
      <w:r w:rsidR="009C00BB" w:rsidRPr="00800326">
        <w:rPr>
          <w:szCs w:val="22"/>
        </w:rPr>
        <w:t xml:space="preserve"> </w:t>
      </w:r>
      <w:r w:rsidR="00E9191D" w:rsidRPr="00800326">
        <w:rPr>
          <w:szCs w:val="22"/>
        </w:rPr>
        <w:t>at the pharmacy level</w:t>
      </w:r>
      <w:r w:rsidRPr="00800326">
        <w:rPr>
          <w:szCs w:val="22"/>
        </w:rPr>
        <w:t xml:space="preserve"> since ‘a’ fla</w:t>
      </w:r>
      <w:r w:rsidR="009C00BB" w:rsidRPr="00800326">
        <w:rPr>
          <w:szCs w:val="22"/>
        </w:rPr>
        <w:t xml:space="preserve">gging would enable </w:t>
      </w:r>
      <w:r w:rsidR="00283B45">
        <w:rPr>
          <w:szCs w:val="22"/>
        </w:rPr>
        <w:t xml:space="preserve">‘brand </w:t>
      </w:r>
      <w:r w:rsidR="009C00BB" w:rsidRPr="00800326">
        <w:rPr>
          <w:szCs w:val="22"/>
        </w:rPr>
        <w:t>substitution</w:t>
      </w:r>
      <w:r w:rsidR="00283B45">
        <w:rPr>
          <w:szCs w:val="22"/>
        </w:rPr>
        <w:t>’, instead</w:t>
      </w:r>
      <w:r w:rsidR="003B3407">
        <w:rPr>
          <w:szCs w:val="22"/>
        </w:rPr>
        <w:t xml:space="preserve"> of</w:t>
      </w:r>
      <w:r w:rsidR="00283B45">
        <w:rPr>
          <w:szCs w:val="22"/>
        </w:rPr>
        <w:t xml:space="preserve"> ‘brand switching’, </w:t>
      </w:r>
      <w:r w:rsidR="009C00BB" w:rsidRPr="00800326">
        <w:rPr>
          <w:szCs w:val="22"/>
        </w:rPr>
        <w:t xml:space="preserve"> </w:t>
      </w:r>
      <w:r w:rsidRPr="00800326">
        <w:rPr>
          <w:szCs w:val="22"/>
        </w:rPr>
        <w:t>without a</w:t>
      </w:r>
      <w:r w:rsidR="008A050C">
        <w:rPr>
          <w:szCs w:val="22"/>
        </w:rPr>
        <w:t>ny</w:t>
      </w:r>
      <w:r w:rsidRPr="00800326">
        <w:rPr>
          <w:szCs w:val="22"/>
        </w:rPr>
        <w:t xml:space="preserve"> </w:t>
      </w:r>
      <w:r w:rsidR="00EA54B1">
        <w:rPr>
          <w:szCs w:val="22"/>
        </w:rPr>
        <w:t>obligation on the pharmacist</w:t>
      </w:r>
      <w:r w:rsidRPr="00800326">
        <w:rPr>
          <w:szCs w:val="22"/>
        </w:rPr>
        <w:t xml:space="preserve"> </w:t>
      </w:r>
      <w:r w:rsidR="008A050C">
        <w:rPr>
          <w:szCs w:val="22"/>
        </w:rPr>
        <w:t>to</w:t>
      </w:r>
      <w:r w:rsidRPr="00800326">
        <w:rPr>
          <w:szCs w:val="22"/>
        </w:rPr>
        <w:t xml:space="preserve"> notify the prescriber.</w:t>
      </w:r>
    </w:p>
    <w:p w:rsidR="001D72C4" w:rsidRPr="00800326" w:rsidRDefault="001D72C4" w:rsidP="00053E4B">
      <w:pPr>
        <w:pStyle w:val="ListParagraph"/>
        <w:rPr>
          <w:szCs w:val="22"/>
        </w:rPr>
      </w:pPr>
    </w:p>
    <w:p w:rsidR="00FA35FA" w:rsidRDefault="001D72C4" w:rsidP="00FA35FA">
      <w:pPr>
        <w:pStyle w:val="ListParagraph"/>
        <w:numPr>
          <w:ilvl w:val="1"/>
          <w:numId w:val="37"/>
        </w:numPr>
        <w:rPr>
          <w:szCs w:val="22"/>
        </w:rPr>
      </w:pPr>
      <w:r w:rsidRPr="00FA35FA">
        <w:rPr>
          <w:szCs w:val="22"/>
        </w:rPr>
        <w:t xml:space="preserve">The PBAC noted </w:t>
      </w:r>
      <w:r w:rsidR="003D446F" w:rsidRPr="00FA35FA">
        <w:rPr>
          <w:szCs w:val="22"/>
        </w:rPr>
        <w:t>that there was considerable</w:t>
      </w:r>
      <w:r w:rsidRPr="00FA35FA">
        <w:rPr>
          <w:szCs w:val="22"/>
        </w:rPr>
        <w:t xml:space="preserve"> uncertainty surrounding the number of additional INR </w:t>
      </w:r>
      <w:r w:rsidR="005B15BA" w:rsidRPr="00FA35FA">
        <w:rPr>
          <w:szCs w:val="22"/>
        </w:rPr>
        <w:t xml:space="preserve">tests </w:t>
      </w:r>
      <w:r w:rsidRPr="00FA35FA">
        <w:rPr>
          <w:szCs w:val="22"/>
        </w:rPr>
        <w:t xml:space="preserve">that would </w:t>
      </w:r>
      <w:r w:rsidR="007C2891" w:rsidRPr="00FA35FA">
        <w:rPr>
          <w:szCs w:val="22"/>
        </w:rPr>
        <w:t>occur in practice</w:t>
      </w:r>
      <w:r w:rsidR="005B15BA" w:rsidRPr="00FA35FA">
        <w:rPr>
          <w:szCs w:val="22"/>
        </w:rPr>
        <w:t>,</w:t>
      </w:r>
      <w:r w:rsidR="008A050C" w:rsidRPr="00FA35FA">
        <w:rPr>
          <w:szCs w:val="22"/>
        </w:rPr>
        <w:t xml:space="preserve"> as it was dependent on patients being advised o</w:t>
      </w:r>
      <w:r w:rsidR="00912B93" w:rsidRPr="00FA35FA">
        <w:rPr>
          <w:szCs w:val="22"/>
        </w:rPr>
        <w:t>f</w:t>
      </w:r>
      <w:r w:rsidR="008A050C" w:rsidRPr="00FA35FA">
        <w:rPr>
          <w:szCs w:val="22"/>
        </w:rPr>
        <w:t xml:space="preserve"> the</w:t>
      </w:r>
      <w:r w:rsidR="000E5B32" w:rsidRPr="000E5B32">
        <w:rPr>
          <w:szCs w:val="22"/>
        </w:rPr>
        <w:t xml:space="preserve"> </w:t>
      </w:r>
      <w:r w:rsidR="000E5B32" w:rsidRPr="00FA35FA">
        <w:rPr>
          <w:szCs w:val="22"/>
        </w:rPr>
        <w:t>recommendation for additional testing</w:t>
      </w:r>
      <w:r w:rsidR="008A050C" w:rsidRPr="00FA35FA">
        <w:rPr>
          <w:szCs w:val="22"/>
        </w:rPr>
        <w:t xml:space="preserve"> </w:t>
      </w:r>
      <w:r w:rsidR="000E5B32">
        <w:rPr>
          <w:szCs w:val="22"/>
        </w:rPr>
        <w:t>following substitution</w:t>
      </w:r>
      <w:r w:rsidR="00EA54B1">
        <w:rPr>
          <w:szCs w:val="22"/>
        </w:rPr>
        <w:t>,</w:t>
      </w:r>
      <w:r w:rsidR="000E5B32">
        <w:rPr>
          <w:szCs w:val="22"/>
        </w:rPr>
        <w:t xml:space="preserve"> </w:t>
      </w:r>
      <w:r w:rsidR="007C1485">
        <w:rPr>
          <w:szCs w:val="22"/>
        </w:rPr>
        <w:t>and</w:t>
      </w:r>
      <w:r w:rsidR="00FA35FA" w:rsidRPr="00FA35FA">
        <w:rPr>
          <w:szCs w:val="22"/>
        </w:rPr>
        <w:t xml:space="preserve"> </w:t>
      </w:r>
      <w:r w:rsidR="00FA35FA" w:rsidRPr="00FA35FA">
        <w:rPr>
          <w:szCs w:val="22"/>
        </w:rPr>
        <w:lastRenderedPageBreak/>
        <w:t>the prescriber being notified</w:t>
      </w:r>
      <w:r w:rsidR="007C1485">
        <w:rPr>
          <w:szCs w:val="22"/>
        </w:rPr>
        <w:t xml:space="preserve">. The PBAC also considered that even in the instances where this </w:t>
      </w:r>
      <w:r w:rsidR="000E5B32">
        <w:rPr>
          <w:szCs w:val="22"/>
        </w:rPr>
        <w:t>occurred</w:t>
      </w:r>
      <w:r w:rsidR="007C1485">
        <w:rPr>
          <w:szCs w:val="22"/>
        </w:rPr>
        <w:t xml:space="preserve">, it </w:t>
      </w:r>
      <w:r w:rsidR="000E5B32">
        <w:rPr>
          <w:szCs w:val="22"/>
        </w:rPr>
        <w:t>may be</w:t>
      </w:r>
      <w:r w:rsidR="007C1485">
        <w:rPr>
          <w:szCs w:val="22"/>
        </w:rPr>
        <w:t xml:space="preserve"> that a patient’s regular testing schedule would be moved forward, rather than </w:t>
      </w:r>
      <w:r w:rsidR="007C1485" w:rsidRPr="007C1485">
        <w:rPr>
          <w:i/>
          <w:szCs w:val="22"/>
        </w:rPr>
        <w:t>additional</w:t>
      </w:r>
      <w:r w:rsidR="007C1485">
        <w:rPr>
          <w:szCs w:val="22"/>
        </w:rPr>
        <w:t xml:space="preserve"> INR tests being conducted.</w:t>
      </w:r>
    </w:p>
    <w:p w:rsidR="009C00BB" w:rsidRPr="00FA35FA" w:rsidRDefault="009C00BB" w:rsidP="00FA35FA">
      <w:pPr>
        <w:pStyle w:val="ListParagraph"/>
        <w:rPr>
          <w:szCs w:val="22"/>
        </w:rPr>
      </w:pPr>
    </w:p>
    <w:p w:rsidR="008A050C" w:rsidRDefault="00EA54B1" w:rsidP="00175538">
      <w:pPr>
        <w:pStyle w:val="ListParagraph"/>
        <w:numPr>
          <w:ilvl w:val="1"/>
          <w:numId w:val="37"/>
        </w:numPr>
        <w:rPr>
          <w:szCs w:val="22"/>
        </w:rPr>
      </w:pPr>
      <w:r>
        <w:rPr>
          <w:szCs w:val="22"/>
        </w:rPr>
        <w:t>The PBAC noted that</w:t>
      </w:r>
      <w:r w:rsidR="009C00BB" w:rsidRPr="00800326">
        <w:rPr>
          <w:szCs w:val="22"/>
        </w:rPr>
        <w:t xml:space="preserve"> since the </w:t>
      </w:r>
      <w:r>
        <w:rPr>
          <w:szCs w:val="22"/>
        </w:rPr>
        <w:t>introduction</w:t>
      </w:r>
      <w:r w:rsidR="009C00BB" w:rsidRPr="00800326">
        <w:rPr>
          <w:szCs w:val="22"/>
        </w:rPr>
        <w:t xml:space="preserve"> of novel </w:t>
      </w:r>
      <w:r w:rsidR="00832EDF" w:rsidRPr="00800326">
        <w:rPr>
          <w:szCs w:val="22"/>
        </w:rPr>
        <w:t>oral anticoagulants</w:t>
      </w:r>
      <w:r>
        <w:rPr>
          <w:szCs w:val="22"/>
        </w:rPr>
        <w:t>, fewer patients we</w:t>
      </w:r>
      <w:r w:rsidR="009C00BB" w:rsidRPr="00800326">
        <w:rPr>
          <w:szCs w:val="22"/>
        </w:rPr>
        <w:t>re being prescribed warfarin</w:t>
      </w:r>
      <w:r w:rsidR="00694D6E">
        <w:rPr>
          <w:szCs w:val="22"/>
        </w:rPr>
        <w:t>,</w:t>
      </w:r>
      <w:r w:rsidR="009C00BB" w:rsidRPr="00800326">
        <w:rPr>
          <w:szCs w:val="22"/>
        </w:rPr>
        <w:t xml:space="preserve"> and it is </w:t>
      </w:r>
      <w:r w:rsidR="00694D6E">
        <w:rPr>
          <w:szCs w:val="22"/>
        </w:rPr>
        <w:t>possible</w:t>
      </w:r>
      <w:r w:rsidR="009C00BB" w:rsidRPr="00800326">
        <w:rPr>
          <w:szCs w:val="22"/>
        </w:rPr>
        <w:t xml:space="preserve"> that the</w:t>
      </w:r>
      <w:r w:rsidR="00694D6E">
        <w:rPr>
          <w:szCs w:val="22"/>
        </w:rPr>
        <w:t xml:space="preserve"> </w:t>
      </w:r>
      <w:r w:rsidR="009C00BB" w:rsidRPr="00800326">
        <w:rPr>
          <w:szCs w:val="22"/>
        </w:rPr>
        <w:t>patients</w:t>
      </w:r>
      <w:r>
        <w:rPr>
          <w:szCs w:val="22"/>
        </w:rPr>
        <w:t xml:space="preserve"> now taking warfarin</w:t>
      </w:r>
      <w:r w:rsidR="00694D6E">
        <w:rPr>
          <w:szCs w:val="22"/>
        </w:rPr>
        <w:t xml:space="preserve"> </w:t>
      </w:r>
      <w:r w:rsidR="009C00BB" w:rsidRPr="00800326">
        <w:rPr>
          <w:szCs w:val="22"/>
        </w:rPr>
        <w:t>are a more vulnerable patient population</w:t>
      </w:r>
      <w:r w:rsidR="00694D6E">
        <w:rPr>
          <w:szCs w:val="22"/>
        </w:rPr>
        <w:t>, in which the impact of confusion</w:t>
      </w:r>
      <w:r>
        <w:rPr>
          <w:szCs w:val="22"/>
        </w:rPr>
        <w:t>,</w:t>
      </w:r>
      <w:r w:rsidR="00694D6E">
        <w:rPr>
          <w:szCs w:val="22"/>
        </w:rPr>
        <w:t xml:space="preserve"> or substitution</w:t>
      </w:r>
      <w:r>
        <w:rPr>
          <w:szCs w:val="22"/>
        </w:rPr>
        <w:t xml:space="preserve"> occurring</w:t>
      </w:r>
      <w:r w:rsidR="00694D6E">
        <w:rPr>
          <w:szCs w:val="22"/>
        </w:rPr>
        <w:t xml:space="preserve"> without additional INR testing</w:t>
      </w:r>
      <w:r>
        <w:rPr>
          <w:szCs w:val="22"/>
        </w:rPr>
        <w:t>,</w:t>
      </w:r>
      <w:r w:rsidR="00694D6E">
        <w:rPr>
          <w:szCs w:val="22"/>
        </w:rPr>
        <w:t xml:space="preserve"> could have a more serious effect</w:t>
      </w:r>
      <w:r w:rsidR="009C00BB" w:rsidRPr="00800326">
        <w:rPr>
          <w:szCs w:val="22"/>
        </w:rPr>
        <w:t>.</w:t>
      </w:r>
      <w:r w:rsidR="008A050C" w:rsidRPr="008A050C">
        <w:rPr>
          <w:szCs w:val="22"/>
        </w:rPr>
        <w:t xml:space="preserve"> </w:t>
      </w:r>
      <w:r w:rsidR="00694D6E">
        <w:rPr>
          <w:szCs w:val="22"/>
        </w:rPr>
        <w:t>The PBAC also noted that the trend in reducing rates of warfarin prescribing is likely to continue.</w:t>
      </w:r>
    </w:p>
    <w:p w:rsidR="008A050C" w:rsidRDefault="008A050C" w:rsidP="008A050C">
      <w:pPr>
        <w:pStyle w:val="ListParagraph"/>
        <w:rPr>
          <w:szCs w:val="22"/>
        </w:rPr>
      </w:pPr>
    </w:p>
    <w:p w:rsidR="00053E4B" w:rsidRDefault="008A050C" w:rsidP="00175538">
      <w:pPr>
        <w:pStyle w:val="ListParagraph"/>
        <w:numPr>
          <w:ilvl w:val="1"/>
          <w:numId w:val="37"/>
        </w:numPr>
        <w:rPr>
          <w:szCs w:val="22"/>
        </w:rPr>
      </w:pPr>
      <w:r>
        <w:rPr>
          <w:szCs w:val="22"/>
        </w:rPr>
        <w:t xml:space="preserve">The PBAC considered that </w:t>
      </w:r>
      <w:r w:rsidRPr="00FA03C5">
        <w:rPr>
          <w:szCs w:val="22"/>
        </w:rPr>
        <w:t xml:space="preserve">the </w:t>
      </w:r>
      <w:r>
        <w:rPr>
          <w:szCs w:val="22"/>
        </w:rPr>
        <w:t xml:space="preserve">current </w:t>
      </w:r>
      <w:r w:rsidRPr="00FA03C5">
        <w:rPr>
          <w:szCs w:val="22"/>
        </w:rPr>
        <w:t xml:space="preserve">availability of two brands of warfarin which are not </w:t>
      </w:r>
      <w:r>
        <w:rPr>
          <w:szCs w:val="22"/>
        </w:rPr>
        <w:t>substitutable</w:t>
      </w:r>
      <w:r w:rsidRPr="00FA03C5">
        <w:rPr>
          <w:szCs w:val="22"/>
        </w:rPr>
        <w:t xml:space="preserve"> poses</w:t>
      </w:r>
      <w:r>
        <w:rPr>
          <w:szCs w:val="22"/>
        </w:rPr>
        <w:t xml:space="preserve"> an</w:t>
      </w:r>
      <w:r w:rsidRPr="00FA03C5">
        <w:rPr>
          <w:szCs w:val="22"/>
        </w:rPr>
        <w:t xml:space="preserve"> additional risk</w:t>
      </w:r>
      <w:r>
        <w:rPr>
          <w:szCs w:val="22"/>
        </w:rPr>
        <w:t xml:space="preserve"> of confusion</w:t>
      </w:r>
      <w:r w:rsidR="00694D6E">
        <w:rPr>
          <w:szCs w:val="22"/>
        </w:rPr>
        <w:t>, and allowing ‘a’ flagging between</w:t>
      </w:r>
      <w:r w:rsidR="00DF1BFB">
        <w:rPr>
          <w:szCs w:val="22"/>
        </w:rPr>
        <w:t xml:space="preserve"> </w:t>
      </w:r>
      <w:r w:rsidR="00DF1BFB" w:rsidRPr="00800326">
        <w:rPr>
          <w:szCs w:val="22"/>
        </w:rPr>
        <w:t>Warfarin APOTEX</w:t>
      </w:r>
      <w:r w:rsidR="00DF1BFB" w:rsidRPr="008F2231">
        <w:rPr>
          <w:szCs w:val="22"/>
          <w:vertAlign w:val="superscript"/>
        </w:rPr>
        <w:t>®</w:t>
      </w:r>
      <w:r w:rsidR="00DF1BFB">
        <w:rPr>
          <w:szCs w:val="22"/>
        </w:rPr>
        <w:t xml:space="preserve"> and</w:t>
      </w:r>
      <w:r w:rsidR="00694D6E">
        <w:rPr>
          <w:szCs w:val="22"/>
        </w:rPr>
        <w:t xml:space="preserve"> </w:t>
      </w:r>
      <w:r w:rsidR="00DF1BFB">
        <w:rPr>
          <w:szCs w:val="22"/>
        </w:rPr>
        <w:t>one</w:t>
      </w:r>
      <w:r w:rsidR="00694D6E">
        <w:rPr>
          <w:szCs w:val="22"/>
        </w:rPr>
        <w:t xml:space="preserve"> of the available brands</w:t>
      </w:r>
      <w:r w:rsidR="00DF1BFB">
        <w:rPr>
          <w:szCs w:val="22"/>
        </w:rPr>
        <w:t xml:space="preserve"> and not the other</w:t>
      </w:r>
      <w:r w:rsidR="00694D6E">
        <w:rPr>
          <w:szCs w:val="22"/>
        </w:rPr>
        <w:t xml:space="preserve"> increased the risk of inappropriate substitution between the brands that are not bioequivalent</w:t>
      </w:r>
      <w:r w:rsidRPr="00FA03C5">
        <w:rPr>
          <w:szCs w:val="22"/>
        </w:rPr>
        <w:t>.</w:t>
      </w:r>
      <w:r w:rsidR="001B5BA7">
        <w:rPr>
          <w:szCs w:val="22"/>
        </w:rPr>
        <w:t xml:space="preserve"> The PBAC further considered that </w:t>
      </w:r>
      <w:r w:rsidR="00694D6E">
        <w:rPr>
          <w:szCs w:val="22"/>
        </w:rPr>
        <w:t>there was no clinical need for a third brand of warfarin on the PBS, and that the risk of confusion outweighed any potential gain.</w:t>
      </w:r>
    </w:p>
    <w:p w:rsidR="00053E4B" w:rsidRDefault="00053E4B" w:rsidP="00053E4B">
      <w:pPr>
        <w:pStyle w:val="ListParagraph"/>
        <w:rPr>
          <w:szCs w:val="22"/>
        </w:rPr>
      </w:pPr>
    </w:p>
    <w:p w:rsidR="009B3C90" w:rsidRPr="00283B45" w:rsidRDefault="00832EDF" w:rsidP="00175538">
      <w:pPr>
        <w:pStyle w:val="ListParagraph"/>
        <w:numPr>
          <w:ilvl w:val="1"/>
          <w:numId w:val="37"/>
        </w:numPr>
        <w:rPr>
          <w:szCs w:val="22"/>
        </w:rPr>
      </w:pPr>
      <w:r w:rsidRPr="00053E4B">
        <w:rPr>
          <w:szCs w:val="22"/>
        </w:rPr>
        <w:t xml:space="preserve">The PBAC considered that, although ‘a’ flagging has been approved for other drugs with a narrow therapeutic range, </w:t>
      </w:r>
      <w:r w:rsidR="008A050C">
        <w:rPr>
          <w:szCs w:val="22"/>
        </w:rPr>
        <w:t xml:space="preserve">the </w:t>
      </w:r>
      <w:r w:rsidR="00EA54B1">
        <w:rPr>
          <w:szCs w:val="22"/>
        </w:rPr>
        <w:t xml:space="preserve">potential </w:t>
      </w:r>
      <w:r w:rsidR="008A050C">
        <w:rPr>
          <w:szCs w:val="22"/>
        </w:rPr>
        <w:t>impact of inadequate control of warfarin dose was much higher, and more likely to be fatal</w:t>
      </w:r>
      <w:r w:rsidR="00EA54B1">
        <w:rPr>
          <w:szCs w:val="22"/>
        </w:rPr>
        <w:t xml:space="preserve"> than for other drugs</w:t>
      </w:r>
      <w:r w:rsidR="008A050C">
        <w:rPr>
          <w:szCs w:val="22"/>
        </w:rPr>
        <w:t>.</w:t>
      </w:r>
    </w:p>
    <w:p w:rsidR="00761D7D" w:rsidRPr="00800326" w:rsidRDefault="00761D7D" w:rsidP="00053E4B">
      <w:pPr>
        <w:pStyle w:val="ListParagraph"/>
        <w:rPr>
          <w:szCs w:val="22"/>
        </w:rPr>
      </w:pPr>
    </w:p>
    <w:p w:rsidR="00761D7D" w:rsidRPr="00EA54B1" w:rsidRDefault="00761D7D" w:rsidP="00EA54B1">
      <w:pPr>
        <w:pStyle w:val="ListParagraph"/>
        <w:numPr>
          <w:ilvl w:val="1"/>
          <w:numId w:val="37"/>
        </w:numPr>
        <w:rPr>
          <w:szCs w:val="22"/>
        </w:rPr>
      </w:pPr>
      <w:r w:rsidRPr="006855AA">
        <w:rPr>
          <w:szCs w:val="22"/>
        </w:rPr>
        <w:t>The PBAC noted that this submission is not eligible for an Independent Review</w:t>
      </w:r>
      <w:r w:rsidR="006855AA">
        <w:rPr>
          <w:szCs w:val="22"/>
        </w:rPr>
        <w:t>, as the submission requested for PBS listing for a brand of an already listed drug.</w:t>
      </w:r>
    </w:p>
    <w:p w:rsidR="00761D7D" w:rsidRDefault="00761D7D" w:rsidP="00761D7D">
      <w:pPr>
        <w:jc w:val="both"/>
        <w:rPr>
          <w:rFonts w:ascii="Arial" w:hAnsi="Arial" w:cs="Arial"/>
          <w:b/>
          <w:bCs/>
          <w:snapToGrid w:val="0"/>
          <w:sz w:val="22"/>
          <w:szCs w:val="22"/>
          <w:highlight w:val="yellow"/>
          <w:lang w:val="en-GB"/>
        </w:rPr>
      </w:pPr>
    </w:p>
    <w:p w:rsidR="00761D7D" w:rsidRPr="00053E4B" w:rsidRDefault="00761D7D" w:rsidP="00761D7D">
      <w:pPr>
        <w:jc w:val="both"/>
        <w:rPr>
          <w:rFonts w:ascii="Arial" w:hAnsi="Arial" w:cs="Arial"/>
          <w:b/>
          <w:bCs/>
          <w:snapToGrid w:val="0"/>
          <w:sz w:val="22"/>
          <w:szCs w:val="22"/>
          <w:lang w:val="en-GB"/>
        </w:rPr>
      </w:pPr>
      <w:r w:rsidRPr="00053E4B">
        <w:rPr>
          <w:rFonts w:ascii="Arial" w:hAnsi="Arial" w:cs="Arial"/>
          <w:b/>
          <w:bCs/>
          <w:snapToGrid w:val="0"/>
          <w:sz w:val="22"/>
          <w:szCs w:val="22"/>
          <w:lang w:val="en-GB"/>
        </w:rPr>
        <w:t>Outcome:</w:t>
      </w:r>
    </w:p>
    <w:p w:rsidR="00761D7D" w:rsidRPr="008B2936" w:rsidRDefault="00761D7D" w:rsidP="00761D7D">
      <w:pPr>
        <w:jc w:val="both"/>
        <w:rPr>
          <w:rFonts w:ascii="Arial" w:hAnsi="Arial" w:cs="Arial"/>
          <w:bCs/>
          <w:snapToGrid w:val="0"/>
          <w:sz w:val="22"/>
          <w:szCs w:val="22"/>
          <w:lang w:val="en-GB"/>
        </w:rPr>
      </w:pPr>
      <w:r w:rsidRPr="008B2936">
        <w:rPr>
          <w:rFonts w:ascii="Arial" w:hAnsi="Arial" w:cs="Arial"/>
          <w:bCs/>
          <w:snapToGrid w:val="0"/>
          <w:sz w:val="22"/>
          <w:szCs w:val="22"/>
          <w:lang w:val="en-GB"/>
        </w:rPr>
        <w:t>Rejected</w:t>
      </w:r>
    </w:p>
    <w:p w:rsidR="00761D7D" w:rsidRPr="00EA0EDA" w:rsidRDefault="00761D7D" w:rsidP="00761D7D">
      <w:pPr>
        <w:jc w:val="both"/>
        <w:rPr>
          <w:rFonts w:ascii="Arial" w:hAnsi="Arial" w:cs="Arial"/>
          <w:bCs/>
          <w:snapToGrid w:val="0"/>
          <w:sz w:val="22"/>
          <w:szCs w:val="22"/>
          <w:highlight w:val="yellow"/>
          <w:lang w:val="en-GB"/>
        </w:rPr>
      </w:pPr>
    </w:p>
    <w:p w:rsidR="003C7AD7" w:rsidRPr="003C7AD7" w:rsidRDefault="003C7AD7" w:rsidP="003C7AD7">
      <w:pPr>
        <w:pStyle w:val="PBACHeading1"/>
        <w:numPr>
          <w:ilvl w:val="0"/>
          <w:numId w:val="37"/>
        </w:numPr>
      </w:pPr>
      <w:r w:rsidRPr="003C7AD7">
        <w:t>Context for Decision</w:t>
      </w:r>
    </w:p>
    <w:p w:rsidR="003C7AD7" w:rsidRPr="003C7AD7" w:rsidRDefault="003C7AD7" w:rsidP="003C7AD7">
      <w:pPr>
        <w:widowControl w:val="0"/>
        <w:ind w:left="426"/>
        <w:jc w:val="both"/>
        <w:rPr>
          <w:rFonts w:ascii="Arial" w:hAnsi="Arial" w:cs="Arial"/>
          <w:snapToGrid w:val="0"/>
          <w:sz w:val="22"/>
          <w:szCs w:val="20"/>
          <w:lang w:eastAsia="en-US"/>
        </w:rPr>
      </w:pPr>
    </w:p>
    <w:p w:rsidR="003C7AD7" w:rsidRPr="003C7AD7" w:rsidRDefault="003C7AD7" w:rsidP="003C7AD7">
      <w:pPr>
        <w:widowControl w:val="0"/>
        <w:ind w:left="709"/>
        <w:jc w:val="both"/>
        <w:rPr>
          <w:rFonts w:ascii="Arial" w:hAnsi="Arial" w:cs="Arial"/>
          <w:snapToGrid w:val="0"/>
          <w:sz w:val="22"/>
          <w:szCs w:val="20"/>
          <w:lang w:eastAsia="en-US"/>
        </w:rPr>
      </w:pPr>
      <w:r w:rsidRPr="003C7AD7">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C7AD7" w:rsidRPr="003C7AD7" w:rsidRDefault="003C7AD7" w:rsidP="003C7AD7">
      <w:pPr>
        <w:widowControl w:val="0"/>
        <w:ind w:left="426"/>
        <w:jc w:val="both"/>
        <w:rPr>
          <w:rFonts w:ascii="Arial" w:hAnsi="Arial" w:cs="Arial"/>
          <w:snapToGrid w:val="0"/>
          <w:sz w:val="22"/>
          <w:szCs w:val="20"/>
          <w:lang w:eastAsia="en-US"/>
        </w:rPr>
      </w:pPr>
    </w:p>
    <w:p w:rsidR="003C7AD7" w:rsidRPr="003C7AD7" w:rsidRDefault="003C7AD7" w:rsidP="003C7AD7">
      <w:pPr>
        <w:pStyle w:val="PBACHeading1"/>
        <w:numPr>
          <w:ilvl w:val="0"/>
          <w:numId w:val="37"/>
        </w:numPr>
      </w:pPr>
      <w:r w:rsidRPr="003C7AD7">
        <w:t>Sponsor’s Comment</w:t>
      </w:r>
    </w:p>
    <w:p w:rsidR="003C7AD7" w:rsidRPr="003C7AD7" w:rsidRDefault="003C7AD7" w:rsidP="003C7AD7">
      <w:pPr>
        <w:widowControl w:val="0"/>
        <w:ind w:left="426"/>
        <w:jc w:val="both"/>
        <w:rPr>
          <w:rFonts w:ascii="Arial" w:hAnsi="Arial" w:cs="Arial"/>
          <w:bCs/>
          <w:snapToGrid w:val="0"/>
          <w:sz w:val="22"/>
          <w:szCs w:val="20"/>
          <w:highlight w:val="yellow"/>
          <w:lang w:val="en-GB" w:eastAsia="en-US"/>
        </w:rPr>
      </w:pPr>
    </w:p>
    <w:p w:rsidR="003C7AD7" w:rsidRPr="003C7AD7" w:rsidRDefault="003C7AD7" w:rsidP="003C7AD7">
      <w:pPr>
        <w:widowControl w:val="0"/>
        <w:spacing w:after="120"/>
        <w:ind w:left="709"/>
        <w:jc w:val="both"/>
        <w:rPr>
          <w:rFonts w:ascii="Arial" w:hAnsi="Arial" w:cs="Arial"/>
          <w:bCs/>
          <w:snapToGrid w:val="0"/>
          <w:sz w:val="22"/>
          <w:szCs w:val="20"/>
          <w:lang w:eastAsia="en-US"/>
        </w:rPr>
      </w:pPr>
      <w:r w:rsidRPr="003C7AD7">
        <w:rPr>
          <w:rFonts w:ascii="Arial" w:hAnsi="Arial" w:cs="Arial"/>
          <w:bCs/>
          <w:snapToGrid w:val="0"/>
          <w:sz w:val="22"/>
          <w:szCs w:val="20"/>
          <w:lang w:eastAsia="en-US"/>
        </w:rPr>
        <w:t>The sponsor had no comment.</w:t>
      </w:r>
    </w:p>
    <w:p w:rsidR="003C7AD7" w:rsidRPr="00481944" w:rsidRDefault="003C7AD7" w:rsidP="00D94709">
      <w:pPr>
        <w:spacing w:after="200" w:line="276" w:lineRule="auto"/>
        <w:rPr>
          <w:rFonts w:ascii="Arial" w:hAnsi="Arial" w:cs="Arial"/>
          <w:bCs/>
          <w:sz w:val="22"/>
          <w:szCs w:val="22"/>
        </w:rPr>
      </w:pPr>
    </w:p>
    <w:p w:rsidR="00761D7D" w:rsidRPr="00BC72D5" w:rsidRDefault="00761D7D" w:rsidP="00BC72D5">
      <w:pPr>
        <w:rPr>
          <w:rFonts w:ascii="Arial" w:hAnsi="Arial" w:cs="Arial"/>
          <w:b/>
          <w:i/>
          <w:sz w:val="22"/>
          <w:szCs w:val="22"/>
        </w:rPr>
      </w:pPr>
    </w:p>
    <w:sectPr w:rsidR="00761D7D" w:rsidRPr="00BC72D5"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F1" w:rsidRDefault="005B0DF1">
      <w:r>
        <w:separator/>
      </w:r>
    </w:p>
    <w:p w:rsidR="005B0DF1" w:rsidRDefault="005B0DF1"/>
  </w:endnote>
  <w:endnote w:type="continuationSeparator" w:id="0">
    <w:p w:rsidR="005B0DF1" w:rsidRDefault="005B0DF1">
      <w:r>
        <w:continuationSeparator/>
      </w:r>
    </w:p>
    <w:p w:rsidR="005B0DF1" w:rsidRDefault="005B0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31C8F" w:rsidTr="005A3173">
      <w:trPr>
        <w:trHeight w:val="151"/>
      </w:trPr>
      <w:tc>
        <w:tcPr>
          <w:tcW w:w="2250" w:type="pct"/>
          <w:tcBorders>
            <w:top w:val="nil"/>
            <w:left w:val="nil"/>
            <w:bottom w:val="single" w:sz="4" w:space="0" w:color="4F81BD"/>
            <w:right w:val="nil"/>
          </w:tcBorders>
        </w:tcPr>
        <w:p w:rsidR="00431C8F" w:rsidRPr="005A3173" w:rsidRDefault="00431C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31C8F" w:rsidRPr="005A3173" w:rsidRDefault="00431C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31C8F" w:rsidRPr="005A3173" w:rsidRDefault="00431C8F" w:rsidP="005A3173">
          <w:pPr>
            <w:pStyle w:val="Header"/>
            <w:spacing w:line="276" w:lineRule="auto"/>
            <w:rPr>
              <w:rFonts w:ascii="Calibri" w:eastAsia="MS Gothic" w:hAnsi="Calibri"/>
              <w:b/>
              <w:bCs/>
              <w:color w:val="4F81BD"/>
            </w:rPr>
          </w:pPr>
        </w:p>
      </w:tc>
    </w:tr>
    <w:tr w:rsidR="00431C8F" w:rsidTr="005A3173">
      <w:trPr>
        <w:trHeight w:val="150"/>
      </w:trPr>
      <w:tc>
        <w:tcPr>
          <w:tcW w:w="2250" w:type="pct"/>
          <w:tcBorders>
            <w:top w:val="single" w:sz="4" w:space="0" w:color="4F81BD"/>
            <w:left w:val="nil"/>
            <w:bottom w:val="nil"/>
            <w:right w:val="nil"/>
          </w:tcBorders>
        </w:tcPr>
        <w:p w:rsidR="00431C8F" w:rsidRPr="005A3173" w:rsidRDefault="00431C8F" w:rsidP="005A3173">
          <w:pPr>
            <w:pStyle w:val="Header"/>
            <w:spacing w:line="276" w:lineRule="auto"/>
            <w:rPr>
              <w:rFonts w:ascii="Calibri" w:eastAsia="MS Gothic" w:hAnsi="Calibri"/>
              <w:b/>
              <w:bCs/>
              <w:color w:val="4F81BD"/>
            </w:rPr>
          </w:pPr>
        </w:p>
      </w:tc>
      <w:tc>
        <w:tcPr>
          <w:tcW w:w="0" w:type="auto"/>
          <w:vMerge/>
          <w:vAlign w:val="center"/>
          <w:hideMark/>
        </w:tcPr>
        <w:p w:rsidR="00431C8F" w:rsidRPr="005A3173" w:rsidRDefault="00431C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431C8F" w:rsidRPr="005A3173" w:rsidRDefault="00431C8F" w:rsidP="005A3173">
          <w:pPr>
            <w:pStyle w:val="Header"/>
            <w:spacing w:line="276" w:lineRule="auto"/>
            <w:rPr>
              <w:rFonts w:ascii="Calibri" w:eastAsia="MS Gothic" w:hAnsi="Calibri"/>
              <w:b/>
              <w:bCs/>
              <w:color w:val="4F81BD"/>
            </w:rPr>
          </w:pPr>
        </w:p>
      </w:tc>
    </w:tr>
  </w:tbl>
  <w:p w:rsidR="00431C8F" w:rsidRDefault="00431C8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1C8F" w:rsidRDefault="00431C8F">
    <w:pPr>
      <w:pStyle w:val="Footer"/>
    </w:pPr>
  </w:p>
  <w:p w:rsidR="00431C8F" w:rsidRDefault="00431C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976555"/>
      <w:docPartObj>
        <w:docPartGallery w:val="Page Numbers (Bottom of Page)"/>
        <w:docPartUnique/>
      </w:docPartObj>
    </w:sdtPr>
    <w:sdtEndPr>
      <w:rPr>
        <w:rFonts w:ascii="Arial" w:hAnsi="Arial" w:cs="Arial"/>
        <w:noProof/>
      </w:rPr>
    </w:sdtEndPr>
    <w:sdtContent>
      <w:p w:rsidR="00196963" w:rsidRDefault="00196963" w:rsidP="00196963">
        <w:pPr>
          <w:pStyle w:val="Footer"/>
          <w:jc w:val="center"/>
        </w:pPr>
      </w:p>
      <w:p w:rsidR="00431C8F" w:rsidRPr="00196963" w:rsidRDefault="00196963" w:rsidP="00196963">
        <w:pPr>
          <w:pStyle w:val="Footer"/>
          <w:jc w:val="center"/>
          <w:rPr>
            <w:rFonts w:ascii="Arial" w:hAnsi="Arial" w:cs="Arial"/>
          </w:rPr>
        </w:pPr>
        <w:r w:rsidRPr="00196963">
          <w:rPr>
            <w:rFonts w:ascii="Arial" w:hAnsi="Arial" w:cs="Arial"/>
          </w:rPr>
          <w:fldChar w:fldCharType="begin"/>
        </w:r>
        <w:r w:rsidRPr="00196963">
          <w:rPr>
            <w:rFonts w:ascii="Arial" w:hAnsi="Arial" w:cs="Arial"/>
          </w:rPr>
          <w:instrText xml:space="preserve"> PAGE   \* MERGEFORMAT </w:instrText>
        </w:r>
        <w:r w:rsidRPr="00196963">
          <w:rPr>
            <w:rFonts w:ascii="Arial" w:hAnsi="Arial" w:cs="Arial"/>
          </w:rPr>
          <w:fldChar w:fldCharType="separate"/>
        </w:r>
        <w:r w:rsidR="00DA1DD9">
          <w:rPr>
            <w:rFonts w:ascii="Arial" w:hAnsi="Arial" w:cs="Arial"/>
            <w:noProof/>
          </w:rPr>
          <w:t>1</w:t>
        </w:r>
        <w:r w:rsidRPr="00196963">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31C8F" w:rsidTr="005A3173">
      <w:trPr>
        <w:trHeight w:val="151"/>
      </w:trPr>
      <w:tc>
        <w:tcPr>
          <w:tcW w:w="2250" w:type="pct"/>
          <w:tcBorders>
            <w:top w:val="nil"/>
            <w:left w:val="nil"/>
            <w:bottom w:val="single" w:sz="4" w:space="0" w:color="4F81BD"/>
            <w:right w:val="nil"/>
          </w:tcBorders>
        </w:tcPr>
        <w:p w:rsidR="00431C8F" w:rsidRPr="005A3173" w:rsidRDefault="00431C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31C8F" w:rsidRPr="005A3173" w:rsidRDefault="00431C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31C8F" w:rsidRPr="005A3173" w:rsidRDefault="00431C8F" w:rsidP="005A3173">
          <w:pPr>
            <w:pStyle w:val="Header"/>
            <w:spacing w:line="276" w:lineRule="auto"/>
            <w:rPr>
              <w:rFonts w:ascii="Calibri" w:eastAsia="MS Gothic" w:hAnsi="Calibri"/>
              <w:b/>
              <w:bCs/>
              <w:color w:val="4F81BD"/>
            </w:rPr>
          </w:pPr>
        </w:p>
      </w:tc>
    </w:tr>
    <w:tr w:rsidR="00431C8F" w:rsidTr="005A3173">
      <w:trPr>
        <w:trHeight w:val="150"/>
      </w:trPr>
      <w:tc>
        <w:tcPr>
          <w:tcW w:w="2250" w:type="pct"/>
          <w:tcBorders>
            <w:top w:val="single" w:sz="4" w:space="0" w:color="4F81BD"/>
            <w:left w:val="nil"/>
            <w:bottom w:val="nil"/>
            <w:right w:val="nil"/>
          </w:tcBorders>
        </w:tcPr>
        <w:p w:rsidR="00431C8F" w:rsidRPr="005A3173" w:rsidRDefault="00431C8F" w:rsidP="005A3173">
          <w:pPr>
            <w:pStyle w:val="Header"/>
            <w:spacing w:line="276" w:lineRule="auto"/>
            <w:rPr>
              <w:rFonts w:ascii="Calibri" w:eastAsia="MS Gothic" w:hAnsi="Calibri"/>
              <w:b/>
              <w:bCs/>
              <w:color w:val="4F81BD"/>
            </w:rPr>
          </w:pPr>
        </w:p>
      </w:tc>
      <w:tc>
        <w:tcPr>
          <w:tcW w:w="0" w:type="auto"/>
          <w:vMerge/>
          <w:vAlign w:val="center"/>
          <w:hideMark/>
        </w:tcPr>
        <w:p w:rsidR="00431C8F" w:rsidRPr="005A3173" w:rsidRDefault="00431C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431C8F" w:rsidRPr="005A3173" w:rsidRDefault="00431C8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31C8F" w:rsidTr="005A3173">
      <w:trPr>
        <w:trHeight w:val="151"/>
      </w:trPr>
      <w:tc>
        <w:tcPr>
          <w:tcW w:w="2250" w:type="pct"/>
          <w:tcBorders>
            <w:top w:val="nil"/>
            <w:left w:val="nil"/>
            <w:bottom w:val="single" w:sz="4" w:space="0" w:color="4F81BD"/>
            <w:right w:val="nil"/>
          </w:tcBorders>
        </w:tcPr>
        <w:p w:rsidR="00431C8F" w:rsidRPr="005A3173" w:rsidRDefault="00431C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31C8F" w:rsidRPr="005A3173" w:rsidRDefault="00431C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31C8F" w:rsidRPr="005A3173" w:rsidRDefault="00431C8F" w:rsidP="005A3173">
          <w:pPr>
            <w:pStyle w:val="Header"/>
            <w:spacing w:line="276" w:lineRule="auto"/>
            <w:rPr>
              <w:rFonts w:ascii="Calibri" w:eastAsia="MS Gothic" w:hAnsi="Calibri"/>
              <w:b/>
              <w:bCs/>
              <w:color w:val="4F81BD"/>
            </w:rPr>
          </w:pPr>
        </w:p>
      </w:tc>
    </w:tr>
    <w:tr w:rsidR="00431C8F" w:rsidTr="005A3173">
      <w:trPr>
        <w:trHeight w:val="150"/>
      </w:trPr>
      <w:tc>
        <w:tcPr>
          <w:tcW w:w="2250" w:type="pct"/>
          <w:tcBorders>
            <w:top w:val="single" w:sz="4" w:space="0" w:color="4F81BD"/>
            <w:left w:val="nil"/>
            <w:bottom w:val="nil"/>
            <w:right w:val="nil"/>
          </w:tcBorders>
        </w:tcPr>
        <w:p w:rsidR="00431C8F" w:rsidRPr="005A3173" w:rsidRDefault="00431C8F" w:rsidP="005A3173">
          <w:pPr>
            <w:pStyle w:val="Header"/>
            <w:spacing w:line="276" w:lineRule="auto"/>
            <w:rPr>
              <w:rFonts w:ascii="Calibri" w:eastAsia="MS Gothic" w:hAnsi="Calibri"/>
              <w:b/>
              <w:bCs/>
              <w:color w:val="4F81BD"/>
            </w:rPr>
          </w:pPr>
        </w:p>
      </w:tc>
      <w:tc>
        <w:tcPr>
          <w:tcW w:w="0" w:type="auto"/>
          <w:vMerge/>
          <w:vAlign w:val="center"/>
          <w:hideMark/>
        </w:tcPr>
        <w:p w:rsidR="00431C8F" w:rsidRPr="005A3173" w:rsidRDefault="00431C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431C8F" w:rsidRPr="005A3173" w:rsidRDefault="00431C8F" w:rsidP="005A3173">
          <w:pPr>
            <w:pStyle w:val="Header"/>
            <w:spacing w:line="276" w:lineRule="auto"/>
            <w:rPr>
              <w:rFonts w:ascii="Calibri" w:eastAsia="MS Gothic" w:hAnsi="Calibri"/>
              <w:b/>
              <w:bCs/>
              <w:color w:val="4F81BD"/>
            </w:rPr>
          </w:pPr>
        </w:p>
      </w:tc>
    </w:tr>
  </w:tbl>
  <w:p w:rsidR="00431C8F" w:rsidRPr="007C0F57" w:rsidRDefault="00431C8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31C8F" w:rsidRPr="007C0F57" w:rsidRDefault="00431C8F" w:rsidP="007C0F57">
    <w:pPr>
      <w:pStyle w:val="Footer"/>
      <w:jc w:val="center"/>
      <w:rPr>
        <w:b/>
        <w:i/>
        <w:sz w:val="20"/>
        <w:szCs w:val="20"/>
      </w:rPr>
    </w:pPr>
    <w:r w:rsidRPr="007C0F57">
      <w:rPr>
        <w:b/>
        <w:i/>
        <w:sz w:val="20"/>
        <w:szCs w:val="20"/>
      </w:rPr>
      <w:t>Commercial-in-Confidence</w:t>
    </w:r>
  </w:p>
  <w:p w:rsidR="00431C8F" w:rsidRDefault="00431C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F1" w:rsidRDefault="005B0DF1">
      <w:r>
        <w:separator/>
      </w:r>
    </w:p>
    <w:p w:rsidR="005B0DF1" w:rsidRDefault="005B0DF1"/>
  </w:footnote>
  <w:footnote w:type="continuationSeparator" w:id="0">
    <w:p w:rsidR="005B0DF1" w:rsidRDefault="005B0DF1">
      <w:r>
        <w:continuationSeparator/>
      </w:r>
    </w:p>
    <w:p w:rsidR="005B0DF1" w:rsidRDefault="005B0DF1"/>
  </w:footnote>
  <w:footnote w:id="1">
    <w:p w:rsidR="00C3639B" w:rsidRPr="0011007F" w:rsidRDefault="00C3639B">
      <w:pPr>
        <w:pStyle w:val="FootnoteText"/>
        <w:rPr>
          <w:rFonts w:ascii="Arial Narrow" w:hAnsi="Arial Narrow"/>
          <w:sz w:val="18"/>
          <w:szCs w:val="18"/>
        </w:rPr>
      </w:pPr>
      <w:r w:rsidRPr="0011007F">
        <w:rPr>
          <w:rStyle w:val="FootnoteReference"/>
          <w:rFonts w:ascii="Arial Narrow" w:hAnsi="Arial Narrow"/>
          <w:sz w:val="18"/>
          <w:szCs w:val="18"/>
        </w:rPr>
        <w:footnoteRef/>
      </w:r>
      <w:r w:rsidRPr="0011007F">
        <w:rPr>
          <w:rFonts w:ascii="Arial Narrow" w:hAnsi="Arial Narrow"/>
          <w:sz w:val="18"/>
          <w:szCs w:val="18"/>
        </w:rPr>
        <w:t xml:space="preserve"> </w:t>
      </w:r>
      <w:r w:rsidRPr="0011007F">
        <w:rPr>
          <w:rFonts w:ascii="Arial Narrow" w:hAnsi="Arial Narrow" w:cs="Arial"/>
          <w:noProof/>
          <w:sz w:val="18"/>
          <w:szCs w:val="18"/>
        </w:rPr>
        <w:t xml:space="preserve">Pharmacy Board of Australia, 2015. </w:t>
      </w:r>
      <w:r w:rsidRPr="0011007F">
        <w:rPr>
          <w:rFonts w:ascii="Arial Narrow" w:hAnsi="Arial Narrow" w:cs="Arial"/>
          <w:i/>
          <w:iCs/>
          <w:noProof/>
          <w:sz w:val="18"/>
          <w:szCs w:val="18"/>
        </w:rPr>
        <w:t>Guidelines for Dispensing of Medicines.</w:t>
      </w:r>
    </w:p>
  </w:footnote>
  <w:footnote w:id="2">
    <w:p w:rsidR="00F36998" w:rsidRPr="0011007F" w:rsidRDefault="00F36998" w:rsidP="00F36998">
      <w:pPr>
        <w:rPr>
          <w:rFonts w:ascii="Arial Narrow" w:hAnsi="Arial Narrow" w:cs="Arial"/>
          <w:sz w:val="18"/>
          <w:szCs w:val="18"/>
        </w:rPr>
      </w:pPr>
      <w:r w:rsidRPr="0011007F">
        <w:rPr>
          <w:rStyle w:val="FootnoteReference"/>
          <w:rFonts w:ascii="Arial Narrow" w:hAnsi="Arial Narrow" w:cs="Arial"/>
          <w:sz w:val="18"/>
          <w:szCs w:val="18"/>
        </w:rPr>
        <w:footnoteRef/>
      </w:r>
      <w:r w:rsidRPr="0011007F">
        <w:rPr>
          <w:rFonts w:ascii="Arial Narrow" w:hAnsi="Arial Narrow" w:cs="Arial"/>
          <w:sz w:val="18"/>
          <w:szCs w:val="18"/>
        </w:rPr>
        <w:t xml:space="preserve"> </w:t>
      </w:r>
      <w:proofErr w:type="gramStart"/>
      <w:r w:rsidRPr="0011007F">
        <w:rPr>
          <w:rFonts w:ascii="Arial Narrow" w:hAnsi="Arial Narrow" w:cs="Arial"/>
          <w:sz w:val="18"/>
          <w:szCs w:val="18"/>
        </w:rPr>
        <w:t xml:space="preserve">NPS </w:t>
      </w:r>
      <w:proofErr w:type="spellStart"/>
      <w:r w:rsidRPr="0011007F">
        <w:rPr>
          <w:rFonts w:ascii="Arial Narrow" w:hAnsi="Arial Narrow" w:cs="Arial"/>
          <w:sz w:val="18"/>
          <w:szCs w:val="18"/>
        </w:rPr>
        <w:t>MedicineWise</w:t>
      </w:r>
      <w:proofErr w:type="spellEnd"/>
      <w:r w:rsidRPr="0011007F">
        <w:rPr>
          <w:rFonts w:ascii="Arial Narrow" w:hAnsi="Arial Narrow" w:cs="Arial"/>
          <w:sz w:val="18"/>
          <w:szCs w:val="18"/>
        </w:rPr>
        <w:t>.</w:t>
      </w:r>
      <w:proofErr w:type="gramEnd"/>
      <w:r w:rsidRPr="0011007F">
        <w:rPr>
          <w:rFonts w:ascii="Arial Narrow" w:hAnsi="Arial Narrow" w:cs="Arial"/>
          <w:sz w:val="18"/>
          <w:szCs w:val="18"/>
        </w:rPr>
        <w:t xml:space="preserve"> </w:t>
      </w:r>
      <w:r w:rsidRPr="0005002C">
        <w:rPr>
          <w:rFonts w:ascii="Arial Narrow" w:hAnsi="Arial Narrow" w:cs="Arial"/>
          <w:sz w:val="18"/>
          <w:szCs w:val="18"/>
        </w:rPr>
        <w:t>http://www.nps.org.au/media-centre/media-releases/repository/consumer-should-be-centre-of-care-when-offering-alternative-medicine-brands</w:t>
      </w:r>
    </w:p>
    <w:p w:rsidR="00F36998" w:rsidRDefault="00F36998" w:rsidP="00F3699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31C8F" w:rsidRPr="008E0D90" w:rsidTr="00A06225">
      <w:trPr>
        <w:trHeight w:val="151"/>
      </w:trPr>
      <w:tc>
        <w:tcPr>
          <w:tcW w:w="2389" w:type="pct"/>
          <w:tcBorders>
            <w:top w:val="nil"/>
            <w:left w:val="nil"/>
            <w:bottom w:val="single" w:sz="4" w:space="0" w:color="4F81BD"/>
            <w:right w:val="nil"/>
          </w:tcBorders>
        </w:tcPr>
        <w:p w:rsidR="00431C8F" w:rsidRPr="00A06225" w:rsidRDefault="00431C8F">
          <w:pPr>
            <w:pStyle w:val="Header"/>
            <w:spacing w:line="276" w:lineRule="auto"/>
            <w:rPr>
              <w:rFonts w:ascii="Cambria" w:eastAsia="MS Gothic" w:hAnsi="Cambria"/>
              <w:b/>
              <w:bCs/>
              <w:color w:val="4F81BD"/>
            </w:rPr>
          </w:pPr>
        </w:p>
      </w:tc>
      <w:tc>
        <w:tcPr>
          <w:tcW w:w="333" w:type="pct"/>
          <w:vMerge w:val="restart"/>
          <w:noWrap/>
          <w:vAlign w:val="center"/>
          <w:hideMark/>
        </w:tcPr>
        <w:p w:rsidR="00431C8F" w:rsidRPr="00A06225" w:rsidRDefault="00431C8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31C8F" w:rsidRPr="00A06225" w:rsidRDefault="00431C8F">
          <w:pPr>
            <w:pStyle w:val="Header"/>
            <w:spacing w:line="276" w:lineRule="auto"/>
            <w:rPr>
              <w:rFonts w:ascii="Cambria" w:eastAsia="MS Gothic" w:hAnsi="Cambria"/>
              <w:b/>
              <w:bCs/>
              <w:color w:val="4F81BD"/>
            </w:rPr>
          </w:pPr>
        </w:p>
      </w:tc>
    </w:tr>
    <w:tr w:rsidR="00431C8F" w:rsidRPr="008E0D90" w:rsidTr="00A06225">
      <w:trPr>
        <w:trHeight w:val="150"/>
      </w:trPr>
      <w:tc>
        <w:tcPr>
          <w:tcW w:w="2389" w:type="pct"/>
          <w:tcBorders>
            <w:top w:val="single" w:sz="4" w:space="0" w:color="4F81BD"/>
            <w:left w:val="nil"/>
            <w:bottom w:val="nil"/>
            <w:right w:val="nil"/>
          </w:tcBorders>
        </w:tcPr>
        <w:p w:rsidR="00431C8F" w:rsidRPr="00A06225" w:rsidRDefault="00431C8F">
          <w:pPr>
            <w:pStyle w:val="Header"/>
            <w:spacing w:line="276" w:lineRule="auto"/>
            <w:rPr>
              <w:rFonts w:ascii="Cambria" w:eastAsia="MS Gothic" w:hAnsi="Cambria"/>
              <w:b/>
              <w:bCs/>
              <w:color w:val="4F81BD"/>
            </w:rPr>
          </w:pPr>
        </w:p>
      </w:tc>
      <w:tc>
        <w:tcPr>
          <w:tcW w:w="0" w:type="auto"/>
          <w:vMerge/>
          <w:vAlign w:val="center"/>
          <w:hideMark/>
        </w:tcPr>
        <w:p w:rsidR="00431C8F" w:rsidRPr="00A06225" w:rsidRDefault="00431C8F">
          <w:pPr>
            <w:rPr>
              <w:rFonts w:ascii="Cambria" w:hAnsi="Cambria"/>
              <w:color w:val="4F81BD"/>
              <w:sz w:val="22"/>
              <w:szCs w:val="22"/>
            </w:rPr>
          </w:pPr>
        </w:p>
      </w:tc>
      <w:tc>
        <w:tcPr>
          <w:tcW w:w="2278" w:type="pct"/>
          <w:tcBorders>
            <w:top w:val="single" w:sz="4" w:space="0" w:color="4F81BD"/>
            <w:left w:val="nil"/>
            <w:bottom w:val="nil"/>
            <w:right w:val="nil"/>
          </w:tcBorders>
        </w:tcPr>
        <w:p w:rsidR="00431C8F" w:rsidRPr="00A06225" w:rsidRDefault="00431C8F">
          <w:pPr>
            <w:pStyle w:val="Header"/>
            <w:spacing w:line="276" w:lineRule="auto"/>
            <w:rPr>
              <w:rFonts w:ascii="Cambria" w:eastAsia="MS Gothic" w:hAnsi="Cambria"/>
              <w:b/>
              <w:bCs/>
              <w:color w:val="4F81BD"/>
            </w:rPr>
          </w:pPr>
        </w:p>
      </w:tc>
    </w:tr>
  </w:tbl>
  <w:p w:rsidR="00431C8F" w:rsidRDefault="00431C8F">
    <w:pPr>
      <w:pStyle w:val="Header"/>
    </w:pPr>
  </w:p>
  <w:p w:rsidR="00431C8F" w:rsidRDefault="00431C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C8F" w:rsidRPr="00BC72D5" w:rsidRDefault="003C7AD7" w:rsidP="00BC72D5">
    <w:pPr>
      <w:pStyle w:val="Header"/>
      <w:jc w:val="center"/>
      <w:rPr>
        <w:rFonts w:ascii="Arial" w:hAnsi="Arial" w:cs="Arial"/>
        <w:i/>
        <w:sz w:val="22"/>
        <w:szCs w:val="22"/>
      </w:rPr>
    </w:pPr>
    <w:r>
      <w:rPr>
        <w:rFonts w:ascii="Arial" w:hAnsi="Arial" w:cs="Arial"/>
        <w:i/>
        <w:sz w:val="22"/>
        <w:szCs w:val="22"/>
      </w:rPr>
      <w:t>Public Summary Document</w:t>
    </w:r>
    <w:r w:rsidR="00BC72D5" w:rsidRPr="00BC72D5">
      <w:rPr>
        <w:rFonts w:ascii="Arial" w:hAnsi="Arial" w:cs="Arial"/>
        <w:i/>
        <w:sz w:val="22"/>
        <w:szCs w:val="22"/>
      </w:rPr>
      <w:t xml:space="preserve"> – November 2016 PBAC Meeting</w:t>
    </w:r>
  </w:p>
  <w:p w:rsidR="00431C8F" w:rsidRDefault="00431C8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DF1" w:rsidRDefault="005B0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78ABAFA"/>
    <w:lvl w:ilvl="0">
      <w:start w:val="7"/>
      <w:numFmt w:val="decimal"/>
      <w:pStyle w:val="Heading1"/>
      <w:lvlText w:val="%1"/>
      <w:lvlJc w:val="left"/>
      <w:pPr>
        <w:tabs>
          <w:tab w:val="num" w:pos="643"/>
        </w:tabs>
        <w:ind w:left="643" w:hanging="360"/>
      </w:pPr>
      <w:rPr>
        <w:rFonts w:hint="default"/>
        <w:i w:val="0"/>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8F291A"/>
    <w:multiLevelType w:val="hybridMultilevel"/>
    <w:tmpl w:val="2666775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nsid w:val="026757B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078F351E"/>
    <w:multiLevelType w:val="multilevel"/>
    <w:tmpl w:val="DC38FA78"/>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0">
    <w:nsid w:val="16724A1E"/>
    <w:multiLevelType w:val="hybridMultilevel"/>
    <w:tmpl w:val="4686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218065A6"/>
    <w:multiLevelType w:val="hybridMultilevel"/>
    <w:tmpl w:val="ABB6E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6E25682"/>
    <w:multiLevelType w:val="multilevel"/>
    <w:tmpl w:val="285252C4"/>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6">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F71F01"/>
    <w:multiLevelType w:val="hybridMultilevel"/>
    <w:tmpl w:val="5E56A42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D065B8A"/>
    <w:multiLevelType w:val="hybridMultilevel"/>
    <w:tmpl w:val="F52C5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E81CC5"/>
    <w:multiLevelType w:val="multilevel"/>
    <w:tmpl w:val="64709C1E"/>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08049D1"/>
    <w:multiLevelType w:val="hybridMultilevel"/>
    <w:tmpl w:val="1E8EA2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20A752C"/>
    <w:multiLevelType w:val="hybridMultilevel"/>
    <w:tmpl w:val="C9566F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A7F4697"/>
    <w:multiLevelType w:val="hybridMultilevel"/>
    <w:tmpl w:val="C228233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nsid w:val="6B81101D"/>
    <w:multiLevelType w:val="multilevel"/>
    <w:tmpl w:val="8096805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84D033C"/>
    <w:multiLevelType w:val="multilevel"/>
    <w:tmpl w:val="AF2A744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CC14361"/>
    <w:multiLevelType w:val="multilevel"/>
    <w:tmpl w:val="AF2A744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9"/>
  </w:num>
  <w:num w:numId="4">
    <w:abstractNumId w:val="22"/>
  </w:num>
  <w:num w:numId="5">
    <w:abstractNumId w:val="31"/>
  </w:num>
  <w:num w:numId="6">
    <w:abstractNumId w:val="11"/>
  </w:num>
  <w:num w:numId="7">
    <w:abstractNumId w:val="19"/>
  </w:num>
  <w:num w:numId="8">
    <w:abstractNumId w:val="6"/>
  </w:num>
  <w:num w:numId="9">
    <w:abstractNumId w:val="18"/>
  </w:num>
  <w:num w:numId="10">
    <w:abstractNumId w:val="17"/>
  </w:num>
  <w:num w:numId="11">
    <w:abstractNumId w:val="16"/>
  </w:num>
  <w:num w:numId="12">
    <w:abstractNumId w:val="1"/>
  </w:num>
  <w:num w:numId="13">
    <w:abstractNumId w:val="0"/>
  </w:num>
  <w:num w:numId="14">
    <w:abstractNumId w:val="31"/>
  </w:num>
  <w:num w:numId="15">
    <w:abstractNumId w:val="10"/>
  </w:num>
  <w:num w:numId="16">
    <w:abstractNumId w:val="7"/>
  </w:num>
  <w:num w:numId="17">
    <w:abstractNumId w:val="15"/>
  </w:num>
  <w:num w:numId="18">
    <w:abstractNumId w:val="27"/>
  </w:num>
  <w:num w:numId="19">
    <w:abstractNumId w:val="13"/>
  </w:num>
  <w:num w:numId="20">
    <w:abstractNumId w:val="3"/>
  </w:num>
  <w:num w:numId="21">
    <w:abstractNumId w:val="28"/>
  </w:num>
  <w:num w:numId="22">
    <w:abstractNumId w:val="20"/>
  </w:num>
  <w:num w:numId="23">
    <w:abstractNumId w:val="26"/>
  </w:num>
  <w:num w:numId="24">
    <w:abstractNumId w:val="21"/>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3"/>
  </w:num>
  <w:num w:numId="28">
    <w:abstractNumId w:val="24"/>
  </w:num>
  <w:num w:numId="29">
    <w:abstractNumId w:val="8"/>
  </w:num>
  <w:num w:numId="30">
    <w:abstractNumId w:val="2"/>
  </w:num>
  <w:num w:numId="31">
    <w:abstractNumId w:val="14"/>
  </w:num>
  <w:num w:numId="32">
    <w:abstractNumId w:val="30"/>
  </w:num>
  <w:num w:numId="33">
    <w:abstractNumId w:val="5"/>
  </w:num>
  <w:num w:numId="34">
    <w:abstractNumId w:val="32"/>
  </w:num>
  <w:num w:numId="35">
    <w:abstractNumId w:val="30"/>
  </w:num>
  <w:num w:numId="36">
    <w:abstractNumId w:val="30"/>
  </w:num>
  <w:num w:numId="37">
    <w:abstractNumId w:val="25"/>
  </w:num>
  <w:num w:numId="38">
    <w:abstractNumId w:val="30"/>
  </w:num>
  <w:num w:numId="39">
    <w:abstractNumId w:val="30"/>
  </w:num>
  <w:num w:numId="40">
    <w:abstractNumId w:val="30"/>
  </w:num>
  <w:num w:numId="41">
    <w:abstractNumId w:val="30"/>
  </w:num>
  <w:num w:numId="4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DD1"/>
    <w:rsid w:val="0002464A"/>
    <w:rsid w:val="0003106B"/>
    <w:rsid w:val="00031425"/>
    <w:rsid w:val="000421A1"/>
    <w:rsid w:val="0004240E"/>
    <w:rsid w:val="000431A5"/>
    <w:rsid w:val="00045E26"/>
    <w:rsid w:val="0005002C"/>
    <w:rsid w:val="000514B5"/>
    <w:rsid w:val="00053E4B"/>
    <w:rsid w:val="0005544D"/>
    <w:rsid w:val="00060E64"/>
    <w:rsid w:val="00066755"/>
    <w:rsid w:val="000705F7"/>
    <w:rsid w:val="00077143"/>
    <w:rsid w:val="00082A7A"/>
    <w:rsid w:val="000969AD"/>
    <w:rsid w:val="000B2034"/>
    <w:rsid w:val="000B558D"/>
    <w:rsid w:val="000C6996"/>
    <w:rsid w:val="000C7787"/>
    <w:rsid w:val="000D23BA"/>
    <w:rsid w:val="000E5B32"/>
    <w:rsid w:val="000E681E"/>
    <w:rsid w:val="000F4E6A"/>
    <w:rsid w:val="000F6A4B"/>
    <w:rsid w:val="0011007F"/>
    <w:rsid w:val="001107BF"/>
    <w:rsid w:val="001164A8"/>
    <w:rsid w:val="0012417C"/>
    <w:rsid w:val="0012732F"/>
    <w:rsid w:val="001336FC"/>
    <w:rsid w:val="00142395"/>
    <w:rsid w:val="00142714"/>
    <w:rsid w:val="001452ED"/>
    <w:rsid w:val="001549CC"/>
    <w:rsid w:val="001603DB"/>
    <w:rsid w:val="0016556D"/>
    <w:rsid w:val="00175538"/>
    <w:rsid w:val="001830CE"/>
    <w:rsid w:val="0018344A"/>
    <w:rsid w:val="0018643B"/>
    <w:rsid w:val="0019067F"/>
    <w:rsid w:val="00196307"/>
    <w:rsid w:val="00196963"/>
    <w:rsid w:val="001B017F"/>
    <w:rsid w:val="001B3F27"/>
    <w:rsid w:val="001B5129"/>
    <w:rsid w:val="001B5BA7"/>
    <w:rsid w:val="001C1195"/>
    <w:rsid w:val="001D72C4"/>
    <w:rsid w:val="001E7702"/>
    <w:rsid w:val="00204E0C"/>
    <w:rsid w:val="00213CFB"/>
    <w:rsid w:val="00227435"/>
    <w:rsid w:val="0024228B"/>
    <w:rsid w:val="00251255"/>
    <w:rsid w:val="00254EDB"/>
    <w:rsid w:val="0025562D"/>
    <w:rsid w:val="00262A9A"/>
    <w:rsid w:val="00271BA1"/>
    <w:rsid w:val="002730A9"/>
    <w:rsid w:val="00275F1E"/>
    <w:rsid w:val="00277505"/>
    <w:rsid w:val="002839B3"/>
    <w:rsid w:val="00283B45"/>
    <w:rsid w:val="00291AFD"/>
    <w:rsid w:val="0029458F"/>
    <w:rsid w:val="002A104C"/>
    <w:rsid w:val="002A4960"/>
    <w:rsid w:val="002B1AE6"/>
    <w:rsid w:val="002B30F8"/>
    <w:rsid w:val="002C212F"/>
    <w:rsid w:val="002C4EA5"/>
    <w:rsid w:val="002D629A"/>
    <w:rsid w:val="002E3153"/>
    <w:rsid w:val="002E72CA"/>
    <w:rsid w:val="00300AD6"/>
    <w:rsid w:val="00305692"/>
    <w:rsid w:val="00316F60"/>
    <w:rsid w:val="00317691"/>
    <w:rsid w:val="003233A3"/>
    <w:rsid w:val="00326E79"/>
    <w:rsid w:val="003367EF"/>
    <w:rsid w:val="00341AE4"/>
    <w:rsid w:val="003551F5"/>
    <w:rsid w:val="003563A7"/>
    <w:rsid w:val="00377915"/>
    <w:rsid w:val="003872CF"/>
    <w:rsid w:val="00391C92"/>
    <w:rsid w:val="0039782C"/>
    <w:rsid w:val="003A5B4A"/>
    <w:rsid w:val="003B23C5"/>
    <w:rsid w:val="003B2A75"/>
    <w:rsid w:val="003B3407"/>
    <w:rsid w:val="003B4A52"/>
    <w:rsid w:val="003C53C2"/>
    <w:rsid w:val="003C7AD7"/>
    <w:rsid w:val="003D446F"/>
    <w:rsid w:val="003D4AC4"/>
    <w:rsid w:val="003D63B7"/>
    <w:rsid w:val="003E468B"/>
    <w:rsid w:val="003F1F0A"/>
    <w:rsid w:val="003F5C8C"/>
    <w:rsid w:val="00400485"/>
    <w:rsid w:val="00414CE8"/>
    <w:rsid w:val="00431C8F"/>
    <w:rsid w:val="004465BD"/>
    <w:rsid w:val="00450BAA"/>
    <w:rsid w:val="00466ADA"/>
    <w:rsid w:val="0047008F"/>
    <w:rsid w:val="00471DC7"/>
    <w:rsid w:val="00476245"/>
    <w:rsid w:val="00480D6E"/>
    <w:rsid w:val="00485940"/>
    <w:rsid w:val="004A2484"/>
    <w:rsid w:val="004A5A85"/>
    <w:rsid w:val="004A5CDA"/>
    <w:rsid w:val="004B5640"/>
    <w:rsid w:val="004C1BD7"/>
    <w:rsid w:val="004C362C"/>
    <w:rsid w:val="004C691D"/>
    <w:rsid w:val="004E692D"/>
    <w:rsid w:val="004F7A92"/>
    <w:rsid w:val="0050112B"/>
    <w:rsid w:val="00501554"/>
    <w:rsid w:val="005016A6"/>
    <w:rsid w:val="005038F1"/>
    <w:rsid w:val="005132E3"/>
    <w:rsid w:val="00514CD7"/>
    <w:rsid w:val="00516954"/>
    <w:rsid w:val="00517D85"/>
    <w:rsid w:val="005319B2"/>
    <w:rsid w:val="00532890"/>
    <w:rsid w:val="00532C74"/>
    <w:rsid w:val="00534E2E"/>
    <w:rsid w:val="00535CB2"/>
    <w:rsid w:val="00544392"/>
    <w:rsid w:val="00544552"/>
    <w:rsid w:val="005552B2"/>
    <w:rsid w:val="0055729E"/>
    <w:rsid w:val="00581932"/>
    <w:rsid w:val="00586219"/>
    <w:rsid w:val="005963BB"/>
    <w:rsid w:val="005A3173"/>
    <w:rsid w:val="005A3199"/>
    <w:rsid w:val="005A3223"/>
    <w:rsid w:val="005A3DA3"/>
    <w:rsid w:val="005A4D9A"/>
    <w:rsid w:val="005A52C4"/>
    <w:rsid w:val="005B019D"/>
    <w:rsid w:val="005B0DF1"/>
    <w:rsid w:val="005B15BA"/>
    <w:rsid w:val="005B488F"/>
    <w:rsid w:val="005D03AB"/>
    <w:rsid w:val="005D5017"/>
    <w:rsid w:val="005E12A2"/>
    <w:rsid w:val="00601A91"/>
    <w:rsid w:val="00602BA3"/>
    <w:rsid w:val="00614159"/>
    <w:rsid w:val="006161E5"/>
    <w:rsid w:val="00617C00"/>
    <w:rsid w:val="00623BF6"/>
    <w:rsid w:val="0062532B"/>
    <w:rsid w:val="006263BF"/>
    <w:rsid w:val="0062748A"/>
    <w:rsid w:val="00630A2C"/>
    <w:rsid w:val="00635BD4"/>
    <w:rsid w:val="00643E40"/>
    <w:rsid w:val="00651169"/>
    <w:rsid w:val="006516B8"/>
    <w:rsid w:val="00653D69"/>
    <w:rsid w:val="00653E78"/>
    <w:rsid w:val="00670A76"/>
    <w:rsid w:val="006711AA"/>
    <w:rsid w:val="00672B57"/>
    <w:rsid w:val="00675622"/>
    <w:rsid w:val="006855AA"/>
    <w:rsid w:val="006856F7"/>
    <w:rsid w:val="00686489"/>
    <w:rsid w:val="006906DB"/>
    <w:rsid w:val="006943F2"/>
    <w:rsid w:val="00694D6E"/>
    <w:rsid w:val="006A12A5"/>
    <w:rsid w:val="006B0D94"/>
    <w:rsid w:val="006B485D"/>
    <w:rsid w:val="006C708E"/>
    <w:rsid w:val="006D4C3C"/>
    <w:rsid w:val="006D5953"/>
    <w:rsid w:val="006D6EC7"/>
    <w:rsid w:val="006E588A"/>
    <w:rsid w:val="006F5125"/>
    <w:rsid w:val="0071716E"/>
    <w:rsid w:val="007174BB"/>
    <w:rsid w:val="0072353B"/>
    <w:rsid w:val="00723BB7"/>
    <w:rsid w:val="0073206B"/>
    <w:rsid w:val="00732861"/>
    <w:rsid w:val="00761D7D"/>
    <w:rsid w:val="0076420C"/>
    <w:rsid w:val="007730F7"/>
    <w:rsid w:val="007753C2"/>
    <w:rsid w:val="0077738D"/>
    <w:rsid w:val="007838B8"/>
    <w:rsid w:val="00793156"/>
    <w:rsid w:val="007C0F57"/>
    <w:rsid w:val="007C1485"/>
    <w:rsid w:val="007C2891"/>
    <w:rsid w:val="007C40B6"/>
    <w:rsid w:val="007C729F"/>
    <w:rsid w:val="007D4830"/>
    <w:rsid w:val="007D5780"/>
    <w:rsid w:val="007E1D28"/>
    <w:rsid w:val="007F2641"/>
    <w:rsid w:val="007F54A1"/>
    <w:rsid w:val="007F7C36"/>
    <w:rsid w:val="00800326"/>
    <w:rsid w:val="00805914"/>
    <w:rsid w:val="00806796"/>
    <w:rsid w:val="008151D6"/>
    <w:rsid w:val="00826F6D"/>
    <w:rsid w:val="00832EDF"/>
    <w:rsid w:val="0084522C"/>
    <w:rsid w:val="00856DDD"/>
    <w:rsid w:val="00863E68"/>
    <w:rsid w:val="008717A9"/>
    <w:rsid w:val="00881EFF"/>
    <w:rsid w:val="00882085"/>
    <w:rsid w:val="00883188"/>
    <w:rsid w:val="00887DCD"/>
    <w:rsid w:val="00891CFC"/>
    <w:rsid w:val="00897D58"/>
    <w:rsid w:val="008A050C"/>
    <w:rsid w:val="008A1956"/>
    <w:rsid w:val="008A4937"/>
    <w:rsid w:val="008A50F1"/>
    <w:rsid w:val="008B2936"/>
    <w:rsid w:val="008C1863"/>
    <w:rsid w:val="008D1B5C"/>
    <w:rsid w:val="008D3063"/>
    <w:rsid w:val="008D3C82"/>
    <w:rsid w:val="008D3D05"/>
    <w:rsid w:val="008D447E"/>
    <w:rsid w:val="008D7A41"/>
    <w:rsid w:val="008E0EB1"/>
    <w:rsid w:val="008E3680"/>
    <w:rsid w:val="008E5870"/>
    <w:rsid w:val="008F0155"/>
    <w:rsid w:val="008F1434"/>
    <w:rsid w:val="008F2231"/>
    <w:rsid w:val="008F363D"/>
    <w:rsid w:val="008F7355"/>
    <w:rsid w:val="00901905"/>
    <w:rsid w:val="009067B7"/>
    <w:rsid w:val="009117F4"/>
    <w:rsid w:val="00912B93"/>
    <w:rsid w:val="00915679"/>
    <w:rsid w:val="00930937"/>
    <w:rsid w:val="00933E6C"/>
    <w:rsid w:val="00937053"/>
    <w:rsid w:val="0093760B"/>
    <w:rsid w:val="00942160"/>
    <w:rsid w:val="009554DC"/>
    <w:rsid w:val="009602C5"/>
    <w:rsid w:val="00962223"/>
    <w:rsid w:val="0096234C"/>
    <w:rsid w:val="00967FB8"/>
    <w:rsid w:val="00974648"/>
    <w:rsid w:val="00974C21"/>
    <w:rsid w:val="00977FDD"/>
    <w:rsid w:val="00982830"/>
    <w:rsid w:val="00987963"/>
    <w:rsid w:val="00995816"/>
    <w:rsid w:val="009B0F67"/>
    <w:rsid w:val="009B3C90"/>
    <w:rsid w:val="009C00BB"/>
    <w:rsid w:val="009C1D20"/>
    <w:rsid w:val="009C703C"/>
    <w:rsid w:val="009D210E"/>
    <w:rsid w:val="009D3CAA"/>
    <w:rsid w:val="009E0955"/>
    <w:rsid w:val="009E4923"/>
    <w:rsid w:val="009F4E46"/>
    <w:rsid w:val="009F5B65"/>
    <w:rsid w:val="009F5F2E"/>
    <w:rsid w:val="00A02504"/>
    <w:rsid w:val="00A06225"/>
    <w:rsid w:val="00A128E6"/>
    <w:rsid w:val="00A1377C"/>
    <w:rsid w:val="00A26C70"/>
    <w:rsid w:val="00A37C8D"/>
    <w:rsid w:val="00A40366"/>
    <w:rsid w:val="00A44E89"/>
    <w:rsid w:val="00A5273B"/>
    <w:rsid w:val="00A53A9D"/>
    <w:rsid w:val="00A54D20"/>
    <w:rsid w:val="00A55FEE"/>
    <w:rsid w:val="00A62C1A"/>
    <w:rsid w:val="00A6426D"/>
    <w:rsid w:val="00A70622"/>
    <w:rsid w:val="00A70977"/>
    <w:rsid w:val="00A74950"/>
    <w:rsid w:val="00A8390C"/>
    <w:rsid w:val="00A84180"/>
    <w:rsid w:val="00A90AB9"/>
    <w:rsid w:val="00A928BD"/>
    <w:rsid w:val="00A96E2F"/>
    <w:rsid w:val="00AA1EB3"/>
    <w:rsid w:val="00AA4D1C"/>
    <w:rsid w:val="00AC193C"/>
    <w:rsid w:val="00AC5206"/>
    <w:rsid w:val="00AD6A00"/>
    <w:rsid w:val="00AE11A5"/>
    <w:rsid w:val="00AE13E2"/>
    <w:rsid w:val="00AE3E45"/>
    <w:rsid w:val="00AE4D19"/>
    <w:rsid w:val="00AF0817"/>
    <w:rsid w:val="00AF6603"/>
    <w:rsid w:val="00AF68CC"/>
    <w:rsid w:val="00B02A69"/>
    <w:rsid w:val="00B1059E"/>
    <w:rsid w:val="00B205AA"/>
    <w:rsid w:val="00B217B3"/>
    <w:rsid w:val="00B22E84"/>
    <w:rsid w:val="00B25F75"/>
    <w:rsid w:val="00B43254"/>
    <w:rsid w:val="00B43E04"/>
    <w:rsid w:val="00B43E90"/>
    <w:rsid w:val="00B467DC"/>
    <w:rsid w:val="00B56118"/>
    <w:rsid w:val="00B670D3"/>
    <w:rsid w:val="00B6773F"/>
    <w:rsid w:val="00B801BA"/>
    <w:rsid w:val="00B8293F"/>
    <w:rsid w:val="00BA1894"/>
    <w:rsid w:val="00BA4243"/>
    <w:rsid w:val="00BA60C1"/>
    <w:rsid w:val="00BB69F5"/>
    <w:rsid w:val="00BB7702"/>
    <w:rsid w:val="00BB7EC3"/>
    <w:rsid w:val="00BC4B9A"/>
    <w:rsid w:val="00BC72D5"/>
    <w:rsid w:val="00BD784C"/>
    <w:rsid w:val="00BE5907"/>
    <w:rsid w:val="00BE5DB3"/>
    <w:rsid w:val="00BF11F6"/>
    <w:rsid w:val="00BF4CB6"/>
    <w:rsid w:val="00BF7F57"/>
    <w:rsid w:val="00C00DA7"/>
    <w:rsid w:val="00C0463D"/>
    <w:rsid w:val="00C12768"/>
    <w:rsid w:val="00C27B58"/>
    <w:rsid w:val="00C35996"/>
    <w:rsid w:val="00C3639B"/>
    <w:rsid w:val="00C5342C"/>
    <w:rsid w:val="00C54BAB"/>
    <w:rsid w:val="00C575A7"/>
    <w:rsid w:val="00C603D4"/>
    <w:rsid w:val="00C6256A"/>
    <w:rsid w:val="00C6533A"/>
    <w:rsid w:val="00C91449"/>
    <w:rsid w:val="00C92D10"/>
    <w:rsid w:val="00CA6A46"/>
    <w:rsid w:val="00CB7420"/>
    <w:rsid w:val="00CD51A2"/>
    <w:rsid w:val="00CE10C4"/>
    <w:rsid w:val="00CE1351"/>
    <w:rsid w:val="00CE15A1"/>
    <w:rsid w:val="00CE27B5"/>
    <w:rsid w:val="00D029D1"/>
    <w:rsid w:val="00D0321E"/>
    <w:rsid w:val="00D05808"/>
    <w:rsid w:val="00D1455A"/>
    <w:rsid w:val="00D3138B"/>
    <w:rsid w:val="00D3280C"/>
    <w:rsid w:val="00D332C8"/>
    <w:rsid w:val="00D3406A"/>
    <w:rsid w:val="00D469B2"/>
    <w:rsid w:val="00D601FD"/>
    <w:rsid w:val="00D741EB"/>
    <w:rsid w:val="00D84934"/>
    <w:rsid w:val="00D91271"/>
    <w:rsid w:val="00D94709"/>
    <w:rsid w:val="00DA1DD9"/>
    <w:rsid w:val="00DA2CB5"/>
    <w:rsid w:val="00DA4BAC"/>
    <w:rsid w:val="00DD2987"/>
    <w:rsid w:val="00DE1D0B"/>
    <w:rsid w:val="00DE205D"/>
    <w:rsid w:val="00DE6D27"/>
    <w:rsid w:val="00DF1BFB"/>
    <w:rsid w:val="00DF217D"/>
    <w:rsid w:val="00DF26A7"/>
    <w:rsid w:val="00DF6D04"/>
    <w:rsid w:val="00E00C95"/>
    <w:rsid w:val="00E15627"/>
    <w:rsid w:val="00E164B3"/>
    <w:rsid w:val="00E16910"/>
    <w:rsid w:val="00E17D6F"/>
    <w:rsid w:val="00E3004E"/>
    <w:rsid w:val="00E339EA"/>
    <w:rsid w:val="00E42617"/>
    <w:rsid w:val="00E51BD4"/>
    <w:rsid w:val="00E52EB7"/>
    <w:rsid w:val="00E65E54"/>
    <w:rsid w:val="00E7302C"/>
    <w:rsid w:val="00E80155"/>
    <w:rsid w:val="00E848C0"/>
    <w:rsid w:val="00E85F4A"/>
    <w:rsid w:val="00E8647F"/>
    <w:rsid w:val="00E9191D"/>
    <w:rsid w:val="00E91B96"/>
    <w:rsid w:val="00E941A1"/>
    <w:rsid w:val="00E95CE3"/>
    <w:rsid w:val="00EA2825"/>
    <w:rsid w:val="00EA54B1"/>
    <w:rsid w:val="00EB5088"/>
    <w:rsid w:val="00ED1644"/>
    <w:rsid w:val="00ED2593"/>
    <w:rsid w:val="00ED2EF3"/>
    <w:rsid w:val="00ED3B0E"/>
    <w:rsid w:val="00EF3D97"/>
    <w:rsid w:val="00EF44A0"/>
    <w:rsid w:val="00EF4FED"/>
    <w:rsid w:val="00F02BD7"/>
    <w:rsid w:val="00F050BD"/>
    <w:rsid w:val="00F05657"/>
    <w:rsid w:val="00F109DE"/>
    <w:rsid w:val="00F1234F"/>
    <w:rsid w:val="00F25578"/>
    <w:rsid w:val="00F258E5"/>
    <w:rsid w:val="00F300BC"/>
    <w:rsid w:val="00F3334E"/>
    <w:rsid w:val="00F36998"/>
    <w:rsid w:val="00F50EC4"/>
    <w:rsid w:val="00F57A6D"/>
    <w:rsid w:val="00F57F2C"/>
    <w:rsid w:val="00F638CC"/>
    <w:rsid w:val="00F64CC1"/>
    <w:rsid w:val="00F8247A"/>
    <w:rsid w:val="00F83E05"/>
    <w:rsid w:val="00F94738"/>
    <w:rsid w:val="00F9629A"/>
    <w:rsid w:val="00FA03C5"/>
    <w:rsid w:val="00FA35FA"/>
    <w:rsid w:val="00FA5883"/>
    <w:rsid w:val="00FA6055"/>
    <w:rsid w:val="00FA6ACC"/>
    <w:rsid w:val="00FB322F"/>
    <w:rsid w:val="00FB442F"/>
    <w:rsid w:val="00FC1929"/>
    <w:rsid w:val="00FC5B46"/>
    <w:rsid w:val="00FD0784"/>
    <w:rsid w:val="00FD67D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32"/>
      </w:numPr>
      <w:outlineLvl w:val="0"/>
    </w:pPr>
    <w:rPr>
      <w:rFonts w:ascii="Arial" w:hAnsi="Arial" w:cs="Arial"/>
      <w:b/>
      <w:snapToGrid w:val="0"/>
      <w:sz w:val="22"/>
      <w:szCs w:val="22"/>
      <w:lang w:eastAsia="en-US"/>
    </w:rPr>
  </w:style>
  <w:style w:type="paragraph" w:customStyle="1" w:styleId="Char">
    <w:name w:val="Char"/>
    <w:basedOn w:val="Normal"/>
    <w:rsid w:val="00653E78"/>
    <w:pPr>
      <w:spacing w:after="160" w:line="240" w:lineRule="exact"/>
    </w:pPr>
    <w:rPr>
      <w:rFonts w:ascii="Verdana" w:eastAsia="MS Mincho" w:hAnsi="Verdana" w:cs="Verdana"/>
      <w:sz w:val="20"/>
      <w:szCs w:val="20"/>
      <w:lang w:val="en-US" w:eastAsia="en-US"/>
    </w:rPr>
  </w:style>
  <w:style w:type="paragraph" w:customStyle="1" w:styleId="Table">
    <w:name w:val="Table"/>
    <w:basedOn w:val="Normal"/>
    <w:link w:val="TableChar"/>
    <w:qFormat/>
    <w:rsid w:val="007D4830"/>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7D4830"/>
    <w:rPr>
      <w:rFonts w:ascii="Candara" w:eastAsiaTheme="majorEastAsia" w:hAnsi="Candara" w:cstheme="majorBidi"/>
      <w:szCs w:val="22"/>
      <w:lang w:eastAsia="en-US" w:bidi="en-US"/>
    </w:rPr>
  </w:style>
  <w:style w:type="character" w:customStyle="1" w:styleId="FontSuperscript">
    <w:name w:val="Font Superscript"/>
    <w:basedOn w:val="DefaultParagraphFont"/>
    <w:uiPriority w:val="1"/>
    <w:qFormat/>
    <w:rsid w:val="007D4830"/>
    <w:rPr>
      <w:rFonts w:ascii="Calibri" w:hAnsi="Calibri"/>
      <w:sz w:val="24"/>
      <w:vertAlign w:val="superscript"/>
    </w:rPr>
  </w:style>
  <w:style w:type="character" w:customStyle="1" w:styleId="Small">
    <w:name w:val="Small"/>
    <w:basedOn w:val="DefaultParagraphFont"/>
    <w:uiPriority w:val="4"/>
    <w:qFormat/>
    <w:rsid w:val="006516B8"/>
    <w:rPr>
      <w:rFonts w:ascii="Candara" w:hAnsi="Candara"/>
      <w:sz w:val="20"/>
    </w:rPr>
  </w:style>
  <w:style w:type="character" w:customStyle="1" w:styleId="SmallBold">
    <w:name w:val="Small Bold"/>
    <w:basedOn w:val="Small"/>
    <w:uiPriority w:val="4"/>
    <w:qFormat/>
    <w:rsid w:val="00C575A7"/>
    <w:rPr>
      <w:rFonts w:ascii="Candara" w:hAnsi="Candara"/>
      <w:b/>
      <w:sz w:val="20"/>
      <w:lang w:val="en-AU"/>
    </w:rPr>
  </w:style>
  <w:style w:type="paragraph" w:styleId="Caption">
    <w:name w:val="caption"/>
    <w:basedOn w:val="Normal"/>
    <w:next w:val="Normal"/>
    <w:link w:val="CaptionChar"/>
    <w:uiPriority w:val="99"/>
    <w:qFormat/>
    <w:rsid w:val="004C362C"/>
    <w:pPr>
      <w:spacing w:after="200"/>
    </w:pPr>
    <w:rPr>
      <w:rFonts w:ascii="Candara" w:eastAsiaTheme="majorEastAsia" w:hAnsi="Candara" w:cstheme="majorBidi"/>
      <w:b/>
      <w:bCs/>
      <w:szCs w:val="18"/>
      <w:lang w:eastAsia="en-US" w:bidi="en-US"/>
    </w:rPr>
  </w:style>
  <w:style w:type="character" w:customStyle="1" w:styleId="CaptionChar">
    <w:name w:val="Caption Char"/>
    <w:basedOn w:val="DefaultParagraphFont"/>
    <w:link w:val="Caption"/>
    <w:uiPriority w:val="99"/>
    <w:rsid w:val="004C362C"/>
    <w:rPr>
      <w:rFonts w:ascii="Candara" w:eastAsiaTheme="majorEastAsia" w:hAnsi="Candara" w:cstheme="majorBidi"/>
      <w:b/>
      <w:bCs/>
      <w:sz w:val="24"/>
      <w:szCs w:val="18"/>
      <w:lang w:eastAsia="en-US" w:bidi="en-US"/>
    </w:rPr>
  </w:style>
  <w:style w:type="paragraph" w:customStyle="1" w:styleId="CaptionFootnote">
    <w:name w:val="Caption Footnote"/>
    <w:basedOn w:val="Caption"/>
    <w:next w:val="Normal"/>
    <w:qFormat/>
    <w:rsid w:val="004C362C"/>
    <w:pPr>
      <w:widowControl w:val="0"/>
      <w:spacing w:after="0"/>
    </w:pPr>
    <w:rPr>
      <w:b w:val="0"/>
      <w:sz w:val="16"/>
    </w:rPr>
  </w:style>
  <w:style w:type="paragraph" w:customStyle="1" w:styleId="TableBullets">
    <w:name w:val="Table Bullets"/>
    <w:basedOn w:val="Table"/>
    <w:uiPriority w:val="5"/>
    <w:qFormat/>
    <w:rsid w:val="0050112B"/>
    <w:pPr>
      <w:numPr>
        <w:numId w:val="23"/>
      </w:numPr>
      <w:ind w:left="357" w:hanging="357"/>
    </w:pPr>
  </w:style>
  <w:style w:type="paragraph" w:styleId="FootnoteText">
    <w:name w:val="footnote text"/>
    <w:basedOn w:val="Normal"/>
    <w:link w:val="FootnoteTextChar"/>
    <w:rsid w:val="00A90AB9"/>
    <w:rPr>
      <w:sz w:val="20"/>
      <w:szCs w:val="20"/>
    </w:rPr>
  </w:style>
  <w:style w:type="character" w:customStyle="1" w:styleId="FootnoteTextChar">
    <w:name w:val="Footnote Text Char"/>
    <w:basedOn w:val="DefaultParagraphFont"/>
    <w:link w:val="FootnoteText"/>
    <w:rsid w:val="00A90AB9"/>
  </w:style>
  <w:style w:type="character" w:styleId="FootnoteReference">
    <w:name w:val="footnote reference"/>
    <w:basedOn w:val="DefaultParagraphFont"/>
    <w:rsid w:val="00A90AB9"/>
    <w:rPr>
      <w:vertAlign w:val="superscript"/>
    </w:rPr>
  </w:style>
  <w:style w:type="character" w:styleId="FollowedHyperlink">
    <w:name w:val="FollowedHyperlink"/>
    <w:basedOn w:val="DefaultParagraphFont"/>
    <w:rsid w:val="003D446F"/>
    <w:rPr>
      <w:color w:val="800080" w:themeColor="followedHyperlink"/>
      <w:u w:val="single"/>
    </w:rPr>
  </w:style>
  <w:style w:type="paragraph" w:styleId="Revision">
    <w:name w:val="Revision"/>
    <w:hidden/>
    <w:uiPriority w:val="71"/>
    <w:rsid w:val="00A54D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32"/>
      </w:numPr>
      <w:outlineLvl w:val="0"/>
    </w:pPr>
    <w:rPr>
      <w:rFonts w:ascii="Arial" w:hAnsi="Arial" w:cs="Arial"/>
      <w:b/>
      <w:snapToGrid w:val="0"/>
      <w:sz w:val="22"/>
      <w:szCs w:val="22"/>
      <w:lang w:eastAsia="en-US"/>
    </w:rPr>
  </w:style>
  <w:style w:type="paragraph" w:customStyle="1" w:styleId="Char">
    <w:name w:val="Char"/>
    <w:basedOn w:val="Normal"/>
    <w:rsid w:val="00653E78"/>
    <w:pPr>
      <w:spacing w:after="160" w:line="240" w:lineRule="exact"/>
    </w:pPr>
    <w:rPr>
      <w:rFonts w:ascii="Verdana" w:eastAsia="MS Mincho" w:hAnsi="Verdana" w:cs="Verdana"/>
      <w:sz w:val="20"/>
      <w:szCs w:val="20"/>
      <w:lang w:val="en-US" w:eastAsia="en-US"/>
    </w:rPr>
  </w:style>
  <w:style w:type="paragraph" w:customStyle="1" w:styleId="Table">
    <w:name w:val="Table"/>
    <w:basedOn w:val="Normal"/>
    <w:link w:val="TableChar"/>
    <w:qFormat/>
    <w:rsid w:val="007D4830"/>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7D4830"/>
    <w:rPr>
      <w:rFonts w:ascii="Candara" w:eastAsiaTheme="majorEastAsia" w:hAnsi="Candara" w:cstheme="majorBidi"/>
      <w:szCs w:val="22"/>
      <w:lang w:eastAsia="en-US" w:bidi="en-US"/>
    </w:rPr>
  </w:style>
  <w:style w:type="character" w:customStyle="1" w:styleId="FontSuperscript">
    <w:name w:val="Font Superscript"/>
    <w:basedOn w:val="DefaultParagraphFont"/>
    <w:uiPriority w:val="1"/>
    <w:qFormat/>
    <w:rsid w:val="007D4830"/>
    <w:rPr>
      <w:rFonts w:ascii="Calibri" w:hAnsi="Calibri"/>
      <w:sz w:val="24"/>
      <w:vertAlign w:val="superscript"/>
    </w:rPr>
  </w:style>
  <w:style w:type="character" w:customStyle="1" w:styleId="Small">
    <w:name w:val="Small"/>
    <w:basedOn w:val="DefaultParagraphFont"/>
    <w:uiPriority w:val="4"/>
    <w:qFormat/>
    <w:rsid w:val="006516B8"/>
    <w:rPr>
      <w:rFonts w:ascii="Candara" w:hAnsi="Candara"/>
      <w:sz w:val="20"/>
    </w:rPr>
  </w:style>
  <w:style w:type="character" w:customStyle="1" w:styleId="SmallBold">
    <w:name w:val="Small Bold"/>
    <w:basedOn w:val="Small"/>
    <w:uiPriority w:val="4"/>
    <w:qFormat/>
    <w:rsid w:val="00C575A7"/>
    <w:rPr>
      <w:rFonts w:ascii="Candara" w:hAnsi="Candara"/>
      <w:b/>
      <w:sz w:val="20"/>
      <w:lang w:val="en-AU"/>
    </w:rPr>
  </w:style>
  <w:style w:type="paragraph" w:styleId="Caption">
    <w:name w:val="caption"/>
    <w:basedOn w:val="Normal"/>
    <w:next w:val="Normal"/>
    <w:link w:val="CaptionChar"/>
    <w:uiPriority w:val="99"/>
    <w:qFormat/>
    <w:rsid w:val="004C362C"/>
    <w:pPr>
      <w:spacing w:after="200"/>
    </w:pPr>
    <w:rPr>
      <w:rFonts w:ascii="Candara" w:eastAsiaTheme="majorEastAsia" w:hAnsi="Candara" w:cstheme="majorBidi"/>
      <w:b/>
      <w:bCs/>
      <w:szCs w:val="18"/>
      <w:lang w:eastAsia="en-US" w:bidi="en-US"/>
    </w:rPr>
  </w:style>
  <w:style w:type="character" w:customStyle="1" w:styleId="CaptionChar">
    <w:name w:val="Caption Char"/>
    <w:basedOn w:val="DefaultParagraphFont"/>
    <w:link w:val="Caption"/>
    <w:uiPriority w:val="99"/>
    <w:rsid w:val="004C362C"/>
    <w:rPr>
      <w:rFonts w:ascii="Candara" w:eastAsiaTheme="majorEastAsia" w:hAnsi="Candara" w:cstheme="majorBidi"/>
      <w:b/>
      <w:bCs/>
      <w:sz w:val="24"/>
      <w:szCs w:val="18"/>
      <w:lang w:eastAsia="en-US" w:bidi="en-US"/>
    </w:rPr>
  </w:style>
  <w:style w:type="paragraph" w:customStyle="1" w:styleId="CaptionFootnote">
    <w:name w:val="Caption Footnote"/>
    <w:basedOn w:val="Caption"/>
    <w:next w:val="Normal"/>
    <w:qFormat/>
    <w:rsid w:val="004C362C"/>
    <w:pPr>
      <w:widowControl w:val="0"/>
      <w:spacing w:after="0"/>
    </w:pPr>
    <w:rPr>
      <w:b w:val="0"/>
      <w:sz w:val="16"/>
    </w:rPr>
  </w:style>
  <w:style w:type="paragraph" w:customStyle="1" w:styleId="TableBullets">
    <w:name w:val="Table Bullets"/>
    <w:basedOn w:val="Table"/>
    <w:uiPriority w:val="5"/>
    <w:qFormat/>
    <w:rsid w:val="0050112B"/>
    <w:pPr>
      <w:numPr>
        <w:numId w:val="23"/>
      </w:numPr>
      <w:ind w:left="357" w:hanging="357"/>
    </w:pPr>
  </w:style>
  <w:style w:type="paragraph" w:styleId="FootnoteText">
    <w:name w:val="footnote text"/>
    <w:basedOn w:val="Normal"/>
    <w:link w:val="FootnoteTextChar"/>
    <w:rsid w:val="00A90AB9"/>
    <w:rPr>
      <w:sz w:val="20"/>
      <w:szCs w:val="20"/>
    </w:rPr>
  </w:style>
  <w:style w:type="character" w:customStyle="1" w:styleId="FootnoteTextChar">
    <w:name w:val="Footnote Text Char"/>
    <w:basedOn w:val="DefaultParagraphFont"/>
    <w:link w:val="FootnoteText"/>
    <w:rsid w:val="00A90AB9"/>
  </w:style>
  <w:style w:type="character" w:styleId="FootnoteReference">
    <w:name w:val="footnote reference"/>
    <w:basedOn w:val="DefaultParagraphFont"/>
    <w:rsid w:val="00A90AB9"/>
    <w:rPr>
      <w:vertAlign w:val="superscript"/>
    </w:rPr>
  </w:style>
  <w:style w:type="character" w:styleId="FollowedHyperlink">
    <w:name w:val="FollowedHyperlink"/>
    <w:basedOn w:val="DefaultParagraphFont"/>
    <w:rsid w:val="003D446F"/>
    <w:rPr>
      <w:color w:val="800080" w:themeColor="followedHyperlink"/>
      <w:u w:val="single"/>
    </w:rPr>
  </w:style>
  <w:style w:type="paragraph" w:styleId="Revision">
    <w:name w:val="Revision"/>
    <w:hidden/>
    <w:uiPriority w:val="71"/>
    <w:rsid w:val="00A54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9766711">
      <w:bodyDiv w:val="1"/>
      <w:marLeft w:val="0"/>
      <w:marRight w:val="0"/>
      <w:marTop w:val="0"/>
      <w:marBottom w:val="0"/>
      <w:divBdr>
        <w:top w:val="none" w:sz="0" w:space="0" w:color="auto"/>
        <w:left w:val="none" w:sz="0" w:space="0" w:color="auto"/>
        <w:bottom w:val="none" w:sz="0" w:space="0" w:color="auto"/>
        <w:right w:val="none" w:sz="0" w:space="0" w:color="auto"/>
      </w:divBdr>
    </w:div>
    <w:div w:id="49106616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Pha15</b:Tag>
    <b:SourceType>Misc</b:SourceType>
    <b:Guid>{DDAD1FDD-0397-4629-8B73-FE3D6FCCBCE4}</b:Guid>
    <b:Author>
      <b:Author>
        <b:Corporate>Pharmacy Board of Australia</b:Corporate>
      </b:Author>
    </b:Author>
    <b:Title>Guidelines for Dispensing of Medicines</b:Title>
    <b:Year>2015</b:Year>
    <b:Month>September</b:Month>
    <b:RefOrder>8</b:RefOrder>
  </b:Source>
  <b:Source>
    <b:Tag>Asp12</b:Tag>
    <b:SourceType>Book</b:SourceType>
    <b:Guid>{D9E0FE8A-F419-4C72-9F33-F80A49C7813A}</b:Guid>
    <b:Title>Warfarin, Important information for patients</b:Title>
    <b:Year>2012</b:Year>
    <b:Author>
      <b:Author>
        <b:Corporate>Aspen Pharma Pty Ltd</b:Corporate>
      </b:Author>
    </b:Author>
    <b:RefOrder>9</b:RefOrder>
  </b:Source>
</b:Sources>
</file>

<file path=customXml/itemProps1.xml><?xml version="1.0" encoding="utf-8"?>
<ds:datastoreItem xmlns:ds="http://schemas.openxmlformats.org/officeDocument/2006/customXml" ds:itemID="{08E7342D-4D98-4C16-88F8-5BB84682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2923</Words>
  <Characters>18457</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2017-02-06T23:28:00Z</dcterms:created>
  <dcterms:modified xsi:type="dcterms:W3CDTF">2017-02-16T22:52:00Z</dcterms:modified>
</cp:coreProperties>
</file>