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DB7FE9" w:rsidRDefault="00D50532" w:rsidP="009D65D4">
      <w:pPr>
        <w:pStyle w:val="Title"/>
        <w:spacing w:after="0"/>
        <w:ind w:left="709" w:hanging="709"/>
        <w:rPr>
          <w:szCs w:val="28"/>
        </w:rPr>
      </w:pPr>
      <w:bookmarkStart w:id="0" w:name="_GoBack"/>
      <w:bookmarkEnd w:id="0"/>
      <w:r w:rsidRPr="00EB6EFC">
        <w:rPr>
          <w:szCs w:val="28"/>
        </w:rPr>
        <w:t>7</w:t>
      </w:r>
      <w:r w:rsidR="0004240E" w:rsidRPr="00EB6EFC">
        <w:rPr>
          <w:szCs w:val="28"/>
        </w:rPr>
        <w:t>.</w:t>
      </w:r>
      <w:r w:rsidRPr="00EB6EFC">
        <w:rPr>
          <w:szCs w:val="28"/>
        </w:rPr>
        <w:t>20</w:t>
      </w:r>
      <w:r w:rsidR="007C0F57" w:rsidRPr="00EB6EFC">
        <w:rPr>
          <w:szCs w:val="28"/>
        </w:rPr>
        <w:tab/>
      </w:r>
      <w:r w:rsidR="00557F32" w:rsidRPr="00EB6EFC">
        <w:rPr>
          <w:szCs w:val="28"/>
        </w:rPr>
        <w:t>VISMODEGIB</w:t>
      </w:r>
      <w:r w:rsidR="008A50F1" w:rsidRPr="00EB6EFC">
        <w:rPr>
          <w:szCs w:val="28"/>
        </w:rPr>
        <w:br/>
      </w:r>
      <w:r w:rsidR="00365B74" w:rsidRPr="00EB6EFC">
        <w:rPr>
          <w:szCs w:val="28"/>
        </w:rPr>
        <w:t>C</w:t>
      </w:r>
      <w:r w:rsidR="004F0C22" w:rsidRPr="00EB6EFC">
        <w:rPr>
          <w:szCs w:val="28"/>
        </w:rPr>
        <w:t>apsule</w:t>
      </w:r>
      <w:r w:rsidR="0004240E" w:rsidRPr="00EB6EFC">
        <w:rPr>
          <w:szCs w:val="28"/>
        </w:rPr>
        <w:t xml:space="preserve">, </w:t>
      </w:r>
      <w:r w:rsidR="004F0C22" w:rsidRPr="00EB6EFC">
        <w:rPr>
          <w:szCs w:val="28"/>
        </w:rPr>
        <w:t>150 mg</w:t>
      </w:r>
      <w:r w:rsidR="0004240E" w:rsidRPr="00EB6EFC">
        <w:rPr>
          <w:szCs w:val="28"/>
        </w:rPr>
        <w:t>,</w:t>
      </w:r>
      <w:r w:rsidR="008A50F1" w:rsidRPr="00EB6EFC">
        <w:rPr>
          <w:szCs w:val="28"/>
        </w:rPr>
        <w:br/>
      </w:r>
      <w:r w:rsidR="00557F32" w:rsidRPr="00EB6EFC">
        <w:rPr>
          <w:szCs w:val="28"/>
        </w:rPr>
        <w:t>ERIVEDGE</w:t>
      </w:r>
      <w:r w:rsidR="0004240E" w:rsidRPr="00EB6EFC">
        <w:rPr>
          <w:szCs w:val="28"/>
          <w:vertAlign w:val="superscript"/>
        </w:rPr>
        <w:t>®</w:t>
      </w:r>
      <w:r w:rsidR="00E632A3">
        <w:rPr>
          <w:szCs w:val="28"/>
        </w:rPr>
        <w:t>,</w:t>
      </w:r>
      <w:r w:rsidR="003B0A99">
        <w:rPr>
          <w:szCs w:val="28"/>
        </w:rPr>
        <w:br/>
      </w:r>
      <w:r w:rsidR="00557F32" w:rsidRPr="00EB6EFC">
        <w:rPr>
          <w:szCs w:val="28"/>
        </w:rPr>
        <w:t>Roche Products Pty Ltd</w:t>
      </w:r>
      <w:r w:rsidR="003B0A99">
        <w:rPr>
          <w:szCs w:val="28"/>
        </w:rPr>
        <w:t>.</w:t>
      </w:r>
    </w:p>
    <w:p w:rsidR="00C27B58" w:rsidRDefault="00C27B58" w:rsidP="00C27B58">
      <w:pPr>
        <w:pStyle w:val="NoSpacing"/>
      </w:pPr>
    </w:p>
    <w:p w:rsidR="00DB7FE9" w:rsidRPr="00EB6EFC" w:rsidRDefault="00DB7FE9" w:rsidP="00C27B58">
      <w:pPr>
        <w:pStyle w:val="NoSpacing"/>
      </w:pPr>
    </w:p>
    <w:p w:rsidR="00E15627" w:rsidRPr="00EB6EFC" w:rsidRDefault="00CE10C4" w:rsidP="00E15627">
      <w:pPr>
        <w:pStyle w:val="PBACHeading1"/>
      </w:pPr>
      <w:r w:rsidRPr="00EB6EFC">
        <w:t xml:space="preserve">Purpose of </w:t>
      </w:r>
      <w:r w:rsidR="0004240E" w:rsidRPr="00EB6EFC">
        <w:t>Application</w:t>
      </w:r>
    </w:p>
    <w:p w:rsidR="008A50F1" w:rsidRPr="00EB6EFC" w:rsidRDefault="008A50F1" w:rsidP="00E15627"/>
    <w:p w:rsidR="004370E7" w:rsidRDefault="00EF44A0" w:rsidP="004370E7">
      <w:pPr>
        <w:pStyle w:val="ListParagraph"/>
        <w:numPr>
          <w:ilvl w:val="1"/>
          <w:numId w:val="5"/>
        </w:numPr>
      </w:pPr>
      <w:r w:rsidRPr="00EB6EFC">
        <w:rPr>
          <w:szCs w:val="22"/>
        </w:rPr>
        <w:t>The mi</w:t>
      </w:r>
      <w:r w:rsidR="00FF2801" w:rsidRPr="00EB6EFC">
        <w:rPr>
          <w:szCs w:val="22"/>
        </w:rPr>
        <w:t xml:space="preserve">nor </w:t>
      </w:r>
      <w:r w:rsidR="004F0C22" w:rsidRPr="00EB6EFC">
        <w:rPr>
          <w:szCs w:val="22"/>
        </w:rPr>
        <w:t>re</w:t>
      </w:r>
      <w:r w:rsidR="00FF2801" w:rsidRPr="00EB6EFC">
        <w:rPr>
          <w:szCs w:val="22"/>
        </w:rPr>
        <w:t xml:space="preserve">submission </w:t>
      </w:r>
      <w:r w:rsidR="00DA7AF3" w:rsidRPr="00EB6EFC">
        <w:rPr>
          <w:szCs w:val="22"/>
        </w:rPr>
        <w:t xml:space="preserve">requested </w:t>
      </w:r>
      <w:r w:rsidR="007414FC">
        <w:rPr>
          <w:szCs w:val="22"/>
        </w:rPr>
        <w:t xml:space="preserve">a change to the basis </w:t>
      </w:r>
      <w:r w:rsidR="00A557CC">
        <w:rPr>
          <w:szCs w:val="22"/>
        </w:rPr>
        <w:t>on</w:t>
      </w:r>
      <w:r w:rsidR="007414FC">
        <w:rPr>
          <w:szCs w:val="22"/>
        </w:rPr>
        <w:t xml:space="preserve"> which the PBAC recommended </w:t>
      </w:r>
      <w:r w:rsidR="00623E07">
        <w:rPr>
          <w:szCs w:val="22"/>
        </w:rPr>
        <w:t xml:space="preserve">a </w:t>
      </w:r>
      <w:r w:rsidR="00DA7AF3" w:rsidRPr="00EB6EFC">
        <w:rPr>
          <w:szCs w:val="22"/>
        </w:rPr>
        <w:t xml:space="preserve">General Schedule, </w:t>
      </w:r>
      <w:r w:rsidR="00DA7AF3" w:rsidRPr="00EB6EFC">
        <w:t>Authority Required listing for vismodegib for</w:t>
      </w:r>
      <w:r w:rsidR="0044410C" w:rsidRPr="00EB6EFC">
        <w:t xml:space="preserve"> the</w:t>
      </w:r>
      <w:r w:rsidR="00DA7AF3" w:rsidRPr="00EB6EFC">
        <w:t xml:space="preserve"> treatment of adult patients with metastatic or locally advanced basal cell carcinoma (BCC) where surgery and radiotherapy are not appropriate.</w:t>
      </w:r>
    </w:p>
    <w:p w:rsidR="004370E7" w:rsidRDefault="004370E7" w:rsidP="004370E7">
      <w:pPr>
        <w:pStyle w:val="ListParagraph"/>
      </w:pPr>
    </w:p>
    <w:p w:rsidR="00EF44A0" w:rsidRDefault="00DA7AF3" w:rsidP="00F5500D">
      <w:pPr>
        <w:pStyle w:val="ListParagraph"/>
        <w:numPr>
          <w:ilvl w:val="1"/>
          <w:numId w:val="5"/>
        </w:numPr>
      </w:pPr>
      <w:r w:rsidRPr="00EB6EFC">
        <w:t xml:space="preserve">The resubmission </w:t>
      </w:r>
      <w:r w:rsidR="007414FC">
        <w:t xml:space="preserve">requested a </w:t>
      </w:r>
      <w:r w:rsidR="005102E2">
        <w:t>change to the model inputs on which the PBAC based its</w:t>
      </w:r>
      <w:r w:rsidR="00D070E4">
        <w:t xml:space="preserve"> </w:t>
      </w:r>
      <w:r w:rsidR="00423079">
        <w:t>previous recommendation</w:t>
      </w:r>
      <w:r w:rsidR="00D070E4">
        <w:t xml:space="preserve"> </w:t>
      </w:r>
      <w:r w:rsidR="005102E2">
        <w:rPr>
          <w:szCs w:val="22"/>
        </w:rPr>
        <w:t>at</w:t>
      </w:r>
      <w:r w:rsidR="004F0C22" w:rsidRPr="00EB6EFC">
        <w:t xml:space="preserve"> the</w:t>
      </w:r>
      <w:r w:rsidR="00CA47EC" w:rsidRPr="00EB6EFC">
        <w:t xml:space="preserve"> </w:t>
      </w:r>
      <w:r w:rsidR="004F0C22" w:rsidRPr="00EB6EFC">
        <w:t>March 2016</w:t>
      </w:r>
      <w:r w:rsidR="005102E2">
        <w:t xml:space="preserve"> meeting</w:t>
      </w:r>
      <w:r w:rsidR="004F0C22" w:rsidRPr="00EB6EFC">
        <w:t>.</w:t>
      </w:r>
    </w:p>
    <w:p w:rsidR="004370E7" w:rsidRDefault="004370E7" w:rsidP="004370E7">
      <w:pPr>
        <w:pStyle w:val="ListParagraph"/>
      </w:pPr>
    </w:p>
    <w:p w:rsidR="004370E7" w:rsidRPr="00EB6EFC" w:rsidRDefault="004370E7" w:rsidP="004370E7">
      <w:pPr>
        <w:pStyle w:val="ListParagraph"/>
      </w:pPr>
    </w:p>
    <w:p w:rsidR="00C45D3D" w:rsidRPr="00EB6EFC" w:rsidRDefault="00C45D3D" w:rsidP="008A50F1">
      <w:pPr>
        <w:pStyle w:val="PBACHeading1"/>
      </w:pPr>
      <w:r w:rsidRPr="00EB6EFC">
        <w:t>Requested listing</w:t>
      </w:r>
    </w:p>
    <w:p w:rsidR="00C45D3D" w:rsidRPr="00EB6EFC" w:rsidRDefault="00C45D3D" w:rsidP="00C45D3D">
      <w:pPr>
        <w:pStyle w:val="ListParagraph"/>
        <w:widowControl/>
        <w:rPr>
          <w:szCs w:val="22"/>
        </w:rPr>
      </w:pPr>
    </w:p>
    <w:p w:rsidR="00C45D3D" w:rsidRPr="00EB6EFC" w:rsidRDefault="00C45D3D" w:rsidP="00C45D3D">
      <w:pPr>
        <w:pStyle w:val="ListParagraph"/>
        <w:widowControl/>
        <w:numPr>
          <w:ilvl w:val="1"/>
          <w:numId w:val="14"/>
        </w:numPr>
        <w:rPr>
          <w:szCs w:val="22"/>
        </w:rPr>
      </w:pPr>
      <w:r w:rsidRPr="00EB6EFC">
        <w:rPr>
          <w:szCs w:val="22"/>
        </w:rPr>
        <w:t xml:space="preserve">The resubmission did not request any changes to the wording of the listing as described in the March 2016 PBAC </w:t>
      </w:r>
      <w:r w:rsidR="00C60F56">
        <w:rPr>
          <w:szCs w:val="22"/>
        </w:rPr>
        <w:t>Public Summary Document (PSD)</w:t>
      </w:r>
      <w:r w:rsidRPr="00EB6EFC">
        <w:rPr>
          <w:szCs w:val="22"/>
        </w:rPr>
        <w:t>.</w:t>
      </w:r>
    </w:p>
    <w:p w:rsidR="004370E7" w:rsidRPr="00EB6EFC" w:rsidRDefault="004370E7" w:rsidP="006C4ED0">
      <w:pPr>
        <w:widowControl w:val="0"/>
        <w:jc w:val="both"/>
        <w:rPr>
          <w:rFonts w:cs="Arial"/>
          <w:bCs/>
          <w:snapToGrid w:val="0"/>
          <w:szCs w:val="22"/>
          <w:highlight w:val="yellow"/>
          <w:lang w:eastAsia="en-US"/>
        </w:rPr>
      </w:pPr>
    </w:p>
    <w:tbl>
      <w:tblPr>
        <w:tblW w:w="8291" w:type="dxa"/>
        <w:tblInd w:w="817" w:type="dxa"/>
        <w:tblLayout w:type="fixed"/>
        <w:tblLook w:val="0000" w:firstRow="0" w:lastRow="0" w:firstColumn="0" w:lastColumn="0" w:noHBand="0" w:noVBand="0"/>
      </w:tblPr>
      <w:tblGrid>
        <w:gridCol w:w="2126"/>
        <w:gridCol w:w="426"/>
        <w:gridCol w:w="567"/>
        <w:gridCol w:w="850"/>
        <w:gridCol w:w="1843"/>
        <w:gridCol w:w="1134"/>
        <w:gridCol w:w="1345"/>
      </w:tblGrid>
      <w:tr w:rsidR="00EB6EFC" w:rsidRPr="00EB6EFC" w:rsidTr="004B7B26">
        <w:trPr>
          <w:cantSplit/>
          <w:trHeight w:val="471"/>
        </w:trPr>
        <w:tc>
          <w:tcPr>
            <w:tcW w:w="2552" w:type="dxa"/>
            <w:gridSpan w:val="2"/>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Name, Restriction,</w:t>
            </w:r>
          </w:p>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Max.</w:t>
            </w:r>
          </w:p>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Qty</w:t>
            </w:r>
          </w:p>
        </w:tc>
        <w:tc>
          <w:tcPr>
            <w:tcW w:w="850" w:type="dxa"/>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№.of</w:t>
            </w:r>
          </w:p>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Rpts</w:t>
            </w:r>
          </w:p>
        </w:tc>
        <w:tc>
          <w:tcPr>
            <w:tcW w:w="1843" w:type="dxa"/>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jc w:val="both"/>
              <w:rPr>
                <w:rFonts w:ascii="Arial Narrow" w:hAnsi="Arial Narrow" w:cs="Arial"/>
                <w:snapToGrid w:val="0"/>
                <w:sz w:val="20"/>
                <w:szCs w:val="20"/>
                <w:lang w:eastAsia="en-US"/>
              </w:rPr>
            </w:pPr>
            <w:r w:rsidRPr="00EB6EFC">
              <w:rPr>
                <w:rFonts w:ascii="Arial Narrow" w:hAnsi="Arial Narrow"/>
                <w:sz w:val="20"/>
              </w:rPr>
              <w:t>Dispensed Price for Max. Qty</w:t>
            </w:r>
          </w:p>
        </w:tc>
        <w:tc>
          <w:tcPr>
            <w:tcW w:w="2479" w:type="dxa"/>
            <w:gridSpan w:val="2"/>
            <w:tcBorders>
              <w:top w:val="single" w:sz="4" w:space="0" w:color="auto"/>
              <w:left w:val="single" w:sz="4" w:space="0" w:color="auto"/>
              <w:bottom w:val="single" w:sz="4" w:space="0" w:color="auto"/>
              <w:right w:val="single" w:sz="4" w:space="0" w:color="auto"/>
            </w:tcBorders>
          </w:tcPr>
          <w:p w:rsidR="00805122" w:rsidRPr="00EB6EFC" w:rsidRDefault="00805122" w:rsidP="00176FFA">
            <w:pPr>
              <w:keepNext/>
              <w:widowControl w:val="0"/>
              <w:ind w:firstLine="34"/>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Proprietary Name and Manufacturer</w:t>
            </w:r>
          </w:p>
        </w:tc>
      </w:tr>
      <w:tr w:rsidR="00EB6EFC" w:rsidRPr="00EB6EFC" w:rsidTr="004B7B26">
        <w:trPr>
          <w:cantSplit/>
          <w:trHeight w:val="475"/>
        </w:trPr>
        <w:tc>
          <w:tcPr>
            <w:tcW w:w="2552" w:type="dxa"/>
            <w:gridSpan w:val="2"/>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ind w:left="-108"/>
              <w:jc w:val="both"/>
              <w:rPr>
                <w:rFonts w:ascii="Arial Narrow" w:hAnsi="Arial Narrow" w:cs="Arial"/>
                <w:smallCaps/>
                <w:snapToGrid w:val="0"/>
                <w:sz w:val="20"/>
                <w:szCs w:val="20"/>
                <w:lang w:eastAsia="en-US"/>
              </w:rPr>
            </w:pPr>
            <w:r w:rsidRPr="00EB6EFC">
              <w:rPr>
                <w:rFonts w:ascii="Arial Narrow" w:hAnsi="Arial Narrow" w:cs="Arial"/>
                <w:smallCaps/>
                <w:snapToGrid w:val="0"/>
                <w:sz w:val="20"/>
                <w:szCs w:val="20"/>
                <w:lang w:eastAsia="en-US"/>
              </w:rPr>
              <w:t>Vismodegib</w:t>
            </w:r>
          </w:p>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mallCaps/>
                <w:snapToGrid w:val="0"/>
                <w:sz w:val="20"/>
                <w:szCs w:val="20"/>
                <w:lang w:eastAsia="en-US"/>
              </w:rPr>
              <w:t>150 mg capsule, 28</w:t>
            </w:r>
          </w:p>
        </w:tc>
        <w:tc>
          <w:tcPr>
            <w:tcW w:w="567" w:type="dxa"/>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ind w:left="-108"/>
              <w:jc w:val="both"/>
              <w:rPr>
                <w:rFonts w:ascii="Arial Narrow" w:hAnsi="Arial Narrow" w:cs="Arial"/>
                <w:snapToGrid w:val="0"/>
                <w:sz w:val="20"/>
                <w:szCs w:val="20"/>
                <w:lang w:eastAsia="en-US"/>
              </w:rPr>
            </w:pPr>
          </w:p>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ind w:left="-108"/>
              <w:jc w:val="both"/>
              <w:rPr>
                <w:rFonts w:ascii="Arial Narrow" w:hAnsi="Arial Narrow" w:cs="Arial"/>
                <w:snapToGrid w:val="0"/>
                <w:sz w:val="20"/>
                <w:szCs w:val="20"/>
                <w:lang w:eastAsia="en-US"/>
              </w:rPr>
            </w:pPr>
          </w:p>
          <w:p w:rsidR="00805122" w:rsidRPr="00EB6EFC" w:rsidRDefault="00805122" w:rsidP="00905758">
            <w:pPr>
              <w:keepNext/>
              <w:widowControl w:val="0"/>
              <w:ind w:left="-108"/>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rsidR="00805122" w:rsidRPr="00EB6EFC" w:rsidRDefault="00805122" w:rsidP="00805122">
            <w:pPr>
              <w:keepNext/>
              <w:widowControl w:val="0"/>
              <w:jc w:val="both"/>
              <w:rPr>
                <w:rFonts w:ascii="Arial Narrow" w:hAnsi="Arial Narrow"/>
                <w:sz w:val="20"/>
              </w:rPr>
            </w:pPr>
            <w:r w:rsidRPr="00EB6EFC">
              <w:rPr>
                <w:rFonts w:ascii="Arial Narrow" w:hAnsi="Arial Narrow"/>
                <w:sz w:val="20"/>
              </w:rPr>
              <w:t>$</w:t>
            </w:r>
            <w:r w:rsidR="006505A5">
              <w:rPr>
                <w:rFonts w:ascii="Arial Narrow" w:hAnsi="Arial Narrow"/>
                <w:noProof/>
                <w:color w:val="000000"/>
                <w:sz w:val="20"/>
                <w:highlight w:val="black"/>
              </w:rPr>
              <w:t>'''''''''''''''''''</w:t>
            </w:r>
            <w:r w:rsidR="00A24A71" w:rsidRPr="00EB6EFC">
              <w:rPr>
                <w:rFonts w:ascii="Arial Narrow" w:hAnsi="Arial Narrow"/>
                <w:sz w:val="20"/>
              </w:rPr>
              <w:t xml:space="preserve"> (published)</w:t>
            </w:r>
          </w:p>
          <w:p w:rsidR="00A24A71" w:rsidRPr="00EB6EFC" w:rsidRDefault="00A24A71" w:rsidP="00805122">
            <w:pPr>
              <w:keepNext/>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w:t>
            </w:r>
            <w:r w:rsidR="006505A5">
              <w:rPr>
                <w:rFonts w:ascii="Arial Narrow" w:hAnsi="Arial Narrow" w:cs="Arial"/>
                <w:noProof/>
                <w:snapToGrid w:val="0"/>
                <w:color w:val="000000"/>
                <w:sz w:val="20"/>
                <w:szCs w:val="20"/>
                <w:highlight w:val="black"/>
                <w:lang w:eastAsia="en-US"/>
              </w:rPr>
              <w:t>''''''''''''''''''''</w:t>
            </w:r>
            <w:r w:rsidRPr="00EB6EFC">
              <w:rPr>
                <w:rFonts w:ascii="Arial Narrow" w:hAnsi="Arial Narrow" w:cs="Arial"/>
                <w:snapToGrid w:val="0"/>
                <w:sz w:val="20"/>
                <w:szCs w:val="20"/>
                <w:lang w:eastAsia="en-US"/>
              </w:rPr>
              <w:t xml:space="preserve"> (effective)</w:t>
            </w:r>
          </w:p>
        </w:tc>
        <w:tc>
          <w:tcPr>
            <w:tcW w:w="1134" w:type="dxa"/>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ERIVEDGE</w:t>
            </w:r>
          </w:p>
        </w:tc>
        <w:tc>
          <w:tcPr>
            <w:tcW w:w="1345" w:type="dxa"/>
            <w:tcBorders>
              <w:top w:val="single" w:sz="4" w:space="0" w:color="auto"/>
              <w:left w:val="single" w:sz="4" w:space="0" w:color="auto"/>
              <w:bottom w:val="single" w:sz="4" w:space="0" w:color="auto"/>
              <w:right w:val="single" w:sz="4" w:space="0" w:color="auto"/>
            </w:tcBorders>
          </w:tcPr>
          <w:p w:rsidR="00805122" w:rsidRPr="00EB6EFC" w:rsidRDefault="00805122" w:rsidP="00905758">
            <w:pPr>
              <w:keepNext/>
              <w:widowControl w:val="0"/>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Roche Products Pty Limited</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 xml:space="preserve">Category / </w:t>
            </w:r>
          </w:p>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Program</w:t>
            </w: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GENERAL – General Schedule (Code GE)</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Prescriber type:</w:t>
            </w:r>
          </w:p>
          <w:p w:rsidR="00905758" w:rsidRPr="00EB6EFC" w:rsidRDefault="00905758" w:rsidP="00905758">
            <w:pPr>
              <w:widowControl w:val="0"/>
              <w:jc w:val="both"/>
              <w:rPr>
                <w:rFonts w:ascii="Arial Narrow" w:hAnsi="Arial Narrow" w:cs="Arial"/>
                <w:snapToGrid w:val="0"/>
                <w:sz w:val="20"/>
                <w:szCs w:val="20"/>
                <w:lang w:eastAsia="en-US"/>
              </w:rPr>
            </w:pP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 xml:space="preserve">Dental  </w:t>
            </w:r>
            <w:r w:rsidRPr="00EB6EFC">
              <w:rPr>
                <w:rFonts w:ascii="Arial Narrow" w:hAnsi="Arial Narrow" w:cs="Arial"/>
                <w:snapToGrid w:val="0"/>
                <w:sz w:val="20"/>
                <w:szCs w:val="20"/>
                <w:lang w:eastAsia="en-US"/>
              </w:rPr>
              <w:fldChar w:fldCharType="begin">
                <w:ffData>
                  <w:name w:val=""/>
                  <w:enabled/>
                  <w:calcOnExit w:val="0"/>
                  <w:checkBox>
                    <w:sizeAuto/>
                    <w:default w:val="1"/>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 xml:space="preserve">Medical Practitioners  </w:t>
            </w:r>
            <w:r w:rsidRPr="00EB6EFC">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 xml:space="preserve">Nurse practitioners  </w:t>
            </w:r>
            <w:r w:rsidRPr="00EB6EFC">
              <w:rPr>
                <w:rFonts w:ascii="Arial Narrow" w:hAnsi="Arial Narrow" w:cs="Arial"/>
                <w:snapToGrid w:val="0"/>
                <w:sz w:val="20"/>
                <w:szCs w:val="20"/>
                <w:lang w:eastAsia="en-US"/>
              </w:rPr>
              <w:fldChar w:fldCharType="begin">
                <w:ffData>
                  <w:name w:val=""/>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Optometrists</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Midwives</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Severity:</w:t>
            </w: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Metastatic or locally advanced</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Condition:</w:t>
            </w: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Basal cell carcinoma</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PBS Indication:</w:t>
            </w: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Metastatic or locally advanced basal cell carcinoma</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Treatment phase:</w:t>
            </w: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Initial</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Restriction Level / Method:</w:t>
            </w:r>
          </w:p>
          <w:p w:rsidR="00905758" w:rsidRPr="00EB6EFC" w:rsidRDefault="00905758" w:rsidP="00905758">
            <w:pPr>
              <w:widowControl w:val="0"/>
              <w:jc w:val="both"/>
              <w:rPr>
                <w:rFonts w:ascii="Arial Narrow" w:hAnsi="Arial Narrow" w:cs="Arial"/>
                <w:i/>
                <w:snapToGrid w:val="0"/>
                <w:sz w:val="20"/>
                <w:szCs w:val="20"/>
                <w:lang w:eastAsia="en-US"/>
              </w:rPr>
            </w:pP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Restricted benefit</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
                  <w:enabled/>
                  <w:calcOnExit w:val="0"/>
                  <w:checkBox>
                    <w:sizeAuto/>
                    <w:default w:val="1"/>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Authority Required - In Writing</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Authority Required - Telephone</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Authority Required – Emergency</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Authority Required - Electronic</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Streamlined</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Clinical criteria:</w:t>
            </w:r>
          </w:p>
          <w:p w:rsidR="00905758" w:rsidRPr="00EB6EFC" w:rsidRDefault="00905758" w:rsidP="00905758">
            <w:pPr>
              <w:widowControl w:val="0"/>
              <w:jc w:val="both"/>
              <w:rPr>
                <w:rFonts w:ascii="Arial Narrow" w:hAnsi="Arial Narrow" w:cs="Arial"/>
                <w:snapToGrid w:val="0"/>
                <w:sz w:val="20"/>
                <w:szCs w:val="20"/>
                <w:lang w:eastAsia="en-US"/>
              </w:rPr>
            </w:pP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Patient must have basal cell carcinoma (BCC) inappropriate for surgery and curative radiotherapy</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lastRenderedPageBreak/>
              <w:t>Prescriber Instructions</w:t>
            </w:r>
          </w:p>
          <w:p w:rsidR="00905758" w:rsidRPr="00EB6EFC" w:rsidRDefault="00905758" w:rsidP="00905758">
            <w:pPr>
              <w:widowControl w:val="0"/>
              <w:jc w:val="both"/>
              <w:rPr>
                <w:rFonts w:ascii="Arial Narrow" w:hAnsi="Arial Narrow" w:cs="Arial"/>
                <w:snapToGrid w:val="0"/>
                <w:sz w:val="20"/>
                <w:szCs w:val="20"/>
                <w:lang w:eastAsia="en-US"/>
              </w:rPr>
            </w:pP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Authority applications for initial treatment must include:</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 completed authority prescription form</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Histological confirmation of BCC</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 report from a surgically qualified clinician and radiation oncologist demonstrating inappropriateness for surgery and curative radiotherapy</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 signed patient acknowledgement</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Inappropriate for surgery is defined as:</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Curative resection is unlikely, such as where BCC has recurred in the same location after two or more surgical procedures;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Anticipated substantial morbidity and/or deformity from surgery or requiring complicated reconstructive surgery (e.g. removal of all or part of a facial structure, such as nose, ear, eyelid, eye; or requirement for limb amputation or free tissue transfer);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Medical contraindication to surgery</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Inappropriate for curative radiotherapy is defined as:</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Hypersensitivity to radiation due to genetic syndrome such as Gorlin Syndrome;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Limitations due to location of tumour;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Limitations due to cumulative prior radiotherapy dose;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Progressive disease despite prior irradiation of locally advanced BCC</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Administrative Advice</w:t>
            </w:r>
          </w:p>
          <w:p w:rsidR="00905758" w:rsidRPr="00EB6EFC" w:rsidRDefault="00905758" w:rsidP="00905758">
            <w:pPr>
              <w:widowControl w:val="0"/>
              <w:jc w:val="both"/>
              <w:rPr>
                <w:rFonts w:ascii="Arial Narrow" w:hAnsi="Arial Narrow" w:cs="Arial"/>
                <w:i/>
                <w:snapToGrid w:val="0"/>
                <w:sz w:val="20"/>
                <w:szCs w:val="20"/>
                <w:lang w:eastAsia="en-US"/>
              </w:rPr>
            </w:pPr>
          </w:p>
        </w:tc>
        <w:tc>
          <w:tcPr>
            <w:tcW w:w="6165" w:type="dxa"/>
            <w:gridSpan w:val="6"/>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Any queries concerning the arrangements to prescribe may be directed to the Department of Human Services on 1800 700 270 (hours of operation 8 a.m. t</w:t>
            </w:r>
            <w:r w:rsidR="00E632A3">
              <w:rPr>
                <w:rFonts w:ascii="Arial Narrow" w:hAnsi="Arial Narrow" w:cs="Arial"/>
                <w:snapToGrid w:val="0"/>
                <w:sz w:val="20"/>
                <w:szCs w:val="20"/>
                <w:lang w:eastAsia="en-US"/>
              </w:rPr>
              <w:t>o 5 p.m. EST Monday to Friday).</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Prescribing information (including Authority Application forms and other relevant documentation as applicable) is available on the Department of Human Services webs</w:t>
            </w:r>
            <w:r w:rsidR="00E632A3">
              <w:rPr>
                <w:rFonts w:ascii="Arial Narrow" w:hAnsi="Arial Narrow" w:cs="Arial"/>
                <w:snapToGrid w:val="0"/>
                <w:sz w:val="20"/>
                <w:szCs w:val="20"/>
                <w:lang w:eastAsia="en-US"/>
              </w:rPr>
              <w:t>ite at www.humanservices.gov.au</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Applications for authority to pr</w:t>
            </w:r>
            <w:r w:rsidR="00E632A3">
              <w:rPr>
                <w:rFonts w:ascii="Arial Narrow" w:hAnsi="Arial Narrow" w:cs="Arial"/>
                <w:snapToGrid w:val="0"/>
                <w:sz w:val="20"/>
                <w:szCs w:val="20"/>
                <w:lang w:eastAsia="en-US"/>
              </w:rPr>
              <w:t>escribe should be forwarded to:</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Department of Human Services</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Prior Wr</w:t>
            </w:r>
            <w:r w:rsidR="00E632A3">
              <w:rPr>
                <w:rFonts w:ascii="Arial Narrow" w:hAnsi="Arial Narrow" w:cs="Arial"/>
                <w:snapToGrid w:val="0"/>
                <w:sz w:val="20"/>
                <w:szCs w:val="20"/>
                <w:lang w:eastAsia="en-US"/>
              </w:rPr>
              <w:t>itten Approval of Complex Drugs</w:t>
            </w:r>
          </w:p>
          <w:p w:rsidR="00905758" w:rsidRPr="00EB6EFC" w:rsidRDefault="00E632A3" w:rsidP="00905758">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Reply Paid 9826</w:t>
            </w:r>
          </w:p>
          <w:p w:rsidR="00905758" w:rsidRPr="00EB6EFC" w:rsidRDefault="00E632A3" w:rsidP="00905758">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GPO Box 9826</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HOBART TAS 7001</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Special Pricing Arrangements apply.</w:t>
            </w:r>
          </w:p>
          <w:p w:rsidR="00905758" w:rsidRPr="00EB6EFC" w:rsidRDefault="00905758" w:rsidP="00905758">
            <w:pPr>
              <w:widowControl w:val="0"/>
              <w:jc w:val="both"/>
              <w:rPr>
                <w:rFonts w:ascii="Arial Narrow" w:hAnsi="Arial Narrow" w:cs="Arial"/>
                <w:snapToGrid w:val="0"/>
                <w:sz w:val="20"/>
                <w:szCs w:val="20"/>
                <w:lang w:eastAsia="en-US"/>
              </w:rPr>
            </w:pPr>
          </w:p>
        </w:tc>
      </w:tr>
    </w:tbl>
    <w:p w:rsidR="00905758" w:rsidRDefault="00905758" w:rsidP="00870B3A">
      <w:pPr>
        <w:rPr>
          <w:rFonts w:cs="Arial"/>
          <w:b/>
          <w:snapToGrid w:val="0"/>
          <w:szCs w:val="22"/>
          <w:lang w:eastAsia="en-US"/>
        </w:rPr>
      </w:pPr>
    </w:p>
    <w:tbl>
      <w:tblPr>
        <w:tblW w:w="8291" w:type="dxa"/>
        <w:tblInd w:w="817" w:type="dxa"/>
        <w:tblLayout w:type="fixed"/>
        <w:tblLook w:val="0000" w:firstRow="0" w:lastRow="0" w:firstColumn="0" w:lastColumn="0" w:noHBand="0" w:noVBand="0"/>
      </w:tblPr>
      <w:tblGrid>
        <w:gridCol w:w="2126"/>
        <w:gridCol w:w="6165"/>
      </w:tblGrid>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 xml:space="preserve">Category / </w:t>
            </w:r>
          </w:p>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Program</w:t>
            </w: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GENERAL – General Schedule (Code GE)</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Prescriber type:</w:t>
            </w:r>
          </w:p>
          <w:p w:rsidR="00905758" w:rsidRPr="00EB6EFC" w:rsidRDefault="00905758" w:rsidP="00905758">
            <w:pPr>
              <w:widowControl w:val="0"/>
              <w:jc w:val="both"/>
              <w:rPr>
                <w:rFonts w:ascii="Arial Narrow" w:hAnsi="Arial Narrow" w:cs="Arial"/>
                <w:snapToGrid w:val="0"/>
                <w:sz w:val="20"/>
                <w:szCs w:val="20"/>
                <w:lang w:eastAsia="en-US"/>
              </w:rPr>
            </w:pP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 xml:space="preserve">Dental  </w:t>
            </w:r>
            <w:r w:rsidRPr="00EB6EFC">
              <w:rPr>
                <w:rFonts w:ascii="Arial Narrow" w:hAnsi="Arial Narrow" w:cs="Arial"/>
                <w:snapToGrid w:val="0"/>
                <w:sz w:val="20"/>
                <w:szCs w:val="20"/>
                <w:lang w:eastAsia="en-US"/>
              </w:rPr>
              <w:fldChar w:fldCharType="begin">
                <w:ffData>
                  <w:name w:val=""/>
                  <w:enabled/>
                  <w:calcOnExit w:val="0"/>
                  <w:checkBox>
                    <w:sizeAuto/>
                    <w:default w:val="1"/>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 xml:space="preserve">Medical Practitioners  </w:t>
            </w:r>
            <w:r w:rsidRPr="00EB6EFC">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 xml:space="preserve">Nurse practitioners  </w:t>
            </w:r>
            <w:r w:rsidRPr="00EB6EFC">
              <w:rPr>
                <w:rFonts w:ascii="Arial Narrow" w:hAnsi="Arial Narrow" w:cs="Arial"/>
                <w:snapToGrid w:val="0"/>
                <w:sz w:val="20"/>
                <w:szCs w:val="20"/>
                <w:lang w:eastAsia="en-US"/>
              </w:rPr>
              <w:fldChar w:fldCharType="begin">
                <w:ffData>
                  <w:name w:val=""/>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Optometrists</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Midwives</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Severity:</w:t>
            </w: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Metastatic or locally advanced</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Condition:</w:t>
            </w: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Basal cell carcinoma</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PBS Indication:</w:t>
            </w: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Metastatic or locally advanced basal cell carcinoma</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Treatment phase:</w:t>
            </w: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Continuing</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Restriction Level / Method:</w:t>
            </w:r>
          </w:p>
          <w:p w:rsidR="00905758" w:rsidRPr="00EB6EFC" w:rsidRDefault="00905758" w:rsidP="00905758">
            <w:pPr>
              <w:widowControl w:val="0"/>
              <w:jc w:val="both"/>
              <w:rPr>
                <w:rFonts w:ascii="Arial Narrow" w:hAnsi="Arial Narrow" w:cs="Arial"/>
                <w:i/>
                <w:snapToGrid w:val="0"/>
                <w:sz w:val="20"/>
                <w:szCs w:val="20"/>
                <w:lang w:eastAsia="en-US"/>
              </w:rPr>
            </w:pP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Restricted benefit</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
                  <w:enabled/>
                  <w:calcOnExit w:val="0"/>
                  <w:checkBox>
                    <w:sizeAuto/>
                    <w:default w:val="1"/>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Authority Required - In Writing</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Authority Required - Telephone</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Authority Required – Emergency</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Authority Required - Electronic</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EB6EFC">
              <w:rPr>
                <w:rFonts w:ascii="Arial Narrow" w:hAnsi="Arial Narrow" w:cs="Arial"/>
                <w:snapToGrid w:val="0"/>
                <w:sz w:val="20"/>
                <w:szCs w:val="20"/>
                <w:lang w:eastAsia="en-US"/>
              </w:rPr>
              <w:instrText xml:space="preserve"> FORMCHECKBOX </w:instrText>
            </w:r>
            <w:r w:rsidR="001627F4">
              <w:rPr>
                <w:rFonts w:ascii="Arial Narrow" w:hAnsi="Arial Narrow" w:cs="Arial"/>
                <w:snapToGrid w:val="0"/>
                <w:sz w:val="20"/>
                <w:szCs w:val="20"/>
                <w:lang w:eastAsia="en-US"/>
              </w:rPr>
            </w:r>
            <w:r w:rsidR="001627F4">
              <w:rPr>
                <w:rFonts w:ascii="Arial Narrow" w:hAnsi="Arial Narrow" w:cs="Arial"/>
                <w:snapToGrid w:val="0"/>
                <w:sz w:val="20"/>
                <w:szCs w:val="20"/>
                <w:lang w:eastAsia="en-US"/>
              </w:rPr>
              <w:fldChar w:fldCharType="separate"/>
            </w:r>
            <w:r w:rsidRPr="00EB6EFC">
              <w:rPr>
                <w:rFonts w:ascii="Arial Narrow" w:hAnsi="Arial Narrow" w:cs="Arial"/>
                <w:snapToGrid w:val="0"/>
                <w:sz w:val="20"/>
                <w:szCs w:val="20"/>
                <w:lang w:eastAsia="en-US"/>
              </w:rPr>
              <w:fldChar w:fldCharType="end"/>
            </w:r>
            <w:r w:rsidRPr="00EB6EFC">
              <w:rPr>
                <w:rFonts w:ascii="Arial Narrow" w:hAnsi="Arial Narrow" w:cs="Arial"/>
                <w:snapToGrid w:val="0"/>
                <w:sz w:val="20"/>
                <w:szCs w:val="20"/>
                <w:lang w:eastAsia="en-US"/>
              </w:rPr>
              <w:t>Streamlined</w:t>
            </w:r>
          </w:p>
        </w:tc>
      </w:tr>
      <w:tr w:rsidR="00905758" w:rsidRPr="00EB6EFC" w:rsidTr="004B7B26">
        <w:trPr>
          <w:cantSplit/>
          <w:trHeight w:val="1481"/>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lastRenderedPageBreak/>
              <w:t>Clinical criteria:</w:t>
            </w:r>
          </w:p>
          <w:p w:rsidR="00905758" w:rsidRPr="00EB6EFC" w:rsidRDefault="00905758" w:rsidP="00905758">
            <w:pPr>
              <w:widowControl w:val="0"/>
              <w:jc w:val="both"/>
              <w:rPr>
                <w:rFonts w:ascii="Arial Narrow" w:hAnsi="Arial Narrow" w:cs="Arial"/>
                <w:snapToGrid w:val="0"/>
                <w:sz w:val="20"/>
                <w:szCs w:val="20"/>
                <w:lang w:eastAsia="en-US"/>
              </w:rPr>
            </w:pP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Patient must have previously been issued with an authority prescription for this drug for this condition</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AND</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Patient must not have progressive disease</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AND</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The patient must remain inappropriate for surgery and radiotherapy</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Prescriber Instructions</w:t>
            </w:r>
          </w:p>
          <w:p w:rsidR="00905758" w:rsidRPr="00EB6EFC" w:rsidRDefault="00905758" w:rsidP="00905758">
            <w:pPr>
              <w:widowControl w:val="0"/>
              <w:jc w:val="both"/>
              <w:rPr>
                <w:rFonts w:ascii="Arial Narrow" w:hAnsi="Arial Narrow" w:cs="Arial"/>
                <w:snapToGrid w:val="0"/>
                <w:sz w:val="20"/>
                <w:szCs w:val="20"/>
                <w:lang w:eastAsia="en-US"/>
              </w:rPr>
            </w:pP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Authority applications for continuing treatment must include:</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 completed authority prescription form</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Histological confirmation of BCC</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 report from a surgically qualified clinician and radiation oncologist demonstrating continued inappropriateness for surgery and curative radiotherapy</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 statement form from the prescribing doctor that the disease has not progressed</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Inappropriate for surgery is defined as:</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Curative resection is unlikely, such as where BCC has recurred in the same location after two or more surgical procedures;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Anticipated substantial morbidity and/or deformity from surgery or requiring complicated reconstructive surgery (e.g. removal of all or part of a facial structure, such as nose, ear, eyelid, eye; or requirement for limb amputation or free tissue transfer);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Medical contraindication to surgery</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Inappropriate for curative radiotherapy is defined as:</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Hypersensitivity to radiation due to genetic syndrome such as Gorlin Syndrome;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Limitations due to location of tumour;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Limitations due to cumulative prior radiotherapy dose; and/or</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Progressive disease despite prior irradiation of locally advanced BCC</w:t>
            </w:r>
          </w:p>
        </w:tc>
      </w:tr>
      <w:tr w:rsidR="00905758" w:rsidRPr="00EB6EFC" w:rsidTr="004B7B26">
        <w:trPr>
          <w:cantSplit/>
          <w:trHeight w:val="360"/>
        </w:trPr>
        <w:tc>
          <w:tcPr>
            <w:tcW w:w="2126"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Administrative Advice</w:t>
            </w:r>
          </w:p>
          <w:p w:rsidR="00905758" w:rsidRPr="00EB6EFC" w:rsidRDefault="00905758" w:rsidP="00905758">
            <w:pPr>
              <w:widowControl w:val="0"/>
              <w:jc w:val="both"/>
              <w:rPr>
                <w:rFonts w:ascii="Arial Narrow" w:hAnsi="Arial Narrow" w:cs="Arial"/>
                <w:i/>
                <w:snapToGrid w:val="0"/>
                <w:sz w:val="20"/>
                <w:szCs w:val="20"/>
                <w:lang w:eastAsia="en-US"/>
              </w:rPr>
            </w:pPr>
          </w:p>
        </w:tc>
        <w:tc>
          <w:tcPr>
            <w:tcW w:w="6165" w:type="dxa"/>
            <w:tcBorders>
              <w:top w:val="single" w:sz="4" w:space="0" w:color="auto"/>
              <w:left w:val="single" w:sz="4" w:space="0" w:color="auto"/>
              <w:bottom w:val="single" w:sz="4" w:space="0" w:color="auto"/>
              <w:right w:val="single" w:sz="4" w:space="0" w:color="auto"/>
            </w:tcBorders>
          </w:tcPr>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Any queries concerning the arrangements to prescribe may be directed to the Department of Human Services on 1800 700 270 (hours of operation 8 a.m. t</w:t>
            </w:r>
            <w:r w:rsidR="00E632A3">
              <w:rPr>
                <w:rFonts w:ascii="Arial Narrow" w:hAnsi="Arial Narrow" w:cs="Arial"/>
                <w:snapToGrid w:val="0"/>
                <w:sz w:val="20"/>
                <w:szCs w:val="20"/>
                <w:lang w:eastAsia="en-US"/>
              </w:rPr>
              <w:t>o 5 p.m. EST Monday to Friday).</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Prescribing information (including Authority Application forms and other relevant documentation as applicable) is available on the Department of Human Services webs</w:t>
            </w:r>
            <w:r w:rsidR="00E632A3">
              <w:rPr>
                <w:rFonts w:ascii="Arial Narrow" w:hAnsi="Arial Narrow" w:cs="Arial"/>
                <w:snapToGrid w:val="0"/>
                <w:sz w:val="20"/>
                <w:szCs w:val="20"/>
                <w:lang w:eastAsia="en-US"/>
              </w:rPr>
              <w:t>ite at www.humanservices.gov.au</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Applications for authority to pr</w:t>
            </w:r>
            <w:r w:rsidR="00E632A3">
              <w:rPr>
                <w:rFonts w:ascii="Arial Narrow" w:hAnsi="Arial Narrow" w:cs="Arial"/>
                <w:snapToGrid w:val="0"/>
                <w:sz w:val="20"/>
                <w:szCs w:val="20"/>
                <w:lang w:eastAsia="en-US"/>
              </w:rPr>
              <w:t>escribe should be forwarded to:</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Department of Human Services</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Prior Written Approval of Complex Dru</w:t>
            </w:r>
            <w:r w:rsidR="00E632A3">
              <w:rPr>
                <w:rFonts w:ascii="Arial Narrow" w:hAnsi="Arial Narrow" w:cs="Arial"/>
                <w:snapToGrid w:val="0"/>
                <w:sz w:val="20"/>
                <w:szCs w:val="20"/>
                <w:lang w:eastAsia="en-US"/>
              </w:rPr>
              <w:t>gs</w:t>
            </w:r>
          </w:p>
          <w:p w:rsidR="00905758" w:rsidRPr="00EB6EFC" w:rsidRDefault="00E632A3" w:rsidP="00905758">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Reply Paid 9826</w:t>
            </w:r>
          </w:p>
          <w:p w:rsidR="00905758" w:rsidRPr="00EB6EFC" w:rsidRDefault="00E632A3" w:rsidP="00905758">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GPO Box 9826</w:t>
            </w: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HOBART TAS 7001</w:t>
            </w:r>
          </w:p>
          <w:p w:rsidR="00905758" w:rsidRPr="00EB6EFC" w:rsidRDefault="00905758" w:rsidP="00905758">
            <w:pPr>
              <w:widowControl w:val="0"/>
              <w:jc w:val="both"/>
              <w:rPr>
                <w:rFonts w:ascii="Arial Narrow" w:hAnsi="Arial Narrow" w:cs="Arial"/>
                <w:snapToGrid w:val="0"/>
                <w:sz w:val="20"/>
                <w:szCs w:val="20"/>
                <w:lang w:eastAsia="en-US"/>
              </w:rPr>
            </w:pPr>
          </w:p>
          <w:p w:rsidR="00905758" w:rsidRPr="00EB6EFC" w:rsidRDefault="00905758" w:rsidP="00905758">
            <w:pPr>
              <w:widowControl w:val="0"/>
              <w:jc w:val="both"/>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Spe</w:t>
            </w:r>
            <w:r w:rsidR="00E632A3">
              <w:rPr>
                <w:rFonts w:ascii="Arial Narrow" w:hAnsi="Arial Narrow" w:cs="Arial"/>
                <w:snapToGrid w:val="0"/>
                <w:sz w:val="20"/>
                <w:szCs w:val="20"/>
                <w:lang w:eastAsia="en-US"/>
              </w:rPr>
              <w:t>cial Pricing Arrangements apply</w:t>
            </w:r>
          </w:p>
          <w:p w:rsidR="00905758" w:rsidRPr="00EB6EFC" w:rsidRDefault="00905758" w:rsidP="00905758">
            <w:pPr>
              <w:widowControl w:val="0"/>
              <w:jc w:val="both"/>
              <w:rPr>
                <w:rFonts w:ascii="Arial Narrow" w:hAnsi="Arial Narrow" w:cs="Arial"/>
                <w:snapToGrid w:val="0"/>
                <w:sz w:val="20"/>
                <w:szCs w:val="20"/>
                <w:lang w:eastAsia="en-US"/>
              </w:rPr>
            </w:pPr>
          </w:p>
        </w:tc>
      </w:tr>
    </w:tbl>
    <w:p w:rsidR="00905758" w:rsidRDefault="00905758" w:rsidP="00905758">
      <w:pPr>
        <w:widowControl w:val="0"/>
        <w:jc w:val="both"/>
        <w:rPr>
          <w:rFonts w:cs="Arial"/>
          <w:bCs/>
          <w:snapToGrid w:val="0"/>
          <w:szCs w:val="22"/>
          <w:lang w:eastAsia="en-US"/>
        </w:rPr>
      </w:pPr>
    </w:p>
    <w:p w:rsidR="00CE10C4" w:rsidRPr="00EB6EFC" w:rsidRDefault="00CE10C4" w:rsidP="008A50F1">
      <w:pPr>
        <w:pStyle w:val="PBACHeading1"/>
      </w:pPr>
      <w:r w:rsidRPr="00EB6EFC">
        <w:t>Background</w:t>
      </w:r>
    </w:p>
    <w:p w:rsidR="00C603D4" w:rsidRPr="00EB6EFC" w:rsidRDefault="00C603D4" w:rsidP="00C603D4">
      <w:pPr>
        <w:pStyle w:val="ListParagraph"/>
        <w:rPr>
          <w:i/>
          <w:szCs w:val="22"/>
        </w:rPr>
      </w:pPr>
    </w:p>
    <w:p w:rsidR="00C45D3D" w:rsidRPr="00DB2A2C" w:rsidRDefault="00C45D3D" w:rsidP="00C45D3D">
      <w:pPr>
        <w:pStyle w:val="ListParagraph"/>
        <w:numPr>
          <w:ilvl w:val="1"/>
          <w:numId w:val="5"/>
        </w:numPr>
        <w:rPr>
          <w:szCs w:val="22"/>
        </w:rPr>
      </w:pPr>
      <w:r w:rsidRPr="00DB2A2C">
        <w:rPr>
          <w:szCs w:val="22"/>
        </w:rPr>
        <w:t>Vismodegib was TGA registered on 9 May 2013 for the treatment of adult patients with metastatic or locally advanced BCC where surgery and/or radiotherapy are not appropriate.</w:t>
      </w:r>
    </w:p>
    <w:p w:rsidR="00C45D3D" w:rsidRPr="00EB6EFC" w:rsidRDefault="00C45D3D" w:rsidP="00C45D3D">
      <w:pPr>
        <w:pStyle w:val="ListParagraph"/>
        <w:rPr>
          <w:i/>
          <w:szCs w:val="22"/>
        </w:rPr>
      </w:pPr>
    </w:p>
    <w:p w:rsidR="00721903" w:rsidRPr="00EB6EFC" w:rsidRDefault="00CA47EC" w:rsidP="00721903">
      <w:pPr>
        <w:pStyle w:val="ListParagraph"/>
        <w:numPr>
          <w:ilvl w:val="1"/>
          <w:numId w:val="5"/>
        </w:numPr>
      </w:pPr>
      <w:r w:rsidRPr="00EB6EFC">
        <w:rPr>
          <w:szCs w:val="22"/>
        </w:rPr>
        <w:t xml:space="preserve">Vismodegib </w:t>
      </w:r>
      <w:r w:rsidR="00C45D3D" w:rsidRPr="00EB6EFC">
        <w:rPr>
          <w:szCs w:val="22"/>
        </w:rPr>
        <w:t xml:space="preserve">was </w:t>
      </w:r>
      <w:r w:rsidRPr="00EB6EFC">
        <w:rPr>
          <w:szCs w:val="22"/>
        </w:rPr>
        <w:t xml:space="preserve">recommended </w:t>
      </w:r>
      <w:r w:rsidR="0044410C" w:rsidRPr="00EB6EFC">
        <w:rPr>
          <w:szCs w:val="22"/>
        </w:rPr>
        <w:t xml:space="preserve">at the March 2016 PBAC meeting </w:t>
      </w:r>
      <w:r w:rsidR="00DA7AF3" w:rsidRPr="00EB6EFC">
        <w:t xml:space="preserve">for the treatment of metastatic or locally advanced </w:t>
      </w:r>
      <w:r w:rsidR="00B81643" w:rsidRPr="00EB6EFC">
        <w:t>BCC</w:t>
      </w:r>
      <w:r w:rsidR="00DA7AF3" w:rsidRPr="00EB6EFC">
        <w:rPr>
          <w:szCs w:val="22"/>
        </w:rPr>
        <w:t xml:space="preserve">. </w:t>
      </w:r>
      <w:r w:rsidR="008522C0">
        <w:rPr>
          <w:szCs w:val="22"/>
        </w:rPr>
        <w:t>However, t</w:t>
      </w:r>
      <w:r w:rsidR="009B68EB" w:rsidRPr="00A16E63">
        <w:rPr>
          <w:szCs w:val="22"/>
        </w:rPr>
        <w:t>he</w:t>
      </w:r>
      <w:r w:rsidR="009B68EB" w:rsidRPr="00EB6EFC">
        <w:rPr>
          <w:szCs w:val="22"/>
        </w:rPr>
        <w:t xml:space="preserve"> PBAC considered that the ICER presented in the submission was </w:t>
      </w:r>
      <w:r w:rsidR="00D070E4">
        <w:rPr>
          <w:szCs w:val="22"/>
        </w:rPr>
        <w:t>optimistic</w:t>
      </w:r>
      <w:r w:rsidR="009B68EB" w:rsidRPr="00EB6EFC">
        <w:rPr>
          <w:szCs w:val="22"/>
        </w:rPr>
        <w:t xml:space="preserve"> due to the </w:t>
      </w:r>
      <w:r w:rsidR="00D070E4">
        <w:rPr>
          <w:szCs w:val="22"/>
        </w:rPr>
        <w:t xml:space="preserve">efficacy </w:t>
      </w:r>
      <w:r w:rsidR="009B68EB" w:rsidRPr="00EB6EFC">
        <w:rPr>
          <w:szCs w:val="22"/>
        </w:rPr>
        <w:t xml:space="preserve">inputs selected, </w:t>
      </w:r>
      <w:r w:rsidR="009B68EB" w:rsidRPr="00EB6EFC">
        <w:rPr>
          <w:szCs w:val="22"/>
        </w:rPr>
        <w:lastRenderedPageBreak/>
        <w:t xml:space="preserve">the lack of costs associated with </w:t>
      </w:r>
      <w:r w:rsidR="004A7026" w:rsidRPr="00EB6EFC">
        <w:rPr>
          <w:szCs w:val="22"/>
        </w:rPr>
        <w:t>adverse events (</w:t>
      </w:r>
      <w:r w:rsidR="009B68EB" w:rsidRPr="00EB6EFC">
        <w:rPr>
          <w:szCs w:val="22"/>
        </w:rPr>
        <w:t>AEs</w:t>
      </w:r>
      <w:r w:rsidR="004A7026" w:rsidRPr="00EB6EFC">
        <w:rPr>
          <w:szCs w:val="22"/>
        </w:rPr>
        <w:t>)</w:t>
      </w:r>
      <w:r w:rsidR="009B68EB" w:rsidRPr="00EB6EFC">
        <w:rPr>
          <w:szCs w:val="22"/>
        </w:rPr>
        <w:t xml:space="preserve"> and the use of 100% offset of disfigurement from treatment</w:t>
      </w:r>
      <w:r w:rsidR="003C12E2" w:rsidRPr="00EB6EFC">
        <w:rPr>
          <w:szCs w:val="22"/>
        </w:rPr>
        <w:t xml:space="preserve"> (Paragraph 7.7)</w:t>
      </w:r>
      <w:r w:rsidR="009B68EB" w:rsidRPr="00EB6EFC">
        <w:rPr>
          <w:szCs w:val="22"/>
        </w:rPr>
        <w:t>.</w:t>
      </w:r>
      <w:r w:rsidR="0005629D" w:rsidRPr="00EB6EFC">
        <w:rPr>
          <w:szCs w:val="22"/>
        </w:rPr>
        <w:t xml:space="preserve"> </w:t>
      </w:r>
      <w:r w:rsidR="008522C0">
        <w:rPr>
          <w:szCs w:val="22"/>
        </w:rPr>
        <w:t xml:space="preserve">As such, </w:t>
      </w:r>
      <w:r w:rsidR="008522C0" w:rsidRPr="00895B67">
        <w:rPr>
          <w:szCs w:val="22"/>
        </w:rPr>
        <w:t xml:space="preserve">the PBAC outlined a number of parameters </w:t>
      </w:r>
      <w:r w:rsidR="00BB28AD">
        <w:rPr>
          <w:szCs w:val="22"/>
        </w:rPr>
        <w:t>on</w:t>
      </w:r>
      <w:r w:rsidR="008522C0" w:rsidRPr="00895B67">
        <w:rPr>
          <w:szCs w:val="22"/>
        </w:rPr>
        <w:t xml:space="preserve"> which the recommendation was </w:t>
      </w:r>
      <w:r w:rsidR="00BB28AD">
        <w:rPr>
          <w:szCs w:val="22"/>
        </w:rPr>
        <w:t>based.</w:t>
      </w:r>
    </w:p>
    <w:p w:rsidR="00721903" w:rsidRPr="00EB6EFC" w:rsidRDefault="00721903" w:rsidP="00721903">
      <w:pPr>
        <w:pStyle w:val="ListParagraph"/>
      </w:pPr>
    </w:p>
    <w:p w:rsidR="00721903" w:rsidRPr="00EB6EFC" w:rsidRDefault="00721903" w:rsidP="00721903">
      <w:pPr>
        <w:widowControl w:val="0"/>
        <w:ind w:left="720"/>
        <w:contextualSpacing/>
        <w:jc w:val="both"/>
        <w:rPr>
          <w:rFonts w:cs="Arial"/>
          <w:snapToGrid w:val="0"/>
          <w:szCs w:val="20"/>
          <w:lang w:eastAsia="en-US"/>
        </w:rPr>
      </w:pPr>
      <w:r w:rsidRPr="00EB6EFC">
        <w:rPr>
          <w:rFonts w:cs="Arial"/>
          <w:snapToGrid w:val="0"/>
          <w:szCs w:val="20"/>
          <w:lang w:eastAsia="en-US"/>
        </w:rPr>
        <w:t xml:space="preserve">“The PBAC considered that the most plausible estimates for the economic model included a disfigurement rate associated with vismodegib of 20%, a vismodegib response rate of 50%, and a </w:t>
      </w:r>
      <w:r w:rsidRPr="00EB6EFC">
        <w:rPr>
          <w:rFonts w:cs="Arial"/>
          <w:snapToGrid w:val="0"/>
          <w:szCs w:val="22"/>
          <w:lang w:eastAsia="en-US"/>
        </w:rPr>
        <w:t xml:space="preserve">surgical response rate of 90.7%. At least a </w:t>
      </w:r>
      <w:r w:rsidR="006505A5">
        <w:rPr>
          <w:rFonts w:cs="Arial"/>
          <w:noProof/>
          <w:snapToGrid w:val="0"/>
          <w:color w:val="000000"/>
          <w:szCs w:val="22"/>
          <w:highlight w:val="black"/>
          <w:lang w:eastAsia="en-US"/>
        </w:rPr>
        <w:t>''''''</w:t>
      </w:r>
      <w:r w:rsidRPr="00EB6EFC">
        <w:rPr>
          <w:rFonts w:cs="Arial"/>
          <w:snapToGrid w:val="0"/>
          <w:szCs w:val="22"/>
          <w:lang w:eastAsia="en-US"/>
        </w:rPr>
        <w:t>% reduction in drug price would be required t</w:t>
      </w:r>
      <w:r w:rsidR="004E180C">
        <w:rPr>
          <w:rFonts w:cs="Arial"/>
          <w:snapToGrid w:val="0"/>
          <w:szCs w:val="22"/>
          <w:lang w:eastAsia="en-US"/>
        </w:rPr>
        <w:t>o achieve an incremental cost</w:t>
      </w:r>
      <w:r w:rsidR="004E180C">
        <w:rPr>
          <w:rFonts w:cs="Arial"/>
          <w:snapToGrid w:val="0"/>
          <w:szCs w:val="22"/>
          <w:lang w:eastAsia="en-US"/>
        </w:rPr>
        <w:noBreakHyphen/>
      </w:r>
      <w:r w:rsidRPr="00EB6EFC">
        <w:rPr>
          <w:rFonts w:cs="Arial"/>
          <w:snapToGrid w:val="0"/>
          <w:szCs w:val="22"/>
          <w:lang w:eastAsia="en-US"/>
        </w:rPr>
        <w:t xml:space="preserve">effectiveness ratio (ICER) between </w:t>
      </w:r>
      <w:r w:rsidR="00E05797">
        <w:rPr>
          <w:rFonts w:cs="Arial"/>
          <w:snapToGrid w:val="0"/>
          <w:szCs w:val="20"/>
          <w:lang w:eastAsia="en-US"/>
        </w:rPr>
        <w:t>$45,000 - $75,000</w:t>
      </w:r>
      <w:r w:rsidRPr="00EB6EFC">
        <w:rPr>
          <w:rFonts w:cs="Arial"/>
          <w:snapToGrid w:val="0"/>
          <w:szCs w:val="20"/>
          <w:lang w:eastAsia="en-US"/>
        </w:rPr>
        <w:t xml:space="preserve"> per disfigurement-free responder using the average treatment duration of </w:t>
      </w:r>
      <w:r w:rsidR="006505A5">
        <w:rPr>
          <w:rFonts w:cs="Arial"/>
          <w:noProof/>
          <w:snapToGrid w:val="0"/>
          <w:color w:val="000000"/>
          <w:szCs w:val="20"/>
          <w:highlight w:val="black"/>
          <w:lang w:eastAsia="en-US"/>
        </w:rPr>
        <w:t>'''''''''''''</w:t>
      </w:r>
      <w:r w:rsidRPr="00EB6EFC">
        <w:rPr>
          <w:rFonts w:cs="Arial"/>
          <w:snapToGrid w:val="0"/>
          <w:szCs w:val="20"/>
          <w:lang w:eastAsia="en-US"/>
        </w:rPr>
        <w:t xml:space="preserve"> weeks, as proposed in the episode of care (EOC) cap” (Paragraph 6.28)</w:t>
      </w:r>
      <w:r w:rsidR="005C419D">
        <w:rPr>
          <w:rFonts w:cs="Arial"/>
          <w:snapToGrid w:val="0"/>
          <w:szCs w:val="20"/>
          <w:lang w:eastAsia="en-US"/>
        </w:rPr>
        <w:t xml:space="preserve">, and </w:t>
      </w:r>
      <w:r w:rsidR="00412F8C">
        <w:rPr>
          <w:rFonts w:cs="Arial"/>
          <w:snapToGrid w:val="0"/>
          <w:szCs w:val="20"/>
          <w:lang w:eastAsia="en-US"/>
        </w:rPr>
        <w:t>the</w:t>
      </w:r>
      <w:r w:rsidR="008522C0">
        <w:rPr>
          <w:rFonts w:cs="Arial"/>
          <w:snapToGrid w:val="0"/>
          <w:szCs w:val="20"/>
          <w:lang w:eastAsia="en-US"/>
        </w:rPr>
        <w:t xml:space="preserve"> </w:t>
      </w:r>
      <w:r w:rsidR="00412F8C">
        <w:rPr>
          <w:rFonts w:cs="Arial"/>
          <w:snapToGrid w:val="0"/>
          <w:szCs w:val="20"/>
          <w:lang w:eastAsia="en-US"/>
        </w:rPr>
        <w:t>“</w:t>
      </w:r>
      <w:r w:rsidR="008522C0" w:rsidRPr="008522C0">
        <w:rPr>
          <w:rFonts w:cs="Arial"/>
          <w:snapToGrid w:val="0"/>
          <w:szCs w:val="20"/>
          <w:lang w:eastAsia="en-US"/>
        </w:rPr>
        <w:t>recommendation to list is based on a corresponding reduction in price together with acceptance of a Risk Sharing Arrangement</w:t>
      </w:r>
      <w:r w:rsidR="00412F8C">
        <w:rPr>
          <w:rFonts w:cs="Arial"/>
          <w:snapToGrid w:val="0"/>
          <w:szCs w:val="20"/>
          <w:lang w:eastAsia="en-US"/>
        </w:rPr>
        <w:t>” (Paragraph 7.10)</w:t>
      </w:r>
      <w:r w:rsidR="008522C0" w:rsidRPr="008522C0">
        <w:rPr>
          <w:rFonts w:cs="Arial"/>
          <w:snapToGrid w:val="0"/>
          <w:szCs w:val="20"/>
          <w:lang w:eastAsia="en-US"/>
        </w:rPr>
        <w:t>.</w:t>
      </w:r>
    </w:p>
    <w:p w:rsidR="00721903" w:rsidRPr="00EB6EFC" w:rsidRDefault="00721903" w:rsidP="00721903">
      <w:pPr>
        <w:widowControl w:val="0"/>
        <w:ind w:left="720"/>
        <w:contextualSpacing/>
        <w:jc w:val="both"/>
        <w:rPr>
          <w:rFonts w:cs="Arial"/>
          <w:snapToGrid w:val="0"/>
          <w:szCs w:val="20"/>
          <w:lang w:eastAsia="en-US"/>
        </w:rPr>
      </w:pPr>
    </w:p>
    <w:p w:rsidR="00187310" w:rsidRDefault="009B68EB" w:rsidP="00721903">
      <w:pPr>
        <w:pStyle w:val="ListParagraph"/>
      </w:pPr>
      <w:r w:rsidRPr="00EB6EFC">
        <w:t xml:space="preserve">The PBAC also recommended a total financial cap, beyond which </w:t>
      </w:r>
      <w:r w:rsidR="006505A5">
        <w:rPr>
          <w:noProof/>
          <w:color w:val="000000"/>
          <w:highlight w:val="black"/>
        </w:rPr>
        <w:t>'''''''''</w:t>
      </w:r>
      <w:r w:rsidRPr="00EB6EFC">
        <w:t>% of expenditure above the cap would be rebated to the Government, rather than a</w:t>
      </w:r>
      <w:r w:rsidR="003458BB" w:rsidRPr="00EB6EFC">
        <w:t>n</w:t>
      </w:r>
      <w:r w:rsidRPr="00EB6EFC">
        <w:t xml:space="preserve"> </w:t>
      </w:r>
      <w:r w:rsidR="00FA0DE6" w:rsidRPr="00EB6EFC">
        <w:t>EOC</w:t>
      </w:r>
      <w:r w:rsidRPr="00EB6EFC">
        <w:t xml:space="preserve"> cap</w:t>
      </w:r>
      <w:r w:rsidR="004A7026" w:rsidRPr="00EB6EFC">
        <w:t>, as proposed by the sponsor</w:t>
      </w:r>
      <w:r w:rsidR="003C12E2" w:rsidRPr="00EB6EFC">
        <w:t xml:space="preserve"> </w:t>
      </w:r>
      <w:r w:rsidR="003C12E2" w:rsidRPr="00EB6EFC">
        <w:rPr>
          <w:szCs w:val="22"/>
        </w:rPr>
        <w:t>(Paragraph 7.11)</w:t>
      </w:r>
      <w:r w:rsidR="00E632A3">
        <w:t>.</w:t>
      </w:r>
    </w:p>
    <w:p w:rsidR="00187310" w:rsidRDefault="00187310" w:rsidP="00721903">
      <w:pPr>
        <w:pStyle w:val="ListParagraph"/>
      </w:pPr>
    </w:p>
    <w:p w:rsidR="009B68EB" w:rsidRPr="00187310" w:rsidRDefault="009B68EB" w:rsidP="006C4ED0">
      <w:pPr>
        <w:pStyle w:val="ListParagraph"/>
        <w:numPr>
          <w:ilvl w:val="1"/>
          <w:numId w:val="5"/>
        </w:numPr>
        <w:rPr>
          <w:szCs w:val="22"/>
        </w:rPr>
      </w:pPr>
      <w:r w:rsidRPr="00187310">
        <w:rPr>
          <w:szCs w:val="22"/>
        </w:rPr>
        <w:t>Additionally the PBAC did not accept that vismodegib was superior in safety to best supportive care</w:t>
      </w:r>
      <w:r w:rsidR="003458BB" w:rsidRPr="00187310">
        <w:rPr>
          <w:szCs w:val="22"/>
        </w:rPr>
        <w:t xml:space="preserve"> due to the high frequency of AEs and the potentially teratogenic and mutagenic nature of vismodegib</w:t>
      </w:r>
      <w:r w:rsidR="003C12E2" w:rsidRPr="00187310">
        <w:rPr>
          <w:szCs w:val="22"/>
        </w:rPr>
        <w:t xml:space="preserve"> </w:t>
      </w:r>
      <w:r w:rsidR="003C12E2" w:rsidRPr="00EB6EFC">
        <w:rPr>
          <w:szCs w:val="22"/>
        </w:rPr>
        <w:t>(Paragraph 7.6)</w:t>
      </w:r>
      <w:r w:rsidR="003458BB" w:rsidRPr="00187310">
        <w:rPr>
          <w:szCs w:val="22"/>
        </w:rPr>
        <w:t>.</w:t>
      </w:r>
    </w:p>
    <w:p w:rsidR="004E180C" w:rsidRPr="00EB6EFC" w:rsidRDefault="004E180C" w:rsidP="00721903">
      <w:pPr>
        <w:pStyle w:val="ListParagraph"/>
      </w:pPr>
    </w:p>
    <w:p w:rsidR="00721903" w:rsidRPr="00870B3A" w:rsidRDefault="009B68EB" w:rsidP="00721903">
      <w:pPr>
        <w:pStyle w:val="ListParagraph"/>
        <w:numPr>
          <w:ilvl w:val="1"/>
          <w:numId w:val="5"/>
        </w:numPr>
      </w:pPr>
      <w:r w:rsidRPr="00EB6EFC">
        <w:t>The</w:t>
      </w:r>
      <w:r w:rsidR="00721903" w:rsidRPr="00EB6EFC">
        <w:t xml:space="preserve"> </w:t>
      </w:r>
      <w:r w:rsidR="004A7026" w:rsidRPr="00EB6EFC">
        <w:t xml:space="preserve">minor </w:t>
      </w:r>
      <w:r w:rsidR="00993564">
        <w:t>resubmission</w:t>
      </w:r>
      <w:r w:rsidR="00721903" w:rsidRPr="00EB6EFC">
        <w:t xml:space="preserve"> </w:t>
      </w:r>
      <w:r w:rsidR="005C419D">
        <w:t>requested PBAC revise its advice in relation to</w:t>
      </w:r>
      <w:r w:rsidR="005C419D" w:rsidRPr="00EB6EFC">
        <w:t xml:space="preserve"> </w:t>
      </w:r>
      <w:r w:rsidR="00721903" w:rsidRPr="00EB6EFC">
        <w:t xml:space="preserve">the following aspects </w:t>
      </w:r>
      <w:r w:rsidR="005C419D">
        <w:t xml:space="preserve">of its </w:t>
      </w:r>
      <w:r w:rsidR="00721903" w:rsidRPr="00EB6EFC">
        <w:t>March 2016</w:t>
      </w:r>
      <w:r w:rsidR="005C419D">
        <w:t xml:space="preserve"> recommendation</w:t>
      </w:r>
      <w:r w:rsidR="00721903" w:rsidRPr="00EB6EFC">
        <w:t xml:space="preserve">: the disfigurement rate </w:t>
      </w:r>
      <w:r w:rsidR="00BB28AD">
        <w:t xml:space="preserve">associated </w:t>
      </w:r>
      <w:r w:rsidR="00721903" w:rsidRPr="00EB6EFC">
        <w:t xml:space="preserve">with vismodegib; the response rate </w:t>
      </w:r>
      <w:r w:rsidR="00BB28AD">
        <w:t xml:space="preserve">associated </w:t>
      </w:r>
      <w:r w:rsidR="00721903" w:rsidRPr="00EB6EFC">
        <w:t>with vismodegib;</w:t>
      </w:r>
      <w:r w:rsidR="00721903" w:rsidRPr="00EB6EFC">
        <w:rPr>
          <w:szCs w:val="22"/>
        </w:rPr>
        <w:t xml:space="preserve"> the price required to achieve an ICER between </w:t>
      </w:r>
      <w:r w:rsidR="00FB246F">
        <w:rPr>
          <w:szCs w:val="22"/>
        </w:rPr>
        <w:t>$45,000 - $75,000</w:t>
      </w:r>
      <w:r w:rsidR="00721903" w:rsidRPr="00EB6EFC">
        <w:rPr>
          <w:szCs w:val="22"/>
        </w:rPr>
        <w:t xml:space="preserve"> per disfigurement-free responder; and the subsidisation caps.</w:t>
      </w:r>
      <w:r w:rsidR="003458BB" w:rsidRPr="00EB6EFC">
        <w:rPr>
          <w:szCs w:val="22"/>
        </w:rPr>
        <w:t xml:space="preserve"> The submission</w:t>
      </w:r>
      <w:r w:rsidR="004A7026" w:rsidRPr="00EB6EFC">
        <w:rPr>
          <w:szCs w:val="22"/>
        </w:rPr>
        <w:t xml:space="preserve"> </w:t>
      </w:r>
      <w:r w:rsidR="003458BB" w:rsidRPr="00EB6EFC">
        <w:rPr>
          <w:szCs w:val="22"/>
        </w:rPr>
        <w:t>did not address the safety profile of vismodegib in comparison with best supportive care, or include costs of AEs (except pneumonia as per the original submission) in the economic analysis.</w:t>
      </w:r>
    </w:p>
    <w:p w:rsidR="00870B3A" w:rsidRPr="00EB6EFC" w:rsidRDefault="00870B3A" w:rsidP="00870B3A">
      <w:pPr>
        <w:pStyle w:val="ListParagraph"/>
      </w:pPr>
    </w:p>
    <w:p w:rsidR="00C45D3D" w:rsidRPr="00EB6EFC" w:rsidRDefault="0044410C" w:rsidP="00C45D3D">
      <w:pPr>
        <w:pStyle w:val="ListParagraph"/>
        <w:numPr>
          <w:ilvl w:val="1"/>
          <w:numId w:val="5"/>
        </w:numPr>
        <w:rPr>
          <w:szCs w:val="22"/>
        </w:rPr>
      </w:pPr>
      <w:r w:rsidRPr="00EB6EFC">
        <w:rPr>
          <w:szCs w:val="22"/>
        </w:rPr>
        <w:t xml:space="preserve">The differences between the previous submission and the </w:t>
      </w:r>
      <w:r w:rsidR="00993564">
        <w:rPr>
          <w:szCs w:val="22"/>
        </w:rPr>
        <w:t>resubmission</w:t>
      </w:r>
      <w:r w:rsidRPr="00EB6EFC">
        <w:rPr>
          <w:szCs w:val="22"/>
        </w:rPr>
        <w:t xml:space="preserve"> </w:t>
      </w:r>
      <w:r w:rsidR="00D30B20">
        <w:rPr>
          <w:szCs w:val="22"/>
        </w:rPr>
        <w:t>a</w:t>
      </w:r>
      <w:r w:rsidRPr="00EB6EFC">
        <w:rPr>
          <w:szCs w:val="22"/>
        </w:rPr>
        <w:t xml:space="preserve">re </w:t>
      </w:r>
      <w:r w:rsidR="00B81643" w:rsidRPr="00EB6EFC">
        <w:rPr>
          <w:szCs w:val="22"/>
        </w:rPr>
        <w:t>outlin</w:t>
      </w:r>
      <w:r w:rsidR="00E073AB">
        <w:rPr>
          <w:szCs w:val="22"/>
        </w:rPr>
        <w:t>ed in</w:t>
      </w:r>
      <w:r w:rsidR="004E180C">
        <w:rPr>
          <w:szCs w:val="22"/>
        </w:rPr>
        <w:t xml:space="preserve"> T</w:t>
      </w:r>
      <w:r w:rsidRPr="00EB6EFC">
        <w:rPr>
          <w:szCs w:val="22"/>
        </w:rPr>
        <w:t>able</w:t>
      </w:r>
      <w:r w:rsidR="00E073AB">
        <w:rPr>
          <w:szCs w:val="22"/>
        </w:rPr>
        <w:t xml:space="preserve"> 1</w:t>
      </w:r>
      <w:r w:rsidRPr="00EB6EFC">
        <w:rPr>
          <w:szCs w:val="22"/>
        </w:rPr>
        <w:t>.</w:t>
      </w:r>
    </w:p>
    <w:p w:rsidR="006A12A5" w:rsidRPr="00EB6EFC" w:rsidRDefault="006A12A5" w:rsidP="00882085">
      <w:pPr>
        <w:pStyle w:val="ListParagraph"/>
        <w:rPr>
          <w:szCs w:val="22"/>
        </w:rPr>
      </w:pPr>
    </w:p>
    <w:p w:rsidR="0099295E" w:rsidRPr="00EB6EFC" w:rsidRDefault="0099295E" w:rsidP="0099295E">
      <w:pPr>
        <w:keepNext/>
        <w:rPr>
          <w:rStyle w:val="CommentReference"/>
          <w:rFonts w:ascii="Arial Narrow" w:hAnsi="Arial Narrow"/>
          <w:b/>
          <w:sz w:val="20"/>
          <w:szCs w:val="20"/>
        </w:rPr>
      </w:pPr>
      <w:r w:rsidRPr="00EB6EFC">
        <w:rPr>
          <w:rStyle w:val="CommentReference"/>
          <w:rFonts w:ascii="Arial Narrow" w:hAnsi="Arial Narrow"/>
          <w:b/>
          <w:sz w:val="20"/>
          <w:szCs w:val="20"/>
        </w:rPr>
        <w:t xml:space="preserve">Table 1: Summary of the previous submission and current </w:t>
      </w:r>
      <w:r w:rsidR="00993564">
        <w:rPr>
          <w:rStyle w:val="CommentReference"/>
          <w:rFonts w:ascii="Arial Narrow" w:hAnsi="Arial Narrow"/>
          <w:b/>
          <w:sz w:val="20"/>
          <w:szCs w:val="20"/>
        </w:rPr>
        <w:t>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2"/>
        <w:gridCol w:w="3994"/>
        <w:gridCol w:w="3996"/>
      </w:tblGrid>
      <w:tr w:rsidR="0099295E" w:rsidRPr="00EB6EFC" w:rsidTr="00905758">
        <w:trPr>
          <w:cantSplit/>
          <w:trHeight w:val="20"/>
          <w:tblHeader/>
        </w:trPr>
        <w:tc>
          <w:tcPr>
            <w:tcW w:w="601" w:type="pct"/>
          </w:tcPr>
          <w:p w:rsidR="0099295E" w:rsidRPr="00EB6EFC" w:rsidRDefault="0099295E" w:rsidP="00905758">
            <w:pPr>
              <w:keepNext/>
              <w:rPr>
                <w:rFonts w:ascii="Arial Narrow" w:hAnsi="Arial Narrow"/>
                <w:sz w:val="20"/>
                <w:szCs w:val="20"/>
              </w:rPr>
            </w:pPr>
          </w:p>
        </w:tc>
        <w:tc>
          <w:tcPr>
            <w:tcW w:w="2199" w:type="pct"/>
            <w:vAlign w:val="center"/>
          </w:tcPr>
          <w:p w:rsidR="0099295E" w:rsidRPr="00EB6EFC" w:rsidRDefault="0099295E" w:rsidP="00905758">
            <w:pPr>
              <w:keepNext/>
              <w:jc w:val="center"/>
              <w:rPr>
                <w:rFonts w:ascii="Arial Narrow" w:hAnsi="Arial Narrow"/>
                <w:b/>
                <w:sz w:val="20"/>
                <w:szCs w:val="20"/>
              </w:rPr>
            </w:pPr>
            <w:r w:rsidRPr="00EB6EFC">
              <w:rPr>
                <w:rFonts w:ascii="Arial Narrow" w:hAnsi="Arial Narrow"/>
                <w:b/>
                <w:sz w:val="20"/>
                <w:szCs w:val="20"/>
              </w:rPr>
              <w:t>Vismodegib March 2016</w:t>
            </w:r>
          </w:p>
        </w:tc>
        <w:tc>
          <w:tcPr>
            <w:tcW w:w="2200" w:type="pct"/>
            <w:vAlign w:val="center"/>
          </w:tcPr>
          <w:p w:rsidR="0099295E" w:rsidRPr="00EB6EFC" w:rsidRDefault="0099295E" w:rsidP="00905758">
            <w:pPr>
              <w:keepNext/>
              <w:jc w:val="center"/>
              <w:rPr>
                <w:rFonts w:ascii="Arial Narrow" w:hAnsi="Arial Narrow"/>
                <w:b/>
                <w:sz w:val="20"/>
                <w:szCs w:val="20"/>
              </w:rPr>
            </w:pPr>
            <w:r w:rsidRPr="00EB6EFC">
              <w:rPr>
                <w:rFonts w:ascii="Arial Narrow" w:hAnsi="Arial Narrow"/>
                <w:b/>
                <w:sz w:val="20"/>
                <w:szCs w:val="20"/>
              </w:rPr>
              <w:t xml:space="preserve">Current </w:t>
            </w:r>
            <w:r w:rsidR="00993564">
              <w:rPr>
                <w:rFonts w:ascii="Arial Narrow" w:hAnsi="Arial Narrow"/>
                <w:b/>
                <w:sz w:val="20"/>
                <w:szCs w:val="20"/>
              </w:rPr>
              <w:t>resubmission</w:t>
            </w:r>
          </w:p>
        </w:tc>
      </w:tr>
      <w:tr w:rsidR="0099295E" w:rsidRPr="00EB6EFC" w:rsidTr="00905758">
        <w:trPr>
          <w:cantSplit/>
          <w:trHeight w:val="20"/>
        </w:trPr>
        <w:tc>
          <w:tcPr>
            <w:tcW w:w="601" w:type="pct"/>
          </w:tcPr>
          <w:p w:rsidR="0099295E" w:rsidRPr="00EB6EFC" w:rsidRDefault="0099295E" w:rsidP="00905758">
            <w:pPr>
              <w:keepNext/>
              <w:rPr>
                <w:rFonts w:ascii="Arial Narrow" w:hAnsi="Arial Narrow"/>
                <w:sz w:val="20"/>
                <w:szCs w:val="20"/>
              </w:rPr>
            </w:pPr>
            <w:r w:rsidRPr="00EB6EFC">
              <w:rPr>
                <w:rFonts w:ascii="Arial Narrow" w:hAnsi="Arial Narrow"/>
                <w:sz w:val="20"/>
                <w:szCs w:val="20"/>
              </w:rPr>
              <w:t>Requested PBS listing</w:t>
            </w:r>
          </w:p>
        </w:tc>
        <w:tc>
          <w:tcPr>
            <w:tcW w:w="2199" w:type="pct"/>
          </w:tcPr>
          <w:p w:rsidR="0099295E" w:rsidRPr="00EB6EFC" w:rsidRDefault="0099295E" w:rsidP="00905758">
            <w:pPr>
              <w:keepNext/>
              <w:rPr>
                <w:rFonts w:ascii="Arial Narrow" w:hAnsi="Arial Narrow"/>
                <w:sz w:val="20"/>
                <w:szCs w:val="20"/>
              </w:rPr>
            </w:pPr>
            <w:r w:rsidRPr="00EB6EFC">
              <w:rPr>
                <w:rFonts w:ascii="Arial Narrow" w:hAnsi="Arial Narrow"/>
                <w:sz w:val="20"/>
                <w:szCs w:val="20"/>
              </w:rPr>
              <w:t xml:space="preserve">Section 85, restricted benefit listing for </w:t>
            </w:r>
            <w:r w:rsidR="00C574F8" w:rsidRPr="00EB6EFC">
              <w:rPr>
                <w:rFonts w:ascii="Arial Narrow" w:hAnsi="Arial Narrow"/>
                <w:sz w:val="20"/>
                <w:szCs w:val="20"/>
              </w:rPr>
              <w:t>the</w:t>
            </w:r>
            <w:r w:rsidRPr="00EB6EFC">
              <w:rPr>
                <w:rFonts w:ascii="Arial Narrow" w:hAnsi="Arial Narrow"/>
                <w:sz w:val="20"/>
                <w:szCs w:val="20"/>
              </w:rPr>
              <w:t xml:space="preserve"> treatment of adults with metastatic or locally advanced BCC where surgery and radiation are not appropriate.</w:t>
            </w:r>
          </w:p>
          <w:p w:rsidR="0099295E" w:rsidRPr="00EB6EFC" w:rsidRDefault="0099295E" w:rsidP="00905758">
            <w:pPr>
              <w:keepNext/>
              <w:rPr>
                <w:rFonts w:ascii="Arial Narrow" w:hAnsi="Arial Narrow"/>
                <w:sz w:val="20"/>
                <w:szCs w:val="20"/>
              </w:rPr>
            </w:pPr>
          </w:p>
          <w:p w:rsidR="0099295E" w:rsidRPr="00EB6EFC" w:rsidRDefault="0099295E" w:rsidP="00905758">
            <w:pPr>
              <w:keepNext/>
              <w:rPr>
                <w:rFonts w:ascii="Arial Narrow" w:hAnsi="Arial Narrow"/>
                <w:b/>
                <w:sz w:val="20"/>
                <w:szCs w:val="20"/>
              </w:rPr>
            </w:pPr>
            <w:r w:rsidRPr="00EB6EFC">
              <w:rPr>
                <w:rFonts w:ascii="Arial Narrow" w:hAnsi="Arial Narrow"/>
                <w:b/>
                <w:sz w:val="20"/>
                <w:szCs w:val="20"/>
              </w:rPr>
              <w:t xml:space="preserve">PBAC Comment: </w:t>
            </w:r>
            <w:r w:rsidRPr="00176FFA">
              <w:rPr>
                <w:rFonts w:ascii="Arial Narrow" w:hAnsi="Arial Narrow"/>
                <w:sz w:val="20"/>
                <w:szCs w:val="20"/>
              </w:rPr>
              <w:t>wording of restriction was sufficient to limit access to the target population (para 7.4)</w:t>
            </w:r>
          </w:p>
        </w:tc>
        <w:tc>
          <w:tcPr>
            <w:tcW w:w="2200" w:type="pct"/>
          </w:tcPr>
          <w:p w:rsidR="0099295E" w:rsidRPr="00EB6EFC" w:rsidRDefault="0099295E" w:rsidP="00905758">
            <w:pPr>
              <w:keepNext/>
              <w:rPr>
                <w:rFonts w:ascii="Arial Narrow" w:hAnsi="Arial Narrow"/>
                <w:sz w:val="20"/>
                <w:szCs w:val="20"/>
              </w:rPr>
            </w:pPr>
            <w:r w:rsidRPr="00EB6EFC">
              <w:rPr>
                <w:rFonts w:ascii="Arial Narrow" w:hAnsi="Arial Narrow"/>
                <w:sz w:val="20"/>
                <w:szCs w:val="20"/>
              </w:rPr>
              <w:t xml:space="preserve">No </w:t>
            </w:r>
            <w:r w:rsidR="003458BB" w:rsidRPr="00EB6EFC">
              <w:rPr>
                <w:rFonts w:ascii="Arial Narrow" w:hAnsi="Arial Narrow"/>
                <w:sz w:val="20"/>
                <w:szCs w:val="20"/>
              </w:rPr>
              <w:t>c</w:t>
            </w:r>
            <w:r w:rsidRPr="00EB6EFC">
              <w:rPr>
                <w:rFonts w:ascii="Arial Narrow" w:hAnsi="Arial Narrow"/>
                <w:sz w:val="20"/>
                <w:szCs w:val="20"/>
              </w:rPr>
              <w:t>hange</w:t>
            </w:r>
          </w:p>
        </w:tc>
      </w:tr>
      <w:tr w:rsidR="0099295E" w:rsidRPr="00EB6EFC" w:rsidTr="00905758">
        <w:trPr>
          <w:cantSplit/>
          <w:trHeight w:val="20"/>
        </w:trPr>
        <w:tc>
          <w:tcPr>
            <w:tcW w:w="601"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Requested price</w:t>
            </w:r>
          </w:p>
        </w:tc>
        <w:tc>
          <w:tcPr>
            <w:tcW w:w="2199" w:type="pct"/>
          </w:tcPr>
          <w:p w:rsidR="0099295E" w:rsidRPr="00EB6EFC" w:rsidRDefault="00281DCC" w:rsidP="00905758">
            <w:pPr>
              <w:rPr>
                <w:rFonts w:ascii="Arial Narrow" w:hAnsi="Arial Narrow"/>
                <w:sz w:val="20"/>
                <w:szCs w:val="20"/>
              </w:rPr>
            </w:pPr>
            <w:r w:rsidRPr="00EB6EFC">
              <w:rPr>
                <w:rFonts w:ascii="Arial Narrow" w:hAnsi="Arial Narrow"/>
                <w:sz w:val="20"/>
                <w:szCs w:val="20"/>
              </w:rPr>
              <w:t>E</w:t>
            </w:r>
            <w:r w:rsidR="0099295E" w:rsidRPr="00EB6EFC">
              <w:rPr>
                <w:rFonts w:ascii="Arial Narrow" w:hAnsi="Arial Narrow"/>
                <w:sz w:val="20"/>
                <w:szCs w:val="20"/>
              </w:rPr>
              <w:t>x-manufacturer price: $</w:t>
            </w:r>
            <w:r w:rsidR="006505A5">
              <w:rPr>
                <w:rFonts w:ascii="Arial Narrow" w:hAnsi="Arial Narrow"/>
                <w:noProof/>
                <w:color w:val="000000"/>
                <w:sz w:val="20"/>
                <w:szCs w:val="20"/>
                <w:highlight w:val="black"/>
              </w:rPr>
              <w:t>'''''''''''''''''''</w:t>
            </w:r>
            <w:r w:rsidR="00E632A3">
              <w:rPr>
                <w:rFonts w:ascii="Arial Narrow" w:hAnsi="Arial Narrow"/>
                <w:sz w:val="20"/>
                <w:szCs w:val="20"/>
              </w:rPr>
              <w:t>.</w:t>
            </w:r>
          </w:p>
          <w:p w:rsidR="0099295E" w:rsidRPr="00EB6EFC" w:rsidRDefault="0099295E" w:rsidP="00905758">
            <w:pPr>
              <w:rPr>
                <w:rFonts w:ascii="Arial Narrow" w:hAnsi="Arial Narrow"/>
                <w:sz w:val="20"/>
                <w:szCs w:val="20"/>
              </w:rPr>
            </w:pPr>
            <w:r w:rsidRPr="00EB6EFC">
              <w:rPr>
                <w:rFonts w:ascii="Arial Narrow" w:hAnsi="Arial Narrow"/>
                <w:sz w:val="20"/>
                <w:szCs w:val="20"/>
              </w:rPr>
              <w:t>DPMQ: $</w:t>
            </w:r>
            <w:r w:rsidR="006505A5">
              <w:rPr>
                <w:rFonts w:ascii="Arial Narrow" w:hAnsi="Arial Narrow"/>
                <w:noProof/>
                <w:color w:val="000000"/>
                <w:sz w:val="20"/>
                <w:szCs w:val="20"/>
                <w:highlight w:val="black"/>
              </w:rPr>
              <w:t>'''''''''''''''''''''''</w:t>
            </w:r>
            <w:r w:rsidRPr="00EB6EFC">
              <w:rPr>
                <w:rFonts w:ascii="Arial Narrow" w:hAnsi="Arial Narrow"/>
                <w:sz w:val="20"/>
                <w:szCs w:val="20"/>
              </w:rPr>
              <w:t>.</w:t>
            </w:r>
          </w:p>
          <w:p w:rsidR="0099295E" w:rsidRPr="00EB6EFC" w:rsidRDefault="00281DCC" w:rsidP="00905758">
            <w:pPr>
              <w:rPr>
                <w:rFonts w:ascii="Arial Narrow" w:hAnsi="Arial Narrow"/>
                <w:sz w:val="20"/>
                <w:szCs w:val="20"/>
              </w:rPr>
            </w:pPr>
            <w:r w:rsidRPr="00EB6EFC">
              <w:rPr>
                <w:rFonts w:ascii="Arial Narrow" w:hAnsi="Arial Narrow"/>
                <w:sz w:val="20"/>
                <w:szCs w:val="20"/>
              </w:rPr>
              <w:t>(No published versus effective price was proposed)</w:t>
            </w:r>
          </w:p>
          <w:p w:rsidR="00FD0245" w:rsidRPr="00EB6EFC" w:rsidRDefault="00FD0245" w:rsidP="00905758">
            <w:pPr>
              <w:rPr>
                <w:rFonts w:ascii="Arial Narrow" w:hAnsi="Arial Narrow"/>
                <w:sz w:val="20"/>
                <w:szCs w:val="20"/>
              </w:rPr>
            </w:pPr>
          </w:p>
          <w:p w:rsidR="0099295E" w:rsidRPr="00EB6EFC" w:rsidRDefault="0099295E" w:rsidP="00905758">
            <w:pPr>
              <w:rPr>
                <w:rFonts w:ascii="Arial Narrow" w:hAnsi="Arial Narrow"/>
                <w:b/>
                <w:sz w:val="20"/>
                <w:szCs w:val="20"/>
              </w:rPr>
            </w:pPr>
            <w:r w:rsidRPr="00EB6EFC">
              <w:rPr>
                <w:rFonts w:ascii="Arial Narrow" w:hAnsi="Arial Narrow"/>
                <w:b/>
                <w:sz w:val="20"/>
                <w:szCs w:val="20"/>
              </w:rPr>
              <w:t xml:space="preserve">PBAC Comment: </w:t>
            </w:r>
            <w:r w:rsidRPr="00EB6EFC">
              <w:rPr>
                <w:rFonts w:ascii="Arial Narrow" w:hAnsi="Arial Narrow"/>
                <w:sz w:val="20"/>
                <w:szCs w:val="20"/>
              </w:rPr>
              <w:t xml:space="preserve">The PBAC considered that a price reduction of at least </w:t>
            </w:r>
            <w:r w:rsidR="006505A5">
              <w:rPr>
                <w:rFonts w:ascii="Arial Narrow" w:hAnsi="Arial Narrow"/>
                <w:noProof/>
                <w:color w:val="000000"/>
                <w:sz w:val="20"/>
                <w:szCs w:val="20"/>
                <w:highlight w:val="black"/>
              </w:rPr>
              <w:t>''''''</w:t>
            </w:r>
            <w:r w:rsidRPr="00EB6EFC">
              <w:rPr>
                <w:rFonts w:ascii="Arial Narrow" w:hAnsi="Arial Narrow"/>
                <w:sz w:val="20"/>
                <w:szCs w:val="20"/>
              </w:rPr>
              <w:t>% was required to achieve a high but acceptable ICER per disfigurement-free responder (para 7.10).</w:t>
            </w:r>
          </w:p>
        </w:tc>
        <w:tc>
          <w:tcPr>
            <w:tcW w:w="2200"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 xml:space="preserve">An additional </w:t>
            </w:r>
            <w:r w:rsidR="006505A5">
              <w:rPr>
                <w:rFonts w:ascii="Arial Narrow" w:hAnsi="Arial Narrow"/>
                <w:noProof/>
                <w:color w:val="000000"/>
                <w:sz w:val="20"/>
                <w:szCs w:val="20"/>
                <w:highlight w:val="black"/>
              </w:rPr>
              <w:t>''''''</w:t>
            </w:r>
            <w:r w:rsidR="00E632A3">
              <w:rPr>
                <w:rFonts w:ascii="Arial Narrow" w:hAnsi="Arial Narrow"/>
                <w:sz w:val="20"/>
                <w:szCs w:val="20"/>
              </w:rPr>
              <w:t>% rebate was proposed.</w:t>
            </w:r>
          </w:p>
          <w:p w:rsidR="0099295E" w:rsidRPr="00EB6EFC" w:rsidRDefault="0099295E" w:rsidP="00905758">
            <w:pPr>
              <w:rPr>
                <w:rFonts w:ascii="Arial Narrow" w:hAnsi="Arial Narrow"/>
                <w:sz w:val="20"/>
                <w:szCs w:val="20"/>
              </w:rPr>
            </w:pPr>
          </w:p>
          <w:p w:rsidR="0099295E" w:rsidRPr="00EB6EFC" w:rsidRDefault="0099295E" w:rsidP="00905758">
            <w:pPr>
              <w:rPr>
                <w:rFonts w:ascii="Arial Narrow" w:hAnsi="Arial Narrow"/>
                <w:sz w:val="20"/>
                <w:szCs w:val="20"/>
              </w:rPr>
            </w:pPr>
            <w:r w:rsidRPr="00EB6EFC">
              <w:rPr>
                <w:rFonts w:ascii="Arial Narrow" w:hAnsi="Arial Narrow"/>
                <w:sz w:val="20"/>
                <w:szCs w:val="20"/>
              </w:rPr>
              <w:t xml:space="preserve">Effective ex-manufacturer price </w:t>
            </w:r>
            <w:r w:rsidR="007B6931" w:rsidRPr="00EB6EFC">
              <w:rPr>
                <w:rFonts w:ascii="Arial Narrow" w:hAnsi="Arial Narrow"/>
                <w:sz w:val="20"/>
                <w:szCs w:val="20"/>
              </w:rPr>
              <w:t>a</w:t>
            </w:r>
            <w:r w:rsidRPr="00EB6EFC">
              <w:rPr>
                <w:rFonts w:ascii="Arial Narrow" w:hAnsi="Arial Narrow"/>
                <w:sz w:val="20"/>
                <w:szCs w:val="20"/>
              </w:rPr>
              <w:t xml:space="preserve">fter </w:t>
            </w:r>
            <w:r w:rsidR="006505A5">
              <w:rPr>
                <w:rFonts w:ascii="Arial Narrow" w:hAnsi="Arial Narrow"/>
                <w:noProof/>
                <w:color w:val="000000"/>
                <w:sz w:val="20"/>
                <w:szCs w:val="20"/>
                <w:highlight w:val="black"/>
              </w:rPr>
              <w:t>''''''</w:t>
            </w:r>
            <w:r w:rsidRPr="00EB6EFC">
              <w:rPr>
                <w:rFonts w:ascii="Arial Narrow" w:hAnsi="Arial Narrow"/>
                <w:sz w:val="20"/>
                <w:szCs w:val="20"/>
              </w:rPr>
              <w:t>% rebate: $</w:t>
            </w:r>
            <w:r w:rsidR="006505A5">
              <w:rPr>
                <w:rFonts w:ascii="Arial Narrow" w:hAnsi="Arial Narrow"/>
                <w:noProof/>
                <w:color w:val="000000"/>
                <w:sz w:val="20"/>
                <w:szCs w:val="20"/>
                <w:highlight w:val="black"/>
              </w:rPr>
              <w:t>'''''''''''''''''''''</w:t>
            </w:r>
            <w:r w:rsidR="00E632A3">
              <w:rPr>
                <w:rFonts w:ascii="Arial Narrow" w:hAnsi="Arial Narrow"/>
                <w:sz w:val="20"/>
                <w:szCs w:val="20"/>
              </w:rPr>
              <w:t>.</w:t>
            </w:r>
          </w:p>
          <w:p w:rsidR="00FD0245" w:rsidRPr="00EB6EFC" w:rsidRDefault="0099295E" w:rsidP="007B6931">
            <w:pPr>
              <w:rPr>
                <w:rFonts w:ascii="Arial Narrow" w:hAnsi="Arial Narrow"/>
                <w:sz w:val="20"/>
                <w:szCs w:val="20"/>
              </w:rPr>
            </w:pPr>
            <w:r w:rsidRPr="00EB6EFC">
              <w:rPr>
                <w:rFonts w:ascii="Arial Narrow" w:hAnsi="Arial Narrow"/>
                <w:sz w:val="20"/>
                <w:szCs w:val="20"/>
              </w:rPr>
              <w:t xml:space="preserve">Effective DPMQ </w:t>
            </w:r>
            <w:r w:rsidR="007B6931" w:rsidRPr="00EB6EFC">
              <w:rPr>
                <w:rFonts w:ascii="Arial Narrow" w:hAnsi="Arial Narrow"/>
                <w:sz w:val="20"/>
                <w:szCs w:val="20"/>
              </w:rPr>
              <w:t>a</w:t>
            </w:r>
            <w:r w:rsidRPr="00EB6EFC">
              <w:rPr>
                <w:rFonts w:ascii="Arial Narrow" w:hAnsi="Arial Narrow"/>
                <w:sz w:val="20"/>
                <w:szCs w:val="20"/>
              </w:rPr>
              <w:t xml:space="preserve">fter </w:t>
            </w:r>
            <w:r w:rsidR="006505A5">
              <w:rPr>
                <w:rFonts w:ascii="Arial Narrow" w:hAnsi="Arial Narrow"/>
                <w:noProof/>
                <w:color w:val="000000"/>
                <w:sz w:val="20"/>
                <w:szCs w:val="20"/>
                <w:highlight w:val="black"/>
              </w:rPr>
              <w:t>'''''''</w:t>
            </w:r>
            <w:r w:rsidRPr="00EB6EFC">
              <w:rPr>
                <w:rFonts w:ascii="Arial Narrow" w:hAnsi="Arial Narrow"/>
                <w:sz w:val="20"/>
                <w:szCs w:val="20"/>
              </w:rPr>
              <w:t>% rebate: $</w:t>
            </w:r>
            <w:r w:rsidR="006505A5">
              <w:rPr>
                <w:rFonts w:ascii="Arial Narrow" w:hAnsi="Arial Narrow"/>
                <w:noProof/>
                <w:color w:val="000000"/>
                <w:sz w:val="20"/>
                <w:szCs w:val="20"/>
                <w:highlight w:val="black"/>
              </w:rPr>
              <w:t>'''''''''''''''''''''''</w:t>
            </w:r>
            <w:r w:rsidRPr="00EB6EFC">
              <w:rPr>
                <w:rFonts w:ascii="Arial Narrow" w:hAnsi="Arial Narrow"/>
                <w:sz w:val="20"/>
                <w:szCs w:val="20"/>
              </w:rPr>
              <w:t>.</w:t>
            </w:r>
          </w:p>
          <w:p w:rsidR="00FD0245" w:rsidRPr="00EB6EFC" w:rsidRDefault="00FD0245" w:rsidP="007B6931">
            <w:pPr>
              <w:rPr>
                <w:rFonts w:ascii="Arial Narrow" w:hAnsi="Arial Narrow"/>
                <w:sz w:val="20"/>
                <w:szCs w:val="20"/>
              </w:rPr>
            </w:pPr>
          </w:p>
          <w:p w:rsidR="00FD0245" w:rsidRPr="00EB6EFC" w:rsidRDefault="00D070E4" w:rsidP="00FD0245">
            <w:pPr>
              <w:rPr>
                <w:rFonts w:ascii="Arial Narrow" w:hAnsi="Arial Narrow"/>
                <w:sz w:val="20"/>
                <w:szCs w:val="20"/>
              </w:rPr>
            </w:pPr>
            <w:r>
              <w:rPr>
                <w:rFonts w:ascii="Arial Narrow" w:hAnsi="Arial Narrow"/>
                <w:sz w:val="20"/>
                <w:szCs w:val="20"/>
              </w:rPr>
              <w:t>The</w:t>
            </w:r>
            <w:r w:rsidR="00FD0245" w:rsidRPr="00EB6EFC">
              <w:rPr>
                <w:rFonts w:ascii="Arial Narrow" w:hAnsi="Arial Narrow"/>
                <w:sz w:val="20"/>
                <w:szCs w:val="20"/>
              </w:rPr>
              <w:t xml:space="preserve"> price reduction</w:t>
            </w:r>
            <w:r>
              <w:rPr>
                <w:rFonts w:ascii="Arial Narrow" w:hAnsi="Arial Narrow"/>
                <w:sz w:val="20"/>
                <w:szCs w:val="20"/>
              </w:rPr>
              <w:t xml:space="preserve"> offered is less than </w:t>
            </w:r>
            <w:r w:rsidR="006505A5">
              <w:rPr>
                <w:rFonts w:ascii="Arial Narrow" w:hAnsi="Arial Narrow"/>
                <w:noProof/>
                <w:color w:val="000000"/>
                <w:sz w:val="20"/>
                <w:szCs w:val="20"/>
                <w:highlight w:val="black"/>
              </w:rPr>
              <w:t>''''''</w:t>
            </w:r>
            <w:r>
              <w:rPr>
                <w:rFonts w:ascii="Arial Narrow" w:hAnsi="Arial Narrow"/>
                <w:sz w:val="20"/>
                <w:szCs w:val="20"/>
              </w:rPr>
              <w:t>%</w:t>
            </w:r>
            <w:r w:rsidR="00FD0245" w:rsidRPr="00EB6EFC">
              <w:rPr>
                <w:rFonts w:ascii="Arial Narrow" w:hAnsi="Arial Narrow"/>
                <w:sz w:val="20"/>
                <w:szCs w:val="20"/>
              </w:rPr>
              <w:t>.</w:t>
            </w:r>
          </w:p>
          <w:p w:rsidR="0099295E" w:rsidRPr="00EB6EFC" w:rsidRDefault="0099295E" w:rsidP="007B6931">
            <w:pPr>
              <w:rPr>
                <w:rFonts w:ascii="Arial Narrow" w:hAnsi="Arial Narrow"/>
                <w:sz w:val="20"/>
                <w:szCs w:val="20"/>
                <w:highlight w:val="yellow"/>
              </w:rPr>
            </w:pPr>
            <w:r w:rsidRPr="00EB6EFC">
              <w:rPr>
                <w:rFonts w:ascii="Arial Narrow" w:hAnsi="Arial Narrow"/>
                <w:sz w:val="20"/>
                <w:szCs w:val="20"/>
              </w:rPr>
              <w:tab/>
            </w:r>
          </w:p>
        </w:tc>
      </w:tr>
      <w:tr w:rsidR="0099295E" w:rsidRPr="00EB6EFC" w:rsidTr="00905758">
        <w:trPr>
          <w:cantSplit/>
          <w:trHeight w:val="20"/>
        </w:trPr>
        <w:tc>
          <w:tcPr>
            <w:tcW w:w="601"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Main comparator</w:t>
            </w:r>
          </w:p>
        </w:tc>
        <w:tc>
          <w:tcPr>
            <w:tcW w:w="2199"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 xml:space="preserve">Main comparator: Best supportive care or </w:t>
            </w:r>
            <w:r w:rsidR="007B6931" w:rsidRPr="00EB6EFC">
              <w:rPr>
                <w:rFonts w:ascii="Arial Narrow" w:hAnsi="Arial Narrow"/>
                <w:sz w:val="20"/>
                <w:szCs w:val="20"/>
              </w:rPr>
              <w:t>s</w:t>
            </w:r>
            <w:r w:rsidRPr="00EB6EFC">
              <w:rPr>
                <w:rFonts w:ascii="Arial Narrow" w:hAnsi="Arial Narrow"/>
                <w:sz w:val="20"/>
                <w:szCs w:val="20"/>
              </w:rPr>
              <w:t>urgery</w:t>
            </w:r>
          </w:p>
          <w:p w:rsidR="0099295E" w:rsidRPr="00EB6EFC" w:rsidRDefault="0099295E" w:rsidP="00905758">
            <w:pPr>
              <w:rPr>
                <w:rFonts w:ascii="Arial Narrow" w:hAnsi="Arial Narrow"/>
                <w:b/>
                <w:sz w:val="20"/>
                <w:szCs w:val="20"/>
              </w:rPr>
            </w:pPr>
            <w:r w:rsidRPr="00EB6EFC">
              <w:rPr>
                <w:rFonts w:ascii="Arial Narrow" w:hAnsi="Arial Narrow"/>
                <w:b/>
                <w:sz w:val="20"/>
                <w:szCs w:val="20"/>
              </w:rPr>
              <w:t>Accepted by PBAC</w:t>
            </w:r>
            <w:r w:rsidR="004F43B4" w:rsidRPr="00EB6EFC">
              <w:rPr>
                <w:rFonts w:ascii="Arial Narrow" w:hAnsi="Arial Narrow"/>
                <w:b/>
                <w:sz w:val="20"/>
                <w:szCs w:val="20"/>
              </w:rPr>
              <w:t xml:space="preserve"> </w:t>
            </w:r>
            <w:r w:rsidRPr="00EB6EFC">
              <w:rPr>
                <w:rFonts w:ascii="Arial Narrow" w:hAnsi="Arial Narrow"/>
                <w:b/>
                <w:sz w:val="20"/>
                <w:szCs w:val="20"/>
              </w:rPr>
              <w:t>(para 7.5)</w:t>
            </w:r>
          </w:p>
        </w:tc>
        <w:tc>
          <w:tcPr>
            <w:tcW w:w="2200"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No change</w:t>
            </w:r>
          </w:p>
        </w:tc>
      </w:tr>
      <w:tr w:rsidR="0099295E" w:rsidRPr="00EB6EFC" w:rsidTr="00905758">
        <w:trPr>
          <w:cantSplit/>
          <w:trHeight w:val="20"/>
        </w:trPr>
        <w:tc>
          <w:tcPr>
            <w:tcW w:w="601" w:type="pct"/>
            <w:shd w:val="clear" w:color="auto" w:fill="auto"/>
          </w:tcPr>
          <w:p w:rsidR="0099295E" w:rsidRPr="00EB6EFC" w:rsidRDefault="0099295E" w:rsidP="00905758">
            <w:pPr>
              <w:rPr>
                <w:rFonts w:ascii="Arial Narrow" w:hAnsi="Arial Narrow"/>
                <w:sz w:val="20"/>
                <w:szCs w:val="20"/>
              </w:rPr>
            </w:pPr>
            <w:r w:rsidRPr="00EB6EFC">
              <w:rPr>
                <w:rFonts w:ascii="Arial Narrow" w:hAnsi="Arial Narrow"/>
                <w:sz w:val="20"/>
                <w:szCs w:val="20"/>
              </w:rPr>
              <w:lastRenderedPageBreak/>
              <w:t>Clinical evidence</w:t>
            </w:r>
          </w:p>
        </w:tc>
        <w:tc>
          <w:tcPr>
            <w:tcW w:w="2199"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Three non-randomised, open-label, single-arm studies for vismodegib:</w:t>
            </w:r>
          </w:p>
          <w:p w:rsidR="0099295E" w:rsidRPr="00EB6EFC" w:rsidRDefault="0099295E" w:rsidP="004F43B4">
            <w:pPr>
              <w:pStyle w:val="ListParagraph"/>
              <w:numPr>
                <w:ilvl w:val="0"/>
                <w:numId w:val="21"/>
              </w:numPr>
              <w:rPr>
                <w:rFonts w:ascii="Arial Narrow" w:hAnsi="Arial Narrow"/>
                <w:sz w:val="20"/>
              </w:rPr>
            </w:pPr>
            <w:r w:rsidRPr="00EB6EFC">
              <w:rPr>
                <w:rFonts w:ascii="Arial Narrow" w:hAnsi="Arial Narrow"/>
                <w:sz w:val="20"/>
              </w:rPr>
              <w:t>STEVIE interim update</w:t>
            </w:r>
          </w:p>
          <w:p w:rsidR="0099295E" w:rsidRPr="00EB6EFC" w:rsidRDefault="0099295E" w:rsidP="004F43B4">
            <w:pPr>
              <w:pStyle w:val="ListParagraph"/>
              <w:numPr>
                <w:ilvl w:val="0"/>
                <w:numId w:val="21"/>
              </w:numPr>
              <w:rPr>
                <w:rFonts w:ascii="Arial Narrow" w:hAnsi="Arial Narrow"/>
                <w:sz w:val="20"/>
              </w:rPr>
            </w:pPr>
            <w:r w:rsidRPr="00EB6EFC">
              <w:rPr>
                <w:rFonts w:ascii="Arial Narrow" w:hAnsi="Arial Narrow"/>
                <w:sz w:val="20"/>
              </w:rPr>
              <w:t>ERIVANCE (30-month update)</w:t>
            </w:r>
          </w:p>
          <w:p w:rsidR="0099295E" w:rsidRPr="00EB6EFC" w:rsidRDefault="0099295E" w:rsidP="004F43B4">
            <w:pPr>
              <w:pStyle w:val="ListParagraph"/>
              <w:numPr>
                <w:ilvl w:val="0"/>
                <w:numId w:val="21"/>
              </w:numPr>
              <w:rPr>
                <w:rFonts w:ascii="Arial Narrow" w:hAnsi="Arial Narrow"/>
                <w:sz w:val="20"/>
              </w:rPr>
            </w:pPr>
            <w:r w:rsidRPr="00EB6EFC">
              <w:rPr>
                <w:rFonts w:ascii="Arial Narrow" w:hAnsi="Arial Narrow"/>
                <w:sz w:val="20"/>
              </w:rPr>
              <w:t>Chang 2014</w:t>
            </w:r>
          </w:p>
          <w:p w:rsidR="0099295E" w:rsidRPr="00EB6EFC" w:rsidRDefault="00475D87" w:rsidP="00905758">
            <w:pPr>
              <w:rPr>
                <w:rFonts w:ascii="Arial Narrow" w:hAnsi="Arial Narrow"/>
                <w:sz w:val="20"/>
                <w:szCs w:val="20"/>
              </w:rPr>
            </w:pPr>
            <w:r w:rsidRPr="00EB6EFC">
              <w:rPr>
                <w:rFonts w:ascii="Arial Narrow" w:hAnsi="Arial Narrow"/>
                <w:sz w:val="20"/>
                <w:szCs w:val="20"/>
              </w:rPr>
              <w:t>O</w:t>
            </w:r>
            <w:r w:rsidR="0099295E" w:rsidRPr="00EB6EFC">
              <w:rPr>
                <w:rFonts w:ascii="Arial Narrow" w:hAnsi="Arial Narrow"/>
                <w:sz w:val="20"/>
                <w:szCs w:val="20"/>
              </w:rPr>
              <w:t>ne retrospective cohort study for surgery:</w:t>
            </w:r>
          </w:p>
          <w:p w:rsidR="004F43B4" w:rsidRPr="00EB6EFC" w:rsidRDefault="0099295E" w:rsidP="004F43B4">
            <w:pPr>
              <w:pStyle w:val="ListParagraph"/>
              <w:numPr>
                <w:ilvl w:val="0"/>
                <w:numId w:val="21"/>
              </w:numPr>
              <w:rPr>
                <w:rFonts w:ascii="Arial Narrow" w:hAnsi="Arial Narrow"/>
                <w:sz w:val="20"/>
              </w:rPr>
            </w:pPr>
            <w:r w:rsidRPr="00EB6EFC">
              <w:rPr>
                <w:rFonts w:ascii="Arial Narrow" w:hAnsi="Arial Narrow"/>
                <w:sz w:val="20"/>
              </w:rPr>
              <w:t>Schwipper (2011)</w:t>
            </w:r>
          </w:p>
        </w:tc>
        <w:tc>
          <w:tcPr>
            <w:tcW w:w="2200" w:type="pct"/>
          </w:tcPr>
          <w:p w:rsidR="0099295E" w:rsidRPr="00EB6EFC" w:rsidRDefault="0099295E" w:rsidP="00905758">
            <w:pPr>
              <w:rPr>
                <w:rFonts w:ascii="Arial Narrow" w:hAnsi="Arial Narrow"/>
                <w:sz w:val="20"/>
                <w:szCs w:val="20"/>
                <w:highlight w:val="yellow"/>
              </w:rPr>
            </w:pPr>
            <w:r w:rsidRPr="00EB6EFC">
              <w:rPr>
                <w:rFonts w:ascii="Arial Narrow" w:hAnsi="Arial Narrow"/>
                <w:sz w:val="20"/>
                <w:szCs w:val="20"/>
              </w:rPr>
              <w:t>Updated data from the ongoing STEVIE study.</w:t>
            </w:r>
          </w:p>
        </w:tc>
      </w:tr>
      <w:tr w:rsidR="0099295E" w:rsidRPr="00EB6EFC" w:rsidTr="00905758">
        <w:trPr>
          <w:cantSplit/>
          <w:trHeight w:val="20"/>
        </w:trPr>
        <w:tc>
          <w:tcPr>
            <w:tcW w:w="601" w:type="pct"/>
          </w:tcPr>
          <w:p w:rsidR="0099295E" w:rsidRPr="00EB6EFC" w:rsidRDefault="0099295E" w:rsidP="00905758">
            <w:pPr>
              <w:rPr>
                <w:rFonts w:ascii="Arial Narrow" w:hAnsi="Arial Narrow"/>
                <w:sz w:val="20"/>
                <w:szCs w:val="20"/>
                <w:highlight w:val="yellow"/>
              </w:rPr>
            </w:pPr>
            <w:r w:rsidRPr="00EB6EFC">
              <w:rPr>
                <w:rFonts w:ascii="Arial Narrow" w:hAnsi="Arial Narrow"/>
                <w:sz w:val="20"/>
                <w:szCs w:val="20"/>
              </w:rPr>
              <w:t>Key effectiveness data</w:t>
            </w:r>
          </w:p>
        </w:tc>
        <w:tc>
          <w:tcPr>
            <w:tcW w:w="2199" w:type="pct"/>
          </w:tcPr>
          <w:p w:rsidR="00475D87" w:rsidRPr="00EB6EFC" w:rsidRDefault="00475D87" w:rsidP="00905758">
            <w:pPr>
              <w:rPr>
                <w:rFonts w:ascii="Arial Narrow" w:hAnsi="Arial Narrow"/>
                <w:sz w:val="20"/>
                <w:szCs w:val="20"/>
              </w:rPr>
            </w:pPr>
            <w:r w:rsidRPr="00EB6EFC">
              <w:rPr>
                <w:rFonts w:ascii="Arial Narrow" w:hAnsi="Arial Narrow"/>
                <w:sz w:val="20"/>
                <w:szCs w:val="20"/>
              </w:rPr>
              <w:t xml:space="preserve">Based on a naïve comparison </w:t>
            </w:r>
            <w:r w:rsidR="008D4F43" w:rsidRPr="00EB6EFC">
              <w:rPr>
                <w:rFonts w:ascii="Arial Narrow" w:hAnsi="Arial Narrow"/>
                <w:sz w:val="20"/>
                <w:szCs w:val="20"/>
              </w:rPr>
              <w:t>of</w:t>
            </w:r>
            <w:r w:rsidRPr="00EB6EFC">
              <w:rPr>
                <w:rFonts w:ascii="Arial Narrow" w:hAnsi="Arial Narrow"/>
                <w:sz w:val="20"/>
                <w:szCs w:val="20"/>
              </w:rPr>
              <w:t xml:space="preserve"> the objective response rate from </w:t>
            </w:r>
            <w:r w:rsidR="005E3DF9" w:rsidRPr="00EB6EFC">
              <w:rPr>
                <w:rFonts w:ascii="Arial Narrow" w:hAnsi="Arial Narrow"/>
                <w:sz w:val="20"/>
                <w:szCs w:val="20"/>
              </w:rPr>
              <w:t xml:space="preserve">the </w:t>
            </w:r>
            <w:r w:rsidRPr="00EB6EFC">
              <w:rPr>
                <w:rFonts w:ascii="Arial Narrow" w:hAnsi="Arial Narrow"/>
                <w:sz w:val="20"/>
                <w:szCs w:val="20"/>
              </w:rPr>
              <w:t>vismodegib</w:t>
            </w:r>
            <w:r w:rsidR="005E3DF9" w:rsidRPr="00EB6EFC">
              <w:rPr>
                <w:rFonts w:ascii="Arial Narrow" w:hAnsi="Arial Narrow"/>
                <w:sz w:val="20"/>
                <w:szCs w:val="20"/>
              </w:rPr>
              <w:t xml:space="preserve"> STEVIE</w:t>
            </w:r>
            <w:r w:rsidRPr="00EB6EFC">
              <w:rPr>
                <w:rFonts w:ascii="Arial Narrow" w:hAnsi="Arial Narrow"/>
                <w:sz w:val="20"/>
                <w:szCs w:val="20"/>
              </w:rPr>
              <w:t xml:space="preserve"> stud</w:t>
            </w:r>
            <w:r w:rsidR="005E3DF9" w:rsidRPr="00EB6EFC">
              <w:rPr>
                <w:rFonts w:ascii="Arial Narrow" w:hAnsi="Arial Narrow"/>
                <w:sz w:val="20"/>
                <w:szCs w:val="20"/>
              </w:rPr>
              <w:t>y</w:t>
            </w:r>
            <w:r w:rsidRPr="00EB6EFC">
              <w:rPr>
                <w:rFonts w:ascii="Arial Narrow" w:hAnsi="Arial Narrow"/>
                <w:sz w:val="20"/>
                <w:szCs w:val="20"/>
              </w:rPr>
              <w:t xml:space="preserve"> with the % of patients with resection within healthy tissue margin</w:t>
            </w:r>
            <w:r w:rsidR="005E3DF9" w:rsidRPr="00EB6EFC">
              <w:rPr>
                <w:rFonts w:ascii="Arial Narrow" w:hAnsi="Arial Narrow"/>
                <w:sz w:val="20"/>
                <w:szCs w:val="20"/>
              </w:rPr>
              <w:t xml:space="preserve"> from the surgery study and supplementary effectiveness data from two other vismodegib studies.</w:t>
            </w:r>
          </w:p>
          <w:p w:rsidR="00475D87" w:rsidRPr="00EB6EFC" w:rsidRDefault="00475D87" w:rsidP="00905758">
            <w:pPr>
              <w:rPr>
                <w:rFonts w:ascii="Arial Narrow" w:hAnsi="Arial Narrow"/>
                <w:sz w:val="20"/>
                <w:szCs w:val="20"/>
              </w:rPr>
            </w:pPr>
          </w:p>
          <w:p w:rsidR="00A82224" w:rsidRPr="00EB6EFC" w:rsidRDefault="0099295E" w:rsidP="00905758">
            <w:pPr>
              <w:rPr>
                <w:rFonts w:ascii="Arial Narrow" w:hAnsi="Arial Narrow"/>
                <w:sz w:val="20"/>
                <w:szCs w:val="20"/>
                <w:u w:val="single"/>
              </w:rPr>
            </w:pPr>
            <w:r w:rsidRPr="00EB6EFC">
              <w:rPr>
                <w:rFonts w:ascii="Arial Narrow" w:hAnsi="Arial Narrow"/>
                <w:sz w:val="20"/>
                <w:szCs w:val="20"/>
                <w:u w:val="single"/>
              </w:rPr>
              <w:t xml:space="preserve">Vismodegib </w:t>
            </w:r>
            <w:r w:rsidR="00A82224" w:rsidRPr="00EB6EFC">
              <w:rPr>
                <w:rFonts w:ascii="Arial Narrow" w:hAnsi="Arial Narrow"/>
                <w:sz w:val="20"/>
                <w:szCs w:val="20"/>
                <w:u w:val="single"/>
              </w:rPr>
              <w:t>objective response rate</w:t>
            </w:r>
          </w:p>
          <w:p w:rsidR="0099295E" w:rsidRPr="00EB6EFC" w:rsidRDefault="00A82224" w:rsidP="00A82224">
            <w:pPr>
              <w:rPr>
                <w:rFonts w:ascii="Arial Narrow" w:hAnsi="Arial Narrow"/>
                <w:b/>
                <w:sz w:val="20"/>
                <w:szCs w:val="20"/>
              </w:rPr>
            </w:pPr>
            <w:r w:rsidRPr="00EB6EFC">
              <w:rPr>
                <w:rFonts w:ascii="Arial Narrow" w:hAnsi="Arial Narrow"/>
                <w:sz w:val="20"/>
                <w:szCs w:val="20"/>
              </w:rPr>
              <w:t xml:space="preserve">- </w:t>
            </w:r>
            <w:r w:rsidR="0099295E" w:rsidRPr="00EB6EFC">
              <w:rPr>
                <w:rFonts w:ascii="Arial Narrow" w:hAnsi="Arial Narrow"/>
                <w:b/>
                <w:sz w:val="20"/>
                <w:szCs w:val="20"/>
              </w:rPr>
              <w:t xml:space="preserve">STEVIE Interim analysis </w:t>
            </w:r>
            <w:r w:rsidRPr="00EB6EFC">
              <w:rPr>
                <w:rFonts w:ascii="Arial Narrow" w:hAnsi="Arial Narrow"/>
                <w:b/>
                <w:sz w:val="20"/>
                <w:szCs w:val="20"/>
              </w:rPr>
              <w:t>(</w:t>
            </w:r>
            <w:r w:rsidR="0099295E" w:rsidRPr="00EB6EFC">
              <w:rPr>
                <w:rFonts w:ascii="Arial Narrow" w:hAnsi="Arial Narrow"/>
                <w:b/>
                <w:sz w:val="20"/>
                <w:szCs w:val="20"/>
              </w:rPr>
              <w:t>N</w:t>
            </w:r>
            <w:r w:rsidR="00475D87" w:rsidRPr="00EB6EFC">
              <w:rPr>
                <w:rFonts w:ascii="Arial Narrow" w:hAnsi="Arial Narrow"/>
                <w:b/>
                <w:sz w:val="20"/>
                <w:szCs w:val="20"/>
              </w:rPr>
              <w:t xml:space="preserve"> </w:t>
            </w:r>
            <w:r w:rsidR="0099295E" w:rsidRPr="00EB6EFC">
              <w:rPr>
                <w:rFonts w:ascii="Arial Narrow" w:hAnsi="Arial Narrow"/>
                <w:b/>
                <w:sz w:val="20"/>
                <w:szCs w:val="20"/>
              </w:rPr>
              <w:t>=</w:t>
            </w:r>
            <w:r w:rsidR="00475D87" w:rsidRPr="00EB6EFC">
              <w:rPr>
                <w:rFonts w:ascii="Arial Narrow" w:hAnsi="Arial Narrow"/>
                <w:b/>
                <w:sz w:val="20"/>
                <w:szCs w:val="20"/>
              </w:rPr>
              <w:t xml:space="preserve"> </w:t>
            </w:r>
            <w:r w:rsidR="0099295E" w:rsidRPr="00EB6EFC">
              <w:rPr>
                <w:rFonts w:ascii="Arial Narrow" w:hAnsi="Arial Narrow"/>
                <w:b/>
                <w:sz w:val="20"/>
                <w:szCs w:val="20"/>
              </w:rPr>
              <w:t>482)</w:t>
            </w:r>
            <w:r w:rsidRPr="00EB6EFC">
              <w:rPr>
                <w:rFonts w:ascii="Arial Narrow" w:hAnsi="Arial Narrow"/>
                <w:b/>
                <w:sz w:val="20"/>
                <w:szCs w:val="20"/>
              </w:rPr>
              <w:t xml:space="preserve">: </w:t>
            </w:r>
            <w:r w:rsidR="0099295E" w:rsidRPr="00EB6EFC">
              <w:rPr>
                <w:rFonts w:ascii="Arial Narrow" w:hAnsi="Arial Narrow"/>
                <w:b/>
                <w:sz w:val="20"/>
                <w:szCs w:val="20"/>
              </w:rPr>
              <w:t>313 (64.9%)</w:t>
            </w:r>
          </w:p>
          <w:p w:rsidR="00A82224" w:rsidRPr="00EB6EFC" w:rsidRDefault="00A82224" w:rsidP="00A82224">
            <w:pPr>
              <w:rPr>
                <w:rFonts w:ascii="Arial Narrow" w:hAnsi="Arial Narrow"/>
                <w:sz w:val="20"/>
                <w:szCs w:val="20"/>
              </w:rPr>
            </w:pPr>
            <w:r w:rsidRPr="00EB6EFC">
              <w:rPr>
                <w:rFonts w:ascii="Arial Narrow" w:hAnsi="Arial Narrow"/>
                <w:sz w:val="20"/>
                <w:szCs w:val="20"/>
              </w:rPr>
              <w:t xml:space="preserve">- ERIVANCE </w:t>
            </w:r>
            <w:r w:rsidR="00D7149A" w:rsidRPr="00EB6EFC">
              <w:rPr>
                <w:rFonts w:ascii="Arial Narrow" w:hAnsi="Arial Narrow"/>
                <w:sz w:val="20"/>
                <w:szCs w:val="20"/>
              </w:rPr>
              <w:t xml:space="preserve">30-month update </w:t>
            </w:r>
            <w:r w:rsidRPr="00EB6EFC">
              <w:rPr>
                <w:rFonts w:ascii="Arial Narrow" w:hAnsi="Arial Narrow"/>
                <w:sz w:val="20"/>
                <w:szCs w:val="20"/>
              </w:rPr>
              <w:t>(N = 96): 5</w:t>
            </w:r>
            <w:r w:rsidR="00D7149A" w:rsidRPr="00EB6EFC">
              <w:rPr>
                <w:rFonts w:ascii="Arial Narrow" w:hAnsi="Arial Narrow"/>
                <w:sz w:val="20"/>
                <w:szCs w:val="20"/>
              </w:rPr>
              <w:t>4</w:t>
            </w:r>
            <w:r w:rsidRPr="00EB6EFC">
              <w:rPr>
                <w:rFonts w:ascii="Arial Narrow" w:hAnsi="Arial Narrow"/>
                <w:sz w:val="20"/>
                <w:szCs w:val="20"/>
              </w:rPr>
              <w:t xml:space="preserve"> (5</w:t>
            </w:r>
            <w:r w:rsidR="00D7149A" w:rsidRPr="00EB6EFC">
              <w:rPr>
                <w:rFonts w:ascii="Arial Narrow" w:hAnsi="Arial Narrow"/>
                <w:sz w:val="20"/>
                <w:szCs w:val="20"/>
              </w:rPr>
              <w:t>6.3</w:t>
            </w:r>
            <w:r w:rsidRPr="00EB6EFC">
              <w:rPr>
                <w:rFonts w:ascii="Arial Narrow" w:hAnsi="Arial Narrow"/>
                <w:sz w:val="20"/>
                <w:szCs w:val="20"/>
              </w:rPr>
              <w:t>%)</w:t>
            </w:r>
          </w:p>
          <w:p w:rsidR="00A82224" w:rsidRPr="00EB6EFC" w:rsidRDefault="00A82224" w:rsidP="00A82224">
            <w:pPr>
              <w:rPr>
                <w:rFonts w:ascii="Arial Narrow" w:hAnsi="Arial Narrow"/>
                <w:sz w:val="20"/>
                <w:szCs w:val="20"/>
              </w:rPr>
            </w:pPr>
            <w:r w:rsidRPr="00EB6EFC">
              <w:rPr>
                <w:rFonts w:ascii="Arial Narrow" w:hAnsi="Arial Narrow"/>
                <w:sz w:val="20"/>
                <w:szCs w:val="20"/>
              </w:rPr>
              <w:t>- Chang et al 2015 (N= 95): 38 (40.0%)</w:t>
            </w:r>
          </w:p>
          <w:p w:rsidR="00A82224" w:rsidRPr="00EB6EFC" w:rsidRDefault="00A82224" w:rsidP="00A82224">
            <w:pPr>
              <w:rPr>
                <w:rFonts w:ascii="Arial Narrow" w:hAnsi="Arial Narrow"/>
                <w:sz w:val="20"/>
                <w:szCs w:val="20"/>
              </w:rPr>
            </w:pPr>
            <w:r w:rsidRPr="00EB6EFC">
              <w:rPr>
                <w:rFonts w:ascii="Arial Narrow" w:hAnsi="Arial Narrow"/>
                <w:sz w:val="20"/>
                <w:szCs w:val="20"/>
              </w:rPr>
              <w:t>Only the STEVIE data were used in the economic evaluation</w:t>
            </w:r>
            <w:r w:rsidR="00E30208" w:rsidRPr="00EB6EFC">
              <w:rPr>
                <w:rFonts w:ascii="Arial Narrow" w:hAnsi="Arial Narrow"/>
                <w:sz w:val="20"/>
                <w:szCs w:val="20"/>
              </w:rPr>
              <w:t xml:space="preserve"> (i.e. an objective response rate of 64.9% was used in the economic evaluation)</w:t>
            </w:r>
            <w:r w:rsidRPr="00EB6EFC">
              <w:rPr>
                <w:rFonts w:ascii="Arial Narrow" w:hAnsi="Arial Narrow"/>
                <w:sz w:val="20"/>
                <w:szCs w:val="20"/>
              </w:rPr>
              <w:t>.</w:t>
            </w:r>
          </w:p>
          <w:p w:rsidR="0099295E" w:rsidRPr="00EB6EFC" w:rsidRDefault="0099295E" w:rsidP="00905758">
            <w:pPr>
              <w:rPr>
                <w:rFonts w:ascii="Arial Narrow" w:hAnsi="Arial Narrow"/>
                <w:sz w:val="20"/>
                <w:szCs w:val="20"/>
              </w:rPr>
            </w:pPr>
          </w:p>
          <w:p w:rsidR="0099295E" w:rsidRPr="00EB6EFC" w:rsidRDefault="0099295E" w:rsidP="00905758">
            <w:pPr>
              <w:rPr>
                <w:rFonts w:ascii="Arial Narrow" w:hAnsi="Arial Narrow"/>
                <w:sz w:val="20"/>
                <w:szCs w:val="20"/>
                <w:u w:val="single"/>
              </w:rPr>
            </w:pPr>
            <w:r w:rsidRPr="00EB6EFC">
              <w:rPr>
                <w:rFonts w:ascii="Arial Narrow" w:hAnsi="Arial Narrow"/>
                <w:sz w:val="20"/>
                <w:szCs w:val="20"/>
                <w:u w:val="single"/>
              </w:rPr>
              <w:t>Surgery (Schwipper 2011; N</w:t>
            </w:r>
            <w:r w:rsidR="00475D87" w:rsidRPr="00EB6EFC">
              <w:rPr>
                <w:rFonts w:ascii="Arial Narrow" w:hAnsi="Arial Narrow"/>
                <w:sz w:val="20"/>
                <w:szCs w:val="20"/>
                <w:u w:val="single"/>
              </w:rPr>
              <w:t xml:space="preserve"> </w:t>
            </w:r>
            <w:r w:rsidRPr="00EB6EFC">
              <w:rPr>
                <w:rFonts w:ascii="Arial Narrow" w:hAnsi="Arial Narrow"/>
                <w:sz w:val="20"/>
                <w:szCs w:val="20"/>
                <w:u w:val="single"/>
              </w:rPr>
              <w:t>=</w:t>
            </w:r>
            <w:r w:rsidR="00475D87" w:rsidRPr="00EB6EFC">
              <w:rPr>
                <w:rFonts w:ascii="Arial Narrow" w:hAnsi="Arial Narrow"/>
                <w:sz w:val="20"/>
                <w:szCs w:val="20"/>
                <w:u w:val="single"/>
              </w:rPr>
              <w:t xml:space="preserve"> </w:t>
            </w:r>
            <w:r w:rsidRPr="00EB6EFC">
              <w:rPr>
                <w:rFonts w:ascii="Arial Narrow" w:hAnsi="Arial Narrow"/>
                <w:sz w:val="20"/>
                <w:szCs w:val="20"/>
                <w:u w:val="single"/>
              </w:rPr>
              <w:t>118)</w:t>
            </w:r>
          </w:p>
          <w:p w:rsidR="0099295E" w:rsidRPr="00EB6EFC" w:rsidRDefault="00475D87" w:rsidP="00905758">
            <w:pPr>
              <w:rPr>
                <w:rFonts w:ascii="Arial Narrow" w:hAnsi="Arial Narrow"/>
                <w:sz w:val="20"/>
                <w:szCs w:val="20"/>
              </w:rPr>
            </w:pPr>
            <w:r w:rsidRPr="00EB6EFC">
              <w:rPr>
                <w:rFonts w:ascii="Arial Narrow" w:hAnsi="Arial Narrow"/>
                <w:sz w:val="20"/>
                <w:szCs w:val="20"/>
              </w:rPr>
              <w:t>Patients with resection within healthy tissue margin: 107 (90.7%)</w:t>
            </w:r>
            <w:r w:rsidR="00A02A95" w:rsidRPr="00EB6EFC">
              <w:rPr>
                <w:rFonts w:ascii="Arial Narrow" w:hAnsi="Arial Narrow"/>
                <w:sz w:val="20"/>
                <w:szCs w:val="20"/>
              </w:rPr>
              <w:t xml:space="preserve">. </w:t>
            </w:r>
            <w:r w:rsidRPr="00EB6EFC">
              <w:rPr>
                <w:rFonts w:ascii="Arial Narrow" w:hAnsi="Arial Narrow"/>
                <w:sz w:val="20"/>
                <w:szCs w:val="20"/>
              </w:rPr>
              <w:t xml:space="preserve">This </w:t>
            </w:r>
            <w:r w:rsidR="00A02A95" w:rsidRPr="00EB6EFC">
              <w:rPr>
                <w:rFonts w:ascii="Arial Narrow" w:hAnsi="Arial Narrow"/>
                <w:sz w:val="20"/>
                <w:szCs w:val="20"/>
              </w:rPr>
              <w:t>was provided</w:t>
            </w:r>
            <w:r w:rsidRPr="00EB6EFC">
              <w:rPr>
                <w:rFonts w:ascii="Arial Narrow" w:hAnsi="Arial Narrow"/>
                <w:sz w:val="20"/>
                <w:szCs w:val="20"/>
              </w:rPr>
              <w:t xml:space="preserve"> in the PSCR</w:t>
            </w:r>
            <w:r w:rsidR="00203430" w:rsidRPr="00EB6EFC">
              <w:rPr>
                <w:rFonts w:ascii="Arial Narrow" w:hAnsi="Arial Narrow"/>
                <w:sz w:val="20"/>
                <w:szCs w:val="20"/>
              </w:rPr>
              <w:t xml:space="preserve">, and was </w:t>
            </w:r>
            <w:r w:rsidR="008D4F43" w:rsidRPr="00EB6EFC">
              <w:rPr>
                <w:rFonts w:ascii="Arial Narrow" w:hAnsi="Arial Narrow"/>
                <w:sz w:val="20"/>
                <w:szCs w:val="20"/>
              </w:rPr>
              <w:t>accepted</w:t>
            </w:r>
            <w:r w:rsidR="00203430" w:rsidRPr="00EB6EFC">
              <w:rPr>
                <w:rFonts w:ascii="Arial Narrow" w:hAnsi="Arial Narrow"/>
                <w:sz w:val="20"/>
                <w:szCs w:val="20"/>
              </w:rPr>
              <w:t xml:space="preserve"> </w:t>
            </w:r>
            <w:r w:rsidR="008D4F43" w:rsidRPr="00EB6EFC">
              <w:rPr>
                <w:rFonts w:ascii="Arial Narrow" w:hAnsi="Arial Narrow"/>
                <w:sz w:val="20"/>
                <w:szCs w:val="20"/>
              </w:rPr>
              <w:t>as</w:t>
            </w:r>
            <w:r w:rsidR="00E30208" w:rsidRPr="00EB6EFC">
              <w:rPr>
                <w:rFonts w:ascii="Arial Narrow" w:hAnsi="Arial Narrow"/>
                <w:sz w:val="20"/>
                <w:szCs w:val="20"/>
              </w:rPr>
              <w:t xml:space="preserve"> the </w:t>
            </w:r>
            <w:r w:rsidR="008D4F43" w:rsidRPr="00EB6EFC">
              <w:rPr>
                <w:rFonts w:ascii="Arial Narrow" w:hAnsi="Arial Narrow"/>
                <w:sz w:val="20"/>
                <w:szCs w:val="20"/>
              </w:rPr>
              <w:t>revised</w:t>
            </w:r>
            <w:r w:rsidR="00E30208" w:rsidRPr="00EB6EFC">
              <w:rPr>
                <w:rFonts w:ascii="Arial Narrow" w:hAnsi="Arial Narrow"/>
                <w:sz w:val="20"/>
                <w:szCs w:val="20"/>
              </w:rPr>
              <w:t xml:space="preserve"> base case </w:t>
            </w:r>
            <w:r w:rsidR="00203430" w:rsidRPr="00EB6EFC">
              <w:rPr>
                <w:rFonts w:ascii="Arial Narrow" w:hAnsi="Arial Narrow"/>
                <w:sz w:val="20"/>
                <w:szCs w:val="20"/>
              </w:rPr>
              <w:t>by the PBAC (para 6.26)</w:t>
            </w:r>
            <w:r w:rsidRPr="00EB6EFC">
              <w:rPr>
                <w:rFonts w:ascii="Arial Narrow" w:hAnsi="Arial Narrow"/>
                <w:sz w:val="20"/>
                <w:szCs w:val="20"/>
              </w:rPr>
              <w:t xml:space="preserve">. The submission had </w:t>
            </w:r>
            <w:r w:rsidR="00203430" w:rsidRPr="00EB6EFC">
              <w:rPr>
                <w:rFonts w:ascii="Arial Narrow" w:hAnsi="Arial Narrow"/>
                <w:sz w:val="20"/>
                <w:szCs w:val="20"/>
              </w:rPr>
              <w:t xml:space="preserve">originally </w:t>
            </w:r>
            <w:r w:rsidRPr="00EB6EFC">
              <w:rPr>
                <w:rFonts w:ascii="Arial Narrow" w:hAnsi="Arial Narrow"/>
                <w:sz w:val="20"/>
                <w:szCs w:val="20"/>
              </w:rPr>
              <w:t xml:space="preserve">used </w:t>
            </w:r>
            <w:r w:rsidR="00A02A95" w:rsidRPr="00EB6EFC">
              <w:rPr>
                <w:rFonts w:ascii="Arial Narrow" w:hAnsi="Arial Narrow"/>
                <w:sz w:val="20"/>
                <w:szCs w:val="20"/>
              </w:rPr>
              <w:t>the % of p</w:t>
            </w:r>
            <w:r w:rsidR="0099295E" w:rsidRPr="00EB6EFC">
              <w:rPr>
                <w:rFonts w:ascii="Arial Narrow" w:hAnsi="Arial Narrow"/>
                <w:sz w:val="20"/>
                <w:szCs w:val="20"/>
              </w:rPr>
              <w:t>atients considered ‘cured’ after an average post-operative follow up period of 5-years: 63</w:t>
            </w:r>
            <w:r w:rsidR="00B968F8" w:rsidRPr="00EB6EFC">
              <w:rPr>
                <w:rFonts w:ascii="Arial Narrow" w:hAnsi="Arial Narrow"/>
                <w:sz w:val="20"/>
                <w:szCs w:val="20"/>
              </w:rPr>
              <w:t>/118</w:t>
            </w:r>
            <w:r w:rsidR="0099295E" w:rsidRPr="00EB6EFC">
              <w:rPr>
                <w:rFonts w:ascii="Arial Narrow" w:hAnsi="Arial Narrow"/>
                <w:sz w:val="20"/>
                <w:szCs w:val="20"/>
              </w:rPr>
              <w:t xml:space="preserve"> (53.4%)</w:t>
            </w:r>
          </w:p>
          <w:p w:rsidR="0099295E" w:rsidRPr="00EB6EFC" w:rsidRDefault="0099295E" w:rsidP="00905758">
            <w:pPr>
              <w:rPr>
                <w:rFonts w:ascii="Arial Narrow" w:hAnsi="Arial Narrow"/>
                <w:sz w:val="20"/>
                <w:szCs w:val="20"/>
                <w:highlight w:val="yellow"/>
              </w:rPr>
            </w:pPr>
          </w:p>
          <w:p w:rsidR="0099295E" w:rsidRPr="00EB6EFC" w:rsidRDefault="0099295E" w:rsidP="008D4F43">
            <w:pPr>
              <w:rPr>
                <w:rFonts w:ascii="Arial Narrow" w:hAnsi="Arial Narrow"/>
                <w:sz w:val="20"/>
                <w:szCs w:val="20"/>
                <w:highlight w:val="yellow"/>
              </w:rPr>
            </w:pPr>
            <w:r w:rsidRPr="00EB6EFC">
              <w:rPr>
                <w:rFonts w:ascii="Arial Narrow" w:hAnsi="Arial Narrow"/>
                <w:b/>
                <w:sz w:val="20"/>
                <w:szCs w:val="20"/>
              </w:rPr>
              <w:t>PBAC Comment:</w:t>
            </w:r>
            <w:r w:rsidRPr="00EB6EFC">
              <w:rPr>
                <w:rFonts w:ascii="Arial Narrow" w:hAnsi="Arial Narrow"/>
                <w:sz w:val="20"/>
                <w:szCs w:val="20"/>
              </w:rPr>
              <w:t xml:space="preserve"> The PBAC considered that the most plausible estimates for the economic model included a vismodegib response rate of 50% and a surgical response rate of 90.7% (para 6.28).</w:t>
            </w:r>
          </w:p>
        </w:tc>
        <w:tc>
          <w:tcPr>
            <w:tcW w:w="2200" w:type="pct"/>
          </w:tcPr>
          <w:p w:rsidR="00A02A95" w:rsidRPr="00EB6EFC" w:rsidRDefault="008D4F43" w:rsidP="00905758">
            <w:pPr>
              <w:rPr>
                <w:rFonts w:ascii="Arial Narrow" w:hAnsi="Arial Narrow"/>
                <w:sz w:val="20"/>
                <w:szCs w:val="20"/>
                <w:u w:val="single"/>
              </w:rPr>
            </w:pPr>
            <w:r w:rsidRPr="00EB6EFC">
              <w:rPr>
                <w:rFonts w:ascii="Arial Narrow" w:hAnsi="Arial Narrow"/>
                <w:sz w:val="20"/>
                <w:szCs w:val="20"/>
              </w:rPr>
              <w:t>The only new effectiveness data were an updated analysis of the STEVIE study, which provided data from 1,161 patients, versus 482 in the previous submission.</w:t>
            </w:r>
          </w:p>
          <w:p w:rsidR="00A02A95" w:rsidRPr="00EB6EFC" w:rsidRDefault="00A02A95" w:rsidP="00905758">
            <w:pPr>
              <w:rPr>
                <w:rFonts w:ascii="Arial Narrow" w:hAnsi="Arial Narrow"/>
                <w:sz w:val="20"/>
                <w:szCs w:val="20"/>
                <w:u w:val="single"/>
              </w:rPr>
            </w:pPr>
          </w:p>
          <w:p w:rsidR="00A82224" w:rsidRPr="00EB6EFC" w:rsidRDefault="0099295E" w:rsidP="00905758">
            <w:pPr>
              <w:rPr>
                <w:rFonts w:ascii="Arial Narrow" w:hAnsi="Arial Narrow"/>
                <w:sz w:val="20"/>
                <w:szCs w:val="20"/>
                <w:u w:val="single"/>
              </w:rPr>
            </w:pPr>
            <w:r w:rsidRPr="00EB6EFC">
              <w:rPr>
                <w:rFonts w:ascii="Arial Narrow" w:hAnsi="Arial Narrow"/>
                <w:sz w:val="20"/>
                <w:szCs w:val="20"/>
                <w:u w:val="single"/>
              </w:rPr>
              <w:t xml:space="preserve">Vismodegib </w:t>
            </w:r>
            <w:r w:rsidR="00A82224" w:rsidRPr="00EB6EFC">
              <w:rPr>
                <w:rFonts w:ascii="Arial Narrow" w:hAnsi="Arial Narrow"/>
                <w:sz w:val="20"/>
                <w:szCs w:val="20"/>
                <w:u w:val="single"/>
              </w:rPr>
              <w:t>objective response rate</w:t>
            </w:r>
          </w:p>
          <w:p w:rsidR="0099295E" w:rsidRPr="00EB6EFC" w:rsidRDefault="00475D87" w:rsidP="00905758">
            <w:pPr>
              <w:rPr>
                <w:rFonts w:ascii="Arial Narrow" w:hAnsi="Arial Narrow"/>
                <w:b/>
                <w:sz w:val="20"/>
                <w:szCs w:val="20"/>
              </w:rPr>
            </w:pPr>
            <w:r w:rsidRPr="00EB6EFC">
              <w:rPr>
                <w:rFonts w:ascii="Arial Narrow" w:hAnsi="Arial Narrow"/>
                <w:b/>
                <w:sz w:val="20"/>
                <w:szCs w:val="20"/>
              </w:rPr>
              <w:t xml:space="preserve">STEVIE </w:t>
            </w:r>
            <w:r w:rsidR="0099295E" w:rsidRPr="00EB6EFC">
              <w:rPr>
                <w:rFonts w:ascii="Arial Narrow" w:hAnsi="Arial Narrow"/>
                <w:b/>
                <w:sz w:val="20"/>
                <w:szCs w:val="20"/>
              </w:rPr>
              <w:t>Updated analysis</w:t>
            </w:r>
            <w:r w:rsidR="00A82224" w:rsidRPr="00EB6EFC">
              <w:rPr>
                <w:rFonts w:ascii="Arial Narrow" w:hAnsi="Arial Narrow"/>
                <w:b/>
                <w:sz w:val="20"/>
                <w:szCs w:val="20"/>
              </w:rPr>
              <w:t xml:space="preserve"> (</w:t>
            </w:r>
            <w:r w:rsidR="0099295E" w:rsidRPr="00EB6EFC">
              <w:rPr>
                <w:rFonts w:ascii="Arial Narrow" w:hAnsi="Arial Narrow"/>
                <w:b/>
                <w:sz w:val="20"/>
                <w:szCs w:val="20"/>
              </w:rPr>
              <w:t>N</w:t>
            </w:r>
            <w:r w:rsidRPr="00EB6EFC">
              <w:rPr>
                <w:rFonts w:ascii="Arial Narrow" w:hAnsi="Arial Narrow"/>
                <w:b/>
                <w:sz w:val="20"/>
                <w:szCs w:val="20"/>
              </w:rPr>
              <w:t xml:space="preserve"> </w:t>
            </w:r>
            <w:r w:rsidR="0099295E" w:rsidRPr="00EB6EFC">
              <w:rPr>
                <w:rFonts w:ascii="Arial Narrow" w:hAnsi="Arial Narrow"/>
                <w:b/>
                <w:sz w:val="20"/>
                <w:szCs w:val="20"/>
              </w:rPr>
              <w:t>=</w:t>
            </w:r>
            <w:r w:rsidRPr="00EB6EFC">
              <w:rPr>
                <w:rFonts w:ascii="Arial Narrow" w:hAnsi="Arial Narrow"/>
                <w:b/>
                <w:sz w:val="20"/>
                <w:szCs w:val="20"/>
              </w:rPr>
              <w:t xml:space="preserve"> </w:t>
            </w:r>
            <w:r w:rsidR="0099295E" w:rsidRPr="00EB6EFC">
              <w:rPr>
                <w:rFonts w:ascii="Arial Narrow" w:hAnsi="Arial Narrow"/>
                <w:b/>
                <w:sz w:val="20"/>
                <w:szCs w:val="20"/>
              </w:rPr>
              <w:t>1</w:t>
            </w:r>
            <w:r w:rsidR="000F0388" w:rsidRPr="00EB6EFC">
              <w:rPr>
                <w:rFonts w:ascii="Arial Narrow" w:hAnsi="Arial Narrow"/>
                <w:b/>
                <w:sz w:val="20"/>
                <w:szCs w:val="20"/>
              </w:rPr>
              <w:t>,</w:t>
            </w:r>
            <w:r w:rsidR="0099295E" w:rsidRPr="00EB6EFC">
              <w:rPr>
                <w:rFonts w:ascii="Arial Narrow" w:hAnsi="Arial Narrow"/>
                <w:b/>
                <w:sz w:val="20"/>
                <w:szCs w:val="20"/>
              </w:rPr>
              <w:t>161)</w:t>
            </w:r>
            <w:r w:rsidR="00A82224" w:rsidRPr="00EB6EFC">
              <w:rPr>
                <w:rFonts w:ascii="Arial Narrow" w:hAnsi="Arial Narrow"/>
                <w:b/>
                <w:sz w:val="20"/>
                <w:szCs w:val="20"/>
              </w:rPr>
              <w:t>:</w:t>
            </w:r>
            <w:r w:rsidR="0099295E" w:rsidRPr="00EB6EFC">
              <w:rPr>
                <w:rFonts w:ascii="Arial Narrow" w:hAnsi="Arial Narrow"/>
                <w:b/>
                <w:sz w:val="20"/>
                <w:szCs w:val="20"/>
              </w:rPr>
              <w:t xml:space="preserve"> </w:t>
            </w:r>
            <w:r w:rsidR="006505A5">
              <w:rPr>
                <w:rFonts w:ascii="Arial Narrow" w:hAnsi="Arial Narrow"/>
                <w:b/>
                <w:noProof/>
                <w:color w:val="000000"/>
                <w:sz w:val="20"/>
                <w:szCs w:val="20"/>
                <w:highlight w:val="black"/>
              </w:rPr>
              <w:t>''''''' ''''''''''''''''</w:t>
            </w:r>
          </w:p>
          <w:p w:rsidR="00A82224" w:rsidRPr="00EB6EFC" w:rsidRDefault="008D4F43" w:rsidP="00905758">
            <w:pPr>
              <w:rPr>
                <w:rFonts w:ascii="Arial Narrow" w:hAnsi="Arial Narrow"/>
                <w:sz w:val="20"/>
                <w:szCs w:val="20"/>
              </w:rPr>
            </w:pPr>
            <w:r w:rsidRPr="00EB6EFC">
              <w:rPr>
                <w:rFonts w:ascii="Arial Narrow" w:hAnsi="Arial Narrow"/>
                <w:sz w:val="20"/>
                <w:szCs w:val="20"/>
              </w:rPr>
              <w:t xml:space="preserve">The </w:t>
            </w:r>
            <w:r w:rsidR="00993564">
              <w:rPr>
                <w:rFonts w:ascii="Arial Narrow" w:hAnsi="Arial Narrow"/>
                <w:sz w:val="20"/>
                <w:szCs w:val="20"/>
              </w:rPr>
              <w:t>resubmission</w:t>
            </w:r>
            <w:r w:rsidRPr="00EB6EFC">
              <w:rPr>
                <w:rFonts w:ascii="Arial Narrow" w:hAnsi="Arial Narrow"/>
                <w:sz w:val="20"/>
                <w:szCs w:val="20"/>
              </w:rPr>
              <w:t xml:space="preserve"> stated that the vismodegib objective response rate used in the previous submission (64.9%) was confirmed by the updated STEVIE data and thus did not change the response rate to 50% as requested by PBAC.</w:t>
            </w:r>
          </w:p>
          <w:p w:rsidR="008D4F43" w:rsidRPr="00EB6EFC" w:rsidRDefault="008D4F43" w:rsidP="00905758">
            <w:pPr>
              <w:rPr>
                <w:rFonts w:ascii="Arial Narrow" w:hAnsi="Arial Narrow"/>
                <w:sz w:val="20"/>
                <w:szCs w:val="20"/>
              </w:rPr>
            </w:pPr>
          </w:p>
          <w:p w:rsidR="005E3DF9" w:rsidRPr="00EB6EFC" w:rsidRDefault="005E3DF9" w:rsidP="00905758">
            <w:pPr>
              <w:rPr>
                <w:rFonts w:ascii="Arial Narrow" w:hAnsi="Arial Narrow"/>
                <w:sz w:val="20"/>
                <w:szCs w:val="20"/>
              </w:rPr>
            </w:pPr>
          </w:p>
          <w:p w:rsidR="0099295E" w:rsidRPr="00EB6EFC" w:rsidRDefault="0099295E" w:rsidP="00905758">
            <w:pPr>
              <w:rPr>
                <w:rFonts w:ascii="Arial Narrow" w:hAnsi="Arial Narrow"/>
                <w:sz w:val="20"/>
                <w:szCs w:val="20"/>
                <w:u w:val="single"/>
              </w:rPr>
            </w:pPr>
            <w:r w:rsidRPr="00EB6EFC">
              <w:rPr>
                <w:rFonts w:ascii="Arial Narrow" w:hAnsi="Arial Narrow"/>
                <w:sz w:val="20"/>
                <w:szCs w:val="20"/>
                <w:u w:val="single"/>
              </w:rPr>
              <w:t>Surgery (Schwipper 2011; N</w:t>
            </w:r>
            <w:r w:rsidR="00475D87" w:rsidRPr="00EB6EFC">
              <w:rPr>
                <w:rFonts w:ascii="Arial Narrow" w:hAnsi="Arial Narrow"/>
                <w:sz w:val="20"/>
                <w:szCs w:val="20"/>
                <w:u w:val="single"/>
              </w:rPr>
              <w:t xml:space="preserve"> </w:t>
            </w:r>
            <w:r w:rsidRPr="00EB6EFC">
              <w:rPr>
                <w:rFonts w:ascii="Arial Narrow" w:hAnsi="Arial Narrow"/>
                <w:sz w:val="20"/>
                <w:szCs w:val="20"/>
                <w:u w:val="single"/>
              </w:rPr>
              <w:t>=</w:t>
            </w:r>
            <w:r w:rsidR="00475D87" w:rsidRPr="00EB6EFC">
              <w:rPr>
                <w:rFonts w:ascii="Arial Narrow" w:hAnsi="Arial Narrow"/>
                <w:sz w:val="20"/>
                <w:szCs w:val="20"/>
                <w:u w:val="single"/>
              </w:rPr>
              <w:t xml:space="preserve"> </w:t>
            </w:r>
            <w:r w:rsidRPr="00EB6EFC">
              <w:rPr>
                <w:rFonts w:ascii="Arial Narrow" w:hAnsi="Arial Narrow"/>
                <w:sz w:val="20"/>
                <w:szCs w:val="20"/>
                <w:u w:val="single"/>
              </w:rPr>
              <w:t>118)</w:t>
            </w:r>
          </w:p>
          <w:p w:rsidR="0099295E" w:rsidRPr="00EB6EFC" w:rsidRDefault="00475D87" w:rsidP="00905758">
            <w:pPr>
              <w:rPr>
                <w:rFonts w:ascii="Arial Narrow" w:hAnsi="Arial Narrow"/>
                <w:sz w:val="20"/>
                <w:szCs w:val="20"/>
              </w:rPr>
            </w:pPr>
            <w:r w:rsidRPr="00EB6EFC">
              <w:rPr>
                <w:rFonts w:ascii="Arial Narrow" w:hAnsi="Arial Narrow"/>
                <w:sz w:val="20"/>
                <w:szCs w:val="20"/>
              </w:rPr>
              <w:t>Unchanged (per the value presented in the previous PSCR)</w:t>
            </w:r>
            <w:r w:rsidR="00A02A95" w:rsidRPr="00EB6EFC">
              <w:rPr>
                <w:rFonts w:ascii="Arial Narrow" w:hAnsi="Arial Narrow"/>
                <w:sz w:val="20"/>
                <w:szCs w:val="20"/>
              </w:rPr>
              <w:t>.</w:t>
            </w:r>
            <w:r w:rsidRPr="00EB6EFC">
              <w:rPr>
                <w:rFonts w:ascii="Arial Narrow" w:hAnsi="Arial Narrow"/>
                <w:sz w:val="20"/>
                <w:szCs w:val="20"/>
              </w:rPr>
              <w:t xml:space="preserve"> </w:t>
            </w:r>
            <w:r w:rsidR="008D4F43" w:rsidRPr="00176FFA">
              <w:rPr>
                <w:rFonts w:ascii="Arial Narrow" w:hAnsi="Arial Narrow"/>
                <w:sz w:val="20"/>
                <w:szCs w:val="20"/>
              </w:rPr>
              <w:t>This was appropriate.</w:t>
            </w:r>
          </w:p>
          <w:p w:rsidR="0099295E" w:rsidRPr="00EB6EFC" w:rsidRDefault="0099295E" w:rsidP="00905758">
            <w:pPr>
              <w:rPr>
                <w:rFonts w:ascii="Arial Narrow" w:hAnsi="Arial Narrow"/>
                <w:sz w:val="20"/>
                <w:szCs w:val="20"/>
                <w:highlight w:val="yellow"/>
              </w:rPr>
            </w:pPr>
          </w:p>
          <w:p w:rsidR="0099295E" w:rsidRPr="00EB6EFC" w:rsidRDefault="0099295E" w:rsidP="00A02A95">
            <w:pPr>
              <w:rPr>
                <w:rFonts w:ascii="Arial Narrow" w:hAnsi="Arial Narrow"/>
                <w:sz w:val="20"/>
                <w:szCs w:val="20"/>
                <w:highlight w:val="yellow"/>
              </w:rPr>
            </w:pPr>
          </w:p>
        </w:tc>
      </w:tr>
      <w:tr w:rsidR="0099295E" w:rsidRPr="00EB6EFC" w:rsidTr="00905758">
        <w:trPr>
          <w:cantSplit/>
          <w:trHeight w:val="20"/>
        </w:trPr>
        <w:tc>
          <w:tcPr>
            <w:tcW w:w="601"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Key safety data</w:t>
            </w:r>
          </w:p>
        </w:tc>
        <w:tc>
          <w:tcPr>
            <w:tcW w:w="2199" w:type="pct"/>
          </w:tcPr>
          <w:p w:rsidR="0099295E" w:rsidRPr="00EB6EFC" w:rsidRDefault="0099295E" w:rsidP="00905758">
            <w:pPr>
              <w:rPr>
                <w:rFonts w:ascii="Arial Narrow" w:hAnsi="Arial Narrow"/>
                <w:sz w:val="20"/>
                <w:szCs w:val="20"/>
                <w:u w:val="single"/>
              </w:rPr>
            </w:pPr>
            <w:r w:rsidRPr="00EB6EFC">
              <w:rPr>
                <w:rFonts w:ascii="Arial Narrow" w:hAnsi="Arial Narrow"/>
                <w:sz w:val="20"/>
                <w:szCs w:val="20"/>
                <w:u w:val="single"/>
              </w:rPr>
              <w:t>Disfigurement and deformity (%):</w:t>
            </w:r>
          </w:p>
          <w:p w:rsidR="00C6335F" w:rsidRPr="00EB6EFC" w:rsidRDefault="00C6335F" w:rsidP="00C6335F">
            <w:pPr>
              <w:rPr>
                <w:rFonts w:ascii="Arial Narrow" w:hAnsi="Arial Narrow"/>
                <w:sz w:val="20"/>
                <w:szCs w:val="20"/>
                <w:u w:val="single"/>
              </w:rPr>
            </w:pPr>
            <w:r w:rsidRPr="00EB6EFC">
              <w:rPr>
                <w:rFonts w:ascii="Arial Narrow" w:hAnsi="Arial Narrow"/>
                <w:sz w:val="20"/>
                <w:szCs w:val="20"/>
                <w:u w:val="single"/>
              </w:rPr>
              <w:t>Vismodegib</w:t>
            </w:r>
          </w:p>
          <w:p w:rsidR="00C6335F" w:rsidRPr="00EB6EFC" w:rsidRDefault="0029587D" w:rsidP="00905758">
            <w:pPr>
              <w:rPr>
                <w:rFonts w:ascii="Arial Narrow" w:hAnsi="Arial Narrow"/>
                <w:sz w:val="20"/>
                <w:szCs w:val="20"/>
              </w:rPr>
            </w:pPr>
            <w:r w:rsidRPr="00EB6EFC">
              <w:rPr>
                <w:rFonts w:ascii="Arial Narrow" w:hAnsi="Arial Narrow"/>
                <w:sz w:val="20"/>
                <w:szCs w:val="20"/>
              </w:rPr>
              <w:t xml:space="preserve">Not reported, but </w:t>
            </w:r>
            <w:r w:rsidR="00130227" w:rsidRPr="00EB6EFC">
              <w:rPr>
                <w:rFonts w:ascii="Arial Narrow" w:hAnsi="Arial Narrow"/>
                <w:sz w:val="20"/>
                <w:szCs w:val="20"/>
              </w:rPr>
              <w:t>0%</w:t>
            </w:r>
            <w:r w:rsidR="00C6335F" w:rsidRPr="00EB6EFC">
              <w:rPr>
                <w:rFonts w:ascii="Arial Narrow" w:hAnsi="Arial Narrow"/>
                <w:sz w:val="20"/>
                <w:szCs w:val="20"/>
              </w:rPr>
              <w:t xml:space="preserve"> dis</w:t>
            </w:r>
            <w:r w:rsidR="00130227" w:rsidRPr="00EB6EFC">
              <w:rPr>
                <w:rFonts w:ascii="Arial Narrow" w:hAnsi="Arial Narrow"/>
                <w:sz w:val="20"/>
                <w:szCs w:val="20"/>
              </w:rPr>
              <w:t>figurement and deformity was assumed in the economic evaluation</w:t>
            </w:r>
          </w:p>
          <w:p w:rsidR="0099295E" w:rsidRPr="00EB6EFC" w:rsidRDefault="0099295E" w:rsidP="00905758">
            <w:pPr>
              <w:rPr>
                <w:rFonts w:ascii="Arial Narrow" w:hAnsi="Arial Narrow"/>
                <w:sz w:val="20"/>
                <w:szCs w:val="20"/>
                <w:u w:val="single"/>
              </w:rPr>
            </w:pPr>
            <w:r w:rsidRPr="00EB6EFC">
              <w:rPr>
                <w:rFonts w:ascii="Arial Narrow" w:hAnsi="Arial Narrow"/>
                <w:sz w:val="20"/>
                <w:szCs w:val="20"/>
                <w:u w:val="single"/>
              </w:rPr>
              <w:t>Surgery (Schwipper 2011; N=118)</w:t>
            </w:r>
          </w:p>
          <w:p w:rsidR="0099295E" w:rsidRPr="00EB6EFC" w:rsidRDefault="0099295E" w:rsidP="00905758">
            <w:pPr>
              <w:rPr>
                <w:rFonts w:ascii="Arial Narrow" w:hAnsi="Arial Narrow"/>
                <w:sz w:val="20"/>
                <w:szCs w:val="20"/>
              </w:rPr>
            </w:pPr>
            <w:r w:rsidRPr="00EB6EFC">
              <w:rPr>
                <w:rFonts w:ascii="Arial Narrow" w:hAnsi="Arial Narrow"/>
                <w:sz w:val="20"/>
                <w:szCs w:val="20"/>
              </w:rPr>
              <w:t>Loss of one or more facial organs: 97 (82.2%)</w:t>
            </w:r>
          </w:p>
          <w:p w:rsidR="0099295E" w:rsidRPr="00EB6EFC" w:rsidRDefault="0099295E" w:rsidP="00905758">
            <w:pPr>
              <w:rPr>
                <w:rFonts w:ascii="Arial Narrow" w:hAnsi="Arial Narrow"/>
                <w:sz w:val="20"/>
                <w:szCs w:val="20"/>
              </w:rPr>
            </w:pPr>
          </w:p>
          <w:p w:rsidR="0099295E" w:rsidRPr="00EB6EFC" w:rsidRDefault="0099295E" w:rsidP="00905758">
            <w:pPr>
              <w:rPr>
                <w:rFonts w:ascii="Arial Narrow" w:hAnsi="Arial Narrow"/>
                <w:sz w:val="20"/>
                <w:szCs w:val="20"/>
              </w:rPr>
            </w:pPr>
            <w:r w:rsidRPr="00EB6EFC">
              <w:rPr>
                <w:rFonts w:ascii="Arial Narrow" w:hAnsi="Arial Narrow"/>
                <w:b/>
                <w:sz w:val="20"/>
                <w:szCs w:val="20"/>
              </w:rPr>
              <w:t>PBAC Comment:</w:t>
            </w:r>
            <w:r w:rsidRPr="00EB6EFC">
              <w:rPr>
                <w:rFonts w:ascii="Arial Narrow" w:hAnsi="Arial Narrow"/>
                <w:sz w:val="20"/>
                <w:szCs w:val="20"/>
              </w:rPr>
              <w:t xml:space="preserve"> The PBAC considered that the most plausible estimates for the economic model included a disfigurement rate associated with vismodegib of 20% (para 6.28).</w:t>
            </w:r>
          </w:p>
          <w:p w:rsidR="0099295E" w:rsidRPr="00EB6EFC" w:rsidRDefault="0099295E" w:rsidP="001F58B9">
            <w:pPr>
              <w:rPr>
                <w:rFonts w:ascii="Arial Narrow" w:hAnsi="Arial Narrow"/>
                <w:sz w:val="20"/>
                <w:szCs w:val="20"/>
              </w:rPr>
            </w:pPr>
            <w:r w:rsidRPr="00EB6EFC">
              <w:rPr>
                <w:rFonts w:ascii="Arial Narrow" w:hAnsi="Arial Narrow"/>
                <w:sz w:val="20"/>
                <w:szCs w:val="20"/>
              </w:rPr>
              <w:t>The PBAC did not accept that vismodegib was superior in safety to best supportive care</w:t>
            </w:r>
            <w:r w:rsidR="005E3DF9" w:rsidRPr="00EB6EFC">
              <w:rPr>
                <w:rFonts w:ascii="Arial Narrow" w:hAnsi="Arial Narrow"/>
                <w:sz w:val="20"/>
                <w:szCs w:val="20"/>
              </w:rPr>
              <w:t xml:space="preserve"> </w:t>
            </w:r>
            <w:r w:rsidRPr="00EB6EFC">
              <w:rPr>
                <w:rFonts w:ascii="Arial Narrow" w:hAnsi="Arial Narrow"/>
                <w:sz w:val="20"/>
                <w:szCs w:val="20"/>
              </w:rPr>
              <w:t>(para 7.6).</w:t>
            </w:r>
          </w:p>
        </w:tc>
        <w:tc>
          <w:tcPr>
            <w:tcW w:w="2200" w:type="pct"/>
          </w:tcPr>
          <w:p w:rsidR="0099295E" w:rsidRPr="00EB6EFC" w:rsidRDefault="0099295E" w:rsidP="00905758">
            <w:pPr>
              <w:rPr>
                <w:rFonts w:ascii="Arial Narrow" w:hAnsi="Arial Narrow"/>
                <w:sz w:val="20"/>
                <w:szCs w:val="20"/>
                <w:u w:val="single"/>
              </w:rPr>
            </w:pPr>
            <w:r w:rsidRPr="00EB6EFC">
              <w:rPr>
                <w:rFonts w:ascii="Arial Narrow" w:hAnsi="Arial Narrow"/>
                <w:sz w:val="20"/>
                <w:szCs w:val="20"/>
                <w:u w:val="single"/>
              </w:rPr>
              <w:t>Disfigurement and deformity (%):</w:t>
            </w:r>
          </w:p>
          <w:p w:rsidR="0099295E" w:rsidRPr="00EB6EFC" w:rsidRDefault="0099295E" w:rsidP="00905758">
            <w:pPr>
              <w:rPr>
                <w:rFonts w:ascii="Arial Narrow" w:hAnsi="Arial Narrow"/>
                <w:sz w:val="20"/>
                <w:szCs w:val="20"/>
                <w:u w:val="single"/>
              </w:rPr>
            </w:pPr>
            <w:r w:rsidRPr="00EB6EFC">
              <w:rPr>
                <w:rFonts w:ascii="Arial Narrow" w:hAnsi="Arial Narrow"/>
                <w:sz w:val="20"/>
                <w:szCs w:val="20"/>
                <w:u w:val="single"/>
              </w:rPr>
              <w:t>Vismodegib</w:t>
            </w:r>
          </w:p>
          <w:p w:rsidR="0099295E" w:rsidRPr="00EB6EFC" w:rsidRDefault="00130227" w:rsidP="00905758">
            <w:pPr>
              <w:rPr>
                <w:rFonts w:ascii="Arial Narrow" w:hAnsi="Arial Narrow"/>
                <w:sz w:val="20"/>
                <w:szCs w:val="20"/>
              </w:rPr>
            </w:pPr>
            <w:r w:rsidRPr="00EB6EFC">
              <w:rPr>
                <w:rFonts w:ascii="Arial Narrow" w:hAnsi="Arial Narrow"/>
                <w:sz w:val="20"/>
                <w:szCs w:val="20"/>
              </w:rPr>
              <w:t xml:space="preserve">10% disfigurement and deformity was </w:t>
            </w:r>
            <w:r w:rsidR="001F58B9" w:rsidRPr="00EB6EFC">
              <w:rPr>
                <w:rFonts w:ascii="Arial Narrow" w:hAnsi="Arial Narrow"/>
                <w:sz w:val="20"/>
                <w:szCs w:val="20"/>
              </w:rPr>
              <w:t>us</w:t>
            </w:r>
            <w:r w:rsidRPr="00EB6EFC">
              <w:rPr>
                <w:rFonts w:ascii="Arial Narrow" w:hAnsi="Arial Narrow"/>
                <w:sz w:val="20"/>
                <w:szCs w:val="20"/>
              </w:rPr>
              <w:t xml:space="preserve">ed in the economic evaluation based on </w:t>
            </w:r>
            <w:r w:rsidR="0099295E" w:rsidRPr="00EB6EFC">
              <w:rPr>
                <w:rFonts w:ascii="Arial Narrow" w:hAnsi="Arial Narrow"/>
                <w:sz w:val="20"/>
                <w:szCs w:val="20"/>
              </w:rPr>
              <w:t>narrative text from two Australian dermatologists who ha</w:t>
            </w:r>
            <w:r w:rsidR="008D4F43" w:rsidRPr="00EB6EFC">
              <w:rPr>
                <w:rFonts w:ascii="Arial Narrow" w:hAnsi="Arial Narrow"/>
                <w:sz w:val="20"/>
                <w:szCs w:val="20"/>
              </w:rPr>
              <w:t>d</w:t>
            </w:r>
            <w:r w:rsidR="0099295E" w:rsidRPr="00EB6EFC">
              <w:rPr>
                <w:rFonts w:ascii="Arial Narrow" w:hAnsi="Arial Narrow"/>
                <w:sz w:val="20"/>
                <w:szCs w:val="20"/>
              </w:rPr>
              <w:t xml:space="preserve"> used vismodegib. Both clinicians stated that in their experience there was no or minimal disfigurement associated with vismodegib. </w:t>
            </w:r>
            <w:r w:rsidR="001F58B9" w:rsidRPr="00EB6EFC">
              <w:rPr>
                <w:rFonts w:ascii="Arial Narrow" w:hAnsi="Arial Narrow"/>
                <w:sz w:val="20"/>
                <w:szCs w:val="20"/>
              </w:rPr>
              <w:t>Thus</w:t>
            </w:r>
            <w:r w:rsidR="0099295E" w:rsidRPr="00EB6EFC">
              <w:rPr>
                <w:rFonts w:ascii="Arial Narrow" w:hAnsi="Arial Narrow"/>
                <w:sz w:val="20"/>
                <w:szCs w:val="20"/>
              </w:rPr>
              <w:t xml:space="preserve"> the </w:t>
            </w:r>
            <w:r w:rsidR="00993564">
              <w:rPr>
                <w:rFonts w:ascii="Arial Narrow" w:hAnsi="Arial Narrow"/>
                <w:sz w:val="20"/>
                <w:szCs w:val="20"/>
              </w:rPr>
              <w:t>resubmission</w:t>
            </w:r>
            <w:r w:rsidR="0099295E" w:rsidRPr="00EB6EFC">
              <w:rPr>
                <w:rFonts w:ascii="Arial Narrow" w:hAnsi="Arial Narrow"/>
                <w:sz w:val="20"/>
                <w:szCs w:val="20"/>
              </w:rPr>
              <w:t xml:space="preserve"> stated that they use</w:t>
            </w:r>
            <w:r w:rsidR="004C1593" w:rsidRPr="00EB6EFC">
              <w:rPr>
                <w:rFonts w:ascii="Arial Narrow" w:hAnsi="Arial Narrow"/>
                <w:sz w:val="20"/>
                <w:szCs w:val="20"/>
              </w:rPr>
              <w:t>d</w:t>
            </w:r>
            <w:r w:rsidR="0099295E" w:rsidRPr="00EB6EFC">
              <w:rPr>
                <w:rFonts w:ascii="Arial Narrow" w:hAnsi="Arial Narrow"/>
                <w:sz w:val="20"/>
                <w:szCs w:val="20"/>
              </w:rPr>
              <w:t xml:space="preserve"> a conservative estimate of 10%, rather than the 20% </w:t>
            </w:r>
            <w:r w:rsidR="004C1593" w:rsidRPr="00EB6EFC">
              <w:rPr>
                <w:rFonts w:ascii="Arial Narrow" w:hAnsi="Arial Narrow"/>
                <w:sz w:val="20"/>
                <w:szCs w:val="20"/>
              </w:rPr>
              <w:t xml:space="preserve">requested </w:t>
            </w:r>
            <w:r w:rsidR="0099295E" w:rsidRPr="00EB6EFC">
              <w:rPr>
                <w:rFonts w:ascii="Arial Narrow" w:hAnsi="Arial Narrow"/>
                <w:sz w:val="20"/>
                <w:szCs w:val="20"/>
              </w:rPr>
              <w:t>by the PBAC.</w:t>
            </w:r>
          </w:p>
          <w:p w:rsidR="0099295E" w:rsidRPr="00EB6EFC" w:rsidRDefault="0099295E" w:rsidP="00905758">
            <w:pPr>
              <w:rPr>
                <w:rFonts w:ascii="Arial Narrow" w:hAnsi="Arial Narrow"/>
                <w:sz w:val="20"/>
                <w:szCs w:val="20"/>
              </w:rPr>
            </w:pPr>
          </w:p>
          <w:p w:rsidR="0099295E" w:rsidRPr="00EB6EFC" w:rsidRDefault="0099295E" w:rsidP="00905758">
            <w:pPr>
              <w:rPr>
                <w:rFonts w:ascii="Arial Narrow" w:hAnsi="Arial Narrow"/>
                <w:sz w:val="20"/>
                <w:szCs w:val="20"/>
                <w:u w:val="single"/>
              </w:rPr>
            </w:pPr>
            <w:r w:rsidRPr="00EB6EFC">
              <w:rPr>
                <w:rFonts w:ascii="Arial Narrow" w:hAnsi="Arial Narrow"/>
                <w:sz w:val="20"/>
                <w:szCs w:val="20"/>
                <w:u w:val="single"/>
              </w:rPr>
              <w:t>Surgery (Schwipper 2011; N=118)</w:t>
            </w:r>
          </w:p>
          <w:p w:rsidR="0099295E" w:rsidRPr="00EB6EFC" w:rsidRDefault="0099295E" w:rsidP="00905758">
            <w:pPr>
              <w:rPr>
                <w:rFonts w:ascii="Arial Narrow" w:hAnsi="Arial Narrow"/>
                <w:sz w:val="20"/>
                <w:szCs w:val="20"/>
                <w:highlight w:val="yellow"/>
              </w:rPr>
            </w:pPr>
            <w:r w:rsidRPr="00EB6EFC">
              <w:rPr>
                <w:rFonts w:ascii="Arial Narrow" w:hAnsi="Arial Narrow"/>
                <w:sz w:val="20"/>
                <w:szCs w:val="20"/>
              </w:rPr>
              <w:t>No change</w:t>
            </w:r>
          </w:p>
        </w:tc>
      </w:tr>
      <w:tr w:rsidR="0099295E" w:rsidRPr="00EB6EFC" w:rsidTr="00905758">
        <w:trPr>
          <w:cantSplit/>
          <w:trHeight w:val="20"/>
        </w:trPr>
        <w:tc>
          <w:tcPr>
            <w:tcW w:w="601"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Clinical claim</w:t>
            </w:r>
          </w:p>
        </w:tc>
        <w:tc>
          <w:tcPr>
            <w:tcW w:w="2199"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Equivalent in terms of comparative effectiveness and superior in terms of comparative safety over surgery.</w:t>
            </w:r>
          </w:p>
          <w:p w:rsidR="0099295E" w:rsidRPr="00EB6EFC" w:rsidRDefault="0099295E" w:rsidP="00905758">
            <w:pPr>
              <w:rPr>
                <w:rFonts w:ascii="Arial Narrow" w:hAnsi="Arial Narrow"/>
                <w:sz w:val="20"/>
                <w:szCs w:val="20"/>
              </w:rPr>
            </w:pPr>
          </w:p>
          <w:p w:rsidR="0099295E" w:rsidRPr="00EB6EFC" w:rsidRDefault="0099295E" w:rsidP="00905758">
            <w:pPr>
              <w:rPr>
                <w:rFonts w:ascii="Arial Narrow" w:hAnsi="Arial Narrow"/>
                <w:sz w:val="20"/>
                <w:szCs w:val="20"/>
              </w:rPr>
            </w:pPr>
            <w:r w:rsidRPr="00EB6EFC">
              <w:rPr>
                <w:rFonts w:ascii="Arial Narrow" w:hAnsi="Arial Narrow"/>
                <w:b/>
                <w:sz w:val="20"/>
                <w:szCs w:val="20"/>
              </w:rPr>
              <w:t>PBAC Comment:</w:t>
            </w:r>
            <w:r w:rsidRPr="00EB6EFC">
              <w:rPr>
                <w:rFonts w:ascii="Arial Narrow" w:hAnsi="Arial Narrow"/>
                <w:sz w:val="20"/>
                <w:szCs w:val="20"/>
              </w:rPr>
              <w:t xml:space="preserve"> Vismodegib was not considered equivalent in terms of comparative effectiveness to surgery, as vismodegib was not considered to be curative for BCC</w:t>
            </w:r>
            <w:r w:rsidR="005355CB" w:rsidRPr="00EB6EFC">
              <w:rPr>
                <w:rFonts w:ascii="Arial Narrow" w:hAnsi="Arial Narrow"/>
                <w:sz w:val="20"/>
                <w:szCs w:val="20"/>
              </w:rPr>
              <w:t xml:space="preserve"> (para 7.5)</w:t>
            </w:r>
            <w:r w:rsidRPr="00EB6EFC">
              <w:rPr>
                <w:rFonts w:ascii="Arial Narrow" w:hAnsi="Arial Narrow"/>
                <w:sz w:val="20"/>
                <w:szCs w:val="20"/>
              </w:rPr>
              <w:t>.</w:t>
            </w:r>
          </w:p>
        </w:tc>
        <w:tc>
          <w:tcPr>
            <w:tcW w:w="2200"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No claim was made</w:t>
            </w:r>
            <w:r w:rsidR="008D4F43" w:rsidRPr="00EB6EFC">
              <w:rPr>
                <w:rFonts w:ascii="Arial Narrow" w:hAnsi="Arial Narrow"/>
                <w:sz w:val="20"/>
                <w:szCs w:val="20"/>
              </w:rPr>
              <w:t>.</w:t>
            </w:r>
          </w:p>
          <w:p w:rsidR="0099295E" w:rsidRPr="00EB6EFC" w:rsidRDefault="0099295E" w:rsidP="00905758">
            <w:pPr>
              <w:rPr>
                <w:rFonts w:ascii="Arial Narrow" w:hAnsi="Arial Narrow"/>
                <w:sz w:val="20"/>
                <w:szCs w:val="20"/>
              </w:rPr>
            </w:pPr>
          </w:p>
        </w:tc>
      </w:tr>
      <w:tr w:rsidR="00A02A95" w:rsidRPr="00EB6EFC" w:rsidTr="00905758">
        <w:trPr>
          <w:cantSplit/>
          <w:trHeight w:val="20"/>
        </w:trPr>
        <w:tc>
          <w:tcPr>
            <w:tcW w:w="601" w:type="pct"/>
          </w:tcPr>
          <w:p w:rsidR="00A02A95" w:rsidRPr="00EB6EFC" w:rsidRDefault="00A02A95" w:rsidP="00905758">
            <w:pPr>
              <w:rPr>
                <w:rFonts w:ascii="Arial Narrow" w:hAnsi="Arial Narrow"/>
                <w:sz w:val="20"/>
                <w:szCs w:val="20"/>
              </w:rPr>
            </w:pPr>
            <w:r w:rsidRPr="00EB6EFC">
              <w:rPr>
                <w:rFonts w:ascii="Arial Narrow" w:hAnsi="Arial Narrow"/>
                <w:sz w:val="20"/>
                <w:szCs w:val="20"/>
              </w:rPr>
              <w:lastRenderedPageBreak/>
              <w:t>Economic evaluation - structure</w:t>
            </w:r>
          </w:p>
        </w:tc>
        <w:tc>
          <w:tcPr>
            <w:tcW w:w="2199" w:type="pct"/>
          </w:tcPr>
          <w:p w:rsidR="00A02A95" w:rsidRPr="00EB6EFC" w:rsidRDefault="00A02A95" w:rsidP="00A02A95">
            <w:pPr>
              <w:rPr>
                <w:rFonts w:ascii="Arial Narrow" w:hAnsi="Arial Narrow"/>
                <w:sz w:val="20"/>
                <w:szCs w:val="20"/>
              </w:rPr>
            </w:pPr>
            <w:r w:rsidRPr="00EB6EFC">
              <w:rPr>
                <w:rFonts w:ascii="Arial Narrow" w:hAnsi="Arial Narrow"/>
                <w:sz w:val="20"/>
                <w:szCs w:val="20"/>
              </w:rPr>
              <w:t>A modelled cost-effectiveness analysis using cost per disfigurement-free responder for the economic evaluation. A four year model was used based on 12.7 month trial data with Kaplan Meier estimates.</w:t>
            </w:r>
          </w:p>
        </w:tc>
        <w:tc>
          <w:tcPr>
            <w:tcW w:w="2200" w:type="pct"/>
          </w:tcPr>
          <w:p w:rsidR="00A02A95" w:rsidRPr="00EB6EFC" w:rsidRDefault="00A02A95" w:rsidP="004C1593">
            <w:pPr>
              <w:rPr>
                <w:rFonts w:ascii="Arial Narrow" w:hAnsi="Arial Narrow"/>
                <w:sz w:val="20"/>
                <w:szCs w:val="20"/>
              </w:rPr>
            </w:pPr>
            <w:r w:rsidRPr="00EB6EFC">
              <w:rPr>
                <w:rFonts w:ascii="Arial Narrow" w:hAnsi="Arial Narrow"/>
                <w:sz w:val="20"/>
                <w:szCs w:val="20"/>
              </w:rPr>
              <w:t>The structure of the model was unchanged</w:t>
            </w:r>
            <w:r w:rsidR="004C1593" w:rsidRPr="00EB6EFC">
              <w:rPr>
                <w:rFonts w:ascii="Arial Narrow" w:hAnsi="Arial Narrow"/>
                <w:sz w:val="20"/>
                <w:szCs w:val="20"/>
              </w:rPr>
              <w:t xml:space="preserve"> (i</w:t>
            </w:r>
            <w:r w:rsidRPr="00EB6EFC">
              <w:rPr>
                <w:rFonts w:ascii="Arial Narrow" w:hAnsi="Arial Narrow"/>
                <w:sz w:val="20"/>
                <w:szCs w:val="20"/>
              </w:rPr>
              <w:t>nput</w:t>
            </w:r>
            <w:r w:rsidR="001D5724" w:rsidRPr="00EB6EFC">
              <w:rPr>
                <w:rFonts w:ascii="Arial Narrow" w:hAnsi="Arial Narrow"/>
                <w:sz w:val="20"/>
                <w:szCs w:val="20"/>
              </w:rPr>
              <w:t>s</w:t>
            </w:r>
            <w:r w:rsidRPr="00EB6EFC">
              <w:rPr>
                <w:rFonts w:ascii="Arial Narrow" w:hAnsi="Arial Narrow"/>
                <w:sz w:val="20"/>
                <w:szCs w:val="20"/>
              </w:rPr>
              <w:t xml:space="preserve"> were changed</w:t>
            </w:r>
            <w:r w:rsidR="00E073AB">
              <w:rPr>
                <w:rFonts w:ascii="Arial Narrow" w:hAnsi="Arial Narrow"/>
                <w:sz w:val="20"/>
                <w:szCs w:val="20"/>
              </w:rPr>
              <w:t>, as outlined in T</w:t>
            </w:r>
            <w:r w:rsidR="001D5724" w:rsidRPr="00EB6EFC">
              <w:rPr>
                <w:rFonts w:ascii="Arial Narrow" w:hAnsi="Arial Narrow"/>
                <w:sz w:val="20"/>
                <w:szCs w:val="20"/>
              </w:rPr>
              <w:t>able</w:t>
            </w:r>
            <w:r w:rsidR="00E073AB">
              <w:rPr>
                <w:rFonts w:ascii="Arial Narrow" w:hAnsi="Arial Narrow"/>
                <w:sz w:val="20"/>
                <w:szCs w:val="20"/>
              </w:rPr>
              <w:t xml:space="preserve"> 5,</w:t>
            </w:r>
            <w:r w:rsidRPr="00EB6EFC">
              <w:rPr>
                <w:rFonts w:ascii="Arial Narrow" w:hAnsi="Arial Narrow"/>
                <w:sz w:val="20"/>
                <w:szCs w:val="20"/>
              </w:rPr>
              <w:t xml:space="preserve"> below</w:t>
            </w:r>
            <w:r w:rsidR="004C1593" w:rsidRPr="00EB6EFC">
              <w:rPr>
                <w:rFonts w:ascii="Arial Narrow" w:hAnsi="Arial Narrow"/>
                <w:sz w:val="20"/>
                <w:szCs w:val="20"/>
              </w:rPr>
              <w:t>)</w:t>
            </w:r>
            <w:r w:rsidR="001D5724" w:rsidRPr="00EB6EFC">
              <w:rPr>
                <w:rFonts w:ascii="Arial Narrow" w:hAnsi="Arial Narrow"/>
                <w:sz w:val="20"/>
                <w:szCs w:val="20"/>
              </w:rPr>
              <w:t>.</w:t>
            </w:r>
          </w:p>
        </w:tc>
      </w:tr>
      <w:tr w:rsidR="0001651B" w:rsidRPr="00EB6EFC" w:rsidTr="00187310">
        <w:trPr>
          <w:cantSplit/>
          <w:trHeight w:val="665"/>
        </w:trPr>
        <w:tc>
          <w:tcPr>
            <w:tcW w:w="601" w:type="pct"/>
          </w:tcPr>
          <w:p w:rsidR="0001651B" w:rsidRPr="00EB6EFC" w:rsidRDefault="0001651B" w:rsidP="00905758">
            <w:pPr>
              <w:rPr>
                <w:rFonts w:ascii="Arial Narrow" w:hAnsi="Arial Narrow"/>
                <w:sz w:val="20"/>
                <w:szCs w:val="20"/>
              </w:rPr>
            </w:pPr>
            <w:r w:rsidRPr="00EB6EFC">
              <w:rPr>
                <w:rFonts w:ascii="Arial Narrow" w:hAnsi="Arial Narrow"/>
                <w:sz w:val="20"/>
                <w:szCs w:val="20"/>
              </w:rPr>
              <w:t>Economic evaluation</w:t>
            </w:r>
            <w:r w:rsidR="00A02A95" w:rsidRPr="00EB6EFC">
              <w:rPr>
                <w:rFonts w:ascii="Arial Narrow" w:hAnsi="Arial Narrow"/>
                <w:sz w:val="20"/>
                <w:szCs w:val="20"/>
              </w:rPr>
              <w:t xml:space="preserve"> - inputs</w:t>
            </w:r>
          </w:p>
        </w:tc>
        <w:tc>
          <w:tcPr>
            <w:tcW w:w="4399" w:type="pct"/>
            <w:gridSpan w:val="2"/>
          </w:tcPr>
          <w:p w:rsidR="004370E7" w:rsidRPr="00EB6EFC" w:rsidRDefault="00224DDD" w:rsidP="00EC348E">
            <w:pPr>
              <w:rPr>
                <w:rFonts w:ascii="Arial Narrow" w:hAnsi="Arial Narrow"/>
                <w:sz w:val="20"/>
                <w:szCs w:val="20"/>
              </w:rPr>
            </w:pPr>
            <w:r>
              <w:rPr>
                <w:rFonts w:ascii="Arial Narrow" w:hAnsi="Arial Narrow"/>
                <w:sz w:val="20"/>
                <w:szCs w:val="20"/>
              </w:rPr>
              <w:t>Refer to Table 5 below</w:t>
            </w:r>
          </w:p>
        </w:tc>
      </w:tr>
      <w:tr w:rsidR="002640A3" w:rsidRPr="00EB6EFC" w:rsidTr="005D7F75">
        <w:trPr>
          <w:cantSplit/>
          <w:trHeight w:val="20"/>
        </w:trPr>
        <w:tc>
          <w:tcPr>
            <w:tcW w:w="601" w:type="pct"/>
          </w:tcPr>
          <w:p w:rsidR="002640A3" w:rsidRPr="00EB6EFC" w:rsidRDefault="002640A3" w:rsidP="005D7F75">
            <w:pPr>
              <w:rPr>
                <w:rFonts w:ascii="Arial Narrow" w:hAnsi="Arial Narrow"/>
                <w:sz w:val="20"/>
                <w:szCs w:val="20"/>
                <w:highlight w:val="yellow"/>
              </w:rPr>
            </w:pPr>
            <w:r w:rsidRPr="00EB6EFC">
              <w:rPr>
                <w:rFonts w:ascii="Arial Narrow" w:hAnsi="Arial Narrow"/>
                <w:sz w:val="20"/>
                <w:szCs w:val="20"/>
              </w:rPr>
              <w:t>ICER</w:t>
            </w:r>
          </w:p>
        </w:tc>
        <w:tc>
          <w:tcPr>
            <w:tcW w:w="2199" w:type="pct"/>
          </w:tcPr>
          <w:p w:rsidR="002640A3" w:rsidRPr="00EB6EFC" w:rsidRDefault="002640A3" w:rsidP="005D7F75">
            <w:pPr>
              <w:rPr>
                <w:rFonts w:ascii="Arial Narrow" w:hAnsi="Arial Narrow"/>
                <w:sz w:val="20"/>
                <w:szCs w:val="20"/>
              </w:rPr>
            </w:pPr>
            <w:r w:rsidRPr="00EB6EFC">
              <w:rPr>
                <w:rFonts w:ascii="Arial Narrow" w:hAnsi="Arial Narrow"/>
                <w:sz w:val="20"/>
                <w:szCs w:val="20"/>
              </w:rPr>
              <w:t>Cost per additional disfigurement-free responder versus surgery:</w:t>
            </w:r>
          </w:p>
          <w:p w:rsidR="002640A3" w:rsidRPr="00EB6EFC" w:rsidRDefault="00AA6DE5" w:rsidP="005D7F75">
            <w:pPr>
              <w:pStyle w:val="ListParagraph"/>
              <w:numPr>
                <w:ilvl w:val="0"/>
                <w:numId w:val="18"/>
              </w:numPr>
              <w:ind w:left="468" w:hanging="284"/>
              <w:rPr>
                <w:rFonts w:ascii="Arial Narrow" w:hAnsi="Arial Narrow"/>
                <w:sz w:val="20"/>
              </w:rPr>
            </w:pPr>
            <w:r w:rsidRPr="003B0A99">
              <w:rPr>
                <w:rFonts w:ascii="Arial Narrow" w:hAnsi="Arial Narrow"/>
                <w:sz w:val="20"/>
              </w:rPr>
              <w:t>$45,000 - $75,000</w:t>
            </w:r>
            <w:r w:rsidR="002640A3" w:rsidRPr="00EB6EFC">
              <w:rPr>
                <w:rFonts w:ascii="Arial Narrow" w:hAnsi="Arial Narrow"/>
                <w:sz w:val="20"/>
              </w:rPr>
              <w:t xml:space="preserve"> with EOC cap.</w:t>
            </w:r>
          </w:p>
          <w:p w:rsidR="002640A3" w:rsidRPr="00EB6EFC" w:rsidRDefault="002640A3" w:rsidP="00C60F56">
            <w:pPr>
              <w:rPr>
                <w:rFonts w:ascii="Arial Narrow" w:hAnsi="Arial Narrow"/>
                <w:sz w:val="20"/>
              </w:rPr>
            </w:pPr>
            <w:r w:rsidRPr="00EB6EFC">
              <w:rPr>
                <w:rFonts w:ascii="Arial Narrow" w:hAnsi="Arial Narrow"/>
                <w:sz w:val="20"/>
              </w:rPr>
              <w:t xml:space="preserve">As per the revised base case accepted by the PBAC (per Table 9 and para 6.26 of the March 2016 PBAC </w:t>
            </w:r>
            <w:r w:rsidR="00C60F56">
              <w:rPr>
                <w:rFonts w:ascii="Arial Narrow" w:hAnsi="Arial Narrow"/>
                <w:sz w:val="20"/>
              </w:rPr>
              <w:t>PSD</w:t>
            </w:r>
            <w:r w:rsidRPr="00EB6EFC">
              <w:rPr>
                <w:rFonts w:ascii="Arial Narrow" w:hAnsi="Arial Narrow"/>
                <w:sz w:val="20"/>
              </w:rPr>
              <w:t>). These inputs would have resulted in an ICER of $</w:t>
            </w:r>
            <w:r w:rsidR="00AA6DE5" w:rsidRPr="003B0A99">
              <w:rPr>
                <w:rFonts w:ascii="Arial Narrow" w:hAnsi="Arial Narrow"/>
                <w:sz w:val="20"/>
              </w:rPr>
              <w:t>105,000 - $200,000</w:t>
            </w:r>
            <w:r w:rsidRPr="00EB6EFC">
              <w:rPr>
                <w:rFonts w:ascii="Arial Narrow" w:hAnsi="Arial Narrow"/>
                <w:sz w:val="20"/>
              </w:rPr>
              <w:t xml:space="preserve"> without the EOC cap.</w:t>
            </w:r>
          </w:p>
        </w:tc>
        <w:tc>
          <w:tcPr>
            <w:tcW w:w="2200" w:type="pct"/>
          </w:tcPr>
          <w:p w:rsidR="002640A3" w:rsidRPr="00EB6EFC" w:rsidRDefault="002640A3" w:rsidP="005D7F75">
            <w:pPr>
              <w:rPr>
                <w:rFonts w:ascii="Arial Narrow" w:hAnsi="Arial Narrow"/>
                <w:sz w:val="20"/>
                <w:szCs w:val="20"/>
              </w:rPr>
            </w:pPr>
            <w:r w:rsidRPr="00EB6EFC">
              <w:rPr>
                <w:rFonts w:ascii="Arial Narrow" w:hAnsi="Arial Narrow"/>
                <w:sz w:val="20"/>
                <w:szCs w:val="20"/>
              </w:rPr>
              <w:t xml:space="preserve">Cost per additional disfigurement-free responder versus surgery (with </w:t>
            </w:r>
            <w:r w:rsidR="006505A5">
              <w:rPr>
                <w:rFonts w:ascii="Arial Narrow" w:hAnsi="Arial Narrow"/>
                <w:noProof/>
                <w:color w:val="000000"/>
                <w:sz w:val="20"/>
                <w:szCs w:val="20"/>
                <w:highlight w:val="black"/>
              </w:rPr>
              <w:t>'''''</w:t>
            </w:r>
            <w:r w:rsidRPr="00EB6EFC">
              <w:rPr>
                <w:rFonts w:ascii="Arial Narrow" w:hAnsi="Arial Narrow"/>
                <w:sz w:val="20"/>
                <w:szCs w:val="20"/>
              </w:rPr>
              <w:t>% rebate):</w:t>
            </w:r>
          </w:p>
          <w:p w:rsidR="002640A3" w:rsidRPr="00EB6EFC" w:rsidRDefault="00AA6DE5" w:rsidP="005D7F75">
            <w:pPr>
              <w:pStyle w:val="ListParagraph"/>
              <w:numPr>
                <w:ilvl w:val="0"/>
                <w:numId w:val="18"/>
              </w:numPr>
              <w:ind w:left="584" w:hanging="283"/>
              <w:rPr>
                <w:rFonts w:ascii="Arial Narrow" w:hAnsi="Arial Narrow"/>
                <w:sz w:val="20"/>
              </w:rPr>
            </w:pPr>
            <w:r w:rsidRPr="003B0A99">
              <w:rPr>
                <w:rFonts w:ascii="Arial Narrow" w:hAnsi="Arial Narrow"/>
                <w:sz w:val="20"/>
              </w:rPr>
              <w:t>$45,000 - $75,000</w:t>
            </w:r>
            <w:r w:rsidR="002640A3" w:rsidRPr="00EB6EFC">
              <w:rPr>
                <w:rFonts w:ascii="Arial Narrow" w:hAnsi="Arial Narrow"/>
                <w:sz w:val="20"/>
              </w:rPr>
              <w:t xml:space="preserve"> with EOC cap; and</w:t>
            </w:r>
          </w:p>
          <w:p w:rsidR="002640A3" w:rsidRPr="00EB6EFC" w:rsidRDefault="00AA6DE5" w:rsidP="00AA6DE5">
            <w:pPr>
              <w:pStyle w:val="ListParagraph"/>
              <w:numPr>
                <w:ilvl w:val="0"/>
                <w:numId w:val="18"/>
              </w:numPr>
              <w:ind w:left="584" w:hanging="283"/>
              <w:rPr>
                <w:rFonts w:ascii="Arial Narrow" w:hAnsi="Arial Narrow"/>
                <w:sz w:val="20"/>
              </w:rPr>
            </w:pPr>
            <w:r w:rsidRPr="003B0A99">
              <w:rPr>
                <w:rFonts w:ascii="Arial Narrow" w:hAnsi="Arial Narrow"/>
                <w:sz w:val="20"/>
              </w:rPr>
              <w:t>$105,000 - $200,000</w:t>
            </w:r>
            <w:r w:rsidR="002640A3" w:rsidRPr="00EB6EFC">
              <w:rPr>
                <w:rFonts w:ascii="Arial Narrow" w:hAnsi="Arial Narrow"/>
                <w:sz w:val="20"/>
              </w:rPr>
              <w:t xml:space="preserve"> without EOC cap.</w:t>
            </w:r>
          </w:p>
        </w:tc>
      </w:tr>
      <w:tr w:rsidR="0099295E" w:rsidRPr="00EB6EFC" w:rsidTr="00905758">
        <w:trPr>
          <w:cantSplit/>
          <w:trHeight w:val="20"/>
        </w:trPr>
        <w:tc>
          <w:tcPr>
            <w:tcW w:w="601"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Number of patients</w:t>
            </w:r>
          </w:p>
        </w:tc>
        <w:tc>
          <w:tcPr>
            <w:tcW w:w="2199" w:type="pct"/>
          </w:tcPr>
          <w:p w:rsidR="0099295E" w:rsidRPr="00EB6EFC" w:rsidRDefault="00AA6DE5" w:rsidP="00AA6DE5">
            <w:pPr>
              <w:rPr>
                <w:rFonts w:ascii="Arial Narrow" w:hAnsi="Arial Narrow"/>
                <w:sz w:val="20"/>
                <w:szCs w:val="20"/>
              </w:rPr>
            </w:pPr>
            <w:r w:rsidRPr="003B0A99">
              <w:rPr>
                <w:rFonts w:ascii="Arial Narrow" w:hAnsi="Arial Narrow"/>
                <w:sz w:val="20"/>
                <w:szCs w:val="20"/>
              </w:rPr>
              <w:t>Less than 10,000</w:t>
            </w:r>
            <w:r w:rsidRPr="00EB6EFC">
              <w:rPr>
                <w:rFonts w:ascii="Arial Narrow" w:hAnsi="Arial Narrow"/>
                <w:sz w:val="20"/>
                <w:szCs w:val="20"/>
              </w:rPr>
              <w:t xml:space="preserve"> </w:t>
            </w:r>
            <w:r w:rsidR="0099295E" w:rsidRPr="00EB6EFC">
              <w:rPr>
                <w:rFonts w:ascii="Arial Narrow" w:hAnsi="Arial Narrow"/>
                <w:sz w:val="20"/>
                <w:szCs w:val="20"/>
              </w:rPr>
              <w:t xml:space="preserve">in Year 1 increasing to </w:t>
            </w:r>
            <w:r w:rsidRPr="003B0A99">
              <w:rPr>
                <w:rFonts w:ascii="Arial Narrow" w:hAnsi="Arial Narrow"/>
                <w:sz w:val="20"/>
                <w:szCs w:val="20"/>
              </w:rPr>
              <w:t>less than 10,000</w:t>
            </w:r>
            <w:r w:rsidRPr="00EB6EFC">
              <w:rPr>
                <w:rFonts w:ascii="Arial Narrow" w:hAnsi="Arial Narrow"/>
                <w:sz w:val="20"/>
                <w:szCs w:val="20"/>
              </w:rPr>
              <w:t xml:space="preserve"> </w:t>
            </w:r>
            <w:r w:rsidR="0099295E" w:rsidRPr="00EB6EFC">
              <w:rPr>
                <w:rFonts w:ascii="Arial Narrow" w:hAnsi="Arial Narrow"/>
                <w:sz w:val="20"/>
                <w:szCs w:val="20"/>
              </w:rPr>
              <w:t>in Year 6.</w:t>
            </w:r>
          </w:p>
        </w:tc>
        <w:tc>
          <w:tcPr>
            <w:tcW w:w="2200" w:type="pct"/>
          </w:tcPr>
          <w:p w:rsidR="0099295E" w:rsidRPr="00EB6EFC" w:rsidRDefault="0029587D" w:rsidP="00905758">
            <w:pPr>
              <w:rPr>
                <w:rFonts w:ascii="Arial Narrow" w:hAnsi="Arial Narrow"/>
                <w:sz w:val="20"/>
                <w:szCs w:val="20"/>
              </w:rPr>
            </w:pPr>
            <w:r w:rsidRPr="00EB6EFC">
              <w:rPr>
                <w:rFonts w:ascii="Arial Narrow" w:hAnsi="Arial Narrow"/>
                <w:sz w:val="20"/>
                <w:szCs w:val="20"/>
              </w:rPr>
              <w:t>U</w:t>
            </w:r>
            <w:r w:rsidR="0099295E" w:rsidRPr="00EB6EFC">
              <w:rPr>
                <w:rFonts w:ascii="Arial Narrow" w:hAnsi="Arial Narrow"/>
                <w:sz w:val="20"/>
                <w:szCs w:val="20"/>
              </w:rPr>
              <w:t>nchanged.</w:t>
            </w:r>
          </w:p>
          <w:p w:rsidR="0099295E" w:rsidRPr="00EB6EFC" w:rsidRDefault="0099295E" w:rsidP="00CF41A4">
            <w:pPr>
              <w:rPr>
                <w:rFonts w:ascii="Arial Narrow" w:hAnsi="Arial Narrow"/>
                <w:i/>
                <w:sz w:val="20"/>
                <w:szCs w:val="20"/>
              </w:rPr>
            </w:pPr>
            <w:r w:rsidRPr="00EB6EFC">
              <w:rPr>
                <w:rFonts w:ascii="Arial Narrow" w:hAnsi="Arial Narrow"/>
                <w:sz w:val="20"/>
                <w:szCs w:val="20"/>
              </w:rPr>
              <w:t xml:space="preserve"> </w:t>
            </w:r>
          </w:p>
        </w:tc>
      </w:tr>
      <w:tr w:rsidR="0099295E" w:rsidRPr="00EB6EFC" w:rsidTr="00905758">
        <w:trPr>
          <w:cantSplit/>
          <w:trHeight w:val="20"/>
        </w:trPr>
        <w:tc>
          <w:tcPr>
            <w:tcW w:w="601" w:type="pct"/>
          </w:tcPr>
          <w:p w:rsidR="0099295E" w:rsidRPr="00EB6EFC" w:rsidRDefault="0099295E" w:rsidP="00905758">
            <w:pPr>
              <w:rPr>
                <w:rFonts w:ascii="Arial Narrow" w:hAnsi="Arial Narrow"/>
                <w:sz w:val="20"/>
                <w:szCs w:val="20"/>
                <w:highlight w:val="yellow"/>
              </w:rPr>
            </w:pPr>
            <w:r w:rsidRPr="00EB6EFC">
              <w:rPr>
                <w:rFonts w:ascii="Arial Narrow" w:hAnsi="Arial Narrow"/>
                <w:sz w:val="20"/>
                <w:szCs w:val="20"/>
              </w:rPr>
              <w:t>Estimated cost to PBS</w:t>
            </w:r>
          </w:p>
        </w:tc>
        <w:tc>
          <w:tcPr>
            <w:tcW w:w="2199" w:type="pct"/>
          </w:tcPr>
          <w:p w:rsidR="0099295E" w:rsidRPr="00EB6EFC" w:rsidRDefault="00AA6DE5" w:rsidP="00905758">
            <w:pPr>
              <w:rPr>
                <w:rFonts w:ascii="Arial Narrow" w:hAnsi="Arial Narrow"/>
                <w:sz w:val="20"/>
                <w:szCs w:val="20"/>
              </w:rPr>
            </w:pPr>
            <w:r>
              <w:rPr>
                <w:rFonts w:ascii="Arial Narrow" w:hAnsi="Arial Narrow"/>
                <w:sz w:val="20"/>
                <w:szCs w:val="20"/>
              </w:rPr>
              <w:t xml:space="preserve">Less than </w:t>
            </w:r>
            <w:r w:rsidR="0099295E" w:rsidRPr="00EB6EFC">
              <w:rPr>
                <w:rFonts w:ascii="Arial Narrow" w:hAnsi="Arial Narrow"/>
                <w:sz w:val="20"/>
                <w:szCs w:val="20"/>
              </w:rPr>
              <w:t>$</w:t>
            </w:r>
            <w:r>
              <w:rPr>
                <w:rFonts w:ascii="Arial Narrow" w:hAnsi="Arial Narrow"/>
                <w:sz w:val="20"/>
                <w:szCs w:val="20"/>
              </w:rPr>
              <w:t>10 million</w:t>
            </w:r>
            <w:r w:rsidR="0099295E" w:rsidRPr="00EB6EFC">
              <w:rPr>
                <w:rFonts w:ascii="Arial Narrow" w:hAnsi="Arial Narrow"/>
                <w:sz w:val="20"/>
                <w:szCs w:val="20"/>
              </w:rPr>
              <w:t xml:space="preserve"> in Year 1 increasing to</w:t>
            </w:r>
            <w:r>
              <w:rPr>
                <w:rFonts w:ascii="Arial Narrow" w:hAnsi="Arial Narrow"/>
                <w:sz w:val="20"/>
                <w:szCs w:val="20"/>
              </w:rPr>
              <w:t xml:space="preserve"> less than</w:t>
            </w:r>
            <w:r w:rsidR="0099295E" w:rsidRPr="00EB6EFC">
              <w:rPr>
                <w:rFonts w:ascii="Arial Narrow" w:hAnsi="Arial Narrow"/>
                <w:sz w:val="20"/>
                <w:szCs w:val="20"/>
              </w:rPr>
              <w:t xml:space="preserve"> $</w:t>
            </w:r>
            <w:r>
              <w:rPr>
                <w:rFonts w:ascii="Arial Narrow" w:hAnsi="Arial Narrow"/>
                <w:sz w:val="20"/>
                <w:szCs w:val="20"/>
              </w:rPr>
              <w:t>10 million</w:t>
            </w:r>
            <w:r w:rsidR="0099295E" w:rsidRPr="00EB6EFC">
              <w:rPr>
                <w:rFonts w:ascii="Arial Narrow" w:hAnsi="Arial Narrow"/>
                <w:sz w:val="20"/>
                <w:szCs w:val="20"/>
              </w:rPr>
              <w:t xml:space="preserve"> in Year 5 for a total $</w:t>
            </w:r>
            <w:r>
              <w:rPr>
                <w:rFonts w:ascii="Arial Narrow" w:hAnsi="Arial Narrow"/>
                <w:sz w:val="20"/>
                <w:szCs w:val="20"/>
              </w:rPr>
              <w:t xml:space="preserve">20 - </w:t>
            </w:r>
            <w:r w:rsidR="00B171EE">
              <w:rPr>
                <w:rFonts w:ascii="Arial Narrow" w:hAnsi="Arial Narrow"/>
                <w:sz w:val="20"/>
                <w:szCs w:val="20"/>
              </w:rPr>
              <w:t>$</w:t>
            </w:r>
            <w:r>
              <w:rPr>
                <w:rFonts w:ascii="Arial Narrow" w:hAnsi="Arial Narrow"/>
                <w:sz w:val="20"/>
                <w:szCs w:val="20"/>
              </w:rPr>
              <w:t>30</w:t>
            </w:r>
            <w:r w:rsidR="0099295E" w:rsidRPr="00EB6EFC">
              <w:rPr>
                <w:rFonts w:ascii="Arial Narrow" w:hAnsi="Arial Narrow"/>
                <w:sz w:val="20"/>
                <w:szCs w:val="20"/>
              </w:rPr>
              <w:t xml:space="preserve"> million over the first </w:t>
            </w:r>
            <w:r w:rsidR="00E75746" w:rsidRPr="00EB6EFC">
              <w:rPr>
                <w:rFonts w:ascii="Arial Narrow" w:hAnsi="Arial Narrow"/>
                <w:sz w:val="20"/>
                <w:szCs w:val="20"/>
              </w:rPr>
              <w:t>5</w:t>
            </w:r>
            <w:r w:rsidR="0099295E" w:rsidRPr="00EB6EFC">
              <w:rPr>
                <w:rFonts w:ascii="Arial Narrow" w:hAnsi="Arial Narrow"/>
                <w:sz w:val="20"/>
                <w:szCs w:val="20"/>
              </w:rPr>
              <w:t xml:space="preserve"> years of listing (after EOC cap was applied).</w:t>
            </w:r>
          </w:p>
          <w:p w:rsidR="00CF41A4" w:rsidRPr="00EB6EFC" w:rsidRDefault="00CF41A4" w:rsidP="00CF41A4">
            <w:pPr>
              <w:rPr>
                <w:rFonts w:ascii="Arial Narrow" w:hAnsi="Arial Narrow"/>
                <w:sz w:val="20"/>
                <w:szCs w:val="20"/>
                <w:u w:val="single"/>
              </w:rPr>
            </w:pPr>
            <w:r w:rsidRPr="00EB6EFC">
              <w:rPr>
                <w:rFonts w:ascii="Arial Narrow" w:hAnsi="Arial Narrow"/>
                <w:sz w:val="20"/>
                <w:szCs w:val="20"/>
                <w:u w:val="single"/>
              </w:rPr>
              <w:t>RSA:</w:t>
            </w:r>
          </w:p>
          <w:p w:rsidR="00CF41A4" w:rsidRPr="00EB6EFC" w:rsidRDefault="00CF41A4" w:rsidP="00CF41A4">
            <w:pPr>
              <w:rPr>
                <w:rFonts w:ascii="Arial Narrow" w:hAnsi="Arial Narrow"/>
                <w:sz w:val="20"/>
                <w:szCs w:val="20"/>
              </w:rPr>
            </w:pPr>
            <w:r w:rsidRPr="00EB6EFC">
              <w:rPr>
                <w:rFonts w:ascii="Arial Narrow" w:hAnsi="Arial Narrow"/>
                <w:sz w:val="20"/>
                <w:szCs w:val="20"/>
              </w:rPr>
              <w:t xml:space="preserve">The submission proposed an RSA capping the number of PBS-subsidised packs of vismodegib to </w:t>
            </w:r>
            <w:r w:rsidR="006505A5">
              <w:rPr>
                <w:rFonts w:ascii="Arial Narrow" w:hAnsi="Arial Narrow"/>
                <w:noProof/>
                <w:color w:val="000000"/>
                <w:sz w:val="20"/>
                <w:szCs w:val="20"/>
                <w:highlight w:val="black"/>
              </w:rPr>
              <w:t>'''''''''''</w:t>
            </w:r>
            <w:r w:rsidRPr="00EB6EFC">
              <w:rPr>
                <w:rFonts w:ascii="Arial Narrow" w:hAnsi="Arial Narrow"/>
                <w:sz w:val="20"/>
                <w:szCs w:val="20"/>
              </w:rPr>
              <w:t xml:space="preserve"> packs per episode of care.</w:t>
            </w:r>
          </w:p>
          <w:p w:rsidR="00CF41A4" w:rsidRPr="00EB6EFC" w:rsidRDefault="00CF41A4" w:rsidP="00CF41A4">
            <w:pPr>
              <w:rPr>
                <w:rFonts w:ascii="Arial Narrow" w:hAnsi="Arial Narrow"/>
                <w:sz w:val="20"/>
                <w:szCs w:val="20"/>
              </w:rPr>
            </w:pPr>
            <w:r w:rsidRPr="00EB6EFC">
              <w:rPr>
                <w:rFonts w:ascii="Arial Narrow" w:hAnsi="Arial Narrow"/>
                <w:sz w:val="20"/>
                <w:szCs w:val="20"/>
              </w:rPr>
              <w:t xml:space="preserve">The PSCR proposed a subsidisation cap on number of patients with </w:t>
            </w:r>
            <w:r w:rsidR="006505A5">
              <w:rPr>
                <w:rFonts w:ascii="Arial Narrow" w:hAnsi="Arial Narrow"/>
                <w:noProof/>
                <w:color w:val="000000"/>
                <w:sz w:val="20"/>
                <w:szCs w:val="20"/>
                <w:highlight w:val="black"/>
              </w:rPr>
              <w:t>'''''''''</w:t>
            </w:r>
            <w:r w:rsidRPr="00EB6EFC">
              <w:rPr>
                <w:rFonts w:ascii="Arial Narrow" w:hAnsi="Arial Narrow"/>
                <w:sz w:val="20"/>
                <w:szCs w:val="20"/>
              </w:rPr>
              <w:t>% of the expenditure above the cap being rebated to Government</w:t>
            </w:r>
          </w:p>
          <w:p w:rsidR="00CF41A4" w:rsidRPr="00EB6EFC" w:rsidRDefault="00CF41A4" w:rsidP="00CF41A4">
            <w:pPr>
              <w:rPr>
                <w:rFonts w:ascii="Arial Narrow" w:hAnsi="Arial Narrow"/>
                <w:sz w:val="20"/>
                <w:szCs w:val="20"/>
              </w:rPr>
            </w:pPr>
          </w:p>
          <w:p w:rsidR="00CF41A4" w:rsidRPr="00EB6EFC" w:rsidRDefault="00CF41A4" w:rsidP="001D5724">
            <w:pPr>
              <w:rPr>
                <w:rFonts w:ascii="Arial Narrow" w:hAnsi="Arial Narrow"/>
                <w:sz w:val="20"/>
                <w:szCs w:val="20"/>
              </w:rPr>
            </w:pPr>
            <w:r w:rsidRPr="00EB6EFC">
              <w:rPr>
                <w:rFonts w:ascii="Arial Narrow" w:hAnsi="Arial Narrow"/>
                <w:b/>
                <w:sz w:val="20"/>
                <w:szCs w:val="20"/>
              </w:rPr>
              <w:t xml:space="preserve">PBAC Comment: </w:t>
            </w:r>
            <w:r w:rsidRPr="00EB6EFC">
              <w:rPr>
                <w:rFonts w:ascii="Arial Narrow" w:hAnsi="Arial Narrow"/>
                <w:sz w:val="20"/>
                <w:szCs w:val="20"/>
              </w:rPr>
              <w:t xml:space="preserve">The PBAC recommended a fixed total financial cap of beyond which </w:t>
            </w:r>
            <w:r w:rsidR="006505A5">
              <w:rPr>
                <w:rFonts w:ascii="Arial Narrow" w:hAnsi="Arial Narrow"/>
                <w:noProof/>
                <w:color w:val="000000"/>
                <w:sz w:val="20"/>
                <w:szCs w:val="20"/>
                <w:highlight w:val="black"/>
              </w:rPr>
              <w:t>'''''''''</w:t>
            </w:r>
            <w:r w:rsidRPr="00EB6EFC">
              <w:rPr>
                <w:rFonts w:ascii="Arial Narrow" w:hAnsi="Arial Narrow"/>
                <w:sz w:val="20"/>
                <w:szCs w:val="20"/>
              </w:rPr>
              <w:t>% of expenditure above the cap would be rebated to Government</w:t>
            </w:r>
            <w:r w:rsidR="001D5724" w:rsidRPr="00EB6EFC">
              <w:rPr>
                <w:rFonts w:ascii="Arial Narrow" w:hAnsi="Arial Narrow"/>
                <w:sz w:val="20"/>
                <w:szCs w:val="20"/>
              </w:rPr>
              <w:t xml:space="preserve"> (para 7.11)</w:t>
            </w:r>
            <w:r w:rsidRPr="00EB6EFC">
              <w:rPr>
                <w:rFonts w:ascii="Arial Narrow" w:hAnsi="Arial Narrow"/>
                <w:sz w:val="20"/>
                <w:szCs w:val="20"/>
              </w:rPr>
              <w:t>.</w:t>
            </w:r>
          </w:p>
        </w:tc>
        <w:tc>
          <w:tcPr>
            <w:tcW w:w="2200" w:type="pct"/>
          </w:tcPr>
          <w:p w:rsidR="0099295E" w:rsidRPr="00EB6EFC" w:rsidRDefault="00AA6DE5" w:rsidP="00905758">
            <w:pPr>
              <w:rPr>
                <w:rFonts w:ascii="Arial Narrow" w:hAnsi="Arial Narrow"/>
                <w:sz w:val="20"/>
                <w:szCs w:val="20"/>
              </w:rPr>
            </w:pPr>
            <w:r>
              <w:rPr>
                <w:rFonts w:ascii="Arial Narrow" w:hAnsi="Arial Narrow"/>
                <w:sz w:val="20"/>
                <w:szCs w:val="20"/>
              </w:rPr>
              <w:t xml:space="preserve">Less than </w:t>
            </w:r>
            <w:r w:rsidR="0099295E" w:rsidRPr="00EB6EFC">
              <w:rPr>
                <w:rFonts w:ascii="Arial Narrow" w:hAnsi="Arial Narrow"/>
                <w:sz w:val="20"/>
                <w:szCs w:val="20"/>
              </w:rPr>
              <w:t>$</w:t>
            </w:r>
            <w:r>
              <w:rPr>
                <w:rFonts w:ascii="Arial Narrow" w:hAnsi="Arial Narrow"/>
                <w:sz w:val="20"/>
                <w:szCs w:val="20"/>
              </w:rPr>
              <w:t xml:space="preserve">10 million </w:t>
            </w:r>
            <w:r w:rsidR="0099295E" w:rsidRPr="00EB6EFC">
              <w:rPr>
                <w:rFonts w:ascii="Arial Narrow" w:hAnsi="Arial Narrow"/>
                <w:sz w:val="20"/>
                <w:szCs w:val="20"/>
              </w:rPr>
              <w:t>in Year 1 increasing to</w:t>
            </w:r>
            <w:r>
              <w:rPr>
                <w:rFonts w:ascii="Arial Narrow" w:hAnsi="Arial Narrow"/>
                <w:sz w:val="20"/>
                <w:szCs w:val="20"/>
              </w:rPr>
              <w:t xml:space="preserve"> less than</w:t>
            </w:r>
            <w:r w:rsidR="0099295E" w:rsidRPr="00EB6EFC">
              <w:rPr>
                <w:rFonts w:ascii="Arial Narrow" w:hAnsi="Arial Narrow"/>
                <w:sz w:val="20"/>
                <w:szCs w:val="20"/>
              </w:rPr>
              <w:t xml:space="preserve"> $</w:t>
            </w:r>
            <w:r>
              <w:rPr>
                <w:rFonts w:ascii="Arial Narrow" w:hAnsi="Arial Narrow"/>
                <w:sz w:val="20"/>
                <w:szCs w:val="20"/>
              </w:rPr>
              <w:t>10 million</w:t>
            </w:r>
            <w:r w:rsidR="0099295E" w:rsidRPr="00EB6EFC">
              <w:rPr>
                <w:rFonts w:ascii="Arial Narrow" w:hAnsi="Arial Narrow"/>
                <w:sz w:val="20"/>
                <w:szCs w:val="20"/>
              </w:rPr>
              <w:t xml:space="preserve"> in Year 5 for a total $</w:t>
            </w:r>
            <w:r>
              <w:rPr>
                <w:rFonts w:ascii="Arial Narrow" w:hAnsi="Arial Narrow"/>
                <w:sz w:val="20"/>
                <w:szCs w:val="20"/>
              </w:rPr>
              <w:t xml:space="preserve">20 - </w:t>
            </w:r>
            <w:r w:rsidR="00B171EE">
              <w:rPr>
                <w:rFonts w:ascii="Arial Narrow" w:hAnsi="Arial Narrow"/>
                <w:sz w:val="20"/>
                <w:szCs w:val="20"/>
              </w:rPr>
              <w:t>$</w:t>
            </w:r>
            <w:r>
              <w:rPr>
                <w:rFonts w:ascii="Arial Narrow" w:hAnsi="Arial Narrow"/>
                <w:sz w:val="20"/>
                <w:szCs w:val="20"/>
              </w:rPr>
              <w:t>30</w:t>
            </w:r>
            <w:r w:rsidR="0099295E" w:rsidRPr="00EB6EFC">
              <w:rPr>
                <w:rFonts w:ascii="Arial Narrow" w:hAnsi="Arial Narrow"/>
                <w:sz w:val="20"/>
                <w:szCs w:val="20"/>
              </w:rPr>
              <w:t xml:space="preserve"> million over the first 5 years of listing (after EOC cap and </w:t>
            </w:r>
            <w:r w:rsidR="006505A5">
              <w:rPr>
                <w:rFonts w:ascii="Arial Narrow" w:hAnsi="Arial Narrow"/>
                <w:noProof/>
                <w:color w:val="000000"/>
                <w:sz w:val="20"/>
                <w:szCs w:val="20"/>
                <w:highlight w:val="black"/>
              </w:rPr>
              <w:t>''''''</w:t>
            </w:r>
            <w:r w:rsidR="0099295E" w:rsidRPr="00EB6EFC">
              <w:rPr>
                <w:rFonts w:ascii="Arial Narrow" w:hAnsi="Arial Narrow"/>
                <w:sz w:val="20"/>
                <w:szCs w:val="20"/>
              </w:rPr>
              <w:t>% rebate w</w:t>
            </w:r>
            <w:r w:rsidR="00CF41A4" w:rsidRPr="00EB6EFC">
              <w:rPr>
                <w:rFonts w:ascii="Arial Narrow" w:hAnsi="Arial Narrow"/>
                <w:sz w:val="20"/>
                <w:szCs w:val="20"/>
              </w:rPr>
              <w:t>ere</w:t>
            </w:r>
            <w:r w:rsidR="0099295E" w:rsidRPr="00EB6EFC">
              <w:rPr>
                <w:rFonts w:ascii="Arial Narrow" w:hAnsi="Arial Narrow"/>
                <w:sz w:val="20"/>
                <w:szCs w:val="20"/>
              </w:rPr>
              <w:t xml:space="preserve"> applied, no change to patient </w:t>
            </w:r>
            <w:r w:rsidR="001D5724" w:rsidRPr="00EB6EFC">
              <w:rPr>
                <w:rFonts w:ascii="Arial Narrow" w:hAnsi="Arial Narrow"/>
                <w:sz w:val="20"/>
                <w:szCs w:val="20"/>
              </w:rPr>
              <w:t xml:space="preserve">or script </w:t>
            </w:r>
            <w:r w:rsidR="0099295E" w:rsidRPr="00EB6EFC">
              <w:rPr>
                <w:rFonts w:ascii="Arial Narrow" w:hAnsi="Arial Narrow"/>
                <w:sz w:val="20"/>
                <w:szCs w:val="20"/>
              </w:rPr>
              <w:t>numbers)</w:t>
            </w:r>
          </w:p>
          <w:p w:rsidR="00CF41A4" w:rsidRPr="00EB6EFC" w:rsidRDefault="00CF41A4" w:rsidP="00CF41A4">
            <w:pPr>
              <w:rPr>
                <w:rFonts w:ascii="Arial Narrow" w:hAnsi="Arial Narrow"/>
                <w:sz w:val="20"/>
                <w:szCs w:val="20"/>
                <w:u w:val="single"/>
              </w:rPr>
            </w:pPr>
            <w:r w:rsidRPr="00EB6EFC">
              <w:rPr>
                <w:rFonts w:ascii="Arial Narrow" w:hAnsi="Arial Narrow"/>
                <w:sz w:val="20"/>
                <w:szCs w:val="20"/>
                <w:u w:val="single"/>
              </w:rPr>
              <w:t>RSA:</w:t>
            </w:r>
          </w:p>
          <w:p w:rsidR="00CF41A4" w:rsidRPr="00EB6EFC" w:rsidRDefault="00CF41A4" w:rsidP="001D5724">
            <w:pPr>
              <w:rPr>
                <w:rFonts w:ascii="Arial Narrow" w:hAnsi="Arial Narrow"/>
                <w:sz w:val="20"/>
                <w:szCs w:val="20"/>
              </w:rPr>
            </w:pPr>
            <w:r w:rsidRPr="00EB6EFC">
              <w:rPr>
                <w:rFonts w:ascii="Arial Narrow" w:hAnsi="Arial Narrow"/>
                <w:sz w:val="20"/>
                <w:szCs w:val="20"/>
              </w:rPr>
              <w:t xml:space="preserve">The </w:t>
            </w:r>
            <w:r w:rsidR="00993564">
              <w:rPr>
                <w:rFonts w:ascii="Arial Narrow" w:hAnsi="Arial Narrow"/>
                <w:sz w:val="20"/>
                <w:szCs w:val="20"/>
              </w:rPr>
              <w:t>resubmission</w:t>
            </w:r>
            <w:r w:rsidRPr="00EB6EFC">
              <w:rPr>
                <w:rFonts w:ascii="Arial Narrow" w:hAnsi="Arial Narrow"/>
                <w:sz w:val="20"/>
                <w:szCs w:val="20"/>
              </w:rPr>
              <w:t xml:space="preserve"> stated that “Taking into account the EOC cap, patient numbers and </w:t>
            </w:r>
            <w:r w:rsidR="006505A5">
              <w:rPr>
                <w:rFonts w:ascii="Arial Narrow" w:hAnsi="Arial Narrow"/>
                <w:noProof/>
                <w:color w:val="000000"/>
                <w:sz w:val="20"/>
                <w:szCs w:val="20"/>
                <w:highlight w:val="black"/>
              </w:rPr>
              <w:t>''''''</w:t>
            </w:r>
            <w:r w:rsidRPr="00EB6EFC">
              <w:rPr>
                <w:rFonts w:ascii="Arial Narrow" w:hAnsi="Arial Narrow"/>
                <w:sz w:val="20"/>
                <w:szCs w:val="20"/>
              </w:rPr>
              <w:t xml:space="preserve">% rebate </w:t>
            </w:r>
            <w:r w:rsidR="00EB65B3" w:rsidRPr="00EB6EFC">
              <w:rPr>
                <w:rFonts w:ascii="Arial Narrow" w:hAnsi="Arial Narrow"/>
                <w:sz w:val="20"/>
                <w:szCs w:val="20"/>
              </w:rPr>
              <w:t>o</w:t>
            </w:r>
            <w:r w:rsidRPr="00EB6EFC">
              <w:rPr>
                <w:rFonts w:ascii="Arial Narrow" w:hAnsi="Arial Narrow"/>
                <w:sz w:val="20"/>
                <w:szCs w:val="20"/>
              </w:rPr>
              <w:t>ffered, the effective net cost to PBS</w:t>
            </w:r>
            <w:r w:rsidRPr="00EB6EFC">
              <w:t xml:space="preserve"> (</w:t>
            </w:r>
            <w:r w:rsidR="00EB65B3" w:rsidRPr="00EB6EFC">
              <w:rPr>
                <w:rFonts w:ascii="Arial Narrow" w:hAnsi="Arial Narrow"/>
                <w:sz w:val="20"/>
                <w:szCs w:val="20"/>
              </w:rPr>
              <w:t xml:space="preserve">as presented in </w:t>
            </w:r>
            <w:r w:rsidRPr="00EB6EFC">
              <w:rPr>
                <w:rFonts w:ascii="Arial Narrow" w:hAnsi="Arial Narrow"/>
                <w:sz w:val="20"/>
                <w:szCs w:val="20"/>
              </w:rPr>
              <w:t xml:space="preserve">the </w:t>
            </w:r>
            <w:r w:rsidR="00993564">
              <w:rPr>
                <w:rFonts w:ascii="Arial Narrow" w:hAnsi="Arial Narrow"/>
                <w:sz w:val="20"/>
                <w:szCs w:val="20"/>
              </w:rPr>
              <w:t>resubmission</w:t>
            </w:r>
            <w:r w:rsidRPr="00EB6EFC">
              <w:rPr>
                <w:rFonts w:ascii="Arial Narrow" w:hAnsi="Arial Narrow"/>
                <w:sz w:val="20"/>
                <w:szCs w:val="20"/>
              </w:rPr>
              <w:t xml:space="preserve">) directly correspond to the updated subsidisation caps with </w:t>
            </w:r>
            <w:r w:rsidR="006505A5">
              <w:rPr>
                <w:rFonts w:ascii="Arial Narrow" w:hAnsi="Arial Narrow"/>
                <w:noProof/>
                <w:color w:val="000000"/>
                <w:sz w:val="20"/>
                <w:szCs w:val="20"/>
                <w:highlight w:val="black"/>
              </w:rPr>
              <w:t>''''''''''</w:t>
            </w:r>
            <w:r w:rsidRPr="00EB6EFC">
              <w:rPr>
                <w:rFonts w:ascii="Arial Narrow" w:hAnsi="Arial Narrow"/>
                <w:sz w:val="20"/>
                <w:szCs w:val="20"/>
              </w:rPr>
              <w:t>% rebate for a</w:t>
            </w:r>
            <w:r w:rsidR="00E632A3">
              <w:rPr>
                <w:rFonts w:ascii="Arial Narrow" w:hAnsi="Arial Narrow"/>
                <w:sz w:val="20"/>
                <w:szCs w:val="20"/>
              </w:rPr>
              <w:t>ny expenditure above the caps.”</w:t>
            </w:r>
          </w:p>
          <w:p w:rsidR="00CF41A4" w:rsidRDefault="00CF41A4" w:rsidP="00CF41A4">
            <w:pPr>
              <w:rPr>
                <w:rFonts w:ascii="Arial Narrow" w:hAnsi="Arial Narrow"/>
                <w:sz w:val="20"/>
                <w:szCs w:val="20"/>
              </w:rPr>
            </w:pPr>
            <w:r w:rsidRPr="008C2C86">
              <w:rPr>
                <w:rFonts w:ascii="Arial Narrow" w:hAnsi="Arial Narrow"/>
                <w:sz w:val="20"/>
                <w:szCs w:val="20"/>
              </w:rPr>
              <w:t xml:space="preserve">Thus the total financial cost presented in the </w:t>
            </w:r>
            <w:r w:rsidR="00993564">
              <w:rPr>
                <w:rFonts w:ascii="Arial Narrow" w:hAnsi="Arial Narrow"/>
                <w:sz w:val="20"/>
                <w:szCs w:val="20"/>
              </w:rPr>
              <w:t>resubmission</w:t>
            </w:r>
            <w:r w:rsidRPr="008C2C86">
              <w:rPr>
                <w:rFonts w:ascii="Arial Narrow" w:hAnsi="Arial Narrow"/>
                <w:sz w:val="20"/>
                <w:szCs w:val="20"/>
              </w:rPr>
              <w:t xml:space="preserve"> could be used as a </w:t>
            </w:r>
            <w:r w:rsidRPr="00B84B8E">
              <w:rPr>
                <w:rFonts w:ascii="Arial Narrow" w:hAnsi="Arial Narrow"/>
                <w:sz w:val="20"/>
                <w:szCs w:val="20"/>
              </w:rPr>
              <w:t>fixed total financial cap</w:t>
            </w:r>
            <w:r w:rsidRPr="008C2C86">
              <w:rPr>
                <w:rFonts w:ascii="Arial Narrow" w:hAnsi="Arial Narrow"/>
                <w:sz w:val="20"/>
                <w:szCs w:val="20"/>
              </w:rPr>
              <w:t xml:space="preserve">. </w:t>
            </w:r>
          </w:p>
          <w:p w:rsidR="00F24ECF" w:rsidRPr="008C2C86" w:rsidRDefault="00F24ECF" w:rsidP="00CF41A4">
            <w:pPr>
              <w:rPr>
                <w:rFonts w:ascii="Arial Narrow" w:hAnsi="Arial Narrow"/>
                <w:sz w:val="20"/>
                <w:szCs w:val="20"/>
              </w:rPr>
            </w:pPr>
            <w:r>
              <w:rPr>
                <w:rFonts w:ascii="Arial Narrow" w:hAnsi="Arial Narrow"/>
                <w:sz w:val="20"/>
                <w:szCs w:val="20"/>
              </w:rPr>
              <w:t xml:space="preserve">In </w:t>
            </w:r>
            <w:r w:rsidRPr="00F24ECF">
              <w:rPr>
                <w:rFonts w:ascii="Arial Narrow" w:hAnsi="Arial Narrow"/>
                <w:sz w:val="20"/>
                <w:szCs w:val="20"/>
              </w:rPr>
              <w:t>the pre-PBAC response</w:t>
            </w:r>
            <w:r>
              <w:rPr>
                <w:rFonts w:ascii="Arial Narrow" w:hAnsi="Arial Narrow"/>
                <w:sz w:val="20"/>
                <w:szCs w:val="20"/>
              </w:rPr>
              <w:t xml:space="preserve"> (p3)</w:t>
            </w:r>
            <w:r w:rsidRPr="00F24ECF">
              <w:rPr>
                <w:rFonts w:ascii="Arial Narrow" w:hAnsi="Arial Narrow"/>
                <w:sz w:val="20"/>
                <w:szCs w:val="20"/>
              </w:rPr>
              <w:t xml:space="preserve">, the sponsor proposed </w:t>
            </w:r>
            <w:r w:rsidRPr="00B84B8E">
              <w:rPr>
                <w:rFonts w:ascii="Arial Narrow" w:hAnsi="Arial Narrow"/>
                <w:sz w:val="20"/>
                <w:szCs w:val="20"/>
              </w:rPr>
              <w:t>a fixed total financial cap</w:t>
            </w:r>
            <w:r w:rsidRPr="00F24ECF">
              <w:rPr>
                <w:rFonts w:ascii="Arial Narrow" w:hAnsi="Arial Narrow"/>
                <w:sz w:val="20"/>
                <w:szCs w:val="20"/>
              </w:rPr>
              <w:t xml:space="preserve"> based on the calculations used in the episode of care cap.</w:t>
            </w:r>
          </w:p>
        </w:tc>
      </w:tr>
      <w:tr w:rsidR="0099295E" w:rsidRPr="00EB6EFC" w:rsidTr="00905758">
        <w:trPr>
          <w:cantSplit/>
          <w:trHeight w:val="20"/>
        </w:trPr>
        <w:tc>
          <w:tcPr>
            <w:tcW w:w="601" w:type="pct"/>
          </w:tcPr>
          <w:p w:rsidR="0099295E" w:rsidRPr="00EB6EFC" w:rsidRDefault="0099295E" w:rsidP="00905758">
            <w:pPr>
              <w:rPr>
                <w:rFonts w:ascii="Arial Narrow" w:hAnsi="Arial Narrow"/>
                <w:sz w:val="20"/>
                <w:szCs w:val="20"/>
              </w:rPr>
            </w:pPr>
            <w:r w:rsidRPr="00EB6EFC">
              <w:rPr>
                <w:rFonts w:ascii="Arial Narrow" w:hAnsi="Arial Narrow"/>
                <w:sz w:val="20"/>
                <w:szCs w:val="20"/>
              </w:rPr>
              <w:br w:type="page"/>
              <w:t>PBAC decision</w:t>
            </w:r>
          </w:p>
        </w:tc>
        <w:tc>
          <w:tcPr>
            <w:tcW w:w="2199" w:type="pct"/>
          </w:tcPr>
          <w:p w:rsidR="0099295E" w:rsidRPr="00EB6EFC" w:rsidRDefault="0099295E" w:rsidP="00FD38FF">
            <w:pPr>
              <w:rPr>
                <w:rFonts w:ascii="Arial Narrow" w:hAnsi="Arial Narrow"/>
                <w:sz w:val="20"/>
                <w:szCs w:val="20"/>
              </w:rPr>
            </w:pPr>
            <w:r w:rsidRPr="00EB6EFC">
              <w:rPr>
                <w:rFonts w:ascii="Arial Narrow" w:hAnsi="Arial Narrow"/>
                <w:sz w:val="20"/>
                <w:szCs w:val="20"/>
              </w:rPr>
              <w:t>Recommended</w:t>
            </w:r>
            <w:r w:rsidR="00EC348E">
              <w:rPr>
                <w:rFonts w:ascii="Arial Narrow" w:hAnsi="Arial Narrow"/>
                <w:sz w:val="20"/>
                <w:szCs w:val="20"/>
              </w:rPr>
              <w:t xml:space="preserve"> </w:t>
            </w:r>
            <w:r w:rsidR="00EC348E" w:rsidRPr="00EC348E">
              <w:rPr>
                <w:rFonts w:ascii="Arial Narrow" w:hAnsi="Arial Narrow"/>
                <w:sz w:val="20"/>
                <w:szCs w:val="20"/>
              </w:rPr>
              <w:t xml:space="preserve">based on </w:t>
            </w:r>
            <w:r w:rsidR="00EC348E">
              <w:rPr>
                <w:rFonts w:ascii="Arial Narrow" w:hAnsi="Arial Narrow"/>
                <w:sz w:val="20"/>
                <w:szCs w:val="20"/>
              </w:rPr>
              <w:t xml:space="preserve">at least a </w:t>
            </w:r>
            <w:r w:rsidR="006505A5">
              <w:rPr>
                <w:rFonts w:ascii="Arial Narrow" w:hAnsi="Arial Narrow"/>
                <w:noProof/>
                <w:color w:val="000000"/>
                <w:sz w:val="20"/>
                <w:szCs w:val="20"/>
                <w:highlight w:val="black"/>
              </w:rPr>
              <w:t>''''''</w:t>
            </w:r>
            <w:r w:rsidR="00EC348E">
              <w:rPr>
                <w:rFonts w:ascii="Arial Narrow" w:hAnsi="Arial Narrow"/>
                <w:sz w:val="20"/>
                <w:szCs w:val="20"/>
              </w:rPr>
              <w:t xml:space="preserve">% </w:t>
            </w:r>
            <w:r w:rsidR="00EC348E" w:rsidRPr="00EC348E">
              <w:rPr>
                <w:rFonts w:ascii="Arial Narrow" w:hAnsi="Arial Narrow"/>
                <w:sz w:val="20"/>
                <w:szCs w:val="20"/>
              </w:rPr>
              <w:t xml:space="preserve">reduction in price together with acceptance of a </w:t>
            </w:r>
            <w:r w:rsidR="00EC348E">
              <w:rPr>
                <w:rFonts w:ascii="Arial Narrow" w:hAnsi="Arial Narrow"/>
                <w:sz w:val="20"/>
                <w:szCs w:val="20"/>
              </w:rPr>
              <w:t>Risk Sharing Arrangement (para</w:t>
            </w:r>
            <w:r w:rsidR="00EC348E" w:rsidRPr="00EC348E">
              <w:rPr>
                <w:rFonts w:ascii="Arial Narrow" w:hAnsi="Arial Narrow"/>
                <w:sz w:val="20"/>
                <w:szCs w:val="20"/>
              </w:rPr>
              <w:t xml:space="preserve"> 7.10)</w:t>
            </w:r>
          </w:p>
        </w:tc>
        <w:tc>
          <w:tcPr>
            <w:tcW w:w="2200" w:type="pct"/>
          </w:tcPr>
          <w:p w:rsidR="0099295E" w:rsidRPr="00EB6EFC" w:rsidRDefault="0099295E" w:rsidP="00905758">
            <w:pPr>
              <w:rPr>
                <w:rFonts w:ascii="Arial Narrow" w:hAnsi="Arial Narrow"/>
                <w:sz w:val="20"/>
                <w:szCs w:val="20"/>
              </w:rPr>
            </w:pPr>
            <w:r w:rsidRPr="00EB6EFC">
              <w:rPr>
                <w:rFonts w:ascii="Arial Narrow" w:hAnsi="Arial Narrow"/>
                <w:sz w:val="20"/>
                <w:szCs w:val="20"/>
              </w:rPr>
              <w:t>-</w:t>
            </w:r>
          </w:p>
        </w:tc>
      </w:tr>
    </w:tbl>
    <w:p w:rsidR="00B1099B" w:rsidRPr="008C2C86" w:rsidRDefault="00B1099B" w:rsidP="0099295E">
      <w:pPr>
        <w:pStyle w:val="TableFooter"/>
        <w:rPr>
          <w:szCs w:val="18"/>
        </w:rPr>
      </w:pPr>
      <w:r w:rsidRPr="008C2C86">
        <w:rPr>
          <w:szCs w:val="18"/>
        </w:rPr>
        <w:t xml:space="preserve">Source: Compiled during </w:t>
      </w:r>
      <w:r w:rsidR="00282B76" w:rsidRPr="008C2C86">
        <w:rPr>
          <w:szCs w:val="18"/>
        </w:rPr>
        <w:t>preparation of the Overview</w:t>
      </w:r>
    </w:p>
    <w:p w:rsidR="00632DBB" w:rsidRPr="00EB6EFC" w:rsidRDefault="008D462A" w:rsidP="0099295E">
      <w:pPr>
        <w:pStyle w:val="TableFooter"/>
        <w:rPr>
          <w:szCs w:val="18"/>
        </w:rPr>
      </w:pPr>
      <w:r w:rsidRPr="00EB6EFC">
        <w:rPr>
          <w:szCs w:val="18"/>
        </w:rPr>
        <w:t>AE = adverse event; AR-DRG = Australian Refined Diagnosis Related Groups; BCC = basal cell carcinoma; DPMQ = Dispensed Price for Maximum Quantity; E</w:t>
      </w:r>
      <w:r w:rsidR="00632DBB" w:rsidRPr="00EB6EFC">
        <w:rPr>
          <w:szCs w:val="18"/>
        </w:rPr>
        <w:t>OC = episode of care</w:t>
      </w:r>
      <w:r w:rsidRPr="00EB6EFC">
        <w:rPr>
          <w:szCs w:val="18"/>
        </w:rPr>
        <w:t xml:space="preserve">; </w:t>
      </w:r>
      <w:r w:rsidRPr="00EB6EFC">
        <w:t xml:space="preserve">ICER = incremental cost-effectiveness ratio; </w:t>
      </w:r>
      <w:r w:rsidRPr="00EB6EFC">
        <w:rPr>
          <w:szCs w:val="18"/>
        </w:rPr>
        <w:t xml:space="preserve">NEP = National Efficient Price; PBAC = Pharmaceutical Benefits Advisory Committee; </w:t>
      </w:r>
      <w:r w:rsidR="008B1E1F" w:rsidRPr="00EB6EFC">
        <w:rPr>
          <w:szCs w:val="18"/>
        </w:rPr>
        <w:t xml:space="preserve">para = paragraph; </w:t>
      </w:r>
      <w:r w:rsidRPr="00EB6EFC">
        <w:rPr>
          <w:szCs w:val="18"/>
        </w:rPr>
        <w:t>PBS = Pharmaceutical Benefits Scheme; PSCR = Pre-Sub-Committee Response; RSA = Risk Sharing Agreement</w:t>
      </w:r>
      <w:r w:rsidR="00A02A95" w:rsidRPr="00EB6EFC">
        <w:rPr>
          <w:szCs w:val="18"/>
        </w:rPr>
        <w:t xml:space="preserve">; </w:t>
      </w:r>
      <w:r w:rsidR="008B1E1F" w:rsidRPr="00EB6EFC">
        <w:rPr>
          <w:szCs w:val="18"/>
        </w:rPr>
        <w:t xml:space="preserve">SCC = squamous cell carcinoma; </w:t>
      </w:r>
      <w:r w:rsidR="00A02A95" w:rsidRPr="00EB6EFC">
        <w:rPr>
          <w:szCs w:val="18"/>
        </w:rPr>
        <w:t>SPA = Special Pricing Arrangement</w:t>
      </w:r>
    </w:p>
    <w:p w:rsidR="00B1099B" w:rsidRPr="00EB6EFC" w:rsidRDefault="00B1099B" w:rsidP="00FE7357"/>
    <w:p w:rsidR="00BB7EC3" w:rsidRDefault="00DB7FE9" w:rsidP="00882085">
      <w:pPr>
        <w:jc w:val="both"/>
        <w:rPr>
          <w:i/>
          <w:szCs w:val="22"/>
        </w:rPr>
      </w:pPr>
      <w:r w:rsidRPr="00F5500D">
        <w:rPr>
          <w:i/>
          <w:szCs w:val="22"/>
        </w:rPr>
        <w:t xml:space="preserve">For more detail on PBAC’s view, see section </w:t>
      </w:r>
      <w:r w:rsidR="00CD796A" w:rsidRPr="00F5500D">
        <w:rPr>
          <w:i/>
          <w:szCs w:val="22"/>
        </w:rPr>
        <w:t>5</w:t>
      </w:r>
      <w:r w:rsidRPr="00F5500D">
        <w:rPr>
          <w:i/>
          <w:szCs w:val="22"/>
        </w:rPr>
        <w:t xml:space="preserve"> “PBAC outcome”</w:t>
      </w:r>
    </w:p>
    <w:p w:rsidR="00DB7FE9" w:rsidRDefault="00DB7FE9" w:rsidP="00882085">
      <w:pPr>
        <w:jc w:val="both"/>
        <w:rPr>
          <w:b/>
          <w:szCs w:val="22"/>
        </w:rPr>
      </w:pPr>
    </w:p>
    <w:p w:rsidR="00DB7FE9" w:rsidRPr="00EB6EFC" w:rsidRDefault="00DB7FE9" w:rsidP="00882085">
      <w:pPr>
        <w:jc w:val="both"/>
        <w:rPr>
          <w:b/>
          <w:szCs w:val="22"/>
        </w:rPr>
      </w:pPr>
    </w:p>
    <w:p w:rsidR="000B558D" w:rsidRPr="00EB6EFC" w:rsidRDefault="008D7A41" w:rsidP="008A50F1">
      <w:pPr>
        <w:pStyle w:val="PBACHeading1"/>
      </w:pPr>
      <w:r w:rsidRPr="00EB6EFC">
        <w:t>C</w:t>
      </w:r>
      <w:r w:rsidR="00D84934" w:rsidRPr="00EB6EFC">
        <w:t>onsideration of the evidence</w:t>
      </w:r>
    </w:p>
    <w:p w:rsidR="00FE7357" w:rsidRPr="00EB6EFC" w:rsidRDefault="00FE7357" w:rsidP="00F9629A">
      <w:pPr>
        <w:jc w:val="both"/>
        <w:rPr>
          <w:szCs w:val="22"/>
        </w:rPr>
      </w:pPr>
    </w:p>
    <w:p w:rsidR="00DB7FE9" w:rsidRPr="00F5500D" w:rsidRDefault="00DB7FE9" w:rsidP="00DB7FE9">
      <w:pPr>
        <w:pStyle w:val="Heading2"/>
        <w:rPr>
          <w:snapToGrid w:val="0"/>
        </w:rPr>
      </w:pPr>
      <w:r w:rsidRPr="00F5500D">
        <w:rPr>
          <w:snapToGrid w:val="0"/>
        </w:rPr>
        <w:t>Sponsor hearing</w:t>
      </w:r>
    </w:p>
    <w:p w:rsidR="00DB7FE9" w:rsidRPr="00F5500D" w:rsidRDefault="00DB7FE9" w:rsidP="00DB7FE9"/>
    <w:p w:rsidR="00DB7FE9" w:rsidRPr="00F5500D" w:rsidRDefault="00DB7FE9" w:rsidP="00DB7FE9">
      <w:pPr>
        <w:widowControl w:val="0"/>
        <w:numPr>
          <w:ilvl w:val="1"/>
          <w:numId w:val="5"/>
        </w:numPr>
        <w:contextualSpacing/>
        <w:jc w:val="both"/>
        <w:rPr>
          <w:rFonts w:cs="Arial"/>
          <w:bCs/>
          <w:snapToGrid w:val="0"/>
          <w:szCs w:val="22"/>
        </w:rPr>
      </w:pPr>
      <w:r w:rsidRPr="00F5500D">
        <w:rPr>
          <w:rFonts w:cs="Arial"/>
          <w:bCs/>
          <w:snapToGrid w:val="0"/>
          <w:szCs w:val="22"/>
        </w:rPr>
        <w:t>There was no hearing for this item as it was a minor su</w:t>
      </w:r>
      <w:r w:rsidR="00934B85" w:rsidRPr="00F5500D">
        <w:rPr>
          <w:rFonts w:cs="Arial"/>
          <w:bCs/>
          <w:snapToGrid w:val="0"/>
          <w:szCs w:val="22"/>
        </w:rPr>
        <w:t>bmission.</w:t>
      </w:r>
    </w:p>
    <w:p w:rsidR="00DB7FE9" w:rsidRDefault="00DB7FE9" w:rsidP="00DB7FE9">
      <w:pPr>
        <w:jc w:val="both"/>
        <w:rPr>
          <w:rFonts w:cs="Arial"/>
          <w:bCs/>
          <w:snapToGrid w:val="0"/>
          <w:szCs w:val="22"/>
        </w:rPr>
      </w:pPr>
    </w:p>
    <w:p w:rsidR="00C60F56" w:rsidRDefault="00C60F56" w:rsidP="00DB7FE9">
      <w:pPr>
        <w:jc w:val="both"/>
        <w:rPr>
          <w:rFonts w:cs="Arial"/>
          <w:bCs/>
          <w:snapToGrid w:val="0"/>
          <w:szCs w:val="22"/>
        </w:rPr>
      </w:pPr>
    </w:p>
    <w:p w:rsidR="00C60F56" w:rsidRPr="00F5500D" w:rsidRDefault="00C60F56" w:rsidP="00DB7FE9">
      <w:pPr>
        <w:jc w:val="both"/>
        <w:rPr>
          <w:rFonts w:cs="Arial"/>
          <w:bCs/>
          <w:snapToGrid w:val="0"/>
          <w:szCs w:val="22"/>
        </w:rPr>
      </w:pPr>
    </w:p>
    <w:p w:rsidR="00DB7FE9" w:rsidRPr="00F5500D" w:rsidRDefault="00DB7FE9" w:rsidP="00934B85">
      <w:pPr>
        <w:pStyle w:val="Heading2"/>
        <w:rPr>
          <w:snapToGrid w:val="0"/>
        </w:rPr>
      </w:pPr>
      <w:r w:rsidRPr="00F5500D">
        <w:rPr>
          <w:snapToGrid w:val="0"/>
        </w:rPr>
        <w:lastRenderedPageBreak/>
        <w:t>Consumer comments</w:t>
      </w:r>
    </w:p>
    <w:p w:rsidR="00934B85" w:rsidRPr="00F5500D" w:rsidRDefault="00934B85" w:rsidP="00934B85"/>
    <w:p w:rsidR="00DB7FE9" w:rsidRPr="00F5500D" w:rsidRDefault="00DB7FE9" w:rsidP="00DB7FE9">
      <w:pPr>
        <w:widowControl w:val="0"/>
        <w:numPr>
          <w:ilvl w:val="1"/>
          <w:numId w:val="5"/>
        </w:numPr>
        <w:contextualSpacing/>
        <w:jc w:val="both"/>
        <w:rPr>
          <w:rFonts w:cs="Arial"/>
          <w:bCs/>
          <w:snapToGrid w:val="0"/>
          <w:szCs w:val="22"/>
        </w:rPr>
      </w:pPr>
      <w:r w:rsidRPr="00F5500D">
        <w:rPr>
          <w:rFonts w:cs="Arial"/>
          <w:bCs/>
          <w:snapToGrid w:val="0"/>
          <w:szCs w:val="22"/>
        </w:rPr>
        <w:t>The PBAC noted and welcomed the input from individuals (</w:t>
      </w:r>
      <w:r w:rsidR="00376291" w:rsidRPr="00F5500D">
        <w:rPr>
          <w:rFonts w:cs="Arial"/>
          <w:bCs/>
          <w:snapToGrid w:val="0"/>
          <w:szCs w:val="22"/>
        </w:rPr>
        <w:t>1), health care professionals (3</w:t>
      </w:r>
      <w:r w:rsidRPr="00F5500D">
        <w:rPr>
          <w:rFonts w:cs="Arial"/>
          <w:bCs/>
          <w:snapToGrid w:val="0"/>
          <w:szCs w:val="22"/>
        </w:rPr>
        <w:t xml:space="preserve">) and organisations (1) via the Consumer Comments facility on the PBS website. The comments described </w:t>
      </w:r>
      <w:r w:rsidR="00376291" w:rsidRPr="00F5500D">
        <w:rPr>
          <w:rFonts w:cs="Arial"/>
          <w:bCs/>
          <w:snapToGrid w:val="0"/>
          <w:szCs w:val="22"/>
        </w:rPr>
        <w:t>the clinical place for vismodegib, namely in patients with advanced BCC who are not eligible for surgery.</w:t>
      </w:r>
      <w:r w:rsidR="0023674F" w:rsidRPr="00F5500D">
        <w:rPr>
          <w:rFonts w:cs="Arial"/>
          <w:bCs/>
          <w:snapToGrid w:val="0"/>
          <w:szCs w:val="22"/>
        </w:rPr>
        <w:t xml:space="preserve"> One comment </w:t>
      </w:r>
      <w:r w:rsidR="006024B9" w:rsidRPr="00F5500D">
        <w:rPr>
          <w:rFonts w:cs="Arial"/>
          <w:bCs/>
          <w:snapToGrid w:val="0"/>
          <w:szCs w:val="22"/>
        </w:rPr>
        <w:t xml:space="preserve">noted that treatment with vismodegib would be intermittent due to treatment-related side effects. </w:t>
      </w:r>
      <w:r w:rsidR="004E17CB">
        <w:rPr>
          <w:rFonts w:cs="Arial"/>
          <w:bCs/>
          <w:snapToGrid w:val="0"/>
          <w:szCs w:val="22"/>
        </w:rPr>
        <w:t>C</w:t>
      </w:r>
      <w:r w:rsidR="006024B9" w:rsidRPr="00F5500D">
        <w:rPr>
          <w:rFonts w:cs="Arial"/>
          <w:bCs/>
          <w:snapToGrid w:val="0"/>
          <w:szCs w:val="22"/>
        </w:rPr>
        <w:t>omment</w:t>
      </w:r>
      <w:r w:rsidR="004E17CB">
        <w:rPr>
          <w:rFonts w:cs="Arial"/>
          <w:bCs/>
          <w:snapToGrid w:val="0"/>
          <w:szCs w:val="22"/>
        </w:rPr>
        <w:t>s</w:t>
      </w:r>
      <w:r w:rsidR="006024B9" w:rsidRPr="00F5500D">
        <w:rPr>
          <w:rFonts w:cs="Arial"/>
          <w:bCs/>
          <w:snapToGrid w:val="0"/>
          <w:szCs w:val="22"/>
        </w:rPr>
        <w:t xml:space="preserve"> </w:t>
      </w:r>
      <w:r w:rsidR="004E17CB">
        <w:rPr>
          <w:rFonts w:cs="Arial"/>
          <w:bCs/>
          <w:snapToGrid w:val="0"/>
          <w:szCs w:val="22"/>
        </w:rPr>
        <w:t>indicated that treatment</w:t>
      </w:r>
      <w:r w:rsidR="006024B9" w:rsidRPr="00F5500D">
        <w:rPr>
          <w:rFonts w:cs="Arial"/>
          <w:bCs/>
          <w:snapToGrid w:val="0"/>
          <w:szCs w:val="22"/>
        </w:rPr>
        <w:t xml:space="preserve"> with vismodegib </w:t>
      </w:r>
      <w:r w:rsidR="004E17CB">
        <w:rPr>
          <w:rFonts w:cs="Arial"/>
          <w:bCs/>
          <w:snapToGrid w:val="0"/>
          <w:szCs w:val="22"/>
        </w:rPr>
        <w:t xml:space="preserve">was </w:t>
      </w:r>
      <w:r w:rsidR="006024B9" w:rsidRPr="00F5500D">
        <w:rPr>
          <w:rFonts w:cs="Arial"/>
          <w:bCs/>
          <w:snapToGrid w:val="0"/>
          <w:szCs w:val="22"/>
        </w:rPr>
        <w:t>effective</w:t>
      </w:r>
      <w:r w:rsidR="004E17CB">
        <w:rPr>
          <w:rFonts w:cs="Arial"/>
          <w:bCs/>
          <w:snapToGrid w:val="0"/>
          <w:szCs w:val="22"/>
        </w:rPr>
        <w:t xml:space="preserve"> and lead</w:t>
      </w:r>
      <w:r w:rsidR="007A19CF">
        <w:rPr>
          <w:rFonts w:cs="Arial"/>
          <w:bCs/>
          <w:snapToGrid w:val="0"/>
          <w:szCs w:val="22"/>
        </w:rPr>
        <w:t>s</w:t>
      </w:r>
      <w:r w:rsidR="004E17CB">
        <w:rPr>
          <w:rFonts w:cs="Arial"/>
          <w:bCs/>
          <w:snapToGrid w:val="0"/>
          <w:szCs w:val="22"/>
        </w:rPr>
        <w:t xml:space="preserve"> to less serious disfigurement</w:t>
      </w:r>
      <w:r w:rsidR="006024B9" w:rsidRPr="00F5500D">
        <w:rPr>
          <w:rFonts w:cs="Arial"/>
          <w:bCs/>
          <w:snapToGrid w:val="0"/>
          <w:szCs w:val="22"/>
        </w:rPr>
        <w:t>.</w:t>
      </w:r>
    </w:p>
    <w:p w:rsidR="00DB7FE9" w:rsidRPr="00F5500D" w:rsidRDefault="00DB7FE9" w:rsidP="00DB7FE9">
      <w:pPr>
        <w:contextualSpacing/>
        <w:jc w:val="both"/>
        <w:rPr>
          <w:rFonts w:cs="Arial"/>
          <w:bCs/>
          <w:snapToGrid w:val="0"/>
          <w:szCs w:val="22"/>
        </w:rPr>
      </w:pPr>
    </w:p>
    <w:p w:rsidR="00DB7FE9" w:rsidRPr="00F5500D" w:rsidRDefault="00DB7FE9" w:rsidP="00DB7FE9">
      <w:pPr>
        <w:widowControl w:val="0"/>
        <w:numPr>
          <w:ilvl w:val="1"/>
          <w:numId w:val="5"/>
        </w:numPr>
        <w:contextualSpacing/>
        <w:jc w:val="both"/>
        <w:rPr>
          <w:rFonts w:cs="Arial"/>
          <w:bCs/>
          <w:snapToGrid w:val="0"/>
          <w:szCs w:val="22"/>
        </w:rPr>
      </w:pPr>
      <w:r w:rsidRPr="00F5500D">
        <w:rPr>
          <w:rFonts w:cs="Arial"/>
          <w:bCs/>
          <w:snapToGrid w:val="0"/>
          <w:szCs w:val="22"/>
        </w:rPr>
        <w:t xml:space="preserve">The PBAC </w:t>
      </w:r>
      <w:r w:rsidR="00376291" w:rsidRPr="00F5500D">
        <w:rPr>
          <w:rFonts w:cs="Arial"/>
          <w:bCs/>
          <w:snapToGrid w:val="0"/>
          <w:szCs w:val="22"/>
        </w:rPr>
        <w:t>noted the advice received from Rare Cancers Australia</w:t>
      </w:r>
      <w:r w:rsidRPr="00F5500D">
        <w:rPr>
          <w:rFonts w:cs="Arial"/>
          <w:bCs/>
          <w:snapToGrid w:val="0"/>
          <w:szCs w:val="22"/>
        </w:rPr>
        <w:t xml:space="preserve"> </w:t>
      </w:r>
      <w:r w:rsidR="0023674F" w:rsidRPr="00F5500D">
        <w:rPr>
          <w:rFonts w:cs="Arial"/>
          <w:bCs/>
          <w:snapToGrid w:val="0"/>
          <w:szCs w:val="22"/>
        </w:rPr>
        <w:t>highlighting the impact of the delay in listing vismodegib since the PBAC recommendation in March 2016.</w:t>
      </w:r>
    </w:p>
    <w:p w:rsidR="00DB7FE9" w:rsidRPr="00DB7FE9" w:rsidRDefault="00DB7FE9" w:rsidP="00DB7FE9"/>
    <w:p w:rsidR="00BB7EC3" w:rsidRPr="00EB6EFC" w:rsidRDefault="00FE7357" w:rsidP="00FE7357">
      <w:pPr>
        <w:pStyle w:val="Heading2"/>
      </w:pPr>
      <w:r w:rsidRPr="00EB6EFC">
        <w:t>Clinical data</w:t>
      </w:r>
    </w:p>
    <w:p w:rsidR="00FE7357" w:rsidRPr="00EB6EFC" w:rsidRDefault="00FE7357" w:rsidP="00F9629A">
      <w:pPr>
        <w:jc w:val="both"/>
        <w:rPr>
          <w:szCs w:val="22"/>
        </w:rPr>
      </w:pPr>
    </w:p>
    <w:p w:rsidR="00440BC6" w:rsidRPr="00EB6EFC" w:rsidRDefault="00440BC6" w:rsidP="00440BC6">
      <w:pPr>
        <w:pStyle w:val="ListParagraph"/>
        <w:numPr>
          <w:ilvl w:val="1"/>
          <w:numId w:val="5"/>
        </w:numPr>
        <w:rPr>
          <w:szCs w:val="22"/>
        </w:rPr>
      </w:pPr>
      <w:r w:rsidRPr="00EB6EFC">
        <w:rPr>
          <w:szCs w:val="22"/>
        </w:rPr>
        <w:t xml:space="preserve">The </w:t>
      </w:r>
      <w:r w:rsidR="00993564">
        <w:rPr>
          <w:szCs w:val="22"/>
        </w:rPr>
        <w:t>resubmission</w:t>
      </w:r>
      <w:r w:rsidRPr="00EB6EFC">
        <w:rPr>
          <w:szCs w:val="22"/>
        </w:rPr>
        <w:t xml:space="preserve"> provided </w:t>
      </w:r>
      <w:r w:rsidR="00E30EFB" w:rsidRPr="00EB6EFC">
        <w:rPr>
          <w:szCs w:val="22"/>
        </w:rPr>
        <w:t>new</w:t>
      </w:r>
      <w:r w:rsidRPr="00EB6EFC">
        <w:rPr>
          <w:szCs w:val="22"/>
        </w:rPr>
        <w:t xml:space="preserve"> information regarding two clinical inputs into the economic evaluation:</w:t>
      </w:r>
    </w:p>
    <w:p w:rsidR="00440BC6" w:rsidRPr="00EB6EFC" w:rsidRDefault="00440BC6" w:rsidP="00440BC6">
      <w:pPr>
        <w:pStyle w:val="ListParagraph"/>
        <w:numPr>
          <w:ilvl w:val="0"/>
          <w:numId w:val="15"/>
        </w:numPr>
        <w:ind w:left="1134" w:hanging="425"/>
        <w:rPr>
          <w:szCs w:val="22"/>
        </w:rPr>
      </w:pPr>
      <w:r w:rsidRPr="00EB6EFC">
        <w:rPr>
          <w:szCs w:val="22"/>
        </w:rPr>
        <w:t xml:space="preserve">Updated data from the STEVIE study. This was used to </w:t>
      </w:r>
      <w:r w:rsidR="00E30EFB" w:rsidRPr="00EB6EFC">
        <w:rPr>
          <w:szCs w:val="22"/>
        </w:rPr>
        <w:t>justify</w:t>
      </w:r>
      <w:r w:rsidRPr="00EB6EFC">
        <w:rPr>
          <w:szCs w:val="22"/>
        </w:rPr>
        <w:t xml:space="preserve"> the </w:t>
      </w:r>
      <w:r w:rsidR="001F58B9" w:rsidRPr="00EB6EFC">
        <w:rPr>
          <w:szCs w:val="22"/>
        </w:rPr>
        <w:t xml:space="preserve">vismodegib </w:t>
      </w:r>
      <w:r w:rsidRPr="00EB6EFC">
        <w:rPr>
          <w:szCs w:val="22"/>
        </w:rPr>
        <w:t xml:space="preserve">overall response rate </w:t>
      </w:r>
      <w:r w:rsidR="001F58B9" w:rsidRPr="00EB6EFC">
        <w:rPr>
          <w:szCs w:val="22"/>
        </w:rPr>
        <w:t xml:space="preserve">used </w:t>
      </w:r>
      <w:r w:rsidR="00E30EFB" w:rsidRPr="00EB6EFC">
        <w:rPr>
          <w:szCs w:val="22"/>
        </w:rPr>
        <w:t>in the economic evaluation</w:t>
      </w:r>
      <w:r w:rsidR="00E632A3">
        <w:rPr>
          <w:szCs w:val="22"/>
        </w:rPr>
        <w:t>.</w:t>
      </w:r>
    </w:p>
    <w:p w:rsidR="00440BC6" w:rsidRPr="00EB6EFC" w:rsidRDefault="00440BC6" w:rsidP="00440BC6">
      <w:pPr>
        <w:pStyle w:val="ListParagraph"/>
        <w:numPr>
          <w:ilvl w:val="0"/>
          <w:numId w:val="15"/>
        </w:numPr>
        <w:ind w:left="1134" w:hanging="425"/>
        <w:rPr>
          <w:szCs w:val="22"/>
        </w:rPr>
      </w:pPr>
      <w:r w:rsidRPr="00EB6EFC">
        <w:rPr>
          <w:szCs w:val="22"/>
        </w:rPr>
        <w:t>Survey responses from two clinicians. Th</w:t>
      </w:r>
      <w:r w:rsidR="00E30EFB" w:rsidRPr="00EB6EFC">
        <w:rPr>
          <w:szCs w:val="22"/>
        </w:rPr>
        <w:t>is was used to justify th</w:t>
      </w:r>
      <w:r w:rsidRPr="00EB6EFC">
        <w:rPr>
          <w:szCs w:val="22"/>
        </w:rPr>
        <w:t>e disf</w:t>
      </w:r>
      <w:r w:rsidR="00E632A3">
        <w:rPr>
          <w:szCs w:val="22"/>
        </w:rPr>
        <w:t>igurement rate with vismodegib.</w:t>
      </w:r>
    </w:p>
    <w:p w:rsidR="0078604E" w:rsidRPr="00EB6EFC" w:rsidRDefault="0078604E" w:rsidP="0078604E">
      <w:pPr>
        <w:rPr>
          <w:szCs w:val="22"/>
        </w:rPr>
      </w:pPr>
    </w:p>
    <w:p w:rsidR="0078604E" w:rsidRPr="00EB6EFC" w:rsidRDefault="0078604E" w:rsidP="00440BC6">
      <w:pPr>
        <w:pStyle w:val="ListParagraph"/>
        <w:numPr>
          <w:ilvl w:val="1"/>
          <w:numId w:val="5"/>
        </w:numPr>
        <w:rPr>
          <w:szCs w:val="22"/>
        </w:rPr>
      </w:pPr>
      <w:r w:rsidRPr="00EB6EFC">
        <w:rPr>
          <w:szCs w:val="22"/>
        </w:rPr>
        <w:t xml:space="preserve">Details of the </w:t>
      </w:r>
      <w:r w:rsidR="00E65699" w:rsidRPr="00EB6EFC">
        <w:rPr>
          <w:szCs w:val="22"/>
        </w:rPr>
        <w:t>studies</w:t>
      </w:r>
      <w:r w:rsidRPr="00EB6EFC">
        <w:rPr>
          <w:szCs w:val="22"/>
        </w:rPr>
        <w:t xml:space="preserve"> presented in the </w:t>
      </w:r>
      <w:r w:rsidR="00993564">
        <w:rPr>
          <w:szCs w:val="22"/>
        </w:rPr>
        <w:t>resubmission</w:t>
      </w:r>
      <w:r w:rsidRPr="00EB6EFC">
        <w:rPr>
          <w:szCs w:val="22"/>
        </w:rPr>
        <w:t xml:space="preserve"> are provided in </w:t>
      </w:r>
      <w:r w:rsidR="00E073AB">
        <w:rPr>
          <w:szCs w:val="22"/>
        </w:rPr>
        <w:t>T</w:t>
      </w:r>
      <w:r w:rsidRPr="00EB6EFC">
        <w:rPr>
          <w:szCs w:val="22"/>
        </w:rPr>
        <w:t>able</w:t>
      </w:r>
      <w:r w:rsidR="00E073AB">
        <w:rPr>
          <w:szCs w:val="22"/>
        </w:rPr>
        <w:t xml:space="preserve"> 2</w:t>
      </w:r>
      <w:r w:rsidR="00E632A3">
        <w:rPr>
          <w:szCs w:val="22"/>
        </w:rPr>
        <w:t>.</w:t>
      </w:r>
    </w:p>
    <w:p w:rsidR="0078604E" w:rsidRPr="00EB6EFC" w:rsidRDefault="0078604E" w:rsidP="0078604E">
      <w:pPr>
        <w:pStyle w:val="ListParagraph"/>
        <w:widowControl/>
        <w:rPr>
          <w:szCs w:val="22"/>
        </w:rPr>
      </w:pPr>
    </w:p>
    <w:p w:rsidR="0078604E" w:rsidRPr="00EB6EFC" w:rsidRDefault="0078604E" w:rsidP="0078604E">
      <w:pPr>
        <w:keepNext/>
        <w:keepLines/>
        <w:ind w:firstLine="720"/>
        <w:rPr>
          <w:rStyle w:val="CommentReference"/>
          <w:rFonts w:ascii="Arial Narrow" w:hAnsi="Arial Narrow"/>
          <w:b/>
          <w:sz w:val="20"/>
          <w:szCs w:val="20"/>
        </w:rPr>
      </w:pPr>
      <w:r w:rsidRPr="00EB6EFC">
        <w:rPr>
          <w:rStyle w:val="CommentReference"/>
          <w:rFonts w:ascii="Arial Narrow" w:hAnsi="Arial Narrow"/>
          <w:b/>
          <w:sz w:val="20"/>
          <w:szCs w:val="20"/>
        </w:rPr>
        <w:t xml:space="preserve">Table </w:t>
      </w:r>
      <w:r w:rsidR="00331F3E" w:rsidRPr="00EB6EFC">
        <w:rPr>
          <w:rStyle w:val="CommentReference"/>
          <w:rFonts w:ascii="Arial Narrow" w:hAnsi="Arial Narrow"/>
          <w:b/>
          <w:sz w:val="20"/>
          <w:szCs w:val="20"/>
        </w:rPr>
        <w:t>2</w:t>
      </w:r>
      <w:r w:rsidRPr="00EB6EFC">
        <w:rPr>
          <w:rStyle w:val="CommentReference"/>
          <w:rFonts w:ascii="Arial Narrow" w:hAnsi="Arial Narrow"/>
          <w:b/>
          <w:sz w:val="20"/>
          <w:szCs w:val="20"/>
        </w:rPr>
        <w:t xml:space="preserve">: </w:t>
      </w:r>
      <w:r w:rsidR="00E65699" w:rsidRPr="00EB6EFC">
        <w:rPr>
          <w:rStyle w:val="CommentReference"/>
          <w:rFonts w:ascii="Arial Narrow" w:hAnsi="Arial Narrow"/>
          <w:b/>
          <w:sz w:val="20"/>
          <w:szCs w:val="20"/>
        </w:rPr>
        <w:t>Studie</w:t>
      </w:r>
      <w:r w:rsidRPr="00EB6EFC">
        <w:rPr>
          <w:rStyle w:val="CommentReference"/>
          <w:rFonts w:ascii="Arial Narrow" w:hAnsi="Arial Narrow"/>
          <w:b/>
          <w:sz w:val="20"/>
          <w:szCs w:val="20"/>
        </w:rPr>
        <w:t>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5103"/>
        <w:gridCol w:w="2126"/>
      </w:tblGrid>
      <w:tr w:rsidR="007A19CF" w:rsidRPr="00EB6EFC" w:rsidTr="007A19CF">
        <w:trPr>
          <w:cantSplit/>
          <w:tblHeader/>
        </w:trPr>
        <w:tc>
          <w:tcPr>
            <w:tcW w:w="678" w:type="pct"/>
            <w:tcBorders>
              <w:top w:val="single" w:sz="4" w:space="0" w:color="auto"/>
              <w:left w:val="single" w:sz="4" w:space="0" w:color="auto"/>
              <w:bottom w:val="single" w:sz="4" w:space="0" w:color="auto"/>
              <w:right w:val="single" w:sz="4" w:space="0" w:color="auto"/>
            </w:tcBorders>
            <w:vAlign w:val="center"/>
          </w:tcPr>
          <w:p w:rsidR="007A19CF" w:rsidRPr="00EB6EFC" w:rsidRDefault="007A19CF" w:rsidP="0037568F">
            <w:pPr>
              <w:pStyle w:val="TableHeading"/>
              <w:spacing w:before="0" w:after="0"/>
              <w:rPr>
                <w:rFonts w:cs="Arial"/>
                <w:lang w:eastAsia="en-AU"/>
              </w:rPr>
            </w:pPr>
            <w:r>
              <w:rPr>
                <w:rFonts w:cs="Arial"/>
                <w:lang w:eastAsia="en-AU"/>
              </w:rPr>
              <w:t>Trial ID</w:t>
            </w:r>
          </w:p>
        </w:tc>
        <w:tc>
          <w:tcPr>
            <w:tcW w:w="3051" w:type="pct"/>
            <w:tcBorders>
              <w:top w:val="single" w:sz="4" w:space="0" w:color="auto"/>
              <w:left w:val="single" w:sz="4" w:space="0" w:color="auto"/>
              <w:bottom w:val="single" w:sz="4" w:space="0" w:color="auto"/>
              <w:right w:val="single" w:sz="4" w:space="0" w:color="auto"/>
            </w:tcBorders>
            <w:vAlign w:val="center"/>
          </w:tcPr>
          <w:p w:rsidR="007A19CF" w:rsidRPr="00EB6EFC" w:rsidRDefault="007A19CF" w:rsidP="00B81643">
            <w:pPr>
              <w:pStyle w:val="TableHeading"/>
              <w:spacing w:before="0" w:after="0"/>
              <w:jc w:val="center"/>
              <w:rPr>
                <w:rFonts w:cs="Arial"/>
                <w:lang w:eastAsia="en-AU"/>
              </w:rPr>
            </w:pPr>
            <w:r w:rsidRPr="00EB6EFC">
              <w:t>Protocol title/ Publication title</w:t>
            </w:r>
          </w:p>
        </w:tc>
        <w:tc>
          <w:tcPr>
            <w:tcW w:w="1271" w:type="pct"/>
            <w:tcBorders>
              <w:top w:val="single" w:sz="4" w:space="0" w:color="auto"/>
              <w:left w:val="single" w:sz="4" w:space="0" w:color="auto"/>
              <w:bottom w:val="single" w:sz="4" w:space="0" w:color="auto"/>
              <w:right w:val="single" w:sz="4" w:space="0" w:color="auto"/>
            </w:tcBorders>
            <w:vAlign w:val="center"/>
          </w:tcPr>
          <w:p w:rsidR="007A19CF" w:rsidRPr="00EB6EFC" w:rsidRDefault="007A19CF" w:rsidP="00B81643">
            <w:pPr>
              <w:pStyle w:val="TableHeading"/>
              <w:spacing w:before="0" w:after="0"/>
              <w:jc w:val="center"/>
              <w:rPr>
                <w:rFonts w:cs="Arial"/>
                <w:lang w:eastAsia="en-AU"/>
              </w:rPr>
            </w:pPr>
            <w:r w:rsidRPr="00EB6EFC">
              <w:t>Publication citation</w:t>
            </w:r>
          </w:p>
        </w:tc>
      </w:tr>
      <w:tr w:rsidR="007A19CF" w:rsidRPr="00EB6EFC" w:rsidTr="007A19CF">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7A19CF" w:rsidRPr="00EB6EFC" w:rsidRDefault="007A19CF" w:rsidP="00473315">
            <w:pPr>
              <w:pStyle w:val="TableHeading"/>
              <w:spacing w:before="0" w:after="0"/>
              <w:rPr>
                <w:rFonts w:cs="Arial"/>
                <w:lang w:eastAsia="en-AU"/>
              </w:rPr>
            </w:pPr>
            <w:r w:rsidRPr="00EB6EFC">
              <w:rPr>
                <w:rFonts w:cs="Arial"/>
                <w:lang w:eastAsia="en-AU"/>
              </w:rPr>
              <w:t>Vismodegib</w:t>
            </w:r>
          </w:p>
        </w:tc>
      </w:tr>
      <w:tr w:rsidR="007A19CF" w:rsidRPr="00EB6EFC" w:rsidTr="007A19CF">
        <w:trPr>
          <w:cantSplit/>
        </w:trPr>
        <w:tc>
          <w:tcPr>
            <w:tcW w:w="678" w:type="pct"/>
            <w:tcBorders>
              <w:top w:val="single" w:sz="4" w:space="0" w:color="auto"/>
              <w:left w:val="single" w:sz="4" w:space="0" w:color="auto"/>
              <w:bottom w:val="single" w:sz="4" w:space="0" w:color="auto"/>
              <w:right w:val="single" w:sz="4" w:space="0" w:color="auto"/>
            </w:tcBorders>
            <w:vAlign w:val="center"/>
          </w:tcPr>
          <w:p w:rsidR="007A19CF" w:rsidRPr="00EB6EFC" w:rsidRDefault="007A19CF" w:rsidP="00473315">
            <w:pPr>
              <w:pStyle w:val="TableText0"/>
              <w:spacing w:before="0" w:after="0"/>
              <w:rPr>
                <w:rFonts w:ascii="Arial Narrow" w:hAnsi="Arial Narrow" w:cs="Arial"/>
                <w:lang w:eastAsia="en-AU"/>
              </w:rPr>
            </w:pPr>
            <w:r w:rsidRPr="00EB6EFC">
              <w:rPr>
                <w:rFonts w:ascii="Arial Narrow" w:hAnsi="Arial Narrow" w:cs="Arial"/>
                <w:lang w:eastAsia="en-AU"/>
              </w:rPr>
              <w:t>STEVIE</w:t>
            </w:r>
          </w:p>
        </w:tc>
        <w:tc>
          <w:tcPr>
            <w:tcW w:w="3051" w:type="pct"/>
            <w:tcBorders>
              <w:top w:val="single" w:sz="4" w:space="0" w:color="auto"/>
              <w:left w:val="single" w:sz="4" w:space="0" w:color="auto"/>
              <w:bottom w:val="single" w:sz="4" w:space="0" w:color="auto"/>
              <w:right w:val="single" w:sz="4" w:space="0" w:color="auto"/>
            </w:tcBorders>
          </w:tcPr>
          <w:p w:rsidR="007A19CF" w:rsidRPr="00EB6EFC" w:rsidRDefault="007A19CF" w:rsidP="00473315">
            <w:pPr>
              <w:rPr>
                <w:rFonts w:ascii="Arial Narrow" w:hAnsi="Arial Narrow"/>
                <w:sz w:val="20"/>
              </w:rPr>
            </w:pPr>
            <w:r w:rsidRPr="00EB6EFC">
              <w:rPr>
                <w:rFonts w:ascii="Arial Narrow" w:hAnsi="Arial Narrow"/>
                <w:sz w:val="20"/>
              </w:rPr>
              <w:t>A single-arm, open-label, phase II, multicentre study to assess the safety of vismodegib (GDC-0449) in patients with locally advanced or metastatic basal cell carcinoma.</w:t>
            </w:r>
          </w:p>
          <w:p w:rsidR="007A19CF" w:rsidRPr="00EB6EFC" w:rsidRDefault="007A19CF" w:rsidP="00473315">
            <w:pPr>
              <w:rPr>
                <w:rFonts w:ascii="Arial Narrow" w:hAnsi="Arial Narrow"/>
                <w:sz w:val="20"/>
              </w:rPr>
            </w:pPr>
          </w:p>
          <w:p w:rsidR="007A19CF" w:rsidRPr="00EB6EFC" w:rsidRDefault="007A19CF" w:rsidP="00473315">
            <w:pPr>
              <w:rPr>
                <w:rFonts w:ascii="Arial Narrow" w:hAnsi="Arial Narrow"/>
                <w:sz w:val="20"/>
              </w:rPr>
            </w:pPr>
            <w:r w:rsidRPr="00EB6EFC">
              <w:rPr>
                <w:rFonts w:ascii="Arial Narrow" w:hAnsi="Arial Narrow"/>
                <w:sz w:val="20"/>
              </w:rPr>
              <w:t xml:space="preserve">Basset-Seguin, Hauschild, Grob, </w:t>
            </w:r>
            <w:r w:rsidRPr="00EB6EFC">
              <w:rPr>
                <w:rFonts w:ascii="Arial Narrow" w:hAnsi="Arial Narrow"/>
                <w:i/>
                <w:sz w:val="20"/>
              </w:rPr>
              <w:t>et al</w:t>
            </w:r>
            <w:r w:rsidRPr="00EB6EFC">
              <w:rPr>
                <w:rFonts w:ascii="Arial Narrow" w:hAnsi="Arial Narrow"/>
                <w:sz w:val="20"/>
              </w:rPr>
              <w:t xml:space="preserve"> (2015) Vismodegib in patients with advanced basal cell carcinoma (STEVIE): a pre-planned interim analysis of an international, open-label trial</w:t>
            </w:r>
          </w:p>
        </w:tc>
        <w:tc>
          <w:tcPr>
            <w:tcW w:w="1271" w:type="pct"/>
            <w:tcBorders>
              <w:top w:val="single" w:sz="4" w:space="0" w:color="auto"/>
              <w:left w:val="single" w:sz="4" w:space="0" w:color="auto"/>
              <w:bottom w:val="single" w:sz="4" w:space="0" w:color="auto"/>
              <w:right w:val="single" w:sz="4" w:space="0" w:color="auto"/>
            </w:tcBorders>
          </w:tcPr>
          <w:p w:rsidR="007A19CF" w:rsidRPr="00EB6EFC" w:rsidRDefault="007A19CF" w:rsidP="00473315">
            <w:pPr>
              <w:rPr>
                <w:rFonts w:ascii="Arial Narrow" w:hAnsi="Arial Narrow"/>
                <w:sz w:val="20"/>
              </w:rPr>
            </w:pPr>
            <w:r w:rsidRPr="00EB6EFC">
              <w:rPr>
                <w:rFonts w:ascii="Arial Narrow" w:hAnsi="Arial Narrow"/>
                <w:sz w:val="20"/>
              </w:rPr>
              <w:t>December 2015</w:t>
            </w:r>
          </w:p>
          <w:p w:rsidR="007A19CF" w:rsidRPr="00EB6EFC" w:rsidRDefault="007A19CF" w:rsidP="00473315">
            <w:pPr>
              <w:rPr>
                <w:rFonts w:ascii="Arial Narrow" w:hAnsi="Arial Narrow"/>
                <w:sz w:val="20"/>
              </w:rPr>
            </w:pPr>
          </w:p>
          <w:p w:rsidR="007A19CF" w:rsidRPr="00EB6EFC" w:rsidRDefault="007A19CF" w:rsidP="00473315">
            <w:pPr>
              <w:rPr>
                <w:rFonts w:ascii="Arial Narrow" w:hAnsi="Arial Narrow"/>
                <w:sz w:val="20"/>
              </w:rPr>
            </w:pPr>
          </w:p>
          <w:p w:rsidR="007A19CF" w:rsidRPr="00EB6EFC" w:rsidRDefault="007A19CF" w:rsidP="00473315">
            <w:pPr>
              <w:rPr>
                <w:rFonts w:ascii="Arial Narrow" w:hAnsi="Arial Narrow"/>
                <w:sz w:val="20"/>
              </w:rPr>
            </w:pPr>
          </w:p>
          <w:p w:rsidR="007A19CF" w:rsidRPr="00EB6EFC" w:rsidRDefault="007A19CF" w:rsidP="00473315">
            <w:pPr>
              <w:rPr>
                <w:rFonts w:ascii="Arial Narrow" w:hAnsi="Arial Narrow"/>
                <w:sz w:val="20"/>
              </w:rPr>
            </w:pPr>
            <w:r w:rsidRPr="00EB6EFC">
              <w:rPr>
                <w:rFonts w:ascii="Arial Narrow" w:hAnsi="Arial Narrow"/>
                <w:i/>
                <w:sz w:val="20"/>
              </w:rPr>
              <w:t>The Lancet</w:t>
            </w:r>
            <w:r w:rsidRPr="00EB6EFC">
              <w:rPr>
                <w:rFonts w:ascii="Arial Narrow" w:hAnsi="Arial Narrow"/>
                <w:sz w:val="20"/>
              </w:rPr>
              <w:t xml:space="preserve"> 2015; 16(6):729-736</w:t>
            </w:r>
          </w:p>
        </w:tc>
      </w:tr>
      <w:tr w:rsidR="007A19CF" w:rsidRPr="00EB6EFC" w:rsidTr="007A19CF">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7A19CF" w:rsidRPr="00EB6EFC" w:rsidRDefault="007A19CF" w:rsidP="00473315">
            <w:pPr>
              <w:pStyle w:val="TableText0"/>
              <w:spacing w:before="0" w:after="0"/>
              <w:rPr>
                <w:rFonts w:cs="Arial"/>
                <w:b/>
                <w:bCs w:val="0"/>
                <w:lang w:eastAsia="en-AU"/>
              </w:rPr>
            </w:pPr>
            <w:r w:rsidRPr="00EB6EFC">
              <w:rPr>
                <w:rFonts w:ascii="Arial Narrow" w:hAnsi="Arial Narrow" w:cs="Arial"/>
                <w:b/>
                <w:lang w:eastAsia="en-AU"/>
              </w:rPr>
              <w:t>Surgery</w:t>
            </w:r>
          </w:p>
        </w:tc>
      </w:tr>
      <w:tr w:rsidR="007A19CF" w:rsidRPr="00EB6EFC" w:rsidTr="007A19CF">
        <w:trPr>
          <w:cantSplit/>
        </w:trPr>
        <w:tc>
          <w:tcPr>
            <w:tcW w:w="678" w:type="pct"/>
            <w:tcBorders>
              <w:top w:val="single" w:sz="4" w:space="0" w:color="auto"/>
              <w:left w:val="single" w:sz="4" w:space="0" w:color="auto"/>
              <w:bottom w:val="single" w:sz="4" w:space="0" w:color="auto"/>
              <w:right w:val="single" w:sz="4" w:space="0" w:color="auto"/>
            </w:tcBorders>
            <w:vAlign w:val="center"/>
          </w:tcPr>
          <w:p w:rsidR="007A19CF" w:rsidRPr="00EB6EFC" w:rsidRDefault="007A19CF" w:rsidP="00473315">
            <w:pPr>
              <w:pStyle w:val="TableText0"/>
              <w:spacing w:before="0" w:after="0"/>
              <w:rPr>
                <w:rFonts w:ascii="Arial Narrow" w:hAnsi="Arial Narrow" w:cs="Arial"/>
                <w:lang w:eastAsia="en-AU"/>
              </w:rPr>
            </w:pPr>
            <w:r w:rsidRPr="00EB6EFC">
              <w:rPr>
                <w:rFonts w:ascii="Arial Narrow" w:hAnsi="Arial Narrow"/>
              </w:rPr>
              <w:t>Schwipper (2011)</w:t>
            </w:r>
          </w:p>
        </w:tc>
        <w:tc>
          <w:tcPr>
            <w:tcW w:w="3051" w:type="pct"/>
            <w:tcBorders>
              <w:top w:val="single" w:sz="4" w:space="0" w:color="auto"/>
              <w:left w:val="single" w:sz="4" w:space="0" w:color="auto"/>
              <w:bottom w:val="single" w:sz="4" w:space="0" w:color="auto"/>
              <w:right w:val="single" w:sz="4" w:space="0" w:color="auto"/>
            </w:tcBorders>
          </w:tcPr>
          <w:p w:rsidR="007A19CF" w:rsidRPr="00EB6EFC" w:rsidRDefault="007A19CF" w:rsidP="00473315">
            <w:pPr>
              <w:pStyle w:val="TableText0"/>
              <w:spacing w:before="0" w:after="0"/>
              <w:rPr>
                <w:rFonts w:ascii="Arial Narrow" w:hAnsi="Arial Narrow" w:cs="Arial"/>
                <w:lang w:eastAsia="en-AU"/>
              </w:rPr>
            </w:pPr>
            <w:r w:rsidRPr="00EB6EFC">
              <w:rPr>
                <w:rFonts w:ascii="Arial Narrow" w:hAnsi="Arial Narrow"/>
              </w:rPr>
              <w:t>Schwipper (2011) Invasive basal cell carcinoma of the head and neck (basalioma terebrans)</w:t>
            </w:r>
          </w:p>
        </w:tc>
        <w:tc>
          <w:tcPr>
            <w:tcW w:w="1271" w:type="pct"/>
            <w:tcBorders>
              <w:top w:val="single" w:sz="4" w:space="0" w:color="auto"/>
              <w:left w:val="single" w:sz="4" w:space="0" w:color="auto"/>
              <w:bottom w:val="single" w:sz="4" w:space="0" w:color="auto"/>
              <w:right w:val="single" w:sz="4" w:space="0" w:color="auto"/>
            </w:tcBorders>
          </w:tcPr>
          <w:p w:rsidR="007A19CF" w:rsidRPr="00EB6EFC" w:rsidRDefault="007A19CF" w:rsidP="00473315">
            <w:pPr>
              <w:pStyle w:val="TableText0"/>
              <w:spacing w:before="0" w:after="0"/>
              <w:rPr>
                <w:rFonts w:ascii="Arial Narrow" w:hAnsi="Arial Narrow" w:cs="Arial"/>
                <w:lang w:eastAsia="en-AU"/>
              </w:rPr>
            </w:pPr>
            <w:r w:rsidRPr="00EB6EFC">
              <w:rPr>
                <w:rFonts w:ascii="Arial Narrow" w:hAnsi="Arial Narrow"/>
                <w:i/>
                <w:iCs/>
              </w:rPr>
              <w:t xml:space="preserve">Facial Plastic Surgery </w:t>
            </w:r>
            <w:r w:rsidRPr="00EB6EFC">
              <w:rPr>
                <w:rFonts w:ascii="Arial Narrow" w:hAnsi="Arial Narrow"/>
              </w:rPr>
              <w:t>2011; 27:3 (258-265).</w:t>
            </w:r>
          </w:p>
        </w:tc>
      </w:tr>
    </w:tbl>
    <w:p w:rsidR="0078604E" w:rsidRPr="00F01E31" w:rsidRDefault="0078604E" w:rsidP="00495747">
      <w:pPr>
        <w:pStyle w:val="TableFooter"/>
        <w:ind w:left="709"/>
      </w:pPr>
      <w:r w:rsidRPr="00F01E31">
        <w:tab/>
        <w:t xml:space="preserve">Source: Table </w:t>
      </w:r>
      <w:r w:rsidR="00495747" w:rsidRPr="00F01E31">
        <w:t xml:space="preserve">1, p6 of the </w:t>
      </w:r>
      <w:r w:rsidR="00B81643" w:rsidRPr="00F01E31">
        <w:t>V</w:t>
      </w:r>
      <w:r w:rsidR="00495747" w:rsidRPr="00F01E31">
        <w:t xml:space="preserve">ismodegib </w:t>
      </w:r>
      <w:r w:rsidR="00AE59E3" w:rsidRPr="00F01E31">
        <w:t xml:space="preserve">March 2016 </w:t>
      </w:r>
      <w:r w:rsidR="00C60F56">
        <w:t>PBAC PSD</w:t>
      </w:r>
      <w:r w:rsidR="00495747" w:rsidRPr="00F01E31">
        <w:t>;</w:t>
      </w:r>
      <w:r w:rsidRPr="00F01E31">
        <w:t xml:space="preserve"> </w:t>
      </w:r>
      <w:r w:rsidR="00495747" w:rsidRPr="00F01E31">
        <w:t xml:space="preserve">“Updated STEVIE analysis” </w:t>
      </w:r>
      <w:r w:rsidR="0037568F">
        <w:t>provided in</w:t>
      </w:r>
      <w:r w:rsidRPr="00F01E31">
        <w:t xml:space="preserve"> the </w:t>
      </w:r>
      <w:r w:rsidR="00993564">
        <w:t>resubmission</w:t>
      </w:r>
    </w:p>
    <w:p w:rsidR="0078604E" w:rsidRPr="00EB6EFC" w:rsidRDefault="0078604E" w:rsidP="0078604E">
      <w:pPr>
        <w:ind w:firstLine="720"/>
        <w:rPr>
          <w:rStyle w:val="CommentReference"/>
        </w:rPr>
      </w:pPr>
    </w:p>
    <w:p w:rsidR="0078604E" w:rsidRPr="00EB6EFC" w:rsidRDefault="0078604E" w:rsidP="0078604E">
      <w:pPr>
        <w:pStyle w:val="ListParagraph"/>
        <w:widowControl/>
        <w:numPr>
          <w:ilvl w:val="1"/>
          <w:numId w:val="5"/>
        </w:numPr>
        <w:rPr>
          <w:szCs w:val="22"/>
        </w:rPr>
      </w:pPr>
      <w:r w:rsidRPr="00EB6EFC">
        <w:rPr>
          <w:szCs w:val="22"/>
        </w:rPr>
        <w:t xml:space="preserve">The key features of the non-randomised, single-arm studies </w:t>
      </w:r>
      <w:r w:rsidR="0098230F" w:rsidRPr="00EB6EFC">
        <w:rPr>
          <w:szCs w:val="22"/>
        </w:rPr>
        <w:t xml:space="preserve">used in the </w:t>
      </w:r>
      <w:r w:rsidR="00993564">
        <w:rPr>
          <w:szCs w:val="22"/>
        </w:rPr>
        <w:t>resubmission</w:t>
      </w:r>
      <w:r w:rsidR="0098230F" w:rsidRPr="00EB6EFC">
        <w:rPr>
          <w:szCs w:val="22"/>
        </w:rPr>
        <w:t xml:space="preserve"> </w:t>
      </w:r>
      <w:r w:rsidR="00E073AB">
        <w:rPr>
          <w:szCs w:val="22"/>
        </w:rPr>
        <w:t>are summarised in T</w:t>
      </w:r>
      <w:r w:rsidRPr="00EB6EFC">
        <w:rPr>
          <w:szCs w:val="22"/>
        </w:rPr>
        <w:t>able</w:t>
      </w:r>
      <w:r w:rsidR="00E073AB">
        <w:rPr>
          <w:szCs w:val="22"/>
        </w:rPr>
        <w:t xml:space="preserve"> 3</w:t>
      </w:r>
      <w:r w:rsidRPr="00EB6EFC">
        <w:rPr>
          <w:szCs w:val="22"/>
        </w:rPr>
        <w:t>.</w:t>
      </w:r>
    </w:p>
    <w:p w:rsidR="0078604E" w:rsidRPr="00EB6EFC" w:rsidRDefault="0078604E" w:rsidP="0078604E">
      <w:pPr>
        <w:rPr>
          <w:szCs w:val="22"/>
        </w:rPr>
      </w:pPr>
    </w:p>
    <w:p w:rsidR="0078604E" w:rsidRPr="00EB6EFC" w:rsidRDefault="0078604E" w:rsidP="00E30EFB">
      <w:pPr>
        <w:keepNext/>
        <w:keepLines/>
        <w:ind w:firstLine="720"/>
        <w:rPr>
          <w:rStyle w:val="CommentReference"/>
          <w:rFonts w:ascii="Arial Narrow" w:hAnsi="Arial Narrow"/>
          <w:b/>
          <w:sz w:val="20"/>
          <w:szCs w:val="20"/>
        </w:rPr>
      </w:pPr>
      <w:r w:rsidRPr="00EB6EFC">
        <w:rPr>
          <w:rStyle w:val="CommentReference"/>
          <w:rFonts w:ascii="Arial Narrow" w:hAnsi="Arial Narrow"/>
          <w:b/>
          <w:sz w:val="20"/>
          <w:szCs w:val="20"/>
        </w:rPr>
        <w:lastRenderedPageBreak/>
        <w:t xml:space="preserve">Table </w:t>
      </w:r>
      <w:r w:rsidR="00331F3E" w:rsidRPr="00EB6EFC">
        <w:rPr>
          <w:rStyle w:val="CommentReference"/>
          <w:rFonts w:ascii="Arial Narrow" w:hAnsi="Arial Narrow"/>
          <w:b/>
          <w:sz w:val="20"/>
          <w:szCs w:val="20"/>
        </w:rPr>
        <w:t>3</w:t>
      </w:r>
      <w:r w:rsidRPr="00EB6EFC">
        <w:rPr>
          <w:rStyle w:val="CommentReference"/>
          <w:rFonts w:ascii="Arial Narrow" w:hAnsi="Arial Narrow"/>
          <w:b/>
          <w:sz w:val="20"/>
          <w:szCs w:val="20"/>
        </w:rPr>
        <w:t>: Key features of the included evidence</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9"/>
        <w:gridCol w:w="1137"/>
        <w:gridCol w:w="2267"/>
        <w:gridCol w:w="708"/>
        <w:gridCol w:w="1457"/>
        <w:gridCol w:w="920"/>
        <w:gridCol w:w="1008"/>
      </w:tblGrid>
      <w:tr w:rsidR="00166063" w:rsidRPr="00EB6EFC" w:rsidTr="00E30EFB">
        <w:trPr>
          <w:cantSplit/>
          <w:tblHeader/>
        </w:trPr>
        <w:tc>
          <w:tcPr>
            <w:tcW w:w="509" w:type="pct"/>
            <w:shd w:val="clear" w:color="auto" w:fill="auto"/>
            <w:vAlign w:val="center"/>
          </w:tcPr>
          <w:p w:rsidR="0078604E" w:rsidRPr="00EB6EFC" w:rsidRDefault="0078604E" w:rsidP="00E30EFB">
            <w:pPr>
              <w:keepNext/>
              <w:keepLines/>
              <w:rPr>
                <w:rFonts w:ascii="Arial Narrow" w:hAnsi="Arial Narrow"/>
                <w:b/>
                <w:sz w:val="20"/>
                <w:lang w:val="en-US"/>
              </w:rPr>
            </w:pPr>
            <w:r w:rsidRPr="00EB6EFC">
              <w:rPr>
                <w:rFonts w:ascii="Arial Narrow" w:hAnsi="Arial Narrow"/>
                <w:b/>
                <w:sz w:val="20"/>
                <w:lang w:val="en-US"/>
              </w:rPr>
              <w:t>Trial</w:t>
            </w:r>
          </w:p>
        </w:tc>
        <w:tc>
          <w:tcPr>
            <w:tcW w:w="681" w:type="pct"/>
            <w:shd w:val="clear" w:color="auto" w:fill="auto"/>
            <w:vAlign w:val="center"/>
          </w:tcPr>
          <w:p w:rsidR="0078604E" w:rsidRPr="00EB6EFC" w:rsidRDefault="0078604E" w:rsidP="00E30EFB">
            <w:pPr>
              <w:keepNext/>
              <w:keepLines/>
              <w:jc w:val="center"/>
              <w:rPr>
                <w:rFonts w:ascii="Arial Narrow" w:hAnsi="Arial Narrow"/>
                <w:b/>
                <w:sz w:val="20"/>
                <w:lang w:val="en-US"/>
              </w:rPr>
            </w:pPr>
            <w:r w:rsidRPr="00EB6EFC">
              <w:rPr>
                <w:rFonts w:ascii="Arial Narrow" w:hAnsi="Arial Narrow"/>
                <w:b/>
                <w:sz w:val="20"/>
                <w:lang w:val="en-US"/>
              </w:rPr>
              <w:t>N</w:t>
            </w:r>
          </w:p>
        </w:tc>
        <w:tc>
          <w:tcPr>
            <w:tcW w:w="1358" w:type="pct"/>
            <w:shd w:val="clear" w:color="auto" w:fill="auto"/>
            <w:vAlign w:val="center"/>
          </w:tcPr>
          <w:p w:rsidR="0078604E" w:rsidRPr="00EB6EFC" w:rsidRDefault="0078604E" w:rsidP="00E30EFB">
            <w:pPr>
              <w:keepNext/>
              <w:keepLines/>
              <w:jc w:val="center"/>
              <w:rPr>
                <w:rFonts w:ascii="Arial Narrow" w:hAnsi="Arial Narrow"/>
                <w:b/>
                <w:sz w:val="20"/>
                <w:lang w:val="en-US"/>
              </w:rPr>
            </w:pPr>
            <w:r w:rsidRPr="00EB6EFC">
              <w:rPr>
                <w:rFonts w:ascii="Arial Narrow" w:hAnsi="Arial Narrow"/>
                <w:b/>
                <w:sz w:val="20"/>
                <w:lang w:val="en-US"/>
              </w:rPr>
              <w:t>Design/ duration</w:t>
            </w:r>
          </w:p>
        </w:tc>
        <w:tc>
          <w:tcPr>
            <w:tcW w:w="424" w:type="pct"/>
            <w:shd w:val="clear" w:color="auto" w:fill="auto"/>
            <w:vAlign w:val="center"/>
          </w:tcPr>
          <w:p w:rsidR="0078604E" w:rsidRPr="00EB6EFC" w:rsidRDefault="0078604E" w:rsidP="00E30EFB">
            <w:pPr>
              <w:keepNext/>
              <w:keepLines/>
              <w:jc w:val="center"/>
              <w:rPr>
                <w:rFonts w:ascii="Arial Narrow" w:hAnsi="Arial Narrow"/>
                <w:b/>
                <w:sz w:val="20"/>
                <w:lang w:val="en-US"/>
              </w:rPr>
            </w:pPr>
            <w:r w:rsidRPr="00EB6EFC">
              <w:rPr>
                <w:rFonts w:ascii="Arial Narrow" w:hAnsi="Arial Narrow"/>
                <w:b/>
                <w:sz w:val="20"/>
                <w:lang w:val="en-US"/>
              </w:rPr>
              <w:t>Risk of bias</w:t>
            </w:r>
          </w:p>
        </w:tc>
        <w:tc>
          <w:tcPr>
            <w:tcW w:w="873" w:type="pct"/>
            <w:shd w:val="clear" w:color="auto" w:fill="auto"/>
            <w:vAlign w:val="center"/>
          </w:tcPr>
          <w:p w:rsidR="0078604E" w:rsidRPr="00EB6EFC" w:rsidRDefault="0078604E" w:rsidP="00E30EFB">
            <w:pPr>
              <w:keepNext/>
              <w:keepLines/>
              <w:jc w:val="center"/>
              <w:rPr>
                <w:rFonts w:ascii="Arial Narrow" w:hAnsi="Arial Narrow"/>
                <w:b/>
                <w:sz w:val="20"/>
                <w:lang w:val="en-US"/>
              </w:rPr>
            </w:pPr>
            <w:r w:rsidRPr="00EB6EFC">
              <w:rPr>
                <w:rFonts w:ascii="Arial Narrow" w:hAnsi="Arial Narrow"/>
                <w:b/>
                <w:sz w:val="20"/>
                <w:lang w:val="en-US"/>
              </w:rPr>
              <w:t>Patient population</w:t>
            </w:r>
          </w:p>
        </w:tc>
        <w:tc>
          <w:tcPr>
            <w:tcW w:w="551" w:type="pct"/>
            <w:shd w:val="clear" w:color="auto" w:fill="auto"/>
            <w:vAlign w:val="center"/>
          </w:tcPr>
          <w:p w:rsidR="0078604E" w:rsidRPr="00EB6EFC" w:rsidRDefault="0078604E" w:rsidP="00E30EFB">
            <w:pPr>
              <w:keepNext/>
              <w:keepLines/>
              <w:jc w:val="center"/>
              <w:rPr>
                <w:rFonts w:ascii="Arial Narrow" w:hAnsi="Arial Narrow"/>
                <w:b/>
                <w:sz w:val="20"/>
                <w:lang w:val="en-US"/>
              </w:rPr>
            </w:pPr>
            <w:r w:rsidRPr="00EB6EFC">
              <w:rPr>
                <w:rFonts w:ascii="Arial Narrow" w:hAnsi="Arial Narrow"/>
                <w:b/>
                <w:sz w:val="20"/>
                <w:lang w:val="en-US"/>
              </w:rPr>
              <w:t>Outcomes</w:t>
            </w:r>
          </w:p>
        </w:tc>
        <w:tc>
          <w:tcPr>
            <w:tcW w:w="604" w:type="pct"/>
            <w:shd w:val="clear" w:color="auto" w:fill="auto"/>
            <w:vAlign w:val="center"/>
          </w:tcPr>
          <w:p w:rsidR="0078604E" w:rsidRPr="00EB6EFC" w:rsidRDefault="0078604E" w:rsidP="00E30EFB">
            <w:pPr>
              <w:keepNext/>
              <w:keepLines/>
              <w:jc w:val="center"/>
              <w:rPr>
                <w:rFonts w:ascii="Arial Narrow" w:hAnsi="Arial Narrow"/>
                <w:b/>
                <w:sz w:val="20"/>
                <w:lang w:val="en-US"/>
              </w:rPr>
            </w:pPr>
            <w:r w:rsidRPr="00EB6EFC">
              <w:rPr>
                <w:rFonts w:ascii="Arial Narrow" w:hAnsi="Arial Narrow"/>
                <w:b/>
                <w:sz w:val="20"/>
                <w:lang w:val="en-US"/>
              </w:rPr>
              <w:t>Used in modelled evaluation</w:t>
            </w:r>
          </w:p>
        </w:tc>
      </w:tr>
      <w:tr w:rsidR="0078604E" w:rsidRPr="00EB6EFC" w:rsidTr="00E30EFB">
        <w:trPr>
          <w:cantSplit/>
        </w:trPr>
        <w:tc>
          <w:tcPr>
            <w:tcW w:w="5000" w:type="pct"/>
            <w:gridSpan w:val="7"/>
            <w:shd w:val="clear" w:color="auto" w:fill="auto"/>
            <w:vAlign w:val="center"/>
          </w:tcPr>
          <w:p w:rsidR="0078604E" w:rsidRPr="00EB6EFC" w:rsidRDefault="0078604E" w:rsidP="00E30EFB">
            <w:pPr>
              <w:keepNext/>
              <w:keepLines/>
              <w:rPr>
                <w:rFonts w:ascii="Arial Narrow" w:hAnsi="Arial Narrow"/>
                <w:b/>
                <w:sz w:val="20"/>
                <w:lang w:val="en-US"/>
              </w:rPr>
            </w:pPr>
            <w:r w:rsidRPr="00EB6EFC">
              <w:rPr>
                <w:rFonts w:ascii="Arial Narrow" w:hAnsi="Arial Narrow"/>
                <w:b/>
                <w:sz w:val="20"/>
                <w:lang w:val="en-US"/>
              </w:rPr>
              <w:t>Vismodegib</w:t>
            </w:r>
          </w:p>
        </w:tc>
      </w:tr>
      <w:tr w:rsidR="00166063" w:rsidRPr="00EB6EFC" w:rsidTr="00E30EFB">
        <w:trPr>
          <w:cantSplit/>
        </w:trPr>
        <w:tc>
          <w:tcPr>
            <w:tcW w:w="509" w:type="pct"/>
            <w:shd w:val="clear" w:color="auto" w:fill="auto"/>
            <w:vAlign w:val="center"/>
          </w:tcPr>
          <w:p w:rsidR="0078604E" w:rsidRPr="00EB6EFC" w:rsidRDefault="0078604E" w:rsidP="00E30EFB">
            <w:pPr>
              <w:keepNext/>
              <w:keepLines/>
              <w:rPr>
                <w:rFonts w:ascii="Arial Narrow" w:hAnsi="Arial Narrow"/>
                <w:sz w:val="20"/>
                <w:lang w:val="en-US"/>
              </w:rPr>
            </w:pPr>
            <w:r w:rsidRPr="00EB6EFC">
              <w:rPr>
                <w:rFonts w:ascii="Arial Narrow" w:hAnsi="Arial Narrow"/>
                <w:sz w:val="20"/>
                <w:lang w:val="en-US"/>
              </w:rPr>
              <w:t>STEVIE</w:t>
            </w:r>
          </w:p>
        </w:tc>
        <w:tc>
          <w:tcPr>
            <w:tcW w:w="681" w:type="pct"/>
            <w:shd w:val="clear" w:color="auto" w:fill="auto"/>
            <w:vAlign w:val="center"/>
          </w:tcPr>
          <w:p w:rsidR="0078604E" w:rsidRPr="00EB6EFC" w:rsidRDefault="00EE7911" w:rsidP="00E30EFB">
            <w:pPr>
              <w:keepNext/>
              <w:keepLines/>
              <w:jc w:val="center"/>
              <w:rPr>
                <w:rFonts w:ascii="Arial Narrow" w:hAnsi="Arial Narrow"/>
                <w:sz w:val="20"/>
                <w:vertAlign w:val="superscript"/>
                <w:lang w:val="en-US"/>
              </w:rPr>
            </w:pPr>
            <w:r w:rsidRPr="00EB6EFC">
              <w:rPr>
                <w:rFonts w:ascii="Arial Narrow" w:hAnsi="Arial Narrow"/>
                <w:sz w:val="20"/>
                <w:lang w:val="en-US"/>
              </w:rPr>
              <w:t>1,1</w:t>
            </w:r>
            <w:r w:rsidR="007B6931" w:rsidRPr="00EB6EFC">
              <w:rPr>
                <w:rFonts w:ascii="Arial Narrow" w:hAnsi="Arial Narrow"/>
                <w:sz w:val="20"/>
                <w:lang w:val="en-US"/>
              </w:rPr>
              <w:t xml:space="preserve">61 </w:t>
            </w:r>
            <w:r w:rsidR="00E65699" w:rsidRPr="00EB6EFC">
              <w:rPr>
                <w:rFonts w:ascii="Arial Narrow" w:hAnsi="Arial Narrow"/>
                <w:sz w:val="20"/>
                <w:lang w:val="en-US"/>
              </w:rPr>
              <w:t xml:space="preserve">vs </w:t>
            </w:r>
            <w:r w:rsidR="007B6931" w:rsidRPr="00EB6EFC">
              <w:rPr>
                <w:rFonts w:ascii="Arial Narrow" w:hAnsi="Arial Narrow"/>
                <w:sz w:val="20"/>
                <w:lang w:val="en-US"/>
              </w:rPr>
              <w:t>482</w:t>
            </w:r>
            <w:r w:rsidR="00E65699" w:rsidRPr="00EB6EFC">
              <w:rPr>
                <w:rFonts w:ascii="Arial Narrow" w:hAnsi="Arial Narrow"/>
                <w:sz w:val="20"/>
                <w:lang w:val="en-US"/>
              </w:rPr>
              <w:t xml:space="preserve"> in previous submiss</w:t>
            </w:r>
            <w:r w:rsidRPr="00EB6EFC">
              <w:rPr>
                <w:rFonts w:ascii="Arial Narrow" w:hAnsi="Arial Narrow"/>
                <w:sz w:val="20"/>
                <w:lang w:val="en-US"/>
              </w:rPr>
              <w:t>i</w:t>
            </w:r>
            <w:r w:rsidR="00E65699" w:rsidRPr="00EB6EFC">
              <w:rPr>
                <w:rFonts w:ascii="Arial Narrow" w:hAnsi="Arial Narrow"/>
                <w:sz w:val="20"/>
                <w:lang w:val="en-US"/>
              </w:rPr>
              <w:t>on</w:t>
            </w:r>
            <w:r w:rsidR="0098230F" w:rsidRPr="00EB6EFC">
              <w:rPr>
                <w:rFonts w:ascii="Arial Narrow" w:hAnsi="Arial Narrow"/>
                <w:sz w:val="20"/>
                <w:lang w:val="en-US"/>
              </w:rPr>
              <w:t xml:space="preserve"> </w:t>
            </w:r>
            <w:r w:rsidRPr="00EB6EFC">
              <w:rPr>
                <w:rFonts w:ascii="Arial Narrow" w:hAnsi="Arial Narrow"/>
                <w:sz w:val="20"/>
                <w:vertAlign w:val="superscript"/>
                <w:lang w:val="en-US"/>
              </w:rPr>
              <w:t>a</w:t>
            </w:r>
          </w:p>
        </w:tc>
        <w:tc>
          <w:tcPr>
            <w:tcW w:w="1358"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OL, MC, SA</w:t>
            </w:r>
          </w:p>
          <w:p w:rsidR="0078604E" w:rsidRPr="00EB6EFC" w:rsidRDefault="0098230F" w:rsidP="00E30EFB">
            <w:pPr>
              <w:keepNext/>
              <w:keepLines/>
              <w:jc w:val="center"/>
              <w:rPr>
                <w:rFonts w:ascii="Arial Narrow" w:hAnsi="Arial Narrow"/>
                <w:sz w:val="20"/>
                <w:lang w:val="en-US"/>
              </w:rPr>
            </w:pPr>
            <w:r w:rsidRPr="008C2C86">
              <w:rPr>
                <w:rFonts w:ascii="Arial Narrow" w:hAnsi="Arial Narrow"/>
                <w:sz w:val="20"/>
                <w:lang w:val="en-US"/>
              </w:rPr>
              <w:t>Duration of fo</w:t>
            </w:r>
            <w:r w:rsidR="00E65699" w:rsidRPr="008C2C86">
              <w:rPr>
                <w:rFonts w:ascii="Arial Narrow" w:hAnsi="Arial Narrow"/>
                <w:sz w:val="20"/>
                <w:lang w:val="en-US"/>
              </w:rPr>
              <w:t>llow</w:t>
            </w:r>
            <w:r w:rsidRPr="008C2C86">
              <w:rPr>
                <w:rFonts w:ascii="Arial Narrow" w:hAnsi="Arial Narrow"/>
                <w:sz w:val="20"/>
                <w:lang w:val="en-US"/>
              </w:rPr>
              <w:t>-</w:t>
            </w:r>
            <w:r w:rsidR="00E65699" w:rsidRPr="008C2C86">
              <w:rPr>
                <w:rFonts w:ascii="Arial Narrow" w:hAnsi="Arial Narrow"/>
                <w:sz w:val="20"/>
                <w:lang w:val="en-US"/>
              </w:rPr>
              <w:t xml:space="preserve">up </w:t>
            </w:r>
            <w:r w:rsidRPr="008C2C86">
              <w:rPr>
                <w:rFonts w:ascii="Arial Narrow" w:hAnsi="Arial Narrow"/>
                <w:sz w:val="20"/>
                <w:lang w:val="en-US"/>
              </w:rPr>
              <w:t>not provided</w:t>
            </w:r>
            <w:r w:rsidRPr="00EB6EFC">
              <w:rPr>
                <w:rFonts w:ascii="Arial Narrow" w:hAnsi="Arial Narrow"/>
                <w:i/>
                <w:sz w:val="20"/>
                <w:lang w:val="en-US"/>
              </w:rPr>
              <w:t xml:space="preserve"> </w:t>
            </w:r>
            <w:r w:rsidRPr="00EB6EFC">
              <w:rPr>
                <w:rFonts w:ascii="Arial Narrow" w:hAnsi="Arial Narrow"/>
                <w:sz w:val="20"/>
                <w:lang w:val="en-US"/>
              </w:rPr>
              <w:t xml:space="preserve">(median </w:t>
            </w:r>
            <w:r w:rsidR="0078604E" w:rsidRPr="00EB6EFC">
              <w:rPr>
                <w:rFonts w:ascii="Arial Narrow" w:hAnsi="Arial Narrow"/>
                <w:sz w:val="20"/>
                <w:lang w:val="en-US"/>
              </w:rPr>
              <w:t>9.3 month</w:t>
            </w:r>
            <w:r w:rsidRPr="00EB6EFC">
              <w:rPr>
                <w:rFonts w:ascii="Arial Narrow" w:hAnsi="Arial Narrow"/>
                <w:sz w:val="20"/>
                <w:lang w:val="en-US"/>
              </w:rPr>
              <w:t xml:space="preserve">s </w:t>
            </w:r>
            <w:r w:rsidR="00E65699" w:rsidRPr="00EB6EFC">
              <w:rPr>
                <w:rFonts w:ascii="Arial Narrow" w:hAnsi="Arial Narrow"/>
                <w:sz w:val="20"/>
                <w:lang w:val="en-US"/>
              </w:rPr>
              <w:t>in previous submission</w:t>
            </w:r>
            <w:r w:rsidRPr="00EB6EFC">
              <w:rPr>
                <w:rFonts w:ascii="Arial Narrow" w:hAnsi="Arial Narrow"/>
                <w:sz w:val="20"/>
                <w:lang w:val="en-US"/>
              </w:rPr>
              <w:t>)</w:t>
            </w:r>
          </w:p>
        </w:tc>
        <w:tc>
          <w:tcPr>
            <w:tcW w:w="424"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High</w:t>
            </w:r>
          </w:p>
        </w:tc>
        <w:tc>
          <w:tcPr>
            <w:tcW w:w="873"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mBCC or laBCC not suitable for surgery</w:t>
            </w:r>
          </w:p>
        </w:tc>
        <w:tc>
          <w:tcPr>
            <w:tcW w:w="551"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AE, O</w:t>
            </w:r>
            <w:r w:rsidR="007528BB" w:rsidRPr="00EB6EFC">
              <w:rPr>
                <w:rFonts w:ascii="Arial Narrow" w:hAnsi="Arial Narrow"/>
                <w:sz w:val="20"/>
                <w:lang w:val="en-US"/>
              </w:rPr>
              <w:t>R</w:t>
            </w:r>
            <w:r w:rsidRPr="00EB6EFC">
              <w:rPr>
                <w:rFonts w:ascii="Arial Narrow" w:hAnsi="Arial Narrow"/>
                <w:sz w:val="20"/>
                <w:lang w:val="en-US"/>
              </w:rPr>
              <w:t>R, PFS, OS</w:t>
            </w:r>
          </w:p>
        </w:tc>
        <w:tc>
          <w:tcPr>
            <w:tcW w:w="604"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Yes</w:t>
            </w:r>
          </w:p>
        </w:tc>
      </w:tr>
      <w:tr w:rsidR="0078604E" w:rsidRPr="00EB6EFC" w:rsidTr="00E30EFB">
        <w:trPr>
          <w:cantSplit/>
        </w:trPr>
        <w:tc>
          <w:tcPr>
            <w:tcW w:w="5000" w:type="pct"/>
            <w:gridSpan w:val="7"/>
            <w:shd w:val="clear" w:color="auto" w:fill="auto"/>
            <w:vAlign w:val="center"/>
          </w:tcPr>
          <w:p w:rsidR="0078604E" w:rsidRPr="00EB6EFC" w:rsidRDefault="0078604E" w:rsidP="00E30EFB">
            <w:pPr>
              <w:keepNext/>
              <w:keepLines/>
              <w:rPr>
                <w:rFonts w:ascii="Arial Narrow" w:hAnsi="Arial Narrow" w:cs="Arial"/>
                <w:b/>
                <w:bCs/>
              </w:rPr>
            </w:pPr>
            <w:r w:rsidRPr="00EB6EFC">
              <w:rPr>
                <w:rFonts w:ascii="Arial Narrow" w:hAnsi="Arial Narrow"/>
                <w:b/>
                <w:sz w:val="20"/>
                <w:lang w:val="en-US"/>
              </w:rPr>
              <w:t>Surgery</w:t>
            </w:r>
          </w:p>
        </w:tc>
      </w:tr>
      <w:tr w:rsidR="00166063" w:rsidRPr="00EB6EFC" w:rsidTr="00E30EFB">
        <w:trPr>
          <w:cantSplit/>
        </w:trPr>
        <w:tc>
          <w:tcPr>
            <w:tcW w:w="509" w:type="pct"/>
            <w:shd w:val="clear" w:color="auto" w:fill="auto"/>
            <w:vAlign w:val="center"/>
          </w:tcPr>
          <w:p w:rsidR="0078604E" w:rsidRPr="00EB6EFC" w:rsidRDefault="0078604E" w:rsidP="00E30EFB">
            <w:pPr>
              <w:keepNext/>
              <w:keepLines/>
              <w:rPr>
                <w:rFonts w:ascii="Arial Narrow" w:hAnsi="Arial Narrow"/>
                <w:sz w:val="20"/>
                <w:lang w:val="en-US"/>
              </w:rPr>
            </w:pPr>
            <w:r w:rsidRPr="00EB6EFC">
              <w:rPr>
                <w:rFonts w:ascii="Arial Narrow" w:hAnsi="Arial Narrow"/>
                <w:sz w:val="20"/>
                <w:lang w:val="en-US"/>
              </w:rPr>
              <w:t>Schwipper (2011)</w:t>
            </w:r>
          </w:p>
        </w:tc>
        <w:tc>
          <w:tcPr>
            <w:tcW w:w="681"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118</w:t>
            </w:r>
          </w:p>
        </w:tc>
        <w:tc>
          <w:tcPr>
            <w:tcW w:w="1358"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SA, Cohort study</w:t>
            </w:r>
          </w:p>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9 years</w:t>
            </w:r>
          </w:p>
        </w:tc>
        <w:tc>
          <w:tcPr>
            <w:tcW w:w="424"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High</w:t>
            </w:r>
          </w:p>
        </w:tc>
        <w:tc>
          <w:tcPr>
            <w:tcW w:w="873"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 xml:space="preserve">Invasive BCC of the </w:t>
            </w:r>
            <w:r w:rsidR="00331F3E" w:rsidRPr="00EB6EFC">
              <w:rPr>
                <w:rFonts w:ascii="Arial Narrow" w:hAnsi="Arial Narrow"/>
                <w:sz w:val="20"/>
                <w:lang w:val="en-US"/>
              </w:rPr>
              <w:t>h</w:t>
            </w:r>
            <w:r w:rsidRPr="00EB6EFC">
              <w:rPr>
                <w:rFonts w:ascii="Arial Narrow" w:hAnsi="Arial Narrow"/>
                <w:sz w:val="20"/>
                <w:lang w:val="en-US"/>
              </w:rPr>
              <w:t xml:space="preserve">ead and </w:t>
            </w:r>
            <w:r w:rsidR="00331F3E" w:rsidRPr="00EB6EFC">
              <w:rPr>
                <w:rFonts w:ascii="Arial Narrow" w:hAnsi="Arial Narrow"/>
                <w:sz w:val="20"/>
                <w:lang w:val="en-US"/>
              </w:rPr>
              <w:t>n</w:t>
            </w:r>
            <w:r w:rsidRPr="00EB6EFC">
              <w:rPr>
                <w:rFonts w:ascii="Arial Narrow" w:hAnsi="Arial Narrow"/>
                <w:sz w:val="20"/>
                <w:lang w:val="en-US"/>
              </w:rPr>
              <w:t>eck</w:t>
            </w:r>
          </w:p>
        </w:tc>
        <w:tc>
          <w:tcPr>
            <w:tcW w:w="551"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CR, PFS, OS</w:t>
            </w:r>
          </w:p>
        </w:tc>
        <w:tc>
          <w:tcPr>
            <w:tcW w:w="604" w:type="pct"/>
            <w:shd w:val="clear" w:color="auto" w:fill="auto"/>
            <w:vAlign w:val="center"/>
          </w:tcPr>
          <w:p w:rsidR="0078604E" w:rsidRPr="00EB6EFC" w:rsidRDefault="0078604E" w:rsidP="00E30EFB">
            <w:pPr>
              <w:keepNext/>
              <w:keepLines/>
              <w:jc w:val="center"/>
              <w:rPr>
                <w:rFonts w:ascii="Arial Narrow" w:hAnsi="Arial Narrow"/>
                <w:sz w:val="20"/>
                <w:lang w:val="en-US"/>
              </w:rPr>
            </w:pPr>
            <w:r w:rsidRPr="00EB6EFC">
              <w:rPr>
                <w:rFonts w:ascii="Arial Narrow" w:hAnsi="Arial Narrow"/>
                <w:sz w:val="20"/>
                <w:lang w:val="en-US"/>
              </w:rPr>
              <w:t>Yes</w:t>
            </w:r>
          </w:p>
        </w:tc>
      </w:tr>
    </w:tbl>
    <w:p w:rsidR="0078604E" w:rsidRPr="00F01E31" w:rsidRDefault="0078604E" w:rsidP="00E30EFB">
      <w:pPr>
        <w:pStyle w:val="TableFooter"/>
        <w:keepNext/>
        <w:keepLines/>
        <w:ind w:firstLine="720"/>
      </w:pPr>
      <w:r w:rsidRPr="00F01E31">
        <w:t xml:space="preserve">Source: Compiled during </w:t>
      </w:r>
      <w:r w:rsidR="00282B76" w:rsidRPr="00F01E31">
        <w:t>preparation of the Overview</w:t>
      </w:r>
    </w:p>
    <w:p w:rsidR="0078604E" w:rsidRPr="00EB6EFC" w:rsidRDefault="00331F3E" w:rsidP="00E30EFB">
      <w:pPr>
        <w:pStyle w:val="TableFooter"/>
        <w:keepNext/>
        <w:keepLines/>
        <w:ind w:left="720"/>
      </w:pPr>
      <w:r w:rsidRPr="00EB6EFC">
        <w:t xml:space="preserve">AE = adverse events; BCC = basal cell carcinoma; CR = complete response; laBCC = locally advanced basal cell carcinoma; mBCC = metastatic basal cell carcinoma; MC = multi-centre; OL = open label; ORR = objective response rate; OS = overall survival; PFS = progression-free survival; </w:t>
      </w:r>
      <w:r w:rsidR="00E632A3">
        <w:t>SA = single-arm</w:t>
      </w:r>
    </w:p>
    <w:p w:rsidR="00EE7911" w:rsidRPr="00EB6EFC" w:rsidRDefault="00EE7911" w:rsidP="00E30EFB">
      <w:pPr>
        <w:pStyle w:val="TableFooter"/>
        <w:keepNext/>
        <w:keepLines/>
        <w:ind w:left="720"/>
      </w:pPr>
      <w:r w:rsidRPr="00EB6EFC">
        <w:rPr>
          <w:vertAlign w:val="superscript"/>
        </w:rPr>
        <w:t>a</w:t>
      </w:r>
      <w:r w:rsidRPr="00EB6EFC">
        <w:t xml:space="preserve"> Based on the</w:t>
      </w:r>
      <w:r w:rsidR="007B6931" w:rsidRPr="00EB6EFC">
        <w:t xml:space="preserve"> “efficacy evaluable population”</w:t>
      </w:r>
      <w:r w:rsidRPr="00EB6EFC">
        <w:t xml:space="preserve">. The </w:t>
      </w:r>
      <w:r w:rsidR="007B6931" w:rsidRPr="00EB6EFC">
        <w:t xml:space="preserve">intention-to-treat population </w:t>
      </w:r>
      <w:r w:rsidRPr="00EB6EFC">
        <w:t>was 1,1</w:t>
      </w:r>
      <w:r w:rsidR="007B6931" w:rsidRPr="00EB6EFC">
        <w:t>92</w:t>
      </w:r>
      <w:r w:rsidRPr="00EB6EFC">
        <w:t xml:space="preserve"> in the </w:t>
      </w:r>
      <w:r w:rsidR="00993564">
        <w:t>resubmission</w:t>
      </w:r>
      <w:r w:rsidRPr="00EB6EFC">
        <w:t xml:space="preserve"> versus </w:t>
      </w:r>
      <w:r w:rsidR="007B6931" w:rsidRPr="00EB6EFC">
        <w:t>501</w:t>
      </w:r>
      <w:r w:rsidRPr="00EB6EFC">
        <w:t xml:space="preserve"> in the previous submission.</w:t>
      </w:r>
    </w:p>
    <w:p w:rsidR="004F5014" w:rsidRPr="00EB6EFC" w:rsidRDefault="004F5014" w:rsidP="00F9629A">
      <w:pPr>
        <w:jc w:val="both"/>
        <w:rPr>
          <w:szCs w:val="22"/>
        </w:rPr>
      </w:pPr>
    </w:p>
    <w:p w:rsidR="00D84934" w:rsidRPr="00EB6EFC" w:rsidRDefault="004F5014" w:rsidP="006C4ED0">
      <w:pPr>
        <w:pStyle w:val="ListParagraph"/>
        <w:ind w:left="0"/>
        <w:rPr>
          <w:szCs w:val="22"/>
          <w:u w:val="single"/>
        </w:rPr>
      </w:pPr>
      <w:r w:rsidRPr="00EB6EFC">
        <w:rPr>
          <w:szCs w:val="22"/>
          <w:u w:val="single"/>
        </w:rPr>
        <w:t>Overall response rate</w:t>
      </w:r>
      <w:r w:rsidR="00E632A3">
        <w:rPr>
          <w:szCs w:val="22"/>
          <w:u w:val="single"/>
        </w:rPr>
        <w:t xml:space="preserve"> with vismodegib</w:t>
      </w:r>
    </w:p>
    <w:p w:rsidR="004F5014" w:rsidRPr="00EB6EFC" w:rsidRDefault="004F5014" w:rsidP="00F9629A">
      <w:pPr>
        <w:jc w:val="both"/>
        <w:rPr>
          <w:szCs w:val="22"/>
        </w:rPr>
      </w:pPr>
    </w:p>
    <w:p w:rsidR="00905758" w:rsidRPr="00EB6EFC" w:rsidRDefault="00905758" w:rsidP="008A50F1">
      <w:pPr>
        <w:pStyle w:val="ListParagraph"/>
        <w:numPr>
          <w:ilvl w:val="1"/>
          <w:numId w:val="5"/>
        </w:numPr>
        <w:rPr>
          <w:szCs w:val="22"/>
        </w:rPr>
      </w:pPr>
      <w:r w:rsidRPr="00EB6EFC">
        <w:rPr>
          <w:szCs w:val="22"/>
        </w:rPr>
        <w:t xml:space="preserve">The </w:t>
      </w:r>
      <w:r w:rsidR="00993564">
        <w:rPr>
          <w:szCs w:val="22"/>
        </w:rPr>
        <w:t>resubmission</w:t>
      </w:r>
      <w:r w:rsidRPr="00EB6EFC">
        <w:rPr>
          <w:szCs w:val="22"/>
        </w:rPr>
        <w:t xml:space="preserve"> provided updated data from the STEVIE study. This was a </w:t>
      </w:r>
      <w:r w:rsidR="00667AEB" w:rsidRPr="00EB6EFC">
        <w:rPr>
          <w:szCs w:val="22"/>
        </w:rPr>
        <w:t xml:space="preserve">single-arm, </w:t>
      </w:r>
      <w:r w:rsidRPr="00EB6EFC">
        <w:rPr>
          <w:szCs w:val="22"/>
        </w:rPr>
        <w:t>open-label, multi-centre study of patients with</w:t>
      </w:r>
      <w:r w:rsidR="00F63BB7" w:rsidRPr="00EB6EFC">
        <w:rPr>
          <w:rFonts w:ascii="Arial Narrow" w:hAnsi="Arial Narrow"/>
          <w:sz w:val="20"/>
          <w:lang w:val="en-US"/>
        </w:rPr>
        <w:t xml:space="preserve"> </w:t>
      </w:r>
      <w:r w:rsidR="00F63BB7" w:rsidRPr="00EB6EFC">
        <w:rPr>
          <w:szCs w:val="22"/>
        </w:rPr>
        <w:t xml:space="preserve">metastatic or locally advanced </w:t>
      </w:r>
      <w:r w:rsidR="00B81643" w:rsidRPr="00EB6EFC">
        <w:rPr>
          <w:szCs w:val="22"/>
        </w:rPr>
        <w:t>BCC</w:t>
      </w:r>
      <w:r w:rsidR="00F63BB7" w:rsidRPr="00EB6EFC">
        <w:rPr>
          <w:szCs w:val="22"/>
        </w:rPr>
        <w:t xml:space="preserve"> who were not suitable for surgery. </w:t>
      </w:r>
      <w:r w:rsidR="00D9063F" w:rsidRPr="00EB6EFC">
        <w:rPr>
          <w:szCs w:val="22"/>
        </w:rPr>
        <w:t>No new data were provided for the surgery arm of the naïve comparison</w:t>
      </w:r>
      <w:r w:rsidR="00E632A3">
        <w:rPr>
          <w:szCs w:val="22"/>
        </w:rPr>
        <w:t>.</w:t>
      </w:r>
    </w:p>
    <w:p w:rsidR="00D84934" w:rsidRPr="00EB6EFC" w:rsidRDefault="00D84934" w:rsidP="0076420C">
      <w:pPr>
        <w:pStyle w:val="ListParagraph"/>
        <w:ind w:left="709"/>
        <w:rPr>
          <w:szCs w:val="22"/>
        </w:rPr>
      </w:pPr>
    </w:p>
    <w:p w:rsidR="00D9063F" w:rsidRPr="00EB6EFC" w:rsidRDefault="005100D2" w:rsidP="00FD13AC">
      <w:pPr>
        <w:widowControl w:val="0"/>
        <w:numPr>
          <w:ilvl w:val="1"/>
          <w:numId w:val="5"/>
        </w:numPr>
        <w:ind w:left="709"/>
        <w:contextualSpacing/>
        <w:jc w:val="both"/>
        <w:rPr>
          <w:rFonts w:cs="Arial"/>
          <w:snapToGrid w:val="0"/>
          <w:szCs w:val="22"/>
          <w:lang w:eastAsia="en-US"/>
        </w:rPr>
      </w:pPr>
      <w:r w:rsidRPr="00EB6EFC">
        <w:rPr>
          <w:rFonts w:cs="Arial"/>
          <w:snapToGrid w:val="0"/>
          <w:szCs w:val="20"/>
          <w:lang w:eastAsia="en-US"/>
        </w:rPr>
        <w:t>The updated data</w:t>
      </w:r>
      <w:r w:rsidR="00FD13AC" w:rsidRPr="00EB6EFC">
        <w:rPr>
          <w:rFonts w:cs="Arial"/>
          <w:snapToGrid w:val="0"/>
          <w:szCs w:val="20"/>
          <w:lang w:eastAsia="en-US"/>
        </w:rPr>
        <w:t xml:space="preserve"> were </w:t>
      </w:r>
      <w:r w:rsidR="00331F3E" w:rsidRPr="00EB6EFC">
        <w:rPr>
          <w:rFonts w:cs="Arial"/>
          <w:snapToGrid w:val="0"/>
          <w:szCs w:val="20"/>
          <w:lang w:eastAsia="en-US"/>
        </w:rPr>
        <w:t xml:space="preserve">from </w:t>
      </w:r>
      <w:r w:rsidR="00FD13AC" w:rsidRPr="00EB6EFC">
        <w:rPr>
          <w:rFonts w:cs="Arial"/>
          <w:snapToGrid w:val="0"/>
          <w:szCs w:val="20"/>
          <w:lang w:eastAsia="en-US"/>
        </w:rPr>
        <w:t>the</w:t>
      </w:r>
      <w:r w:rsidRPr="00EB6EFC">
        <w:rPr>
          <w:rFonts w:cs="Arial"/>
          <w:snapToGrid w:val="0"/>
          <w:szCs w:val="20"/>
          <w:lang w:eastAsia="en-US"/>
        </w:rPr>
        <w:t xml:space="preserve"> 16 March 2015 data-cut while the previous submission was based on the 6 November 2013 data-cut</w:t>
      </w:r>
      <w:r w:rsidR="00FD13AC" w:rsidRPr="00EB6EFC">
        <w:rPr>
          <w:rFonts w:cs="Arial"/>
          <w:snapToGrid w:val="0"/>
          <w:szCs w:val="20"/>
          <w:lang w:eastAsia="en-US"/>
        </w:rPr>
        <w:t>.</w:t>
      </w:r>
      <w:r w:rsidRPr="00EB6EFC">
        <w:rPr>
          <w:rFonts w:cs="Arial"/>
          <w:snapToGrid w:val="0"/>
          <w:szCs w:val="20"/>
          <w:lang w:eastAsia="en-US"/>
        </w:rPr>
        <w:t xml:space="preserve"> </w:t>
      </w:r>
      <w:r w:rsidR="00331F3E" w:rsidRPr="00EB6EFC">
        <w:rPr>
          <w:rFonts w:cs="Arial"/>
          <w:snapToGrid w:val="0"/>
          <w:szCs w:val="20"/>
          <w:lang w:eastAsia="en-US"/>
        </w:rPr>
        <w:t xml:space="preserve">The more recent data-cut was based on </w:t>
      </w:r>
      <w:r w:rsidR="00D9063F" w:rsidRPr="00EB6EFC">
        <w:rPr>
          <w:rFonts w:cs="Arial"/>
          <w:snapToGrid w:val="0"/>
          <w:szCs w:val="20"/>
          <w:lang w:eastAsia="en-US"/>
        </w:rPr>
        <w:t>1,1</w:t>
      </w:r>
      <w:r w:rsidR="007379C4" w:rsidRPr="00EB6EFC">
        <w:rPr>
          <w:rFonts w:cs="Arial"/>
          <w:snapToGrid w:val="0"/>
          <w:szCs w:val="20"/>
          <w:lang w:eastAsia="en-US"/>
        </w:rPr>
        <w:t>61</w:t>
      </w:r>
      <w:r w:rsidR="00D9063F" w:rsidRPr="00EB6EFC">
        <w:rPr>
          <w:rFonts w:cs="Arial"/>
          <w:snapToGrid w:val="0"/>
          <w:szCs w:val="20"/>
          <w:lang w:eastAsia="en-US"/>
        </w:rPr>
        <w:t xml:space="preserve"> patients</w:t>
      </w:r>
      <w:r w:rsidRPr="00EB6EFC">
        <w:rPr>
          <w:rFonts w:cs="Arial"/>
          <w:snapToGrid w:val="0"/>
          <w:szCs w:val="20"/>
          <w:lang w:eastAsia="en-US"/>
        </w:rPr>
        <w:t>, compared with</w:t>
      </w:r>
      <w:r w:rsidR="00D9063F" w:rsidRPr="00EB6EFC">
        <w:rPr>
          <w:rFonts w:cs="Arial"/>
          <w:snapToGrid w:val="0"/>
          <w:szCs w:val="20"/>
          <w:lang w:eastAsia="en-US"/>
        </w:rPr>
        <w:t xml:space="preserve"> </w:t>
      </w:r>
      <w:r w:rsidR="007379C4" w:rsidRPr="00EB6EFC">
        <w:rPr>
          <w:rFonts w:cs="Arial"/>
          <w:snapToGrid w:val="0"/>
          <w:szCs w:val="20"/>
          <w:lang w:eastAsia="en-US"/>
        </w:rPr>
        <w:t>482</w:t>
      </w:r>
      <w:r w:rsidR="00D9063F" w:rsidRPr="00EB6EFC">
        <w:rPr>
          <w:rFonts w:cs="Arial"/>
          <w:snapToGrid w:val="0"/>
          <w:szCs w:val="20"/>
          <w:lang w:eastAsia="en-US"/>
        </w:rPr>
        <w:t xml:space="preserve"> patients in the previous </w:t>
      </w:r>
      <w:r w:rsidRPr="00EB6EFC">
        <w:rPr>
          <w:rFonts w:cs="Arial"/>
          <w:snapToGrid w:val="0"/>
          <w:szCs w:val="20"/>
          <w:lang w:eastAsia="en-US"/>
        </w:rPr>
        <w:t xml:space="preserve">data-cut. </w:t>
      </w:r>
      <w:r w:rsidRPr="00EB6EFC">
        <w:rPr>
          <w:rFonts w:cs="Arial"/>
          <w:snapToGrid w:val="0"/>
          <w:szCs w:val="22"/>
          <w:lang w:eastAsia="en-US"/>
        </w:rPr>
        <w:t xml:space="preserve">The </w:t>
      </w:r>
      <w:r w:rsidR="00993564">
        <w:rPr>
          <w:rFonts w:cs="Arial"/>
          <w:snapToGrid w:val="0"/>
          <w:szCs w:val="22"/>
          <w:lang w:eastAsia="en-US"/>
        </w:rPr>
        <w:t>resubmission</w:t>
      </w:r>
      <w:r w:rsidR="00FD13AC" w:rsidRPr="00EB6EFC">
        <w:rPr>
          <w:rFonts w:cs="Arial"/>
          <w:snapToGrid w:val="0"/>
          <w:szCs w:val="22"/>
          <w:lang w:eastAsia="en-US"/>
        </w:rPr>
        <w:t xml:space="preserve"> did not state the </w:t>
      </w:r>
      <w:r w:rsidRPr="00EB6EFC">
        <w:rPr>
          <w:rFonts w:cs="Arial"/>
          <w:snapToGrid w:val="0"/>
          <w:szCs w:val="22"/>
          <w:lang w:eastAsia="en-US"/>
        </w:rPr>
        <w:t xml:space="preserve">median </w:t>
      </w:r>
      <w:r w:rsidR="00D9063F" w:rsidRPr="00EB6EFC">
        <w:rPr>
          <w:rFonts w:cs="Arial"/>
          <w:snapToGrid w:val="0"/>
          <w:szCs w:val="22"/>
          <w:lang w:eastAsia="en-US"/>
        </w:rPr>
        <w:t xml:space="preserve">duration of follow-up </w:t>
      </w:r>
      <w:r w:rsidR="00A30C07" w:rsidRPr="00EB6EFC">
        <w:rPr>
          <w:rFonts w:cs="Arial"/>
          <w:snapToGrid w:val="0"/>
          <w:szCs w:val="22"/>
          <w:lang w:eastAsia="en-US"/>
        </w:rPr>
        <w:t>for the updated</w:t>
      </w:r>
      <w:r w:rsidR="00FD13AC" w:rsidRPr="00EB6EFC">
        <w:rPr>
          <w:rFonts w:cs="Arial"/>
          <w:snapToGrid w:val="0"/>
          <w:szCs w:val="22"/>
          <w:lang w:eastAsia="en-US"/>
        </w:rPr>
        <w:t xml:space="preserve"> data-cut </w:t>
      </w:r>
      <w:r w:rsidR="00D9063F" w:rsidRPr="00EB6EFC">
        <w:rPr>
          <w:rFonts w:cs="Arial"/>
          <w:snapToGrid w:val="0"/>
          <w:szCs w:val="22"/>
          <w:lang w:eastAsia="en-US"/>
        </w:rPr>
        <w:t>(</w:t>
      </w:r>
      <w:r w:rsidR="00FD13AC" w:rsidRPr="00EB6EFC">
        <w:rPr>
          <w:rFonts w:cs="Arial"/>
          <w:snapToGrid w:val="0"/>
          <w:szCs w:val="22"/>
          <w:lang w:eastAsia="en-US"/>
        </w:rPr>
        <w:t>there was</w:t>
      </w:r>
      <w:r w:rsidR="00D9063F" w:rsidRPr="00EB6EFC">
        <w:rPr>
          <w:rFonts w:cs="Arial"/>
          <w:snapToGrid w:val="0"/>
          <w:szCs w:val="22"/>
          <w:lang w:eastAsia="en-US"/>
        </w:rPr>
        <w:t xml:space="preserve"> 9.3 months median follow-up in the previous </w:t>
      </w:r>
      <w:r w:rsidR="00A30C07" w:rsidRPr="00EB6EFC">
        <w:rPr>
          <w:rFonts w:cs="Arial"/>
          <w:snapToGrid w:val="0"/>
          <w:szCs w:val="22"/>
          <w:lang w:eastAsia="en-US"/>
        </w:rPr>
        <w:t>data-cut</w:t>
      </w:r>
      <w:r w:rsidR="00E632A3">
        <w:rPr>
          <w:rFonts w:cs="Arial"/>
          <w:snapToGrid w:val="0"/>
          <w:szCs w:val="22"/>
          <w:lang w:eastAsia="en-US"/>
        </w:rPr>
        <w:t>).</w:t>
      </w:r>
    </w:p>
    <w:p w:rsidR="00BB7EC3" w:rsidRPr="00EB6EFC" w:rsidRDefault="00BB7EC3" w:rsidP="009B0F67">
      <w:pPr>
        <w:jc w:val="both"/>
        <w:rPr>
          <w:szCs w:val="22"/>
        </w:rPr>
      </w:pPr>
    </w:p>
    <w:p w:rsidR="00D9063F" w:rsidRPr="00EB6EFC" w:rsidRDefault="00D9063F" w:rsidP="00D9063F">
      <w:pPr>
        <w:widowControl w:val="0"/>
        <w:numPr>
          <w:ilvl w:val="1"/>
          <w:numId w:val="5"/>
        </w:numPr>
        <w:contextualSpacing/>
        <w:jc w:val="both"/>
        <w:rPr>
          <w:rFonts w:cs="Arial"/>
          <w:b/>
          <w:snapToGrid w:val="0"/>
          <w:szCs w:val="20"/>
          <w:lang w:eastAsia="en-US"/>
        </w:rPr>
      </w:pPr>
      <w:r w:rsidRPr="00EB6EFC">
        <w:rPr>
          <w:rFonts w:cs="Arial"/>
          <w:snapToGrid w:val="0"/>
          <w:szCs w:val="20"/>
          <w:lang w:eastAsia="en-US"/>
        </w:rPr>
        <w:t xml:space="preserve">Table </w:t>
      </w:r>
      <w:r w:rsidR="00331F3E" w:rsidRPr="00EB6EFC">
        <w:rPr>
          <w:rFonts w:cs="Arial"/>
          <w:snapToGrid w:val="0"/>
          <w:szCs w:val="20"/>
          <w:lang w:eastAsia="en-US"/>
        </w:rPr>
        <w:t>4</w:t>
      </w:r>
      <w:r w:rsidRPr="00EB6EFC">
        <w:rPr>
          <w:rFonts w:cs="Arial"/>
          <w:snapToGrid w:val="0"/>
          <w:szCs w:val="20"/>
          <w:lang w:eastAsia="en-US"/>
        </w:rPr>
        <w:t xml:space="preserve"> presents the </w:t>
      </w:r>
      <w:r w:rsidR="00F63BB7" w:rsidRPr="00EB6EFC">
        <w:rPr>
          <w:rFonts w:cs="Arial"/>
          <w:snapToGrid w:val="0"/>
          <w:szCs w:val="20"/>
          <w:lang w:eastAsia="en-US"/>
        </w:rPr>
        <w:t xml:space="preserve">objective response rates </w:t>
      </w:r>
      <w:r w:rsidR="005556B5" w:rsidRPr="00EB6EFC">
        <w:rPr>
          <w:rFonts w:cs="Arial"/>
          <w:snapToGrid w:val="0"/>
          <w:szCs w:val="20"/>
          <w:lang w:eastAsia="en-US"/>
        </w:rPr>
        <w:t>from the previous submission and</w:t>
      </w:r>
      <w:r w:rsidR="00F63BB7" w:rsidRPr="00EB6EFC">
        <w:rPr>
          <w:rFonts w:cs="Arial"/>
          <w:snapToGrid w:val="0"/>
          <w:szCs w:val="20"/>
          <w:lang w:eastAsia="en-US"/>
        </w:rPr>
        <w:t xml:space="preserve"> the </w:t>
      </w:r>
      <w:r w:rsidR="00993564">
        <w:rPr>
          <w:rFonts w:cs="Arial"/>
          <w:snapToGrid w:val="0"/>
          <w:szCs w:val="20"/>
          <w:lang w:eastAsia="en-US"/>
        </w:rPr>
        <w:t>resubmission</w:t>
      </w:r>
      <w:r w:rsidR="00331F3E" w:rsidRPr="00EB6EFC">
        <w:rPr>
          <w:rFonts w:cs="Arial"/>
          <w:snapToGrid w:val="0"/>
          <w:szCs w:val="20"/>
          <w:lang w:eastAsia="en-US"/>
        </w:rPr>
        <w:t xml:space="preserve"> for both the metastatic and locally advanced BCC subgroups</w:t>
      </w:r>
      <w:r w:rsidR="00E632A3">
        <w:rPr>
          <w:rFonts w:cs="Arial"/>
          <w:snapToGrid w:val="0"/>
          <w:szCs w:val="20"/>
          <w:lang w:eastAsia="en-US"/>
        </w:rPr>
        <w:t>.</w:t>
      </w:r>
    </w:p>
    <w:p w:rsidR="00D9063F" w:rsidRPr="00EB6EFC" w:rsidRDefault="00D9063F" w:rsidP="00D9063F">
      <w:pPr>
        <w:widowControl w:val="0"/>
        <w:ind w:firstLine="720"/>
        <w:jc w:val="both"/>
        <w:rPr>
          <w:rFonts w:ascii="Arial Narrow" w:hAnsi="Arial Narrow" w:cs="Arial"/>
          <w:b/>
          <w:snapToGrid w:val="0"/>
          <w:sz w:val="20"/>
          <w:szCs w:val="16"/>
          <w:lang w:eastAsia="en-US"/>
        </w:rPr>
      </w:pPr>
    </w:p>
    <w:p w:rsidR="00D9063F" w:rsidRPr="00EB6EFC" w:rsidRDefault="00D9063F" w:rsidP="005556B5">
      <w:pPr>
        <w:keepNext/>
        <w:keepLines/>
        <w:widowControl w:val="0"/>
        <w:ind w:left="709" w:firstLine="11"/>
        <w:jc w:val="both"/>
        <w:rPr>
          <w:rFonts w:ascii="Arial Narrow" w:hAnsi="Arial Narrow" w:cs="Arial"/>
          <w:b/>
          <w:snapToGrid w:val="0"/>
          <w:sz w:val="20"/>
          <w:szCs w:val="16"/>
          <w:lang w:eastAsia="en-US"/>
        </w:rPr>
      </w:pPr>
      <w:r w:rsidRPr="00EB6EFC">
        <w:rPr>
          <w:rFonts w:ascii="Arial Narrow" w:hAnsi="Arial Narrow" w:cs="Arial"/>
          <w:b/>
          <w:snapToGrid w:val="0"/>
          <w:sz w:val="20"/>
          <w:szCs w:val="16"/>
          <w:lang w:eastAsia="en-US"/>
        </w:rPr>
        <w:t xml:space="preserve">Table </w:t>
      </w:r>
      <w:r w:rsidR="00331F3E" w:rsidRPr="00EB6EFC">
        <w:rPr>
          <w:rFonts w:ascii="Arial Narrow" w:hAnsi="Arial Narrow" w:cs="Arial"/>
          <w:b/>
          <w:snapToGrid w:val="0"/>
          <w:sz w:val="20"/>
          <w:szCs w:val="16"/>
          <w:lang w:eastAsia="en-US"/>
        </w:rPr>
        <w:t>4</w:t>
      </w:r>
      <w:r w:rsidRPr="00EB6EFC">
        <w:rPr>
          <w:rFonts w:ascii="Arial Narrow" w:hAnsi="Arial Narrow" w:cs="Arial"/>
          <w:b/>
          <w:snapToGrid w:val="0"/>
          <w:sz w:val="20"/>
          <w:szCs w:val="16"/>
          <w:lang w:eastAsia="en-US"/>
        </w:rPr>
        <w:t xml:space="preserve">: </w:t>
      </w:r>
      <w:r w:rsidR="005556B5" w:rsidRPr="00EB6EFC">
        <w:rPr>
          <w:rFonts w:ascii="Arial Narrow" w:hAnsi="Arial Narrow" w:cs="Arial"/>
          <w:b/>
          <w:snapToGrid w:val="0"/>
          <w:sz w:val="20"/>
          <w:szCs w:val="16"/>
          <w:lang w:eastAsia="en-US"/>
        </w:rPr>
        <w:t>O</w:t>
      </w:r>
      <w:r w:rsidRPr="00EB6EFC">
        <w:rPr>
          <w:rFonts w:ascii="Arial Narrow" w:hAnsi="Arial Narrow" w:cs="Arial"/>
          <w:b/>
          <w:snapToGrid w:val="0"/>
          <w:sz w:val="20"/>
          <w:szCs w:val="16"/>
          <w:lang w:eastAsia="en-US"/>
        </w:rPr>
        <w:t xml:space="preserve">bjective response rate </w:t>
      </w:r>
      <w:r w:rsidR="006E0567" w:rsidRPr="00EB6EFC">
        <w:rPr>
          <w:rFonts w:ascii="Arial Narrow" w:hAnsi="Arial Narrow" w:cs="Arial"/>
          <w:b/>
          <w:snapToGrid w:val="0"/>
          <w:sz w:val="20"/>
          <w:szCs w:val="16"/>
          <w:lang w:eastAsia="en-US"/>
        </w:rPr>
        <w:t>per</w:t>
      </w:r>
      <w:r w:rsidR="005556B5" w:rsidRPr="00EB6EFC">
        <w:rPr>
          <w:rFonts w:ascii="Arial Narrow" w:hAnsi="Arial Narrow" w:cs="Arial"/>
          <w:b/>
          <w:snapToGrid w:val="0"/>
          <w:sz w:val="20"/>
          <w:szCs w:val="16"/>
          <w:lang w:eastAsia="en-US"/>
        </w:rPr>
        <w:t xml:space="preserve"> the previous submission and the </w:t>
      </w:r>
      <w:r w:rsidR="00993564">
        <w:rPr>
          <w:rFonts w:ascii="Arial Narrow" w:hAnsi="Arial Narrow" w:cs="Arial"/>
          <w:b/>
          <w:snapToGrid w:val="0"/>
          <w:sz w:val="20"/>
          <w:szCs w:val="16"/>
          <w:lang w:eastAsia="en-US"/>
        </w:rPr>
        <w:t>resubmission</w:t>
      </w:r>
      <w:r w:rsidR="005556B5" w:rsidRPr="00EB6EFC">
        <w:rPr>
          <w:rFonts w:ascii="Arial Narrow" w:hAnsi="Arial Narrow" w:cs="Arial"/>
          <w:b/>
          <w:snapToGrid w:val="0"/>
          <w:sz w:val="20"/>
          <w:szCs w:val="16"/>
          <w:lang w:eastAsia="en-US"/>
        </w:rPr>
        <w:t xml:space="preserve">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1"/>
        <w:gridCol w:w="1135"/>
        <w:gridCol w:w="1303"/>
        <w:gridCol w:w="1270"/>
        <w:gridCol w:w="1112"/>
        <w:gridCol w:w="1424"/>
        <w:gridCol w:w="1110"/>
      </w:tblGrid>
      <w:tr w:rsidR="00D9063F" w:rsidRPr="00EB6EFC" w:rsidTr="005556B5">
        <w:trPr>
          <w:tblHeader/>
        </w:trPr>
        <w:tc>
          <w:tcPr>
            <w:tcW w:w="594" w:type="pct"/>
            <w:vAlign w:val="center"/>
          </w:tcPr>
          <w:p w:rsidR="00D9063F" w:rsidRPr="00EB6EFC" w:rsidRDefault="00D9063F" w:rsidP="00FD13AC">
            <w:pPr>
              <w:keepNext/>
              <w:keepLines/>
              <w:widowControl w:val="0"/>
              <w:rPr>
                <w:rFonts w:ascii="Arial Narrow" w:hAnsi="Arial Narrow" w:cs="Arial"/>
                <w:b/>
                <w:snapToGrid w:val="0"/>
                <w:sz w:val="20"/>
                <w:szCs w:val="20"/>
                <w:lang w:eastAsia="en-US"/>
              </w:rPr>
            </w:pPr>
          </w:p>
        </w:tc>
        <w:tc>
          <w:tcPr>
            <w:tcW w:w="2222" w:type="pct"/>
            <w:gridSpan w:val="3"/>
            <w:vAlign w:val="center"/>
          </w:tcPr>
          <w:p w:rsidR="00D9063F" w:rsidRPr="00EB6EFC" w:rsidRDefault="00D9063F" w:rsidP="005556B5">
            <w:pPr>
              <w:keepNext/>
              <w:keepLines/>
              <w:widowControl w:val="0"/>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Previous submission</w:t>
            </w:r>
          </w:p>
        </w:tc>
        <w:tc>
          <w:tcPr>
            <w:tcW w:w="2185" w:type="pct"/>
            <w:gridSpan w:val="3"/>
          </w:tcPr>
          <w:p w:rsidR="00D9063F" w:rsidRPr="00EB6EFC" w:rsidRDefault="00993564" w:rsidP="005556B5">
            <w:pPr>
              <w:keepNext/>
              <w:keepLines/>
              <w:widowControl w:val="0"/>
              <w:jc w:val="center"/>
              <w:rPr>
                <w:rFonts w:ascii="Arial Narrow" w:hAnsi="Arial Narrow" w:cs="Arial"/>
                <w:b/>
                <w:snapToGrid w:val="0"/>
                <w:sz w:val="20"/>
                <w:szCs w:val="20"/>
                <w:lang w:eastAsia="en-US"/>
              </w:rPr>
            </w:pPr>
            <w:r>
              <w:rPr>
                <w:rFonts w:ascii="Arial Narrow" w:hAnsi="Arial Narrow" w:cs="Arial"/>
                <w:b/>
                <w:snapToGrid w:val="0"/>
                <w:sz w:val="20"/>
                <w:szCs w:val="20"/>
                <w:lang w:eastAsia="en-US"/>
              </w:rPr>
              <w:t>Resubmission</w:t>
            </w:r>
          </w:p>
        </w:tc>
      </w:tr>
      <w:tr w:rsidR="0001651B" w:rsidRPr="00EB6EFC" w:rsidTr="005556B5">
        <w:trPr>
          <w:tblHeader/>
        </w:trPr>
        <w:tc>
          <w:tcPr>
            <w:tcW w:w="594" w:type="pct"/>
            <w:vAlign w:val="center"/>
          </w:tcPr>
          <w:p w:rsidR="0001651B" w:rsidRPr="00EB6EFC" w:rsidRDefault="0001651B" w:rsidP="00FD13AC">
            <w:pPr>
              <w:keepNext/>
              <w:keepLines/>
              <w:widowControl w:val="0"/>
              <w:rPr>
                <w:rFonts w:ascii="Arial Narrow" w:hAnsi="Arial Narrow" w:cs="Arial"/>
                <w:b/>
                <w:snapToGrid w:val="0"/>
                <w:sz w:val="20"/>
                <w:szCs w:val="20"/>
                <w:lang w:eastAsia="en-US"/>
              </w:rPr>
            </w:pPr>
          </w:p>
        </w:tc>
        <w:tc>
          <w:tcPr>
            <w:tcW w:w="680" w:type="pct"/>
            <w:vAlign w:val="center"/>
          </w:tcPr>
          <w:p w:rsidR="0001651B" w:rsidRPr="00EB6EFC" w:rsidRDefault="0001651B" w:rsidP="00331F3E">
            <w:pPr>
              <w:keepNext/>
              <w:keepLines/>
              <w:jc w:val="center"/>
              <w:rPr>
                <w:rFonts w:ascii="Arial Narrow" w:hAnsi="Arial Narrow"/>
                <w:sz w:val="20"/>
              </w:rPr>
            </w:pPr>
            <w:r w:rsidRPr="00EB6EFC">
              <w:rPr>
                <w:rFonts w:ascii="Arial Narrow" w:hAnsi="Arial Narrow"/>
                <w:b/>
                <w:sz w:val="20"/>
              </w:rPr>
              <w:t>mBCC</w:t>
            </w:r>
          </w:p>
        </w:tc>
        <w:tc>
          <w:tcPr>
            <w:tcW w:w="781" w:type="pct"/>
            <w:vAlign w:val="center"/>
          </w:tcPr>
          <w:p w:rsidR="0001651B" w:rsidRPr="00EB6EFC" w:rsidRDefault="0001651B" w:rsidP="00331F3E">
            <w:pPr>
              <w:keepNext/>
              <w:keepLines/>
              <w:jc w:val="center"/>
              <w:rPr>
                <w:rFonts w:ascii="Arial Narrow" w:hAnsi="Arial Narrow"/>
                <w:sz w:val="20"/>
              </w:rPr>
            </w:pPr>
            <w:r w:rsidRPr="00EB6EFC">
              <w:rPr>
                <w:rFonts w:ascii="Arial Narrow" w:hAnsi="Arial Narrow"/>
                <w:b/>
                <w:sz w:val="20"/>
              </w:rPr>
              <w:t>laBCC</w:t>
            </w:r>
          </w:p>
        </w:tc>
        <w:tc>
          <w:tcPr>
            <w:tcW w:w="761" w:type="pct"/>
            <w:vAlign w:val="center"/>
          </w:tcPr>
          <w:p w:rsidR="0001651B" w:rsidRPr="00EB6EFC" w:rsidRDefault="0001651B" w:rsidP="00331F3E">
            <w:pPr>
              <w:keepNext/>
              <w:keepLines/>
              <w:jc w:val="center"/>
              <w:rPr>
                <w:rFonts w:ascii="Arial Narrow" w:hAnsi="Arial Narrow"/>
                <w:b/>
                <w:sz w:val="20"/>
              </w:rPr>
            </w:pPr>
            <w:r w:rsidRPr="00EB6EFC">
              <w:rPr>
                <w:rFonts w:ascii="Arial Narrow" w:hAnsi="Arial Narrow"/>
                <w:b/>
                <w:sz w:val="20"/>
              </w:rPr>
              <w:t>All patients</w:t>
            </w:r>
          </w:p>
        </w:tc>
        <w:tc>
          <w:tcPr>
            <w:tcW w:w="666" w:type="pct"/>
            <w:vAlign w:val="center"/>
          </w:tcPr>
          <w:p w:rsidR="0001651B" w:rsidRPr="00EB6EFC" w:rsidRDefault="0001651B" w:rsidP="00331F3E">
            <w:pPr>
              <w:keepNext/>
              <w:keepLines/>
              <w:jc w:val="center"/>
              <w:rPr>
                <w:rFonts w:ascii="Arial Narrow" w:hAnsi="Arial Narrow"/>
                <w:sz w:val="20"/>
              </w:rPr>
            </w:pPr>
            <w:r w:rsidRPr="00EB6EFC">
              <w:rPr>
                <w:rFonts w:ascii="Arial Narrow" w:hAnsi="Arial Narrow"/>
                <w:b/>
                <w:sz w:val="20"/>
              </w:rPr>
              <w:t>mBCC</w:t>
            </w:r>
          </w:p>
        </w:tc>
        <w:tc>
          <w:tcPr>
            <w:tcW w:w="853" w:type="pct"/>
            <w:vAlign w:val="center"/>
          </w:tcPr>
          <w:p w:rsidR="0001651B" w:rsidRPr="00EB6EFC" w:rsidRDefault="0001651B" w:rsidP="00331F3E">
            <w:pPr>
              <w:keepNext/>
              <w:keepLines/>
              <w:jc w:val="center"/>
              <w:rPr>
                <w:rFonts w:ascii="Arial Narrow" w:hAnsi="Arial Narrow"/>
                <w:sz w:val="20"/>
              </w:rPr>
            </w:pPr>
            <w:r w:rsidRPr="00EB6EFC">
              <w:rPr>
                <w:rFonts w:ascii="Arial Narrow" w:hAnsi="Arial Narrow"/>
                <w:b/>
                <w:sz w:val="20"/>
              </w:rPr>
              <w:t>laBCC</w:t>
            </w:r>
          </w:p>
        </w:tc>
        <w:tc>
          <w:tcPr>
            <w:tcW w:w="665" w:type="pct"/>
            <w:vAlign w:val="center"/>
          </w:tcPr>
          <w:p w:rsidR="0001651B" w:rsidRPr="00EB6EFC" w:rsidRDefault="0001651B" w:rsidP="00331F3E">
            <w:pPr>
              <w:keepNext/>
              <w:keepLines/>
              <w:jc w:val="center"/>
              <w:rPr>
                <w:rFonts w:ascii="Arial Narrow" w:hAnsi="Arial Narrow"/>
                <w:b/>
                <w:sz w:val="20"/>
              </w:rPr>
            </w:pPr>
            <w:r w:rsidRPr="00EB6EFC">
              <w:rPr>
                <w:rFonts w:ascii="Arial Narrow" w:hAnsi="Arial Narrow"/>
                <w:b/>
                <w:sz w:val="20"/>
              </w:rPr>
              <w:t>All patients</w:t>
            </w:r>
          </w:p>
        </w:tc>
      </w:tr>
      <w:tr w:rsidR="005556B5" w:rsidRPr="00EB6EFC" w:rsidTr="005556B5">
        <w:trPr>
          <w:tblHeader/>
        </w:trPr>
        <w:tc>
          <w:tcPr>
            <w:tcW w:w="5000" w:type="pct"/>
            <w:gridSpan w:val="7"/>
            <w:vAlign w:val="center"/>
          </w:tcPr>
          <w:p w:rsidR="005556B5" w:rsidRPr="00EB6EFC" w:rsidRDefault="005556B5" w:rsidP="005556B5">
            <w:pPr>
              <w:keepNext/>
              <w:keepLines/>
              <w:rPr>
                <w:rFonts w:ascii="Arial Narrow" w:hAnsi="Arial Narrow"/>
                <w:b/>
                <w:sz w:val="20"/>
              </w:rPr>
            </w:pPr>
            <w:r w:rsidRPr="00EB6EFC">
              <w:rPr>
                <w:rFonts w:ascii="Arial Narrow" w:hAnsi="Arial Narrow" w:cs="Arial"/>
                <w:b/>
                <w:snapToGrid w:val="0"/>
                <w:sz w:val="20"/>
                <w:szCs w:val="16"/>
                <w:lang w:eastAsia="en-US"/>
              </w:rPr>
              <w:t>Objective response rate</w:t>
            </w:r>
            <w:r w:rsidR="006E0567" w:rsidRPr="00EB6EFC">
              <w:rPr>
                <w:rFonts w:ascii="Arial Narrow" w:hAnsi="Arial Narrow" w:cs="Arial"/>
                <w:b/>
                <w:snapToGrid w:val="0"/>
                <w:sz w:val="20"/>
                <w:szCs w:val="16"/>
                <w:lang w:eastAsia="en-US"/>
              </w:rPr>
              <w:t xml:space="preserve"> (investigator assessed)</w:t>
            </w:r>
            <w:r w:rsidRPr="00EB6EFC">
              <w:rPr>
                <w:rFonts w:ascii="Arial Narrow" w:hAnsi="Arial Narrow" w:cs="Arial"/>
                <w:b/>
                <w:snapToGrid w:val="0"/>
                <w:sz w:val="20"/>
                <w:szCs w:val="16"/>
                <w:lang w:eastAsia="en-US"/>
              </w:rPr>
              <w:t>,</w:t>
            </w:r>
            <w:r w:rsidRPr="00EB6EFC">
              <w:rPr>
                <w:rFonts w:ascii="Arial Narrow" w:hAnsi="Arial Narrow"/>
                <w:b/>
                <w:sz w:val="20"/>
              </w:rPr>
              <w:t xml:space="preserve"> n/N (%)</w:t>
            </w:r>
          </w:p>
        </w:tc>
      </w:tr>
      <w:tr w:rsidR="005556B5" w:rsidRPr="00EB6EFC" w:rsidTr="00EC36BA">
        <w:trPr>
          <w:trHeight w:val="77"/>
        </w:trPr>
        <w:tc>
          <w:tcPr>
            <w:tcW w:w="594" w:type="pct"/>
            <w:vMerge w:val="restart"/>
            <w:vAlign w:val="center"/>
          </w:tcPr>
          <w:p w:rsidR="005556B5" w:rsidRPr="00EB6EFC" w:rsidRDefault="005556B5" w:rsidP="006E0567">
            <w:pPr>
              <w:keepNext/>
              <w:keepLines/>
              <w:widowControl w:val="0"/>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 xml:space="preserve">STEVIE </w:t>
            </w:r>
          </w:p>
        </w:tc>
        <w:tc>
          <w:tcPr>
            <w:tcW w:w="2222" w:type="pct"/>
            <w:gridSpan w:val="3"/>
            <w:vAlign w:val="center"/>
          </w:tcPr>
          <w:p w:rsidR="005556B5" w:rsidRPr="00EB6EFC" w:rsidRDefault="005556B5" w:rsidP="00EC36BA">
            <w:pPr>
              <w:keepNext/>
              <w:keepLines/>
              <w:jc w:val="center"/>
              <w:rPr>
                <w:rFonts w:ascii="Arial Narrow" w:hAnsi="Arial Narrow"/>
                <w:sz w:val="20"/>
              </w:rPr>
            </w:pPr>
            <w:r w:rsidRPr="00EB6EFC">
              <w:rPr>
                <w:rFonts w:ascii="Arial Narrow" w:hAnsi="Arial Narrow" w:cs="Arial"/>
                <w:snapToGrid w:val="0"/>
                <w:sz w:val="20"/>
                <w:szCs w:val="20"/>
                <w:lang w:eastAsia="en-US"/>
              </w:rPr>
              <w:t>6 Nov</w:t>
            </w:r>
            <w:r w:rsidR="006E0567" w:rsidRPr="00EB6EFC">
              <w:rPr>
                <w:rFonts w:ascii="Arial Narrow" w:hAnsi="Arial Narrow" w:cs="Arial"/>
                <w:snapToGrid w:val="0"/>
                <w:sz w:val="20"/>
                <w:szCs w:val="20"/>
                <w:lang w:eastAsia="en-US"/>
              </w:rPr>
              <w:t>ember</w:t>
            </w:r>
            <w:r w:rsidRPr="00EB6EFC">
              <w:rPr>
                <w:rFonts w:ascii="Arial Narrow" w:hAnsi="Arial Narrow" w:cs="Arial"/>
                <w:snapToGrid w:val="0"/>
                <w:sz w:val="20"/>
                <w:szCs w:val="20"/>
                <w:lang w:eastAsia="en-US"/>
              </w:rPr>
              <w:t xml:space="preserve"> 2013 data</w:t>
            </w:r>
            <w:r w:rsidR="006E0567" w:rsidRPr="00EB6EFC">
              <w:rPr>
                <w:rFonts w:ascii="Arial Narrow" w:hAnsi="Arial Narrow" w:cs="Arial"/>
                <w:snapToGrid w:val="0"/>
                <w:sz w:val="20"/>
                <w:szCs w:val="20"/>
                <w:lang w:eastAsia="en-US"/>
              </w:rPr>
              <w:t>-</w:t>
            </w:r>
            <w:r w:rsidRPr="00EB6EFC">
              <w:rPr>
                <w:rFonts w:ascii="Arial Narrow" w:hAnsi="Arial Narrow" w:cs="Arial"/>
                <w:snapToGrid w:val="0"/>
                <w:sz w:val="20"/>
                <w:szCs w:val="20"/>
                <w:lang w:eastAsia="en-US"/>
              </w:rPr>
              <w:t>cut</w:t>
            </w:r>
          </w:p>
        </w:tc>
        <w:tc>
          <w:tcPr>
            <w:tcW w:w="2185" w:type="pct"/>
            <w:gridSpan w:val="3"/>
            <w:vAlign w:val="center"/>
          </w:tcPr>
          <w:p w:rsidR="005556B5" w:rsidRPr="00EB6EFC" w:rsidRDefault="005556B5" w:rsidP="00EC36BA">
            <w:pPr>
              <w:keepNext/>
              <w:keepLines/>
              <w:jc w:val="center"/>
              <w:rPr>
                <w:rFonts w:ascii="Arial Narrow" w:hAnsi="Arial Narrow"/>
                <w:sz w:val="20"/>
              </w:rPr>
            </w:pPr>
            <w:r w:rsidRPr="00EB6EFC">
              <w:rPr>
                <w:rFonts w:ascii="Arial Narrow" w:hAnsi="Arial Narrow" w:cs="Arial"/>
                <w:snapToGrid w:val="0"/>
                <w:sz w:val="20"/>
                <w:szCs w:val="20"/>
                <w:lang w:eastAsia="en-US"/>
              </w:rPr>
              <w:t>16 March 2015 data</w:t>
            </w:r>
            <w:r w:rsidR="006E0567" w:rsidRPr="00EB6EFC">
              <w:rPr>
                <w:rFonts w:ascii="Arial Narrow" w:hAnsi="Arial Narrow" w:cs="Arial"/>
                <w:snapToGrid w:val="0"/>
                <w:sz w:val="20"/>
                <w:szCs w:val="20"/>
                <w:lang w:eastAsia="en-US"/>
              </w:rPr>
              <w:t>-</w:t>
            </w:r>
            <w:r w:rsidRPr="00EB6EFC">
              <w:rPr>
                <w:rFonts w:ascii="Arial Narrow" w:hAnsi="Arial Narrow" w:cs="Arial"/>
                <w:snapToGrid w:val="0"/>
                <w:sz w:val="20"/>
                <w:szCs w:val="20"/>
                <w:lang w:eastAsia="en-US"/>
              </w:rPr>
              <w:t>cut</w:t>
            </w:r>
          </w:p>
        </w:tc>
      </w:tr>
      <w:tr w:rsidR="005556B5" w:rsidRPr="00EB6EFC" w:rsidTr="00EC36BA">
        <w:trPr>
          <w:trHeight w:val="77"/>
        </w:trPr>
        <w:tc>
          <w:tcPr>
            <w:tcW w:w="594" w:type="pct"/>
            <w:vMerge/>
            <w:vAlign w:val="center"/>
          </w:tcPr>
          <w:p w:rsidR="005556B5" w:rsidRPr="00EB6EFC" w:rsidRDefault="005556B5" w:rsidP="005556B5">
            <w:pPr>
              <w:keepNext/>
              <w:keepLines/>
              <w:widowControl w:val="0"/>
              <w:rPr>
                <w:rFonts w:ascii="Arial Narrow" w:hAnsi="Arial Narrow" w:cs="Arial"/>
                <w:b/>
                <w:snapToGrid w:val="0"/>
                <w:sz w:val="20"/>
                <w:szCs w:val="20"/>
                <w:lang w:eastAsia="en-US"/>
              </w:rPr>
            </w:pPr>
          </w:p>
        </w:tc>
        <w:tc>
          <w:tcPr>
            <w:tcW w:w="680" w:type="pct"/>
            <w:vAlign w:val="center"/>
          </w:tcPr>
          <w:p w:rsidR="005556B5" w:rsidRPr="00EB6EFC" w:rsidRDefault="005556B5" w:rsidP="00EC36BA">
            <w:pPr>
              <w:keepNext/>
              <w:keepLines/>
              <w:jc w:val="center"/>
              <w:rPr>
                <w:rFonts w:ascii="Arial Narrow" w:hAnsi="Arial Narrow"/>
                <w:sz w:val="20"/>
              </w:rPr>
            </w:pPr>
            <w:r w:rsidRPr="00EB6EFC">
              <w:rPr>
                <w:rFonts w:ascii="Arial Narrow" w:hAnsi="Arial Narrow"/>
                <w:sz w:val="20"/>
              </w:rPr>
              <w:t>11/29 (37.9%)</w:t>
            </w:r>
          </w:p>
        </w:tc>
        <w:tc>
          <w:tcPr>
            <w:tcW w:w="781" w:type="pct"/>
            <w:vAlign w:val="center"/>
          </w:tcPr>
          <w:p w:rsidR="005556B5" w:rsidRPr="00EB6EFC" w:rsidRDefault="005556B5" w:rsidP="00EC36BA">
            <w:pPr>
              <w:keepNext/>
              <w:keepLines/>
              <w:jc w:val="center"/>
              <w:rPr>
                <w:rFonts w:ascii="Arial Narrow" w:hAnsi="Arial Narrow"/>
                <w:sz w:val="20"/>
              </w:rPr>
            </w:pPr>
            <w:r w:rsidRPr="00EB6EFC">
              <w:rPr>
                <w:rFonts w:ascii="Arial Narrow" w:hAnsi="Arial Narrow"/>
                <w:sz w:val="20"/>
              </w:rPr>
              <w:t>302/453 (66.7%)</w:t>
            </w:r>
          </w:p>
        </w:tc>
        <w:tc>
          <w:tcPr>
            <w:tcW w:w="761" w:type="pct"/>
            <w:vAlign w:val="center"/>
          </w:tcPr>
          <w:p w:rsidR="005556B5" w:rsidRPr="00EB6EFC" w:rsidRDefault="005556B5" w:rsidP="00EC36BA">
            <w:pPr>
              <w:keepNext/>
              <w:keepLines/>
              <w:jc w:val="center"/>
              <w:rPr>
                <w:rFonts w:ascii="Arial Narrow" w:hAnsi="Arial Narrow"/>
                <w:sz w:val="20"/>
              </w:rPr>
            </w:pPr>
            <w:r w:rsidRPr="00EB6EFC">
              <w:rPr>
                <w:rFonts w:ascii="Arial Narrow" w:hAnsi="Arial Narrow"/>
                <w:sz w:val="20"/>
              </w:rPr>
              <w:t>313/482 (64.9%)</w:t>
            </w:r>
          </w:p>
        </w:tc>
        <w:tc>
          <w:tcPr>
            <w:tcW w:w="666" w:type="pct"/>
            <w:vAlign w:val="center"/>
          </w:tcPr>
          <w:p w:rsidR="005556B5" w:rsidRPr="006505A5" w:rsidRDefault="006505A5" w:rsidP="00EC36BA">
            <w:pPr>
              <w:keepNext/>
              <w:keepLines/>
              <w:jc w:val="center"/>
              <w:rPr>
                <w:rFonts w:ascii="Arial Narrow" w:hAnsi="Arial Narrow"/>
                <w:sz w:val="20"/>
                <w:highlight w:val="black"/>
              </w:rPr>
            </w:pPr>
            <w:r>
              <w:rPr>
                <w:rFonts w:ascii="Arial Narrow" w:hAnsi="Arial Narrow"/>
                <w:noProof/>
                <w:color w:val="000000"/>
                <w:sz w:val="20"/>
                <w:highlight w:val="black"/>
              </w:rPr>
              <w:t>'''''''''''''' ''''''''''''''''''</w:t>
            </w:r>
          </w:p>
        </w:tc>
        <w:tc>
          <w:tcPr>
            <w:tcW w:w="853" w:type="pct"/>
            <w:vAlign w:val="center"/>
          </w:tcPr>
          <w:p w:rsidR="005556B5" w:rsidRPr="006505A5" w:rsidRDefault="006505A5" w:rsidP="00EC36BA">
            <w:pPr>
              <w:keepNext/>
              <w:keepLines/>
              <w:jc w:val="center"/>
              <w:rPr>
                <w:rFonts w:ascii="Arial Narrow" w:hAnsi="Arial Narrow"/>
                <w:sz w:val="20"/>
                <w:highlight w:val="black"/>
              </w:rPr>
            </w:pPr>
            <w:r>
              <w:rPr>
                <w:rFonts w:ascii="Arial Narrow" w:hAnsi="Arial Narrow"/>
                <w:noProof/>
                <w:color w:val="000000"/>
                <w:sz w:val="20"/>
                <w:highlight w:val="black"/>
              </w:rPr>
              <w:t>''''''''''''''''''''''''' ''''''''''''''''''''</w:t>
            </w:r>
          </w:p>
        </w:tc>
        <w:tc>
          <w:tcPr>
            <w:tcW w:w="665" w:type="pct"/>
            <w:vAlign w:val="center"/>
          </w:tcPr>
          <w:p w:rsidR="005556B5" w:rsidRPr="006505A5" w:rsidRDefault="006505A5" w:rsidP="00EC36BA">
            <w:pPr>
              <w:keepNext/>
              <w:keepLines/>
              <w:jc w:val="center"/>
              <w:rPr>
                <w:rFonts w:ascii="Arial Narrow" w:hAnsi="Arial Narrow"/>
                <w:sz w:val="20"/>
                <w:highlight w:val="black"/>
              </w:rPr>
            </w:pPr>
            <w:r>
              <w:rPr>
                <w:rFonts w:ascii="Arial Narrow" w:hAnsi="Arial Narrow"/>
                <w:noProof/>
                <w:color w:val="000000"/>
                <w:sz w:val="20"/>
                <w:highlight w:val="black"/>
              </w:rPr>
              <w:t>'''''''''''''''''''''' '''''''''''''''''''</w:t>
            </w:r>
          </w:p>
        </w:tc>
      </w:tr>
      <w:tr w:rsidR="00522822" w:rsidRPr="00EB6EFC" w:rsidTr="00EC36BA">
        <w:trPr>
          <w:trHeight w:val="77"/>
        </w:trPr>
        <w:tc>
          <w:tcPr>
            <w:tcW w:w="594" w:type="pct"/>
            <w:vAlign w:val="center"/>
          </w:tcPr>
          <w:p w:rsidR="00522822" w:rsidRPr="00EB6EFC" w:rsidRDefault="00522822" w:rsidP="005556B5">
            <w:pPr>
              <w:keepNext/>
              <w:rPr>
                <w:rFonts w:ascii="Arial Narrow" w:hAnsi="Arial Narrow"/>
                <w:b/>
                <w:sz w:val="20"/>
              </w:rPr>
            </w:pPr>
            <w:r w:rsidRPr="00EB6EFC">
              <w:rPr>
                <w:rFonts w:ascii="Arial Narrow" w:hAnsi="Arial Narrow"/>
                <w:b/>
                <w:sz w:val="20"/>
              </w:rPr>
              <w:t>ERIVANCE</w:t>
            </w:r>
            <w:r w:rsidR="002B6CE4" w:rsidRPr="00EB6EFC">
              <w:rPr>
                <w:rFonts w:ascii="Arial Narrow" w:hAnsi="Arial Narrow"/>
                <w:b/>
                <w:sz w:val="20"/>
                <w:vertAlign w:val="superscript"/>
              </w:rPr>
              <w:t>a</w:t>
            </w:r>
          </w:p>
        </w:tc>
        <w:tc>
          <w:tcPr>
            <w:tcW w:w="680" w:type="pct"/>
            <w:vAlign w:val="center"/>
          </w:tcPr>
          <w:p w:rsidR="00522822" w:rsidRPr="00EB6EFC" w:rsidRDefault="00522822" w:rsidP="00EC36BA">
            <w:pPr>
              <w:keepNext/>
              <w:jc w:val="center"/>
              <w:rPr>
                <w:rFonts w:ascii="Arial Narrow" w:hAnsi="Arial Narrow"/>
                <w:sz w:val="20"/>
              </w:rPr>
            </w:pPr>
            <w:r w:rsidRPr="00EB6EFC">
              <w:rPr>
                <w:rFonts w:ascii="Arial Narrow" w:hAnsi="Arial Narrow"/>
                <w:sz w:val="20"/>
              </w:rPr>
              <w:t>1</w:t>
            </w:r>
            <w:r w:rsidR="002B6CE4" w:rsidRPr="00EB6EFC">
              <w:rPr>
                <w:rFonts w:ascii="Arial Narrow" w:hAnsi="Arial Narrow"/>
                <w:sz w:val="20"/>
              </w:rPr>
              <w:t>6</w:t>
            </w:r>
            <w:r w:rsidRPr="00EB6EFC">
              <w:rPr>
                <w:rFonts w:ascii="Arial Narrow" w:hAnsi="Arial Narrow"/>
                <w:sz w:val="20"/>
              </w:rPr>
              <w:t>/33 (4</w:t>
            </w:r>
            <w:r w:rsidR="002B6CE4" w:rsidRPr="00EB6EFC">
              <w:rPr>
                <w:rFonts w:ascii="Arial Narrow" w:hAnsi="Arial Narrow"/>
                <w:sz w:val="20"/>
              </w:rPr>
              <w:t>8</w:t>
            </w:r>
            <w:r w:rsidRPr="00EB6EFC">
              <w:rPr>
                <w:rFonts w:ascii="Arial Narrow" w:hAnsi="Arial Narrow"/>
                <w:sz w:val="20"/>
              </w:rPr>
              <w:t>.5</w:t>
            </w:r>
            <w:r w:rsidR="005556B5" w:rsidRPr="00EB6EFC">
              <w:rPr>
                <w:rFonts w:ascii="Arial Narrow" w:hAnsi="Arial Narrow"/>
                <w:sz w:val="20"/>
              </w:rPr>
              <w:t>%</w:t>
            </w:r>
            <w:r w:rsidRPr="00EB6EFC">
              <w:rPr>
                <w:rFonts w:ascii="Arial Narrow" w:hAnsi="Arial Narrow"/>
                <w:sz w:val="20"/>
              </w:rPr>
              <w:t>)</w:t>
            </w:r>
          </w:p>
        </w:tc>
        <w:tc>
          <w:tcPr>
            <w:tcW w:w="781" w:type="pct"/>
            <w:vAlign w:val="center"/>
          </w:tcPr>
          <w:p w:rsidR="00522822" w:rsidRPr="00EB6EFC" w:rsidRDefault="00522822" w:rsidP="00EC36BA">
            <w:pPr>
              <w:keepNext/>
              <w:jc w:val="center"/>
              <w:rPr>
                <w:rFonts w:ascii="Arial Narrow" w:hAnsi="Arial Narrow"/>
                <w:sz w:val="20"/>
              </w:rPr>
            </w:pPr>
            <w:r w:rsidRPr="00EB6EFC">
              <w:rPr>
                <w:rFonts w:ascii="Arial Narrow" w:hAnsi="Arial Narrow"/>
                <w:sz w:val="20"/>
              </w:rPr>
              <w:t>38/63 (60.3</w:t>
            </w:r>
            <w:r w:rsidR="005556B5" w:rsidRPr="00EB6EFC">
              <w:rPr>
                <w:rFonts w:ascii="Arial Narrow" w:hAnsi="Arial Narrow"/>
                <w:sz w:val="20"/>
              </w:rPr>
              <w:t>%</w:t>
            </w:r>
            <w:r w:rsidRPr="00EB6EFC">
              <w:rPr>
                <w:rFonts w:ascii="Arial Narrow" w:hAnsi="Arial Narrow"/>
                <w:sz w:val="20"/>
              </w:rPr>
              <w:t>)</w:t>
            </w:r>
          </w:p>
        </w:tc>
        <w:tc>
          <w:tcPr>
            <w:tcW w:w="761" w:type="pct"/>
            <w:vAlign w:val="center"/>
          </w:tcPr>
          <w:p w:rsidR="00522822" w:rsidRPr="00EB6EFC" w:rsidRDefault="002B6CE4" w:rsidP="00EC36BA">
            <w:pPr>
              <w:keepNext/>
              <w:jc w:val="center"/>
              <w:rPr>
                <w:rFonts w:ascii="Arial Narrow" w:hAnsi="Arial Narrow"/>
                <w:sz w:val="20"/>
              </w:rPr>
            </w:pPr>
            <w:r w:rsidRPr="00EB6EFC">
              <w:rPr>
                <w:rFonts w:ascii="Arial Narrow" w:hAnsi="Arial Narrow"/>
                <w:sz w:val="20"/>
              </w:rPr>
              <w:t>54</w:t>
            </w:r>
            <w:r w:rsidR="00522822" w:rsidRPr="00EB6EFC">
              <w:rPr>
                <w:rFonts w:ascii="Arial Narrow" w:hAnsi="Arial Narrow"/>
                <w:sz w:val="20"/>
              </w:rPr>
              <w:t>/96 (5</w:t>
            </w:r>
            <w:r w:rsidRPr="00EB6EFC">
              <w:rPr>
                <w:rFonts w:ascii="Arial Narrow" w:hAnsi="Arial Narrow"/>
                <w:sz w:val="20"/>
              </w:rPr>
              <w:t>6</w:t>
            </w:r>
            <w:r w:rsidR="00522822" w:rsidRPr="00EB6EFC">
              <w:rPr>
                <w:rFonts w:ascii="Arial Narrow" w:hAnsi="Arial Narrow"/>
                <w:sz w:val="20"/>
              </w:rPr>
              <w:t>.2</w:t>
            </w:r>
            <w:r w:rsidR="005556B5" w:rsidRPr="00EB6EFC">
              <w:rPr>
                <w:rFonts w:ascii="Arial Narrow" w:hAnsi="Arial Narrow"/>
                <w:sz w:val="20"/>
              </w:rPr>
              <w:t>%</w:t>
            </w:r>
            <w:r w:rsidR="00522822" w:rsidRPr="00EB6EFC">
              <w:rPr>
                <w:rFonts w:ascii="Arial Narrow" w:hAnsi="Arial Narrow"/>
                <w:sz w:val="20"/>
              </w:rPr>
              <w:t>)</w:t>
            </w:r>
          </w:p>
        </w:tc>
        <w:tc>
          <w:tcPr>
            <w:tcW w:w="666" w:type="pct"/>
            <w:vAlign w:val="center"/>
          </w:tcPr>
          <w:p w:rsidR="00522822" w:rsidRPr="00EB6EFC" w:rsidRDefault="005556B5" w:rsidP="00EC36BA">
            <w:pPr>
              <w:keepNext/>
              <w:keepLines/>
              <w:jc w:val="center"/>
              <w:rPr>
                <w:rFonts w:ascii="Arial Narrow" w:hAnsi="Arial Narrow"/>
                <w:sz w:val="20"/>
              </w:rPr>
            </w:pPr>
            <w:r w:rsidRPr="00EB6EFC">
              <w:rPr>
                <w:rFonts w:ascii="Arial Narrow" w:hAnsi="Arial Narrow"/>
                <w:sz w:val="20"/>
              </w:rPr>
              <w:t>-</w:t>
            </w:r>
          </w:p>
        </w:tc>
        <w:tc>
          <w:tcPr>
            <w:tcW w:w="853" w:type="pct"/>
            <w:vAlign w:val="center"/>
          </w:tcPr>
          <w:p w:rsidR="00522822" w:rsidRPr="00EB6EFC" w:rsidRDefault="005556B5" w:rsidP="00EC36BA">
            <w:pPr>
              <w:keepNext/>
              <w:keepLines/>
              <w:jc w:val="center"/>
              <w:rPr>
                <w:rFonts w:ascii="Arial Narrow" w:hAnsi="Arial Narrow"/>
                <w:sz w:val="20"/>
              </w:rPr>
            </w:pPr>
            <w:r w:rsidRPr="00EB6EFC">
              <w:rPr>
                <w:rFonts w:ascii="Arial Narrow" w:hAnsi="Arial Narrow"/>
                <w:sz w:val="20"/>
              </w:rPr>
              <w:t>-</w:t>
            </w:r>
          </w:p>
        </w:tc>
        <w:tc>
          <w:tcPr>
            <w:tcW w:w="665" w:type="pct"/>
            <w:vAlign w:val="center"/>
          </w:tcPr>
          <w:p w:rsidR="00522822" w:rsidRPr="00EB6EFC" w:rsidRDefault="005556B5" w:rsidP="00EC36BA">
            <w:pPr>
              <w:keepNext/>
              <w:keepLines/>
              <w:jc w:val="center"/>
              <w:rPr>
                <w:rFonts w:ascii="Arial Narrow" w:hAnsi="Arial Narrow"/>
                <w:sz w:val="20"/>
              </w:rPr>
            </w:pPr>
            <w:r w:rsidRPr="00EB6EFC">
              <w:rPr>
                <w:rFonts w:ascii="Arial Narrow" w:hAnsi="Arial Narrow"/>
                <w:sz w:val="20"/>
              </w:rPr>
              <w:t>-</w:t>
            </w:r>
          </w:p>
        </w:tc>
      </w:tr>
      <w:tr w:rsidR="00522822" w:rsidRPr="00EB6EFC" w:rsidTr="00EC36BA">
        <w:trPr>
          <w:trHeight w:val="77"/>
        </w:trPr>
        <w:tc>
          <w:tcPr>
            <w:tcW w:w="594" w:type="pct"/>
            <w:vAlign w:val="center"/>
          </w:tcPr>
          <w:p w:rsidR="00522822" w:rsidRPr="00EB6EFC" w:rsidRDefault="00522822" w:rsidP="002B6CE4">
            <w:pPr>
              <w:keepNext/>
              <w:rPr>
                <w:rFonts w:ascii="Arial Narrow" w:hAnsi="Arial Narrow"/>
                <w:b/>
                <w:sz w:val="20"/>
              </w:rPr>
            </w:pPr>
            <w:r w:rsidRPr="00EB6EFC">
              <w:rPr>
                <w:rFonts w:ascii="Arial Narrow" w:hAnsi="Arial Narrow"/>
                <w:b/>
                <w:sz w:val="20"/>
              </w:rPr>
              <w:t xml:space="preserve">Chang </w:t>
            </w:r>
            <w:r w:rsidRPr="00EB6EFC">
              <w:rPr>
                <w:rFonts w:ascii="Arial Narrow" w:hAnsi="Arial Narrow"/>
                <w:b/>
                <w:i/>
                <w:sz w:val="20"/>
              </w:rPr>
              <w:t>et al</w:t>
            </w:r>
            <w:r w:rsidRPr="00EB6EFC">
              <w:rPr>
                <w:rFonts w:ascii="Arial Narrow" w:hAnsi="Arial Narrow"/>
                <w:b/>
                <w:sz w:val="20"/>
              </w:rPr>
              <w:t xml:space="preserve"> 2014 </w:t>
            </w:r>
            <w:r w:rsidR="002B6CE4" w:rsidRPr="00EB6EFC">
              <w:rPr>
                <w:rFonts w:ascii="Arial Narrow" w:hAnsi="Arial Narrow"/>
                <w:b/>
                <w:sz w:val="20"/>
                <w:vertAlign w:val="superscript"/>
              </w:rPr>
              <w:t>b</w:t>
            </w:r>
          </w:p>
        </w:tc>
        <w:tc>
          <w:tcPr>
            <w:tcW w:w="680" w:type="pct"/>
            <w:vAlign w:val="center"/>
          </w:tcPr>
          <w:p w:rsidR="00522822" w:rsidRPr="00EB6EFC" w:rsidRDefault="00522822" w:rsidP="00EC36BA">
            <w:pPr>
              <w:pStyle w:val="TableText0"/>
              <w:spacing w:before="0" w:after="0"/>
              <w:ind w:left="-22"/>
              <w:jc w:val="center"/>
              <w:rPr>
                <w:rFonts w:ascii="Arial Narrow" w:hAnsi="Arial Narrow"/>
              </w:rPr>
            </w:pPr>
            <w:r w:rsidRPr="00EB6EFC">
              <w:rPr>
                <w:rFonts w:ascii="Arial Narrow" w:hAnsi="Arial Narrow"/>
              </w:rPr>
              <w:t>12/39 (30.8</w:t>
            </w:r>
            <w:r w:rsidR="005556B5" w:rsidRPr="00EB6EFC">
              <w:rPr>
                <w:rFonts w:ascii="Arial Narrow" w:hAnsi="Arial Narrow"/>
              </w:rPr>
              <w:t>%</w:t>
            </w:r>
            <w:r w:rsidRPr="00EB6EFC">
              <w:rPr>
                <w:rFonts w:ascii="Arial Narrow" w:hAnsi="Arial Narrow"/>
              </w:rPr>
              <w:t>)</w:t>
            </w:r>
          </w:p>
        </w:tc>
        <w:tc>
          <w:tcPr>
            <w:tcW w:w="781" w:type="pct"/>
            <w:vAlign w:val="center"/>
          </w:tcPr>
          <w:p w:rsidR="00522822" w:rsidRPr="00EB6EFC" w:rsidRDefault="00522822" w:rsidP="00EC36BA">
            <w:pPr>
              <w:pStyle w:val="TableText0"/>
              <w:spacing w:before="0" w:after="0"/>
              <w:ind w:left="-22"/>
              <w:jc w:val="center"/>
              <w:rPr>
                <w:rFonts w:ascii="Arial Narrow" w:hAnsi="Arial Narrow"/>
              </w:rPr>
            </w:pPr>
            <w:r w:rsidRPr="00EB6EFC">
              <w:rPr>
                <w:rFonts w:ascii="Arial Narrow" w:hAnsi="Arial Narrow"/>
              </w:rPr>
              <w:t>26/56 (46.4</w:t>
            </w:r>
            <w:r w:rsidR="005556B5" w:rsidRPr="00EB6EFC">
              <w:rPr>
                <w:rFonts w:ascii="Arial Narrow" w:hAnsi="Arial Narrow"/>
              </w:rPr>
              <w:t>%</w:t>
            </w:r>
            <w:r w:rsidRPr="00EB6EFC">
              <w:rPr>
                <w:rFonts w:ascii="Arial Narrow" w:hAnsi="Arial Narrow"/>
              </w:rPr>
              <w:t>)</w:t>
            </w:r>
          </w:p>
        </w:tc>
        <w:tc>
          <w:tcPr>
            <w:tcW w:w="761" w:type="pct"/>
            <w:vAlign w:val="center"/>
          </w:tcPr>
          <w:p w:rsidR="00522822" w:rsidRPr="00EB6EFC" w:rsidRDefault="00522822" w:rsidP="00EC36BA">
            <w:pPr>
              <w:pStyle w:val="TableText0"/>
              <w:spacing w:before="0" w:after="0"/>
              <w:ind w:left="-22"/>
              <w:jc w:val="center"/>
              <w:rPr>
                <w:rFonts w:ascii="Arial Narrow" w:hAnsi="Arial Narrow"/>
              </w:rPr>
            </w:pPr>
            <w:r w:rsidRPr="00EB6EFC">
              <w:rPr>
                <w:rFonts w:ascii="Arial Narrow" w:hAnsi="Arial Narrow"/>
              </w:rPr>
              <w:t>38/95 (40.0</w:t>
            </w:r>
            <w:r w:rsidR="005556B5" w:rsidRPr="00EB6EFC">
              <w:rPr>
                <w:rFonts w:ascii="Arial Narrow" w:hAnsi="Arial Narrow"/>
              </w:rPr>
              <w:t>%</w:t>
            </w:r>
            <w:r w:rsidRPr="00EB6EFC">
              <w:rPr>
                <w:rFonts w:ascii="Arial Narrow" w:hAnsi="Arial Narrow"/>
              </w:rPr>
              <w:t>)</w:t>
            </w:r>
          </w:p>
        </w:tc>
        <w:tc>
          <w:tcPr>
            <w:tcW w:w="666" w:type="pct"/>
            <w:vAlign w:val="center"/>
          </w:tcPr>
          <w:p w:rsidR="00522822" w:rsidRPr="00EB6EFC" w:rsidRDefault="005556B5" w:rsidP="00EC36BA">
            <w:pPr>
              <w:keepNext/>
              <w:keepLines/>
              <w:jc w:val="center"/>
              <w:rPr>
                <w:rFonts w:ascii="Arial Narrow" w:hAnsi="Arial Narrow"/>
                <w:sz w:val="20"/>
              </w:rPr>
            </w:pPr>
            <w:r w:rsidRPr="00EB6EFC">
              <w:rPr>
                <w:rFonts w:ascii="Arial Narrow" w:hAnsi="Arial Narrow"/>
                <w:sz w:val="20"/>
              </w:rPr>
              <w:t>-</w:t>
            </w:r>
          </w:p>
        </w:tc>
        <w:tc>
          <w:tcPr>
            <w:tcW w:w="853" w:type="pct"/>
            <w:vAlign w:val="center"/>
          </w:tcPr>
          <w:p w:rsidR="00522822" w:rsidRPr="00EB6EFC" w:rsidRDefault="005556B5" w:rsidP="00EC36BA">
            <w:pPr>
              <w:keepNext/>
              <w:keepLines/>
              <w:jc w:val="center"/>
              <w:rPr>
                <w:rFonts w:ascii="Arial Narrow" w:hAnsi="Arial Narrow"/>
                <w:sz w:val="20"/>
              </w:rPr>
            </w:pPr>
            <w:r w:rsidRPr="00EB6EFC">
              <w:rPr>
                <w:rFonts w:ascii="Arial Narrow" w:hAnsi="Arial Narrow"/>
                <w:sz w:val="20"/>
              </w:rPr>
              <w:t>-</w:t>
            </w:r>
          </w:p>
        </w:tc>
        <w:tc>
          <w:tcPr>
            <w:tcW w:w="665" w:type="pct"/>
            <w:vAlign w:val="center"/>
          </w:tcPr>
          <w:p w:rsidR="00522822" w:rsidRPr="00EB6EFC" w:rsidRDefault="005556B5" w:rsidP="00EC36BA">
            <w:pPr>
              <w:keepNext/>
              <w:keepLines/>
              <w:jc w:val="center"/>
              <w:rPr>
                <w:rFonts w:ascii="Arial Narrow" w:hAnsi="Arial Narrow"/>
                <w:sz w:val="20"/>
              </w:rPr>
            </w:pPr>
            <w:r w:rsidRPr="00EB6EFC">
              <w:rPr>
                <w:rFonts w:ascii="Arial Narrow" w:hAnsi="Arial Narrow"/>
                <w:sz w:val="20"/>
              </w:rPr>
              <w:t>-</w:t>
            </w:r>
          </w:p>
        </w:tc>
      </w:tr>
    </w:tbl>
    <w:p w:rsidR="00D9063F" w:rsidRPr="008C2C86" w:rsidRDefault="00D9063F" w:rsidP="00FD13AC">
      <w:pPr>
        <w:keepNext/>
        <w:keepLines/>
        <w:widowControl w:val="0"/>
        <w:ind w:firstLine="720"/>
        <w:jc w:val="both"/>
        <w:rPr>
          <w:rFonts w:ascii="Arial Narrow" w:hAnsi="Arial Narrow" w:cs="Arial"/>
          <w:snapToGrid w:val="0"/>
          <w:sz w:val="18"/>
          <w:szCs w:val="20"/>
          <w:lang w:eastAsia="en-US"/>
        </w:rPr>
      </w:pPr>
      <w:r w:rsidRPr="008C2C86">
        <w:rPr>
          <w:rFonts w:ascii="Arial Narrow" w:hAnsi="Arial Narrow" w:cs="Arial"/>
          <w:snapToGrid w:val="0"/>
          <w:sz w:val="18"/>
          <w:szCs w:val="20"/>
          <w:lang w:eastAsia="en-US"/>
        </w:rPr>
        <w:t xml:space="preserve">Source: </w:t>
      </w:r>
      <w:r w:rsidR="0001651B" w:rsidRPr="008C2C86">
        <w:rPr>
          <w:rFonts w:ascii="Arial Narrow" w:hAnsi="Arial Narrow" w:cs="Arial"/>
          <w:snapToGrid w:val="0"/>
          <w:sz w:val="18"/>
          <w:szCs w:val="20"/>
          <w:lang w:eastAsia="en-US"/>
        </w:rPr>
        <w:t xml:space="preserve">Table A.2, p2 of the </w:t>
      </w:r>
      <w:r w:rsidR="00993564">
        <w:rPr>
          <w:rFonts w:ascii="Arial Narrow" w:hAnsi="Arial Narrow" w:cs="Arial"/>
          <w:snapToGrid w:val="0"/>
          <w:sz w:val="18"/>
          <w:szCs w:val="20"/>
          <w:lang w:eastAsia="en-US"/>
        </w:rPr>
        <w:t>resubmission</w:t>
      </w:r>
      <w:r w:rsidR="0001651B" w:rsidRPr="008C2C86">
        <w:rPr>
          <w:rFonts w:ascii="Arial Narrow" w:hAnsi="Arial Narrow" w:cs="Arial"/>
          <w:snapToGrid w:val="0"/>
          <w:sz w:val="18"/>
          <w:szCs w:val="20"/>
          <w:lang w:eastAsia="en-US"/>
        </w:rPr>
        <w:t xml:space="preserve">; </w:t>
      </w:r>
      <w:r w:rsidRPr="008C2C86">
        <w:rPr>
          <w:rFonts w:ascii="Arial Narrow" w:hAnsi="Arial Narrow" w:cs="Arial"/>
          <w:snapToGrid w:val="0"/>
          <w:sz w:val="18"/>
          <w:szCs w:val="20"/>
          <w:lang w:eastAsia="en-US"/>
        </w:rPr>
        <w:t xml:space="preserve">Table 3 of </w:t>
      </w:r>
      <w:r w:rsidR="00AE59E3" w:rsidRPr="008C2C86">
        <w:rPr>
          <w:rFonts w:ascii="Arial Narrow" w:hAnsi="Arial Narrow" w:cs="Arial"/>
          <w:snapToGrid w:val="0"/>
          <w:sz w:val="18"/>
          <w:szCs w:val="20"/>
          <w:lang w:eastAsia="en-US"/>
        </w:rPr>
        <w:t xml:space="preserve">the March 2016 </w:t>
      </w:r>
      <w:r w:rsidR="00C60F56">
        <w:rPr>
          <w:rFonts w:ascii="Arial Narrow" w:hAnsi="Arial Narrow" w:cs="Arial"/>
          <w:snapToGrid w:val="0"/>
          <w:sz w:val="18"/>
          <w:szCs w:val="20"/>
          <w:lang w:eastAsia="en-US"/>
        </w:rPr>
        <w:t>PBAC PSD</w:t>
      </w:r>
    </w:p>
    <w:p w:rsidR="0013671E" w:rsidRPr="00EB6EFC" w:rsidRDefault="008B1E1F" w:rsidP="00FD13AC">
      <w:pPr>
        <w:keepNext/>
        <w:keepLines/>
        <w:widowControl w:val="0"/>
        <w:ind w:left="720"/>
        <w:jc w:val="both"/>
        <w:rPr>
          <w:rFonts w:ascii="Arial Narrow" w:hAnsi="Arial Narrow" w:cs="Arial"/>
          <w:snapToGrid w:val="0"/>
          <w:sz w:val="18"/>
          <w:szCs w:val="20"/>
          <w:lang w:eastAsia="en-US"/>
        </w:rPr>
      </w:pPr>
      <w:r w:rsidRPr="00EB6EFC">
        <w:rPr>
          <w:rFonts w:ascii="Arial Narrow" w:hAnsi="Arial Narrow" w:cs="Arial"/>
          <w:snapToGrid w:val="0"/>
          <w:sz w:val="18"/>
          <w:szCs w:val="20"/>
          <w:lang w:eastAsia="en-US"/>
        </w:rPr>
        <w:t xml:space="preserve">laBCC = locally advanced BCC; </w:t>
      </w:r>
      <w:r w:rsidR="00E632A3">
        <w:rPr>
          <w:rFonts w:ascii="Arial Narrow" w:hAnsi="Arial Narrow" w:cs="Arial"/>
          <w:snapToGrid w:val="0"/>
          <w:sz w:val="18"/>
          <w:szCs w:val="20"/>
          <w:lang w:eastAsia="en-US"/>
        </w:rPr>
        <w:t>mBCC = metastatic BCC</w:t>
      </w:r>
    </w:p>
    <w:p w:rsidR="002B6CE4" w:rsidRPr="00EB6EFC" w:rsidRDefault="002B6CE4" w:rsidP="00FD13AC">
      <w:pPr>
        <w:keepNext/>
        <w:keepLines/>
        <w:widowControl w:val="0"/>
        <w:ind w:left="720"/>
        <w:jc w:val="both"/>
        <w:rPr>
          <w:rFonts w:ascii="Arial Narrow" w:hAnsi="Arial Narrow" w:cs="Arial"/>
          <w:snapToGrid w:val="0"/>
          <w:sz w:val="18"/>
          <w:szCs w:val="20"/>
          <w:lang w:eastAsia="en-US"/>
        </w:rPr>
      </w:pPr>
      <w:r w:rsidRPr="00EB6EFC">
        <w:rPr>
          <w:rFonts w:ascii="Arial Narrow" w:hAnsi="Arial Narrow" w:cs="Arial"/>
          <w:snapToGrid w:val="0"/>
          <w:sz w:val="18"/>
          <w:szCs w:val="20"/>
          <w:vertAlign w:val="superscript"/>
          <w:lang w:eastAsia="en-US"/>
        </w:rPr>
        <w:t>a</w:t>
      </w:r>
      <w:r w:rsidRPr="00EB6EFC">
        <w:rPr>
          <w:rFonts w:ascii="Arial Narrow" w:hAnsi="Arial Narrow" w:cs="Arial"/>
          <w:snapToGrid w:val="0"/>
          <w:sz w:val="18"/>
          <w:szCs w:val="20"/>
          <w:lang w:eastAsia="en-US"/>
        </w:rPr>
        <w:t xml:space="preserve"> Based on the 30 month update, which was provided in the previous submission</w:t>
      </w:r>
    </w:p>
    <w:p w:rsidR="004F5014" w:rsidRPr="00EB6EFC" w:rsidRDefault="002B6CE4" w:rsidP="00FD13AC">
      <w:pPr>
        <w:keepNext/>
        <w:keepLines/>
        <w:widowControl w:val="0"/>
        <w:ind w:left="720"/>
        <w:jc w:val="both"/>
        <w:rPr>
          <w:rFonts w:ascii="Arial Narrow" w:hAnsi="Arial Narrow" w:cs="Arial"/>
          <w:snapToGrid w:val="0"/>
          <w:sz w:val="18"/>
          <w:szCs w:val="20"/>
          <w:lang w:eastAsia="en-US"/>
        </w:rPr>
      </w:pPr>
      <w:r w:rsidRPr="00EB6EFC">
        <w:rPr>
          <w:rFonts w:ascii="Arial Narrow" w:hAnsi="Arial Narrow" w:cs="Arial"/>
          <w:snapToGrid w:val="0"/>
          <w:sz w:val="18"/>
          <w:szCs w:val="20"/>
          <w:vertAlign w:val="superscript"/>
          <w:lang w:eastAsia="en-US"/>
        </w:rPr>
        <w:t>b</w:t>
      </w:r>
      <w:r w:rsidR="00522822" w:rsidRPr="00EB6EFC">
        <w:rPr>
          <w:rFonts w:ascii="Arial Narrow" w:hAnsi="Arial Narrow" w:cs="Arial"/>
          <w:snapToGrid w:val="0"/>
          <w:sz w:val="18"/>
          <w:szCs w:val="20"/>
          <w:lang w:eastAsia="en-US"/>
        </w:rPr>
        <w:t xml:space="preserve"> Investigator assessed for a median follow up of 6.5 months due to early ending of the trial</w:t>
      </w:r>
    </w:p>
    <w:p w:rsidR="00E64057" w:rsidRPr="00EB6EFC" w:rsidRDefault="00E64057" w:rsidP="00E64057">
      <w:pPr>
        <w:widowControl w:val="0"/>
        <w:ind w:left="720"/>
        <w:contextualSpacing/>
        <w:jc w:val="both"/>
        <w:rPr>
          <w:szCs w:val="22"/>
        </w:rPr>
      </w:pPr>
    </w:p>
    <w:p w:rsidR="00D40640" w:rsidRPr="00EB6EFC" w:rsidRDefault="00E64057" w:rsidP="00E64057">
      <w:pPr>
        <w:widowControl w:val="0"/>
        <w:numPr>
          <w:ilvl w:val="1"/>
          <w:numId w:val="5"/>
        </w:numPr>
        <w:contextualSpacing/>
        <w:jc w:val="both"/>
        <w:rPr>
          <w:szCs w:val="22"/>
        </w:rPr>
      </w:pPr>
      <w:r w:rsidRPr="00EB6EFC">
        <w:rPr>
          <w:szCs w:val="22"/>
        </w:rPr>
        <w:t xml:space="preserve">The </w:t>
      </w:r>
      <w:r w:rsidR="001F58B9" w:rsidRPr="00EB6EFC">
        <w:rPr>
          <w:szCs w:val="22"/>
        </w:rPr>
        <w:t xml:space="preserve">vismodegib </w:t>
      </w:r>
      <w:r w:rsidRPr="00EB6EFC">
        <w:rPr>
          <w:szCs w:val="22"/>
        </w:rPr>
        <w:t xml:space="preserve">overall response rate in the updated </w:t>
      </w:r>
      <w:r w:rsidR="005556B5" w:rsidRPr="00EB6EFC">
        <w:rPr>
          <w:szCs w:val="22"/>
        </w:rPr>
        <w:t xml:space="preserve">STEVIE </w:t>
      </w:r>
      <w:r w:rsidRPr="00EB6EFC">
        <w:rPr>
          <w:szCs w:val="22"/>
        </w:rPr>
        <w:t xml:space="preserve">data-cut was </w:t>
      </w:r>
      <w:r w:rsidR="006505A5">
        <w:rPr>
          <w:noProof/>
          <w:color w:val="000000"/>
          <w:szCs w:val="22"/>
          <w:highlight w:val="black"/>
        </w:rPr>
        <w:t>''''''''''''''''''</w:t>
      </w:r>
      <w:r w:rsidRPr="00EB6EFC">
        <w:rPr>
          <w:szCs w:val="22"/>
        </w:rPr>
        <w:t xml:space="preserve"> </w:t>
      </w:r>
      <w:r w:rsidR="0053692B" w:rsidRPr="00EB6EFC">
        <w:rPr>
          <w:szCs w:val="22"/>
        </w:rPr>
        <w:t xml:space="preserve">versus 64.9% </w:t>
      </w:r>
      <w:r w:rsidR="00475D87" w:rsidRPr="00EB6EFC">
        <w:rPr>
          <w:szCs w:val="22"/>
        </w:rPr>
        <w:t xml:space="preserve">reported in the previous </w:t>
      </w:r>
      <w:r w:rsidR="0053692B" w:rsidRPr="00EB6EFC">
        <w:rPr>
          <w:szCs w:val="22"/>
        </w:rPr>
        <w:t>data-cut</w:t>
      </w:r>
      <w:r w:rsidRPr="00EB6EFC">
        <w:rPr>
          <w:szCs w:val="22"/>
        </w:rPr>
        <w:t>.</w:t>
      </w:r>
    </w:p>
    <w:p w:rsidR="00D40640" w:rsidRPr="00EB6EFC" w:rsidRDefault="00D40640" w:rsidP="00D40640">
      <w:pPr>
        <w:widowControl w:val="0"/>
        <w:ind w:left="720"/>
        <w:contextualSpacing/>
        <w:jc w:val="both"/>
        <w:rPr>
          <w:szCs w:val="22"/>
        </w:rPr>
      </w:pPr>
    </w:p>
    <w:p w:rsidR="006E0567" w:rsidRPr="00EB6EFC" w:rsidRDefault="00D40640" w:rsidP="00E64057">
      <w:pPr>
        <w:widowControl w:val="0"/>
        <w:numPr>
          <w:ilvl w:val="1"/>
          <w:numId w:val="5"/>
        </w:numPr>
        <w:contextualSpacing/>
        <w:jc w:val="both"/>
        <w:rPr>
          <w:szCs w:val="22"/>
        </w:rPr>
      </w:pPr>
      <w:r w:rsidRPr="00EB6EFC">
        <w:rPr>
          <w:szCs w:val="22"/>
        </w:rPr>
        <w:t>T</w:t>
      </w:r>
      <w:r w:rsidR="00C979EA" w:rsidRPr="00EB6EFC">
        <w:rPr>
          <w:szCs w:val="22"/>
        </w:rPr>
        <w:t xml:space="preserve">he March 2016 PBAC considered that the most plausible estimate </w:t>
      </w:r>
      <w:r w:rsidRPr="00EB6EFC">
        <w:rPr>
          <w:szCs w:val="22"/>
        </w:rPr>
        <w:t xml:space="preserve">of the vismodegib overall response rate </w:t>
      </w:r>
      <w:r w:rsidR="0053692B" w:rsidRPr="00EB6EFC">
        <w:rPr>
          <w:szCs w:val="22"/>
        </w:rPr>
        <w:t>was</w:t>
      </w:r>
      <w:r w:rsidR="00C979EA" w:rsidRPr="00EB6EFC">
        <w:rPr>
          <w:szCs w:val="22"/>
        </w:rPr>
        <w:t xml:space="preserve"> 50%</w:t>
      </w:r>
      <w:r w:rsidR="00B95A1C">
        <w:rPr>
          <w:szCs w:val="22"/>
        </w:rPr>
        <w:t>, which was a key par</w:t>
      </w:r>
      <w:r w:rsidR="00CF11E5">
        <w:rPr>
          <w:szCs w:val="22"/>
        </w:rPr>
        <w:t xml:space="preserve">ameter on which the </w:t>
      </w:r>
      <w:r w:rsidR="00CF11E5">
        <w:rPr>
          <w:szCs w:val="22"/>
        </w:rPr>
        <w:lastRenderedPageBreak/>
        <w:t>PBAC based</w:t>
      </w:r>
      <w:r w:rsidR="00B95A1C">
        <w:rPr>
          <w:szCs w:val="22"/>
        </w:rPr>
        <w:t xml:space="preserve"> its recommendation</w:t>
      </w:r>
      <w:r w:rsidR="00C979EA" w:rsidRPr="00EB6EFC">
        <w:rPr>
          <w:szCs w:val="22"/>
        </w:rPr>
        <w:t xml:space="preserve">. </w:t>
      </w:r>
      <w:r w:rsidR="006E0567" w:rsidRPr="00EB6EFC">
        <w:rPr>
          <w:szCs w:val="22"/>
        </w:rPr>
        <w:t xml:space="preserve">The </w:t>
      </w:r>
      <w:r w:rsidR="00993564">
        <w:rPr>
          <w:szCs w:val="22"/>
        </w:rPr>
        <w:t>resubmission</w:t>
      </w:r>
      <w:r w:rsidR="006E0567" w:rsidRPr="00EB6EFC">
        <w:rPr>
          <w:szCs w:val="22"/>
        </w:rPr>
        <w:t xml:space="preserve"> argued that the rate used in the previous submission was supported by more recent data from the STEVIE study and also that the rate proposed by the PBAC was not based on clinical evidence.</w:t>
      </w:r>
      <w:r w:rsidR="00527B1E" w:rsidRPr="00EB6EFC">
        <w:rPr>
          <w:szCs w:val="22"/>
        </w:rPr>
        <w:t xml:space="preserve"> Therefore</w:t>
      </w:r>
      <w:r w:rsidR="00EB65B3" w:rsidRPr="00EB6EFC">
        <w:rPr>
          <w:szCs w:val="22"/>
        </w:rPr>
        <w:t>,</w:t>
      </w:r>
      <w:r w:rsidR="00527B1E" w:rsidRPr="00EB6EFC">
        <w:rPr>
          <w:szCs w:val="22"/>
        </w:rPr>
        <w:t xml:space="preserve"> the </w:t>
      </w:r>
      <w:r w:rsidR="00993564">
        <w:rPr>
          <w:szCs w:val="22"/>
        </w:rPr>
        <w:t>resubmission</w:t>
      </w:r>
      <w:r w:rsidR="00527B1E" w:rsidRPr="00EB6EFC">
        <w:rPr>
          <w:szCs w:val="22"/>
        </w:rPr>
        <w:t xml:space="preserve"> maintained the vismodegib response rate </w:t>
      </w:r>
      <w:r w:rsidRPr="00EB6EFC">
        <w:rPr>
          <w:szCs w:val="22"/>
        </w:rPr>
        <w:t xml:space="preserve">in the economic model </w:t>
      </w:r>
      <w:r w:rsidR="00527B1E" w:rsidRPr="00EB6EFC">
        <w:rPr>
          <w:szCs w:val="22"/>
        </w:rPr>
        <w:t>at 64.9%, rather than 50% as recommended by the March 2016 PBAC.</w:t>
      </w:r>
    </w:p>
    <w:p w:rsidR="00527B1E" w:rsidRPr="00EB6EFC" w:rsidRDefault="00527B1E" w:rsidP="00527B1E">
      <w:pPr>
        <w:widowControl w:val="0"/>
        <w:ind w:left="720"/>
        <w:contextualSpacing/>
        <w:jc w:val="both"/>
        <w:rPr>
          <w:szCs w:val="22"/>
        </w:rPr>
      </w:pPr>
    </w:p>
    <w:p w:rsidR="007528BB" w:rsidRPr="00EB6EFC" w:rsidRDefault="0041526D" w:rsidP="00E64057">
      <w:pPr>
        <w:widowControl w:val="0"/>
        <w:numPr>
          <w:ilvl w:val="1"/>
          <w:numId w:val="5"/>
        </w:numPr>
        <w:contextualSpacing/>
        <w:jc w:val="both"/>
        <w:rPr>
          <w:szCs w:val="22"/>
        </w:rPr>
      </w:pPr>
      <w:r w:rsidRPr="00176FFA">
        <w:rPr>
          <w:szCs w:val="22"/>
        </w:rPr>
        <w:t>While th</w:t>
      </w:r>
      <w:r w:rsidR="00062140" w:rsidRPr="00176FFA">
        <w:rPr>
          <w:szCs w:val="22"/>
        </w:rPr>
        <w:t>e updated STEVIE data</w:t>
      </w:r>
      <w:r w:rsidRPr="00176FFA">
        <w:rPr>
          <w:szCs w:val="22"/>
        </w:rPr>
        <w:t xml:space="preserve"> </w:t>
      </w:r>
      <w:r w:rsidR="00062140" w:rsidRPr="00176FFA">
        <w:rPr>
          <w:szCs w:val="22"/>
        </w:rPr>
        <w:t>wa</w:t>
      </w:r>
      <w:r w:rsidRPr="00176FFA">
        <w:rPr>
          <w:szCs w:val="22"/>
        </w:rPr>
        <w:t xml:space="preserve">s based on </w:t>
      </w:r>
      <w:r w:rsidR="00062140" w:rsidRPr="00176FFA">
        <w:rPr>
          <w:szCs w:val="22"/>
        </w:rPr>
        <w:t>more</w:t>
      </w:r>
      <w:r w:rsidRPr="00176FFA">
        <w:rPr>
          <w:szCs w:val="22"/>
        </w:rPr>
        <w:t xml:space="preserve"> patients</w:t>
      </w:r>
      <w:r w:rsidR="007528BB" w:rsidRPr="00176FFA">
        <w:rPr>
          <w:szCs w:val="22"/>
        </w:rPr>
        <w:t xml:space="preserve"> than previous</w:t>
      </w:r>
      <w:r w:rsidR="00062140" w:rsidRPr="00176FFA">
        <w:rPr>
          <w:szCs w:val="22"/>
        </w:rPr>
        <w:t>ly</w:t>
      </w:r>
      <w:r w:rsidR="007528BB" w:rsidRPr="00176FFA">
        <w:rPr>
          <w:szCs w:val="22"/>
        </w:rPr>
        <w:t>,</w:t>
      </w:r>
      <w:r w:rsidRPr="00176FFA">
        <w:rPr>
          <w:szCs w:val="22"/>
        </w:rPr>
        <w:t xml:space="preserve"> </w:t>
      </w:r>
      <w:r w:rsidR="00062140" w:rsidRPr="00176FFA">
        <w:rPr>
          <w:szCs w:val="22"/>
        </w:rPr>
        <w:t>it</w:t>
      </w:r>
      <w:r w:rsidRPr="00176FFA">
        <w:rPr>
          <w:szCs w:val="22"/>
        </w:rPr>
        <w:t xml:space="preserve"> </w:t>
      </w:r>
      <w:r w:rsidR="00365B74" w:rsidRPr="00176FFA">
        <w:rPr>
          <w:szCs w:val="22"/>
        </w:rPr>
        <w:t xml:space="preserve">did </w:t>
      </w:r>
      <w:r w:rsidRPr="00176FFA">
        <w:rPr>
          <w:szCs w:val="22"/>
        </w:rPr>
        <w:t xml:space="preserve">not </w:t>
      </w:r>
      <w:r w:rsidR="007528BB" w:rsidRPr="00176FFA">
        <w:rPr>
          <w:szCs w:val="22"/>
        </w:rPr>
        <w:t xml:space="preserve">address the </w:t>
      </w:r>
      <w:r w:rsidR="001F58B9" w:rsidRPr="00176FFA">
        <w:rPr>
          <w:szCs w:val="22"/>
        </w:rPr>
        <w:t xml:space="preserve">March 2016 </w:t>
      </w:r>
      <w:r w:rsidR="007528BB" w:rsidRPr="00176FFA">
        <w:rPr>
          <w:szCs w:val="22"/>
        </w:rPr>
        <w:t xml:space="preserve">PBAC’s concerns </w:t>
      </w:r>
      <w:r w:rsidR="00062140" w:rsidRPr="00176FFA">
        <w:rPr>
          <w:szCs w:val="22"/>
        </w:rPr>
        <w:t>about</w:t>
      </w:r>
      <w:r w:rsidR="007528BB" w:rsidRPr="00176FFA">
        <w:rPr>
          <w:szCs w:val="22"/>
        </w:rPr>
        <w:t xml:space="preserve"> </w:t>
      </w:r>
      <w:r w:rsidR="006E0567" w:rsidRPr="00176FFA">
        <w:rPr>
          <w:szCs w:val="22"/>
        </w:rPr>
        <w:t>rely</w:t>
      </w:r>
      <w:r w:rsidR="007528BB" w:rsidRPr="00176FFA">
        <w:rPr>
          <w:szCs w:val="22"/>
        </w:rPr>
        <w:t xml:space="preserve">ing only </w:t>
      </w:r>
      <w:r w:rsidR="006E0567" w:rsidRPr="00176FFA">
        <w:rPr>
          <w:szCs w:val="22"/>
        </w:rPr>
        <w:t xml:space="preserve">on </w:t>
      </w:r>
      <w:r w:rsidR="007528BB" w:rsidRPr="00176FFA">
        <w:rPr>
          <w:szCs w:val="22"/>
        </w:rPr>
        <w:t>the STEVIE</w:t>
      </w:r>
      <w:r w:rsidR="006E0567" w:rsidRPr="00176FFA">
        <w:rPr>
          <w:szCs w:val="22"/>
        </w:rPr>
        <w:t xml:space="preserve"> study (rather than ERIVANCE and Chang </w:t>
      </w:r>
      <w:r w:rsidR="006E0567" w:rsidRPr="00471E1C">
        <w:rPr>
          <w:i/>
          <w:szCs w:val="22"/>
        </w:rPr>
        <w:t>et al</w:t>
      </w:r>
      <w:r w:rsidR="006E0567" w:rsidRPr="00176FFA">
        <w:rPr>
          <w:szCs w:val="22"/>
        </w:rPr>
        <w:t xml:space="preserve"> 2014)</w:t>
      </w:r>
      <w:r w:rsidR="007528BB" w:rsidRPr="00176FFA">
        <w:rPr>
          <w:szCs w:val="22"/>
        </w:rPr>
        <w:t>, which were:</w:t>
      </w:r>
    </w:p>
    <w:p w:rsidR="00CF7D5D" w:rsidRDefault="007528BB" w:rsidP="00870B3A">
      <w:pPr>
        <w:widowControl w:val="0"/>
        <w:ind w:left="720"/>
        <w:contextualSpacing/>
        <w:jc w:val="both"/>
        <w:rPr>
          <w:szCs w:val="22"/>
        </w:rPr>
      </w:pPr>
      <w:r w:rsidRPr="00EB6EFC">
        <w:rPr>
          <w:szCs w:val="22"/>
        </w:rPr>
        <w:t>“The PBAC noted that the use of the STEVIE trial to populate the model was the most optimistic in terms of benefits from treatment of all the provided trials of vismodegib. The STEVIE trial reported a higher response compared to the other studies, had the lowest proportion of participants with metastatic disease, and used investigator rather than independent response assessment” (Paragra</w:t>
      </w:r>
      <w:r w:rsidR="00C60F56">
        <w:rPr>
          <w:szCs w:val="22"/>
        </w:rPr>
        <w:t>ph 6.24, March 2016 PBAC PSD</w:t>
      </w:r>
      <w:r w:rsidRPr="00EB6EFC">
        <w:rPr>
          <w:szCs w:val="22"/>
        </w:rPr>
        <w:t>)</w:t>
      </w:r>
      <w:r w:rsidR="0053692B" w:rsidRPr="00EB6EFC">
        <w:rPr>
          <w:szCs w:val="22"/>
        </w:rPr>
        <w:t>.</w:t>
      </w:r>
    </w:p>
    <w:p w:rsidR="00CF7D5D" w:rsidRDefault="00CF7D5D" w:rsidP="00870B3A">
      <w:pPr>
        <w:widowControl w:val="0"/>
        <w:ind w:left="720"/>
        <w:contextualSpacing/>
        <w:jc w:val="both"/>
        <w:rPr>
          <w:szCs w:val="22"/>
        </w:rPr>
      </w:pPr>
    </w:p>
    <w:p w:rsidR="0053692B" w:rsidRPr="00870B3A" w:rsidRDefault="006F0AE4" w:rsidP="00870B3A">
      <w:pPr>
        <w:widowControl w:val="0"/>
        <w:ind w:left="720"/>
        <w:contextualSpacing/>
        <w:jc w:val="both"/>
        <w:rPr>
          <w:szCs w:val="22"/>
        </w:rPr>
      </w:pPr>
      <w:r>
        <w:rPr>
          <w:szCs w:val="22"/>
        </w:rPr>
        <w:t xml:space="preserve">The pre-PBAC response (p1) noted that </w:t>
      </w:r>
      <w:r w:rsidR="00BB2755">
        <w:rPr>
          <w:szCs w:val="22"/>
        </w:rPr>
        <w:t xml:space="preserve">the </w:t>
      </w:r>
      <w:r w:rsidR="00970CF8">
        <w:rPr>
          <w:szCs w:val="22"/>
        </w:rPr>
        <w:t>investigator</w:t>
      </w:r>
      <w:r w:rsidR="00541C7F">
        <w:rPr>
          <w:szCs w:val="22"/>
        </w:rPr>
        <w:t xml:space="preserve"> </w:t>
      </w:r>
      <w:r w:rsidR="00970CF8">
        <w:rPr>
          <w:szCs w:val="22"/>
        </w:rPr>
        <w:t>assessed</w:t>
      </w:r>
      <w:r w:rsidR="00541C7F">
        <w:rPr>
          <w:szCs w:val="22"/>
        </w:rPr>
        <w:t xml:space="preserve"> objective response rate more appropriately classified patients with residual scar or tissue defects as complete respon</w:t>
      </w:r>
      <w:r w:rsidR="00334288">
        <w:rPr>
          <w:szCs w:val="22"/>
        </w:rPr>
        <w:t>d</w:t>
      </w:r>
      <w:r w:rsidR="00541C7F">
        <w:rPr>
          <w:szCs w:val="22"/>
        </w:rPr>
        <w:t>e</w:t>
      </w:r>
      <w:r w:rsidR="00334288">
        <w:rPr>
          <w:szCs w:val="22"/>
        </w:rPr>
        <w:t>rs</w:t>
      </w:r>
      <w:r w:rsidR="00541C7F">
        <w:rPr>
          <w:szCs w:val="22"/>
        </w:rPr>
        <w:t xml:space="preserve">, </w:t>
      </w:r>
      <w:r w:rsidR="00BB2755">
        <w:rPr>
          <w:szCs w:val="22"/>
        </w:rPr>
        <w:t xml:space="preserve">taking into account </w:t>
      </w:r>
      <w:r w:rsidR="00541C7F">
        <w:rPr>
          <w:szCs w:val="22"/>
        </w:rPr>
        <w:t>the cosmetic and clinical improvement associated with vismodegib</w:t>
      </w:r>
      <w:r w:rsidR="00904E19">
        <w:rPr>
          <w:szCs w:val="22"/>
        </w:rPr>
        <w:t>;</w:t>
      </w:r>
      <w:r w:rsidR="00BB2755">
        <w:rPr>
          <w:szCs w:val="22"/>
        </w:rPr>
        <w:t xml:space="preserve"> these would have been classified as</w:t>
      </w:r>
      <w:r w:rsidR="00BB2755" w:rsidRPr="00BB2755">
        <w:t xml:space="preserve"> </w:t>
      </w:r>
      <w:r w:rsidR="00BB2755" w:rsidRPr="00BB2755">
        <w:rPr>
          <w:szCs w:val="22"/>
        </w:rPr>
        <w:t>a stable response</w:t>
      </w:r>
      <w:r w:rsidR="00BB2755">
        <w:rPr>
          <w:szCs w:val="22"/>
        </w:rPr>
        <w:t xml:space="preserve"> by the protocol for </w:t>
      </w:r>
      <w:r w:rsidR="00BB2755" w:rsidRPr="00EB6EFC">
        <w:rPr>
          <w:szCs w:val="22"/>
        </w:rPr>
        <w:t>independent response assessment</w:t>
      </w:r>
      <w:r w:rsidR="00541C7F">
        <w:rPr>
          <w:szCs w:val="22"/>
        </w:rPr>
        <w:t>.</w:t>
      </w:r>
    </w:p>
    <w:p w:rsidR="00D9063F" w:rsidRPr="00EB6EFC" w:rsidRDefault="00D9063F" w:rsidP="00882085">
      <w:pPr>
        <w:jc w:val="both"/>
        <w:rPr>
          <w:szCs w:val="22"/>
        </w:rPr>
      </w:pPr>
    </w:p>
    <w:p w:rsidR="00E64057" w:rsidRPr="00EB6EFC" w:rsidRDefault="00E64057" w:rsidP="006C4ED0">
      <w:pPr>
        <w:pStyle w:val="ListParagraph"/>
        <w:ind w:left="0"/>
        <w:rPr>
          <w:szCs w:val="22"/>
          <w:u w:val="single"/>
        </w:rPr>
      </w:pPr>
      <w:r w:rsidRPr="00EB6EFC">
        <w:rPr>
          <w:szCs w:val="22"/>
          <w:u w:val="single"/>
        </w:rPr>
        <w:t>Disfigurement rate with vismodegib</w:t>
      </w:r>
    </w:p>
    <w:p w:rsidR="00E64057" w:rsidRPr="00EB6EFC" w:rsidRDefault="00E64057" w:rsidP="00882085">
      <w:pPr>
        <w:jc w:val="both"/>
        <w:rPr>
          <w:szCs w:val="22"/>
        </w:rPr>
      </w:pPr>
    </w:p>
    <w:p w:rsidR="008924EF" w:rsidRPr="00F247F7" w:rsidRDefault="00C050D1" w:rsidP="00F247F7">
      <w:pPr>
        <w:widowControl w:val="0"/>
        <w:numPr>
          <w:ilvl w:val="1"/>
          <w:numId w:val="5"/>
        </w:numPr>
        <w:contextualSpacing/>
        <w:jc w:val="both"/>
        <w:rPr>
          <w:szCs w:val="22"/>
        </w:rPr>
      </w:pPr>
      <w:r w:rsidRPr="00F247F7">
        <w:rPr>
          <w:szCs w:val="22"/>
        </w:rPr>
        <w:t xml:space="preserve">The </w:t>
      </w:r>
      <w:r w:rsidR="00993564" w:rsidRPr="00F247F7">
        <w:rPr>
          <w:szCs w:val="22"/>
        </w:rPr>
        <w:t>resubmission</w:t>
      </w:r>
      <w:r w:rsidR="008924EF" w:rsidRPr="00F247F7">
        <w:rPr>
          <w:szCs w:val="22"/>
        </w:rPr>
        <w:t xml:space="preserve"> provided </w:t>
      </w:r>
      <w:r w:rsidR="0031343D" w:rsidRPr="00F247F7">
        <w:rPr>
          <w:szCs w:val="22"/>
        </w:rPr>
        <w:t xml:space="preserve">survey </w:t>
      </w:r>
      <w:r w:rsidR="008924EF" w:rsidRPr="00F247F7">
        <w:rPr>
          <w:szCs w:val="22"/>
        </w:rPr>
        <w:t xml:space="preserve">responses </w:t>
      </w:r>
      <w:r w:rsidR="00EA61A3" w:rsidRPr="00F247F7">
        <w:rPr>
          <w:szCs w:val="22"/>
        </w:rPr>
        <w:t xml:space="preserve">(narrative text) </w:t>
      </w:r>
      <w:r w:rsidR="008924EF" w:rsidRPr="00F247F7">
        <w:rPr>
          <w:szCs w:val="22"/>
        </w:rPr>
        <w:t>from two clinicians experienced in the use of vismodegib</w:t>
      </w:r>
      <w:r w:rsidR="0031343D" w:rsidRPr="00F247F7">
        <w:rPr>
          <w:szCs w:val="22"/>
        </w:rPr>
        <w:t xml:space="preserve"> (</w:t>
      </w:r>
      <w:r w:rsidR="00EA61A3" w:rsidRPr="00F247F7">
        <w:rPr>
          <w:szCs w:val="22"/>
        </w:rPr>
        <w:t xml:space="preserve">the </w:t>
      </w:r>
      <w:r w:rsidR="0031343D" w:rsidRPr="00F247F7">
        <w:rPr>
          <w:szCs w:val="22"/>
        </w:rPr>
        <w:t xml:space="preserve">total number of clinicians surveyed was not reported). The clinicians </w:t>
      </w:r>
      <w:r w:rsidR="008924EF" w:rsidRPr="00F247F7">
        <w:rPr>
          <w:szCs w:val="22"/>
        </w:rPr>
        <w:t>were asked about disfigurement rates with vismodegib. The responses</w:t>
      </w:r>
      <w:r w:rsidR="0031343D" w:rsidRPr="00F247F7">
        <w:rPr>
          <w:szCs w:val="22"/>
        </w:rPr>
        <w:t xml:space="preserve"> included:</w:t>
      </w:r>
      <w:r w:rsidR="008924EF" w:rsidRPr="00F247F7">
        <w:rPr>
          <w:szCs w:val="22"/>
        </w:rPr>
        <w:t>“0% of the patients who respond to treatment would encounter further disfigurement”</w:t>
      </w:r>
      <w:r w:rsidR="00230EA4" w:rsidRPr="00F247F7">
        <w:rPr>
          <w:szCs w:val="22"/>
        </w:rPr>
        <w:t>;</w:t>
      </w:r>
    </w:p>
    <w:p w:rsidR="00230EA4" w:rsidRPr="00EB6EFC" w:rsidRDefault="008924EF" w:rsidP="00230EA4">
      <w:pPr>
        <w:pStyle w:val="ListParagraph"/>
        <w:numPr>
          <w:ilvl w:val="0"/>
          <w:numId w:val="19"/>
        </w:numPr>
        <w:rPr>
          <w:szCs w:val="22"/>
        </w:rPr>
      </w:pPr>
      <w:r w:rsidRPr="00EB6EFC">
        <w:t>“I think less than 1% of patients would have further disfigurement after vismodegib“</w:t>
      </w:r>
      <w:r w:rsidR="00230EA4" w:rsidRPr="00EB6EFC">
        <w:t>; and</w:t>
      </w:r>
    </w:p>
    <w:p w:rsidR="00230EA4" w:rsidRPr="00EB6EFC" w:rsidRDefault="00230EA4" w:rsidP="00230EA4">
      <w:pPr>
        <w:pStyle w:val="ListParagraph"/>
        <w:numPr>
          <w:ilvl w:val="0"/>
          <w:numId w:val="19"/>
        </w:numPr>
        <w:rPr>
          <w:szCs w:val="22"/>
        </w:rPr>
      </w:pPr>
      <w:r w:rsidRPr="00EB6EFC">
        <w:rPr>
          <w:snapToGrid/>
          <w:szCs w:val="22"/>
        </w:rPr>
        <w:t xml:space="preserve">“In the patients I had in the clinical trial, all responding lesions had less disfigurement. The patients that ceased the treatment due to side effects had further disfigurement due to the progression of the </w:t>
      </w:r>
      <w:r w:rsidR="00E073AB" w:rsidRPr="00EB6EFC">
        <w:rPr>
          <w:snapToGrid/>
          <w:szCs w:val="22"/>
        </w:rPr>
        <w:t>tumour</w:t>
      </w:r>
      <w:r w:rsidRPr="00EB6EFC">
        <w:rPr>
          <w:snapToGrid/>
          <w:szCs w:val="22"/>
        </w:rPr>
        <w:t>.”</w:t>
      </w:r>
      <w:r w:rsidR="002D2B62">
        <w:rPr>
          <w:snapToGrid/>
          <w:szCs w:val="22"/>
        </w:rPr>
        <w:t xml:space="preserve"> </w:t>
      </w:r>
      <w:r w:rsidR="002D2B62" w:rsidRPr="008C2C86">
        <w:rPr>
          <w:szCs w:val="22"/>
        </w:rPr>
        <w:t>(Note the response refers to less disfigurement, rather than no disfigurement)</w:t>
      </w:r>
    </w:p>
    <w:p w:rsidR="00EA61A3" w:rsidRDefault="00EA61A3" w:rsidP="00EA61A3">
      <w:pPr>
        <w:widowControl w:val="0"/>
        <w:ind w:left="720"/>
        <w:contextualSpacing/>
        <w:jc w:val="both"/>
        <w:rPr>
          <w:rFonts w:cs="Arial"/>
          <w:szCs w:val="22"/>
        </w:rPr>
      </w:pPr>
      <w:r w:rsidRPr="00EB6EFC">
        <w:rPr>
          <w:rFonts w:cs="Arial"/>
          <w:szCs w:val="22"/>
        </w:rPr>
        <w:t xml:space="preserve">Based on these responses, the </w:t>
      </w:r>
      <w:r w:rsidR="00993564">
        <w:rPr>
          <w:rFonts w:cs="Arial"/>
          <w:szCs w:val="22"/>
        </w:rPr>
        <w:t>resubmission</w:t>
      </w:r>
      <w:r w:rsidRPr="00EB6EFC">
        <w:rPr>
          <w:rFonts w:cs="Arial"/>
          <w:szCs w:val="22"/>
        </w:rPr>
        <w:t xml:space="preserve"> </w:t>
      </w:r>
      <w:r w:rsidR="00E93505" w:rsidRPr="00EB6EFC">
        <w:rPr>
          <w:rFonts w:cs="Arial"/>
          <w:szCs w:val="22"/>
        </w:rPr>
        <w:t xml:space="preserve">changed the disfigurement rate in the economic evaluation from 0% to 10% (rather than 20% requested by the PBAC) </w:t>
      </w:r>
      <w:r w:rsidRPr="00EB6EFC">
        <w:rPr>
          <w:rFonts w:cs="Arial"/>
          <w:szCs w:val="22"/>
        </w:rPr>
        <w:t>to “reflect both the clinical uncertainty and clinician advice”.</w:t>
      </w:r>
    </w:p>
    <w:p w:rsidR="00870B3A" w:rsidRPr="00EB6EFC" w:rsidRDefault="00870B3A" w:rsidP="00870B3A">
      <w:pPr>
        <w:widowControl w:val="0"/>
        <w:contextualSpacing/>
        <w:jc w:val="both"/>
        <w:rPr>
          <w:rFonts w:cs="Arial"/>
          <w:szCs w:val="22"/>
        </w:rPr>
      </w:pPr>
    </w:p>
    <w:p w:rsidR="00CB107A" w:rsidRPr="00870B3A" w:rsidRDefault="00E93505" w:rsidP="00870B3A">
      <w:pPr>
        <w:widowControl w:val="0"/>
        <w:numPr>
          <w:ilvl w:val="1"/>
          <w:numId w:val="5"/>
        </w:numPr>
        <w:contextualSpacing/>
        <w:jc w:val="both"/>
        <w:rPr>
          <w:rFonts w:cs="Arial"/>
          <w:i/>
          <w:szCs w:val="22"/>
        </w:rPr>
      </w:pPr>
      <w:r w:rsidRPr="00176FFA">
        <w:rPr>
          <w:rFonts w:cs="Arial"/>
          <w:szCs w:val="22"/>
        </w:rPr>
        <w:t xml:space="preserve">However, in stating the disfigurement free rate would be 0% or </w:t>
      </w:r>
      <w:r w:rsidR="00904E19">
        <w:rPr>
          <w:rFonts w:cs="Arial"/>
          <w:szCs w:val="22"/>
        </w:rPr>
        <w:t>less than</w:t>
      </w:r>
      <w:r w:rsidRPr="00176FFA">
        <w:rPr>
          <w:rFonts w:cs="Arial"/>
          <w:szCs w:val="22"/>
        </w:rPr>
        <w:t xml:space="preserve"> 1%, t</w:t>
      </w:r>
      <w:r w:rsidR="00ED5A18" w:rsidRPr="00176FFA">
        <w:rPr>
          <w:rFonts w:cs="Arial"/>
          <w:szCs w:val="22"/>
        </w:rPr>
        <w:t xml:space="preserve">he clinicians appeared to </w:t>
      </w:r>
      <w:r w:rsidRPr="00176FFA">
        <w:rPr>
          <w:rFonts w:cs="Arial"/>
          <w:szCs w:val="22"/>
        </w:rPr>
        <w:t>have</w:t>
      </w:r>
      <w:r w:rsidR="00ED5A18" w:rsidRPr="00176FFA">
        <w:rPr>
          <w:rFonts w:cs="Arial"/>
          <w:szCs w:val="22"/>
        </w:rPr>
        <w:t xml:space="preserve"> referr</w:t>
      </w:r>
      <w:r w:rsidRPr="00176FFA">
        <w:rPr>
          <w:rFonts w:cs="Arial"/>
          <w:szCs w:val="22"/>
        </w:rPr>
        <w:t>ed</w:t>
      </w:r>
      <w:r w:rsidR="00ED5A18" w:rsidRPr="00176FFA">
        <w:rPr>
          <w:rFonts w:cs="Arial"/>
          <w:szCs w:val="22"/>
        </w:rPr>
        <w:t xml:space="preserve"> to patients currently responding to vismodegib</w:t>
      </w:r>
      <w:r w:rsidRPr="00176FFA">
        <w:rPr>
          <w:rFonts w:cs="Arial"/>
          <w:szCs w:val="22"/>
        </w:rPr>
        <w:t>.</w:t>
      </w:r>
      <w:r w:rsidR="00870B3A">
        <w:rPr>
          <w:rFonts w:cs="Arial"/>
          <w:szCs w:val="22"/>
        </w:rPr>
        <w:t xml:space="preserve"> </w:t>
      </w:r>
      <w:r w:rsidR="00ED5A18" w:rsidRPr="00870B3A">
        <w:rPr>
          <w:rFonts w:cs="Arial"/>
          <w:szCs w:val="22"/>
        </w:rPr>
        <w:t xml:space="preserve">No information was </w:t>
      </w:r>
      <w:r w:rsidR="00CB107A" w:rsidRPr="00870B3A">
        <w:rPr>
          <w:rFonts w:cs="Arial"/>
          <w:szCs w:val="22"/>
        </w:rPr>
        <w:t xml:space="preserve">provided </w:t>
      </w:r>
      <w:r w:rsidR="00EA61A3" w:rsidRPr="00870B3A">
        <w:rPr>
          <w:rFonts w:cs="Arial"/>
          <w:szCs w:val="22"/>
        </w:rPr>
        <w:t>about</w:t>
      </w:r>
      <w:r w:rsidR="00CB107A" w:rsidRPr="00870B3A">
        <w:rPr>
          <w:rFonts w:cs="Arial"/>
          <w:szCs w:val="22"/>
        </w:rPr>
        <w:t xml:space="preserve"> patients </w:t>
      </w:r>
      <w:r w:rsidR="0053692B" w:rsidRPr="00870B3A">
        <w:rPr>
          <w:rFonts w:cs="Arial"/>
          <w:szCs w:val="22"/>
        </w:rPr>
        <w:t>who</w:t>
      </w:r>
      <w:r w:rsidR="00CB107A" w:rsidRPr="00870B3A">
        <w:rPr>
          <w:rFonts w:cs="Arial"/>
          <w:szCs w:val="22"/>
        </w:rPr>
        <w:t xml:space="preserve"> progressed </w:t>
      </w:r>
      <w:r w:rsidR="00870B3A">
        <w:rPr>
          <w:rFonts w:cs="Arial"/>
          <w:szCs w:val="22"/>
        </w:rPr>
        <w:t xml:space="preserve">after an initial </w:t>
      </w:r>
      <w:r w:rsidR="00ED5A18" w:rsidRPr="00870B3A">
        <w:rPr>
          <w:rFonts w:cs="Arial"/>
          <w:szCs w:val="22"/>
        </w:rPr>
        <w:t>response</w:t>
      </w:r>
      <w:r w:rsidR="00870B3A">
        <w:rPr>
          <w:rFonts w:cs="Arial"/>
          <w:szCs w:val="22"/>
        </w:rPr>
        <w:t xml:space="preserve"> </w:t>
      </w:r>
      <w:r w:rsidR="00195B62" w:rsidRPr="00870B3A">
        <w:rPr>
          <w:rFonts w:cs="Arial"/>
          <w:szCs w:val="22"/>
        </w:rPr>
        <w:t>who would not be captured elsewhere</w:t>
      </w:r>
      <w:r w:rsidR="00870B3A" w:rsidRPr="00870B3A">
        <w:rPr>
          <w:rFonts w:cs="Arial"/>
          <w:szCs w:val="22"/>
        </w:rPr>
        <w:t xml:space="preserve">. </w:t>
      </w:r>
      <w:r w:rsidR="00CB107A" w:rsidRPr="00870B3A">
        <w:rPr>
          <w:rFonts w:cs="Arial"/>
          <w:szCs w:val="22"/>
        </w:rPr>
        <w:t>It was likely that these patients</w:t>
      </w:r>
      <w:r w:rsidR="001E21EC" w:rsidRPr="00870B3A">
        <w:rPr>
          <w:rFonts w:cs="Arial"/>
          <w:szCs w:val="22"/>
        </w:rPr>
        <w:t xml:space="preserve"> would need further local treat</w:t>
      </w:r>
      <w:r w:rsidR="00CB107A" w:rsidRPr="00870B3A">
        <w:rPr>
          <w:rFonts w:cs="Arial"/>
          <w:szCs w:val="22"/>
        </w:rPr>
        <w:t>ment that might includ</w:t>
      </w:r>
      <w:r w:rsidR="00195B62" w:rsidRPr="00870B3A">
        <w:rPr>
          <w:rFonts w:cs="Arial"/>
          <w:szCs w:val="22"/>
        </w:rPr>
        <w:t>e</w:t>
      </w:r>
      <w:r w:rsidR="00CB107A" w:rsidRPr="00870B3A">
        <w:rPr>
          <w:rFonts w:cs="Arial"/>
          <w:szCs w:val="22"/>
        </w:rPr>
        <w:t xml:space="preserve"> surgery and/or radiotherapy, which might be associated with disfigurement.</w:t>
      </w:r>
      <w:r w:rsidR="00CB107A" w:rsidRPr="00DB2A2C">
        <w:rPr>
          <w:rFonts w:cs="Arial"/>
          <w:szCs w:val="22"/>
        </w:rPr>
        <w:t xml:space="preserve"> </w:t>
      </w:r>
      <w:r w:rsidR="00DB2A2C" w:rsidRPr="00DB2A2C">
        <w:rPr>
          <w:rFonts w:cs="Arial"/>
          <w:szCs w:val="22"/>
        </w:rPr>
        <w:t>The pre-PBAC response (p2)</w:t>
      </w:r>
      <w:r w:rsidR="00DB2A2C">
        <w:rPr>
          <w:rFonts w:cs="Arial"/>
          <w:szCs w:val="22"/>
        </w:rPr>
        <w:t xml:space="preserve"> noted that a number of patients who respond to treatment with vismodegib </w:t>
      </w:r>
      <w:r w:rsidR="00F12CF5">
        <w:rPr>
          <w:rFonts w:cs="Arial"/>
          <w:szCs w:val="22"/>
        </w:rPr>
        <w:t xml:space="preserve">may </w:t>
      </w:r>
      <w:r w:rsidR="00DB2A2C">
        <w:rPr>
          <w:rFonts w:cs="Arial"/>
          <w:szCs w:val="22"/>
        </w:rPr>
        <w:t xml:space="preserve">become eligible for curative surgery or radiotherapy that was not previously possible and that there is a potential for patients to undergo retreatment with vismodegib. </w:t>
      </w:r>
      <w:r w:rsidR="00F12CF5">
        <w:rPr>
          <w:rFonts w:cs="Arial"/>
          <w:szCs w:val="22"/>
        </w:rPr>
        <w:t>The PBAC noted that n</w:t>
      </w:r>
      <w:r w:rsidR="00DB2A2C">
        <w:rPr>
          <w:rFonts w:cs="Arial"/>
          <w:szCs w:val="22"/>
        </w:rPr>
        <w:t xml:space="preserve">either </w:t>
      </w:r>
      <w:r w:rsidR="00F12CF5">
        <w:rPr>
          <w:rFonts w:cs="Arial"/>
          <w:szCs w:val="22"/>
        </w:rPr>
        <w:t>of these options were</w:t>
      </w:r>
      <w:r w:rsidR="00DB2A2C">
        <w:rPr>
          <w:rFonts w:cs="Arial"/>
          <w:szCs w:val="22"/>
        </w:rPr>
        <w:t xml:space="preserve"> included in the</w:t>
      </w:r>
      <w:r w:rsidR="00F12CF5">
        <w:rPr>
          <w:rFonts w:cs="Arial"/>
          <w:szCs w:val="22"/>
        </w:rPr>
        <w:t xml:space="preserve"> costings of the</w:t>
      </w:r>
      <w:r w:rsidR="00DB2A2C">
        <w:rPr>
          <w:rFonts w:cs="Arial"/>
          <w:szCs w:val="22"/>
        </w:rPr>
        <w:t xml:space="preserve"> revised model.</w:t>
      </w:r>
    </w:p>
    <w:p w:rsidR="00F57A6D" w:rsidRPr="00EB6EFC" w:rsidRDefault="00F57A6D" w:rsidP="00882085">
      <w:pPr>
        <w:ind w:left="720" w:hanging="720"/>
        <w:jc w:val="both"/>
        <w:rPr>
          <w:szCs w:val="22"/>
        </w:rPr>
      </w:pPr>
    </w:p>
    <w:p w:rsidR="005A3173" w:rsidRPr="00EB6EFC" w:rsidRDefault="005A3173" w:rsidP="00B1059E">
      <w:pPr>
        <w:pStyle w:val="Heading2"/>
      </w:pPr>
      <w:r w:rsidRPr="00EB6EFC">
        <w:lastRenderedPageBreak/>
        <w:t>Economic analysis</w:t>
      </w:r>
    </w:p>
    <w:p w:rsidR="005A3173" w:rsidRPr="00EB6EFC" w:rsidRDefault="005A3173" w:rsidP="00D84934">
      <w:pPr>
        <w:pStyle w:val="NoSpacing"/>
      </w:pPr>
    </w:p>
    <w:p w:rsidR="009B0F67" w:rsidRPr="00EB6EFC" w:rsidRDefault="00FE7357" w:rsidP="00FE7357">
      <w:pPr>
        <w:widowControl w:val="0"/>
        <w:numPr>
          <w:ilvl w:val="1"/>
          <w:numId w:val="5"/>
        </w:numPr>
        <w:contextualSpacing/>
        <w:jc w:val="both"/>
        <w:rPr>
          <w:rFonts w:cs="Arial"/>
          <w:i/>
          <w:szCs w:val="22"/>
        </w:rPr>
      </w:pPr>
      <w:r w:rsidRPr="00EB6EFC">
        <w:rPr>
          <w:rFonts w:cs="Arial"/>
          <w:szCs w:val="22"/>
        </w:rPr>
        <w:t>The previous submission presented a</w:t>
      </w:r>
      <w:r w:rsidR="009B0F67" w:rsidRPr="00EB6EFC">
        <w:rPr>
          <w:rFonts w:cs="Arial"/>
          <w:szCs w:val="22"/>
        </w:rPr>
        <w:t xml:space="preserve"> cost-effectiveness analysis </w:t>
      </w:r>
      <w:r w:rsidR="00D84CC3" w:rsidRPr="00EB6EFC">
        <w:rPr>
          <w:rFonts w:cs="Arial"/>
          <w:szCs w:val="22"/>
        </w:rPr>
        <w:t xml:space="preserve">using the cost per disfigurement-free responder </w:t>
      </w:r>
      <w:r w:rsidR="00E93505" w:rsidRPr="00EB6EFC">
        <w:rPr>
          <w:rFonts w:cs="Arial"/>
          <w:szCs w:val="22"/>
        </w:rPr>
        <w:t>versus</w:t>
      </w:r>
      <w:r w:rsidR="009B0F67" w:rsidRPr="00EB6EFC">
        <w:rPr>
          <w:rFonts w:cs="Arial"/>
          <w:szCs w:val="22"/>
        </w:rPr>
        <w:t xml:space="preserve"> </w:t>
      </w:r>
      <w:r w:rsidRPr="00EB6EFC">
        <w:rPr>
          <w:rFonts w:cs="Arial"/>
          <w:szCs w:val="22"/>
        </w:rPr>
        <w:t>surgery</w:t>
      </w:r>
      <w:r w:rsidR="009B0F67" w:rsidRPr="00EB6EFC">
        <w:rPr>
          <w:rFonts w:cs="Arial"/>
          <w:szCs w:val="22"/>
        </w:rPr>
        <w:t xml:space="preserve">. The </w:t>
      </w:r>
      <w:r w:rsidR="00993564">
        <w:rPr>
          <w:rFonts w:cs="Arial"/>
          <w:szCs w:val="22"/>
        </w:rPr>
        <w:t>resubmission</w:t>
      </w:r>
      <w:r w:rsidR="009B0F67" w:rsidRPr="00EB6EFC">
        <w:rPr>
          <w:rFonts w:cs="Arial"/>
          <w:szCs w:val="22"/>
        </w:rPr>
        <w:t xml:space="preserve"> </w:t>
      </w:r>
      <w:r w:rsidR="00FF2801" w:rsidRPr="00EB6EFC">
        <w:rPr>
          <w:rFonts w:cs="Arial"/>
          <w:szCs w:val="22"/>
        </w:rPr>
        <w:t>did</w:t>
      </w:r>
      <w:r w:rsidR="009B0F67" w:rsidRPr="00EB6EFC">
        <w:rPr>
          <w:rFonts w:cs="Arial"/>
          <w:szCs w:val="22"/>
        </w:rPr>
        <w:t xml:space="preserve"> not alter the economic model structure but </w:t>
      </w:r>
      <w:r w:rsidR="00FF2801" w:rsidRPr="00EB6EFC">
        <w:rPr>
          <w:rFonts w:cs="Arial"/>
          <w:szCs w:val="22"/>
        </w:rPr>
        <w:t>sought</w:t>
      </w:r>
      <w:r w:rsidR="00C00DA7" w:rsidRPr="00EB6EFC">
        <w:rPr>
          <w:rFonts w:cs="Arial"/>
          <w:szCs w:val="22"/>
        </w:rPr>
        <w:t xml:space="preserve"> to respecify the best estimate of the base case ICER by</w:t>
      </w:r>
      <w:r w:rsidR="00203430" w:rsidRPr="00EB6EFC">
        <w:rPr>
          <w:rFonts w:cs="Arial"/>
          <w:szCs w:val="22"/>
        </w:rPr>
        <w:t xml:space="preserve"> adding a </w:t>
      </w:r>
      <w:r w:rsidR="00203430" w:rsidRPr="00EB6EFC">
        <w:rPr>
          <w:rFonts w:cs="Arial"/>
          <w:snapToGrid w:val="0"/>
          <w:szCs w:val="20"/>
          <w:lang w:eastAsia="en-US"/>
        </w:rPr>
        <w:t>disfigurement rate with vismodegib</w:t>
      </w:r>
      <w:r w:rsidR="00A6525A" w:rsidRPr="00EB6EFC">
        <w:rPr>
          <w:rFonts w:cs="Arial"/>
          <w:snapToGrid w:val="0"/>
          <w:szCs w:val="20"/>
          <w:lang w:eastAsia="en-US"/>
        </w:rPr>
        <w:t xml:space="preserve"> of 10% (versus 0% in the previous submission) and including a </w:t>
      </w:r>
      <w:r w:rsidR="006505A5">
        <w:rPr>
          <w:rFonts w:cs="Arial"/>
          <w:noProof/>
          <w:snapToGrid w:val="0"/>
          <w:color w:val="000000"/>
          <w:szCs w:val="20"/>
          <w:highlight w:val="black"/>
          <w:lang w:eastAsia="en-US"/>
        </w:rPr>
        <w:t>''''''</w:t>
      </w:r>
      <w:r w:rsidR="00A6525A" w:rsidRPr="00EB6EFC">
        <w:rPr>
          <w:rFonts w:cs="Arial"/>
          <w:snapToGrid w:val="0"/>
          <w:szCs w:val="20"/>
          <w:lang w:eastAsia="en-US"/>
        </w:rPr>
        <w:t>% rebate on the ex-manufacturer price of vismodegib (versus no rebate in the previous submission</w:t>
      </w:r>
      <w:r w:rsidR="00D40640" w:rsidRPr="00EB6EFC">
        <w:rPr>
          <w:rFonts w:cs="Arial"/>
          <w:snapToGrid w:val="0"/>
          <w:szCs w:val="20"/>
          <w:lang w:eastAsia="en-US"/>
        </w:rPr>
        <w:t>)</w:t>
      </w:r>
      <w:r w:rsidR="00A6525A" w:rsidRPr="00EB6EFC">
        <w:rPr>
          <w:rFonts w:cs="Arial"/>
          <w:szCs w:val="22"/>
        </w:rPr>
        <w:t>.</w:t>
      </w:r>
      <w:r w:rsidR="00C00DA7" w:rsidRPr="00EB6EFC">
        <w:rPr>
          <w:rFonts w:cs="Arial"/>
          <w:szCs w:val="22"/>
        </w:rPr>
        <w:t xml:space="preserve"> </w:t>
      </w:r>
      <w:r w:rsidR="00C00DA7" w:rsidRPr="00176FFA">
        <w:rPr>
          <w:rFonts w:cs="Arial"/>
          <w:szCs w:val="22"/>
        </w:rPr>
        <w:t xml:space="preserve">The respecified base case ICER </w:t>
      </w:r>
      <w:r w:rsidR="00FF2801" w:rsidRPr="00176FFA">
        <w:rPr>
          <w:rFonts w:cs="Arial"/>
          <w:szCs w:val="22"/>
        </w:rPr>
        <w:t>was</w:t>
      </w:r>
      <w:r w:rsidRPr="00176FFA">
        <w:rPr>
          <w:rFonts w:cs="Arial"/>
          <w:szCs w:val="22"/>
        </w:rPr>
        <w:t xml:space="preserve"> </w:t>
      </w:r>
      <w:r w:rsidR="00C00DA7" w:rsidRPr="00176FFA">
        <w:rPr>
          <w:rFonts w:cs="Arial"/>
          <w:szCs w:val="22"/>
        </w:rPr>
        <w:t xml:space="preserve">verified </w:t>
      </w:r>
      <w:r w:rsidRPr="00176FFA">
        <w:rPr>
          <w:rFonts w:cs="Arial"/>
          <w:szCs w:val="22"/>
        </w:rPr>
        <w:t xml:space="preserve">during </w:t>
      </w:r>
      <w:r w:rsidR="00282B76">
        <w:rPr>
          <w:rFonts w:cs="Arial"/>
          <w:szCs w:val="22"/>
        </w:rPr>
        <w:t>preparation of the Overview</w:t>
      </w:r>
      <w:r w:rsidR="00C00DA7" w:rsidRPr="00176FFA">
        <w:rPr>
          <w:rFonts w:cs="Arial"/>
          <w:szCs w:val="22"/>
        </w:rPr>
        <w:t>.</w:t>
      </w:r>
    </w:p>
    <w:p w:rsidR="002640A3" w:rsidRDefault="002640A3" w:rsidP="002640A3">
      <w:pPr>
        <w:widowControl w:val="0"/>
        <w:ind w:left="720"/>
        <w:contextualSpacing/>
        <w:jc w:val="both"/>
        <w:rPr>
          <w:rFonts w:cs="Arial"/>
          <w:szCs w:val="22"/>
        </w:rPr>
      </w:pPr>
    </w:p>
    <w:p w:rsidR="002640A3" w:rsidRDefault="00D84CC3" w:rsidP="002640A3">
      <w:pPr>
        <w:widowControl w:val="0"/>
        <w:numPr>
          <w:ilvl w:val="1"/>
          <w:numId w:val="5"/>
        </w:numPr>
        <w:contextualSpacing/>
        <w:jc w:val="both"/>
        <w:rPr>
          <w:rFonts w:cs="Arial"/>
          <w:szCs w:val="22"/>
        </w:rPr>
      </w:pPr>
      <w:r w:rsidRPr="00EB6EFC">
        <w:rPr>
          <w:rFonts w:cs="Arial"/>
          <w:szCs w:val="22"/>
        </w:rPr>
        <w:t xml:space="preserve">Table </w:t>
      </w:r>
      <w:r w:rsidR="00E93505" w:rsidRPr="00EB6EFC">
        <w:rPr>
          <w:rFonts w:cs="Arial"/>
          <w:szCs w:val="22"/>
        </w:rPr>
        <w:t>5</w:t>
      </w:r>
      <w:r w:rsidRPr="00EB6EFC">
        <w:rPr>
          <w:rFonts w:cs="Arial"/>
          <w:szCs w:val="22"/>
        </w:rPr>
        <w:t xml:space="preserve"> summarise</w:t>
      </w:r>
      <w:r w:rsidR="00B35332">
        <w:rPr>
          <w:rFonts w:cs="Arial"/>
          <w:szCs w:val="22"/>
        </w:rPr>
        <w:t>s</w:t>
      </w:r>
      <w:r w:rsidRPr="00EB6EFC">
        <w:rPr>
          <w:rFonts w:cs="Arial"/>
          <w:szCs w:val="22"/>
        </w:rPr>
        <w:t xml:space="preserve"> the model inputs in the </w:t>
      </w:r>
      <w:r w:rsidR="00993564">
        <w:rPr>
          <w:rFonts w:cs="Arial"/>
          <w:szCs w:val="22"/>
        </w:rPr>
        <w:t>resubmission</w:t>
      </w:r>
      <w:r w:rsidRPr="00EB6EFC">
        <w:rPr>
          <w:rFonts w:cs="Arial"/>
          <w:szCs w:val="22"/>
        </w:rPr>
        <w:t xml:space="preserve"> versus the previous submission.</w:t>
      </w:r>
    </w:p>
    <w:p w:rsidR="00C87919" w:rsidRDefault="00C87919">
      <w:pPr>
        <w:rPr>
          <w:rFonts w:ascii="Arial Narrow" w:hAnsi="Arial Narrow" w:cs="Arial"/>
          <w:b/>
          <w:sz w:val="20"/>
          <w:szCs w:val="20"/>
        </w:rPr>
      </w:pPr>
    </w:p>
    <w:p w:rsidR="00E87733" w:rsidRPr="00EB6EFC" w:rsidRDefault="00E87733" w:rsidP="00264014">
      <w:pPr>
        <w:keepNext/>
        <w:keepLines/>
        <w:widowControl w:val="0"/>
        <w:ind w:left="720" w:hanging="11"/>
        <w:contextualSpacing/>
        <w:jc w:val="both"/>
        <w:rPr>
          <w:rFonts w:ascii="Arial Narrow" w:hAnsi="Arial Narrow" w:cs="Arial"/>
          <w:b/>
          <w:sz w:val="20"/>
          <w:szCs w:val="20"/>
        </w:rPr>
      </w:pPr>
      <w:r w:rsidRPr="00EB6EFC">
        <w:rPr>
          <w:rFonts w:ascii="Arial Narrow" w:hAnsi="Arial Narrow" w:cs="Arial"/>
          <w:b/>
          <w:sz w:val="20"/>
          <w:szCs w:val="20"/>
        </w:rPr>
        <w:t xml:space="preserve">Table </w:t>
      </w:r>
      <w:r w:rsidR="00E93505" w:rsidRPr="00EB6EFC">
        <w:rPr>
          <w:rFonts w:ascii="Arial Narrow" w:hAnsi="Arial Narrow" w:cs="Arial"/>
          <w:b/>
          <w:sz w:val="20"/>
          <w:szCs w:val="20"/>
        </w:rPr>
        <w:t>5</w:t>
      </w:r>
      <w:r w:rsidRPr="00EB6EFC">
        <w:rPr>
          <w:rFonts w:ascii="Arial Narrow" w:hAnsi="Arial Narrow" w:cs="Arial"/>
          <w:b/>
          <w:sz w:val="20"/>
          <w:szCs w:val="20"/>
        </w:rPr>
        <w:t>: Summary of model input</w:t>
      </w:r>
      <w:r w:rsidR="00264014" w:rsidRPr="00EB6EFC">
        <w:rPr>
          <w:rFonts w:ascii="Arial Narrow" w:hAnsi="Arial Narrow" w:cs="Arial"/>
          <w:b/>
          <w:sz w:val="20"/>
          <w:szCs w:val="20"/>
        </w:rPr>
        <w:t>s</w:t>
      </w:r>
      <w:r w:rsidRPr="00EB6EFC">
        <w:rPr>
          <w:rFonts w:ascii="Arial Narrow" w:hAnsi="Arial Narrow" w:cs="Arial"/>
          <w:b/>
          <w:sz w:val="20"/>
          <w:szCs w:val="20"/>
        </w:rPr>
        <w:t xml:space="preserve"> in </w:t>
      </w:r>
      <w:r w:rsidR="007B6FF4" w:rsidRPr="00EB6EFC">
        <w:rPr>
          <w:rFonts w:ascii="Arial Narrow" w:hAnsi="Arial Narrow" w:cs="Arial"/>
          <w:b/>
          <w:sz w:val="20"/>
          <w:szCs w:val="20"/>
        </w:rPr>
        <w:t xml:space="preserve">the </w:t>
      </w:r>
      <w:r w:rsidR="00993564">
        <w:rPr>
          <w:rFonts w:ascii="Arial Narrow" w:hAnsi="Arial Narrow" w:cs="Arial"/>
          <w:b/>
          <w:sz w:val="20"/>
          <w:szCs w:val="20"/>
        </w:rPr>
        <w:t>resubmission</w:t>
      </w:r>
      <w:r w:rsidR="007B6FF4" w:rsidRPr="00EB6EFC">
        <w:rPr>
          <w:rFonts w:ascii="Arial Narrow" w:hAnsi="Arial Narrow" w:cs="Arial"/>
          <w:b/>
          <w:sz w:val="20"/>
          <w:szCs w:val="20"/>
        </w:rPr>
        <w:t xml:space="preserve"> versus the </w:t>
      </w:r>
      <w:r w:rsidRPr="00EB6EFC">
        <w:rPr>
          <w:rFonts w:ascii="Arial Narrow" w:hAnsi="Arial Narrow" w:cs="Arial"/>
          <w:b/>
          <w:sz w:val="20"/>
          <w:szCs w:val="20"/>
        </w:rPr>
        <w:t>pre</w:t>
      </w:r>
      <w:r w:rsidR="00E632A3">
        <w:rPr>
          <w:rFonts w:ascii="Arial Narrow" w:hAnsi="Arial Narrow" w:cs="Arial"/>
          <w:b/>
          <w:sz w:val="20"/>
          <w:szCs w:val="20"/>
        </w:rPr>
        <w:t>vious submission</w:t>
      </w:r>
    </w:p>
    <w:tbl>
      <w:tblPr>
        <w:tblStyle w:val="TableGrid"/>
        <w:tblW w:w="8363" w:type="dxa"/>
        <w:tblInd w:w="817" w:type="dxa"/>
        <w:tblLayout w:type="fixed"/>
        <w:tblLook w:val="04A0" w:firstRow="1" w:lastRow="0" w:firstColumn="1" w:lastColumn="0" w:noHBand="0" w:noVBand="1"/>
        <w:tblCaption w:val="Summary of economic model inputs in previous submission and current resubmission"/>
      </w:tblPr>
      <w:tblGrid>
        <w:gridCol w:w="1701"/>
        <w:gridCol w:w="1985"/>
        <w:gridCol w:w="992"/>
        <w:gridCol w:w="1417"/>
        <w:gridCol w:w="2268"/>
      </w:tblGrid>
      <w:tr w:rsidR="00A6525A" w:rsidRPr="00EB6EFC" w:rsidTr="00B35332">
        <w:trPr>
          <w:cantSplit/>
          <w:tblHeader/>
        </w:trPr>
        <w:tc>
          <w:tcPr>
            <w:tcW w:w="1701" w:type="dxa"/>
            <w:tcMar>
              <w:left w:w="85" w:type="dxa"/>
              <w:right w:w="85" w:type="dxa"/>
            </w:tcMar>
          </w:tcPr>
          <w:p w:rsidR="00A6525A" w:rsidRPr="00EB6EFC" w:rsidRDefault="00A6525A" w:rsidP="00E87733">
            <w:pPr>
              <w:keepNext/>
              <w:keepLines/>
              <w:ind w:hanging="720"/>
              <w:rPr>
                <w:rFonts w:ascii="Arial Narrow" w:hAnsi="Arial Narrow"/>
                <w:b/>
                <w:sz w:val="20"/>
                <w:szCs w:val="20"/>
              </w:rPr>
            </w:pPr>
          </w:p>
        </w:tc>
        <w:tc>
          <w:tcPr>
            <w:tcW w:w="2977" w:type="dxa"/>
            <w:gridSpan w:val="2"/>
            <w:tcMar>
              <w:left w:w="85" w:type="dxa"/>
              <w:right w:w="85" w:type="dxa"/>
            </w:tcMar>
            <w:vAlign w:val="center"/>
          </w:tcPr>
          <w:p w:rsidR="00A6525A" w:rsidRPr="00EB6EFC" w:rsidRDefault="00A6525A" w:rsidP="00433E57">
            <w:pPr>
              <w:keepNext/>
              <w:keepLines/>
              <w:ind w:hanging="720"/>
              <w:jc w:val="center"/>
              <w:rPr>
                <w:rFonts w:ascii="Arial Narrow" w:hAnsi="Arial Narrow"/>
                <w:b/>
                <w:sz w:val="20"/>
                <w:szCs w:val="20"/>
              </w:rPr>
            </w:pPr>
            <w:r w:rsidRPr="00EB6EFC">
              <w:rPr>
                <w:rFonts w:ascii="Arial Narrow" w:hAnsi="Arial Narrow"/>
                <w:b/>
                <w:sz w:val="20"/>
                <w:szCs w:val="20"/>
              </w:rPr>
              <w:t>Previous consideration</w:t>
            </w:r>
          </w:p>
        </w:tc>
        <w:tc>
          <w:tcPr>
            <w:tcW w:w="3685" w:type="dxa"/>
            <w:gridSpan w:val="2"/>
            <w:tcMar>
              <w:left w:w="85" w:type="dxa"/>
              <w:right w:w="85" w:type="dxa"/>
            </w:tcMar>
          </w:tcPr>
          <w:p w:rsidR="00A6525A" w:rsidRPr="00EB6EFC" w:rsidRDefault="00993564" w:rsidP="00E87733">
            <w:pPr>
              <w:keepNext/>
              <w:keepLines/>
              <w:ind w:hanging="720"/>
              <w:jc w:val="center"/>
              <w:rPr>
                <w:rFonts w:ascii="Arial Narrow" w:hAnsi="Arial Narrow"/>
                <w:b/>
                <w:sz w:val="20"/>
                <w:szCs w:val="20"/>
              </w:rPr>
            </w:pPr>
            <w:r>
              <w:rPr>
                <w:rFonts w:ascii="Arial Narrow" w:hAnsi="Arial Narrow"/>
                <w:b/>
                <w:sz w:val="20"/>
                <w:szCs w:val="20"/>
              </w:rPr>
              <w:t>Resubmission</w:t>
            </w:r>
            <w:r w:rsidR="00A6525A" w:rsidRPr="00EB6EFC">
              <w:rPr>
                <w:rFonts w:ascii="Arial Narrow" w:hAnsi="Arial Narrow"/>
                <w:b/>
                <w:sz w:val="20"/>
                <w:szCs w:val="20"/>
              </w:rPr>
              <w:t xml:space="preserve"> </w:t>
            </w:r>
          </w:p>
        </w:tc>
      </w:tr>
      <w:tr w:rsidR="00E87733" w:rsidRPr="00EB6EFC" w:rsidTr="00B35332">
        <w:trPr>
          <w:cantSplit/>
          <w:tblHeader/>
        </w:trPr>
        <w:tc>
          <w:tcPr>
            <w:tcW w:w="1701" w:type="dxa"/>
            <w:tcMar>
              <w:left w:w="85" w:type="dxa"/>
              <w:right w:w="85" w:type="dxa"/>
            </w:tcMar>
          </w:tcPr>
          <w:p w:rsidR="00A6525A" w:rsidRPr="00EB6EFC" w:rsidRDefault="00A6525A" w:rsidP="007B6FF4">
            <w:pPr>
              <w:keepNext/>
              <w:keepLines/>
              <w:ind w:firstLine="34"/>
              <w:rPr>
                <w:rFonts w:ascii="Arial Narrow" w:hAnsi="Arial Narrow"/>
                <w:b/>
                <w:sz w:val="20"/>
                <w:szCs w:val="20"/>
              </w:rPr>
            </w:pPr>
            <w:r w:rsidRPr="00EB6EFC">
              <w:rPr>
                <w:rFonts w:ascii="Arial Narrow" w:hAnsi="Arial Narrow"/>
                <w:b/>
                <w:sz w:val="20"/>
                <w:szCs w:val="20"/>
              </w:rPr>
              <w:t>Parameter</w:t>
            </w:r>
          </w:p>
        </w:tc>
        <w:tc>
          <w:tcPr>
            <w:tcW w:w="1985" w:type="dxa"/>
            <w:tcMar>
              <w:left w:w="85" w:type="dxa"/>
              <w:right w:w="85" w:type="dxa"/>
            </w:tcMar>
          </w:tcPr>
          <w:p w:rsidR="00A6525A" w:rsidRPr="00EB6EFC" w:rsidRDefault="00A6525A" w:rsidP="007B6FF4">
            <w:pPr>
              <w:keepNext/>
              <w:keepLines/>
              <w:rPr>
                <w:rFonts w:ascii="Arial Narrow" w:hAnsi="Arial Narrow"/>
                <w:b/>
                <w:sz w:val="20"/>
                <w:szCs w:val="20"/>
              </w:rPr>
            </w:pPr>
            <w:r w:rsidRPr="00EB6EFC">
              <w:rPr>
                <w:rFonts w:ascii="Arial Narrow" w:hAnsi="Arial Narrow"/>
                <w:b/>
                <w:sz w:val="20"/>
                <w:szCs w:val="20"/>
              </w:rPr>
              <w:t>Previous submission</w:t>
            </w:r>
          </w:p>
        </w:tc>
        <w:tc>
          <w:tcPr>
            <w:tcW w:w="992" w:type="dxa"/>
            <w:tcMar>
              <w:left w:w="85" w:type="dxa"/>
              <w:right w:w="85" w:type="dxa"/>
            </w:tcMar>
          </w:tcPr>
          <w:p w:rsidR="00A6525A" w:rsidRPr="00EB6EFC" w:rsidRDefault="00A6525A" w:rsidP="007B6FF4">
            <w:pPr>
              <w:keepNext/>
              <w:keepLines/>
              <w:ind w:left="-58"/>
              <w:rPr>
                <w:rFonts w:ascii="Arial Narrow" w:hAnsi="Arial Narrow"/>
                <w:b/>
                <w:sz w:val="20"/>
                <w:szCs w:val="20"/>
              </w:rPr>
            </w:pPr>
            <w:r w:rsidRPr="00EB6EFC">
              <w:rPr>
                <w:rFonts w:ascii="Arial Narrow" w:hAnsi="Arial Narrow"/>
                <w:b/>
                <w:sz w:val="20"/>
                <w:szCs w:val="20"/>
              </w:rPr>
              <w:t>PBAC requested</w:t>
            </w:r>
          </w:p>
        </w:tc>
        <w:tc>
          <w:tcPr>
            <w:tcW w:w="1417" w:type="dxa"/>
            <w:tcMar>
              <w:left w:w="85" w:type="dxa"/>
              <w:right w:w="85" w:type="dxa"/>
            </w:tcMar>
          </w:tcPr>
          <w:p w:rsidR="00A6525A" w:rsidRPr="00EB6EFC" w:rsidRDefault="00993564" w:rsidP="007B6FF4">
            <w:pPr>
              <w:keepNext/>
              <w:keepLines/>
              <w:ind w:firstLine="34"/>
              <w:rPr>
                <w:rFonts w:ascii="Arial Narrow" w:hAnsi="Arial Narrow"/>
                <w:b/>
                <w:sz w:val="20"/>
                <w:szCs w:val="20"/>
              </w:rPr>
            </w:pPr>
            <w:r>
              <w:rPr>
                <w:rFonts w:ascii="Arial Narrow" w:hAnsi="Arial Narrow"/>
                <w:b/>
                <w:sz w:val="20"/>
                <w:szCs w:val="20"/>
              </w:rPr>
              <w:t>Resubmission</w:t>
            </w:r>
            <w:r w:rsidR="00A6525A" w:rsidRPr="00EB6EFC">
              <w:t xml:space="preserve"> </w:t>
            </w:r>
          </w:p>
        </w:tc>
        <w:tc>
          <w:tcPr>
            <w:tcW w:w="2268" w:type="dxa"/>
            <w:tcMar>
              <w:left w:w="85" w:type="dxa"/>
              <w:right w:w="85" w:type="dxa"/>
            </w:tcMar>
          </w:tcPr>
          <w:p w:rsidR="00A6525A" w:rsidRPr="00EB6EFC" w:rsidRDefault="00A6525A" w:rsidP="007B6FF4">
            <w:pPr>
              <w:keepNext/>
              <w:keepLines/>
              <w:ind w:firstLine="34"/>
              <w:rPr>
                <w:rFonts w:ascii="Arial Narrow" w:hAnsi="Arial Narrow"/>
                <w:b/>
                <w:sz w:val="20"/>
                <w:szCs w:val="20"/>
              </w:rPr>
            </w:pPr>
            <w:r w:rsidRPr="00EB6EFC">
              <w:rPr>
                <w:rFonts w:ascii="Arial Narrow" w:hAnsi="Arial Narrow"/>
                <w:b/>
                <w:sz w:val="20"/>
                <w:szCs w:val="20"/>
              </w:rPr>
              <w:t>Basis/comment</w:t>
            </w:r>
          </w:p>
        </w:tc>
      </w:tr>
      <w:tr w:rsidR="00E87733" w:rsidRPr="00EB6EFC" w:rsidTr="00B35332">
        <w:trPr>
          <w:cantSplit/>
        </w:trPr>
        <w:tc>
          <w:tcPr>
            <w:tcW w:w="1701" w:type="dxa"/>
            <w:tcMar>
              <w:left w:w="85" w:type="dxa"/>
              <w:right w:w="85" w:type="dxa"/>
            </w:tcMar>
          </w:tcPr>
          <w:p w:rsidR="00A6525A" w:rsidRPr="00EB6EFC" w:rsidRDefault="00870B3A" w:rsidP="007B6FF4">
            <w:pPr>
              <w:rPr>
                <w:rFonts w:ascii="Arial Narrow" w:hAnsi="Arial Narrow"/>
                <w:sz w:val="20"/>
                <w:szCs w:val="20"/>
              </w:rPr>
            </w:pPr>
            <w:r>
              <w:rPr>
                <w:rFonts w:ascii="Arial Narrow" w:hAnsi="Arial Narrow"/>
                <w:sz w:val="20"/>
                <w:szCs w:val="20"/>
              </w:rPr>
              <w:t>Vismodegib: response rate</w:t>
            </w:r>
          </w:p>
        </w:tc>
        <w:tc>
          <w:tcPr>
            <w:tcW w:w="1985" w:type="dxa"/>
            <w:tcMar>
              <w:left w:w="85" w:type="dxa"/>
              <w:right w:w="85" w:type="dxa"/>
            </w:tcMar>
          </w:tcPr>
          <w:p w:rsidR="00A6525A" w:rsidRPr="00EB6EFC" w:rsidRDefault="00A6525A" w:rsidP="007B6FF4">
            <w:pPr>
              <w:rPr>
                <w:rFonts w:ascii="Arial Narrow" w:hAnsi="Arial Narrow"/>
                <w:sz w:val="20"/>
                <w:szCs w:val="20"/>
              </w:rPr>
            </w:pPr>
            <w:r w:rsidRPr="00EB6EFC">
              <w:rPr>
                <w:rFonts w:ascii="Arial Narrow" w:hAnsi="Arial Narrow"/>
                <w:sz w:val="20"/>
                <w:szCs w:val="20"/>
              </w:rPr>
              <w:t>64.9%</w:t>
            </w:r>
          </w:p>
        </w:tc>
        <w:tc>
          <w:tcPr>
            <w:tcW w:w="992" w:type="dxa"/>
            <w:tcMar>
              <w:left w:w="85" w:type="dxa"/>
              <w:right w:w="85" w:type="dxa"/>
            </w:tcMar>
          </w:tcPr>
          <w:p w:rsidR="00A6525A" w:rsidRPr="00EB6EFC" w:rsidRDefault="00A6525A" w:rsidP="007B6FF4">
            <w:pPr>
              <w:rPr>
                <w:rFonts w:ascii="Arial Narrow" w:hAnsi="Arial Narrow"/>
                <w:sz w:val="20"/>
                <w:szCs w:val="20"/>
              </w:rPr>
            </w:pPr>
            <w:r w:rsidRPr="00EB6EFC">
              <w:rPr>
                <w:rFonts w:ascii="Arial Narrow" w:hAnsi="Arial Narrow"/>
                <w:sz w:val="20"/>
                <w:szCs w:val="20"/>
              </w:rPr>
              <w:t>50%</w:t>
            </w:r>
          </w:p>
        </w:tc>
        <w:tc>
          <w:tcPr>
            <w:tcW w:w="1417" w:type="dxa"/>
            <w:tcMar>
              <w:left w:w="85" w:type="dxa"/>
              <w:right w:w="85" w:type="dxa"/>
            </w:tcMar>
          </w:tcPr>
          <w:p w:rsidR="00A6525A" w:rsidRPr="00EB6EFC" w:rsidRDefault="00A6525A" w:rsidP="007B6FF4">
            <w:pPr>
              <w:rPr>
                <w:rFonts w:ascii="Arial Narrow" w:hAnsi="Arial Narrow"/>
                <w:sz w:val="20"/>
                <w:szCs w:val="20"/>
              </w:rPr>
            </w:pPr>
            <w:r w:rsidRPr="00EB6EFC">
              <w:rPr>
                <w:rFonts w:ascii="Arial Narrow" w:hAnsi="Arial Narrow"/>
                <w:sz w:val="20"/>
                <w:szCs w:val="20"/>
              </w:rPr>
              <w:t>64.9%</w:t>
            </w:r>
          </w:p>
        </w:tc>
        <w:tc>
          <w:tcPr>
            <w:tcW w:w="2268" w:type="dxa"/>
            <w:tcMar>
              <w:left w:w="85" w:type="dxa"/>
              <w:right w:w="85" w:type="dxa"/>
            </w:tcMar>
          </w:tcPr>
          <w:p w:rsidR="00870B3A" w:rsidRPr="00EB6EFC" w:rsidRDefault="00A6525A" w:rsidP="00433E57">
            <w:pPr>
              <w:rPr>
                <w:rFonts w:ascii="Arial Narrow" w:hAnsi="Arial Narrow"/>
                <w:sz w:val="20"/>
                <w:szCs w:val="20"/>
              </w:rPr>
            </w:pPr>
            <w:r w:rsidRPr="00EB6EFC">
              <w:rPr>
                <w:rFonts w:ascii="Arial Narrow" w:hAnsi="Arial Narrow"/>
                <w:sz w:val="20"/>
                <w:szCs w:val="20"/>
              </w:rPr>
              <w:t xml:space="preserve">Unchanged </w:t>
            </w:r>
            <w:r w:rsidRPr="00176FFA">
              <w:rPr>
                <w:rFonts w:ascii="Arial Narrow" w:hAnsi="Arial Narrow"/>
                <w:sz w:val="20"/>
                <w:szCs w:val="20"/>
              </w:rPr>
              <w:t>despite PBAC request</w:t>
            </w:r>
            <w:r w:rsidR="00433E57" w:rsidRPr="00176FFA">
              <w:rPr>
                <w:rFonts w:ascii="Arial Narrow" w:hAnsi="Arial Narrow"/>
                <w:sz w:val="20"/>
                <w:szCs w:val="20"/>
              </w:rPr>
              <w:t xml:space="preserve">. Based on </w:t>
            </w:r>
            <w:r w:rsidR="00CF222C" w:rsidRPr="00176FFA">
              <w:rPr>
                <w:rFonts w:ascii="Arial Narrow" w:hAnsi="Arial Narrow"/>
                <w:sz w:val="20"/>
                <w:szCs w:val="20"/>
              </w:rPr>
              <w:t>updated data-cut</w:t>
            </w:r>
            <w:r w:rsidR="00D84CC3" w:rsidRPr="00176FFA">
              <w:rPr>
                <w:rFonts w:ascii="Arial Narrow" w:hAnsi="Arial Narrow"/>
                <w:sz w:val="20"/>
                <w:szCs w:val="20"/>
              </w:rPr>
              <w:t xml:space="preserve"> </w:t>
            </w:r>
            <w:r w:rsidR="00433E57" w:rsidRPr="00176FFA">
              <w:rPr>
                <w:rFonts w:ascii="Arial Narrow" w:hAnsi="Arial Narrow"/>
                <w:sz w:val="20"/>
                <w:szCs w:val="20"/>
              </w:rPr>
              <w:t>from</w:t>
            </w:r>
            <w:r w:rsidR="00D84CC3" w:rsidRPr="00176FFA">
              <w:rPr>
                <w:rFonts w:ascii="Arial Narrow" w:hAnsi="Arial Narrow"/>
                <w:sz w:val="20"/>
                <w:szCs w:val="20"/>
              </w:rPr>
              <w:t xml:space="preserve"> STEVIE </w:t>
            </w:r>
            <w:r w:rsidR="00433E57" w:rsidRPr="00176FFA">
              <w:rPr>
                <w:rFonts w:ascii="Arial Narrow" w:hAnsi="Arial Narrow"/>
                <w:sz w:val="20"/>
                <w:szCs w:val="20"/>
              </w:rPr>
              <w:t>study</w:t>
            </w:r>
            <w:r w:rsidR="00196876" w:rsidRPr="00EB6EFC">
              <w:rPr>
                <w:rFonts w:ascii="Arial Narrow" w:hAnsi="Arial Narrow"/>
                <w:sz w:val="20"/>
                <w:szCs w:val="20"/>
              </w:rPr>
              <w:t>.</w:t>
            </w:r>
          </w:p>
        </w:tc>
      </w:tr>
      <w:tr w:rsidR="00E87733" w:rsidRPr="00EB6EFC" w:rsidTr="00B35332">
        <w:trPr>
          <w:cantSplit/>
        </w:trPr>
        <w:tc>
          <w:tcPr>
            <w:tcW w:w="1701" w:type="dxa"/>
            <w:tcMar>
              <w:left w:w="85" w:type="dxa"/>
              <w:right w:w="85" w:type="dxa"/>
            </w:tcMar>
          </w:tcPr>
          <w:p w:rsidR="00A6525A" w:rsidRPr="00EB6EFC" w:rsidRDefault="00A6525A" w:rsidP="007B6FF4">
            <w:pPr>
              <w:rPr>
                <w:rFonts w:ascii="Arial Narrow" w:hAnsi="Arial Narrow"/>
                <w:sz w:val="20"/>
                <w:szCs w:val="20"/>
              </w:rPr>
            </w:pPr>
            <w:r w:rsidRPr="00EB6EFC">
              <w:rPr>
                <w:rFonts w:ascii="Arial Narrow" w:hAnsi="Arial Narrow"/>
                <w:sz w:val="20"/>
                <w:szCs w:val="20"/>
              </w:rPr>
              <w:t>Vismodegib: disfigurement rate</w:t>
            </w:r>
          </w:p>
        </w:tc>
        <w:tc>
          <w:tcPr>
            <w:tcW w:w="1985" w:type="dxa"/>
            <w:tcMar>
              <w:left w:w="85" w:type="dxa"/>
              <w:right w:w="85" w:type="dxa"/>
            </w:tcMar>
          </w:tcPr>
          <w:p w:rsidR="00A6525A" w:rsidRPr="00EB6EFC" w:rsidRDefault="00A6525A" w:rsidP="007B6FF4">
            <w:pPr>
              <w:rPr>
                <w:rFonts w:ascii="Arial Narrow" w:hAnsi="Arial Narrow"/>
                <w:sz w:val="20"/>
                <w:szCs w:val="20"/>
              </w:rPr>
            </w:pPr>
            <w:r w:rsidRPr="00EB6EFC">
              <w:rPr>
                <w:rFonts w:ascii="Arial Narrow" w:hAnsi="Arial Narrow"/>
                <w:sz w:val="20"/>
                <w:szCs w:val="20"/>
              </w:rPr>
              <w:t>0%</w:t>
            </w:r>
          </w:p>
        </w:tc>
        <w:tc>
          <w:tcPr>
            <w:tcW w:w="992" w:type="dxa"/>
            <w:tcMar>
              <w:left w:w="85" w:type="dxa"/>
              <w:right w:w="85" w:type="dxa"/>
            </w:tcMar>
          </w:tcPr>
          <w:p w:rsidR="00A6525A" w:rsidRPr="00EB6EFC" w:rsidRDefault="00A6525A" w:rsidP="007B6FF4">
            <w:pPr>
              <w:rPr>
                <w:rFonts w:ascii="Arial Narrow" w:hAnsi="Arial Narrow"/>
                <w:sz w:val="20"/>
                <w:szCs w:val="20"/>
              </w:rPr>
            </w:pPr>
            <w:r w:rsidRPr="00EB6EFC">
              <w:rPr>
                <w:rFonts w:ascii="Arial Narrow" w:hAnsi="Arial Narrow"/>
                <w:sz w:val="20"/>
                <w:szCs w:val="20"/>
              </w:rPr>
              <w:t>20%</w:t>
            </w:r>
          </w:p>
        </w:tc>
        <w:tc>
          <w:tcPr>
            <w:tcW w:w="1417" w:type="dxa"/>
            <w:tcMar>
              <w:left w:w="85" w:type="dxa"/>
              <w:right w:w="85" w:type="dxa"/>
            </w:tcMar>
          </w:tcPr>
          <w:p w:rsidR="00A6525A" w:rsidRPr="00EB6EFC" w:rsidRDefault="00A6525A" w:rsidP="007B6FF4">
            <w:pPr>
              <w:rPr>
                <w:rFonts w:ascii="Arial Narrow" w:hAnsi="Arial Narrow"/>
                <w:sz w:val="20"/>
                <w:szCs w:val="20"/>
              </w:rPr>
            </w:pPr>
            <w:r w:rsidRPr="00EB6EFC">
              <w:rPr>
                <w:rFonts w:ascii="Arial Narrow" w:hAnsi="Arial Narrow"/>
                <w:sz w:val="20"/>
                <w:szCs w:val="20"/>
              </w:rPr>
              <w:t xml:space="preserve">10% </w:t>
            </w:r>
          </w:p>
        </w:tc>
        <w:tc>
          <w:tcPr>
            <w:tcW w:w="2268" w:type="dxa"/>
            <w:tcMar>
              <w:left w:w="85" w:type="dxa"/>
              <w:right w:w="85" w:type="dxa"/>
            </w:tcMar>
          </w:tcPr>
          <w:p w:rsidR="00A6525A" w:rsidRPr="00176FFA" w:rsidRDefault="00D84CC3" w:rsidP="00433E57">
            <w:pPr>
              <w:rPr>
                <w:rFonts w:ascii="Arial Narrow" w:hAnsi="Arial Narrow"/>
                <w:sz w:val="20"/>
                <w:szCs w:val="20"/>
              </w:rPr>
            </w:pPr>
            <w:r w:rsidRPr="00176FFA">
              <w:rPr>
                <w:rFonts w:ascii="Arial Narrow" w:hAnsi="Arial Narrow"/>
                <w:sz w:val="20"/>
                <w:szCs w:val="20"/>
              </w:rPr>
              <w:t>Mid-way between previous submission and PBAC request</w:t>
            </w:r>
            <w:r w:rsidR="00433E57" w:rsidRPr="00176FFA">
              <w:rPr>
                <w:rFonts w:ascii="Arial Narrow" w:hAnsi="Arial Narrow"/>
                <w:sz w:val="20"/>
                <w:szCs w:val="20"/>
              </w:rPr>
              <w:t xml:space="preserve">. Based on </w:t>
            </w:r>
            <w:r w:rsidRPr="00176FFA">
              <w:rPr>
                <w:rFonts w:ascii="Arial Narrow" w:hAnsi="Arial Narrow"/>
                <w:sz w:val="20"/>
                <w:szCs w:val="20"/>
              </w:rPr>
              <w:t>a survey of 2 clinicians and to reflect the clinical uncertainty.</w:t>
            </w:r>
          </w:p>
        </w:tc>
      </w:tr>
      <w:tr w:rsidR="0053692B" w:rsidRPr="00EB6EFC" w:rsidTr="00B35332">
        <w:trPr>
          <w:cantSplit/>
        </w:trPr>
        <w:tc>
          <w:tcPr>
            <w:tcW w:w="1701" w:type="dxa"/>
            <w:tcMar>
              <w:left w:w="85" w:type="dxa"/>
              <w:right w:w="85" w:type="dxa"/>
            </w:tcMar>
          </w:tcPr>
          <w:p w:rsidR="0053692B" w:rsidRPr="00EB6EFC" w:rsidRDefault="0053692B" w:rsidP="005E3DF9">
            <w:pPr>
              <w:keepNext/>
              <w:keepLines/>
              <w:ind w:firstLine="34"/>
              <w:rPr>
                <w:rFonts w:ascii="Arial Narrow" w:hAnsi="Arial Narrow"/>
                <w:sz w:val="20"/>
                <w:szCs w:val="20"/>
              </w:rPr>
            </w:pPr>
            <w:r w:rsidRPr="00EB6EFC">
              <w:rPr>
                <w:rFonts w:ascii="Arial Narrow" w:hAnsi="Arial Narrow"/>
                <w:sz w:val="20"/>
                <w:szCs w:val="20"/>
              </w:rPr>
              <w:t>Surgery: response rate</w:t>
            </w:r>
          </w:p>
        </w:tc>
        <w:tc>
          <w:tcPr>
            <w:tcW w:w="1985" w:type="dxa"/>
            <w:tcMar>
              <w:left w:w="85" w:type="dxa"/>
              <w:right w:w="85" w:type="dxa"/>
            </w:tcMar>
          </w:tcPr>
          <w:p w:rsidR="0053692B" w:rsidRPr="00EB6EFC" w:rsidRDefault="0053692B" w:rsidP="005E3DF9">
            <w:pPr>
              <w:keepNext/>
              <w:keepLines/>
              <w:rPr>
                <w:rFonts w:ascii="Arial Narrow" w:hAnsi="Arial Narrow"/>
                <w:sz w:val="20"/>
                <w:szCs w:val="20"/>
              </w:rPr>
            </w:pPr>
            <w:r w:rsidRPr="00EB6EFC">
              <w:rPr>
                <w:rFonts w:ascii="Arial Narrow" w:hAnsi="Arial Narrow"/>
                <w:sz w:val="20"/>
                <w:szCs w:val="20"/>
              </w:rPr>
              <w:t>90.7% (PSCR’s revised base case; 53.4% in original submission)</w:t>
            </w:r>
          </w:p>
        </w:tc>
        <w:tc>
          <w:tcPr>
            <w:tcW w:w="992" w:type="dxa"/>
            <w:tcMar>
              <w:left w:w="85" w:type="dxa"/>
              <w:right w:w="85" w:type="dxa"/>
            </w:tcMar>
          </w:tcPr>
          <w:p w:rsidR="0053692B" w:rsidRPr="00EB6EFC" w:rsidRDefault="0053692B" w:rsidP="005E3DF9">
            <w:pPr>
              <w:keepNext/>
              <w:keepLines/>
              <w:ind w:hanging="58"/>
              <w:rPr>
                <w:rFonts w:ascii="Arial Narrow" w:hAnsi="Arial Narrow"/>
                <w:sz w:val="20"/>
                <w:szCs w:val="20"/>
              </w:rPr>
            </w:pPr>
            <w:r w:rsidRPr="00EB6EFC">
              <w:rPr>
                <w:rFonts w:ascii="Arial Narrow" w:hAnsi="Arial Narrow"/>
                <w:sz w:val="20"/>
                <w:szCs w:val="20"/>
              </w:rPr>
              <w:t>90.7%</w:t>
            </w:r>
          </w:p>
        </w:tc>
        <w:tc>
          <w:tcPr>
            <w:tcW w:w="1417" w:type="dxa"/>
            <w:tcMar>
              <w:left w:w="85" w:type="dxa"/>
              <w:right w:w="85" w:type="dxa"/>
            </w:tcMar>
          </w:tcPr>
          <w:p w:rsidR="0053692B" w:rsidRPr="00EB6EFC" w:rsidRDefault="0053692B" w:rsidP="005E3DF9">
            <w:pPr>
              <w:keepNext/>
              <w:keepLines/>
              <w:ind w:hanging="58"/>
              <w:rPr>
                <w:rFonts w:ascii="Arial Narrow" w:hAnsi="Arial Narrow"/>
                <w:sz w:val="20"/>
                <w:szCs w:val="20"/>
              </w:rPr>
            </w:pPr>
            <w:r w:rsidRPr="00EB6EFC">
              <w:rPr>
                <w:rFonts w:ascii="Arial Narrow" w:hAnsi="Arial Narrow"/>
                <w:sz w:val="20"/>
                <w:szCs w:val="20"/>
              </w:rPr>
              <w:t>90.7%</w:t>
            </w:r>
          </w:p>
        </w:tc>
        <w:tc>
          <w:tcPr>
            <w:tcW w:w="2268" w:type="dxa"/>
            <w:tcMar>
              <w:left w:w="85" w:type="dxa"/>
              <w:right w:w="85" w:type="dxa"/>
            </w:tcMar>
          </w:tcPr>
          <w:p w:rsidR="0053692B" w:rsidRPr="00176FFA" w:rsidRDefault="0053692B" w:rsidP="005E3DF9">
            <w:pPr>
              <w:keepNext/>
              <w:keepLines/>
              <w:ind w:hanging="58"/>
              <w:rPr>
                <w:rFonts w:ascii="Arial Narrow" w:hAnsi="Arial Narrow"/>
                <w:sz w:val="20"/>
                <w:szCs w:val="20"/>
              </w:rPr>
            </w:pPr>
            <w:r w:rsidRPr="00176FFA">
              <w:rPr>
                <w:rFonts w:ascii="Arial Narrow" w:hAnsi="Arial Narrow"/>
                <w:sz w:val="20"/>
                <w:szCs w:val="20"/>
              </w:rPr>
              <w:t>Appropriate</w:t>
            </w:r>
          </w:p>
        </w:tc>
      </w:tr>
      <w:tr w:rsidR="0053692B" w:rsidRPr="00EB6EFC" w:rsidTr="00B35332">
        <w:trPr>
          <w:cantSplit/>
        </w:trPr>
        <w:tc>
          <w:tcPr>
            <w:tcW w:w="1701" w:type="dxa"/>
            <w:tcMar>
              <w:left w:w="85" w:type="dxa"/>
              <w:right w:w="85" w:type="dxa"/>
            </w:tcMar>
          </w:tcPr>
          <w:p w:rsidR="0053692B" w:rsidRPr="00EB6EFC" w:rsidRDefault="0053692B" w:rsidP="007B6FF4">
            <w:pPr>
              <w:rPr>
                <w:rFonts w:ascii="Arial Narrow" w:hAnsi="Arial Narrow"/>
                <w:sz w:val="20"/>
                <w:szCs w:val="20"/>
              </w:rPr>
            </w:pPr>
            <w:r w:rsidRPr="00EB6EFC">
              <w:rPr>
                <w:rFonts w:ascii="Arial Narrow" w:hAnsi="Arial Narrow"/>
                <w:sz w:val="20"/>
                <w:szCs w:val="20"/>
              </w:rPr>
              <w:t>Rebate on vismodegib ex-manufacturer price</w:t>
            </w:r>
          </w:p>
        </w:tc>
        <w:tc>
          <w:tcPr>
            <w:tcW w:w="1985" w:type="dxa"/>
            <w:tcMar>
              <w:left w:w="85" w:type="dxa"/>
              <w:right w:w="85" w:type="dxa"/>
            </w:tcMar>
          </w:tcPr>
          <w:p w:rsidR="0053692B" w:rsidRPr="00EB6EFC" w:rsidRDefault="0053692B" w:rsidP="007B6FF4">
            <w:pPr>
              <w:rPr>
                <w:rFonts w:ascii="Arial Narrow" w:hAnsi="Arial Narrow"/>
                <w:sz w:val="20"/>
                <w:szCs w:val="20"/>
              </w:rPr>
            </w:pPr>
            <w:r w:rsidRPr="00EB6EFC">
              <w:rPr>
                <w:rFonts w:ascii="Arial Narrow" w:hAnsi="Arial Narrow"/>
                <w:sz w:val="20"/>
                <w:szCs w:val="20"/>
              </w:rPr>
              <w:t>0%</w:t>
            </w:r>
          </w:p>
          <w:p w:rsidR="0053692B" w:rsidRPr="00EB6EFC" w:rsidRDefault="0053692B" w:rsidP="007B6FF4">
            <w:pPr>
              <w:rPr>
                <w:rFonts w:ascii="Arial Narrow" w:hAnsi="Arial Narrow"/>
                <w:sz w:val="20"/>
                <w:szCs w:val="20"/>
              </w:rPr>
            </w:pPr>
            <w:r w:rsidRPr="00EB6EFC">
              <w:rPr>
                <w:rFonts w:ascii="Arial Narrow" w:hAnsi="Arial Narrow"/>
                <w:sz w:val="20"/>
                <w:szCs w:val="20"/>
              </w:rPr>
              <w:t>(i.e. no SPA requested)</w:t>
            </w:r>
          </w:p>
        </w:tc>
        <w:tc>
          <w:tcPr>
            <w:tcW w:w="992" w:type="dxa"/>
            <w:tcMar>
              <w:left w:w="85" w:type="dxa"/>
              <w:right w:w="85" w:type="dxa"/>
            </w:tcMar>
          </w:tcPr>
          <w:p w:rsidR="0053692B" w:rsidRPr="00EB6EFC" w:rsidRDefault="006505A5" w:rsidP="007B6FF4">
            <w:pPr>
              <w:rPr>
                <w:rFonts w:ascii="Arial Narrow" w:hAnsi="Arial Narrow"/>
                <w:sz w:val="20"/>
                <w:szCs w:val="20"/>
              </w:rPr>
            </w:pPr>
            <w:r>
              <w:rPr>
                <w:rFonts w:ascii="Arial Narrow" w:hAnsi="Arial Narrow"/>
                <w:noProof/>
                <w:color w:val="000000"/>
                <w:sz w:val="20"/>
                <w:szCs w:val="20"/>
                <w:highlight w:val="black"/>
              </w:rPr>
              <w:t>'''' ''''''</w:t>
            </w:r>
            <w:r w:rsidR="0053692B" w:rsidRPr="00EB6EFC">
              <w:rPr>
                <w:rFonts w:ascii="Arial Narrow" w:hAnsi="Arial Narrow"/>
                <w:sz w:val="20"/>
                <w:szCs w:val="20"/>
              </w:rPr>
              <w:t>%</w:t>
            </w:r>
          </w:p>
        </w:tc>
        <w:tc>
          <w:tcPr>
            <w:tcW w:w="1417" w:type="dxa"/>
            <w:tcMar>
              <w:left w:w="85" w:type="dxa"/>
              <w:right w:w="85" w:type="dxa"/>
            </w:tcMar>
          </w:tcPr>
          <w:p w:rsidR="0053692B" w:rsidRPr="00EB6EFC" w:rsidRDefault="006505A5" w:rsidP="007B6FF4">
            <w:pPr>
              <w:rPr>
                <w:rFonts w:ascii="Arial Narrow" w:hAnsi="Arial Narrow"/>
                <w:sz w:val="20"/>
                <w:szCs w:val="20"/>
              </w:rPr>
            </w:pPr>
            <w:r>
              <w:rPr>
                <w:rFonts w:ascii="Arial Narrow" w:hAnsi="Arial Narrow"/>
                <w:noProof/>
                <w:color w:val="000000"/>
                <w:sz w:val="20"/>
                <w:szCs w:val="20"/>
                <w:highlight w:val="black"/>
              </w:rPr>
              <w:t>''''''</w:t>
            </w:r>
            <w:r w:rsidR="0053692B" w:rsidRPr="00EB6EFC">
              <w:rPr>
                <w:rFonts w:ascii="Arial Narrow" w:hAnsi="Arial Narrow"/>
                <w:sz w:val="20"/>
                <w:szCs w:val="20"/>
              </w:rPr>
              <w:t xml:space="preserve">% </w:t>
            </w:r>
          </w:p>
        </w:tc>
        <w:tc>
          <w:tcPr>
            <w:tcW w:w="2268" w:type="dxa"/>
            <w:tcMar>
              <w:left w:w="85" w:type="dxa"/>
              <w:right w:w="85" w:type="dxa"/>
            </w:tcMar>
          </w:tcPr>
          <w:p w:rsidR="0053692B" w:rsidRPr="00EB6EFC" w:rsidRDefault="0053692B" w:rsidP="007B6FF4">
            <w:pPr>
              <w:rPr>
                <w:rFonts w:ascii="Arial Narrow" w:hAnsi="Arial Narrow"/>
                <w:sz w:val="20"/>
                <w:szCs w:val="20"/>
              </w:rPr>
            </w:pPr>
          </w:p>
        </w:tc>
      </w:tr>
      <w:tr w:rsidR="0053692B" w:rsidRPr="00EB6EFC" w:rsidTr="00B35332">
        <w:trPr>
          <w:cantSplit/>
        </w:trPr>
        <w:tc>
          <w:tcPr>
            <w:tcW w:w="1701" w:type="dxa"/>
            <w:tcMar>
              <w:left w:w="85" w:type="dxa"/>
              <w:right w:w="85" w:type="dxa"/>
            </w:tcMar>
          </w:tcPr>
          <w:p w:rsidR="0053692B" w:rsidRPr="00EB6EFC" w:rsidRDefault="0053692B" w:rsidP="00E13DCB">
            <w:pPr>
              <w:rPr>
                <w:rFonts w:ascii="Arial Narrow" w:hAnsi="Arial Narrow"/>
                <w:sz w:val="20"/>
                <w:szCs w:val="20"/>
              </w:rPr>
            </w:pPr>
            <w:r w:rsidRPr="00EB6EFC">
              <w:rPr>
                <w:rFonts w:ascii="Arial Narrow" w:hAnsi="Arial Narrow"/>
                <w:sz w:val="20"/>
                <w:szCs w:val="20"/>
              </w:rPr>
              <w:t>Effective DPMQ</w:t>
            </w:r>
          </w:p>
        </w:tc>
        <w:tc>
          <w:tcPr>
            <w:tcW w:w="1985" w:type="dxa"/>
            <w:tcMar>
              <w:left w:w="85" w:type="dxa"/>
              <w:right w:w="85" w:type="dxa"/>
            </w:tcMar>
          </w:tcPr>
          <w:p w:rsidR="0053692B" w:rsidRPr="00EB6EFC" w:rsidRDefault="0053692B" w:rsidP="007B6FF4">
            <w:pPr>
              <w:rPr>
                <w:rFonts w:ascii="Arial Narrow" w:hAnsi="Arial Narrow"/>
                <w:sz w:val="20"/>
                <w:szCs w:val="20"/>
              </w:rPr>
            </w:pPr>
            <w:r w:rsidRPr="00EB6EFC">
              <w:rPr>
                <w:rFonts w:ascii="Arial Narrow" w:hAnsi="Arial Narrow"/>
                <w:sz w:val="20"/>
                <w:szCs w:val="20"/>
              </w:rPr>
              <w:t>$</w:t>
            </w:r>
            <w:r w:rsidR="006505A5">
              <w:rPr>
                <w:rFonts w:ascii="Arial Narrow" w:hAnsi="Arial Narrow"/>
                <w:noProof/>
                <w:color w:val="000000"/>
                <w:sz w:val="20"/>
                <w:szCs w:val="20"/>
                <w:highlight w:val="black"/>
              </w:rPr>
              <w:t>'''''''''''''''''''''''</w:t>
            </w:r>
          </w:p>
        </w:tc>
        <w:tc>
          <w:tcPr>
            <w:tcW w:w="992" w:type="dxa"/>
            <w:tcMar>
              <w:left w:w="85" w:type="dxa"/>
              <w:right w:w="85" w:type="dxa"/>
            </w:tcMar>
          </w:tcPr>
          <w:p w:rsidR="0053692B" w:rsidRPr="00EB6EFC" w:rsidRDefault="0053692B" w:rsidP="007B6FF4">
            <w:pPr>
              <w:rPr>
                <w:rFonts w:ascii="Arial Narrow" w:hAnsi="Arial Narrow"/>
                <w:sz w:val="20"/>
                <w:szCs w:val="20"/>
              </w:rPr>
            </w:pPr>
          </w:p>
        </w:tc>
        <w:tc>
          <w:tcPr>
            <w:tcW w:w="1417" w:type="dxa"/>
            <w:tcMar>
              <w:left w:w="85" w:type="dxa"/>
              <w:right w:w="85" w:type="dxa"/>
            </w:tcMar>
          </w:tcPr>
          <w:p w:rsidR="0053692B" w:rsidRPr="00EB6EFC" w:rsidRDefault="0053692B" w:rsidP="00E13DCB">
            <w:pPr>
              <w:rPr>
                <w:rFonts w:ascii="Arial Narrow" w:hAnsi="Arial Narrow"/>
                <w:sz w:val="20"/>
                <w:szCs w:val="20"/>
              </w:rPr>
            </w:pPr>
            <w:r w:rsidRPr="00EB6EFC">
              <w:rPr>
                <w:rFonts w:ascii="Arial Narrow" w:hAnsi="Arial Narrow"/>
                <w:sz w:val="20"/>
                <w:szCs w:val="20"/>
              </w:rPr>
              <w:t>$</w:t>
            </w:r>
            <w:r w:rsidR="006505A5">
              <w:rPr>
                <w:rFonts w:ascii="Arial Narrow" w:hAnsi="Arial Narrow"/>
                <w:noProof/>
                <w:color w:val="000000"/>
                <w:sz w:val="20"/>
                <w:szCs w:val="20"/>
                <w:highlight w:val="black"/>
              </w:rPr>
              <w:t>'''''''''''''''''''''</w:t>
            </w:r>
          </w:p>
        </w:tc>
        <w:tc>
          <w:tcPr>
            <w:tcW w:w="2268" w:type="dxa"/>
            <w:tcMar>
              <w:left w:w="85" w:type="dxa"/>
              <w:right w:w="85" w:type="dxa"/>
            </w:tcMar>
          </w:tcPr>
          <w:p w:rsidR="0053692B" w:rsidRPr="00EB6EFC" w:rsidRDefault="0053692B" w:rsidP="00E13DCB">
            <w:pPr>
              <w:rPr>
                <w:rFonts w:ascii="Arial Narrow" w:hAnsi="Arial Narrow"/>
                <w:sz w:val="20"/>
                <w:szCs w:val="20"/>
              </w:rPr>
            </w:pPr>
            <w:r w:rsidRPr="00176FFA">
              <w:rPr>
                <w:rFonts w:ascii="Arial Narrow" w:hAnsi="Arial Narrow"/>
                <w:sz w:val="20"/>
                <w:szCs w:val="20"/>
              </w:rPr>
              <w:t>Includes</w:t>
            </w:r>
            <w:r w:rsidRPr="00131079">
              <w:rPr>
                <w:rFonts w:ascii="Arial Narrow" w:hAnsi="Arial Narrow"/>
                <w:sz w:val="20"/>
                <w:szCs w:val="20"/>
              </w:rPr>
              <w:t xml:space="preserve"> </w:t>
            </w:r>
            <w:r w:rsidR="006505A5">
              <w:rPr>
                <w:rFonts w:ascii="Arial Narrow" w:hAnsi="Arial Narrow"/>
                <w:noProof/>
                <w:color w:val="000000"/>
                <w:sz w:val="20"/>
                <w:szCs w:val="20"/>
                <w:highlight w:val="black"/>
              </w:rPr>
              <w:t>''''''</w:t>
            </w:r>
            <w:r w:rsidRPr="00176FFA">
              <w:rPr>
                <w:rFonts w:ascii="Arial Narrow" w:hAnsi="Arial Narrow"/>
                <w:sz w:val="20"/>
                <w:szCs w:val="20"/>
              </w:rPr>
              <w:t>% rebate, plus appropriately updated to reflect 1 July 2016 dispensing fees and mark-ups</w:t>
            </w:r>
            <w:r w:rsidR="00196876" w:rsidRPr="00EB6EFC">
              <w:rPr>
                <w:rFonts w:ascii="Arial Narrow" w:hAnsi="Arial Narrow"/>
                <w:sz w:val="20"/>
                <w:szCs w:val="20"/>
              </w:rPr>
              <w:t>.</w:t>
            </w:r>
            <w:r w:rsidRPr="00176FFA">
              <w:rPr>
                <w:rFonts w:ascii="Arial Narrow" w:hAnsi="Arial Narrow"/>
                <w:sz w:val="20"/>
                <w:szCs w:val="20"/>
              </w:rPr>
              <w:t xml:space="preserve"> </w:t>
            </w:r>
          </w:p>
        </w:tc>
      </w:tr>
      <w:tr w:rsidR="00852FA4" w:rsidRPr="00EB6EFC" w:rsidTr="00B35332">
        <w:trPr>
          <w:cantSplit/>
        </w:trPr>
        <w:tc>
          <w:tcPr>
            <w:tcW w:w="1701" w:type="dxa"/>
            <w:tcMar>
              <w:left w:w="85" w:type="dxa"/>
              <w:right w:w="85" w:type="dxa"/>
            </w:tcMar>
          </w:tcPr>
          <w:p w:rsidR="00852FA4" w:rsidRPr="00EB6EFC" w:rsidRDefault="00852FA4" w:rsidP="003C50B7">
            <w:pPr>
              <w:rPr>
                <w:rFonts w:ascii="Arial Narrow" w:hAnsi="Arial Narrow"/>
                <w:sz w:val="20"/>
                <w:szCs w:val="20"/>
              </w:rPr>
            </w:pPr>
            <w:r w:rsidRPr="00EB6EFC">
              <w:rPr>
                <w:rFonts w:ascii="Arial Narrow" w:hAnsi="Arial Narrow"/>
                <w:sz w:val="20"/>
                <w:szCs w:val="20"/>
              </w:rPr>
              <w:t>Unit cost of serious pneumonia AEs: vismodegib arm (public setting)</w:t>
            </w:r>
          </w:p>
        </w:tc>
        <w:tc>
          <w:tcPr>
            <w:tcW w:w="1985" w:type="dxa"/>
            <w:tcMar>
              <w:left w:w="85" w:type="dxa"/>
              <w:right w:w="85" w:type="dxa"/>
            </w:tcMar>
          </w:tcPr>
          <w:p w:rsidR="00852FA4" w:rsidRPr="00EB6EFC" w:rsidRDefault="00852FA4" w:rsidP="007B6FF4">
            <w:pPr>
              <w:rPr>
                <w:rFonts w:ascii="Arial Narrow" w:hAnsi="Arial Narrow"/>
                <w:sz w:val="20"/>
                <w:szCs w:val="20"/>
              </w:rPr>
            </w:pPr>
            <w:r w:rsidRPr="00EB6EFC">
              <w:rPr>
                <w:rFonts w:ascii="Arial Narrow" w:hAnsi="Arial Narrow"/>
                <w:sz w:val="20"/>
                <w:szCs w:val="20"/>
              </w:rPr>
              <w:t>$</w:t>
            </w:r>
            <w:r w:rsidR="006505A5">
              <w:rPr>
                <w:rFonts w:ascii="Arial Narrow" w:hAnsi="Arial Narrow"/>
                <w:noProof/>
                <w:color w:val="000000"/>
                <w:sz w:val="20"/>
                <w:szCs w:val="20"/>
                <w:highlight w:val="black"/>
              </w:rPr>
              <w:t>'''''''''''''</w:t>
            </w:r>
            <w:r w:rsidRPr="00EB6EFC">
              <w:rPr>
                <w:rFonts w:ascii="Arial Narrow" w:hAnsi="Arial Narrow"/>
                <w:sz w:val="20"/>
                <w:szCs w:val="20"/>
              </w:rPr>
              <w:t xml:space="preserve"> per separation</w:t>
            </w:r>
          </w:p>
          <w:p w:rsidR="00852FA4" w:rsidRPr="00EB6EFC" w:rsidRDefault="00EB65B3" w:rsidP="007B6FF4">
            <w:pPr>
              <w:rPr>
                <w:rFonts w:ascii="Arial Narrow" w:hAnsi="Arial Narrow"/>
                <w:sz w:val="20"/>
                <w:szCs w:val="20"/>
              </w:rPr>
            </w:pPr>
            <w:r w:rsidRPr="00EB6EFC">
              <w:rPr>
                <w:rFonts w:ascii="Arial Narrow" w:hAnsi="Arial Narrow"/>
                <w:sz w:val="20"/>
                <w:szCs w:val="20"/>
              </w:rPr>
              <w:t>X</w:t>
            </w:r>
            <w:r w:rsidR="00852FA4" w:rsidRPr="00EB6EFC">
              <w:rPr>
                <w:rFonts w:ascii="Arial Narrow" w:hAnsi="Arial Narrow"/>
                <w:sz w:val="20"/>
                <w:szCs w:val="20"/>
              </w:rPr>
              <w:t xml:space="preserve"> 1.8% incidence =</w:t>
            </w:r>
          </w:p>
          <w:p w:rsidR="00852FA4" w:rsidRPr="00EB6EFC" w:rsidRDefault="00852FA4" w:rsidP="00852FA4">
            <w:pPr>
              <w:rPr>
                <w:rFonts w:ascii="Arial Narrow" w:hAnsi="Arial Narrow"/>
                <w:sz w:val="20"/>
                <w:szCs w:val="20"/>
              </w:rPr>
            </w:pPr>
            <w:r w:rsidRPr="00EB6EFC">
              <w:rPr>
                <w:rFonts w:ascii="Arial Narrow" w:hAnsi="Arial Narrow"/>
                <w:sz w:val="20"/>
                <w:szCs w:val="20"/>
              </w:rPr>
              <w:t>$</w:t>
            </w:r>
            <w:r w:rsidR="006505A5">
              <w:rPr>
                <w:rFonts w:ascii="Arial Narrow" w:hAnsi="Arial Narrow"/>
                <w:noProof/>
                <w:color w:val="000000"/>
                <w:sz w:val="20"/>
                <w:szCs w:val="20"/>
                <w:highlight w:val="black"/>
              </w:rPr>
              <w:t>''''''''''''''''</w:t>
            </w:r>
            <w:r w:rsidRPr="00EB6EFC">
              <w:rPr>
                <w:rFonts w:ascii="Arial Narrow" w:hAnsi="Arial Narrow"/>
                <w:sz w:val="20"/>
                <w:szCs w:val="20"/>
              </w:rPr>
              <w:t xml:space="preserve">/pt treated </w:t>
            </w:r>
          </w:p>
        </w:tc>
        <w:tc>
          <w:tcPr>
            <w:tcW w:w="992" w:type="dxa"/>
            <w:tcMar>
              <w:left w:w="85" w:type="dxa"/>
              <w:right w:w="85" w:type="dxa"/>
            </w:tcMar>
          </w:tcPr>
          <w:p w:rsidR="00852FA4" w:rsidRPr="00EB6EFC" w:rsidRDefault="00852FA4" w:rsidP="007B6FF4">
            <w:pPr>
              <w:rPr>
                <w:rFonts w:ascii="Arial Narrow" w:hAnsi="Arial Narrow"/>
                <w:sz w:val="20"/>
                <w:szCs w:val="20"/>
              </w:rPr>
            </w:pPr>
          </w:p>
        </w:tc>
        <w:tc>
          <w:tcPr>
            <w:tcW w:w="1417" w:type="dxa"/>
            <w:tcMar>
              <w:left w:w="85" w:type="dxa"/>
              <w:right w:w="85" w:type="dxa"/>
            </w:tcMar>
          </w:tcPr>
          <w:p w:rsidR="00852FA4" w:rsidRPr="00EB6EFC" w:rsidRDefault="00EB65B3" w:rsidP="00852FA4">
            <w:pPr>
              <w:rPr>
                <w:rFonts w:ascii="Arial Narrow" w:hAnsi="Arial Narrow"/>
                <w:sz w:val="20"/>
                <w:szCs w:val="20"/>
              </w:rPr>
            </w:pPr>
            <w:r w:rsidRPr="00EB6EFC">
              <w:rPr>
                <w:rFonts w:ascii="Arial Narrow" w:hAnsi="Arial Narrow"/>
                <w:sz w:val="20"/>
                <w:szCs w:val="20"/>
              </w:rPr>
              <w:t>$</w:t>
            </w:r>
            <w:r w:rsidR="006505A5">
              <w:rPr>
                <w:rFonts w:ascii="Arial Narrow" w:hAnsi="Arial Narrow"/>
                <w:noProof/>
                <w:color w:val="000000"/>
                <w:sz w:val="20"/>
                <w:szCs w:val="20"/>
                <w:highlight w:val="black"/>
              </w:rPr>
              <w:t>''''''''''''</w:t>
            </w:r>
            <w:r w:rsidRPr="00EB6EFC">
              <w:rPr>
                <w:rFonts w:ascii="Arial Narrow" w:hAnsi="Arial Narrow"/>
                <w:sz w:val="20"/>
                <w:szCs w:val="20"/>
              </w:rPr>
              <w:t xml:space="preserve"> per separation X </w:t>
            </w:r>
            <w:r w:rsidR="00852FA4" w:rsidRPr="00EB6EFC">
              <w:rPr>
                <w:rFonts w:ascii="Arial Narrow" w:hAnsi="Arial Narrow"/>
                <w:sz w:val="20"/>
                <w:szCs w:val="20"/>
              </w:rPr>
              <w:t>1.8% incidence = $</w:t>
            </w:r>
            <w:r w:rsidR="006505A5">
              <w:rPr>
                <w:rFonts w:ascii="Arial Narrow" w:hAnsi="Arial Narrow"/>
                <w:noProof/>
                <w:color w:val="000000"/>
                <w:sz w:val="20"/>
                <w:szCs w:val="20"/>
                <w:highlight w:val="black"/>
              </w:rPr>
              <w:t>''''''''''''''''''</w:t>
            </w:r>
            <w:r w:rsidR="00852FA4" w:rsidRPr="00EB6EFC">
              <w:rPr>
                <w:rFonts w:ascii="Arial Narrow" w:hAnsi="Arial Narrow"/>
                <w:sz w:val="20"/>
                <w:szCs w:val="20"/>
              </w:rPr>
              <w:t xml:space="preserve"> /pt treated</w:t>
            </w:r>
          </w:p>
        </w:tc>
        <w:tc>
          <w:tcPr>
            <w:tcW w:w="2268" w:type="dxa"/>
            <w:vMerge w:val="restart"/>
            <w:tcMar>
              <w:left w:w="85" w:type="dxa"/>
              <w:right w:w="85" w:type="dxa"/>
            </w:tcMar>
          </w:tcPr>
          <w:p w:rsidR="00852FA4" w:rsidRPr="00EB6EFC" w:rsidRDefault="00852FA4" w:rsidP="00433E57">
            <w:pPr>
              <w:rPr>
                <w:rFonts w:ascii="Arial Narrow" w:hAnsi="Arial Narrow"/>
                <w:sz w:val="20"/>
                <w:szCs w:val="20"/>
              </w:rPr>
            </w:pPr>
            <w:r w:rsidRPr="00176FFA">
              <w:rPr>
                <w:rFonts w:ascii="Arial Narrow" w:hAnsi="Arial Narrow"/>
                <w:sz w:val="20"/>
                <w:szCs w:val="20"/>
              </w:rPr>
              <w:t>Appropriately updated to reflect current values (using AR-DRG v.7.0 Round 18, NEP 2014-15)</w:t>
            </w:r>
            <w:r w:rsidR="00196876" w:rsidRPr="00EB6EFC">
              <w:rPr>
                <w:rFonts w:ascii="Arial Narrow" w:hAnsi="Arial Narrow"/>
                <w:sz w:val="20"/>
                <w:szCs w:val="20"/>
              </w:rPr>
              <w:t>.</w:t>
            </w:r>
          </w:p>
        </w:tc>
      </w:tr>
      <w:tr w:rsidR="00852FA4" w:rsidRPr="00EB6EFC" w:rsidTr="00B35332">
        <w:trPr>
          <w:cantSplit/>
        </w:trPr>
        <w:tc>
          <w:tcPr>
            <w:tcW w:w="1701" w:type="dxa"/>
            <w:tcMar>
              <w:left w:w="85" w:type="dxa"/>
              <w:right w:w="85" w:type="dxa"/>
            </w:tcMar>
          </w:tcPr>
          <w:p w:rsidR="00852FA4" w:rsidRPr="00EB6EFC" w:rsidRDefault="00852FA4" w:rsidP="007B6FF4">
            <w:pPr>
              <w:rPr>
                <w:rFonts w:ascii="Arial Narrow" w:hAnsi="Arial Narrow"/>
                <w:sz w:val="20"/>
                <w:szCs w:val="20"/>
              </w:rPr>
            </w:pPr>
            <w:r w:rsidRPr="00EB6EFC">
              <w:rPr>
                <w:rFonts w:ascii="Arial Narrow" w:hAnsi="Arial Narrow"/>
                <w:sz w:val="20"/>
                <w:szCs w:val="20"/>
              </w:rPr>
              <w:t>Unit cost of surgery (public setting)</w:t>
            </w:r>
          </w:p>
        </w:tc>
        <w:tc>
          <w:tcPr>
            <w:tcW w:w="1985" w:type="dxa"/>
            <w:tcMar>
              <w:left w:w="85" w:type="dxa"/>
              <w:right w:w="85" w:type="dxa"/>
            </w:tcMar>
          </w:tcPr>
          <w:p w:rsidR="00852FA4" w:rsidRPr="00EB6EFC" w:rsidRDefault="00852FA4" w:rsidP="007B6FF4">
            <w:pPr>
              <w:rPr>
                <w:rFonts w:ascii="Arial Narrow" w:hAnsi="Arial Narrow"/>
                <w:sz w:val="20"/>
                <w:szCs w:val="20"/>
              </w:rPr>
            </w:pPr>
            <w:r w:rsidRPr="00EB6EFC">
              <w:rPr>
                <w:rFonts w:ascii="Arial Narrow" w:hAnsi="Arial Narrow"/>
                <w:sz w:val="20"/>
                <w:szCs w:val="20"/>
              </w:rPr>
              <w:t>$10,057 per surgery patient</w:t>
            </w:r>
          </w:p>
        </w:tc>
        <w:tc>
          <w:tcPr>
            <w:tcW w:w="992" w:type="dxa"/>
            <w:tcMar>
              <w:left w:w="85" w:type="dxa"/>
              <w:right w:w="85" w:type="dxa"/>
            </w:tcMar>
          </w:tcPr>
          <w:p w:rsidR="00852FA4" w:rsidRPr="00EB6EFC" w:rsidRDefault="00852FA4" w:rsidP="007B6FF4">
            <w:pPr>
              <w:rPr>
                <w:rFonts w:ascii="Arial Narrow" w:hAnsi="Arial Narrow"/>
                <w:sz w:val="20"/>
                <w:szCs w:val="20"/>
              </w:rPr>
            </w:pPr>
          </w:p>
        </w:tc>
        <w:tc>
          <w:tcPr>
            <w:tcW w:w="1417" w:type="dxa"/>
            <w:tcMar>
              <w:left w:w="85" w:type="dxa"/>
              <w:right w:w="85" w:type="dxa"/>
            </w:tcMar>
          </w:tcPr>
          <w:p w:rsidR="00852FA4" w:rsidRPr="00EB6EFC" w:rsidRDefault="00852FA4" w:rsidP="00852FA4">
            <w:pPr>
              <w:rPr>
                <w:rFonts w:ascii="Arial Narrow" w:hAnsi="Arial Narrow"/>
                <w:sz w:val="20"/>
                <w:szCs w:val="20"/>
              </w:rPr>
            </w:pPr>
            <w:r w:rsidRPr="00EB6EFC">
              <w:rPr>
                <w:rFonts w:ascii="Arial Narrow" w:hAnsi="Arial Narrow"/>
                <w:sz w:val="20"/>
                <w:szCs w:val="20"/>
              </w:rPr>
              <w:t>$11,248 per surgery pt</w:t>
            </w:r>
          </w:p>
        </w:tc>
        <w:tc>
          <w:tcPr>
            <w:tcW w:w="2268" w:type="dxa"/>
            <w:vMerge/>
            <w:tcMar>
              <w:left w:w="85" w:type="dxa"/>
              <w:right w:w="85" w:type="dxa"/>
            </w:tcMar>
          </w:tcPr>
          <w:p w:rsidR="00852FA4" w:rsidRPr="00EB6EFC" w:rsidRDefault="00852FA4" w:rsidP="00433E57">
            <w:pPr>
              <w:rPr>
                <w:rFonts w:ascii="Arial Narrow" w:hAnsi="Arial Narrow"/>
                <w:i/>
                <w:sz w:val="20"/>
                <w:szCs w:val="20"/>
              </w:rPr>
            </w:pPr>
          </w:p>
        </w:tc>
      </w:tr>
    </w:tbl>
    <w:p w:rsidR="005963BB" w:rsidRPr="005B36A8" w:rsidRDefault="00EB65B3" w:rsidP="00264014">
      <w:pPr>
        <w:ind w:left="709"/>
        <w:jc w:val="both"/>
        <w:rPr>
          <w:rFonts w:ascii="Arial Narrow" w:hAnsi="Arial Narrow"/>
          <w:i/>
          <w:sz w:val="18"/>
          <w:szCs w:val="18"/>
        </w:rPr>
      </w:pPr>
      <w:r w:rsidRPr="005B36A8">
        <w:rPr>
          <w:rFonts w:ascii="Arial Narrow" w:hAnsi="Arial Narrow"/>
          <w:i/>
          <w:sz w:val="18"/>
          <w:szCs w:val="18"/>
        </w:rPr>
        <w:t>Source: Tables B.1 and B.2</w:t>
      </w:r>
      <w:r w:rsidR="00D84CC3" w:rsidRPr="005B36A8">
        <w:rPr>
          <w:rFonts w:ascii="Arial Narrow" w:hAnsi="Arial Narrow"/>
          <w:i/>
          <w:sz w:val="18"/>
          <w:szCs w:val="18"/>
        </w:rPr>
        <w:t xml:space="preserve"> </w:t>
      </w:r>
      <w:r w:rsidRPr="005B36A8">
        <w:rPr>
          <w:rFonts w:ascii="Arial Narrow" w:hAnsi="Arial Narrow"/>
          <w:i/>
          <w:sz w:val="18"/>
          <w:szCs w:val="18"/>
        </w:rPr>
        <w:t>p</w:t>
      </w:r>
      <w:r w:rsidR="00D84CC3" w:rsidRPr="005B36A8">
        <w:rPr>
          <w:rFonts w:ascii="Arial Narrow" w:hAnsi="Arial Narrow"/>
          <w:i/>
          <w:sz w:val="18"/>
          <w:szCs w:val="18"/>
        </w:rPr>
        <w:t>p4</w:t>
      </w:r>
      <w:r w:rsidRPr="005B36A8">
        <w:rPr>
          <w:rFonts w:ascii="Arial Narrow" w:hAnsi="Arial Narrow"/>
          <w:i/>
          <w:sz w:val="18"/>
          <w:szCs w:val="18"/>
        </w:rPr>
        <w:t>-5</w:t>
      </w:r>
      <w:r w:rsidR="00D84CC3" w:rsidRPr="005B36A8">
        <w:rPr>
          <w:rFonts w:ascii="Arial Narrow" w:hAnsi="Arial Narrow"/>
          <w:i/>
          <w:sz w:val="18"/>
          <w:szCs w:val="18"/>
        </w:rPr>
        <w:t xml:space="preserve"> of the </w:t>
      </w:r>
      <w:r w:rsidR="00993564">
        <w:rPr>
          <w:rFonts w:ascii="Arial Narrow" w:hAnsi="Arial Narrow"/>
          <w:i/>
          <w:sz w:val="18"/>
          <w:szCs w:val="18"/>
        </w:rPr>
        <w:t>resubmission</w:t>
      </w:r>
      <w:r w:rsidR="00037988">
        <w:rPr>
          <w:rFonts w:ascii="Arial Narrow" w:hAnsi="Arial Narrow"/>
          <w:i/>
          <w:sz w:val="18"/>
          <w:szCs w:val="18"/>
        </w:rPr>
        <w:t xml:space="preserve">, </w:t>
      </w:r>
      <w:r w:rsidR="007A19CF">
        <w:rPr>
          <w:rFonts w:ascii="Arial Narrow" w:hAnsi="Arial Narrow"/>
          <w:i/>
          <w:sz w:val="18"/>
          <w:szCs w:val="18"/>
        </w:rPr>
        <w:t>c</w:t>
      </w:r>
      <w:r w:rsidR="00037988" w:rsidRPr="00037988">
        <w:rPr>
          <w:rFonts w:ascii="Arial Narrow" w:hAnsi="Arial Narrow"/>
          <w:i/>
          <w:sz w:val="18"/>
          <w:szCs w:val="18"/>
        </w:rPr>
        <w:t>ompiled during preparation of the Overview</w:t>
      </w:r>
    </w:p>
    <w:p w:rsidR="00D84CC3" w:rsidRPr="00EB6EFC" w:rsidRDefault="00D84CC3" w:rsidP="00264014">
      <w:pPr>
        <w:ind w:left="709"/>
        <w:jc w:val="both"/>
        <w:rPr>
          <w:rFonts w:ascii="Arial Narrow" w:hAnsi="Arial Narrow"/>
          <w:sz w:val="18"/>
          <w:szCs w:val="18"/>
        </w:rPr>
      </w:pPr>
      <w:r w:rsidRPr="00EB6EFC">
        <w:rPr>
          <w:rFonts w:ascii="Arial Narrow" w:hAnsi="Arial Narrow"/>
          <w:sz w:val="18"/>
          <w:szCs w:val="18"/>
        </w:rPr>
        <w:t>AE = adverse event; AR-DRG = Australian Refined Diagnosis Related Groups;</w:t>
      </w:r>
      <w:r w:rsidR="00E13DCB" w:rsidRPr="00EB6EFC">
        <w:rPr>
          <w:rFonts w:ascii="Arial Narrow" w:hAnsi="Arial Narrow"/>
          <w:sz w:val="18"/>
          <w:szCs w:val="18"/>
        </w:rPr>
        <w:t xml:space="preserve"> DPMQ = Dispensed Price for Maximum Quantity;</w:t>
      </w:r>
      <w:r w:rsidRPr="00EB6EFC">
        <w:rPr>
          <w:rFonts w:ascii="Arial Narrow" w:hAnsi="Arial Narrow"/>
          <w:sz w:val="18"/>
          <w:szCs w:val="18"/>
        </w:rPr>
        <w:t xml:space="preserve"> NEP = National Efficient Price; PBAC = Pharmaceutical Benefits Advisory Committee; </w:t>
      </w:r>
      <w:r w:rsidR="008E720E" w:rsidRPr="00EB6EFC">
        <w:rPr>
          <w:rFonts w:ascii="Arial Narrow" w:hAnsi="Arial Narrow"/>
          <w:sz w:val="18"/>
          <w:szCs w:val="18"/>
        </w:rPr>
        <w:t xml:space="preserve">PSCR = Pre-Sub-Committee Response; </w:t>
      </w:r>
      <w:r w:rsidR="00852FA4" w:rsidRPr="00EB6EFC">
        <w:rPr>
          <w:rFonts w:ascii="Arial Narrow" w:hAnsi="Arial Narrow"/>
          <w:sz w:val="18"/>
          <w:szCs w:val="18"/>
        </w:rPr>
        <w:t xml:space="preserve">pt = patient; </w:t>
      </w:r>
      <w:r w:rsidRPr="00EB6EFC">
        <w:rPr>
          <w:rFonts w:ascii="Arial Narrow" w:hAnsi="Arial Narrow"/>
          <w:sz w:val="18"/>
          <w:szCs w:val="18"/>
        </w:rPr>
        <w:t>SPA = Special Pricing Arrangement</w:t>
      </w:r>
    </w:p>
    <w:p w:rsidR="00D84CC3" w:rsidRPr="00EB6EFC" w:rsidRDefault="00D84CC3" w:rsidP="00C00DA7">
      <w:pPr>
        <w:jc w:val="both"/>
        <w:rPr>
          <w:szCs w:val="22"/>
        </w:rPr>
      </w:pPr>
    </w:p>
    <w:p w:rsidR="002640A3" w:rsidRPr="008C2C86" w:rsidRDefault="0053692B" w:rsidP="00E13DCB">
      <w:pPr>
        <w:widowControl w:val="0"/>
        <w:numPr>
          <w:ilvl w:val="1"/>
          <w:numId w:val="5"/>
        </w:numPr>
        <w:contextualSpacing/>
        <w:jc w:val="both"/>
        <w:rPr>
          <w:rFonts w:cs="Arial"/>
          <w:szCs w:val="22"/>
        </w:rPr>
      </w:pPr>
      <w:r w:rsidRPr="00EB6EFC">
        <w:rPr>
          <w:rFonts w:cs="Arial"/>
          <w:snapToGrid w:val="0"/>
          <w:szCs w:val="22"/>
          <w:lang w:eastAsia="en-US"/>
        </w:rPr>
        <w:t>Overall, the disfigurement-free response rate with vismodegib (the overall response rate</w:t>
      </w:r>
      <w:r w:rsidR="004E66D1">
        <w:rPr>
          <w:rFonts w:cs="Arial"/>
          <w:snapToGrid w:val="0"/>
          <w:szCs w:val="22"/>
          <w:lang w:eastAsia="en-US"/>
        </w:rPr>
        <w:t>, adjusted for</w:t>
      </w:r>
      <w:r w:rsidRPr="00EB6EFC">
        <w:rPr>
          <w:rFonts w:cs="Arial"/>
          <w:snapToGrid w:val="0"/>
          <w:szCs w:val="22"/>
          <w:lang w:eastAsia="en-US"/>
        </w:rPr>
        <w:t xml:space="preserve"> the disfigurement rate) was </w:t>
      </w:r>
      <w:r w:rsidRPr="003B0A99">
        <w:rPr>
          <w:rFonts w:cs="Arial"/>
          <w:snapToGrid w:val="0"/>
          <w:szCs w:val="22"/>
          <w:lang w:eastAsia="en-US"/>
        </w:rPr>
        <w:t>58.4</w:t>
      </w:r>
      <w:r w:rsidRPr="00EB6EFC">
        <w:rPr>
          <w:rFonts w:cs="Arial"/>
          <w:snapToGrid w:val="0"/>
          <w:szCs w:val="22"/>
          <w:lang w:eastAsia="en-US"/>
        </w:rPr>
        <w:t xml:space="preserve">% in the </w:t>
      </w:r>
      <w:r w:rsidR="00993564">
        <w:rPr>
          <w:rFonts w:cs="Arial"/>
          <w:snapToGrid w:val="0"/>
          <w:szCs w:val="22"/>
          <w:lang w:eastAsia="en-US"/>
        </w:rPr>
        <w:t>resubmission</w:t>
      </w:r>
      <w:r w:rsidRPr="00EB6EFC">
        <w:rPr>
          <w:rFonts w:cs="Arial"/>
          <w:snapToGrid w:val="0"/>
          <w:szCs w:val="22"/>
          <w:lang w:eastAsia="en-US"/>
        </w:rPr>
        <w:t xml:space="preserve">, versus </w:t>
      </w:r>
      <w:r w:rsidRPr="003B0A99">
        <w:rPr>
          <w:rFonts w:cs="Arial"/>
          <w:snapToGrid w:val="0"/>
          <w:szCs w:val="22"/>
          <w:lang w:eastAsia="en-US"/>
        </w:rPr>
        <w:t>6</w:t>
      </w:r>
      <w:r w:rsidR="00B6342F" w:rsidRPr="003B0A99">
        <w:rPr>
          <w:rFonts w:cs="Arial"/>
          <w:snapToGrid w:val="0"/>
          <w:szCs w:val="22"/>
          <w:lang w:eastAsia="en-US"/>
        </w:rPr>
        <w:t>4.9</w:t>
      </w:r>
      <w:r w:rsidR="00B6342F" w:rsidRPr="00EB6EFC">
        <w:rPr>
          <w:rFonts w:cs="Arial"/>
          <w:snapToGrid w:val="0"/>
          <w:szCs w:val="22"/>
          <w:lang w:eastAsia="en-US"/>
        </w:rPr>
        <w:t xml:space="preserve">% in the previous submission. </w:t>
      </w:r>
      <w:r w:rsidR="00B6342F" w:rsidRPr="00176FFA">
        <w:rPr>
          <w:rFonts w:cs="Arial"/>
          <w:snapToGrid w:val="0"/>
          <w:szCs w:val="22"/>
          <w:lang w:eastAsia="en-US"/>
        </w:rPr>
        <w:t>This was higher than the</w:t>
      </w:r>
      <w:r w:rsidRPr="00EB6EFC">
        <w:rPr>
          <w:rFonts w:cs="Arial"/>
          <w:snapToGrid w:val="0"/>
          <w:szCs w:val="22"/>
          <w:lang w:eastAsia="en-US"/>
        </w:rPr>
        <w:t xml:space="preserve"> </w:t>
      </w:r>
      <w:r w:rsidRPr="00B75098">
        <w:rPr>
          <w:rFonts w:cs="Arial"/>
          <w:snapToGrid w:val="0"/>
          <w:szCs w:val="22"/>
          <w:lang w:eastAsia="en-US"/>
        </w:rPr>
        <w:t>40</w:t>
      </w:r>
      <w:r w:rsidRPr="00176FFA">
        <w:rPr>
          <w:rFonts w:cs="Arial"/>
          <w:snapToGrid w:val="0"/>
          <w:szCs w:val="22"/>
          <w:lang w:eastAsia="en-US"/>
        </w:rPr>
        <w:t>% requested by the PBAC</w:t>
      </w:r>
      <w:r w:rsidR="005E50B9" w:rsidRPr="00EB6EFC">
        <w:rPr>
          <w:rFonts w:cs="Arial"/>
          <w:snapToGrid w:val="0"/>
          <w:szCs w:val="22"/>
          <w:lang w:eastAsia="en-US"/>
        </w:rPr>
        <w:t xml:space="preserve"> (based on </w:t>
      </w:r>
      <w:r w:rsidR="005E50B9" w:rsidRPr="00B75098">
        <w:rPr>
          <w:rFonts w:cs="Arial"/>
          <w:snapToGrid w:val="0"/>
          <w:szCs w:val="22"/>
          <w:lang w:eastAsia="en-US"/>
        </w:rPr>
        <w:t>50</w:t>
      </w:r>
      <w:r w:rsidR="005E50B9" w:rsidRPr="00EB6EFC">
        <w:rPr>
          <w:rFonts w:cs="Arial"/>
          <w:snapToGrid w:val="0"/>
          <w:szCs w:val="22"/>
          <w:lang w:eastAsia="en-US"/>
        </w:rPr>
        <w:t xml:space="preserve">% </w:t>
      </w:r>
      <w:r w:rsidR="0060167F" w:rsidRPr="00EB6EFC">
        <w:rPr>
          <w:rFonts w:cs="Arial"/>
          <w:snapToGrid w:val="0"/>
          <w:szCs w:val="22"/>
          <w:lang w:eastAsia="en-US"/>
        </w:rPr>
        <w:t xml:space="preserve">response </w:t>
      </w:r>
      <w:r w:rsidR="004E66D1">
        <w:rPr>
          <w:rFonts w:cs="Arial"/>
          <w:snapToGrid w:val="0"/>
          <w:szCs w:val="22"/>
          <w:lang w:eastAsia="en-US"/>
        </w:rPr>
        <w:t xml:space="preserve">adjusted for </w:t>
      </w:r>
      <w:r w:rsidR="00F42A1D">
        <w:rPr>
          <w:rFonts w:cs="Arial"/>
          <w:snapToGrid w:val="0"/>
          <w:szCs w:val="22"/>
          <w:lang w:eastAsia="en-US"/>
        </w:rPr>
        <w:t>the</w:t>
      </w:r>
      <w:r w:rsidR="0060167F" w:rsidRPr="00EB6EFC">
        <w:rPr>
          <w:rFonts w:cs="Arial"/>
          <w:snapToGrid w:val="0"/>
          <w:szCs w:val="22"/>
          <w:lang w:eastAsia="en-US"/>
        </w:rPr>
        <w:t xml:space="preserve"> </w:t>
      </w:r>
      <w:r w:rsidR="00F42A1D" w:rsidRPr="00A213C8">
        <w:rPr>
          <w:rFonts w:cs="Arial"/>
          <w:snapToGrid w:val="0"/>
          <w:szCs w:val="22"/>
          <w:lang w:eastAsia="en-US"/>
        </w:rPr>
        <w:t>2</w:t>
      </w:r>
      <w:r w:rsidR="0060167F" w:rsidRPr="00A213C8">
        <w:rPr>
          <w:rFonts w:cs="Arial"/>
          <w:snapToGrid w:val="0"/>
          <w:szCs w:val="22"/>
          <w:lang w:eastAsia="en-US"/>
        </w:rPr>
        <w:t>0</w:t>
      </w:r>
      <w:r w:rsidR="0060167F" w:rsidRPr="00EB6EFC">
        <w:rPr>
          <w:rFonts w:cs="Arial"/>
          <w:snapToGrid w:val="0"/>
          <w:szCs w:val="22"/>
          <w:lang w:eastAsia="en-US"/>
        </w:rPr>
        <w:t>% disfigurement rate)</w:t>
      </w:r>
      <w:r w:rsidR="00904E19">
        <w:rPr>
          <w:rFonts w:cs="Arial"/>
          <w:snapToGrid w:val="0"/>
          <w:szCs w:val="22"/>
          <w:lang w:eastAsia="en-US"/>
        </w:rPr>
        <w:t xml:space="preserve"> on which the March 2016 recommendation was based</w:t>
      </w:r>
      <w:r w:rsidRPr="00EB6EFC">
        <w:rPr>
          <w:rFonts w:cs="Arial"/>
          <w:snapToGrid w:val="0"/>
          <w:szCs w:val="22"/>
          <w:lang w:eastAsia="en-US"/>
        </w:rPr>
        <w:t>.</w:t>
      </w:r>
      <w:r w:rsidR="00B6342F" w:rsidRPr="00EB6EFC">
        <w:rPr>
          <w:rFonts w:cs="Arial"/>
          <w:snapToGrid w:val="0"/>
          <w:szCs w:val="22"/>
          <w:lang w:eastAsia="en-US"/>
        </w:rPr>
        <w:t xml:space="preserve"> </w:t>
      </w:r>
      <w:r w:rsidR="00B6342F" w:rsidRPr="008C2C86">
        <w:rPr>
          <w:rFonts w:cs="Arial"/>
          <w:snapToGrid w:val="0"/>
          <w:szCs w:val="22"/>
          <w:lang w:eastAsia="en-US"/>
        </w:rPr>
        <w:t>Th</w:t>
      </w:r>
      <w:r w:rsidR="00D40640" w:rsidRPr="008C2C86">
        <w:rPr>
          <w:rFonts w:cs="Arial"/>
          <w:snapToGrid w:val="0"/>
          <w:szCs w:val="22"/>
          <w:lang w:eastAsia="en-US"/>
        </w:rPr>
        <w:t xml:space="preserve">e </w:t>
      </w:r>
      <w:r w:rsidR="00993564">
        <w:rPr>
          <w:rFonts w:cs="Arial"/>
          <w:snapToGrid w:val="0"/>
          <w:szCs w:val="22"/>
          <w:lang w:eastAsia="en-US"/>
        </w:rPr>
        <w:t>resubmission</w:t>
      </w:r>
      <w:r w:rsidR="00D40640" w:rsidRPr="008C2C86">
        <w:rPr>
          <w:rFonts w:cs="Arial"/>
          <w:snapToGrid w:val="0"/>
          <w:szCs w:val="22"/>
          <w:lang w:eastAsia="en-US"/>
        </w:rPr>
        <w:t xml:space="preserve">’s disfigurement-free response rate </w:t>
      </w:r>
      <w:r w:rsidR="00513E96">
        <w:rPr>
          <w:rFonts w:cs="Arial"/>
          <w:snapToGrid w:val="0"/>
          <w:szCs w:val="22"/>
          <w:lang w:eastAsia="en-US"/>
        </w:rPr>
        <w:t>may</w:t>
      </w:r>
      <w:r w:rsidR="00B6342F" w:rsidRPr="008C2C86">
        <w:rPr>
          <w:rFonts w:cs="Arial"/>
          <w:snapToGrid w:val="0"/>
          <w:szCs w:val="22"/>
          <w:lang w:eastAsia="en-US"/>
        </w:rPr>
        <w:t xml:space="preserve"> not have been appropriate because</w:t>
      </w:r>
      <w:r w:rsidR="00D40640" w:rsidRPr="008C2C86">
        <w:rPr>
          <w:rFonts w:cs="Arial"/>
          <w:snapToGrid w:val="0"/>
          <w:szCs w:val="22"/>
          <w:lang w:eastAsia="en-US"/>
        </w:rPr>
        <w:t>:</w:t>
      </w:r>
      <w:r w:rsidR="00B6342F" w:rsidRPr="008C2C86">
        <w:rPr>
          <w:rFonts w:cs="Arial"/>
          <w:snapToGrid w:val="0"/>
          <w:szCs w:val="22"/>
          <w:lang w:eastAsia="en-US"/>
        </w:rPr>
        <w:t xml:space="preserve"> the vismodegib response rate was based only on data from the </w:t>
      </w:r>
      <w:r w:rsidR="00D40640" w:rsidRPr="008C2C86">
        <w:rPr>
          <w:rFonts w:cs="Arial"/>
          <w:snapToGrid w:val="0"/>
          <w:szCs w:val="22"/>
          <w:lang w:eastAsia="en-US"/>
        </w:rPr>
        <w:t>STEVIE study;</w:t>
      </w:r>
      <w:r w:rsidR="00B6342F" w:rsidRPr="008C2C86">
        <w:rPr>
          <w:rFonts w:cs="Arial"/>
          <w:snapToGrid w:val="0"/>
          <w:szCs w:val="22"/>
          <w:lang w:eastAsia="en-US"/>
        </w:rPr>
        <w:t xml:space="preserve"> and the disfigurement rate </w:t>
      </w:r>
      <w:r w:rsidR="00B6342F" w:rsidRPr="008C2C86">
        <w:rPr>
          <w:rFonts w:cs="Arial"/>
          <w:szCs w:val="22"/>
        </w:rPr>
        <w:lastRenderedPageBreak/>
        <w:t>appeared to relate</w:t>
      </w:r>
      <w:r w:rsidR="00600FBE" w:rsidRPr="008C2C86">
        <w:rPr>
          <w:rFonts w:cs="Arial"/>
          <w:szCs w:val="22"/>
        </w:rPr>
        <w:t xml:space="preserve"> only</w:t>
      </w:r>
      <w:r w:rsidR="00B6342F" w:rsidRPr="008C2C86">
        <w:rPr>
          <w:rFonts w:cs="Arial"/>
          <w:szCs w:val="22"/>
        </w:rPr>
        <w:t xml:space="preserve"> to patients currently responding to vismodegib</w:t>
      </w:r>
      <w:r w:rsidR="00F42A1D" w:rsidRPr="008C2C86">
        <w:rPr>
          <w:rFonts w:cs="Arial"/>
          <w:szCs w:val="22"/>
        </w:rPr>
        <w:t xml:space="preserve"> </w:t>
      </w:r>
      <w:r w:rsidR="00600FBE" w:rsidRPr="008C2C86">
        <w:rPr>
          <w:rFonts w:cs="Arial"/>
          <w:szCs w:val="22"/>
        </w:rPr>
        <w:t xml:space="preserve">and </w:t>
      </w:r>
      <w:r w:rsidR="00F42A1D" w:rsidRPr="008C2C86">
        <w:rPr>
          <w:rFonts w:cs="Arial"/>
          <w:szCs w:val="22"/>
        </w:rPr>
        <w:t>not those that may initially respond and then relapse</w:t>
      </w:r>
      <w:r w:rsidR="00D40640" w:rsidRPr="008C2C86">
        <w:rPr>
          <w:rFonts w:cs="Arial"/>
          <w:szCs w:val="22"/>
        </w:rPr>
        <w:t>.</w:t>
      </w:r>
    </w:p>
    <w:p w:rsidR="002640A3" w:rsidRPr="008C2C86" w:rsidRDefault="002640A3">
      <w:pPr>
        <w:rPr>
          <w:rFonts w:cs="Arial"/>
          <w:szCs w:val="22"/>
        </w:rPr>
      </w:pPr>
    </w:p>
    <w:p w:rsidR="00E13DCB" w:rsidRPr="00EB6EFC" w:rsidRDefault="00E13DCB" w:rsidP="00E13DCB">
      <w:pPr>
        <w:widowControl w:val="0"/>
        <w:numPr>
          <w:ilvl w:val="1"/>
          <w:numId w:val="5"/>
        </w:numPr>
        <w:contextualSpacing/>
        <w:jc w:val="both"/>
        <w:rPr>
          <w:rFonts w:cs="Arial"/>
          <w:snapToGrid w:val="0"/>
          <w:szCs w:val="22"/>
          <w:lang w:eastAsia="en-US"/>
        </w:rPr>
      </w:pPr>
      <w:r w:rsidRPr="00EB6EFC">
        <w:rPr>
          <w:rFonts w:cs="Arial"/>
          <w:snapToGrid w:val="0"/>
          <w:szCs w:val="20"/>
          <w:lang w:eastAsia="en-US"/>
        </w:rPr>
        <w:t xml:space="preserve">Table </w:t>
      </w:r>
      <w:r w:rsidR="00E93505" w:rsidRPr="00EB6EFC">
        <w:rPr>
          <w:rFonts w:cs="Arial"/>
          <w:snapToGrid w:val="0"/>
          <w:szCs w:val="20"/>
          <w:lang w:eastAsia="en-US"/>
        </w:rPr>
        <w:t>6</w:t>
      </w:r>
      <w:r w:rsidRPr="00EB6EFC">
        <w:rPr>
          <w:rFonts w:cs="Arial"/>
          <w:snapToGrid w:val="0"/>
          <w:szCs w:val="20"/>
          <w:lang w:eastAsia="en-US"/>
        </w:rPr>
        <w:t xml:space="preserve"> present</w:t>
      </w:r>
      <w:r w:rsidR="00513E96">
        <w:rPr>
          <w:rFonts w:cs="Arial"/>
          <w:snapToGrid w:val="0"/>
          <w:szCs w:val="20"/>
          <w:lang w:eastAsia="en-US"/>
        </w:rPr>
        <w:t>s</w:t>
      </w:r>
      <w:r w:rsidRPr="00EB6EFC">
        <w:rPr>
          <w:rFonts w:cs="Arial"/>
          <w:snapToGrid w:val="0"/>
          <w:szCs w:val="20"/>
          <w:lang w:eastAsia="en-US"/>
        </w:rPr>
        <w:t xml:space="preserve"> the results of the cost-effectiveness </w:t>
      </w:r>
      <w:r w:rsidR="00E93505" w:rsidRPr="00EB6EFC">
        <w:rPr>
          <w:rFonts w:cs="Arial"/>
          <w:snapToGrid w:val="0"/>
          <w:szCs w:val="20"/>
          <w:lang w:eastAsia="en-US"/>
        </w:rPr>
        <w:t>evaluation</w:t>
      </w:r>
      <w:r w:rsidR="00E632A3">
        <w:rPr>
          <w:rFonts w:cs="Arial"/>
          <w:snapToGrid w:val="0"/>
          <w:szCs w:val="20"/>
          <w:lang w:eastAsia="en-US"/>
        </w:rPr>
        <w:t>.</w:t>
      </w:r>
    </w:p>
    <w:p w:rsidR="00E13DCB" w:rsidRPr="00EB6EFC" w:rsidRDefault="00E13DCB" w:rsidP="00E13DCB">
      <w:pPr>
        <w:jc w:val="both"/>
        <w:rPr>
          <w:rFonts w:cs="Arial"/>
          <w:snapToGrid w:val="0"/>
          <w:szCs w:val="22"/>
          <w:lang w:eastAsia="en-US"/>
        </w:rPr>
      </w:pPr>
    </w:p>
    <w:p w:rsidR="00E13DCB" w:rsidRPr="00EB6EFC" w:rsidRDefault="00E13DCB" w:rsidP="00264014">
      <w:pPr>
        <w:keepNext/>
        <w:keepLines/>
        <w:widowControl w:val="0"/>
        <w:ind w:left="709"/>
        <w:jc w:val="both"/>
        <w:rPr>
          <w:rFonts w:ascii="Arial Narrow" w:hAnsi="Arial Narrow" w:cs="Arial"/>
          <w:b/>
          <w:snapToGrid w:val="0"/>
          <w:sz w:val="20"/>
          <w:szCs w:val="16"/>
          <w:lang w:eastAsia="en-US"/>
        </w:rPr>
      </w:pPr>
      <w:r w:rsidRPr="00EB6EFC">
        <w:rPr>
          <w:rFonts w:ascii="Arial Narrow" w:hAnsi="Arial Narrow" w:cs="Arial"/>
          <w:b/>
          <w:snapToGrid w:val="0"/>
          <w:sz w:val="20"/>
          <w:szCs w:val="16"/>
          <w:lang w:eastAsia="en-US"/>
        </w:rPr>
        <w:t xml:space="preserve">Table </w:t>
      </w:r>
      <w:r w:rsidR="00E93505" w:rsidRPr="00EB6EFC">
        <w:rPr>
          <w:rFonts w:ascii="Arial Narrow" w:hAnsi="Arial Narrow" w:cs="Arial"/>
          <w:b/>
          <w:snapToGrid w:val="0"/>
          <w:sz w:val="20"/>
          <w:szCs w:val="16"/>
          <w:lang w:eastAsia="en-US"/>
        </w:rPr>
        <w:t>6</w:t>
      </w:r>
      <w:r w:rsidRPr="00EB6EFC">
        <w:rPr>
          <w:rFonts w:ascii="Arial Narrow" w:hAnsi="Arial Narrow" w:cs="Arial"/>
          <w:b/>
          <w:snapToGrid w:val="0"/>
          <w:sz w:val="20"/>
          <w:szCs w:val="16"/>
          <w:lang w:eastAsia="en-US"/>
        </w:rPr>
        <w:t>: Results of the modelled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9"/>
        <w:gridCol w:w="988"/>
        <w:gridCol w:w="1135"/>
        <w:gridCol w:w="993"/>
        <w:gridCol w:w="1564"/>
        <w:gridCol w:w="703"/>
        <w:gridCol w:w="973"/>
      </w:tblGrid>
      <w:tr w:rsidR="006C19D9" w:rsidRPr="00EB6EFC" w:rsidTr="00264014">
        <w:trPr>
          <w:tblHeader/>
        </w:trPr>
        <w:tc>
          <w:tcPr>
            <w:tcW w:w="1192" w:type="pct"/>
            <w:vAlign w:val="center"/>
          </w:tcPr>
          <w:p w:rsidR="005B752D" w:rsidRPr="00EB6EFC" w:rsidRDefault="005B752D" w:rsidP="00E93505">
            <w:pPr>
              <w:keepNext/>
              <w:keepLines/>
              <w:widowControl w:val="0"/>
              <w:rPr>
                <w:rFonts w:ascii="Arial Narrow" w:hAnsi="Arial Narrow" w:cs="Arial"/>
                <w:b/>
                <w:snapToGrid w:val="0"/>
                <w:sz w:val="20"/>
                <w:szCs w:val="20"/>
                <w:lang w:eastAsia="en-US"/>
              </w:rPr>
            </w:pPr>
          </w:p>
        </w:tc>
        <w:tc>
          <w:tcPr>
            <w:tcW w:w="1867" w:type="pct"/>
            <w:gridSpan w:val="3"/>
            <w:tcBorders>
              <w:right w:val="double" w:sz="4" w:space="0" w:color="auto"/>
            </w:tcBorders>
            <w:vAlign w:val="center"/>
          </w:tcPr>
          <w:p w:rsidR="005B752D" w:rsidRPr="00EB6EFC" w:rsidRDefault="005B752D" w:rsidP="00E93505">
            <w:pPr>
              <w:keepNext/>
              <w:keepLines/>
              <w:widowControl w:val="0"/>
              <w:jc w:val="center"/>
              <w:rPr>
                <w:rFonts w:ascii="Arial Narrow" w:hAnsi="Arial Narrow" w:cs="Arial"/>
                <w:b/>
                <w:snapToGrid w:val="0"/>
                <w:sz w:val="20"/>
                <w:szCs w:val="20"/>
                <w:vertAlign w:val="superscript"/>
                <w:lang w:eastAsia="en-US"/>
              </w:rPr>
            </w:pPr>
            <w:r w:rsidRPr="00EB6EFC">
              <w:rPr>
                <w:rFonts w:ascii="Arial Narrow" w:hAnsi="Arial Narrow" w:cs="Arial"/>
                <w:b/>
                <w:snapToGrid w:val="0"/>
                <w:sz w:val="20"/>
                <w:szCs w:val="20"/>
                <w:lang w:eastAsia="en-US"/>
              </w:rPr>
              <w:t xml:space="preserve">Previous submission </w:t>
            </w:r>
            <w:r w:rsidRPr="00EB6EFC">
              <w:rPr>
                <w:rFonts w:ascii="Arial Narrow" w:hAnsi="Arial Narrow" w:cs="Arial"/>
                <w:b/>
                <w:snapToGrid w:val="0"/>
                <w:sz w:val="20"/>
                <w:szCs w:val="20"/>
                <w:vertAlign w:val="superscript"/>
                <w:lang w:eastAsia="en-US"/>
              </w:rPr>
              <w:t>a</w:t>
            </w:r>
          </w:p>
        </w:tc>
        <w:tc>
          <w:tcPr>
            <w:tcW w:w="1941" w:type="pct"/>
            <w:gridSpan w:val="3"/>
            <w:tcBorders>
              <w:left w:val="double" w:sz="4" w:space="0" w:color="auto"/>
            </w:tcBorders>
          </w:tcPr>
          <w:p w:rsidR="005B752D" w:rsidRPr="00EB6EFC" w:rsidRDefault="00993564" w:rsidP="00E93505">
            <w:pPr>
              <w:keepNext/>
              <w:keepLines/>
              <w:widowControl w:val="0"/>
              <w:jc w:val="center"/>
              <w:rPr>
                <w:rFonts w:ascii="Arial Narrow" w:hAnsi="Arial Narrow" w:cs="Arial"/>
                <w:b/>
                <w:snapToGrid w:val="0"/>
                <w:sz w:val="20"/>
                <w:szCs w:val="20"/>
                <w:lang w:eastAsia="en-US"/>
              </w:rPr>
            </w:pPr>
            <w:r>
              <w:rPr>
                <w:rFonts w:ascii="Arial Narrow" w:hAnsi="Arial Narrow" w:cs="Arial"/>
                <w:b/>
                <w:snapToGrid w:val="0"/>
                <w:sz w:val="20"/>
                <w:szCs w:val="20"/>
                <w:lang w:eastAsia="en-US"/>
              </w:rPr>
              <w:t>Resubmission</w:t>
            </w:r>
          </w:p>
        </w:tc>
      </w:tr>
      <w:tr w:rsidR="006C19D9" w:rsidRPr="00EB6EFC" w:rsidTr="00264014">
        <w:trPr>
          <w:tblHeader/>
        </w:trPr>
        <w:tc>
          <w:tcPr>
            <w:tcW w:w="1192" w:type="pct"/>
            <w:vAlign w:val="center"/>
          </w:tcPr>
          <w:p w:rsidR="005B752D" w:rsidRPr="00EB6EFC" w:rsidRDefault="005B752D" w:rsidP="00E93505">
            <w:pPr>
              <w:keepNext/>
              <w:keepLines/>
              <w:widowControl w:val="0"/>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Step and component</w:t>
            </w:r>
          </w:p>
        </w:tc>
        <w:tc>
          <w:tcPr>
            <w:tcW w:w="592" w:type="pct"/>
            <w:vAlign w:val="center"/>
          </w:tcPr>
          <w:p w:rsidR="005B752D" w:rsidRPr="00EB6EFC" w:rsidRDefault="005B752D" w:rsidP="00E93505">
            <w:pPr>
              <w:keepNext/>
              <w:keepLines/>
              <w:widowControl w:val="0"/>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Vismodegib</w:t>
            </w:r>
          </w:p>
        </w:tc>
        <w:tc>
          <w:tcPr>
            <w:tcW w:w="680" w:type="pct"/>
            <w:vAlign w:val="center"/>
          </w:tcPr>
          <w:p w:rsidR="005B752D" w:rsidRPr="00EB6EFC" w:rsidRDefault="005B752D" w:rsidP="00E93505">
            <w:pPr>
              <w:keepNext/>
              <w:keepLines/>
              <w:widowControl w:val="0"/>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Surgery</w:t>
            </w:r>
          </w:p>
        </w:tc>
        <w:tc>
          <w:tcPr>
            <w:tcW w:w="595" w:type="pct"/>
            <w:tcBorders>
              <w:right w:val="double" w:sz="4" w:space="0" w:color="auto"/>
            </w:tcBorders>
            <w:vAlign w:val="center"/>
          </w:tcPr>
          <w:p w:rsidR="005B752D" w:rsidRPr="00EB6EFC" w:rsidRDefault="005B752D" w:rsidP="00E93505">
            <w:pPr>
              <w:keepNext/>
              <w:keepLines/>
              <w:widowControl w:val="0"/>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Increment</w:t>
            </w:r>
          </w:p>
        </w:tc>
        <w:tc>
          <w:tcPr>
            <w:tcW w:w="937" w:type="pct"/>
            <w:tcBorders>
              <w:left w:val="double" w:sz="4" w:space="0" w:color="auto"/>
            </w:tcBorders>
            <w:vAlign w:val="center"/>
          </w:tcPr>
          <w:p w:rsidR="005B752D" w:rsidRPr="00EB6EFC" w:rsidRDefault="005B752D" w:rsidP="00E93505">
            <w:pPr>
              <w:keepNext/>
              <w:keepLines/>
              <w:widowControl w:val="0"/>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Vismodegib</w:t>
            </w:r>
          </w:p>
        </w:tc>
        <w:tc>
          <w:tcPr>
            <w:tcW w:w="421" w:type="pct"/>
            <w:vAlign w:val="center"/>
          </w:tcPr>
          <w:p w:rsidR="005B752D" w:rsidRPr="00EB6EFC" w:rsidRDefault="005B752D" w:rsidP="00E93505">
            <w:pPr>
              <w:keepNext/>
              <w:keepLines/>
              <w:widowControl w:val="0"/>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Surgery</w:t>
            </w:r>
          </w:p>
        </w:tc>
        <w:tc>
          <w:tcPr>
            <w:tcW w:w="584" w:type="pct"/>
            <w:vAlign w:val="center"/>
          </w:tcPr>
          <w:p w:rsidR="005B752D" w:rsidRPr="00EB6EFC" w:rsidRDefault="005B752D" w:rsidP="00E93505">
            <w:pPr>
              <w:keepNext/>
              <w:keepLines/>
              <w:widowControl w:val="0"/>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Increment</w:t>
            </w:r>
          </w:p>
        </w:tc>
      </w:tr>
      <w:tr w:rsidR="00717521" w:rsidRPr="00EB6EFC" w:rsidTr="00264014">
        <w:tc>
          <w:tcPr>
            <w:tcW w:w="3059" w:type="pct"/>
            <w:gridSpan w:val="4"/>
            <w:tcBorders>
              <w:right w:val="double" w:sz="4" w:space="0" w:color="auto"/>
            </w:tcBorders>
            <w:vAlign w:val="center"/>
          </w:tcPr>
          <w:p w:rsidR="005B752D" w:rsidRPr="00EB6EFC" w:rsidRDefault="005B752D" w:rsidP="00E93505">
            <w:pPr>
              <w:keepNext/>
              <w:keepLines/>
              <w:widowControl w:val="0"/>
              <w:rPr>
                <w:rFonts w:ascii="Arial Narrow" w:hAnsi="Arial Narrow" w:cs="Arial Narrow"/>
                <w:b/>
                <w:bCs/>
                <w:snapToGrid w:val="0"/>
                <w:sz w:val="20"/>
                <w:szCs w:val="20"/>
                <w:lang w:eastAsia="en-US"/>
              </w:rPr>
            </w:pPr>
            <w:r w:rsidRPr="00EB6EFC">
              <w:rPr>
                <w:rFonts w:ascii="Arial Narrow" w:hAnsi="Arial Narrow" w:cs="Arial Narrow"/>
                <w:b/>
                <w:bCs/>
                <w:snapToGrid w:val="0"/>
                <w:sz w:val="20"/>
                <w:szCs w:val="20"/>
                <w:lang w:eastAsia="en-US"/>
              </w:rPr>
              <w:t>Modelled evaluation</w:t>
            </w:r>
          </w:p>
        </w:tc>
        <w:tc>
          <w:tcPr>
            <w:tcW w:w="1941" w:type="pct"/>
            <w:gridSpan w:val="3"/>
            <w:tcBorders>
              <w:left w:val="double" w:sz="4" w:space="0" w:color="auto"/>
            </w:tcBorders>
            <w:vAlign w:val="center"/>
          </w:tcPr>
          <w:p w:rsidR="005B752D" w:rsidRPr="00EB6EFC" w:rsidRDefault="005B752D" w:rsidP="00E93505">
            <w:pPr>
              <w:keepNext/>
              <w:keepLines/>
              <w:widowControl w:val="0"/>
              <w:rPr>
                <w:rFonts w:ascii="Arial Narrow" w:hAnsi="Arial Narrow" w:cs="Arial Narrow"/>
                <w:b/>
                <w:bCs/>
                <w:snapToGrid w:val="0"/>
                <w:sz w:val="20"/>
                <w:szCs w:val="20"/>
                <w:lang w:eastAsia="en-US"/>
              </w:rPr>
            </w:pPr>
          </w:p>
        </w:tc>
      </w:tr>
      <w:tr w:rsidR="006C19D9" w:rsidRPr="00EB6EFC" w:rsidTr="00264014">
        <w:tc>
          <w:tcPr>
            <w:tcW w:w="1192" w:type="pct"/>
            <w:vAlign w:val="center"/>
          </w:tcPr>
          <w:p w:rsidR="00E13DCB" w:rsidRPr="00EB6EFC" w:rsidRDefault="00E13DCB" w:rsidP="008E720E">
            <w:pPr>
              <w:keepNext/>
              <w:keepLines/>
              <w:widowControl w:val="0"/>
              <w:rPr>
                <w:rFonts w:ascii="Arial Narrow" w:hAnsi="Arial Narrow" w:cs="Arial"/>
                <w:snapToGrid w:val="0"/>
                <w:sz w:val="20"/>
                <w:szCs w:val="20"/>
                <w:vertAlign w:val="superscript"/>
                <w:lang w:eastAsia="en-US"/>
              </w:rPr>
            </w:pPr>
            <w:r w:rsidRPr="00EB6EFC">
              <w:rPr>
                <w:rFonts w:ascii="Arial Narrow" w:hAnsi="Arial Narrow" w:cs="Arial"/>
                <w:snapToGrid w:val="0"/>
                <w:sz w:val="20"/>
                <w:szCs w:val="20"/>
                <w:lang w:eastAsia="en-US"/>
              </w:rPr>
              <w:t>Costs</w:t>
            </w:r>
            <w:r w:rsidR="005B752D" w:rsidRPr="00EB6EFC">
              <w:rPr>
                <w:rFonts w:ascii="Arial Narrow" w:hAnsi="Arial Narrow" w:cs="Arial"/>
                <w:snapToGrid w:val="0"/>
                <w:sz w:val="20"/>
                <w:szCs w:val="20"/>
                <w:lang w:eastAsia="en-US"/>
              </w:rPr>
              <w:t xml:space="preserve"> (with EOC) </w:t>
            </w:r>
            <w:r w:rsidR="005B752D" w:rsidRPr="00EB6EFC">
              <w:rPr>
                <w:rFonts w:ascii="Arial Narrow" w:hAnsi="Arial Narrow" w:cs="Arial"/>
                <w:snapToGrid w:val="0"/>
                <w:sz w:val="20"/>
                <w:szCs w:val="20"/>
                <w:vertAlign w:val="superscript"/>
                <w:lang w:eastAsia="en-US"/>
              </w:rPr>
              <w:t>b</w:t>
            </w:r>
          </w:p>
        </w:tc>
        <w:tc>
          <w:tcPr>
            <w:tcW w:w="592" w:type="pct"/>
            <w:vAlign w:val="center"/>
          </w:tcPr>
          <w:p w:rsidR="00E13DCB" w:rsidRPr="00EB6EFC" w:rsidRDefault="00E13DCB" w:rsidP="00E93505">
            <w:pPr>
              <w:keepNext/>
              <w:keepLines/>
              <w:widowControl w:val="0"/>
              <w:snapToGrid w:val="0"/>
              <w:jc w:val="right"/>
              <w:rPr>
                <w:rFonts w:ascii="Arial Narrow" w:hAnsi="Arial Narrow"/>
                <w:snapToGrid w:val="0"/>
                <w:sz w:val="20"/>
                <w:szCs w:val="20"/>
                <w:lang w:eastAsia="en-US"/>
              </w:rPr>
            </w:pPr>
            <w:r w:rsidRPr="00EB6EFC">
              <w:rPr>
                <w:rFonts w:ascii="Arial Narrow" w:hAnsi="Arial Narrow"/>
                <w:snapToGrid w:val="0"/>
                <w:sz w:val="20"/>
                <w:szCs w:val="20"/>
                <w:lang w:eastAsia="en-US"/>
              </w:rPr>
              <w:t>$</w:t>
            </w:r>
            <w:r w:rsidR="006505A5">
              <w:rPr>
                <w:rFonts w:ascii="Arial Narrow" w:hAnsi="Arial Narrow"/>
                <w:noProof/>
                <w:snapToGrid w:val="0"/>
                <w:color w:val="000000"/>
                <w:sz w:val="20"/>
                <w:szCs w:val="20"/>
                <w:highlight w:val="black"/>
                <w:lang w:eastAsia="en-US"/>
              </w:rPr>
              <w:t>'''''''''''''''</w:t>
            </w:r>
          </w:p>
        </w:tc>
        <w:tc>
          <w:tcPr>
            <w:tcW w:w="680" w:type="pct"/>
            <w:vAlign w:val="center"/>
          </w:tcPr>
          <w:p w:rsidR="00E13DCB" w:rsidRPr="00EB6EFC" w:rsidRDefault="00E13DCB" w:rsidP="00E93505">
            <w:pPr>
              <w:keepNext/>
              <w:keepLines/>
              <w:widowControl w:val="0"/>
              <w:snapToGrid w:val="0"/>
              <w:jc w:val="right"/>
              <w:rPr>
                <w:rFonts w:ascii="Arial Narrow" w:hAnsi="Arial Narrow"/>
                <w:snapToGrid w:val="0"/>
                <w:sz w:val="20"/>
                <w:szCs w:val="20"/>
                <w:lang w:eastAsia="en-US"/>
              </w:rPr>
            </w:pPr>
            <w:r w:rsidRPr="00EB6EFC">
              <w:rPr>
                <w:rFonts w:ascii="Arial Narrow" w:hAnsi="Arial Narrow"/>
                <w:snapToGrid w:val="0"/>
                <w:sz w:val="20"/>
                <w:szCs w:val="20"/>
                <w:lang w:eastAsia="en-US"/>
              </w:rPr>
              <w:t>$10,057</w:t>
            </w:r>
          </w:p>
        </w:tc>
        <w:tc>
          <w:tcPr>
            <w:tcW w:w="595" w:type="pct"/>
            <w:tcBorders>
              <w:right w:val="double" w:sz="4" w:space="0" w:color="auto"/>
            </w:tcBorders>
            <w:vAlign w:val="center"/>
          </w:tcPr>
          <w:p w:rsidR="00E13DCB" w:rsidRPr="00EB6EFC" w:rsidRDefault="00E13DCB" w:rsidP="00E93505">
            <w:pPr>
              <w:keepNext/>
              <w:keepLines/>
              <w:widowControl w:val="0"/>
              <w:snapToGrid w:val="0"/>
              <w:jc w:val="right"/>
              <w:rPr>
                <w:rFonts w:ascii="Arial Narrow" w:hAnsi="Arial Narrow"/>
                <w:snapToGrid w:val="0"/>
                <w:sz w:val="20"/>
                <w:szCs w:val="20"/>
                <w:lang w:eastAsia="en-US"/>
              </w:rPr>
            </w:pPr>
            <w:r w:rsidRPr="00EB6EFC">
              <w:rPr>
                <w:rFonts w:ascii="Arial Narrow" w:hAnsi="Arial Narrow"/>
                <w:snapToGrid w:val="0"/>
                <w:sz w:val="20"/>
                <w:szCs w:val="20"/>
                <w:lang w:eastAsia="en-US"/>
              </w:rPr>
              <w:t>$</w:t>
            </w:r>
            <w:r w:rsidR="006505A5">
              <w:rPr>
                <w:rFonts w:ascii="Arial Narrow" w:hAnsi="Arial Narrow"/>
                <w:noProof/>
                <w:snapToGrid w:val="0"/>
                <w:color w:val="000000"/>
                <w:sz w:val="20"/>
                <w:szCs w:val="20"/>
                <w:highlight w:val="black"/>
                <w:lang w:eastAsia="en-US"/>
              </w:rPr>
              <w:t>'''''''''''''''</w:t>
            </w:r>
          </w:p>
        </w:tc>
        <w:tc>
          <w:tcPr>
            <w:tcW w:w="937" w:type="pct"/>
            <w:tcBorders>
              <w:left w:val="double" w:sz="4" w:space="0" w:color="auto"/>
            </w:tcBorders>
          </w:tcPr>
          <w:p w:rsidR="00E13DCB" w:rsidRPr="00EB6EFC" w:rsidRDefault="005B752D" w:rsidP="00E93505">
            <w:pPr>
              <w:keepNext/>
              <w:keepLines/>
              <w:widowControl w:val="0"/>
              <w:snapToGrid w:val="0"/>
              <w:jc w:val="right"/>
              <w:rPr>
                <w:rFonts w:ascii="Arial Narrow" w:hAnsi="Arial Narrow"/>
                <w:snapToGrid w:val="0"/>
                <w:sz w:val="20"/>
                <w:szCs w:val="20"/>
                <w:vertAlign w:val="superscript"/>
                <w:lang w:eastAsia="en-US"/>
              </w:rPr>
            </w:pPr>
            <w:r w:rsidRPr="00EB6EFC">
              <w:rPr>
                <w:rFonts w:ascii="Arial Narrow" w:hAnsi="Arial Narrow"/>
                <w:snapToGrid w:val="0"/>
                <w:sz w:val="20"/>
                <w:szCs w:val="20"/>
                <w:lang w:eastAsia="en-US"/>
              </w:rPr>
              <w:t>$</w:t>
            </w:r>
            <w:r w:rsidR="006505A5">
              <w:rPr>
                <w:rFonts w:ascii="Arial Narrow" w:hAnsi="Arial Narrow"/>
                <w:noProof/>
                <w:snapToGrid w:val="0"/>
                <w:color w:val="000000"/>
                <w:sz w:val="20"/>
                <w:szCs w:val="20"/>
                <w:highlight w:val="black"/>
                <w:lang w:eastAsia="en-US"/>
              </w:rPr>
              <w:t>'''''''''''''''</w:t>
            </w:r>
            <w:r w:rsidR="008E720E" w:rsidRPr="00EB6EFC">
              <w:rPr>
                <w:rFonts w:ascii="Arial Narrow" w:hAnsi="Arial Narrow"/>
                <w:snapToGrid w:val="0"/>
                <w:sz w:val="20"/>
                <w:szCs w:val="20"/>
                <w:lang w:eastAsia="en-US"/>
              </w:rPr>
              <w:t xml:space="preserve"> </w:t>
            </w:r>
          </w:p>
        </w:tc>
        <w:tc>
          <w:tcPr>
            <w:tcW w:w="421" w:type="pct"/>
          </w:tcPr>
          <w:p w:rsidR="00E13DCB" w:rsidRPr="00EB6EFC" w:rsidRDefault="005B752D" w:rsidP="00E93505">
            <w:pPr>
              <w:keepNext/>
              <w:keepLines/>
              <w:widowControl w:val="0"/>
              <w:snapToGrid w:val="0"/>
              <w:jc w:val="right"/>
              <w:rPr>
                <w:rFonts w:ascii="Arial Narrow" w:hAnsi="Arial Narrow"/>
                <w:snapToGrid w:val="0"/>
                <w:sz w:val="20"/>
                <w:szCs w:val="20"/>
                <w:lang w:eastAsia="en-US"/>
              </w:rPr>
            </w:pPr>
            <w:r w:rsidRPr="00EB6EFC">
              <w:rPr>
                <w:rFonts w:ascii="Arial Narrow" w:hAnsi="Arial Narrow"/>
                <w:snapToGrid w:val="0"/>
                <w:sz w:val="20"/>
                <w:szCs w:val="20"/>
                <w:lang w:eastAsia="en-US"/>
              </w:rPr>
              <w:t>$11,248</w:t>
            </w:r>
          </w:p>
        </w:tc>
        <w:tc>
          <w:tcPr>
            <w:tcW w:w="584" w:type="pct"/>
          </w:tcPr>
          <w:p w:rsidR="00E13DCB" w:rsidRPr="00EB6EFC" w:rsidRDefault="005B752D" w:rsidP="00E93505">
            <w:pPr>
              <w:keepNext/>
              <w:keepLines/>
              <w:widowControl w:val="0"/>
              <w:snapToGrid w:val="0"/>
              <w:jc w:val="right"/>
              <w:rPr>
                <w:rFonts w:ascii="Arial Narrow" w:hAnsi="Arial Narrow"/>
                <w:snapToGrid w:val="0"/>
                <w:sz w:val="20"/>
                <w:szCs w:val="20"/>
                <w:lang w:eastAsia="en-US"/>
              </w:rPr>
            </w:pPr>
            <w:r w:rsidRPr="00EB6EFC">
              <w:rPr>
                <w:rFonts w:ascii="Arial Narrow" w:hAnsi="Arial Narrow"/>
                <w:snapToGrid w:val="0"/>
                <w:sz w:val="20"/>
                <w:szCs w:val="20"/>
                <w:lang w:eastAsia="en-US"/>
              </w:rPr>
              <w:t>$</w:t>
            </w:r>
            <w:r w:rsidR="006505A5">
              <w:rPr>
                <w:rFonts w:ascii="Arial Narrow" w:hAnsi="Arial Narrow"/>
                <w:noProof/>
                <w:snapToGrid w:val="0"/>
                <w:color w:val="000000"/>
                <w:sz w:val="20"/>
                <w:szCs w:val="20"/>
                <w:highlight w:val="black"/>
                <w:lang w:eastAsia="en-US"/>
              </w:rPr>
              <w:t>'''''''''''''''''</w:t>
            </w:r>
          </w:p>
        </w:tc>
      </w:tr>
      <w:tr w:rsidR="006C19D9" w:rsidRPr="00EB6EFC" w:rsidTr="00264014">
        <w:tc>
          <w:tcPr>
            <w:tcW w:w="1192" w:type="pct"/>
            <w:vAlign w:val="center"/>
          </w:tcPr>
          <w:p w:rsidR="00E13DCB" w:rsidRPr="00EB6EFC" w:rsidRDefault="00E13DCB" w:rsidP="00E93505">
            <w:pPr>
              <w:keepNext/>
              <w:keepLines/>
              <w:widowControl w:val="0"/>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Disfigurement-free response rate</w:t>
            </w:r>
          </w:p>
        </w:tc>
        <w:tc>
          <w:tcPr>
            <w:tcW w:w="592" w:type="pct"/>
            <w:vAlign w:val="center"/>
          </w:tcPr>
          <w:p w:rsidR="00E13DCB" w:rsidRPr="00EB6EFC" w:rsidRDefault="00E13DCB" w:rsidP="00E93505">
            <w:pPr>
              <w:keepNext/>
              <w:keepLines/>
              <w:widowControl w:val="0"/>
              <w:snapToGrid w:val="0"/>
              <w:jc w:val="center"/>
              <w:rPr>
                <w:rFonts w:ascii="Arial Narrow" w:hAnsi="Arial Narrow" w:cs="Arial"/>
                <w:snapToGrid w:val="0"/>
                <w:sz w:val="20"/>
                <w:szCs w:val="20"/>
                <w:lang w:eastAsia="en-US"/>
              </w:rPr>
            </w:pPr>
            <w:r w:rsidRPr="005071A2">
              <w:rPr>
                <w:rFonts w:ascii="Arial Narrow" w:hAnsi="Arial Narrow" w:cs="Arial"/>
                <w:snapToGrid w:val="0"/>
                <w:sz w:val="20"/>
                <w:szCs w:val="20"/>
                <w:lang w:eastAsia="en-US"/>
              </w:rPr>
              <w:t>64.9</w:t>
            </w:r>
            <w:r w:rsidRPr="00EB6EFC">
              <w:rPr>
                <w:rFonts w:ascii="Arial Narrow" w:hAnsi="Arial Narrow" w:cs="Arial"/>
                <w:snapToGrid w:val="0"/>
                <w:sz w:val="20"/>
                <w:szCs w:val="20"/>
                <w:lang w:eastAsia="en-US"/>
              </w:rPr>
              <w:t>%</w:t>
            </w:r>
          </w:p>
        </w:tc>
        <w:tc>
          <w:tcPr>
            <w:tcW w:w="680" w:type="pct"/>
            <w:vAlign w:val="center"/>
          </w:tcPr>
          <w:p w:rsidR="00E13DCB" w:rsidRPr="00EB6EFC" w:rsidRDefault="005B752D" w:rsidP="00E93505">
            <w:pPr>
              <w:keepNext/>
              <w:keepLines/>
              <w:widowControl w:val="0"/>
              <w:snapToGrid w:val="0"/>
              <w:jc w:val="center"/>
              <w:rPr>
                <w:rFonts w:ascii="Arial Narrow" w:hAnsi="Arial Narrow" w:cs="Arial"/>
                <w:snapToGrid w:val="0"/>
                <w:sz w:val="20"/>
                <w:szCs w:val="20"/>
                <w:lang w:eastAsia="en-US"/>
              </w:rPr>
            </w:pPr>
            <w:r w:rsidRPr="00EE03F2">
              <w:rPr>
                <w:rFonts w:ascii="Arial Narrow" w:hAnsi="Arial Narrow" w:cs="Arial"/>
                <w:snapToGrid w:val="0"/>
                <w:sz w:val="20"/>
                <w:szCs w:val="20"/>
                <w:lang w:eastAsia="en-US"/>
              </w:rPr>
              <w:t>16</w:t>
            </w:r>
            <w:r w:rsidR="00E13DCB" w:rsidRPr="00EE03F2">
              <w:rPr>
                <w:rFonts w:ascii="Arial Narrow" w:hAnsi="Arial Narrow" w:cs="Arial"/>
                <w:snapToGrid w:val="0"/>
                <w:sz w:val="20"/>
                <w:szCs w:val="20"/>
                <w:lang w:eastAsia="en-US"/>
              </w:rPr>
              <w:t>.</w:t>
            </w:r>
            <w:r w:rsidRPr="00EE03F2">
              <w:rPr>
                <w:rFonts w:ascii="Arial Narrow" w:hAnsi="Arial Narrow" w:cs="Arial"/>
                <w:snapToGrid w:val="0"/>
                <w:sz w:val="20"/>
                <w:szCs w:val="20"/>
                <w:lang w:eastAsia="en-US"/>
              </w:rPr>
              <w:t>1</w:t>
            </w:r>
            <w:r w:rsidR="00E13DCB" w:rsidRPr="00EB6EFC">
              <w:rPr>
                <w:rFonts w:ascii="Arial Narrow" w:hAnsi="Arial Narrow" w:cs="Arial"/>
                <w:snapToGrid w:val="0"/>
                <w:sz w:val="20"/>
                <w:szCs w:val="20"/>
                <w:lang w:eastAsia="en-US"/>
              </w:rPr>
              <w:t>%</w:t>
            </w:r>
          </w:p>
        </w:tc>
        <w:tc>
          <w:tcPr>
            <w:tcW w:w="595" w:type="pct"/>
            <w:tcBorders>
              <w:right w:val="double" w:sz="4" w:space="0" w:color="auto"/>
            </w:tcBorders>
            <w:vAlign w:val="center"/>
          </w:tcPr>
          <w:p w:rsidR="00E13DCB" w:rsidRPr="00EB6EFC" w:rsidRDefault="005B752D" w:rsidP="00E93505">
            <w:pPr>
              <w:keepNext/>
              <w:keepLines/>
              <w:widowControl w:val="0"/>
              <w:snapToGrid w:val="0"/>
              <w:jc w:val="center"/>
              <w:rPr>
                <w:rFonts w:ascii="Arial Narrow" w:hAnsi="Arial Narrow" w:cs="Arial"/>
                <w:snapToGrid w:val="0"/>
                <w:sz w:val="20"/>
                <w:szCs w:val="20"/>
                <w:lang w:eastAsia="en-US"/>
              </w:rPr>
            </w:pPr>
            <w:r w:rsidRPr="005071A2">
              <w:rPr>
                <w:rFonts w:ascii="Arial Narrow" w:hAnsi="Arial Narrow" w:cs="Arial"/>
                <w:snapToGrid w:val="0"/>
                <w:sz w:val="20"/>
                <w:szCs w:val="20"/>
                <w:lang w:eastAsia="en-US"/>
              </w:rPr>
              <w:t>48.8</w:t>
            </w:r>
            <w:r w:rsidR="00E13DCB" w:rsidRPr="00EB6EFC">
              <w:rPr>
                <w:rFonts w:ascii="Arial Narrow" w:hAnsi="Arial Narrow" w:cs="Arial"/>
                <w:snapToGrid w:val="0"/>
                <w:sz w:val="20"/>
                <w:szCs w:val="20"/>
                <w:lang w:eastAsia="en-US"/>
              </w:rPr>
              <w:t>%</w:t>
            </w:r>
          </w:p>
        </w:tc>
        <w:tc>
          <w:tcPr>
            <w:tcW w:w="937" w:type="pct"/>
            <w:tcBorders>
              <w:left w:val="double" w:sz="4" w:space="0" w:color="auto"/>
            </w:tcBorders>
            <w:vAlign w:val="center"/>
          </w:tcPr>
          <w:p w:rsidR="00E13DCB" w:rsidRPr="00EB6EFC" w:rsidRDefault="005B752D" w:rsidP="008E720E">
            <w:pPr>
              <w:keepNext/>
              <w:keepLines/>
              <w:widowControl w:val="0"/>
              <w:snapToGrid w:val="0"/>
              <w:jc w:val="center"/>
              <w:rPr>
                <w:rFonts w:ascii="Arial Narrow" w:hAnsi="Arial Narrow" w:cs="Arial"/>
                <w:snapToGrid w:val="0"/>
                <w:sz w:val="20"/>
                <w:szCs w:val="20"/>
                <w:vertAlign w:val="superscript"/>
                <w:lang w:eastAsia="en-US"/>
              </w:rPr>
            </w:pPr>
            <w:r w:rsidRPr="005071A2">
              <w:rPr>
                <w:rFonts w:ascii="Arial Narrow" w:hAnsi="Arial Narrow" w:cs="Arial"/>
                <w:snapToGrid w:val="0"/>
                <w:sz w:val="20"/>
                <w:szCs w:val="20"/>
                <w:lang w:eastAsia="en-US"/>
              </w:rPr>
              <w:t>58.4</w:t>
            </w:r>
            <w:r w:rsidRPr="00EB6EFC">
              <w:rPr>
                <w:rFonts w:ascii="Arial Narrow" w:hAnsi="Arial Narrow" w:cs="Arial"/>
                <w:snapToGrid w:val="0"/>
                <w:sz w:val="20"/>
                <w:szCs w:val="20"/>
                <w:lang w:eastAsia="en-US"/>
              </w:rPr>
              <w:t>%</w:t>
            </w:r>
            <w:r w:rsidR="00B968F8" w:rsidRPr="00EB6EFC">
              <w:rPr>
                <w:rFonts w:ascii="Arial Narrow" w:hAnsi="Arial Narrow" w:cs="Arial"/>
                <w:snapToGrid w:val="0"/>
                <w:sz w:val="20"/>
                <w:szCs w:val="20"/>
                <w:lang w:eastAsia="en-US"/>
              </w:rPr>
              <w:t xml:space="preserve"> </w:t>
            </w:r>
            <w:r w:rsidR="008E720E" w:rsidRPr="00EB6EFC">
              <w:rPr>
                <w:rFonts w:ascii="Arial Narrow" w:hAnsi="Arial Narrow" w:cs="Arial"/>
                <w:snapToGrid w:val="0"/>
                <w:sz w:val="20"/>
                <w:szCs w:val="20"/>
                <w:vertAlign w:val="superscript"/>
                <w:lang w:eastAsia="en-US"/>
              </w:rPr>
              <w:t>c</w:t>
            </w:r>
          </w:p>
        </w:tc>
        <w:tc>
          <w:tcPr>
            <w:tcW w:w="421" w:type="pct"/>
            <w:vAlign w:val="center"/>
          </w:tcPr>
          <w:p w:rsidR="00E13DCB" w:rsidRPr="00EB6EFC" w:rsidRDefault="005B752D" w:rsidP="00E93505">
            <w:pPr>
              <w:keepNext/>
              <w:keepLines/>
              <w:widowControl w:val="0"/>
              <w:snapToGrid w:val="0"/>
              <w:jc w:val="center"/>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16.1%</w:t>
            </w:r>
          </w:p>
        </w:tc>
        <w:tc>
          <w:tcPr>
            <w:tcW w:w="584" w:type="pct"/>
            <w:vAlign w:val="center"/>
          </w:tcPr>
          <w:p w:rsidR="00E13DCB" w:rsidRPr="00EB6EFC" w:rsidRDefault="005B752D" w:rsidP="00E93505">
            <w:pPr>
              <w:keepNext/>
              <w:keepLines/>
              <w:widowControl w:val="0"/>
              <w:snapToGrid w:val="0"/>
              <w:jc w:val="center"/>
              <w:rPr>
                <w:rFonts w:ascii="Arial Narrow" w:hAnsi="Arial Narrow" w:cs="Arial"/>
                <w:snapToGrid w:val="0"/>
                <w:sz w:val="20"/>
                <w:szCs w:val="20"/>
                <w:lang w:eastAsia="en-US"/>
              </w:rPr>
            </w:pPr>
            <w:r w:rsidRPr="005071A2">
              <w:rPr>
                <w:rFonts w:ascii="Arial Narrow" w:hAnsi="Arial Narrow" w:cs="Arial"/>
                <w:snapToGrid w:val="0"/>
                <w:sz w:val="20"/>
                <w:szCs w:val="20"/>
                <w:lang w:eastAsia="en-US"/>
              </w:rPr>
              <w:t>42.3</w:t>
            </w:r>
            <w:r w:rsidRPr="00EB6EFC">
              <w:rPr>
                <w:rFonts w:ascii="Arial Narrow" w:hAnsi="Arial Narrow" w:cs="Arial"/>
                <w:snapToGrid w:val="0"/>
                <w:sz w:val="20"/>
                <w:szCs w:val="20"/>
                <w:lang w:eastAsia="en-US"/>
              </w:rPr>
              <w:t>%</w:t>
            </w:r>
          </w:p>
        </w:tc>
      </w:tr>
      <w:tr w:rsidR="006C19D9" w:rsidRPr="00EB6EFC" w:rsidTr="00264014">
        <w:tc>
          <w:tcPr>
            <w:tcW w:w="2464" w:type="pct"/>
            <w:gridSpan w:val="3"/>
          </w:tcPr>
          <w:p w:rsidR="00717521" w:rsidRPr="00EB6EFC" w:rsidRDefault="00717521" w:rsidP="00513E96">
            <w:pPr>
              <w:keepNext/>
              <w:keepLines/>
              <w:widowControl w:val="0"/>
              <w:snapToGrid w:val="0"/>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Incremental cost/extra disfigurement-free responder with EOC cap</w:t>
            </w:r>
          </w:p>
        </w:tc>
        <w:tc>
          <w:tcPr>
            <w:tcW w:w="595" w:type="pct"/>
            <w:tcBorders>
              <w:right w:val="double" w:sz="4" w:space="0" w:color="auto"/>
            </w:tcBorders>
          </w:tcPr>
          <w:p w:rsidR="00717521" w:rsidRPr="00EB6EFC" w:rsidRDefault="00717521" w:rsidP="00473315">
            <w:pPr>
              <w:keepNext/>
              <w:keepLines/>
              <w:widowControl w:val="0"/>
              <w:snapToGrid w:val="0"/>
              <w:jc w:val="right"/>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w:t>
            </w:r>
            <w:r w:rsidR="006505A5">
              <w:rPr>
                <w:rFonts w:ascii="Arial Narrow" w:hAnsi="Arial Narrow" w:cs="Arial"/>
                <w:b/>
                <w:noProof/>
                <w:snapToGrid w:val="0"/>
                <w:color w:val="000000"/>
                <w:sz w:val="20"/>
                <w:szCs w:val="20"/>
                <w:highlight w:val="black"/>
                <w:lang w:eastAsia="en-US"/>
              </w:rPr>
              <w:t>'''''''''''''</w:t>
            </w:r>
          </w:p>
        </w:tc>
        <w:tc>
          <w:tcPr>
            <w:tcW w:w="1358" w:type="pct"/>
            <w:gridSpan w:val="2"/>
            <w:tcBorders>
              <w:left w:val="double" w:sz="4" w:space="0" w:color="auto"/>
            </w:tcBorders>
          </w:tcPr>
          <w:p w:rsidR="00717521" w:rsidRPr="00EB6EFC" w:rsidRDefault="00717521" w:rsidP="00473315">
            <w:pPr>
              <w:keepNext/>
              <w:keepLines/>
              <w:widowControl w:val="0"/>
              <w:snapToGrid w:val="0"/>
              <w:jc w:val="right"/>
              <w:rPr>
                <w:rFonts w:ascii="Arial Narrow" w:hAnsi="Arial Narrow" w:cs="Arial"/>
                <w:b/>
                <w:snapToGrid w:val="0"/>
                <w:sz w:val="20"/>
                <w:szCs w:val="20"/>
                <w:lang w:eastAsia="en-US"/>
              </w:rPr>
            </w:pPr>
          </w:p>
        </w:tc>
        <w:tc>
          <w:tcPr>
            <w:tcW w:w="584" w:type="pct"/>
          </w:tcPr>
          <w:p w:rsidR="00717521" w:rsidRPr="00EB6EFC" w:rsidRDefault="00717521" w:rsidP="00473315">
            <w:pPr>
              <w:keepNext/>
              <w:keepLines/>
              <w:widowControl w:val="0"/>
              <w:snapToGrid w:val="0"/>
              <w:jc w:val="right"/>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w:t>
            </w:r>
            <w:r w:rsidR="006505A5">
              <w:rPr>
                <w:rFonts w:ascii="Arial Narrow" w:hAnsi="Arial Narrow" w:cs="Arial"/>
                <w:b/>
                <w:noProof/>
                <w:snapToGrid w:val="0"/>
                <w:color w:val="000000"/>
                <w:sz w:val="20"/>
                <w:szCs w:val="20"/>
                <w:highlight w:val="black"/>
                <w:lang w:eastAsia="en-US"/>
              </w:rPr>
              <w:t>'''''''''''''</w:t>
            </w:r>
          </w:p>
        </w:tc>
      </w:tr>
      <w:tr w:rsidR="00717521" w:rsidRPr="00EB6EFC" w:rsidTr="00264014">
        <w:tc>
          <w:tcPr>
            <w:tcW w:w="2464" w:type="pct"/>
            <w:gridSpan w:val="3"/>
          </w:tcPr>
          <w:p w:rsidR="00717521" w:rsidRPr="00EB6EFC" w:rsidRDefault="00717521" w:rsidP="00717521">
            <w:pPr>
              <w:keepNext/>
              <w:keepLines/>
              <w:widowControl w:val="0"/>
              <w:snapToGrid w:val="0"/>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ICER without EOC cap</w:t>
            </w:r>
          </w:p>
        </w:tc>
        <w:tc>
          <w:tcPr>
            <w:tcW w:w="595" w:type="pct"/>
            <w:tcBorders>
              <w:right w:val="double" w:sz="4" w:space="0" w:color="auto"/>
            </w:tcBorders>
            <w:vAlign w:val="center"/>
          </w:tcPr>
          <w:p w:rsidR="00717521" w:rsidRPr="00EB6EFC" w:rsidRDefault="00717521" w:rsidP="00E93505">
            <w:pPr>
              <w:keepNext/>
              <w:keepLines/>
              <w:widowControl w:val="0"/>
              <w:snapToGrid w:val="0"/>
              <w:jc w:val="right"/>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w:t>
            </w:r>
            <w:r w:rsidR="006505A5">
              <w:rPr>
                <w:rFonts w:ascii="Arial Narrow" w:hAnsi="Arial Narrow" w:cs="Arial"/>
                <w:b/>
                <w:noProof/>
                <w:snapToGrid w:val="0"/>
                <w:color w:val="000000"/>
                <w:sz w:val="20"/>
                <w:szCs w:val="20"/>
                <w:highlight w:val="black"/>
                <w:lang w:eastAsia="en-US"/>
              </w:rPr>
              <w:t>'''''''''''''''</w:t>
            </w:r>
          </w:p>
        </w:tc>
        <w:tc>
          <w:tcPr>
            <w:tcW w:w="1358" w:type="pct"/>
            <w:gridSpan w:val="2"/>
            <w:tcBorders>
              <w:left w:val="double" w:sz="4" w:space="0" w:color="auto"/>
            </w:tcBorders>
            <w:vAlign w:val="center"/>
          </w:tcPr>
          <w:p w:rsidR="00717521" w:rsidRPr="00EB6EFC" w:rsidRDefault="00717521" w:rsidP="00E93505">
            <w:pPr>
              <w:keepNext/>
              <w:keepLines/>
              <w:widowControl w:val="0"/>
              <w:snapToGrid w:val="0"/>
              <w:jc w:val="right"/>
              <w:rPr>
                <w:rFonts w:ascii="Arial Narrow" w:hAnsi="Arial Narrow" w:cs="Arial"/>
                <w:b/>
                <w:snapToGrid w:val="0"/>
                <w:sz w:val="20"/>
                <w:szCs w:val="20"/>
                <w:lang w:eastAsia="en-US"/>
              </w:rPr>
            </w:pPr>
          </w:p>
        </w:tc>
        <w:tc>
          <w:tcPr>
            <w:tcW w:w="584" w:type="pct"/>
            <w:vAlign w:val="center"/>
          </w:tcPr>
          <w:p w:rsidR="00717521" w:rsidRPr="00EB6EFC" w:rsidRDefault="00717521" w:rsidP="00E93505">
            <w:pPr>
              <w:keepNext/>
              <w:keepLines/>
              <w:widowControl w:val="0"/>
              <w:snapToGrid w:val="0"/>
              <w:jc w:val="right"/>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w:t>
            </w:r>
            <w:r w:rsidR="006505A5">
              <w:rPr>
                <w:rFonts w:ascii="Arial Narrow" w:hAnsi="Arial Narrow" w:cs="Arial"/>
                <w:b/>
                <w:noProof/>
                <w:snapToGrid w:val="0"/>
                <w:color w:val="000000"/>
                <w:sz w:val="20"/>
                <w:szCs w:val="20"/>
                <w:highlight w:val="black"/>
                <w:lang w:eastAsia="en-US"/>
              </w:rPr>
              <w:t>'''''''''''''''</w:t>
            </w:r>
          </w:p>
        </w:tc>
      </w:tr>
    </w:tbl>
    <w:p w:rsidR="00E13DCB" w:rsidRPr="005B36A8" w:rsidRDefault="00E13DCB" w:rsidP="00264014">
      <w:pPr>
        <w:keepNext/>
        <w:keepLines/>
        <w:ind w:left="709"/>
        <w:jc w:val="both"/>
        <w:rPr>
          <w:rFonts w:ascii="Arial Narrow" w:hAnsi="Arial Narrow" w:cs="Arial"/>
          <w:i/>
          <w:snapToGrid w:val="0"/>
          <w:sz w:val="18"/>
          <w:szCs w:val="20"/>
          <w:lang w:eastAsia="en-US"/>
        </w:rPr>
      </w:pPr>
      <w:r w:rsidRPr="005B36A8">
        <w:rPr>
          <w:rFonts w:ascii="Arial Narrow" w:hAnsi="Arial Narrow" w:cs="Arial"/>
          <w:i/>
          <w:snapToGrid w:val="0"/>
          <w:sz w:val="18"/>
          <w:szCs w:val="20"/>
          <w:lang w:eastAsia="en-US"/>
        </w:rPr>
        <w:t xml:space="preserve">Source: </w:t>
      </w:r>
      <w:r w:rsidR="005B752D" w:rsidRPr="005B36A8">
        <w:rPr>
          <w:rFonts w:ascii="Arial Narrow" w:hAnsi="Arial Narrow" w:cs="Arial"/>
          <w:i/>
          <w:snapToGrid w:val="0"/>
          <w:sz w:val="18"/>
          <w:szCs w:val="20"/>
          <w:lang w:eastAsia="en-US"/>
        </w:rPr>
        <w:t xml:space="preserve">Table B.4, p6 of the </w:t>
      </w:r>
      <w:r w:rsidR="00993564">
        <w:rPr>
          <w:rFonts w:ascii="Arial Narrow" w:hAnsi="Arial Narrow" w:cs="Arial"/>
          <w:i/>
          <w:snapToGrid w:val="0"/>
          <w:sz w:val="18"/>
          <w:szCs w:val="20"/>
          <w:lang w:eastAsia="en-US"/>
        </w:rPr>
        <w:t>resubmission</w:t>
      </w:r>
      <w:r w:rsidR="005B752D" w:rsidRPr="005B36A8">
        <w:rPr>
          <w:rFonts w:ascii="Arial Narrow" w:hAnsi="Arial Narrow" w:cs="Arial"/>
          <w:i/>
          <w:snapToGrid w:val="0"/>
          <w:sz w:val="18"/>
          <w:szCs w:val="20"/>
          <w:lang w:eastAsia="en-US"/>
        </w:rPr>
        <w:t>;</w:t>
      </w:r>
      <w:r w:rsidR="00AE59E3" w:rsidRPr="005B36A8">
        <w:rPr>
          <w:rFonts w:ascii="Arial Narrow" w:hAnsi="Arial Narrow" w:cs="Arial"/>
          <w:i/>
          <w:snapToGrid w:val="0"/>
          <w:sz w:val="18"/>
          <w:szCs w:val="20"/>
          <w:lang w:eastAsia="en-US"/>
        </w:rPr>
        <w:t xml:space="preserve"> </w:t>
      </w:r>
      <w:r w:rsidRPr="005B36A8">
        <w:rPr>
          <w:rFonts w:ascii="Arial Narrow" w:hAnsi="Arial Narrow" w:cs="Arial"/>
          <w:i/>
          <w:snapToGrid w:val="0"/>
          <w:sz w:val="18"/>
          <w:szCs w:val="20"/>
          <w:lang w:eastAsia="en-US"/>
        </w:rPr>
        <w:t xml:space="preserve">Table </w:t>
      </w:r>
      <w:r w:rsidR="005B752D" w:rsidRPr="005B36A8">
        <w:rPr>
          <w:rFonts w:ascii="Arial Narrow" w:hAnsi="Arial Narrow" w:cs="Arial"/>
          <w:i/>
          <w:snapToGrid w:val="0"/>
          <w:sz w:val="18"/>
          <w:szCs w:val="20"/>
          <w:lang w:eastAsia="en-US"/>
        </w:rPr>
        <w:t>9</w:t>
      </w:r>
      <w:r w:rsidR="00AE59E3" w:rsidRPr="005B36A8">
        <w:rPr>
          <w:rFonts w:ascii="Arial Narrow" w:hAnsi="Arial Narrow" w:cs="Arial"/>
          <w:i/>
          <w:snapToGrid w:val="0"/>
          <w:sz w:val="18"/>
          <w:szCs w:val="20"/>
          <w:lang w:eastAsia="en-US"/>
        </w:rPr>
        <w:t>,</w:t>
      </w:r>
      <w:r w:rsidR="005B752D" w:rsidRPr="005B36A8">
        <w:rPr>
          <w:rFonts w:ascii="Arial Narrow" w:hAnsi="Arial Narrow" w:cs="Arial"/>
          <w:i/>
          <w:snapToGrid w:val="0"/>
          <w:sz w:val="18"/>
          <w:szCs w:val="20"/>
          <w:lang w:eastAsia="en-US"/>
        </w:rPr>
        <w:t xml:space="preserve"> p13 of the </w:t>
      </w:r>
      <w:r w:rsidR="00AE59E3" w:rsidRPr="005B36A8">
        <w:rPr>
          <w:rFonts w:ascii="Arial Narrow" w:hAnsi="Arial Narrow" w:cs="Arial"/>
          <w:i/>
          <w:snapToGrid w:val="0"/>
          <w:sz w:val="18"/>
          <w:szCs w:val="20"/>
          <w:lang w:eastAsia="en-US"/>
        </w:rPr>
        <w:t xml:space="preserve">March 2016 </w:t>
      </w:r>
      <w:r w:rsidR="00C60F56">
        <w:rPr>
          <w:rFonts w:ascii="Arial Narrow" w:hAnsi="Arial Narrow" w:cs="Arial"/>
          <w:i/>
          <w:snapToGrid w:val="0"/>
          <w:sz w:val="18"/>
          <w:szCs w:val="20"/>
          <w:lang w:eastAsia="en-US"/>
        </w:rPr>
        <w:t>PBAC PSD</w:t>
      </w:r>
      <w:r w:rsidR="005B752D" w:rsidRPr="005B36A8">
        <w:rPr>
          <w:rFonts w:ascii="Arial Narrow" w:hAnsi="Arial Narrow" w:cs="Arial"/>
          <w:i/>
          <w:snapToGrid w:val="0"/>
          <w:sz w:val="18"/>
          <w:szCs w:val="20"/>
          <w:lang w:eastAsia="en-US"/>
        </w:rPr>
        <w:t>; “Economic Evaluation.xlsx” from the previous submission</w:t>
      </w:r>
    </w:p>
    <w:p w:rsidR="00E13DCB" w:rsidRPr="00EB6EFC" w:rsidRDefault="008E720E" w:rsidP="00264014">
      <w:pPr>
        <w:keepNext/>
        <w:keepLines/>
        <w:ind w:left="709"/>
        <w:jc w:val="both"/>
        <w:rPr>
          <w:rFonts w:ascii="Arial Narrow" w:hAnsi="Arial Narrow" w:cs="Arial"/>
          <w:snapToGrid w:val="0"/>
          <w:sz w:val="18"/>
          <w:szCs w:val="20"/>
          <w:lang w:eastAsia="en-US"/>
        </w:rPr>
      </w:pPr>
      <w:r w:rsidRPr="00EB6EFC">
        <w:rPr>
          <w:rFonts w:ascii="Arial Narrow" w:hAnsi="Arial Narrow" w:cs="Arial"/>
          <w:snapToGrid w:val="0"/>
          <w:sz w:val="18"/>
          <w:szCs w:val="20"/>
          <w:lang w:eastAsia="en-US"/>
        </w:rPr>
        <w:t xml:space="preserve">EOC = episode of care; </w:t>
      </w:r>
      <w:r w:rsidR="00E13DCB" w:rsidRPr="00EB6EFC">
        <w:rPr>
          <w:rFonts w:ascii="Arial Narrow" w:hAnsi="Arial Narrow" w:cs="Arial"/>
          <w:snapToGrid w:val="0"/>
          <w:sz w:val="18"/>
          <w:szCs w:val="20"/>
          <w:lang w:eastAsia="en-US"/>
        </w:rPr>
        <w:t>ICER = incre</w:t>
      </w:r>
      <w:r w:rsidR="00E632A3">
        <w:rPr>
          <w:rFonts w:ascii="Arial Narrow" w:hAnsi="Arial Narrow" w:cs="Arial"/>
          <w:snapToGrid w:val="0"/>
          <w:sz w:val="18"/>
          <w:szCs w:val="20"/>
          <w:lang w:eastAsia="en-US"/>
        </w:rPr>
        <w:t>mental cost-effectiveness ratio</w:t>
      </w:r>
    </w:p>
    <w:p w:rsidR="005B752D" w:rsidRPr="00EB6EFC" w:rsidRDefault="005B752D" w:rsidP="00264014">
      <w:pPr>
        <w:keepNext/>
        <w:keepLines/>
        <w:ind w:left="709"/>
        <w:jc w:val="both"/>
        <w:rPr>
          <w:rFonts w:ascii="Arial Narrow" w:hAnsi="Arial Narrow" w:cs="Arial"/>
          <w:snapToGrid w:val="0"/>
          <w:sz w:val="18"/>
          <w:szCs w:val="20"/>
          <w:lang w:eastAsia="en-US"/>
        </w:rPr>
      </w:pPr>
      <w:r w:rsidRPr="00EB6EFC">
        <w:rPr>
          <w:rFonts w:ascii="Arial Narrow" w:hAnsi="Arial Narrow" w:cs="Arial"/>
          <w:snapToGrid w:val="0"/>
          <w:sz w:val="18"/>
          <w:szCs w:val="20"/>
          <w:vertAlign w:val="superscript"/>
          <w:lang w:eastAsia="en-US"/>
        </w:rPr>
        <w:t>a</w:t>
      </w:r>
      <w:r w:rsidRPr="00EB6EFC">
        <w:rPr>
          <w:rFonts w:ascii="Arial Narrow" w:hAnsi="Arial Narrow" w:cs="Arial"/>
          <w:snapToGrid w:val="0"/>
          <w:sz w:val="18"/>
          <w:szCs w:val="20"/>
          <w:lang w:eastAsia="en-US"/>
        </w:rPr>
        <w:t xml:space="preserve"> Th</w:t>
      </w:r>
      <w:r w:rsidR="008E720E" w:rsidRPr="00EB6EFC">
        <w:rPr>
          <w:rFonts w:ascii="Arial Narrow" w:hAnsi="Arial Narrow" w:cs="Arial"/>
          <w:snapToGrid w:val="0"/>
          <w:sz w:val="18"/>
          <w:szCs w:val="20"/>
          <w:lang w:eastAsia="en-US"/>
        </w:rPr>
        <w:t xml:space="preserve">e ESC and PBAC </w:t>
      </w:r>
      <w:r w:rsidRPr="00EB6EFC">
        <w:rPr>
          <w:rFonts w:ascii="Arial Narrow" w:hAnsi="Arial Narrow" w:cs="Arial"/>
          <w:snapToGrid w:val="0"/>
          <w:sz w:val="18"/>
          <w:szCs w:val="20"/>
          <w:lang w:eastAsia="en-US"/>
        </w:rPr>
        <w:t>considered th</w:t>
      </w:r>
      <w:r w:rsidR="008E720E" w:rsidRPr="00EB6EFC">
        <w:rPr>
          <w:rFonts w:ascii="Arial Narrow" w:hAnsi="Arial Narrow" w:cs="Arial"/>
          <w:snapToGrid w:val="0"/>
          <w:sz w:val="18"/>
          <w:szCs w:val="20"/>
          <w:lang w:eastAsia="en-US"/>
        </w:rPr>
        <w:t>is as the</w:t>
      </w:r>
      <w:r w:rsidRPr="00EB6EFC">
        <w:rPr>
          <w:rFonts w:ascii="Arial Narrow" w:hAnsi="Arial Narrow" w:cs="Arial"/>
          <w:snapToGrid w:val="0"/>
          <w:sz w:val="18"/>
          <w:szCs w:val="20"/>
          <w:lang w:eastAsia="en-US"/>
        </w:rPr>
        <w:t xml:space="preserve"> new base case</w:t>
      </w:r>
      <w:r w:rsidR="008E720E" w:rsidRPr="00EB6EFC">
        <w:rPr>
          <w:rFonts w:ascii="Arial Narrow" w:hAnsi="Arial Narrow" w:cs="Arial"/>
          <w:snapToGrid w:val="0"/>
          <w:sz w:val="18"/>
          <w:szCs w:val="20"/>
          <w:lang w:eastAsia="en-US"/>
        </w:rPr>
        <w:t>,</w:t>
      </w:r>
      <w:r w:rsidRPr="00EB6EFC">
        <w:rPr>
          <w:rFonts w:ascii="Arial Narrow" w:hAnsi="Arial Narrow" w:cs="Arial"/>
          <w:snapToGrid w:val="0"/>
          <w:sz w:val="18"/>
          <w:szCs w:val="20"/>
          <w:lang w:eastAsia="en-US"/>
        </w:rPr>
        <w:t xml:space="preserve"> per paragraph 6.26 of the </w:t>
      </w:r>
      <w:r w:rsidR="0053692B" w:rsidRPr="00EB6EFC">
        <w:rPr>
          <w:rFonts w:ascii="Arial Narrow" w:hAnsi="Arial Narrow" w:cs="Arial"/>
          <w:snapToGrid w:val="0"/>
          <w:sz w:val="18"/>
          <w:szCs w:val="20"/>
          <w:lang w:eastAsia="en-US"/>
        </w:rPr>
        <w:t xml:space="preserve">March 2016 </w:t>
      </w:r>
      <w:r w:rsidRPr="00EB6EFC">
        <w:rPr>
          <w:rFonts w:ascii="Arial Narrow" w:hAnsi="Arial Narrow" w:cs="Arial"/>
          <w:snapToGrid w:val="0"/>
          <w:sz w:val="18"/>
          <w:szCs w:val="20"/>
          <w:lang w:eastAsia="en-US"/>
        </w:rPr>
        <w:t>P</w:t>
      </w:r>
      <w:r w:rsidR="00C60F56">
        <w:rPr>
          <w:rFonts w:ascii="Arial Narrow" w:hAnsi="Arial Narrow" w:cs="Arial"/>
          <w:snapToGrid w:val="0"/>
          <w:sz w:val="18"/>
          <w:szCs w:val="20"/>
          <w:lang w:eastAsia="en-US"/>
        </w:rPr>
        <w:t>BAC PSD</w:t>
      </w:r>
      <w:r w:rsidR="0053692B" w:rsidRPr="00EB6EFC">
        <w:rPr>
          <w:rFonts w:ascii="Arial Narrow" w:hAnsi="Arial Narrow" w:cs="Arial"/>
          <w:snapToGrid w:val="0"/>
          <w:sz w:val="18"/>
          <w:szCs w:val="20"/>
          <w:lang w:eastAsia="en-US"/>
        </w:rPr>
        <w:t>.</w:t>
      </w:r>
    </w:p>
    <w:p w:rsidR="008E720E" w:rsidRPr="00EB6EFC" w:rsidRDefault="008E720E" w:rsidP="008E720E">
      <w:pPr>
        <w:keepNext/>
        <w:keepLines/>
        <w:ind w:left="709"/>
        <w:jc w:val="both"/>
        <w:rPr>
          <w:rFonts w:ascii="Arial Narrow" w:hAnsi="Arial Narrow" w:cs="Arial"/>
          <w:snapToGrid w:val="0"/>
          <w:sz w:val="18"/>
          <w:szCs w:val="20"/>
          <w:lang w:eastAsia="en-US"/>
        </w:rPr>
      </w:pPr>
      <w:r w:rsidRPr="00EB6EFC">
        <w:rPr>
          <w:rFonts w:ascii="Arial Narrow" w:hAnsi="Arial Narrow" w:cs="Arial"/>
          <w:snapToGrid w:val="0"/>
          <w:sz w:val="18"/>
          <w:szCs w:val="20"/>
          <w:vertAlign w:val="superscript"/>
          <w:lang w:eastAsia="en-US"/>
        </w:rPr>
        <w:t xml:space="preserve">b </w:t>
      </w:r>
      <w:r w:rsidRPr="00EB6EFC">
        <w:rPr>
          <w:rFonts w:ascii="Arial Narrow" w:hAnsi="Arial Narrow" w:cs="Arial"/>
          <w:snapToGrid w:val="0"/>
          <w:sz w:val="18"/>
          <w:szCs w:val="20"/>
          <w:lang w:eastAsia="en-US"/>
        </w:rPr>
        <w:t xml:space="preserve">The EOC cap was based on the Commonwealth subsidising a maximum of </w:t>
      </w:r>
      <w:r w:rsidR="006505A5">
        <w:rPr>
          <w:rFonts w:ascii="Arial Narrow" w:hAnsi="Arial Narrow" w:cs="Arial"/>
          <w:noProof/>
          <w:snapToGrid w:val="0"/>
          <w:color w:val="000000"/>
          <w:sz w:val="18"/>
          <w:szCs w:val="20"/>
          <w:highlight w:val="black"/>
          <w:lang w:eastAsia="en-US"/>
        </w:rPr>
        <w:t>'''''''''''' '''''''''''''</w:t>
      </w:r>
      <w:r w:rsidRPr="00EB6EFC">
        <w:rPr>
          <w:rFonts w:ascii="Arial Narrow" w:hAnsi="Arial Narrow" w:cs="Arial"/>
          <w:snapToGrid w:val="0"/>
          <w:sz w:val="18"/>
          <w:szCs w:val="20"/>
          <w:lang w:eastAsia="en-US"/>
        </w:rPr>
        <w:t xml:space="preserve"> of vismodegib per patient.</w:t>
      </w:r>
    </w:p>
    <w:p w:rsidR="00B968F8" w:rsidRPr="00EB6EFC" w:rsidRDefault="008E720E" w:rsidP="00264014">
      <w:pPr>
        <w:keepNext/>
        <w:keepLines/>
        <w:ind w:left="709"/>
        <w:jc w:val="both"/>
        <w:rPr>
          <w:rFonts w:ascii="Arial Narrow" w:hAnsi="Arial Narrow" w:cs="Arial"/>
          <w:snapToGrid w:val="0"/>
          <w:sz w:val="18"/>
          <w:szCs w:val="20"/>
          <w:lang w:eastAsia="en-US"/>
        </w:rPr>
      </w:pPr>
      <w:r w:rsidRPr="00EB6EFC">
        <w:rPr>
          <w:rFonts w:ascii="Arial Narrow" w:hAnsi="Arial Narrow" w:cs="Arial"/>
          <w:snapToGrid w:val="0"/>
          <w:sz w:val="18"/>
          <w:szCs w:val="20"/>
          <w:vertAlign w:val="superscript"/>
          <w:lang w:eastAsia="en-US"/>
        </w:rPr>
        <w:t>c</w:t>
      </w:r>
      <w:r w:rsidR="00B968F8" w:rsidRPr="00EB6EFC">
        <w:rPr>
          <w:rFonts w:ascii="Arial Narrow" w:hAnsi="Arial Narrow" w:cs="Arial"/>
          <w:snapToGrid w:val="0"/>
          <w:sz w:val="18"/>
          <w:szCs w:val="20"/>
          <w:lang w:eastAsia="en-US"/>
        </w:rPr>
        <w:t xml:space="preserve"> Based on response rate of </w:t>
      </w:r>
      <w:r w:rsidR="00B968F8" w:rsidRPr="003B0A99">
        <w:rPr>
          <w:rFonts w:ascii="Arial Narrow" w:hAnsi="Arial Narrow" w:cs="Arial"/>
          <w:snapToGrid w:val="0"/>
          <w:sz w:val="18"/>
          <w:szCs w:val="20"/>
          <w:lang w:eastAsia="en-US"/>
        </w:rPr>
        <w:t>64.9</w:t>
      </w:r>
      <w:r w:rsidR="00B968F8" w:rsidRPr="00EB6EFC">
        <w:rPr>
          <w:rFonts w:ascii="Arial Narrow" w:hAnsi="Arial Narrow" w:cs="Arial"/>
          <w:snapToGrid w:val="0"/>
          <w:sz w:val="18"/>
          <w:szCs w:val="20"/>
          <w:lang w:eastAsia="en-US"/>
        </w:rPr>
        <w:t xml:space="preserve">% </w:t>
      </w:r>
      <w:r w:rsidR="00F87787" w:rsidRPr="00EB6EFC">
        <w:rPr>
          <w:rFonts w:ascii="Arial Narrow" w:hAnsi="Arial Narrow" w:cs="Arial"/>
          <w:snapToGrid w:val="0"/>
          <w:sz w:val="18"/>
          <w:szCs w:val="20"/>
          <w:lang w:eastAsia="en-US"/>
        </w:rPr>
        <w:t>and</w:t>
      </w:r>
      <w:r w:rsidR="00B968F8" w:rsidRPr="00EB6EFC">
        <w:rPr>
          <w:rFonts w:ascii="Arial Narrow" w:hAnsi="Arial Narrow" w:cs="Arial"/>
          <w:snapToGrid w:val="0"/>
          <w:sz w:val="18"/>
          <w:szCs w:val="20"/>
          <w:lang w:eastAsia="en-US"/>
        </w:rPr>
        <w:t xml:space="preserve"> a disfigurement rate</w:t>
      </w:r>
      <w:r w:rsidR="00F87787" w:rsidRPr="00EB6EFC">
        <w:rPr>
          <w:rFonts w:ascii="Arial Narrow" w:hAnsi="Arial Narrow" w:cs="Arial"/>
          <w:snapToGrid w:val="0"/>
          <w:sz w:val="18"/>
          <w:szCs w:val="20"/>
          <w:lang w:eastAsia="en-US"/>
        </w:rPr>
        <w:t xml:space="preserve"> of 10%</w:t>
      </w:r>
      <w:r w:rsidR="00B968F8" w:rsidRPr="00EB6EFC">
        <w:rPr>
          <w:rFonts w:ascii="Arial Narrow" w:hAnsi="Arial Narrow" w:cs="Arial"/>
          <w:snapToGrid w:val="0"/>
          <w:sz w:val="18"/>
          <w:szCs w:val="20"/>
          <w:lang w:eastAsia="en-US"/>
        </w:rPr>
        <w:t>.</w:t>
      </w:r>
    </w:p>
    <w:p w:rsidR="00E13DCB" w:rsidRPr="00EB6EFC" w:rsidRDefault="00E13DCB" w:rsidP="00C00DA7">
      <w:pPr>
        <w:jc w:val="both"/>
        <w:rPr>
          <w:szCs w:val="22"/>
        </w:rPr>
      </w:pPr>
    </w:p>
    <w:p w:rsidR="00A46622" w:rsidRPr="00EB6EFC" w:rsidRDefault="00A46622" w:rsidP="00A46622">
      <w:pPr>
        <w:pStyle w:val="ListParagraph"/>
        <w:numPr>
          <w:ilvl w:val="1"/>
          <w:numId w:val="5"/>
        </w:numPr>
        <w:rPr>
          <w:szCs w:val="22"/>
        </w:rPr>
      </w:pPr>
      <w:r w:rsidRPr="00EB6EFC">
        <w:rPr>
          <w:szCs w:val="22"/>
        </w:rPr>
        <w:t xml:space="preserve">The economic evaluation resulted in an ICER </w:t>
      </w:r>
      <w:r w:rsidR="00EE71EC" w:rsidRPr="00EB6EFC">
        <w:rPr>
          <w:szCs w:val="22"/>
        </w:rPr>
        <w:t xml:space="preserve">per disfigurement-free responder </w:t>
      </w:r>
      <w:r w:rsidRPr="00EB6EFC">
        <w:rPr>
          <w:szCs w:val="22"/>
        </w:rPr>
        <w:t>of $</w:t>
      </w:r>
      <w:r w:rsidR="006505A5">
        <w:rPr>
          <w:noProof/>
          <w:color w:val="000000"/>
          <w:szCs w:val="22"/>
          <w:highlight w:val="black"/>
        </w:rPr>
        <w:t>''''''''''''''''''</w:t>
      </w:r>
      <w:r w:rsidRPr="00EB6EFC">
        <w:rPr>
          <w:szCs w:val="22"/>
        </w:rPr>
        <w:t xml:space="preserve"> for vismodeg</w:t>
      </w:r>
      <w:r w:rsidR="00E0284C">
        <w:rPr>
          <w:szCs w:val="22"/>
        </w:rPr>
        <w:t>ib versus surgery based on the EOC</w:t>
      </w:r>
      <w:r w:rsidRPr="00EB6EFC">
        <w:rPr>
          <w:szCs w:val="22"/>
        </w:rPr>
        <w:t xml:space="preserve"> cap. This was less than in the previous </w:t>
      </w:r>
      <w:r w:rsidR="00264014" w:rsidRPr="00EB6EFC">
        <w:rPr>
          <w:szCs w:val="22"/>
        </w:rPr>
        <w:t>submission</w:t>
      </w:r>
      <w:r w:rsidRPr="00EB6EFC">
        <w:rPr>
          <w:szCs w:val="22"/>
        </w:rPr>
        <w:t xml:space="preserve"> due to the </w:t>
      </w:r>
      <w:r w:rsidR="00F87787" w:rsidRPr="00EB6EFC">
        <w:rPr>
          <w:szCs w:val="22"/>
        </w:rPr>
        <w:t>reduced</w:t>
      </w:r>
      <w:r w:rsidRPr="00EB6EFC">
        <w:rPr>
          <w:szCs w:val="22"/>
        </w:rPr>
        <w:t xml:space="preserve"> price of vismodegib (</w:t>
      </w:r>
      <w:r w:rsidR="006505A5">
        <w:rPr>
          <w:noProof/>
          <w:color w:val="000000"/>
          <w:szCs w:val="22"/>
          <w:highlight w:val="black"/>
        </w:rPr>
        <w:t>''''''</w:t>
      </w:r>
      <w:r w:rsidRPr="00EB6EFC">
        <w:rPr>
          <w:szCs w:val="22"/>
        </w:rPr>
        <w:t>% rebate)</w:t>
      </w:r>
      <w:r w:rsidR="00F87787" w:rsidRPr="00EB6EFC">
        <w:rPr>
          <w:szCs w:val="22"/>
        </w:rPr>
        <w:t xml:space="preserve">, </w:t>
      </w:r>
      <w:r w:rsidR="005B36A8">
        <w:rPr>
          <w:szCs w:val="22"/>
        </w:rPr>
        <w:t>despite the</w:t>
      </w:r>
      <w:r w:rsidR="00B6342F" w:rsidRPr="00EB6EFC">
        <w:rPr>
          <w:szCs w:val="22"/>
        </w:rPr>
        <w:t xml:space="preserve"> reduction in the</w:t>
      </w:r>
      <w:r w:rsidR="00264014" w:rsidRPr="00EB6EFC">
        <w:rPr>
          <w:szCs w:val="22"/>
        </w:rPr>
        <w:t xml:space="preserve"> disfigurement-free response rate for vismodegib</w:t>
      </w:r>
      <w:r w:rsidR="00B6342F" w:rsidRPr="00EB6EFC">
        <w:rPr>
          <w:szCs w:val="22"/>
        </w:rPr>
        <w:t xml:space="preserve"> (from </w:t>
      </w:r>
      <w:r w:rsidR="00B6342F" w:rsidRPr="003B0A99">
        <w:rPr>
          <w:szCs w:val="22"/>
        </w:rPr>
        <w:t>64.9</w:t>
      </w:r>
      <w:r w:rsidR="00B6342F" w:rsidRPr="00EB6EFC">
        <w:rPr>
          <w:szCs w:val="22"/>
        </w:rPr>
        <w:t xml:space="preserve">% to </w:t>
      </w:r>
      <w:r w:rsidR="00B6342F" w:rsidRPr="003B0A99">
        <w:rPr>
          <w:szCs w:val="22"/>
        </w:rPr>
        <w:t>58.4</w:t>
      </w:r>
      <w:r w:rsidR="00B6342F" w:rsidRPr="00EB6EFC">
        <w:rPr>
          <w:szCs w:val="22"/>
        </w:rPr>
        <w:t>%)</w:t>
      </w:r>
      <w:r w:rsidRPr="00EB6EFC">
        <w:rPr>
          <w:szCs w:val="22"/>
        </w:rPr>
        <w:t xml:space="preserve">. </w:t>
      </w:r>
      <w:r w:rsidRPr="008C2C86">
        <w:rPr>
          <w:szCs w:val="22"/>
        </w:rPr>
        <w:t>The ICER m</w:t>
      </w:r>
      <w:r w:rsidR="00E0284C">
        <w:rPr>
          <w:szCs w:val="22"/>
        </w:rPr>
        <w:t>ay</w:t>
      </w:r>
      <w:r w:rsidRPr="008C2C86">
        <w:rPr>
          <w:szCs w:val="22"/>
        </w:rPr>
        <w:t xml:space="preserve"> </w:t>
      </w:r>
      <w:r w:rsidR="007354E3" w:rsidRPr="008C2C86">
        <w:rPr>
          <w:szCs w:val="22"/>
        </w:rPr>
        <w:t xml:space="preserve">have </w:t>
      </w:r>
      <w:r w:rsidRPr="008C2C86">
        <w:rPr>
          <w:szCs w:val="22"/>
        </w:rPr>
        <w:t>be</w:t>
      </w:r>
      <w:r w:rsidR="007354E3" w:rsidRPr="008C2C86">
        <w:rPr>
          <w:szCs w:val="22"/>
        </w:rPr>
        <w:t>en</w:t>
      </w:r>
      <w:r w:rsidRPr="008C2C86">
        <w:rPr>
          <w:szCs w:val="22"/>
        </w:rPr>
        <w:t xml:space="preserve"> underestimated due to the inclusion of a higher response rate and lower disfigurement rate for vismodegib than requested by the PBAC</w:t>
      </w:r>
      <w:r w:rsidR="00E632A3">
        <w:rPr>
          <w:szCs w:val="22"/>
        </w:rPr>
        <w:t xml:space="preserve"> in its previous consideration.</w:t>
      </w:r>
    </w:p>
    <w:p w:rsidR="00717521" w:rsidRPr="00EB6EFC" w:rsidRDefault="00717521" w:rsidP="00717521">
      <w:pPr>
        <w:pStyle w:val="ListParagraph"/>
        <w:rPr>
          <w:szCs w:val="22"/>
        </w:rPr>
      </w:pPr>
    </w:p>
    <w:p w:rsidR="006622B2" w:rsidRPr="00EB6EFC" w:rsidRDefault="006622B2" w:rsidP="00A46622">
      <w:pPr>
        <w:pStyle w:val="ListParagraph"/>
        <w:numPr>
          <w:ilvl w:val="1"/>
          <w:numId w:val="5"/>
        </w:numPr>
        <w:rPr>
          <w:szCs w:val="22"/>
        </w:rPr>
      </w:pPr>
      <w:r w:rsidRPr="00EB6EFC">
        <w:t>The economic evaluation did not include any additional AEs in the updated analysis</w:t>
      </w:r>
      <w:r w:rsidR="00377B52" w:rsidRPr="00EB6EFC">
        <w:t xml:space="preserve"> despite this being note</w:t>
      </w:r>
      <w:r w:rsidR="00C60F56">
        <w:t>d in the March 2016 PBAC PSD</w:t>
      </w:r>
      <w:r w:rsidR="00377B52" w:rsidRPr="00EB6EFC">
        <w:t xml:space="preserve"> (Paragraph 7.7)</w:t>
      </w:r>
      <w:r w:rsidRPr="00EB6EFC">
        <w:t>.</w:t>
      </w:r>
    </w:p>
    <w:p w:rsidR="002640A3" w:rsidRDefault="002640A3">
      <w:pPr>
        <w:rPr>
          <w:rFonts w:cs="Arial"/>
          <w:snapToGrid w:val="0"/>
          <w:szCs w:val="22"/>
          <w:lang w:eastAsia="en-US"/>
        </w:rPr>
      </w:pPr>
    </w:p>
    <w:p w:rsidR="00B968F8" w:rsidRPr="00EB6EFC" w:rsidRDefault="00717521" w:rsidP="00A46622">
      <w:pPr>
        <w:pStyle w:val="ListParagraph"/>
        <w:numPr>
          <w:ilvl w:val="1"/>
          <w:numId w:val="5"/>
        </w:numPr>
        <w:rPr>
          <w:szCs w:val="22"/>
        </w:rPr>
      </w:pPr>
      <w:r w:rsidRPr="00EB6EFC">
        <w:rPr>
          <w:szCs w:val="22"/>
        </w:rPr>
        <w:t>Table 7</w:t>
      </w:r>
      <w:r w:rsidR="00B6342F" w:rsidRPr="00EB6EFC">
        <w:rPr>
          <w:szCs w:val="22"/>
        </w:rPr>
        <w:t xml:space="preserve"> provide</w:t>
      </w:r>
      <w:r w:rsidR="002C5BF9">
        <w:rPr>
          <w:szCs w:val="22"/>
        </w:rPr>
        <w:t>d</w:t>
      </w:r>
      <w:r w:rsidR="00B6342F" w:rsidRPr="00EB6EFC">
        <w:rPr>
          <w:szCs w:val="22"/>
        </w:rPr>
        <w:t xml:space="preserve"> the results of </w:t>
      </w:r>
      <w:r w:rsidRPr="00EB6EFC">
        <w:rPr>
          <w:szCs w:val="22"/>
        </w:rPr>
        <w:t>uni</w:t>
      </w:r>
      <w:r w:rsidR="00B6342F" w:rsidRPr="00EB6EFC">
        <w:rPr>
          <w:szCs w:val="22"/>
        </w:rPr>
        <w:t xml:space="preserve">variate and </w:t>
      </w:r>
      <w:r w:rsidRPr="00EB6EFC">
        <w:rPr>
          <w:szCs w:val="22"/>
        </w:rPr>
        <w:t xml:space="preserve">multivariate sensitivity analyses conducted during </w:t>
      </w:r>
      <w:r w:rsidR="0020430E">
        <w:rPr>
          <w:szCs w:val="22"/>
        </w:rPr>
        <w:t>the preparation of the overview</w:t>
      </w:r>
      <w:r w:rsidRPr="00EB6EFC">
        <w:rPr>
          <w:szCs w:val="22"/>
        </w:rPr>
        <w:t>.</w:t>
      </w:r>
    </w:p>
    <w:p w:rsidR="00717521" w:rsidRPr="00EB6EFC" w:rsidRDefault="00717521" w:rsidP="00717521">
      <w:pPr>
        <w:pStyle w:val="ListParagraph"/>
        <w:rPr>
          <w:szCs w:val="22"/>
        </w:rPr>
      </w:pPr>
    </w:p>
    <w:p w:rsidR="00717521" w:rsidRPr="00EB6EFC" w:rsidRDefault="00717521" w:rsidP="00B6342F">
      <w:pPr>
        <w:keepNext/>
        <w:keepLines/>
        <w:ind w:left="720"/>
        <w:rPr>
          <w:rStyle w:val="CommentReference"/>
          <w:rFonts w:ascii="Arial Narrow" w:hAnsi="Arial Narrow"/>
          <w:b/>
          <w:sz w:val="20"/>
          <w:szCs w:val="20"/>
        </w:rPr>
      </w:pPr>
      <w:r w:rsidRPr="00EB6EFC">
        <w:rPr>
          <w:rStyle w:val="CommentReference"/>
          <w:rFonts w:ascii="Arial Narrow" w:hAnsi="Arial Narrow"/>
          <w:b/>
          <w:sz w:val="20"/>
          <w:szCs w:val="20"/>
        </w:rPr>
        <w:lastRenderedPageBreak/>
        <w:t xml:space="preserve">Table 7: Results of univariate </w:t>
      </w:r>
      <w:r w:rsidR="006C19D9" w:rsidRPr="00EB6EFC">
        <w:rPr>
          <w:rStyle w:val="CommentReference"/>
          <w:rFonts w:ascii="Arial Narrow" w:hAnsi="Arial Narrow"/>
          <w:b/>
          <w:sz w:val="20"/>
          <w:szCs w:val="20"/>
        </w:rPr>
        <w:t xml:space="preserve">and multivariate </w:t>
      </w:r>
      <w:r w:rsidR="00E632A3">
        <w:rPr>
          <w:rStyle w:val="CommentReference"/>
          <w:rFonts w:ascii="Arial Narrow" w:hAnsi="Arial Narrow"/>
          <w:b/>
          <w:sz w:val="20"/>
          <w:szCs w:val="20"/>
        </w:rPr>
        <w:t>sensitivity analyses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27"/>
        <w:gridCol w:w="1105"/>
        <w:gridCol w:w="977"/>
        <w:gridCol w:w="808"/>
        <w:gridCol w:w="1074"/>
        <w:gridCol w:w="872"/>
      </w:tblGrid>
      <w:tr w:rsidR="00433E57" w:rsidRPr="00EB6EFC" w:rsidTr="00E0284C">
        <w:trPr>
          <w:tblHeader/>
        </w:trPr>
        <w:tc>
          <w:tcPr>
            <w:tcW w:w="2119" w:type="pct"/>
            <w:vMerge w:val="restart"/>
            <w:tcBorders>
              <w:top w:val="single" w:sz="4" w:space="0" w:color="auto"/>
              <w:left w:val="single" w:sz="4" w:space="0" w:color="auto"/>
              <w:right w:val="single" w:sz="4" w:space="0" w:color="auto"/>
            </w:tcBorders>
            <w:vAlign w:val="center"/>
          </w:tcPr>
          <w:p w:rsidR="00433E57" w:rsidRPr="00EB6EFC" w:rsidRDefault="00433E57" w:rsidP="00B6342F">
            <w:pPr>
              <w:keepNext/>
              <w:keepLines/>
              <w:snapToGrid w:val="0"/>
              <w:jc w:val="center"/>
              <w:rPr>
                <w:rFonts w:ascii="Arial Narrow" w:hAnsi="Arial Narrow"/>
                <w:b/>
                <w:sz w:val="20"/>
                <w:szCs w:val="20"/>
              </w:rPr>
            </w:pPr>
          </w:p>
        </w:tc>
        <w:tc>
          <w:tcPr>
            <w:tcW w:w="671" w:type="pct"/>
            <w:vMerge w:val="restart"/>
            <w:tcBorders>
              <w:top w:val="single" w:sz="4" w:space="0" w:color="auto"/>
              <w:left w:val="single" w:sz="4" w:space="0" w:color="auto"/>
              <w:right w:val="single" w:sz="4" w:space="0" w:color="auto"/>
            </w:tcBorders>
            <w:vAlign w:val="center"/>
          </w:tcPr>
          <w:p w:rsidR="00433E57" w:rsidRPr="00EB6EFC" w:rsidRDefault="00433E57" w:rsidP="00B6342F">
            <w:pPr>
              <w:keepNext/>
              <w:keepLines/>
              <w:snapToGrid w:val="0"/>
              <w:jc w:val="center"/>
              <w:rPr>
                <w:rFonts w:ascii="Arial Narrow" w:hAnsi="Arial Narrow"/>
                <w:b/>
                <w:sz w:val="20"/>
                <w:szCs w:val="20"/>
              </w:rPr>
            </w:pPr>
            <w:r w:rsidRPr="00EB6EFC">
              <w:rPr>
                <w:rFonts w:ascii="Arial Narrow" w:hAnsi="Arial Narrow"/>
                <w:b/>
                <w:sz w:val="20"/>
                <w:szCs w:val="20"/>
              </w:rPr>
              <w:t>Incremental effectiveness</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433E57" w:rsidRPr="00EB6EFC" w:rsidRDefault="00433E57" w:rsidP="00B019C4">
            <w:pPr>
              <w:keepNext/>
              <w:keepLines/>
              <w:snapToGrid w:val="0"/>
              <w:jc w:val="center"/>
              <w:rPr>
                <w:rFonts w:ascii="Arial Narrow" w:hAnsi="Arial Narrow"/>
                <w:b/>
                <w:sz w:val="20"/>
                <w:szCs w:val="20"/>
              </w:rPr>
            </w:pPr>
            <w:r w:rsidRPr="00EB6EFC">
              <w:rPr>
                <w:rFonts w:ascii="Arial Narrow" w:hAnsi="Arial Narrow"/>
                <w:b/>
                <w:sz w:val="20"/>
                <w:szCs w:val="20"/>
              </w:rPr>
              <w:t>With EOC</w:t>
            </w:r>
            <w:r w:rsidR="00B019C4" w:rsidRPr="00EB6EFC">
              <w:rPr>
                <w:rFonts w:ascii="Arial Narrow" w:hAnsi="Arial Narrow"/>
                <w:b/>
                <w:sz w:val="20"/>
                <w:szCs w:val="20"/>
              </w:rPr>
              <w:t xml:space="preserve"> </w:t>
            </w:r>
            <w:r w:rsidR="00B019C4" w:rsidRPr="00EB6EFC">
              <w:rPr>
                <w:rFonts w:ascii="Arial Narrow" w:hAnsi="Arial Narrow"/>
                <w:b/>
                <w:sz w:val="20"/>
                <w:szCs w:val="20"/>
                <w:vertAlign w:val="superscript"/>
              </w:rPr>
              <w:t>a</w:t>
            </w:r>
            <w:r w:rsidRPr="00EB6EFC">
              <w:rPr>
                <w:rFonts w:ascii="Arial Narrow" w:hAnsi="Arial Narrow"/>
                <w:b/>
                <w:sz w:val="20"/>
                <w:szCs w:val="20"/>
              </w:rPr>
              <w:t xml:space="preserve"> cap</w:t>
            </w:r>
          </w:p>
        </w:tc>
        <w:tc>
          <w:tcPr>
            <w:tcW w:w="1183" w:type="pct"/>
            <w:gridSpan w:val="2"/>
            <w:tcBorders>
              <w:top w:val="single" w:sz="4" w:space="0" w:color="auto"/>
              <w:left w:val="single" w:sz="4" w:space="0" w:color="auto"/>
              <w:bottom w:val="single" w:sz="4" w:space="0" w:color="auto"/>
              <w:right w:val="single" w:sz="4" w:space="0" w:color="auto"/>
            </w:tcBorders>
            <w:vAlign w:val="center"/>
          </w:tcPr>
          <w:p w:rsidR="00433E57" w:rsidRPr="00EB6EFC" w:rsidRDefault="00433E57" w:rsidP="00B6342F">
            <w:pPr>
              <w:keepNext/>
              <w:keepLines/>
              <w:snapToGrid w:val="0"/>
              <w:jc w:val="center"/>
              <w:rPr>
                <w:rFonts w:ascii="Arial Narrow" w:hAnsi="Arial Narrow"/>
                <w:b/>
                <w:sz w:val="20"/>
                <w:szCs w:val="20"/>
              </w:rPr>
            </w:pPr>
            <w:r w:rsidRPr="00EB6EFC">
              <w:rPr>
                <w:rFonts w:ascii="Arial Narrow" w:hAnsi="Arial Narrow"/>
                <w:b/>
                <w:sz w:val="20"/>
                <w:szCs w:val="20"/>
              </w:rPr>
              <w:t>Without EOC cap</w:t>
            </w:r>
          </w:p>
        </w:tc>
      </w:tr>
      <w:tr w:rsidR="00433E57" w:rsidRPr="00EB6EFC" w:rsidTr="00E0284C">
        <w:trPr>
          <w:tblHeader/>
        </w:trPr>
        <w:tc>
          <w:tcPr>
            <w:tcW w:w="2119" w:type="pct"/>
            <w:vMerge/>
            <w:tcBorders>
              <w:left w:val="single" w:sz="4" w:space="0" w:color="auto"/>
              <w:bottom w:val="single" w:sz="4" w:space="0" w:color="auto"/>
              <w:right w:val="single" w:sz="4" w:space="0" w:color="auto"/>
            </w:tcBorders>
            <w:vAlign w:val="center"/>
            <w:hideMark/>
          </w:tcPr>
          <w:p w:rsidR="00433E57" w:rsidRPr="00EB6EFC" w:rsidRDefault="00433E57" w:rsidP="00B6342F">
            <w:pPr>
              <w:keepNext/>
              <w:keepLines/>
              <w:snapToGrid w:val="0"/>
              <w:rPr>
                <w:rFonts w:ascii="Arial Narrow" w:hAnsi="Arial Narrow"/>
                <w:sz w:val="20"/>
                <w:szCs w:val="20"/>
              </w:rPr>
            </w:pPr>
          </w:p>
        </w:tc>
        <w:tc>
          <w:tcPr>
            <w:tcW w:w="671" w:type="pct"/>
            <w:vMerge/>
            <w:tcBorders>
              <w:left w:val="single" w:sz="4" w:space="0" w:color="auto"/>
              <w:bottom w:val="single" w:sz="4" w:space="0" w:color="auto"/>
              <w:right w:val="single" w:sz="4" w:space="0" w:color="auto"/>
            </w:tcBorders>
            <w:vAlign w:val="center"/>
            <w:hideMark/>
          </w:tcPr>
          <w:p w:rsidR="00433E57" w:rsidRPr="00EB6EFC" w:rsidRDefault="00433E57" w:rsidP="00B6342F">
            <w:pPr>
              <w:keepNext/>
              <w:keepLines/>
              <w:snapToGrid w:val="0"/>
              <w:jc w:val="center"/>
              <w:rPr>
                <w:rFonts w:ascii="Arial Narrow" w:hAnsi="Arial Narrow"/>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rsidR="00433E57" w:rsidRPr="00EB6EFC" w:rsidRDefault="00433E57" w:rsidP="00B6342F">
            <w:pPr>
              <w:keepNext/>
              <w:keepLines/>
              <w:snapToGrid w:val="0"/>
              <w:jc w:val="center"/>
              <w:rPr>
                <w:rFonts w:ascii="Arial Narrow" w:hAnsi="Arial Narrow"/>
                <w:sz w:val="20"/>
                <w:szCs w:val="20"/>
              </w:rPr>
            </w:pPr>
            <w:r w:rsidRPr="00EB6EFC">
              <w:rPr>
                <w:rFonts w:ascii="Arial Narrow" w:hAnsi="Arial Narrow"/>
                <w:b/>
                <w:sz w:val="20"/>
                <w:szCs w:val="20"/>
              </w:rPr>
              <w:t>Incremental costs</w:t>
            </w:r>
          </w:p>
        </w:tc>
        <w:tc>
          <w:tcPr>
            <w:tcW w:w="443" w:type="pct"/>
            <w:tcBorders>
              <w:top w:val="single" w:sz="4" w:space="0" w:color="auto"/>
              <w:left w:val="single" w:sz="4" w:space="0" w:color="auto"/>
              <w:bottom w:val="single" w:sz="4" w:space="0" w:color="auto"/>
              <w:right w:val="single" w:sz="4" w:space="0" w:color="auto"/>
            </w:tcBorders>
            <w:vAlign w:val="center"/>
            <w:hideMark/>
          </w:tcPr>
          <w:p w:rsidR="00433E57" w:rsidRPr="00EB6EFC" w:rsidRDefault="00433E57" w:rsidP="00B6342F">
            <w:pPr>
              <w:keepNext/>
              <w:keepLines/>
              <w:snapToGrid w:val="0"/>
              <w:jc w:val="center"/>
              <w:rPr>
                <w:rFonts w:ascii="Arial Narrow" w:hAnsi="Arial Narrow"/>
                <w:sz w:val="20"/>
                <w:szCs w:val="20"/>
              </w:rPr>
            </w:pPr>
            <w:r w:rsidRPr="00EB6EFC">
              <w:rPr>
                <w:rFonts w:ascii="Arial Narrow" w:hAnsi="Arial Narrow"/>
                <w:b/>
                <w:sz w:val="20"/>
                <w:szCs w:val="20"/>
              </w:rPr>
              <w:t>ICER</w:t>
            </w:r>
          </w:p>
        </w:tc>
        <w:tc>
          <w:tcPr>
            <w:tcW w:w="652" w:type="pct"/>
            <w:tcBorders>
              <w:top w:val="single" w:sz="4" w:space="0" w:color="auto"/>
              <w:left w:val="single" w:sz="4" w:space="0" w:color="auto"/>
              <w:bottom w:val="single" w:sz="4" w:space="0" w:color="auto"/>
              <w:right w:val="single" w:sz="4" w:space="0" w:color="auto"/>
            </w:tcBorders>
            <w:vAlign w:val="center"/>
          </w:tcPr>
          <w:p w:rsidR="00433E57" w:rsidRPr="00EB6EFC" w:rsidRDefault="00433E57" w:rsidP="00B6342F">
            <w:pPr>
              <w:keepNext/>
              <w:keepLines/>
              <w:snapToGrid w:val="0"/>
              <w:jc w:val="center"/>
              <w:rPr>
                <w:rFonts w:ascii="Arial Narrow" w:hAnsi="Arial Narrow"/>
                <w:sz w:val="20"/>
                <w:szCs w:val="20"/>
              </w:rPr>
            </w:pPr>
            <w:r w:rsidRPr="00EB6EFC">
              <w:rPr>
                <w:rFonts w:ascii="Arial Narrow" w:hAnsi="Arial Narrow"/>
                <w:b/>
                <w:sz w:val="20"/>
                <w:szCs w:val="20"/>
              </w:rPr>
              <w:t>Incremental costs</w:t>
            </w:r>
          </w:p>
        </w:tc>
        <w:tc>
          <w:tcPr>
            <w:tcW w:w="530" w:type="pct"/>
            <w:tcBorders>
              <w:top w:val="single" w:sz="4" w:space="0" w:color="auto"/>
              <w:left w:val="single" w:sz="4" w:space="0" w:color="auto"/>
              <w:bottom w:val="single" w:sz="4" w:space="0" w:color="auto"/>
              <w:right w:val="single" w:sz="4" w:space="0" w:color="auto"/>
            </w:tcBorders>
            <w:vAlign w:val="center"/>
          </w:tcPr>
          <w:p w:rsidR="00433E57" w:rsidRPr="00EB6EFC" w:rsidRDefault="00433E57" w:rsidP="00B6342F">
            <w:pPr>
              <w:keepNext/>
              <w:keepLines/>
              <w:snapToGrid w:val="0"/>
              <w:jc w:val="center"/>
              <w:rPr>
                <w:rFonts w:ascii="Arial Narrow" w:hAnsi="Arial Narrow"/>
                <w:b/>
                <w:sz w:val="20"/>
                <w:szCs w:val="20"/>
              </w:rPr>
            </w:pPr>
            <w:r w:rsidRPr="00EB6EFC">
              <w:rPr>
                <w:rFonts w:ascii="Arial Narrow" w:hAnsi="Arial Narrow"/>
                <w:b/>
                <w:sz w:val="20"/>
                <w:szCs w:val="20"/>
              </w:rPr>
              <w:t>ICER</w:t>
            </w:r>
          </w:p>
        </w:tc>
      </w:tr>
      <w:tr w:rsidR="00433E57" w:rsidRPr="00EB6EFC" w:rsidTr="00E0284C">
        <w:tc>
          <w:tcPr>
            <w:tcW w:w="2119" w:type="pct"/>
            <w:tcBorders>
              <w:top w:val="single" w:sz="4" w:space="0" w:color="auto"/>
              <w:left w:val="single" w:sz="4" w:space="0" w:color="auto"/>
              <w:bottom w:val="single" w:sz="4" w:space="0" w:color="auto"/>
              <w:right w:val="single" w:sz="4" w:space="0" w:color="auto"/>
            </w:tcBorders>
            <w:vAlign w:val="center"/>
            <w:hideMark/>
          </w:tcPr>
          <w:p w:rsidR="00717521" w:rsidRPr="00EB6EFC" w:rsidRDefault="00717521" w:rsidP="00B6342F">
            <w:pPr>
              <w:pStyle w:val="TableText0"/>
              <w:keepNext/>
              <w:keepLines/>
              <w:spacing w:before="0" w:after="0"/>
              <w:rPr>
                <w:rFonts w:ascii="Arial Narrow" w:hAnsi="Arial Narrow"/>
              </w:rPr>
            </w:pPr>
            <w:r w:rsidRPr="00EB6EFC">
              <w:rPr>
                <w:rFonts w:ascii="Arial Narrow" w:hAnsi="Arial Narrow"/>
              </w:rPr>
              <w:t>Base case</w:t>
            </w:r>
          </w:p>
        </w:tc>
        <w:tc>
          <w:tcPr>
            <w:tcW w:w="671" w:type="pct"/>
            <w:tcBorders>
              <w:top w:val="single" w:sz="4" w:space="0" w:color="auto"/>
              <w:left w:val="single" w:sz="4" w:space="0" w:color="auto"/>
              <w:bottom w:val="single" w:sz="4" w:space="0" w:color="auto"/>
              <w:right w:val="single" w:sz="4" w:space="0" w:color="auto"/>
            </w:tcBorders>
            <w:vAlign w:val="center"/>
          </w:tcPr>
          <w:p w:rsidR="00717521" w:rsidRPr="00282B76" w:rsidRDefault="006505A5" w:rsidP="00E0284C">
            <w:pPr>
              <w:keepNext/>
              <w:keepLines/>
              <w:snapToGrid w:val="0"/>
              <w:jc w:val="center"/>
              <w:rPr>
                <w:rFonts w:ascii="Arial Narrow" w:hAnsi="Arial Narrow"/>
                <w:sz w:val="20"/>
                <w:szCs w:val="20"/>
              </w:rPr>
            </w:pPr>
            <w:r>
              <w:rPr>
                <w:rFonts w:ascii="Arial Narrow" w:hAnsi="Arial Narrow"/>
                <w:noProof/>
                <w:color w:val="000000"/>
                <w:sz w:val="20"/>
                <w:szCs w:val="20"/>
                <w:highlight w:val="black"/>
              </w:rPr>
              <w:t>''''''''''</w:t>
            </w:r>
            <w:r w:rsidR="00717521" w:rsidRPr="00282B76">
              <w:rPr>
                <w:rFonts w:ascii="Arial Narrow" w:hAnsi="Arial Narrow"/>
                <w:sz w:val="20"/>
                <w:szCs w:val="20"/>
              </w:rPr>
              <w:t>%</w:t>
            </w:r>
          </w:p>
        </w:tc>
        <w:tc>
          <w:tcPr>
            <w:tcW w:w="584" w:type="pct"/>
            <w:tcBorders>
              <w:top w:val="single" w:sz="4" w:space="0" w:color="auto"/>
              <w:left w:val="single" w:sz="4" w:space="0" w:color="auto"/>
              <w:bottom w:val="single" w:sz="4" w:space="0" w:color="auto"/>
              <w:right w:val="single" w:sz="4" w:space="0" w:color="auto"/>
            </w:tcBorders>
            <w:vAlign w:val="center"/>
          </w:tcPr>
          <w:p w:rsidR="00717521" w:rsidRPr="00282B76" w:rsidRDefault="00717521" w:rsidP="00E0284C">
            <w:pPr>
              <w:pStyle w:val="TableText0"/>
              <w:keepNext/>
              <w:keepLines/>
              <w:spacing w:before="0" w:after="0"/>
              <w:jc w:val="center"/>
              <w:rPr>
                <w:rFonts w:ascii="Arial Narrow" w:hAnsi="Arial Narrow" w:cs="Times New Roman"/>
                <w:bCs w:val="0"/>
                <w:lang w:eastAsia="en-AU"/>
              </w:rPr>
            </w:pPr>
            <w:r w:rsidRPr="00282B76">
              <w:rPr>
                <w:rFonts w:ascii="Arial Narrow" w:hAnsi="Arial Narrow" w:cs="Times New Roman"/>
                <w:bCs w:val="0"/>
                <w:lang w:eastAsia="en-AU"/>
              </w:rPr>
              <w:t>$</w:t>
            </w:r>
            <w:r w:rsidR="006505A5">
              <w:rPr>
                <w:rFonts w:ascii="Arial Narrow" w:hAnsi="Arial Narrow" w:cs="Times New Roman"/>
                <w:bCs w:val="0"/>
                <w:noProof/>
                <w:color w:val="000000"/>
                <w:highlight w:val="black"/>
                <w:lang w:eastAsia="en-AU"/>
              </w:rPr>
              <w:t>'''''''''''''''</w:t>
            </w:r>
          </w:p>
        </w:tc>
        <w:tc>
          <w:tcPr>
            <w:tcW w:w="443" w:type="pct"/>
            <w:tcBorders>
              <w:top w:val="single" w:sz="4" w:space="0" w:color="auto"/>
              <w:left w:val="single" w:sz="4" w:space="0" w:color="auto"/>
              <w:bottom w:val="single" w:sz="4" w:space="0" w:color="auto"/>
              <w:right w:val="single" w:sz="4" w:space="0" w:color="auto"/>
            </w:tcBorders>
            <w:vAlign w:val="center"/>
          </w:tcPr>
          <w:p w:rsidR="00717521" w:rsidRPr="00282B76" w:rsidRDefault="00717521" w:rsidP="00E0284C">
            <w:pPr>
              <w:pStyle w:val="TableText0"/>
              <w:keepNext/>
              <w:keepLines/>
              <w:spacing w:before="0" w:after="0"/>
              <w:jc w:val="center"/>
              <w:rPr>
                <w:rFonts w:ascii="Arial Narrow" w:hAnsi="Arial Narrow" w:cs="Times New Roman"/>
                <w:bCs w:val="0"/>
                <w:lang w:eastAsia="en-AU"/>
              </w:rPr>
            </w:pPr>
            <w:r w:rsidRPr="00282B76">
              <w:rPr>
                <w:rFonts w:ascii="Arial Narrow" w:hAnsi="Arial Narrow" w:cs="Times New Roman"/>
                <w:bCs w:val="0"/>
                <w:lang w:eastAsia="en-AU"/>
              </w:rPr>
              <w:t>$</w:t>
            </w:r>
            <w:r w:rsidR="006505A5">
              <w:rPr>
                <w:rFonts w:ascii="Arial Narrow" w:hAnsi="Arial Narrow" w:cs="Times New Roman"/>
                <w:bCs w:val="0"/>
                <w:noProof/>
                <w:color w:val="000000"/>
                <w:highlight w:val="black"/>
                <w:lang w:eastAsia="en-AU"/>
              </w:rPr>
              <w:t>'''''''''''''''''</w:t>
            </w:r>
          </w:p>
        </w:tc>
        <w:tc>
          <w:tcPr>
            <w:tcW w:w="652" w:type="pct"/>
            <w:tcBorders>
              <w:top w:val="single" w:sz="4" w:space="0" w:color="auto"/>
              <w:left w:val="single" w:sz="4" w:space="0" w:color="auto"/>
              <w:bottom w:val="single" w:sz="4" w:space="0" w:color="auto"/>
              <w:right w:val="single" w:sz="4" w:space="0" w:color="auto"/>
            </w:tcBorders>
            <w:vAlign w:val="center"/>
          </w:tcPr>
          <w:p w:rsidR="00717521" w:rsidRPr="00282B76" w:rsidRDefault="004A2EB8" w:rsidP="00E0284C">
            <w:pPr>
              <w:pStyle w:val="TableText0"/>
              <w:keepNext/>
              <w:keepLines/>
              <w:spacing w:before="0" w:after="0"/>
              <w:jc w:val="center"/>
              <w:rPr>
                <w:rFonts w:ascii="Arial Narrow" w:hAnsi="Arial Narrow" w:cs="Times New Roman"/>
                <w:bCs w:val="0"/>
                <w:lang w:eastAsia="en-AU"/>
              </w:rPr>
            </w:pPr>
            <w:r w:rsidRPr="00282B76">
              <w:rPr>
                <w:rFonts w:ascii="Arial Narrow" w:hAnsi="Arial Narrow" w:cs="Times New Roman"/>
                <w:bCs w:val="0"/>
                <w:lang w:eastAsia="en-AU"/>
              </w:rPr>
              <w:t>$</w:t>
            </w:r>
            <w:r w:rsidR="006505A5">
              <w:rPr>
                <w:rFonts w:ascii="Arial Narrow" w:hAnsi="Arial Narrow" w:cs="Times New Roman"/>
                <w:bCs w:val="0"/>
                <w:noProof/>
                <w:color w:val="000000"/>
                <w:highlight w:val="black"/>
                <w:lang w:eastAsia="en-AU"/>
              </w:rPr>
              <w:t>''''''''''''''''''</w:t>
            </w:r>
          </w:p>
        </w:tc>
        <w:tc>
          <w:tcPr>
            <w:tcW w:w="530" w:type="pct"/>
            <w:tcBorders>
              <w:top w:val="single" w:sz="4" w:space="0" w:color="auto"/>
              <w:left w:val="single" w:sz="4" w:space="0" w:color="auto"/>
              <w:bottom w:val="single" w:sz="4" w:space="0" w:color="auto"/>
              <w:right w:val="single" w:sz="4" w:space="0" w:color="auto"/>
            </w:tcBorders>
            <w:vAlign w:val="center"/>
          </w:tcPr>
          <w:p w:rsidR="00717521" w:rsidRPr="00282B76" w:rsidRDefault="00717521" w:rsidP="00E0284C">
            <w:pPr>
              <w:pStyle w:val="TableText0"/>
              <w:keepNext/>
              <w:keepLines/>
              <w:spacing w:before="0" w:after="0"/>
              <w:jc w:val="center"/>
              <w:rPr>
                <w:rFonts w:ascii="Arial Narrow" w:hAnsi="Arial Narrow" w:cs="Times New Roman"/>
                <w:bCs w:val="0"/>
                <w:lang w:eastAsia="en-AU"/>
              </w:rPr>
            </w:pPr>
            <w:r w:rsidRPr="00282B76">
              <w:rPr>
                <w:rFonts w:ascii="Arial Narrow" w:hAnsi="Arial Narrow" w:cs="Times New Roman"/>
                <w:bCs w:val="0"/>
                <w:lang w:eastAsia="en-AU"/>
              </w:rPr>
              <w:t>$</w:t>
            </w:r>
            <w:r w:rsidR="006505A5">
              <w:rPr>
                <w:rFonts w:ascii="Arial Narrow" w:hAnsi="Arial Narrow" w:cs="Times New Roman"/>
                <w:bCs w:val="0"/>
                <w:noProof/>
                <w:color w:val="000000"/>
                <w:highlight w:val="black"/>
                <w:lang w:eastAsia="en-AU"/>
              </w:rPr>
              <w:t>''''''''''''''''''''</w:t>
            </w:r>
          </w:p>
        </w:tc>
      </w:tr>
      <w:tr w:rsidR="00433E57" w:rsidRPr="00BF0EA9" w:rsidTr="00E0284C">
        <w:tc>
          <w:tcPr>
            <w:tcW w:w="5000" w:type="pct"/>
            <w:gridSpan w:val="6"/>
            <w:tcBorders>
              <w:top w:val="single" w:sz="4" w:space="0" w:color="auto"/>
              <w:left w:val="single" w:sz="4" w:space="0" w:color="auto"/>
              <w:bottom w:val="single" w:sz="4" w:space="0" w:color="auto"/>
              <w:right w:val="single" w:sz="4" w:space="0" w:color="auto"/>
            </w:tcBorders>
            <w:vAlign w:val="center"/>
          </w:tcPr>
          <w:p w:rsidR="00433E57" w:rsidRPr="00BF0EA9" w:rsidRDefault="00433E57" w:rsidP="00E0284C">
            <w:pPr>
              <w:pStyle w:val="TableText0"/>
              <w:keepNext/>
              <w:keepLines/>
              <w:spacing w:before="0" w:after="0"/>
              <w:rPr>
                <w:rFonts w:ascii="Arial Narrow" w:hAnsi="Arial Narrow" w:cs="Times New Roman"/>
                <w:b/>
                <w:bCs w:val="0"/>
                <w:lang w:eastAsia="en-AU"/>
              </w:rPr>
            </w:pPr>
            <w:r w:rsidRPr="00BF0EA9">
              <w:rPr>
                <w:rFonts w:ascii="Arial Narrow" w:hAnsi="Arial Narrow" w:cs="Times New Roman"/>
                <w:b/>
                <w:bCs w:val="0"/>
                <w:lang w:eastAsia="en-AU"/>
              </w:rPr>
              <w:t>Univariate sensitivity analyses</w:t>
            </w:r>
          </w:p>
        </w:tc>
      </w:tr>
      <w:tr w:rsidR="00433E57" w:rsidRPr="00BF0EA9" w:rsidTr="00E0284C">
        <w:tc>
          <w:tcPr>
            <w:tcW w:w="2119"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B6342F">
            <w:pPr>
              <w:pStyle w:val="TableText0"/>
              <w:keepNext/>
              <w:keepLines/>
              <w:spacing w:before="0" w:after="0"/>
              <w:rPr>
                <w:rFonts w:ascii="Arial Narrow" w:hAnsi="Arial Narrow"/>
              </w:rPr>
            </w:pPr>
            <w:r w:rsidRPr="00BF0EA9">
              <w:rPr>
                <w:rFonts w:ascii="Arial Narrow" w:hAnsi="Arial Narrow"/>
              </w:rPr>
              <w:t>Vismodegib response rate (base case: 64.9%)</w:t>
            </w:r>
          </w:p>
          <w:p w:rsidR="00617D59" w:rsidRPr="00BF0EA9" w:rsidRDefault="00617D59" w:rsidP="00B6342F">
            <w:pPr>
              <w:pStyle w:val="TableText0"/>
              <w:keepNext/>
              <w:keepLines/>
              <w:numPr>
                <w:ilvl w:val="0"/>
                <w:numId w:val="18"/>
              </w:numPr>
              <w:spacing w:before="0" w:after="0"/>
              <w:ind w:left="397" w:hanging="283"/>
              <w:rPr>
                <w:rFonts w:ascii="Arial Narrow" w:hAnsi="Arial Narrow"/>
              </w:rPr>
            </w:pPr>
            <w:r w:rsidRPr="00BF0EA9">
              <w:rPr>
                <w:rFonts w:ascii="Arial Narrow" w:hAnsi="Arial Narrow"/>
              </w:rPr>
              <w:t>50% (requested by PBAC</w:t>
            </w:r>
            <w:r w:rsidR="00433E57" w:rsidRPr="00BF0EA9">
              <w:rPr>
                <w:rFonts w:ascii="Arial Narrow" w:hAnsi="Arial Narrow"/>
              </w:rPr>
              <w:t xml:space="preserve"> March 2</w:t>
            </w:r>
            <w:r w:rsidR="00AE59E3" w:rsidRPr="00BF0EA9">
              <w:rPr>
                <w:rFonts w:ascii="Arial Narrow" w:hAnsi="Arial Narrow"/>
              </w:rPr>
              <w:t>0</w:t>
            </w:r>
            <w:r w:rsidR="00433E57" w:rsidRPr="00BF0EA9">
              <w:rPr>
                <w:rFonts w:ascii="Arial Narrow" w:hAnsi="Arial Narrow"/>
              </w:rPr>
              <w:t>16</w:t>
            </w:r>
            <w:r w:rsidRPr="00BF0EA9">
              <w:rPr>
                <w:rFonts w:ascii="Arial Narrow" w:hAnsi="Arial Narrow"/>
              </w:rPr>
              <w:t>)</w:t>
            </w:r>
          </w:p>
        </w:tc>
        <w:tc>
          <w:tcPr>
            <w:tcW w:w="671" w:type="pct"/>
            <w:tcBorders>
              <w:top w:val="single" w:sz="4" w:space="0" w:color="auto"/>
              <w:left w:val="single" w:sz="4" w:space="0" w:color="auto"/>
              <w:bottom w:val="single" w:sz="4" w:space="0" w:color="auto"/>
              <w:right w:val="single" w:sz="4" w:space="0" w:color="auto"/>
            </w:tcBorders>
            <w:vAlign w:val="center"/>
          </w:tcPr>
          <w:p w:rsidR="00617D59" w:rsidRPr="00BF0EA9" w:rsidRDefault="006505A5" w:rsidP="00E0284C">
            <w:pPr>
              <w:keepNext/>
              <w:keepLines/>
              <w:snapToGrid w:val="0"/>
              <w:jc w:val="center"/>
              <w:rPr>
                <w:rFonts w:ascii="Arial Narrow" w:hAnsi="Arial Narrow"/>
                <w:sz w:val="20"/>
                <w:szCs w:val="20"/>
              </w:rPr>
            </w:pPr>
            <w:r>
              <w:rPr>
                <w:rFonts w:ascii="Arial Narrow" w:hAnsi="Arial Narrow"/>
                <w:noProof/>
                <w:color w:val="000000"/>
                <w:sz w:val="20"/>
                <w:szCs w:val="20"/>
                <w:highlight w:val="black"/>
              </w:rPr>
              <w:t>''''''''''</w:t>
            </w:r>
            <w:r w:rsidR="00617D59" w:rsidRPr="00BF0EA9">
              <w:rPr>
                <w:rFonts w:ascii="Arial Narrow" w:hAnsi="Arial Narrow"/>
                <w:sz w:val="20"/>
                <w:szCs w:val="20"/>
              </w:rPr>
              <w:t>%</w:t>
            </w:r>
          </w:p>
        </w:tc>
        <w:tc>
          <w:tcPr>
            <w:tcW w:w="584"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E0284C">
            <w:pPr>
              <w:keepNext/>
              <w:keepLines/>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443"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E0284C">
            <w:pPr>
              <w:pStyle w:val="TableText0"/>
              <w:keepNext/>
              <w:keepLines/>
              <w:spacing w:before="0" w:after="0"/>
              <w:jc w:val="center"/>
              <w:rPr>
                <w:rFonts w:ascii="Arial Narrow" w:hAnsi="Arial Narrow" w:cs="Times New Roman"/>
                <w:bCs w:val="0"/>
                <w:lang w:eastAsia="en-AU"/>
              </w:rPr>
            </w:pPr>
            <w:r w:rsidRPr="00BF0EA9">
              <w:rPr>
                <w:rFonts w:ascii="Arial Narrow" w:hAnsi="Arial Narrow" w:cs="Times New Roman"/>
                <w:bCs w:val="0"/>
                <w:lang w:eastAsia="en-AU"/>
              </w:rPr>
              <w:t>$</w:t>
            </w:r>
            <w:r w:rsidR="006505A5">
              <w:rPr>
                <w:rFonts w:ascii="Arial Narrow" w:hAnsi="Arial Narrow" w:cs="Times New Roman"/>
                <w:bCs w:val="0"/>
                <w:noProof/>
                <w:color w:val="000000"/>
                <w:highlight w:val="black"/>
                <w:lang w:eastAsia="en-AU"/>
              </w:rPr>
              <w:t>'''''''''''''''</w:t>
            </w:r>
          </w:p>
        </w:tc>
        <w:tc>
          <w:tcPr>
            <w:tcW w:w="652"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E0284C">
            <w:pPr>
              <w:keepNext/>
              <w:keepLines/>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530"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E0284C">
            <w:pPr>
              <w:pStyle w:val="TableText0"/>
              <w:keepNext/>
              <w:keepLines/>
              <w:spacing w:before="0" w:after="0"/>
              <w:jc w:val="center"/>
              <w:rPr>
                <w:rFonts w:ascii="Arial Narrow" w:hAnsi="Arial Narrow" w:cs="Times New Roman"/>
                <w:bCs w:val="0"/>
                <w:lang w:eastAsia="en-AU"/>
              </w:rPr>
            </w:pPr>
            <w:r w:rsidRPr="00BF0EA9">
              <w:rPr>
                <w:rFonts w:ascii="Arial Narrow" w:hAnsi="Arial Narrow" w:cs="Times New Roman"/>
                <w:bCs w:val="0"/>
                <w:lang w:eastAsia="en-AU"/>
              </w:rPr>
              <w:t>$</w:t>
            </w:r>
            <w:r w:rsidR="006505A5">
              <w:rPr>
                <w:rFonts w:ascii="Arial Narrow" w:hAnsi="Arial Narrow" w:cs="Times New Roman"/>
                <w:bCs w:val="0"/>
                <w:noProof/>
                <w:color w:val="000000"/>
                <w:highlight w:val="black"/>
                <w:lang w:eastAsia="en-AU"/>
              </w:rPr>
              <w:t>'''''''''''''''''</w:t>
            </w:r>
          </w:p>
        </w:tc>
      </w:tr>
      <w:tr w:rsidR="00433E57" w:rsidRPr="00BF0EA9" w:rsidTr="00E0284C">
        <w:tc>
          <w:tcPr>
            <w:tcW w:w="2119" w:type="pct"/>
            <w:tcBorders>
              <w:top w:val="single" w:sz="4" w:space="0" w:color="auto"/>
              <w:left w:val="single" w:sz="4" w:space="0" w:color="auto"/>
              <w:bottom w:val="single" w:sz="4" w:space="0" w:color="auto"/>
              <w:right w:val="single" w:sz="4" w:space="0" w:color="auto"/>
            </w:tcBorders>
          </w:tcPr>
          <w:p w:rsidR="00617D59" w:rsidRPr="00BF0EA9" w:rsidRDefault="00617D59" w:rsidP="00B6342F">
            <w:pPr>
              <w:keepNext/>
              <w:keepLines/>
              <w:rPr>
                <w:rFonts w:ascii="Arial Narrow" w:hAnsi="Arial Narrow"/>
                <w:sz w:val="20"/>
                <w:szCs w:val="20"/>
              </w:rPr>
            </w:pPr>
            <w:r w:rsidRPr="00BF0EA9">
              <w:rPr>
                <w:rFonts w:ascii="Arial Narrow" w:hAnsi="Arial Narrow"/>
                <w:sz w:val="20"/>
                <w:szCs w:val="20"/>
              </w:rPr>
              <w:t>Vismodegib disfigurement rate (base case 10%)</w:t>
            </w:r>
          </w:p>
          <w:p w:rsidR="00617D59" w:rsidRPr="00BF0EA9" w:rsidRDefault="00617D59" w:rsidP="00B6342F">
            <w:pPr>
              <w:pStyle w:val="TableText0"/>
              <w:keepNext/>
              <w:keepLines/>
              <w:numPr>
                <w:ilvl w:val="0"/>
                <w:numId w:val="18"/>
              </w:numPr>
              <w:spacing w:before="0" w:after="0"/>
              <w:ind w:left="397" w:hanging="283"/>
              <w:rPr>
                <w:rFonts w:ascii="Arial Narrow" w:hAnsi="Arial Narrow"/>
              </w:rPr>
            </w:pPr>
            <w:r w:rsidRPr="00BF0EA9">
              <w:rPr>
                <w:rFonts w:ascii="Arial Narrow" w:hAnsi="Arial Narrow"/>
              </w:rPr>
              <w:t>20% (requested by PBAC</w:t>
            </w:r>
            <w:r w:rsidR="00433E57" w:rsidRPr="00BF0EA9">
              <w:rPr>
                <w:rFonts w:ascii="Arial Narrow" w:hAnsi="Arial Narrow"/>
              </w:rPr>
              <w:t xml:space="preserve"> March 2016</w:t>
            </w:r>
            <w:r w:rsidRPr="00BF0EA9">
              <w:rPr>
                <w:rFonts w:ascii="Arial Narrow" w:hAnsi="Arial Narrow"/>
              </w:rPr>
              <w:t>)</w:t>
            </w:r>
          </w:p>
        </w:tc>
        <w:tc>
          <w:tcPr>
            <w:tcW w:w="671" w:type="pct"/>
            <w:tcBorders>
              <w:top w:val="single" w:sz="4" w:space="0" w:color="auto"/>
              <w:left w:val="single" w:sz="4" w:space="0" w:color="auto"/>
              <w:bottom w:val="single" w:sz="4" w:space="0" w:color="auto"/>
              <w:right w:val="single" w:sz="4" w:space="0" w:color="auto"/>
            </w:tcBorders>
            <w:vAlign w:val="center"/>
          </w:tcPr>
          <w:p w:rsidR="00617D59" w:rsidRPr="00BF0EA9" w:rsidRDefault="006505A5" w:rsidP="00E0284C">
            <w:pPr>
              <w:keepNext/>
              <w:keepLines/>
              <w:snapToGrid w:val="0"/>
              <w:jc w:val="center"/>
              <w:rPr>
                <w:rFonts w:ascii="Arial Narrow" w:hAnsi="Arial Narrow"/>
                <w:sz w:val="20"/>
                <w:szCs w:val="20"/>
              </w:rPr>
            </w:pPr>
            <w:r>
              <w:rPr>
                <w:rFonts w:ascii="Arial Narrow" w:hAnsi="Arial Narrow"/>
                <w:noProof/>
                <w:color w:val="000000"/>
                <w:sz w:val="20"/>
                <w:szCs w:val="20"/>
                <w:highlight w:val="black"/>
              </w:rPr>
              <w:t>''''''''''</w:t>
            </w:r>
            <w:r w:rsidR="00617D59" w:rsidRPr="00BF0EA9">
              <w:rPr>
                <w:rFonts w:ascii="Arial Narrow" w:hAnsi="Arial Narrow"/>
                <w:sz w:val="20"/>
                <w:szCs w:val="20"/>
              </w:rPr>
              <w:t>%</w:t>
            </w:r>
          </w:p>
        </w:tc>
        <w:tc>
          <w:tcPr>
            <w:tcW w:w="584"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443"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E0284C">
            <w:pPr>
              <w:keepNext/>
              <w:keepLines/>
              <w:snapToGrid w:val="0"/>
              <w:jc w:val="center"/>
              <w:rPr>
                <w:rFonts w:ascii="Arial Narrow" w:hAnsi="Arial Narrow"/>
                <w:bCs/>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652"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530" w:type="pct"/>
            <w:tcBorders>
              <w:top w:val="single" w:sz="4" w:space="0" w:color="auto"/>
              <w:left w:val="single" w:sz="4" w:space="0" w:color="auto"/>
              <w:bottom w:val="single" w:sz="4" w:space="0" w:color="auto"/>
              <w:right w:val="single" w:sz="4" w:space="0" w:color="auto"/>
            </w:tcBorders>
            <w:vAlign w:val="center"/>
          </w:tcPr>
          <w:p w:rsidR="00617D59" w:rsidRPr="00BF0EA9" w:rsidRDefault="00617D59" w:rsidP="00E0284C">
            <w:pPr>
              <w:keepNext/>
              <w:keepLines/>
              <w:snapToGrid w:val="0"/>
              <w:jc w:val="center"/>
              <w:rPr>
                <w:rFonts w:ascii="Arial Narrow" w:hAnsi="Arial Narrow"/>
                <w:bCs/>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r>
      <w:tr w:rsidR="006C19D9" w:rsidRPr="00BF0EA9" w:rsidTr="00E0284C">
        <w:tc>
          <w:tcPr>
            <w:tcW w:w="2119" w:type="pct"/>
            <w:tcBorders>
              <w:top w:val="single" w:sz="4" w:space="0" w:color="auto"/>
              <w:left w:val="single" w:sz="4" w:space="0" w:color="auto"/>
              <w:bottom w:val="single" w:sz="4" w:space="0" w:color="auto"/>
              <w:right w:val="single" w:sz="4" w:space="0" w:color="auto"/>
            </w:tcBorders>
          </w:tcPr>
          <w:p w:rsidR="006C19D9" w:rsidRPr="00BF0EA9" w:rsidRDefault="006C19D9" w:rsidP="00B6342F">
            <w:pPr>
              <w:keepNext/>
              <w:keepLines/>
              <w:rPr>
                <w:rFonts w:ascii="Arial Narrow" w:hAnsi="Arial Narrow"/>
                <w:sz w:val="20"/>
                <w:szCs w:val="20"/>
              </w:rPr>
            </w:pPr>
            <w:r w:rsidRPr="00BF0EA9">
              <w:rPr>
                <w:rFonts w:ascii="Arial Narrow" w:hAnsi="Arial Narrow"/>
                <w:sz w:val="20"/>
                <w:szCs w:val="20"/>
              </w:rPr>
              <w:t xml:space="preserve">Vismodegib rebate (base case: </w:t>
            </w:r>
            <w:r w:rsidR="006505A5">
              <w:rPr>
                <w:rFonts w:ascii="Arial Narrow" w:hAnsi="Arial Narrow"/>
                <w:noProof/>
                <w:color w:val="000000"/>
                <w:sz w:val="20"/>
                <w:szCs w:val="20"/>
                <w:highlight w:val="black"/>
              </w:rPr>
              <w:t>''''''</w:t>
            </w:r>
            <w:r w:rsidRPr="00BF0EA9">
              <w:rPr>
                <w:rFonts w:ascii="Arial Narrow" w:hAnsi="Arial Narrow"/>
                <w:sz w:val="20"/>
                <w:szCs w:val="20"/>
              </w:rPr>
              <w:t>%)</w:t>
            </w:r>
          </w:p>
          <w:p w:rsidR="006C19D9" w:rsidRPr="00BF0EA9" w:rsidRDefault="006505A5" w:rsidP="00B6342F">
            <w:pPr>
              <w:pStyle w:val="TableText0"/>
              <w:keepNext/>
              <w:keepLines/>
              <w:numPr>
                <w:ilvl w:val="0"/>
                <w:numId w:val="18"/>
              </w:numPr>
              <w:spacing w:before="0" w:after="0"/>
              <w:ind w:left="397" w:hanging="283"/>
              <w:rPr>
                <w:rFonts w:ascii="Arial Narrow" w:hAnsi="Arial Narrow"/>
              </w:rPr>
            </w:pPr>
            <w:r>
              <w:rPr>
                <w:rFonts w:ascii="Arial Narrow" w:hAnsi="Arial Narrow"/>
                <w:noProof/>
                <w:color w:val="000000"/>
                <w:highlight w:val="black"/>
              </w:rPr>
              <w:t>''''''</w:t>
            </w:r>
            <w:r w:rsidR="006C19D9" w:rsidRPr="00BF0EA9">
              <w:rPr>
                <w:rFonts w:ascii="Arial Narrow" w:hAnsi="Arial Narrow"/>
              </w:rPr>
              <w:t>%</w:t>
            </w:r>
          </w:p>
        </w:tc>
        <w:tc>
          <w:tcPr>
            <w:tcW w:w="671" w:type="pct"/>
            <w:tcBorders>
              <w:top w:val="single" w:sz="4" w:space="0" w:color="auto"/>
              <w:left w:val="single" w:sz="4" w:space="0" w:color="auto"/>
              <w:bottom w:val="single" w:sz="4" w:space="0" w:color="auto"/>
              <w:right w:val="single" w:sz="4" w:space="0" w:color="auto"/>
            </w:tcBorders>
            <w:vAlign w:val="center"/>
          </w:tcPr>
          <w:p w:rsidR="006C19D9" w:rsidRPr="00BF0EA9" w:rsidRDefault="006505A5" w:rsidP="00E0284C">
            <w:pPr>
              <w:keepNext/>
              <w:keepLines/>
              <w:snapToGrid w:val="0"/>
              <w:jc w:val="center"/>
              <w:rPr>
                <w:rFonts w:ascii="Arial Narrow" w:hAnsi="Arial Narrow"/>
                <w:sz w:val="20"/>
                <w:szCs w:val="20"/>
              </w:rPr>
            </w:pPr>
            <w:r>
              <w:rPr>
                <w:rFonts w:ascii="Arial Narrow" w:hAnsi="Arial Narrow"/>
                <w:noProof/>
                <w:color w:val="000000"/>
                <w:sz w:val="20"/>
                <w:szCs w:val="20"/>
                <w:highlight w:val="black"/>
              </w:rPr>
              <w:t>''''''''''</w:t>
            </w:r>
            <w:r w:rsidR="00617D59" w:rsidRPr="00BF0EA9">
              <w:rPr>
                <w:rFonts w:ascii="Arial Narrow" w:hAnsi="Arial Narrow"/>
                <w:sz w:val="20"/>
                <w:szCs w:val="20"/>
              </w:rPr>
              <w:t>%</w:t>
            </w:r>
          </w:p>
        </w:tc>
        <w:tc>
          <w:tcPr>
            <w:tcW w:w="584" w:type="pct"/>
            <w:tcBorders>
              <w:top w:val="single" w:sz="4" w:space="0" w:color="auto"/>
              <w:left w:val="single" w:sz="4" w:space="0" w:color="auto"/>
              <w:bottom w:val="single" w:sz="4" w:space="0" w:color="auto"/>
              <w:right w:val="single" w:sz="4" w:space="0" w:color="auto"/>
            </w:tcBorders>
            <w:vAlign w:val="center"/>
          </w:tcPr>
          <w:p w:rsidR="006C19D9" w:rsidRPr="00BF0EA9" w:rsidRDefault="00617D59" w:rsidP="00E0284C">
            <w:pPr>
              <w:pStyle w:val="TableText0"/>
              <w:keepNext/>
              <w:keepLines/>
              <w:spacing w:before="0" w:after="0"/>
              <w:jc w:val="center"/>
              <w:rPr>
                <w:rFonts w:ascii="Arial Narrow" w:hAnsi="Arial Narrow" w:cs="Times New Roman"/>
                <w:bCs w:val="0"/>
                <w:lang w:eastAsia="en-AU"/>
              </w:rPr>
            </w:pPr>
            <w:r w:rsidRPr="00BF0EA9">
              <w:rPr>
                <w:rFonts w:ascii="Arial Narrow" w:hAnsi="Arial Narrow" w:cs="Times New Roman"/>
                <w:bCs w:val="0"/>
                <w:lang w:eastAsia="en-AU"/>
              </w:rPr>
              <w:t>$</w:t>
            </w:r>
            <w:r w:rsidR="006505A5">
              <w:rPr>
                <w:rFonts w:ascii="Arial Narrow" w:hAnsi="Arial Narrow" w:cs="Times New Roman"/>
                <w:bCs w:val="0"/>
                <w:noProof/>
                <w:color w:val="000000"/>
                <w:highlight w:val="black"/>
                <w:lang w:eastAsia="en-AU"/>
              </w:rPr>
              <w:t>'''''''''''''''</w:t>
            </w:r>
          </w:p>
        </w:tc>
        <w:tc>
          <w:tcPr>
            <w:tcW w:w="443" w:type="pct"/>
            <w:tcBorders>
              <w:top w:val="single" w:sz="4" w:space="0" w:color="auto"/>
              <w:left w:val="single" w:sz="4" w:space="0" w:color="auto"/>
              <w:bottom w:val="single" w:sz="4" w:space="0" w:color="auto"/>
              <w:right w:val="single" w:sz="4" w:space="0" w:color="auto"/>
            </w:tcBorders>
            <w:vAlign w:val="center"/>
          </w:tcPr>
          <w:p w:rsidR="006C19D9" w:rsidRPr="00BF0EA9" w:rsidRDefault="00617D59" w:rsidP="00E0284C">
            <w:pPr>
              <w:pStyle w:val="TableText0"/>
              <w:keepNext/>
              <w:keepLines/>
              <w:spacing w:before="0" w:after="0"/>
              <w:jc w:val="center"/>
              <w:rPr>
                <w:rFonts w:ascii="Arial Narrow" w:hAnsi="Arial Narrow" w:cs="Times New Roman"/>
                <w:bCs w:val="0"/>
                <w:lang w:eastAsia="en-AU"/>
              </w:rPr>
            </w:pPr>
            <w:r w:rsidRPr="00BF0EA9">
              <w:rPr>
                <w:rFonts w:ascii="Arial Narrow" w:hAnsi="Arial Narrow" w:cs="Times New Roman"/>
                <w:bCs w:val="0"/>
                <w:lang w:eastAsia="en-AU"/>
              </w:rPr>
              <w:t>$</w:t>
            </w:r>
            <w:r w:rsidR="006505A5">
              <w:rPr>
                <w:rFonts w:ascii="Arial Narrow" w:hAnsi="Arial Narrow" w:cs="Times New Roman"/>
                <w:bCs w:val="0"/>
                <w:noProof/>
                <w:color w:val="000000"/>
                <w:highlight w:val="black"/>
                <w:lang w:eastAsia="en-AU"/>
              </w:rPr>
              <w:t>'''''''''''''''''</w:t>
            </w:r>
          </w:p>
        </w:tc>
        <w:tc>
          <w:tcPr>
            <w:tcW w:w="652" w:type="pct"/>
            <w:tcBorders>
              <w:top w:val="single" w:sz="4" w:space="0" w:color="auto"/>
              <w:left w:val="single" w:sz="4" w:space="0" w:color="auto"/>
              <w:bottom w:val="single" w:sz="4" w:space="0" w:color="auto"/>
              <w:right w:val="single" w:sz="4" w:space="0" w:color="auto"/>
            </w:tcBorders>
            <w:vAlign w:val="center"/>
          </w:tcPr>
          <w:p w:rsidR="006C19D9" w:rsidRPr="00BF0EA9" w:rsidRDefault="00617D59" w:rsidP="00E0284C">
            <w:pPr>
              <w:keepNext/>
              <w:keepLines/>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530" w:type="pct"/>
            <w:tcBorders>
              <w:top w:val="single" w:sz="4" w:space="0" w:color="auto"/>
              <w:left w:val="single" w:sz="4" w:space="0" w:color="auto"/>
              <w:bottom w:val="single" w:sz="4" w:space="0" w:color="auto"/>
              <w:right w:val="single" w:sz="4" w:space="0" w:color="auto"/>
            </w:tcBorders>
            <w:vAlign w:val="center"/>
          </w:tcPr>
          <w:p w:rsidR="006C19D9" w:rsidRPr="00BF0EA9" w:rsidRDefault="00617D59" w:rsidP="00E0284C">
            <w:pPr>
              <w:keepNext/>
              <w:keepLines/>
              <w:jc w:val="center"/>
              <w:rPr>
                <w:rFonts w:ascii="Arial Narrow" w:hAnsi="Arial Narrow"/>
                <w:bCs/>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r>
      <w:tr w:rsidR="006C19D9" w:rsidRPr="00BF0EA9" w:rsidTr="00E0284C">
        <w:tc>
          <w:tcPr>
            <w:tcW w:w="5000" w:type="pct"/>
            <w:gridSpan w:val="6"/>
            <w:tcBorders>
              <w:top w:val="single" w:sz="4" w:space="0" w:color="auto"/>
              <w:left w:val="single" w:sz="4" w:space="0" w:color="auto"/>
              <w:bottom w:val="single" w:sz="4" w:space="0" w:color="auto"/>
              <w:right w:val="single" w:sz="4" w:space="0" w:color="auto"/>
            </w:tcBorders>
            <w:vAlign w:val="bottom"/>
          </w:tcPr>
          <w:p w:rsidR="006C19D9" w:rsidRPr="00BF0EA9" w:rsidRDefault="006C19D9" w:rsidP="00E0284C">
            <w:pPr>
              <w:pStyle w:val="TableText0"/>
              <w:keepNext/>
              <w:keepLines/>
              <w:spacing w:before="0" w:after="0"/>
              <w:rPr>
                <w:rFonts w:ascii="Arial Narrow" w:hAnsi="Arial Narrow"/>
                <w:b/>
              </w:rPr>
            </w:pPr>
            <w:r w:rsidRPr="00BF0EA9">
              <w:rPr>
                <w:rFonts w:ascii="Arial Narrow" w:hAnsi="Arial Narrow"/>
                <w:b/>
              </w:rPr>
              <w:t>Multivariate sensitivity analyses</w:t>
            </w:r>
          </w:p>
        </w:tc>
      </w:tr>
      <w:tr w:rsidR="00433E57" w:rsidRPr="00BF0EA9" w:rsidTr="00E0284C">
        <w:tc>
          <w:tcPr>
            <w:tcW w:w="2119" w:type="pct"/>
            <w:tcBorders>
              <w:top w:val="single" w:sz="4" w:space="0" w:color="auto"/>
              <w:left w:val="single" w:sz="4" w:space="0" w:color="auto"/>
              <w:bottom w:val="single" w:sz="4" w:space="0" w:color="auto"/>
              <w:right w:val="single" w:sz="4" w:space="0" w:color="auto"/>
            </w:tcBorders>
            <w:vAlign w:val="bottom"/>
          </w:tcPr>
          <w:p w:rsidR="006C19D9" w:rsidRPr="00BF0EA9" w:rsidRDefault="00AE59E3" w:rsidP="00B6342F">
            <w:pPr>
              <w:pStyle w:val="TableText0"/>
              <w:keepNext/>
              <w:keepLines/>
              <w:spacing w:before="0" w:after="0"/>
              <w:rPr>
                <w:rFonts w:ascii="Arial Narrow" w:hAnsi="Arial Narrow"/>
              </w:rPr>
            </w:pPr>
            <w:r w:rsidRPr="00BF0EA9">
              <w:rPr>
                <w:rFonts w:ascii="Arial Narrow" w:hAnsi="Arial Narrow"/>
                <w:b/>
              </w:rPr>
              <w:t xml:space="preserve">March 2016 </w:t>
            </w:r>
            <w:r w:rsidR="006C19D9" w:rsidRPr="00BF0EA9">
              <w:rPr>
                <w:rFonts w:ascii="Arial Narrow" w:hAnsi="Arial Narrow"/>
                <w:b/>
              </w:rPr>
              <w:t xml:space="preserve">PBAC </w:t>
            </w:r>
            <w:r w:rsidR="00C60F56">
              <w:rPr>
                <w:rFonts w:ascii="Arial Narrow" w:hAnsi="Arial Narrow"/>
                <w:b/>
              </w:rPr>
              <w:t>PSD</w:t>
            </w:r>
            <w:r w:rsidR="00EE71EC" w:rsidRPr="00BF0EA9">
              <w:rPr>
                <w:rFonts w:ascii="Arial Narrow" w:hAnsi="Arial Narrow"/>
                <w:b/>
              </w:rPr>
              <w:t xml:space="preserve"> </w:t>
            </w:r>
            <w:r w:rsidR="006C19D9" w:rsidRPr="00BF0EA9">
              <w:rPr>
                <w:rFonts w:ascii="Arial Narrow" w:hAnsi="Arial Narrow"/>
              </w:rPr>
              <w:t>(Para 6.28</w:t>
            </w:r>
            <w:r w:rsidR="00EE71EC" w:rsidRPr="00BF0EA9">
              <w:rPr>
                <w:rFonts w:ascii="Arial Narrow" w:hAnsi="Arial Narrow"/>
              </w:rPr>
              <w:t>)</w:t>
            </w:r>
          </w:p>
          <w:p w:rsidR="006C19D9" w:rsidRPr="00BF0EA9" w:rsidRDefault="006C19D9" w:rsidP="00B6342F">
            <w:pPr>
              <w:pStyle w:val="TableText0"/>
              <w:keepNext/>
              <w:keepLines/>
              <w:numPr>
                <w:ilvl w:val="0"/>
                <w:numId w:val="18"/>
              </w:numPr>
              <w:spacing w:before="0" w:after="0"/>
              <w:ind w:left="397" w:hanging="283"/>
              <w:rPr>
                <w:rFonts w:ascii="Arial Narrow" w:hAnsi="Arial Narrow"/>
                <w:b/>
              </w:rPr>
            </w:pPr>
            <w:r w:rsidRPr="00BF0EA9">
              <w:rPr>
                <w:rFonts w:ascii="Arial Narrow" w:hAnsi="Arial Narrow"/>
              </w:rPr>
              <w:t>response rate 50%</w:t>
            </w:r>
            <w:r w:rsidR="00433E57" w:rsidRPr="00BF0EA9">
              <w:rPr>
                <w:rFonts w:ascii="Arial Narrow" w:hAnsi="Arial Narrow"/>
              </w:rPr>
              <w:t xml:space="preserve"> (base case 64.9%)</w:t>
            </w:r>
          </w:p>
          <w:p w:rsidR="006C19D9" w:rsidRPr="00BF0EA9" w:rsidRDefault="006C19D9" w:rsidP="00B6342F">
            <w:pPr>
              <w:pStyle w:val="TableText0"/>
              <w:keepNext/>
              <w:keepLines/>
              <w:numPr>
                <w:ilvl w:val="0"/>
                <w:numId w:val="18"/>
              </w:numPr>
              <w:spacing w:before="0" w:after="0"/>
              <w:ind w:left="397" w:hanging="283"/>
              <w:rPr>
                <w:rFonts w:ascii="Arial Narrow" w:hAnsi="Arial Narrow"/>
                <w:b/>
              </w:rPr>
            </w:pPr>
            <w:r w:rsidRPr="00BF0EA9">
              <w:rPr>
                <w:rFonts w:ascii="Arial Narrow" w:hAnsi="Arial Narrow"/>
              </w:rPr>
              <w:t>disfigurement rate 20%</w:t>
            </w:r>
            <w:r w:rsidR="00433E57" w:rsidRPr="00BF0EA9">
              <w:rPr>
                <w:rFonts w:ascii="Arial Narrow" w:hAnsi="Arial Narrow"/>
              </w:rPr>
              <w:t xml:space="preserve"> (base case 10%)</w:t>
            </w:r>
          </w:p>
          <w:p w:rsidR="006C19D9" w:rsidRPr="00BF0EA9" w:rsidRDefault="006C19D9" w:rsidP="00B6342F">
            <w:pPr>
              <w:pStyle w:val="TableText0"/>
              <w:keepNext/>
              <w:keepLines/>
              <w:spacing w:before="0" w:after="0"/>
              <w:rPr>
                <w:rFonts w:ascii="Arial Narrow" w:hAnsi="Arial Narrow"/>
                <w:b/>
              </w:rPr>
            </w:pPr>
            <w:r w:rsidRPr="00BF0EA9">
              <w:rPr>
                <w:rFonts w:ascii="Arial Narrow" w:hAnsi="Arial Narrow"/>
              </w:rPr>
              <w:t>(i.e. disfigurement-free response rate of 40%</w:t>
            </w:r>
            <w:r w:rsidR="00433E57" w:rsidRPr="00BF0EA9">
              <w:rPr>
                <w:rFonts w:ascii="Arial Narrow" w:hAnsi="Arial Narrow"/>
              </w:rPr>
              <w:t xml:space="preserve">, versus base case of </w:t>
            </w:r>
            <w:r w:rsidR="00433E57" w:rsidRPr="003B0A99">
              <w:rPr>
                <w:rFonts w:ascii="Arial Narrow" w:hAnsi="Arial Narrow"/>
              </w:rPr>
              <w:t>58.4</w:t>
            </w:r>
            <w:r w:rsidR="00433E57" w:rsidRPr="00BF0EA9">
              <w:rPr>
                <w:rFonts w:ascii="Arial Narrow" w:hAnsi="Arial Narrow"/>
              </w:rPr>
              <w:t>%</w:t>
            </w:r>
            <w:r w:rsidRPr="00BF0EA9">
              <w:rPr>
                <w:rFonts w:ascii="Arial Narrow" w:hAnsi="Arial Narrow"/>
              </w:rPr>
              <w:t>)</w:t>
            </w:r>
          </w:p>
        </w:tc>
        <w:tc>
          <w:tcPr>
            <w:tcW w:w="671" w:type="pct"/>
            <w:tcBorders>
              <w:top w:val="single" w:sz="4" w:space="0" w:color="auto"/>
              <w:left w:val="single" w:sz="4" w:space="0" w:color="auto"/>
              <w:bottom w:val="single" w:sz="4" w:space="0" w:color="auto"/>
              <w:right w:val="single" w:sz="4" w:space="0" w:color="auto"/>
            </w:tcBorders>
            <w:vAlign w:val="center"/>
          </w:tcPr>
          <w:p w:rsidR="006C19D9" w:rsidRPr="00BF0EA9" w:rsidRDefault="006505A5" w:rsidP="00E0284C">
            <w:pPr>
              <w:keepNext/>
              <w:keepLines/>
              <w:snapToGrid w:val="0"/>
              <w:jc w:val="center"/>
              <w:rPr>
                <w:rFonts w:ascii="Arial Narrow" w:hAnsi="Arial Narrow"/>
                <w:sz w:val="20"/>
                <w:szCs w:val="20"/>
              </w:rPr>
            </w:pPr>
            <w:r>
              <w:rPr>
                <w:rFonts w:ascii="Arial Narrow" w:hAnsi="Arial Narrow"/>
                <w:noProof/>
                <w:color w:val="000000"/>
                <w:sz w:val="20"/>
                <w:szCs w:val="20"/>
                <w:highlight w:val="black"/>
              </w:rPr>
              <w:t>''''''''''</w:t>
            </w:r>
            <w:r w:rsidR="00617D59" w:rsidRPr="00BF0EA9">
              <w:rPr>
                <w:rFonts w:ascii="Arial Narrow" w:hAnsi="Arial Narrow"/>
                <w:sz w:val="20"/>
                <w:szCs w:val="20"/>
              </w:rPr>
              <w:t>%</w:t>
            </w:r>
          </w:p>
        </w:tc>
        <w:tc>
          <w:tcPr>
            <w:tcW w:w="584" w:type="pct"/>
            <w:tcBorders>
              <w:top w:val="single" w:sz="4" w:space="0" w:color="auto"/>
              <w:left w:val="single" w:sz="4" w:space="0" w:color="auto"/>
              <w:bottom w:val="single" w:sz="4" w:space="0" w:color="auto"/>
              <w:right w:val="single" w:sz="4" w:space="0" w:color="auto"/>
            </w:tcBorders>
            <w:vAlign w:val="center"/>
          </w:tcPr>
          <w:p w:rsidR="006C19D9" w:rsidRPr="00BF0EA9" w:rsidRDefault="00617D59"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443" w:type="pct"/>
            <w:tcBorders>
              <w:top w:val="single" w:sz="4" w:space="0" w:color="auto"/>
              <w:left w:val="single" w:sz="4" w:space="0" w:color="auto"/>
              <w:bottom w:val="single" w:sz="4" w:space="0" w:color="auto"/>
              <w:right w:val="single" w:sz="4" w:space="0" w:color="auto"/>
            </w:tcBorders>
            <w:vAlign w:val="center"/>
          </w:tcPr>
          <w:p w:rsidR="006C19D9" w:rsidRPr="00BF0EA9" w:rsidRDefault="00617D59"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652" w:type="pct"/>
            <w:tcBorders>
              <w:top w:val="single" w:sz="4" w:space="0" w:color="auto"/>
              <w:left w:val="single" w:sz="4" w:space="0" w:color="auto"/>
              <w:bottom w:val="single" w:sz="4" w:space="0" w:color="auto"/>
              <w:right w:val="single" w:sz="4" w:space="0" w:color="auto"/>
            </w:tcBorders>
            <w:vAlign w:val="center"/>
          </w:tcPr>
          <w:p w:rsidR="006C19D9" w:rsidRPr="00BF0EA9" w:rsidRDefault="00617D59"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c>
          <w:tcPr>
            <w:tcW w:w="530" w:type="pct"/>
            <w:tcBorders>
              <w:top w:val="single" w:sz="4" w:space="0" w:color="auto"/>
              <w:left w:val="single" w:sz="4" w:space="0" w:color="auto"/>
              <w:bottom w:val="single" w:sz="4" w:space="0" w:color="auto"/>
              <w:right w:val="single" w:sz="4" w:space="0" w:color="auto"/>
            </w:tcBorders>
            <w:vAlign w:val="center"/>
          </w:tcPr>
          <w:p w:rsidR="006C19D9" w:rsidRPr="00BF0EA9" w:rsidRDefault="00617D59"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tc>
      </w:tr>
      <w:tr w:rsidR="00433E57" w:rsidRPr="00BF0EA9" w:rsidTr="00E0284C">
        <w:tc>
          <w:tcPr>
            <w:tcW w:w="2119" w:type="pct"/>
            <w:tcBorders>
              <w:top w:val="single" w:sz="4" w:space="0" w:color="auto"/>
              <w:left w:val="single" w:sz="4" w:space="0" w:color="auto"/>
              <w:bottom w:val="single" w:sz="4" w:space="0" w:color="auto"/>
              <w:right w:val="single" w:sz="4" w:space="0" w:color="auto"/>
            </w:tcBorders>
            <w:vAlign w:val="center"/>
          </w:tcPr>
          <w:p w:rsidR="00EE71EC" w:rsidRPr="00BF0EA9" w:rsidRDefault="00AE59E3" w:rsidP="00B6342F">
            <w:pPr>
              <w:pStyle w:val="TableText0"/>
              <w:keepNext/>
              <w:keepLines/>
              <w:spacing w:before="0" w:after="0"/>
              <w:rPr>
                <w:rFonts w:ascii="Arial Narrow" w:hAnsi="Arial Narrow"/>
              </w:rPr>
            </w:pPr>
            <w:r w:rsidRPr="00BF0EA9">
              <w:rPr>
                <w:rFonts w:ascii="Arial Narrow" w:hAnsi="Arial Narrow"/>
                <w:b/>
              </w:rPr>
              <w:t xml:space="preserve">March 2016 </w:t>
            </w:r>
            <w:r w:rsidR="00C60F56">
              <w:rPr>
                <w:rFonts w:ascii="Arial Narrow" w:hAnsi="Arial Narrow"/>
                <w:b/>
              </w:rPr>
              <w:t>PBAC PSD</w:t>
            </w:r>
            <w:r w:rsidR="00EE71EC" w:rsidRPr="00BF0EA9">
              <w:rPr>
                <w:rFonts w:ascii="Arial Narrow" w:hAnsi="Arial Narrow"/>
                <w:b/>
              </w:rPr>
              <w:t xml:space="preserve"> </w:t>
            </w:r>
            <w:r w:rsidR="00EE71EC" w:rsidRPr="00BF0EA9">
              <w:rPr>
                <w:rFonts w:ascii="Arial Narrow" w:hAnsi="Arial Narrow"/>
              </w:rPr>
              <w:t>(Para 6.28)</w:t>
            </w:r>
          </w:p>
          <w:p w:rsidR="00617D59" w:rsidRPr="00BF0EA9" w:rsidRDefault="00617D59" w:rsidP="00B6342F">
            <w:pPr>
              <w:pStyle w:val="TableText0"/>
              <w:keepNext/>
              <w:keepLines/>
              <w:numPr>
                <w:ilvl w:val="0"/>
                <w:numId w:val="18"/>
              </w:numPr>
              <w:spacing w:before="0" w:after="0"/>
              <w:ind w:left="397" w:hanging="283"/>
              <w:rPr>
                <w:rFonts w:ascii="Arial Narrow" w:hAnsi="Arial Narrow"/>
                <w:b/>
              </w:rPr>
            </w:pPr>
            <w:r w:rsidRPr="00BF0EA9">
              <w:rPr>
                <w:rFonts w:ascii="Arial Narrow" w:hAnsi="Arial Narrow"/>
              </w:rPr>
              <w:t>response rate 50%</w:t>
            </w:r>
            <w:r w:rsidR="00EE71EC" w:rsidRPr="00BF0EA9">
              <w:rPr>
                <w:rFonts w:ascii="Arial Narrow" w:hAnsi="Arial Narrow"/>
              </w:rPr>
              <w:t xml:space="preserve"> (base case 64.9%)</w:t>
            </w:r>
          </w:p>
          <w:p w:rsidR="00617D59" w:rsidRPr="00BF0EA9" w:rsidRDefault="00617D59" w:rsidP="00B6342F">
            <w:pPr>
              <w:pStyle w:val="TableText0"/>
              <w:keepNext/>
              <w:keepLines/>
              <w:numPr>
                <w:ilvl w:val="0"/>
                <w:numId w:val="18"/>
              </w:numPr>
              <w:spacing w:before="0" w:after="0"/>
              <w:ind w:left="397" w:hanging="283"/>
              <w:rPr>
                <w:rFonts w:ascii="Arial Narrow" w:hAnsi="Arial Narrow"/>
                <w:b/>
              </w:rPr>
            </w:pPr>
            <w:r w:rsidRPr="00BF0EA9">
              <w:rPr>
                <w:rFonts w:ascii="Arial Narrow" w:hAnsi="Arial Narrow"/>
              </w:rPr>
              <w:t>disfigurement rate 20%</w:t>
            </w:r>
            <w:r w:rsidR="00EE71EC" w:rsidRPr="00BF0EA9">
              <w:rPr>
                <w:rFonts w:ascii="Arial Narrow" w:hAnsi="Arial Narrow"/>
              </w:rPr>
              <w:t xml:space="preserve"> (base case 10%)</w:t>
            </w:r>
          </w:p>
          <w:p w:rsidR="006C19D9" w:rsidRPr="00BF0EA9" w:rsidRDefault="006505A5" w:rsidP="00B6342F">
            <w:pPr>
              <w:pStyle w:val="TableText0"/>
              <w:keepNext/>
              <w:keepLines/>
              <w:numPr>
                <w:ilvl w:val="0"/>
                <w:numId w:val="18"/>
              </w:numPr>
              <w:spacing w:before="0" w:after="0"/>
              <w:ind w:left="397" w:hanging="283"/>
              <w:rPr>
                <w:rFonts w:ascii="Arial Narrow" w:hAnsi="Arial Narrow"/>
              </w:rPr>
            </w:pPr>
            <w:r>
              <w:rPr>
                <w:rFonts w:ascii="Arial Narrow" w:hAnsi="Arial Narrow"/>
                <w:noProof/>
                <w:color w:val="000000"/>
                <w:highlight w:val="black"/>
              </w:rPr>
              <w:t>'''''</w:t>
            </w:r>
            <w:r w:rsidR="00617D59" w:rsidRPr="00BF0EA9">
              <w:rPr>
                <w:rFonts w:ascii="Arial Narrow" w:hAnsi="Arial Narrow"/>
              </w:rPr>
              <w:t>% rebate</w:t>
            </w:r>
            <w:r w:rsidR="00EE71EC" w:rsidRPr="00BF0EA9">
              <w:rPr>
                <w:rFonts w:ascii="Arial Narrow" w:hAnsi="Arial Narrow"/>
              </w:rPr>
              <w:t xml:space="preserve"> (base case: </w:t>
            </w:r>
            <w:r>
              <w:rPr>
                <w:rFonts w:ascii="Arial Narrow" w:hAnsi="Arial Narrow"/>
                <w:noProof/>
                <w:color w:val="000000"/>
                <w:highlight w:val="black"/>
              </w:rPr>
              <w:t>''''''</w:t>
            </w:r>
            <w:r w:rsidR="00EE71EC" w:rsidRPr="00BF0EA9">
              <w:rPr>
                <w:rFonts w:ascii="Arial Narrow" w:hAnsi="Arial Narrow"/>
              </w:rPr>
              <w:t>%)</w:t>
            </w:r>
          </w:p>
        </w:tc>
        <w:tc>
          <w:tcPr>
            <w:tcW w:w="671" w:type="pct"/>
            <w:tcBorders>
              <w:top w:val="single" w:sz="4" w:space="0" w:color="auto"/>
              <w:left w:val="single" w:sz="4" w:space="0" w:color="auto"/>
              <w:bottom w:val="single" w:sz="4" w:space="0" w:color="auto"/>
              <w:right w:val="single" w:sz="4" w:space="0" w:color="auto"/>
            </w:tcBorders>
            <w:vAlign w:val="center"/>
          </w:tcPr>
          <w:p w:rsidR="006C19D9" w:rsidRPr="00BF0EA9" w:rsidRDefault="006505A5" w:rsidP="00E0284C">
            <w:pPr>
              <w:keepNext/>
              <w:keepLines/>
              <w:snapToGrid w:val="0"/>
              <w:jc w:val="center"/>
              <w:rPr>
                <w:rFonts w:ascii="Arial Narrow" w:hAnsi="Arial Narrow"/>
                <w:sz w:val="20"/>
                <w:szCs w:val="20"/>
              </w:rPr>
            </w:pPr>
            <w:r>
              <w:rPr>
                <w:rFonts w:ascii="Arial Narrow" w:hAnsi="Arial Narrow"/>
                <w:noProof/>
                <w:color w:val="000000"/>
                <w:sz w:val="20"/>
                <w:szCs w:val="20"/>
                <w:highlight w:val="black"/>
              </w:rPr>
              <w:t>''''''''''''</w:t>
            </w:r>
            <w:r w:rsidR="00F87787" w:rsidRPr="00BF0EA9">
              <w:rPr>
                <w:rFonts w:ascii="Arial Narrow" w:hAnsi="Arial Narrow"/>
                <w:sz w:val="20"/>
                <w:szCs w:val="20"/>
              </w:rPr>
              <w:t>%</w:t>
            </w:r>
          </w:p>
        </w:tc>
        <w:tc>
          <w:tcPr>
            <w:tcW w:w="584" w:type="pct"/>
            <w:tcBorders>
              <w:top w:val="single" w:sz="4" w:space="0" w:color="auto"/>
              <w:left w:val="single" w:sz="4" w:space="0" w:color="auto"/>
              <w:bottom w:val="single" w:sz="4" w:space="0" w:color="auto"/>
              <w:right w:val="single" w:sz="4" w:space="0" w:color="auto"/>
            </w:tcBorders>
            <w:vAlign w:val="center"/>
          </w:tcPr>
          <w:p w:rsidR="00F87787" w:rsidRPr="00BF0EA9" w:rsidRDefault="00F87787"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p w:rsidR="006C19D9" w:rsidRPr="00BF0EA9" w:rsidRDefault="006C19D9" w:rsidP="00E0284C">
            <w:pPr>
              <w:pStyle w:val="TableText0"/>
              <w:keepNext/>
              <w:keepLines/>
              <w:snapToGrid w:val="0"/>
              <w:spacing w:before="0" w:after="0"/>
              <w:jc w:val="center"/>
              <w:rPr>
                <w:rFonts w:ascii="Arial Narrow" w:hAnsi="Arial Narrow" w:cs="Times New Roman"/>
                <w:bCs w:val="0"/>
                <w:lang w:eastAsia="en-AU"/>
              </w:rPr>
            </w:pPr>
          </w:p>
        </w:tc>
        <w:tc>
          <w:tcPr>
            <w:tcW w:w="443" w:type="pct"/>
            <w:tcBorders>
              <w:top w:val="single" w:sz="4" w:space="0" w:color="auto"/>
              <w:left w:val="single" w:sz="4" w:space="0" w:color="auto"/>
              <w:bottom w:val="single" w:sz="4" w:space="0" w:color="auto"/>
              <w:right w:val="single" w:sz="4" w:space="0" w:color="auto"/>
            </w:tcBorders>
            <w:vAlign w:val="center"/>
          </w:tcPr>
          <w:p w:rsidR="00F87787" w:rsidRPr="00BF0EA9" w:rsidRDefault="00F87787"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p w:rsidR="006C19D9" w:rsidRPr="00BF0EA9" w:rsidRDefault="006C19D9" w:rsidP="00E0284C">
            <w:pPr>
              <w:pStyle w:val="TableText0"/>
              <w:keepNext/>
              <w:keepLines/>
              <w:snapToGrid w:val="0"/>
              <w:spacing w:before="0" w:after="0"/>
              <w:jc w:val="center"/>
              <w:rPr>
                <w:rFonts w:ascii="Arial Narrow" w:hAnsi="Arial Narrow" w:cs="Times New Roman"/>
                <w:bCs w:val="0"/>
                <w:lang w:eastAsia="en-AU"/>
              </w:rPr>
            </w:pPr>
          </w:p>
        </w:tc>
        <w:tc>
          <w:tcPr>
            <w:tcW w:w="652" w:type="pct"/>
            <w:tcBorders>
              <w:top w:val="single" w:sz="4" w:space="0" w:color="auto"/>
              <w:left w:val="single" w:sz="4" w:space="0" w:color="auto"/>
              <w:bottom w:val="single" w:sz="4" w:space="0" w:color="auto"/>
              <w:right w:val="single" w:sz="4" w:space="0" w:color="auto"/>
            </w:tcBorders>
            <w:vAlign w:val="center"/>
          </w:tcPr>
          <w:p w:rsidR="00F87787" w:rsidRPr="00BF0EA9" w:rsidRDefault="00F87787"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p w:rsidR="006C19D9" w:rsidRPr="00BF0EA9" w:rsidRDefault="006C19D9" w:rsidP="00E0284C">
            <w:pPr>
              <w:pStyle w:val="TableText0"/>
              <w:keepNext/>
              <w:keepLines/>
              <w:snapToGrid w:val="0"/>
              <w:spacing w:before="0" w:after="0"/>
              <w:jc w:val="center"/>
              <w:rPr>
                <w:rFonts w:ascii="Arial Narrow" w:hAnsi="Arial Narrow" w:cs="Times New Roman"/>
                <w:bCs w:val="0"/>
                <w:lang w:eastAsia="en-AU"/>
              </w:rPr>
            </w:pPr>
          </w:p>
        </w:tc>
        <w:tc>
          <w:tcPr>
            <w:tcW w:w="530" w:type="pct"/>
            <w:tcBorders>
              <w:top w:val="single" w:sz="4" w:space="0" w:color="auto"/>
              <w:left w:val="single" w:sz="4" w:space="0" w:color="auto"/>
              <w:bottom w:val="single" w:sz="4" w:space="0" w:color="auto"/>
              <w:right w:val="single" w:sz="4" w:space="0" w:color="auto"/>
            </w:tcBorders>
            <w:vAlign w:val="center"/>
          </w:tcPr>
          <w:p w:rsidR="00F87787" w:rsidRPr="00BF0EA9" w:rsidRDefault="00F87787" w:rsidP="00E0284C">
            <w:pPr>
              <w:keepNext/>
              <w:keepLines/>
              <w:snapToGrid w:val="0"/>
              <w:jc w:val="center"/>
              <w:rPr>
                <w:rFonts w:ascii="Arial Narrow" w:hAnsi="Arial Narrow"/>
                <w:sz w:val="20"/>
                <w:szCs w:val="20"/>
              </w:rPr>
            </w:pPr>
            <w:r w:rsidRPr="00BF0EA9">
              <w:rPr>
                <w:rFonts w:ascii="Arial Narrow" w:hAnsi="Arial Narrow"/>
                <w:sz w:val="20"/>
                <w:szCs w:val="20"/>
              </w:rPr>
              <w:t>$</w:t>
            </w:r>
            <w:r w:rsidR="006505A5">
              <w:rPr>
                <w:rFonts w:ascii="Arial Narrow" w:hAnsi="Arial Narrow"/>
                <w:noProof/>
                <w:color w:val="000000"/>
                <w:sz w:val="20"/>
                <w:szCs w:val="20"/>
                <w:highlight w:val="black"/>
              </w:rPr>
              <w:t>''''''''''''''''''</w:t>
            </w:r>
          </w:p>
          <w:p w:rsidR="006C19D9" w:rsidRPr="00BF0EA9" w:rsidRDefault="006C19D9" w:rsidP="00E0284C">
            <w:pPr>
              <w:pStyle w:val="TableText0"/>
              <w:keepNext/>
              <w:keepLines/>
              <w:snapToGrid w:val="0"/>
              <w:spacing w:before="0" w:after="0"/>
              <w:jc w:val="center"/>
              <w:rPr>
                <w:rFonts w:ascii="Arial Narrow" w:hAnsi="Arial Narrow" w:cs="Times New Roman"/>
                <w:bCs w:val="0"/>
                <w:lang w:eastAsia="en-AU"/>
              </w:rPr>
            </w:pPr>
          </w:p>
        </w:tc>
      </w:tr>
    </w:tbl>
    <w:p w:rsidR="00717521" w:rsidRPr="008C2C86" w:rsidRDefault="00717521" w:rsidP="00B6342F">
      <w:pPr>
        <w:pStyle w:val="TableFooter"/>
        <w:keepNext/>
        <w:keepLines/>
        <w:ind w:left="720"/>
        <w:rPr>
          <w:szCs w:val="18"/>
        </w:rPr>
      </w:pPr>
      <w:r w:rsidRPr="008C2C86">
        <w:rPr>
          <w:szCs w:val="18"/>
        </w:rPr>
        <w:t xml:space="preserve">Source: </w:t>
      </w:r>
      <w:r w:rsidR="00F87787" w:rsidRPr="008C2C86">
        <w:rPr>
          <w:szCs w:val="18"/>
        </w:rPr>
        <w:t>C</w:t>
      </w:r>
      <w:r w:rsidRPr="008C2C86">
        <w:rPr>
          <w:szCs w:val="18"/>
        </w:rPr>
        <w:t xml:space="preserve">ompiled during </w:t>
      </w:r>
      <w:r w:rsidR="0020430E" w:rsidRPr="008C2C86">
        <w:rPr>
          <w:szCs w:val="18"/>
        </w:rPr>
        <w:t xml:space="preserve">preparation of the Overview </w:t>
      </w:r>
      <w:r w:rsidR="00F87787" w:rsidRPr="008C2C86">
        <w:rPr>
          <w:szCs w:val="18"/>
        </w:rPr>
        <w:t>based on “Updated Economic Evaluation.xlsx” worksheet</w:t>
      </w:r>
    </w:p>
    <w:p w:rsidR="00717521" w:rsidRPr="00EB6EFC" w:rsidRDefault="00B019C4" w:rsidP="00B6342F">
      <w:pPr>
        <w:pStyle w:val="TableFooter"/>
        <w:keepNext/>
        <w:keepLines/>
        <w:ind w:left="720"/>
        <w:rPr>
          <w:szCs w:val="18"/>
        </w:rPr>
      </w:pPr>
      <w:r w:rsidRPr="00EB6EFC">
        <w:rPr>
          <w:szCs w:val="18"/>
        </w:rPr>
        <w:t xml:space="preserve">EOC = episode of care; </w:t>
      </w:r>
      <w:r w:rsidR="00717521" w:rsidRPr="00EB6EFC">
        <w:rPr>
          <w:szCs w:val="18"/>
        </w:rPr>
        <w:t>ICER = incremental cost-effectiveness ratio</w:t>
      </w:r>
      <w:r w:rsidR="004F7C7F" w:rsidRPr="00EB6EFC">
        <w:rPr>
          <w:szCs w:val="18"/>
        </w:rPr>
        <w:t>; PBAC = Pharmaceutical Benefits Advisory Committee</w:t>
      </w:r>
    </w:p>
    <w:p w:rsidR="00717521" w:rsidRPr="00EB6EFC" w:rsidRDefault="00B019C4" w:rsidP="00B6342F">
      <w:pPr>
        <w:pStyle w:val="TableFooter"/>
        <w:keepNext/>
        <w:keepLines/>
        <w:ind w:firstLine="720"/>
        <w:rPr>
          <w:szCs w:val="18"/>
        </w:rPr>
      </w:pPr>
      <w:r w:rsidRPr="00EB6EFC">
        <w:rPr>
          <w:szCs w:val="18"/>
          <w:vertAlign w:val="superscript"/>
        </w:rPr>
        <w:t>a</w:t>
      </w:r>
      <w:r w:rsidR="00717521" w:rsidRPr="00EB6EFC">
        <w:rPr>
          <w:szCs w:val="18"/>
        </w:rPr>
        <w:t xml:space="preserve"> </w:t>
      </w:r>
      <w:r w:rsidR="008E720E" w:rsidRPr="00EB6EFC">
        <w:rPr>
          <w:szCs w:val="18"/>
        </w:rPr>
        <w:t xml:space="preserve">The EOC cap was based on the Commonwealth subsidising a maximum of </w:t>
      </w:r>
      <w:r w:rsidR="006505A5">
        <w:rPr>
          <w:noProof/>
          <w:color w:val="000000"/>
          <w:szCs w:val="18"/>
          <w:highlight w:val="black"/>
        </w:rPr>
        <w:t>'''''''''''''</w:t>
      </w:r>
      <w:r w:rsidR="008E720E" w:rsidRPr="00EB6EFC">
        <w:rPr>
          <w:szCs w:val="18"/>
        </w:rPr>
        <w:t xml:space="preserve"> packs of vismodegib per </w:t>
      </w:r>
      <w:r w:rsidR="00AC6432" w:rsidRPr="00EB6EFC">
        <w:rPr>
          <w:szCs w:val="18"/>
        </w:rPr>
        <w:t>patient.</w:t>
      </w:r>
    </w:p>
    <w:p w:rsidR="00717521" w:rsidRPr="00EB6EFC" w:rsidRDefault="00717521" w:rsidP="00717521">
      <w:pPr>
        <w:pStyle w:val="ListParagraph"/>
        <w:rPr>
          <w:sz w:val="18"/>
          <w:szCs w:val="18"/>
        </w:rPr>
      </w:pPr>
    </w:p>
    <w:p w:rsidR="00A46622" w:rsidRPr="00EB6EFC" w:rsidRDefault="00EE71EC" w:rsidP="00A46622">
      <w:pPr>
        <w:pStyle w:val="ListParagraph"/>
        <w:numPr>
          <w:ilvl w:val="1"/>
          <w:numId w:val="5"/>
        </w:numPr>
      </w:pPr>
      <w:r w:rsidRPr="00176FFA">
        <w:rPr>
          <w:szCs w:val="22"/>
        </w:rPr>
        <w:t xml:space="preserve">Based on the </w:t>
      </w:r>
      <w:r w:rsidR="005B0F2B" w:rsidRPr="00176FFA">
        <w:rPr>
          <w:szCs w:val="22"/>
        </w:rPr>
        <w:t xml:space="preserve">effectiveness </w:t>
      </w:r>
      <w:r w:rsidRPr="00176FFA">
        <w:rPr>
          <w:szCs w:val="22"/>
        </w:rPr>
        <w:t xml:space="preserve">estimates </w:t>
      </w:r>
      <w:r w:rsidR="00F1394F" w:rsidRPr="00176FFA">
        <w:rPr>
          <w:szCs w:val="22"/>
        </w:rPr>
        <w:t xml:space="preserve">that the March 2016 PBAC </w:t>
      </w:r>
      <w:r w:rsidRPr="00176FFA">
        <w:rPr>
          <w:szCs w:val="22"/>
        </w:rPr>
        <w:t xml:space="preserve">considered </w:t>
      </w:r>
      <w:r w:rsidR="00F1394F" w:rsidRPr="00176FFA">
        <w:rPr>
          <w:szCs w:val="22"/>
        </w:rPr>
        <w:t xml:space="preserve">to be </w:t>
      </w:r>
      <w:r w:rsidRPr="00176FFA">
        <w:rPr>
          <w:szCs w:val="22"/>
        </w:rPr>
        <w:t>most plausible, the ICER per disfigurement-free responder would be $</w:t>
      </w:r>
      <w:r w:rsidR="00B75098">
        <w:rPr>
          <w:szCs w:val="22"/>
        </w:rPr>
        <w:t>105,000 - $200,000</w:t>
      </w:r>
      <w:r w:rsidRPr="00176FFA">
        <w:rPr>
          <w:szCs w:val="22"/>
        </w:rPr>
        <w:t xml:space="preserve"> for vismodegib versus surgery with the EOC cap (that is, a </w:t>
      </w:r>
      <w:r w:rsidR="005B0F2B" w:rsidRPr="00176FFA">
        <w:rPr>
          <w:szCs w:val="22"/>
        </w:rPr>
        <w:t xml:space="preserve">vismodegib </w:t>
      </w:r>
      <w:r w:rsidRPr="00176FFA">
        <w:rPr>
          <w:szCs w:val="22"/>
        </w:rPr>
        <w:t>response rate and disfigurement rate of 50% and 20%, respectively)</w:t>
      </w:r>
      <w:r w:rsidR="00F1394F" w:rsidRPr="00176FFA">
        <w:rPr>
          <w:szCs w:val="22"/>
        </w:rPr>
        <w:t xml:space="preserve">, using the proposed </w:t>
      </w:r>
      <w:r w:rsidR="006505A5">
        <w:rPr>
          <w:noProof/>
          <w:color w:val="000000"/>
          <w:szCs w:val="22"/>
          <w:highlight w:val="black"/>
        </w:rPr>
        <w:t>''''''</w:t>
      </w:r>
      <w:r w:rsidR="00F1394F" w:rsidRPr="00176FFA">
        <w:rPr>
          <w:szCs w:val="22"/>
        </w:rPr>
        <w:t>% rebate</w:t>
      </w:r>
      <w:r w:rsidRPr="00176FFA">
        <w:rPr>
          <w:szCs w:val="22"/>
        </w:rPr>
        <w:t>.</w:t>
      </w:r>
      <w:r w:rsidR="00FB74B1" w:rsidRPr="00176FFA">
        <w:rPr>
          <w:szCs w:val="22"/>
        </w:rPr>
        <w:t xml:space="preserve"> With a </w:t>
      </w:r>
      <w:r w:rsidR="006505A5">
        <w:rPr>
          <w:noProof/>
          <w:color w:val="000000"/>
          <w:szCs w:val="22"/>
          <w:highlight w:val="black"/>
        </w:rPr>
        <w:t>'''''''</w:t>
      </w:r>
      <w:r w:rsidR="00FB74B1" w:rsidRPr="00176FFA">
        <w:rPr>
          <w:szCs w:val="22"/>
        </w:rPr>
        <w:t>% rebate, the ICER per disfigurement-free responder would be $</w:t>
      </w:r>
      <w:r w:rsidR="006505A5">
        <w:rPr>
          <w:noProof/>
          <w:color w:val="000000"/>
          <w:szCs w:val="22"/>
          <w:highlight w:val="black"/>
        </w:rPr>
        <w:t>''''''''''''''''</w:t>
      </w:r>
      <w:r w:rsidR="00D40640" w:rsidRPr="00176FFA">
        <w:rPr>
          <w:szCs w:val="22"/>
        </w:rPr>
        <w:t xml:space="preserve">, which is outside the </w:t>
      </w:r>
      <w:r w:rsidR="00F1394F" w:rsidRPr="00176FFA">
        <w:rPr>
          <w:szCs w:val="22"/>
        </w:rPr>
        <w:t xml:space="preserve">ICER </w:t>
      </w:r>
      <w:r w:rsidR="00D40640" w:rsidRPr="00176FFA">
        <w:rPr>
          <w:szCs w:val="22"/>
        </w:rPr>
        <w:t xml:space="preserve">range </w:t>
      </w:r>
      <w:r w:rsidR="00F1394F" w:rsidRPr="00176FFA">
        <w:rPr>
          <w:szCs w:val="22"/>
        </w:rPr>
        <w:t>of $</w:t>
      </w:r>
      <w:r w:rsidR="00B75098">
        <w:rPr>
          <w:szCs w:val="22"/>
        </w:rPr>
        <w:t>45,000 - $75,000</w:t>
      </w:r>
      <w:r w:rsidR="00F1394F" w:rsidRPr="00176FFA">
        <w:rPr>
          <w:szCs w:val="22"/>
        </w:rPr>
        <w:t xml:space="preserve"> outline</w:t>
      </w:r>
      <w:r w:rsidR="00C60F56">
        <w:rPr>
          <w:szCs w:val="22"/>
        </w:rPr>
        <w:t>d in the March 2016 PBAC PSD</w:t>
      </w:r>
      <w:r w:rsidR="00F1394F" w:rsidRPr="00176FFA">
        <w:rPr>
          <w:szCs w:val="22"/>
        </w:rPr>
        <w:t xml:space="preserve"> (Paragraph 6.28).</w:t>
      </w:r>
    </w:p>
    <w:p w:rsidR="00A46622" w:rsidRPr="00EB6EFC" w:rsidRDefault="00A46622" w:rsidP="00A46622">
      <w:r w:rsidRPr="00EB6EFC">
        <w:t xml:space="preserve"> </w:t>
      </w:r>
    </w:p>
    <w:p w:rsidR="00A55FEE" w:rsidRPr="00EB6EFC" w:rsidRDefault="00A55FEE" w:rsidP="00B1059E">
      <w:pPr>
        <w:pStyle w:val="Heading2"/>
      </w:pPr>
      <w:r w:rsidRPr="00EB6EFC">
        <w:t xml:space="preserve">Drug cost/patient/course: </w:t>
      </w:r>
      <w:r w:rsidR="00FB74B1" w:rsidRPr="00EB6EFC">
        <w:t>$</w:t>
      </w:r>
      <w:r w:rsidR="006505A5">
        <w:rPr>
          <w:noProof/>
          <w:color w:val="000000"/>
          <w:highlight w:val="black"/>
        </w:rPr>
        <w:t>''''''''''''</w:t>
      </w:r>
      <w:r w:rsidR="00FB74B1" w:rsidRPr="00EB6EFC">
        <w:t xml:space="preserve"> with EOC cap; </w:t>
      </w:r>
      <w:r w:rsidRPr="00EB6EFC">
        <w:t>$</w:t>
      </w:r>
      <w:r w:rsidR="006505A5">
        <w:rPr>
          <w:noProof/>
          <w:color w:val="000000"/>
          <w:highlight w:val="black"/>
        </w:rPr>
        <w:t>''''''''''''''</w:t>
      </w:r>
      <w:r w:rsidR="00FB74B1" w:rsidRPr="00EB6EFC">
        <w:t xml:space="preserve"> without EOC cap</w:t>
      </w:r>
      <w:r w:rsidRPr="00EB6EFC">
        <w:t>.</w:t>
      </w:r>
    </w:p>
    <w:p w:rsidR="00A55FEE" w:rsidRPr="00EB6EFC" w:rsidRDefault="00A55FEE" w:rsidP="00A55FEE">
      <w:pPr>
        <w:ind w:left="720" w:hanging="720"/>
        <w:jc w:val="both"/>
        <w:rPr>
          <w:b/>
          <w:i/>
          <w:szCs w:val="22"/>
        </w:rPr>
      </w:pPr>
    </w:p>
    <w:p w:rsidR="00A55FEE" w:rsidRPr="00EB6EFC" w:rsidRDefault="00995CF4" w:rsidP="00A55FEE">
      <w:pPr>
        <w:pStyle w:val="ListParagraph"/>
        <w:widowControl/>
        <w:numPr>
          <w:ilvl w:val="1"/>
          <w:numId w:val="5"/>
        </w:numPr>
        <w:rPr>
          <w:szCs w:val="22"/>
        </w:rPr>
      </w:pPr>
      <w:r w:rsidRPr="00176FFA">
        <w:rPr>
          <w:szCs w:val="22"/>
        </w:rPr>
        <w:t>With the EOC cap, t</w:t>
      </w:r>
      <w:r w:rsidR="00FB74B1" w:rsidRPr="00176FFA">
        <w:rPr>
          <w:szCs w:val="22"/>
        </w:rPr>
        <w:t xml:space="preserve">he estimated average cost per patient per course was </w:t>
      </w:r>
      <w:r w:rsidRPr="00176FFA">
        <w:t>$</w:t>
      </w:r>
      <w:r w:rsidR="006505A5">
        <w:rPr>
          <w:noProof/>
          <w:color w:val="000000"/>
          <w:highlight w:val="black"/>
        </w:rPr>
        <w:t>'''''''''''''''</w:t>
      </w:r>
      <w:r w:rsidRPr="00176FFA">
        <w:t xml:space="preserve"> based on an average </w:t>
      </w:r>
      <w:r w:rsidRPr="00176FFA">
        <w:rPr>
          <w:szCs w:val="22"/>
        </w:rPr>
        <w:t xml:space="preserve">treatment duration of </w:t>
      </w:r>
      <w:r w:rsidR="006505A5">
        <w:rPr>
          <w:noProof/>
          <w:color w:val="000000"/>
          <w:szCs w:val="22"/>
          <w:highlight w:val="black"/>
        </w:rPr>
        <w:t>''''''''''</w:t>
      </w:r>
      <w:r w:rsidRPr="00176FFA">
        <w:rPr>
          <w:szCs w:val="22"/>
        </w:rPr>
        <w:t xml:space="preserve"> weeks</w:t>
      </w:r>
      <w:r w:rsidR="000F30E1" w:rsidRPr="00176FFA">
        <w:rPr>
          <w:szCs w:val="22"/>
        </w:rPr>
        <w:t>,</w:t>
      </w:r>
      <w:r w:rsidRPr="00176FFA">
        <w:rPr>
          <w:szCs w:val="22"/>
        </w:rPr>
        <w:t xml:space="preserve"> a 92% compliance rate</w:t>
      </w:r>
      <w:r w:rsidR="000F30E1" w:rsidRPr="00176FFA">
        <w:rPr>
          <w:szCs w:val="22"/>
        </w:rPr>
        <w:t>, an effective Dispensed Price for Maximum Quantity of $</w:t>
      </w:r>
      <w:r w:rsidR="006505A5">
        <w:rPr>
          <w:noProof/>
          <w:color w:val="000000"/>
          <w:szCs w:val="22"/>
          <w:highlight w:val="black"/>
        </w:rPr>
        <w:t>'''''''''''''''''''</w:t>
      </w:r>
      <w:r w:rsidR="000F30E1" w:rsidRPr="00176FFA">
        <w:rPr>
          <w:szCs w:val="22"/>
        </w:rPr>
        <w:t xml:space="preserve"> per pack</w:t>
      </w:r>
      <w:r w:rsidR="002B5165" w:rsidRPr="00176FFA">
        <w:rPr>
          <w:szCs w:val="22"/>
        </w:rPr>
        <w:t>,</w:t>
      </w:r>
      <w:r w:rsidR="000F30E1" w:rsidRPr="00176FFA">
        <w:rPr>
          <w:szCs w:val="22"/>
        </w:rPr>
        <w:t xml:space="preserve"> and an average of </w:t>
      </w:r>
      <w:r w:rsidR="006505A5">
        <w:rPr>
          <w:noProof/>
          <w:color w:val="000000"/>
          <w:szCs w:val="22"/>
          <w:highlight w:val="black"/>
        </w:rPr>
        <w:t>''''''''''</w:t>
      </w:r>
      <w:r w:rsidR="000F30E1" w:rsidRPr="00176FFA">
        <w:rPr>
          <w:szCs w:val="22"/>
        </w:rPr>
        <w:t xml:space="preserve"> packs per patient per week</w:t>
      </w:r>
      <w:r w:rsidRPr="00176FFA">
        <w:rPr>
          <w:szCs w:val="22"/>
        </w:rPr>
        <w:t>.</w:t>
      </w:r>
      <w:r w:rsidR="0060126E" w:rsidRPr="00176FFA">
        <w:rPr>
          <w:szCs w:val="22"/>
        </w:rPr>
        <w:t xml:space="preserve"> Without the EOC cap, the average cost per patient per course was </w:t>
      </w:r>
      <w:r w:rsidR="00FB74B1" w:rsidRPr="00176FFA">
        <w:rPr>
          <w:szCs w:val="22"/>
        </w:rPr>
        <w:t>$</w:t>
      </w:r>
      <w:r w:rsidR="006505A5">
        <w:rPr>
          <w:noProof/>
          <w:color w:val="000000"/>
          <w:highlight w:val="black"/>
        </w:rPr>
        <w:t>''''''''''''''''''</w:t>
      </w:r>
      <w:r w:rsidR="0060126E" w:rsidRPr="00176FFA">
        <w:t xml:space="preserve"> </w:t>
      </w:r>
      <w:r w:rsidR="00FB74B1" w:rsidRPr="00176FFA">
        <w:rPr>
          <w:szCs w:val="22"/>
        </w:rPr>
        <w:t>based on an average treatment duration of 50.6</w:t>
      </w:r>
      <w:r w:rsidR="004E66D1">
        <w:rPr>
          <w:szCs w:val="22"/>
        </w:rPr>
        <w:t>2</w:t>
      </w:r>
      <w:r w:rsidR="00FB74B1" w:rsidRPr="00176FFA">
        <w:rPr>
          <w:szCs w:val="22"/>
        </w:rPr>
        <w:t xml:space="preserve"> weeks and a 92% compliance rate</w:t>
      </w:r>
      <w:r w:rsidR="00FB74B1" w:rsidRPr="00EB6EFC">
        <w:rPr>
          <w:szCs w:val="22"/>
        </w:rPr>
        <w:t xml:space="preserve">. The </w:t>
      </w:r>
      <w:r w:rsidR="002C5348" w:rsidRPr="00EB6EFC">
        <w:rPr>
          <w:szCs w:val="22"/>
        </w:rPr>
        <w:t xml:space="preserve">March 2016 </w:t>
      </w:r>
      <w:r w:rsidR="00FB74B1" w:rsidRPr="00EB6EFC">
        <w:rPr>
          <w:szCs w:val="22"/>
        </w:rPr>
        <w:t>PBAC noted that the uncertainty surrounding the assumptions in the model for average treatment duration, compliance and dose intensity strongly favoured vismodegib.</w:t>
      </w:r>
      <w:r w:rsidR="0060126E" w:rsidRPr="00EB6EFC">
        <w:rPr>
          <w:szCs w:val="22"/>
        </w:rPr>
        <w:t xml:space="preserve"> In its previous consideration, t</w:t>
      </w:r>
      <w:r w:rsidR="00FB74B1" w:rsidRPr="00EB6EFC">
        <w:rPr>
          <w:szCs w:val="22"/>
        </w:rPr>
        <w:t xml:space="preserve">he PBAC did not consider that the average treatment duration of 50.62 weeks was realistic, with patients more likely to discontinue treatment early due to an </w:t>
      </w:r>
      <w:r w:rsidR="0060126E" w:rsidRPr="00EB6EFC">
        <w:rPr>
          <w:szCs w:val="22"/>
        </w:rPr>
        <w:t>adverse event (</w:t>
      </w:r>
      <w:r w:rsidR="00AE59E3" w:rsidRPr="00EB6EFC">
        <w:rPr>
          <w:szCs w:val="22"/>
        </w:rPr>
        <w:t xml:space="preserve">March 2016 </w:t>
      </w:r>
      <w:r w:rsidR="00C60F56">
        <w:rPr>
          <w:szCs w:val="22"/>
        </w:rPr>
        <w:t>PBAC PSD</w:t>
      </w:r>
      <w:r w:rsidR="00AE59E3" w:rsidRPr="00EB6EFC">
        <w:rPr>
          <w:szCs w:val="22"/>
        </w:rPr>
        <w:t>, Paragraph 6.29</w:t>
      </w:r>
      <w:r w:rsidR="0060126E" w:rsidRPr="00EB6EFC">
        <w:rPr>
          <w:szCs w:val="22"/>
        </w:rPr>
        <w:t>)</w:t>
      </w:r>
      <w:r w:rsidR="00AE59E3" w:rsidRPr="00EB6EFC">
        <w:rPr>
          <w:szCs w:val="22"/>
        </w:rPr>
        <w:t>.</w:t>
      </w:r>
    </w:p>
    <w:p w:rsidR="00FB74B1" w:rsidRPr="00EB6EFC" w:rsidRDefault="00FB74B1" w:rsidP="00A55FEE">
      <w:pPr>
        <w:ind w:left="720" w:hanging="720"/>
        <w:jc w:val="both"/>
        <w:rPr>
          <w:szCs w:val="22"/>
        </w:rPr>
      </w:pPr>
    </w:p>
    <w:p w:rsidR="00017FA3" w:rsidRDefault="00017FA3">
      <w:pPr>
        <w:rPr>
          <w:b/>
          <w:i/>
        </w:rPr>
      </w:pPr>
      <w:r>
        <w:br w:type="page"/>
      </w:r>
    </w:p>
    <w:p w:rsidR="005A3173" w:rsidRPr="00EB6EFC" w:rsidRDefault="005A3173" w:rsidP="00B1059E">
      <w:pPr>
        <w:pStyle w:val="Heading2"/>
      </w:pPr>
      <w:r w:rsidRPr="00EB6EFC">
        <w:lastRenderedPageBreak/>
        <w:t>Estimated PBS usage &amp; financial implications</w:t>
      </w:r>
    </w:p>
    <w:p w:rsidR="005A3173" w:rsidRPr="00EB6EFC" w:rsidRDefault="005A3173" w:rsidP="00882085">
      <w:pPr>
        <w:ind w:left="720" w:hanging="720"/>
        <w:jc w:val="both"/>
        <w:rPr>
          <w:b/>
          <w:i/>
          <w:szCs w:val="22"/>
        </w:rPr>
      </w:pPr>
    </w:p>
    <w:p w:rsidR="00610E56" w:rsidRPr="00EB6EFC" w:rsidRDefault="00610E56" w:rsidP="00473315">
      <w:pPr>
        <w:pStyle w:val="ListParagraph"/>
        <w:widowControl/>
        <w:numPr>
          <w:ilvl w:val="1"/>
          <w:numId w:val="5"/>
        </w:numPr>
        <w:rPr>
          <w:szCs w:val="22"/>
        </w:rPr>
      </w:pPr>
      <w:r w:rsidRPr="00EB6EFC">
        <w:rPr>
          <w:szCs w:val="22"/>
        </w:rPr>
        <w:t>The financial estimates were updated to reflect:</w:t>
      </w:r>
    </w:p>
    <w:p w:rsidR="00610E56" w:rsidRPr="00EB6EFC" w:rsidRDefault="00FB4566" w:rsidP="00FA0DE6">
      <w:pPr>
        <w:pStyle w:val="ListParagraph"/>
        <w:numPr>
          <w:ilvl w:val="0"/>
          <w:numId w:val="19"/>
        </w:numPr>
        <w:rPr>
          <w:szCs w:val="22"/>
        </w:rPr>
      </w:pPr>
      <w:r w:rsidRPr="00EB6EFC">
        <w:rPr>
          <w:szCs w:val="22"/>
        </w:rPr>
        <w:t xml:space="preserve">the </w:t>
      </w:r>
      <w:r w:rsidR="006505A5">
        <w:rPr>
          <w:noProof/>
          <w:color w:val="000000"/>
          <w:szCs w:val="22"/>
          <w:highlight w:val="black"/>
        </w:rPr>
        <w:t>''''''</w:t>
      </w:r>
      <w:r w:rsidRPr="00EB6EFC">
        <w:rPr>
          <w:szCs w:val="22"/>
        </w:rPr>
        <w:t>% rebate to the price of vismodegib;</w:t>
      </w:r>
    </w:p>
    <w:p w:rsidR="00FB4566" w:rsidRPr="00EB6EFC" w:rsidRDefault="00FB4566">
      <w:pPr>
        <w:pStyle w:val="ListParagraph"/>
        <w:numPr>
          <w:ilvl w:val="0"/>
          <w:numId w:val="19"/>
        </w:numPr>
        <w:rPr>
          <w:szCs w:val="22"/>
        </w:rPr>
      </w:pPr>
      <w:r w:rsidRPr="00EB6EFC">
        <w:rPr>
          <w:szCs w:val="22"/>
        </w:rPr>
        <w:t xml:space="preserve">current PBS dispensing fees and mark-ups and </w:t>
      </w:r>
      <w:r w:rsidR="00CD615C">
        <w:rPr>
          <w:szCs w:val="18"/>
        </w:rPr>
        <w:t xml:space="preserve">Australian Refined </w:t>
      </w:r>
      <w:r w:rsidR="00861519" w:rsidRPr="00EB6EFC">
        <w:rPr>
          <w:szCs w:val="18"/>
        </w:rPr>
        <w:t>Diagnosis Related Groups</w:t>
      </w:r>
      <w:r w:rsidRPr="00EB6EFC">
        <w:rPr>
          <w:szCs w:val="22"/>
        </w:rPr>
        <w:t xml:space="preserve"> data (see Table 5);</w:t>
      </w:r>
    </w:p>
    <w:p w:rsidR="00423079" w:rsidRPr="00423079" w:rsidRDefault="00FB4566" w:rsidP="00423079">
      <w:pPr>
        <w:pStyle w:val="ListParagraph"/>
        <w:numPr>
          <w:ilvl w:val="0"/>
          <w:numId w:val="19"/>
        </w:numPr>
        <w:rPr>
          <w:szCs w:val="22"/>
        </w:rPr>
      </w:pPr>
      <w:r w:rsidRPr="00EB6EFC">
        <w:rPr>
          <w:szCs w:val="22"/>
        </w:rPr>
        <w:t xml:space="preserve">current PBS patient co-payments based on the updated proportion of general, concessional and safety net patients who received memantine for Alzheimer disease from </w:t>
      </w:r>
      <w:r w:rsidR="00A820EB" w:rsidRPr="00EB6EFC">
        <w:rPr>
          <w:szCs w:val="22"/>
        </w:rPr>
        <w:t>July</w:t>
      </w:r>
      <w:r w:rsidR="00E632A3">
        <w:rPr>
          <w:szCs w:val="22"/>
        </w:rPr>
        <w:t xml:space="preserve"> 2014 to June 2016.</w:t>
      </w:r>
    </w:p>
    <w:p w:rsidR="004370E7" w:rsidRDefault="004370E7" w:rsidP="00FB4566">
      <w:pPr>
        <w:ind w:left="720"/>
        <w:rPr>
          <w:rFonts w:cs="Arial"/>
          <w:szCs w:val="22"/>
        </w:rPr>
      </w:pPr>
    </w:p>
    <w:p w:rsidR="00FB4566" w:rsidRPr="00176FFA" w:rsidRDefault="00A02F69" w:rsidP="00FB4566">
      <w:pPr>
        <w:ind w:left="720"/>
        <w:rPr>
          <w:rFonts w:cs="Arial"/>
          <w:szCs w:val="22"/>
        </w:rPr>
      </w:pPr>
      <w:r w:rsidRPr="00176FFA">
        <w:rPr>
          <w:rFonts w:cs="Arial"/>
          <w:szCs w:val="22"/>
        </w:rPr>
        <w:t xml:space="preserve">Note that the number of patients treated and </w:t>
      </w:r>
      <w:r w:rsidR="00DB5F3D" w:rsidRPr="00176FFA">
        <w:rPr>
          <w:rFonts w:cs="Arial"/>
          <w:szCs w:val="22"/>
        </w:rPr>
        <w:t xml:space="preserve">the total number of </w:t>
      </w:r>
      <w:r w:rsidRPr="00176FFA">
        <w:rPr>
          <w:rFonts w:cs="Arial"/>
          <w:szCs w:val="22"/>
        </w:rPr>
        <w:t>scripts were unchanged.</w:t>
      </w:r>
    </w:p>
    <w:p w:rsidR="00761ED3" w:rsidRPr="00EB6EFC" w:rsidRDefault="00761ED3" w:rsidP="00761ED3">
      <w:pPr>
        <w:rPr>
          <w:rFonts w:cs="Arial"/>
          <w:i/>
          <w:szCs w:val="22"/>
        </w:rPr>
      </w:pPr>
    </w:p>
    <w:p w:rsidR="00761ED3" w:rsidRPr="00EB6EFC" w:rsidRDefault="00761ED3" w:rsidP="00761ED3">
      <w:pPr>
        <w:pStyle w:val="ListParagraph"/>
        <w:widowControl/>
        <w:numPr>
          <w:ilvl w:val="1"/>
          <w:numId w:val="5"/>
        </w:numPr>
        <w:rPr>
          <w:szCs w:val="22"/>
        </w:rPr>
      </w:pPr>
      <w:r w:rsidRPr="00EB6EFC">
        <w:rPr>
          <w:szCs w:val="22"/>
        </w:rPr>
        <w:t xml:space="preserve">The estimated net cost to the PBS, RPBS and MBS </w:t>
      </w:r>
      <w:r w:rsidR="00D30B20">
        <w:rPr>
          <w:szCs w:val="22"/>
        </w:rPr>
        <w:t>a</w:t>
      </w:r>
      <w:r w:rsidR="002C5BF9" w:rsidRPr="00EB6EFC">
        <w:rPr>
          <w:szCs w:val="22"/>
        </w:rPr>
        <w:t xml:space="preserve">re </w:t>
      </w:r>
      <w:r w:rsidRPr="00EB6EFC">
        <w:rPr>
          <w:szCs w:val="22"/>
        </w:rPr>
        <w:t>summarised in Table 8.</w:t>
      </w:r>
    </w:p>
    <w:p w:rsidR="00473315" w:rsidRPr="00EB6EFC" w:rsidRDefault="00473315" w:rsidP="00C00DA7">
      <w:pPr>
        <w:pStyle w:val="ListParagraph"/>
        <w:ind w:left="709"/>
        <w:rPr>
          <w:szCs w:val="22"/>
        </w:rPr>
      </w:pPr>
    </w:p>
    <w:p w:rsidR="00473315" w:rsidRPr="00EB6EFC" w:rsidRDefault="00473315" w:rsidP="00610E56">
      <w:pPr>
        <w:keepNext/>
        <w:keepLines/>
        <w:ind w:firstLine="720"/>
        <w:rPr>
          <w:rFonts w:ascii="Arial Narrow" w:hAnsi="Arial Narrow" w:cs="Arial"/>
          <w:b/>
          <w:snapToGrid w:val="0"/>
          <w:sz w:val="20"/>
          <w:szCs w:val="22"/>
          <w:lang w:eastAsia="en-US"/>
        </w:rPr>
      </w:pPr>
      <w:r w:rsidRPr="00EB6EFC">
        <w:rPr>
          <w:rFonts w:ascii="Arial Narrow" w:hAnsi="Arial Narrow" w:cs="Arial"/>
          <w:b/>
          <w:snapToGrid w:val="0"/>
          <w:sz w:val="20"/>
          <w:szCs w:val="22"/>
          <w:lang w:eastAsia="en-US"/>
        </w:rPr>
        <w:t>Table 8: Estimated PBS usage &amp;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34"/>
        <w:gridCol w:w="984"/>
        <w:gridCol w:w="934"/>
        <w:gridCol w:w="871"/>
        <w:gridCol w:w="1057"/>
        <w:gridCol w:w="965"/>
      </w:tblGrid>
      <w:tr w:rsidR="00CE4F25" w:rsidRPr="00EB6EFC" w:rsidTr="00CE4F25">
        <w:trPr>
          <w:tblHeader/>
        </w:trPr>
        <w:tc>
          <w:tcPr>
            <w:tcW w:w="2123" w:type="pct"/>
            <w:shd w:val="clear" w:color="auto" w:fill="auto"/>
            <w:vAlign w:val="center"/>
          </w:tcPr>
          <w:p w:rsidR="00473315" w:rsidRPr="00EB6EFC" w:rsidRDefault="00473315" w:rsidP="00610E56">
            <w:pPr>
              <w:keepNext/>
              <w:keepLines/>
              <w:tabs>
                <w:tab w:val="left" w:pos="142"/>
              </w:tabs>
              <w:rPr>
                <w:rFonts w:ascii="Arial Narrow" w:hAnsi="Arial Narrow" w:cs="Arial"/>
                <w:b/>
                <w:snapToGrid w:val="0"/>
                <w:sz w:val="20"/>
                <w:szCs w:val="20"/>
                <w:lang w:eastAsia="en-US"/>
              </w:rPr>
            </w:pPr>
          </w:p>
        </w:tc>
        <w:tc>
          <w:tcPr>
            <w:tcW w:w="594" w:type="pct"/>
            <w:shd w:val="clear" w:color="auto" w:fill="auto"/>
            <w:vAlign w:val="center"/>
          </w:tcPr>
          <w:p w:rsidR="00473315" w:rsidRPr="00EB6EFC" w:rsidRDefault="00473315" w:rsidP="00610E56">
            <w:pPr>
              <w:keepNext/>
              <w:keepLines/>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Year 1</w:t>
            </w:r>
          </w:p>
        </w:tc>
        <w:tc>
          <w:tcPr>
            <w:tcW w:w="537" w:type="pct"/>
            <w:shd w:val="clear" w:color="auto" w:fill="auto"/>
            <w:vAlign w:val="center"/>
          </w:tcPr>
          <w:p w:rsidR="00473315" w:rsidRPr="00EB6EFC" w:rsidRDefault="00473315" w:rsidP="00610E56">
            <w:pPr>
              <w:keepNext/>
              <w:keepLines/>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Year 2</w:t>
            </w:r>
          </w:p>
        </w:tc>
        <w:tc>
          <w:tcPr>
            <w:tcW w:w="525" w:type="pct"/>
            <w:shd w:val="clear" w:color="auto" w:fill="auto"/>
            <w:vAlign w:val="center"/>
          </w:tcPr>
          <w:p w:rsidR="00473315" w:rsidRPr="00EB6EFC" w:rsidRDefault="00473315" w:rsidP="00610E56">
            <w:pPr>
              <w:keepNext/>
              <w:keepLines/>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Year 3</w:t>
            </w:r>
          </w:p>
        </w:tc>
        <w:tc>
          <w:tcPr>
            <w:tcW w:w="639" w:type="pct"/>
            <w:shd w:val="clear" w:color="auto" w:fill="auto"/>
            <w:vAlign w:val="center"/>
          </w:tcPr>
          <w:p w:rsidR="00473315" w:rsidRPr="00EB6EFC" w:rsidRDefault="00473315" w:rsidP="00610E56">
            <w:pPr>
              <w:keepNext/>
              <w:keepLines/>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Year 4</w:t>
            </w:r>
          </w:p>
        </w:tc>
        <w:tc>
          <w:tcPr>
            <w:tcW w:w="581" w:type="pct"/>
            <w:shd w:val="clear" w:color="auto" w:fill="auto"/>
            <w:vAlign w:val="center"/>
          </w:tcPr>
          <w:p w:rsidR="00473315" w:rsidRPr="00EB6EFC" w:rsidRDefault="00473315" w:rsidP="00610E56">
            <w:pPr>
              <w:keepNext/>
              <w:keepLines/>
              <w:jc w:val="center"/>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Year 5</w:t>
            </w:r>
          </w:p>
        </w:tc>
      </w:tr>
      <w:tr w:rsidR="00473315" w:rsidRPr="00EB6EFC" w:rsidTr="00473315">
        <w:tc>
          <w:tcPr>
            <w:tcW w:w="5000" w:type="pct"/>
            <w:gridSpan w:val="6"/>
            <w:shd w:val="clear" w:color="auto" w:fill="auto"/>
            <w:vAlign w:val="center"/>
          </w:tcPr>
          <w:p w:rsidR="00473315" w:rsidRPr="00EB6EFC" w:rsidRDefault="00473315" w:rsidP="00A02F69">
            <w:pPr>
              <w:keepNext/>
              <w:keepLines/>
              <w:rPr>
                <w:rFonts w:ascii="Arial Narrow" w:hAnsi="Arial Narrow" w:cs="Arial"/>
                <w:b/>
                <w:bCs/>
                <w:snapToGrid w:val="0"/>
                <w:sz w:val="20"/>
                <w:szCs w:val="20"/>
                <w:lang w:eastAsia="en-US"/>
              </w:rPr>
            </w:pPr>
            <w:r w:rsidRPr="00EB6EFC">
              <w:rPr>
                <w:rFonts w:ascii="Arial Narrow" w:hAnsi="Arial Narrow" w:cs="Arial"/>
                <w:b/>
                <w:bCs/>
                <w:snapToGrid w:val="0"/>
                <w:sz w:val="20"/>
                <w:szCs w:val="20"/>
                <w:lang w:eastAsia="en-US"/>
              </w:rPr>
              <w:t>Estimated extent of use</w:t>
            </w:r>
          </w:p>
        </w:tc>
      </w:tr>
      <w:tr w:rsidR="00CE4F25" w:rsidRPr="00EB6EFC" w:rsidTr="00CE4F25">
        <w:tc>
          <w:tcPr>
            <w:tcW w:w="2123" w:type="pct"/>
            <w:shd w:val="clear" w:color="auto" w:fill="auto"/>
            <w:vAlign w:val="center"/>
          </w:tcPr>
          <w:p w:rsidR="00473315" w:rsidRPr="00EB6EFC" w:rsidRDefault="00473315" w:rsidP="00610E56">
            <w:pPr>
              <w:keepNext/>
              <w:keepLines/>
              <w:tabs>
                <w:tab w:val="left" w:pos="142"/>
              </w:tabs>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Number treated</w:t>
            </w:r>
          </w:p>
        </w:tc>
        <w:tc>
          <w:tcPr>
            <w:tcW w:w="594" w:type="pct"/>
            <w:shd w:val="clear" w:color="auto" w:fill="auto"/>
            <w:vAlign w:val="bottom"/>
          </w:tcPr>
          <w:p w:rsidR="00473315" w:rsidRPr="006505A5" w:rsidRDefault="006505A5" w:rsidP="00610E56">
            <w:pPr>
              <w:keepNext/>
              <w:keepLine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537" w:type="pct"/>
            <w:shd w:val="clear" w:color="auto" w:fill="auto"/>
            <w:vAlign w:val="bottom"/>
          </w:tcPr>
          <w:p w:rsidR="00473315" w:rsidRPr="006505A5" w:rsidRDefault="006505A5" w:rsidP="00610E56">
            <w:pPr>
              <w:keepNext/>
              <w:keepLine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525" w:type="pct"/>
            <w:shd w:val="clear" w:color="auto" w:fill="auto"/>
            <w:vAlign w:val="bottom"/>
          </w:tcPr>
          <w:p w:rsidR="00473315" w:rsidRPr="006505A5" w:rsidRDefault="006505A5" w:rsidP="00610E56">
            <w:pPr>
              <w:keepNext/>
              <w:keepLine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639" w:type="pct"/>
            <w:shd w:val="clear" w:color="auto" w:fill="auto"/>
            <w:vAlign w:val="bottom"/>
          </w:tcPr>
          <w:p w:rsidR="00473315" w:rsidRPr="006505A5" w:rsidRDefault="006505A5" w:rsidP="00610E56">
            <w:pPr>
              <w:keepNext/>
              <w:keepLine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581" w:type="pct"/>
            <w:shd w:val="clear" w:color="auto" w:fill="auto"/>
            <w:vAlign w:val="bottom"/>
          </w:tcPr>
          <w:p w:rsidR="00473315" w:rsidRPr="006505A5" w:rsidRDefault="006505A5" w:rsidP="00610E56">
            <w:pPr>
              <w:keepNext/>
              <w:keepLines/>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CE4F25" w:rsidRPr="00EB6EFC" w:rsidTr="00CE4F25">
        <w:tc>
          <w:tcPr>
            <w:tcW w:w="2123" w:type="pct"/>
            <w:shd w:val="clear" w:color="auto" w:fill="auto"/>
            <w:vAlign w:val="center"/>
          </w:tcPr>
          <w:p w:rsidR="00473315" w:rsidRPr="00EB6EFC" w:rsidRDefault="00473315" w:rsidP="00610E56">
            <w:pPr>
              <w:keepNext/>
              <w:keepLines/>
              <w:tabs>
                <w:tab w:val="left" w:pos="142"/>
              </w:tabs>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Scripts</w:t>
            </w:r>
            <w:r w:rsidR="004516D4" w:rsidRPr="00EB6EFC">
              <w:rPr>
                <w:rFonts w:ascii="Arial Narrow" w:hAnsi="Arial Narrow" w:cs="Arial"/>
                <w:snapToGrid w:val="0"/>
                <w:sz w:val="20"/>
                <w:szCs w:val="20"/>
                <w:lang w:eastAsia="en-US"/>
              </w:rPr>
              <w:t xml:space="preserve"> </w:t>
            </w:r>
            <w:r w:rsidRPr="00EB6EFC">
              <w:rPr>
                <w:rFonts w:ascii="Arial Narrow" w:hAnsi="Arial Narrow" w:cs="Arial"/>
                <w:snapToGrid w:val="0"/>
                <w:sz w:val="20"/>
                <w:szCs w:val="20"/>
                <w:vertAlign w:val="superscript"/>
                <w:lang w:eastAsia="en-US"/>
              </w:rPr>
              <w:t>a</w:t>
            </w:r>
          </w:p>
        </w:tc>
        <w:tc>
          <w:tcPr>
            <w:tcW w:w="594" w:type="pct"/>
            <w:shd w:val="clear" w:color="auto" w:fill="auto"/>
            <w:vAlign w:val="center"/>
          </w:tcPr>
          <w:p w:rsidR="00473315" w:rsidRPr="006505A5" w:rsidRDefault="006505A5" w:rsidP="00610E56">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37" w:type="pct"/>
            <w:shd w:val="clear" w:color="auto" w:fill="auto"/>
            <w:vAlign w:val="center"/>
          </w:tcPr>
          <w:p w:rsidR="00473315" w:rsidRPr="006505A5" w:rsidRDefault="006505A5" w:rsidP="00610E56">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25" w:type="pct"/>
            <w:shd w:val="clear" w:color="auto" w:fill="auto"/>
            <w:vAlign w:val="center"/>
          </w:tcPr>
          <w:p w:rsidR="00473315" w:rsidRPr="006505A5" w:rsidRDefault="006505A5" w:rsidP="00610E56">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473315" w:rsidRPr="006505A5" w:rsidRDefault="006505A5" w:rsidP="00610E56">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81" w:type="pct"/>
            <w:shd w:val="clear" w:color="auto" w:fill="auto"/>
            <w:vAlign w:val="center"/>
          </w:tcPr>
          <w:p w:rsidR="00473315" w:rsidRPr="006505A5" w:rsidRDefault="006505A5" w:rsidP="00610E56">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73315" w:rsidRPr="00EB6EFC" w:rsidTr="00473315">
        <w:tc>
          <w:tcPr>
            <w:tcW w:w="5000" w:type="pct"/>
            <w:gridSpan w:val="6"/>
            <w:shd w:val="clear" w:color="auto" w:fill="auto"/>
            <w:vAlign w:val="center"/>
          </w:tcPr>
          <w:p w:rsidR="00473315" w:rsidRPr="00EB6EFC" w:rsidRDefault="00473315" w:rsidP="00610E56">
            <w:pPr>
              <w:keepNext/>
              <w:keepLines/>
              <w:rPr>
                <w:rFonts w:ascii="Arial Narrow" w:hAnsi="Arial Narrow" w:cs="Arial"/>
                <w:b/>
                <w:bCs/>
                <w:snapToGrid w:val="0"/>
                <w:sz w:val="20"/>
                <w:szCs w:val="20"/>
                <w:lang w:eastAsia="en-US"/>
              </w:rPr>
            </w:pPr>
            <w:r w:rsidRPr="00EB6EFC">
              <w:rPr>
                <w:rFonts w:ascii="Arial Narrow" w:hAnsi="Arial Narrow" w:cs="Arial"/>
                <w:b/>
                <w:bCs/>
                <w:snapToGrid w:val="0"/>
                <w:sz w:val="20"/>
                <w:szCs w:val="20"/>
                <w:lang w:eastAsia="en-US"/>
              </w:rPr>
              <w:t>Estimated net cost to PBS/RPBS/MBS - without episode of care cap</w:t>
            </w:r>
          </w:p>
        </w:tc>
      </w:tr>
      <w:tr w:rsidR="00CE4F25" w:rsidRPr="00EB6EFC" w:rsidTr="00CE4F25">
        <w:tc>
          <w:tcPr>
            <w:tcW w:w="2123" w:type="pct"/>
            <w:shd w:val="clear" w:color="auto" w:fill="auto"/>
            <w:vAlign w:val="center"/>
          </w:tcPr>
          <w:p w:rsidR="00473315" w:rsidRPr="00EB6EFC" w:rsidRDefault="00473315" w:rsidP="00610E56">
            <w:pPr>
              <w:keepNext/>
              <w:keepLines/>
              <w:tabs>
                <w:tab w:val="left" w:pos="142"/>
              </w:tabs>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Net cost to PBS/RPBS</w:t>
            </w:r>
          </w:p>
        </w:tc>
        <w:tc>
          <w:tcPr>
            <w:tcW w:w="594"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c>
          <w:tcPr>
            <w:tcW w:w="537"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c>
          <w:tcPr>
            <w:tcW w:w="525"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c>
          <w:tcPr>
            <w:tcW w:w="639"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c>
          <w:tcPr>
            <w:tcW w:w="581"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r>
      <w:tr w:rsidR="00CE4F25" w:rsidRPr="00EB6EFC" w:rsidTr="00CE4F25">
        <w:tc>
          <w:tcPr>
            <w:tcW w:w="2123" w:type="pct"/>
            <w:shd w:val="clear" w:color="auto" w:fill="auto"/>
            <w:vAlign w:val="center"/>
          </w:tcPr>
          <w:p w:rsidR="00473315" w:rsidRPr="00EB6EFC" w:rsidRDefault="00473315" w:rsidP="00610E56">
            <w:pPr>
              <w:keepNext/>
              <w:keepLines/>
              <w:tabs>
                <w:tab w:val="left" w:pos="142"/>
              </w:tabs>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Net cost to MBS</w:t>
            </w:r>
          </w:p>
        </w:tc>
        <w:tc>
          <w:tcPr>
            <w:tcW w:w="594"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c>
          <w:tcPr>
            <w:tcW w:w="537"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c>
          <w:tcPr>
            <w:tcW w:w="525"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c>
          <w:tcPr>
            <w:tcW w:w="639"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c>
          <w:tcPr>
            <w:tcW w:w="581" w:type="pct"/>
            <w:shd w:val="clear" w:color="auto" w:fill="auto"/>
            <w:vAlign w:val="center"/>
          </w:tcPr>
          <w:p w:rsidR="00473315" w:rsidRPr="00EB6EFC" w:rsidRDefault="00473315" w:rsidP="00610E56">
            <w:pPr>
              <w:keepNext/>
              <w:keepLines/>
              <w:jc w:val="right"/>
              <w:rPr>
                <w:rFonts w:ascii="Arial Narrow" w:hAnsi="Arial Narrow" w:cs="Arial"/>
                <w:bCs/>
                <w:sz w:val="20"/>
                <w:szCs w:val="20"/>
              </w:rPr>
            </w:pPr>
            <w:r w:rsidRPr="00EB6EFC">
              <w:rPr>
                <w:rFonts w:ascii="Arial Narrow" w:hAnsi="Arial Narrow" w:cs="Arial"/>
                <w:bCs/>
                <w:sz w:val="20"/>
                <w:szCs w:val="20"/>
              </w:rPr>
              <w:t>$</w:t>
            </w:r>
            <w:r w:rsidR="006505A5">
              <w:rPr>
                <w:rFonts w:ascii="Arial Narrow" w:hAnsi="Arial Narrow" w:cs="Arial"/>
                <w:bCs/>
                <w:noProof/>
                <w:color w:val="000000"/>
                <w:sz w:val="20"/>
                <w:szCs w:val="20"/>
                <w:highlight w:val="black"/>
              </w:rPr>
              <w:t>''''''''''''''''''</w:t>
            </w:r>
          </w:p>
        </w:tc>
      </w:tr>
      <w:tr w:rsidR="00473315" w:rsidRPr="00EB6EFC" w:rsidTr="00473315">
        <w:tc>
          <w:tcPr>
            <w:tcW w:w="5000" w:type="pct"/>
            <w:gridSpan w:val="6"/>
            <w:shd w:val="clear" w:color="auto" w:fill="auto"/>
            <w:vAlign w:val="center"/>
          </w:tcPr>
          <w:p w:rsidR="00473315" w:rsidRPr="00EB6EFC" w:rsidRDefault="00473315" w:rsidP="00610E56">
            <w:pPr>
              <w:keepNext/>
              <w:keepLines/>
              <w:rPr>
                <w:rFonts w:ascii="Arial Narrow" w:hAnsi="Arial Narrow" w:cs="Arial"/>
                <w:b/>
                <w:snapToGrid w:val="0"/>
                <w:sz w:val="20"/>
                <w:szCs w:val="20"/>
                <w:lang w:eastAsia="en-US"/>
              </w:rPr>
            </w:pPr>
            <w:r w:rsidRPr="00EB6EFC">
              <w:rPr>
                <w:rFonts w:ascii="Arial Narrow" w:hAnsi="Arial Narrow" w:cs="Arial"/>
                <w:b/>
                <w:snapToGrid w:val="0"/>
                <w:sz w:val="20"/>
                <w:szCs w:val="20"/>
                <w:lang w:eastAsia="en-US"/>
              </w:rPr>
              <w:t xml:space="preserve">Estimated total net cost - without </w:t>
            </w:r>
            <w:r w:rsidRPr="00EB6EFC">
              <w:rPr>
                <w:rFonts w:ascii="Arial Narrow" w:hAnsi="Arial Narrow" w:cs="Arial"/>
                <w:b/>
                <w:bCs/>
                <w:snapToGrid w:val="0"/>
                <w:sz w:val="20"/>
                <w:szCs w:val="20"/>
                <w:lang w:eastAsia="en-US"/>
              </w:rPr>
              <w:t>episode of care</w:t>
            </w:r>
            <w:r w:rsidRPr="00EB6EFC">
              <w:rPr>
                <w:rFonts w:ascii="Arial Narrow" w:hAnsi="Arial Narrow" w:cs="Arial"/>
                <w:b/>
                <w:snapToGrid w:val="0"/>
                <w:sz w:val="20"/>
                <w:szCs w:val="20"/>
                <w:lang w:eastAsia="en-US"/>
              </w:rPr>
              <w:t xml:space="preserve"> cap</w:t>
            </w:r>
          </w:p>
        </w:tc>
      </w:tr>
      <w:tr w:rsidR="00CE4F25" w:rsidRPr="00EB6EFC" w:rsidTr="00CE4F25">
        <w:tc>
          <w:tcPr>
            <w:tcW w:w="2123" w:type="pct"/>
            <w:shd w:val="clear" w:color="auto" w:fill="auto"/>
            <w:vAlign w:val="center"/>
          </w:tcPr>
          <w:p w:rsidR="00473315" w:rsidRPr="00EB6EFC" w:rsidRDefault="00473315" w:rsidP="00610E56">
            <w:pPr>
              <w:keepNext/>
              <w:keepLines/>
              <w:tabs>
                <w:tab w:val="left" w:pos="142"/>
              </w:tabs>
              <w:rPr>
                <w:rFonts w:ascii="Arial Narrow" w:hAnsi="Arial Narrow" w:cs="Arial"/>
                <w:snapToGrid w:val="0"/>
                <w:sz w:val="20"/>
                <w:szCs w:val="20"/>
                <w:lang w:eastAsia="en-US"/>
              </w:rPr>
            </w:pPr>
            <w:r w:rsidRPr="00EB6EFC">
              <w:rPr>
                <w:rFonts w:ascii="Arial Narrow" w:hAnsi="Arial Narrow" w:cs="Arial"/>
                <w:bCs/>
                <w:snapToGrid w:val="0"/>
                <w:sz w:val="20"/>
                <w:szCs w:val="20"/>
                <w:lang w:eastAsia="en-US"/>
              </w:rPr>
              <w:t>Net cost to PBS/RPBS/MBS</w:t>
            </w:r>
            <w:r w:rsidR="00CE4F25" w:rsidRPr="00EB6EFC">
              <w:rPr>
                <w:rFonts w:ascii="Arial Narrow" w:hAnsi="Arial Narrow" w:cs="Arial"/>
                <w:bCs/>
                <w:snapToGrid w:val="0"/>
                <w:sz w:val="20"/>
                <w:szCs w:val="20"/>
                <w:lang w:eastAsia="en-US"/>
              </w:rPr>
              <w:t xml:space="preserve"> - </w:t>
            </w:r>
            <w:r w:rsidR="00993564">
              <w:rPr>
                <w:rFonts w:ascii="Arial Narrow" w:hAnsi="Arial Narrow" w:cs="Arial"/>
                <w:bCs/>
                <w:snapToGrid w:val="0"/>
                <w:sz w:val="20"/>
                <w:szCs w:val="20"/>
                <w:lang w:eastAsia="en-US"/>
              </w:rPr>
              <w:t>resubmission</w:t>
            </w:r>
            <w:r w:rsidR="00CE4F25" w:rsidRPr="00EB6EFC">
              <w:rPr>
                <w:rFonts w:ascii="Arial Narrow" w:hAnsi="Arial Narrow" w:cs="Arial"/>
                <w:bCs/>
                <w:snapToGrid w:val="0"/>
                <w:sz w:val="20"/>
                <w:szCs w:val="20"/>
                <w:lang w:eastAsia="en-US"/>
              </w:rPr>
              <w:t xml:space="preserve"> </w:t>
            </w:r>
          </w:p>
        </w:tc>
        <w:tc>
          <w:tcPr>
            <w:tcW w:w="594"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c>
          <w:tcPr>
            <w:tcW w:w="537"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c>
          <w:tcPr>
            <w:tcW w:w="525"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c>
          <w:tcPr>
            <w:tcW w:w="639"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c>
          <w:tcPr>
            <w:tcW w:w="581"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r>
      <w:tr w:rsidR="00554747" w:rsidRPr="00EB6EFC" w:rsidTr="00CE4F25">
        <w:tc>
          <w:tcPr>
            <w:tcW w:w="2123" w:type="pct"/>
            <w:shd w:val="clear" w:color="auto" w:fill="auto"/>
            <w:vAlign w:val="center"/>
          </w:tcPr>
          <w:p w:rsidR="00554747" w:rsidRPr="00EB6EFC" w:rsidRDefault="00554747" w:rsidP="00610E56">
            <w:pPr>
              <w:keepNext/>
              <w:keepLines/>
              <w:tabs>
                <w:tab w:val="left" w:pos="142"/>
              </w:tabs>
              <w:rPr>
                <w:rFonts w:ascii="Arial Narrow" w:hAnsi="Arial Narrow" w:cs="Arial"/>
                <w:bCs/>
                <w:snapToGrid w:val="0"/>
                <w:sz w:val="20"/>
                <w:szCs w:val="20"/>
                <w:lang w:eastAsia="en-US"/>
              </w:rPr>
            </w:pPr>
            <w:r w:rsidRPr="00EB6EFC">
              <w:rPr>
                <w:rFonts w:ascii="Arial Narrow" w:hAnsi="Arial Narrow" w:cs="Arial"/>
                <w:snapToGrid w:val="0"/>
                <w:sz w:val="20"/>
                <w:szCs w:val="20"/>
                <w:lang w:eastAsia="en-US"/>
              </w:rPr>
              <w:t>Net cost to PBS/RPBS/MBS - March 2016</w:t>
            </w:r>
          </w:p>
        </w:tc>
        <w:tc>
          <w:tcPr>
            <w:tcW w:w="594"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c>
          <w:tcPr>
            <w:tcW w:w="537"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c>
          <w:tcPr>
            <w:tcW w:w="525"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c>
          <w:tcPr>
            <w:tcW w:w="639"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c>
          <w:tcPr>
            <w:tcW w:w="581"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r>
      <w:tr w:rsidR="00473315" w:rsidRPr="00EB6EFC" w:rsidTr="00473315">
        <w:tc>
          <w:tcPr>
            <w:tcW w:w="5000" w:type="pct"/>
            <w:gridSpan w:val="6"/>
            <w:shd w:val="clear" w:color="auto" w:fill="auto"/>
            <w:vAlign w:val="center"/>
          </w:tcPr>
          <w:p w:rsidR="00473315" w:rsidRPr="00EB6EFC" w:rsidRDefault="00473315" w:rsidP="00610E56">
            <w:pPr>
              <w:keepNext/>
              <w:keepLines/>
              <w:rPr>
                <w:rFonts w:ascii="Arial Narrow" w:hAnsi="Arial Narrow" w:cs="Arial"/>
                <w:b/>
                <w:bCs/>
                <w:snapToGrid w:val="0"/>
                <w:sz w:val="20"/>
                <w:szCs w:val="20"/>
                <w:lang w:eastAsia="en-US"/>
              </w:rPr>
            </w:pPr>
            <w:r w:rsidRPr="00EB6EFC">
              <w:rPr>
                <w:rFonts w:ascii="Arial Narrow" w:hAnsi="Arial Narrow" w:cs="Arial"/>
                <w:b/>
                <w:bCs/>
                <w:snapToGrid w:val="0"/>
                <w:sz w:val="20"/>
                <w:szCs w:val="20"/>
                <w:lang w:eastAsia="en-US"/>
              </w:rPr>
              <w:t xml:space="preserve">Changes with an episode of care cap of </w:t>
            </w:r>
            <w:r w:rsidR="006505A5">
              <w:rPr>
                <w:rFonts w:ascii="Arial Narrow" w:hAnsi="Arial Narrow" w:cs="Arial"/>
                <w:b/>
                <w:bCs/>
                <w:noProof/>
                <w:snapToGrid w:val="0"/>
                <w:color w:val="000000"/>
                <w:sz w:val="20"/>
                <w:szCs w:val="20"/>
                <w:highlight w:val="black"/>
                <w:lang w:eastAsia="en-US"/>
              </w:rPr>
              <w:t>'''</w:t>
            </w:r>
            <w:r w:rsidRPr="00EB6EFC">
              <w:rPr>
                <w:rFonts w:ascii="Arial Narrow" w:hAnsi="Arial Narrow" w:cs="Arial"/>
                <w:b/>
                <w:bCs/>
                <w:snapToGrid w:val="0"/>
                <w:sz w:val="20"/>
                <w:szCs w:val="20"/>
                <w:lang w:eastAsia="en-US"/>
              </w:rPr>
              <w:t xml:space="preserve"> packs</w:t>
            </w:r>
            <w:r w:rsidR="007354E3" w:rsidRPr="00EB6EFC">
              <w:rPr>
                <w:rFonts w:ascii="Arial Narrow" w:hAnsi="Arial Narrow" w:cs="Arial"/>
                <w:b/>
                <w:bCs/>
                <w:snapToGrid w:val="0"/>
                <w:sz w:val="20"/>
                <w:szCs w:val="20"/>
                <w:lang w:eastAsia="en-US"/>
              </w:rPr>
              <w:t xml:space="preserve"> per patient</w:t>
            </w:r>
          </w:p>
        </w:tc>
      </w:tr>
      <w:tr w:rsidR="00CE4F25" w:rsidRPr="00EB6EFC" w:rsidTr="00CE4F25">
        <w:tc>
          <w:tcPr>
            <w:tcW w:w="2123" w:type="pct"/>
            <w:shd w:val="clear" w:color="auto" w:fill="auto"/>
            <w:vAlign w:val="center"/>
          </w:tcPr>
          <w:p w:rsidR="00473315" w:rsidRPr="00EB6EFC" w:rsidRDefault="00473315" w:rsidP="00610E56">
            <w:pPr>
              <w:keepNext/>
              <w:keepLines/>
              <w:tabs>
                <w:tab w:val="left" w:pos="142"/>
              </w:tabs>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 xml:space="preserve">Scripts paid for by PBS/RPBS </w:t>
            </w:r>
          </w:p>
        </w:tc>
        <w:tc>
          <w:tcPr>
            <w:tcW w:w="594" w:type="pct"/>
            <w:shd w:val="clear" w:color="auto" w:fill="auto"/>
            <w:vAlign w:val="center"/>
          </w:tcPr>
          <w:p w:rsidR="00473315" w:rsidRPr="006505A5" w:rsidRDefault="006505A5" w:rsidP="00610E56">
            <w:pPr>
              <w:keepNext/>
              <w:keepLines/>
              <w:jc w:val="center"/>
              <w:rPr>
                <w:rFonts w:ascii="Arial Narrow" w:hAnsi="Arial Narrow" w:cs="Arial"/>
                <w:iCs/>
                <w:snapToGrid w:val="0"/>
                <w:sz w:val="20"/>
                <w:szCs w:val="20"/>
                <w:highlight w:val="black"/>
                <w:lang w:eastAsia="en-US"/>
              </w:rPr>
            </w:pPr>
            <w:r>
              <w:rPr>
                <w:rFonts w:ascii="Arial Narrow" w:hAnsi="Arial Narrow" w:cs="Arial"/>
                <w:iCs/>
                <w:noProof/>
                <w:snapToGrid w:val="0"/>
                <w:color w:val="000000"/>
                <w:sz w:val="20"/>
                <w:szCs w:val="20"/>
                <w:highlight w:val="black"/>
                <w:lang w:eastAsia="en-US"/>
              </w:rPr>
              <w:t>''''''''''</w:t>
            </w:r>
          </w:p>
        </w:tc>
        <w:tc>
          <w:tcPr>
            <w:tcW w:w="537" w:type="pct"/>
            <w:shd w:val="clear" w:color="auto" w:fill="auto"/>
            <w:vAlign w:val="center"/>
          </w:tcPr>
          <w:p w:rsidR="00473315" w:rsidRPr="006505A5" w:rsidRDefault="006505A5" w:rsidP="00610E56">
            <w:pPr>
              <w:keepNext/>
              <w:keepLines/>
              <w:jc w:val="center"/>
              <w:rPr>
                <w:rFonts w:ascii="Arial Narrow" w:hAnsi="Arial Narrow" w:cs="Arial"/>
                <w:iCs/>
                <w:snapToGrid w:val="0"/>
                <w:sz w:val="20"/>
                <w:szCs w:val="20"/>
                <w:highlight w:val="black"/>
                <w:lang w:eastAsia="en-US"/>
              </w:rPr>
            </w:pPr>
            <w:r>
              <w:rPr>
                <w:rFonts w:ascii="Arial Narrow" w:hAnsi="Arial Narrow" w:cs="Arial"/>
                <w:iCs/>
                <w:noProof/>
                <w:snapToGrid w:val="0"/>
                <w:color w:val="000000"/>
                <w:sz w:val="20"/>
                <w:szCs w:val="20"/>
                <w:highlight w:val="black"/>
                <w:lang w:eastAsia="en-US"/>
              </w:rPr>
              <w:t>'''''''''</w:t>
            </w:r>
          </w:p>
        </w:tc>
        <w:tc>
          <w:tcPr>
            <w:tcW w:w="525" w:type="pct"/>
            <w:shd w:val="clear" w:color="auto" w:fill="auto"/>
            <w:vAlign w:val="center"/>
          </w:tcPr>
          <w:p w:rsidR="00473315" w:rsidRPr="006505A5" w:rsidRDefault="006505A5" w:rsidP="00610E56">
            <w:pPr>
              <w:keepNext/>
              <w:keepLines/>
              <w:jc w:val="center"/>
              <w:rPr>
                <w:rFonts w:ascii="Arial Narrow" w:hAnsi="Arial Narrow" w:cs="Arial"/>
                <w:iCs/>
                <w:snapToGrid w:val="0"/>
                <w:sz w:val="20"/>
                <w:szCs w:val="20"/>
                <w:highlight w:val="black"/>
                <w:lang w:eastAsia="en-US"/>
              </w:rPr>
            </w:pPr>
            <w:r>
              <w:rPr>
                <w:rFonts w:ascii="Arial Narrow" w:hAnsi="Arial Narrow" w:cs="Arial"/>
                <w:iCs/>
                <w:noProof/>
                <w:snapToGrid w:val="0"/>
                <w:color w:val="000000"/>
                <w:sz w:val="20"/>
                <w:szCs w:val="20"/>
                <w:highlight w:val="black"/>
                <w:lang w:eastAsia="en-US"/>
              </w:rPr>
              <w:t>''''''''''</w:t>
            </w:r>
          </w:p>
        </w:tc>
        <w:tc>
          <w:tcPr>
            <w:tcW w:w="639" w:type="pct"/>
            <w:shd w:val="clear" w:color="auto" w:fill="auto"/>
            <w:vAlign w:val="center"/>
          </w:tcPr>
          <w:p w:rsidR="00473315" w:rsidRPr="006505A5" w:rsidRDefault="006505A5" w:rsidP="00610E56">
            <w:pPr>
              <w:keepNext/>
              <w:keepLines/>
              <w:jc w:val="center"/>
              <w:rPr>
                <w:rFonts w:ascii="Arial Narrow" w:hAnsi="Arial Narrow" w:cs="Arial"/>
                <w:iCs/>
                <w:snapToGrid w:val="0"/>
                <w:sz w:val="20"/>
                <w:szCs w:val="20"/>
                <w:highlight w:val="black"/>
                <w:lang w:eastAsia="en-US"/>
              </w:rPr>
            </w:pPr>
            <w:r>
              <w:rPr>
                <w:rFonts w:ascii="Arial Narrow" w:hAnsi="Arial Narrow" w:cs="Arial"/>
                <w:iCs/>
                <w:noProof/>
                <w:snapToGrid w:val="0"/>
                <w:color w:val="000000"/>
                <w:sz w:val="20"/>
                <w:szCs w:val="20"/>
                <w:highlight w:val="black"/>
                <w:lang w:eastAsia="en-US"/>
              </w:rPr>
              <w:t>'''''''''</w:t>
            </w:r>
          </w:p>
        </w:tc>
        <w:tc>
          <w:tcPr>
            <w:tcW w:w="581" w:type="pct"/>
            <w:shd w:val="clear" w:color="auto" w:fill="auto"/>
            <w:vAlign w:val="center"/>
          </w:tcPr>
          <w:p w:rsidR="00473315" w:rsidRPr="006505A5" w:rsidRDefault="006505A5" w:rsidP="00610E56">
            <w:pPr>
              <w:keepNext/>
              <w:keepLines/>
              <w:jc w:val="center"/>
              <w:rPr>
                <w:rFonts w:ascii="Arial Narrow" w:hAnsi="Arial Narrow" w:cs="Arial"/>
                <w:iCs/>
                <w:snapToGrid w:val="0"/>
                <w:sz w:val="20"/>
                <w:szCs w:val="20"/>
                <w:highlight w:val="black"/>
                <w:lang w:eastAsia="en-US"/>
              </w:rPr>
            </w:pPr>
            <w:r>
              <w:rPr>
                <w:rFonts w:ascii="Arial Narrow" w:hAnsi="Arial Narrow" w:cs="Arial"/>
                <w:iCs/>
                <w:noProof/>
                <w:snapToGrid w:val="0"/>
                <w:color w:val="000000"/>
                <w:sz w:val="20"/>
                <w:szCs w:val="20"/>
                <w:highlight w:val="black"/>
                <w:lang w:eastAsia="en-US"/>
              </w:rPr>
              <w:t>''''''''''</w:t>
            </w:r>
          </w:p>
        </w:tc>
      </w:tr>
      <w:tr w:rsidR="00CE4F25" w:rsidRPr="00EB6EFC" w:rsidTr="00CE4F25">
        <w:tc>
          <w:tcPr>
            <w:tcW w:w="2123" w:type="pct"/>
            <w:shd w:val="clear" w:color="auto" w:fill="auto"/>
            <w:vAlign w:val="center"/>
          </w:tcPr>
          <w:p w:rsidR="00473315" w:rsidRPr="00EB6EFC" w:rsidRDefault="00473315" w:rsidP="00610E56">
            <w:pPr>
              <w:keepNext/>
              <w:keepLines/>
              <w:tabs>
                <w:tab w:val="left" w:pos="142"/>
              </w:tabs>
              <w:rPr>
                <w:rFonts w:ascii="Arial Narrow" w:hAnsi="Arial Narrow" w:cs="Arial"/>
                <w:snapToGrid w:val="0"/>
                <w:sz w:val="20"/>
                <w:szCs w:val="20"/>
                <w:vertAlign w:val="superscript"/>
                <w:lang w:eastAsia="en-US"/>
              </w:rPr>
            </w:pPr>
            <w:r w:rsidRPr="00EB6EFC">
              <w:rPr>
                <w:rFonts w:ascii="Arial Narrow" w:hAnsi="Arial Narrow" w:cs="Arial"/>
                <w:snapToGrid w:val="0"/>
                <w:sz w:val="20"/>
                <w:szCs w:val="20"/>
                <w:lang w:eastAsia="en-US"/>
              </w:rPr>
              <w:t>Net cost to PBS/RPBS</w:t>
            </w:r>
            <w:r w:rsidR="004516D4" w:rsidRPr="00EB6EFC">
              <w:rPr>
                <w:rFonts w:ascii="Arial Narrow" w:hAnsi="Arial Narrow" w:cs="Arial"/>
                <w:snapToGrid w:val="0"/>
                <w:sz w:val="20"/>
                <w:szCs w:val="20"/>
                <w:lang w:eastAsia="en-US"/>
              </w:rPr>
              <w:t xml:space="preserve"> </w:t>
            </w:r>
            <w:r w:rsidR="004516D4" w:rsidRPr="00EB6EFC">
              <w:rPr>
                <w:rFonts w:ascii="Arial Narrow" w:hAnsi="Arial Narrow" w:cs="Arial"/>
                <w:snapToGrid w:val="0"/>
                <w:sz w:val="20"/>
                <w:szCs w:val="20"/>
                <w:vertAlign w:val="superscript"/>
                <w:lang w:eastAsia="en-US"/>
              </w:rPr>
              <w:t>b</w:t>
            </w:r>
          </w:p>
        </w:tc>
        <w:tc>
          <w:tcPr>
            <w:tcW w:w="594" w:type="pct"/>
            <w:shd w:val="clear" w:color="auto" w:fill="auto"/>
            <w:vAlign w:val="center"/>
          </w:tcPr>
          <w:p w:rsidR="00473315" w:rsidRPr="00EB6EFC" w:rsidRDefault="00473315" w:rsidP="00610E56">
            <w:pPr>
              <w:keepNext/>
              <w:keepLines/>
              <w:jc w:val="right"/>
              <w:rPr>
                <w:rFonts w:ascii="Arial Narrow" w:hAnsi="Arial Narrow" w:cs="Arial"/>
                <w:bCs/>
                <w:iCs/>
                <w:sz w:val="20"/>
                <w:szCs w:val="20"/>
              </w:rPr>
            </w:pPr>
            <w:r w:rsidRPr="00EB6EFC">
              <w:rPr>
                <w:rFonts w:ascii="Arial Narrow" w:hAnsi="Arial Narrow" w:cs="Arial"/>
                <w:bCs/>
                <w:iCs/>
                <w:sz w:val="20"/>
                <w:szCs w:val="20"/>
              </w:rPr>
              <w:t>$</w:t>
            </w:r>
            <w:r w:rsidR="006505A5">
              <w:rPr>
                <w:rFonts w:ascii="Arial Narrow" w:hAnsi="Arial Narrow" w:cs="Arial"/>
                <w:bCs/>
                <w:iCs/>
                <w:noProof/>
                <w:color w:val="000000"/>
                <w:sz w:val="20"/>
                <w:szCs w:val="20"/>
                <w:highlight w:val="black"/>
              </w:rPr>
              <w:t>''''''''''''''''''''''''</w:t>
            </w:r>
          </w:p>
        </w:tc>
        <w:tc>
          <w:tcPr>
            <w:tcW w:w="537" w:type="pct"/>
            <w:shd w:val="clear" w:color="auto" w:fill="auto"/>
            <w:vAlign w:val="center"/>
          </w:tcPr>
          <w:p w:rsidR="00473315" w:rsidRPr="00EB6EFC" w:rsidRDefault="00473315" w:rsidP="00610E56">
            <w:pPr>
              <w:keepNext/>
              <w:keepLines/>
              <w:jc w:val="right"/>
              <w:rPr>
                <w:rFonts w:ascii="Arial Narrow" w:hAnsi="Arial Narrow" w:cs="Arial"/>
                <w:bCs/>
                <w:iCs/>
                <w:sz w:val="20"/>
                <w:szCs w:val="20"/>
              </w:rPr>
            </w:pPr>
            <w:r w:rsidRPr="00EB6EFC">
              <w:rPr>
                <w:rFonts w:ascii="Arial Narrow" w:hAnsi="Arial Narrow" w:cs="Arial"/>
                <w:bCs/>
                <w:iCs/>
                <w:sz w:val="20"/>
                <w:szCs w:val="20"/>
              </w:rPr>
              <w:t>$</w:t>
            </w:r>
            <w:r w:rsidR="006505A5">
              <w:rPr>
                <w:rFonts w:ascii="Arial Narrow" w:hAnsi="Arial Narrow" w:cs="Arial"/>
                <w:bCs/>
                <w:iCs/>
                <w:noProof/>
                <w:color w:val="000000"/>
                <w:sz w:val="20"/>
                <w:szCs w:val="20"/>
                <w:highlight w:val="black"/>
              </w:rPr>
              <w:t>'''''''''''''''''''''''''</w:t>
            </w:r>
          </w:p>
        </w:tc>
        <w:tc>
          <w:tcPr>
            <w:tcW w:w="525" w:type="pct"/>
            <w:shd w:val="clear" w:color="auto" w:fill="auto"/>
            <w:vAlign w:val="center"/>
          </w:tcPr>
          <w:p w:rsidR="00473315" w:rsidRPr="00EB6EFC" w:rsidRDefault="00473315" w:rsidP="00610E56">
            <w:pPr>
              <w:keepNext/>
              <w:keepLines/>
              <w:jc w:val="right"/>
              <w:rPr>
                <w:rFonts w:ascii="Arial Narrow" w:hAnsi="Arial Narrow" w:cs="Arial"/>
                <w:bCs/>
                <w:iCs/>
                <w:sz w:val="20"/>
                <w:szCs w:val="20"/>
              </w:rPr>
            </w:pPr>
            <w:r w:rsidRPr="00EB6EFC">
              <w:rPr>
                <w:rFonts w:ascii="Arial Narrow" w:hAnsi="Arial Narrow" w:cs="Arial"/>
                <w:bCs/>
                <w:iCs/>
                <w:sz w:val="20"/>
                <w:szCs w:val="20"/>
              </w:rPr>
              <w:t>$</w:t>
            </w:r>
            <w:r w:rsidR="006505A5">
              <w:rPr>
                <w:rFonts w:ascii="Arial Narrow" w:hAnsi="Arial Narrow" w:cs="Arial"/>
                <w:bCs/>
                <w:iCs/>
                <w:noProof/>
                <w:color w:val="000000"/>
                <w:sz w:val="20"/>
                <w:szCs w:val="20"/>
                <w:highlight w:val="black"/>
              </w:rPr>
              <w:t>'''''''''''''''''''''''</w:t>
            </w:r>
          </w:p>
        </w:tc>
        <w:tc>
          <w:tcPr>
            <w:tcW w:w="639" w:type="pct"/>
            <w:shd w:val="clear" w:color="auto" w:fill="auto"/>
            <w:vAlign w:val="center"/>
          </w:tcPr>
          <w:p w:rsidR="00473315" w:rsidRPr="00EB6EFC" w:rsidRDefault="00473315" w:rsidP="00610E56">
            <w:pPr>
              <w:keepNext/>
              <w:keepLines/>
              <w:jc w:val="right"/>
              <w:rPr>
                <w:rFonts w:ascii="Arial Narrow" w:hAnsi="Arial Narrow" w:cs="Arial"/>
                <w:bCs/>
                <w:iCs/>
                <w:sz w:val="20"/>
                <w:szCs w:val="20"/>
              </w:rPr>
            </w:pPr>
            <w:r w:rsidRPr="00EB6EFC">
              <w:rPr>
                <w:rFonts w:ascii="Arial Narrow" w:hAnsi="Arial Narrow" w:cs="Arial"/>
                <w:bCs/>
                <w:iCs/>
                <w:sz w:val="20"/>
                <w:szCs w:val="20"/>
              </w:rPr>
              <w:t>$</w:t>
            </w:r>
            <w:r w:rsidR="006505A5">
              <w:rPr>
                <w:rFonts w:ascii="Arial Narrow" w:hAnsi="Arial Narrow" w:cs="Arial"/>
                <w:bCs/>
                <w:iCs/>
                <w:noProof/>
                <w:color w:val="000000"/>
                <w:sz w:val="20"/>
                <w:szCs w:val="20"/>
                <w:highlight w:val="black"/>
              </w:rPr>
              <w:t>''''''''''''''''''''''</w:t>
            </w:r>
          </w:p>
        </w:tc>
        <w:tc>
          <w:tcPr>
            <w:tcW w:w="581" w:type="pct"/>
            <w:shd w:val="clear" w:color="auto" w:fill="auto"/>
            <w:vAlign w:val="center"/>
          </w:tcPr>
          <w:p w:rsidR="00473315" w:rsidRPr="00EB6EFC" w:rsidRDefault="00473315" w:rsidP="00610E56">
            <w:pPr>
              <w:keepNext/>
              <w:keepLines/>
              <w:jc w:val="right"/>
              <w:rPr>
                <w:rFonts w:ascii="Arial Narrow" w:hAnsi="Arial Narrow" w:cs="Arial"/>
                <w:bCs/>
                <w:iCs/>
                <w:sz w:val="20"/>
                <w:szCs w:val="20"/>
              </w:rPr>
            </w:pPr>
            <w:r w:rsidRPr="00EB6EFC">
              <w:rPr>
                <w:rFonts w:ascii="Arial Narrow" w:hAnsi="Arial Narrow" w:cs="Arial"/>
                <w:bCs/>
                <w:iCs/>
                <w:sz w:val="20"/>
                <w:szCs w:val="20"/>
              </w:rPr>
              <w:t>$</w:t>
            </w:r>
            <w:r w:rsidR="006505A5">
              <w:rPr>
                <w:rFonts w:ascii="Arial Narrow" w:hAnsi="Arial Narrow" w:cs="Arial"/>
                <w:bCs/>
                <w:iCs/>
                <w:noProof/>
                <w:color w:val="000000"/>
                <w:sz w:val="20"/>
                <w:szCs w:val="20"/>
                <w:highlight w:val="black"/>
              </w:rPr>
              <w:t>''''''''''''''''''''''</w:t>
            </w:r>
          </w:p>
        </w:tc>
      </w:tr>
      <w:tr w:rsidR="00CE4F25" w:rsidRPr="00EB6EFC" w:rsidTr="00CE4F25">
        <w:tc>
          <w:tcPr>
            <w:tcW w:w="2123" w:type="pct"/>
            <w:shd w:val="clear" w:color="auto" w:fill="auto"/>
            <w:vAlign w:val="center"/>
          </w:tcPr>
          <w:p w:rsidR="00473315" w:rsidRPr="00EB6EFC" w:rsidRDefault="00473315" w:rsidP="00CE4F25">
            <w:pPr>
              <w:keepNext/>
              <w:keepLines/>
              <w:tabs>
                <w:tab w:val="left" w:pos="142"/>
              </w:tabs>
              <w:rPr>
                <w:rFonts w:ascii="Arial Narrow" w:hAnsi="Arial Narrow" w:cs="Arial"/>
                <w:bCs/>
                <w:snapToGrid w:val="0"/>
                <w:sz w:val="20"/>
                <w:szCs w:val="20"/>
                <w:lang w:eastAsia="en-US"/>
              </w:rPr>
            </w:pPr>
            <w:r w:rsidRPr="00EB6EFC">
              <w:rPr>
                <w:rFonts w:ascii="Arial Narrow" w:hAnsi="Arial Narrow" w:cs="Arial"/>
                <w:snapToGrid w:val="0"/>
                <w:sz w:val="20"/>
                <w:szCs w:val="20"/>
                <w:lang w:eastAsia="en-US"/>
              </w:rPr>
              <w:t>Net cost to PBS/RPBS/MBS</w:t>
            </w:r>
            <w:r w:rsidR="00CE4F25" w:rsidRPr="00EB6EFC">
              <w:rPr>
                <w:rFonts w:ascii="Arial Narrow" w:hAnsi="Arial Narrow" w:cs="Arial"/>
                <w:snapToGrid w:val="0"/>
                <w:sz w:val="20"/>
                <w:szCs w:val="20"/>
                <w:lang w:eastAsia="en-US"/>
              </w:rPr>
              <w:t xml:space="preserve"> -</w:t>
            </w:r>
            <w:r w:rsidR="004F7C7F" w:rsidRPr="00EB6EFC">
              <w:rPr>
                <w:rFonts w:ascii="Arial Narrow" w:hAnsi="Arial Narrow" w:cs="Arial"/>
                <w:snapToGrid w:val="0"/>
                <w:sz w:val="20"/>
                <w:szCs w:val="20"/>
                <w:lang w:eastAsia="en-US"/>
              </w:rPr>
              <w:t xml:space="preserve"> </w:t>
            </w:r>
            <w:r w:rsidR="00993564">
              <w:rPr>
                <w:rFonts w:ascii="Arial Narrow" w:hAnsi="Arial Narrow" w:cs="Arial"/>
                <w:snapToGrid w:val="0"/>
                <w:sz w:val="20"/>
                <w:szCs w:val="20"/>
                <w:lang w:eastAsia="en-US"/>
              </w:rPr>
              <w:t>resubmission</w:t>
            </w:r>
            <w:r w:rsidR="00CE4F25" w:rsidRPr="00EB6EFC">
              <w:rPr>
                <w:rFonts w:ascii="Arial Narrow" w:hAnsi="Arial Narrow" w:cs="Arial"/>
                <w:snapToGrid w:val="0"/>
                <w:sz w:val="20"/>
                <w:szCs w:val="20"/>
                <w:lang w:eastAsia="en-US"/>
              </w:rPr>
              <w:t xml:space="preserve"> </w:t>
            </w:r>
          </w:p>
        </w:tc>
        <w:tc>
          <w:tcPr>
            <w:tcW w:w="594"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c>
          <w:tcPr>
            <w:tcW w:w="537"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c>
          <w:tcPr>
            <w:tcW w:w="525"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c>
          <w:tcPr>
            <w:tcW w:w="639"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c>
          <w:tcPr>
            <w:tcW w:w="581" w:type="pct"/>
            <w:shd w:val="clear" w:color="auto" w:fill="auto"/>
            <w:vAlign w:val="center"/>
          </w:tcPr>
          <w:p w:rsidR="00473315" w:rsidRPr="00EB6EFC" w:rsidRDefault="00473315" w:rsidP="00610E56">
            <w:pPr>
              <w:keepNext/>
              <w:keepLines/>
              <w:jc w:val="right"/>
              <w:rPr>
                <w:rFonts w:ascii="Arial Narrow" w:hAnsi="Arial Narrow" w:cs="Arial"/>
                <w:i/>
                <w:sz w:val="20"/>
                <w:szCs w:val="20"/>
              </w:rPr>
            </w:pPr>
            <w:r w:rsidRPr="00EB6EFC">
              <w:rPr>
                <w:rFonts w:ascii="Arial Narrow" w:hAnsi="Arial Narrow" w:cs="Arial"/>
                <w:i/>
                <w:sz w:val="20"/>
                <w:szCs w:val="20"/>
              </w:rPr>
              <w:t>$</w:t>
            </w:r>
            <w:r w:rsidR="006505A5">
              <w:rPr>
                <w:rFonts w:ascii="Arial Narrow" w:hAnsi="Arial Narrow" w:cs="Arial"/>
                <w:i/>
                <w:noProof/>
                <w:color w:val="000000"/>
                <w:sz w:val="20"/>
                <w:szCs w:val="20"/>
                <w:highlight w:val="black"/>
              </w:rPr>
              <w:t>''''''''''''''''''''''''''</w:t>
            </w:r>
          </w:p>
        </w:tc>
      </w:tr>
      <w:tr w:rsidR="00554747" w:rsidRPr="00EB6EFC" w:rsidTr="00CE4F25">
        <w:tc>
          <w:tcPr>
            <w:tcW w:w="2123" w:type="pct"/>
            <w:shd w:val="clear" w:color="auto" w:fill="auto"/>
            <w:vAlign w:val="center"/>
          </w:tcPr>
          <w:p w:rsidR="00554747" w:rsidRPr="00EB6EFC" w:rsidRDefault="00554747" w:rsidP="00610E56">
            <w:pPr>
              <w:keepNext/>
              <w:keepLines/>
              <w:tabs>
                <w:tab w:val="left" w:pos="142"/>
              </w:tabs>
              <w:rPr>
                <w:rFonts w:ascii="Arial Narrow" w:hAnsi="Arial Narrow" w:cs="Arial"/>
                <w:snapToGrid w:val="0"/>
                <w:sz w:val="20"/>
                <w:szCs w:val="20"/>
                <w:lang w:eastAsia="en-US"/>
              </w:rPr>
            </w:pPr>
            <w:r w:rsidRPr="00EB6EFC">
              <w:rPr>
                <w:rFonts w:ascii="Arial Narrow" w:hAnsi="Arial Narrow" w:cs="Arial"/>
                <w:snapToGrid w:val="0"/>
                <w:sz w:val="20"/>
                <w:szCs w:val="20"/>
                <w:lang w:eastAsia="en-US"/>
              </w:rPr>
              <w:t>Net cost to PBS/RPBS/MBS - March 2016</w:t>
            </w:r>
          </w:p>
        </w:tc>
        <w:tc>
          <w:tcPr>
            <w:tcW w:w="594"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c>
          <w:tcPr>
            <w:tcW w:w="537"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c>
          <w:tcPr>
            <w:tcW w:w="525"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c>
          <w:tcPr>
            <w:tcW w:w="639"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c>
          <w:tcPr>
            <w:tcW w:w="581" w:type="pct"/>
            <w:shd w:val="clear" w:color="auto" w:fill="auto"/>
            <w:vAlign w:val="center"/>
          </w:tcPr>
          <w:p w:rsidR="00554747" w:rsidRPr="00EB6EFC" w:rsidRDefault="00554747" w:rsidP="00E97299">
            <w:pPr>
              <w:jc w:val="right"/>
              <w:rPr>
                <w:rFonts w:ascii="Arial Narrow" w:hAnsi="Arial Narrow"/>
                <w:b/>
                <w:sz w:val="20"/>
              </w:rPr>
            </w:pPr>
            <w:r w:rsidRPr="00EB6EFC">
              <w:rPr>
                <w:rFonts w:ascii="Arial Narrow" w:hAnsi="Arial Narrow"/>
                <w:sz w:val="20"/>
              </w:rPr>
              <w:t>$</w:t>
            </w:r>
            <w:r w:rsidR="006505A5">
              <w:rPr>
                <w:rFonts w:ascii="Arial Narrow" w:hAnsi="Arial Narrow"/>
                <w:noProof/>
                <w:color w:val="000000"/>
                <w:sz w:val="20"/>
                <w:highlight w:val="black"/>
              </w:rPr>
              <w:t>''''''''''''''''''''''''''</w:t>
            </w:r>
          </w:p>
        </w:tc>
      </w:tr>
    </w:tbl>
    <w:p w:rsidR="00473315" w:rsidRPr="00DB7FE9" w:rsidRDefault="00473315" w:rsidP="00610E56">
      <w:pPr>
        <w:keepNext/>
        <w:keepLines/>
        <w:widowControl w:val="0"/>
        <w:tabs>
          <w:tab w:val="left" w:pos="426"/>
        </w:tabs>
        <w:ind w:left="709"/>
        <w:jc w:val="both"/>
        <w:rPr>
          <w:rFonts w:ascii="Arial Narrow" w:hAnsi="Arial Narrow" w:cs="Arial"/>
          <w:b/>
          <w:snapToGrid w:val="0"/>
          <w:sz w:val="18"/>
          <w:szCs w:val="18"/>
          <w:lang w:eastAsia="en-US"/>
        </w:rPr>
      </w:pPr>
      <w:r w:rsidRPr="00DB7FE9">
        <w:rPr>
          <w:rFonts w:ascii="Arial Narrow" w:hAnsi="Arial Narrow" w:cs="Arial"/>
          <w:snapToGrid w:val="0"/>
          <w:sz w:val="18"/>
          <w:szCs w:val="18"/>
          <w:lang w:eastAsia="en-US"/>
        </w:rPr>
        <w:t xml:space="preserve">Source: Tables C.1-C.3, pp7-8 of the </w:t>
      </w:r>
      <w:r w:rsidR="00993564">
        <w:rPr>
          <w:rFonts w:ascii="Arial Narrow" w:hAnsi="Arial Narrow" w:cs="Arial"/>
          <w:snapToGrid w:val="0"/>
          <w:sz w:val="18"/>
          <w:szCs w:val="18"/>
          <w:lang w:eastAsia="en-US"/>
        </w:rPr>
        <w:t>resubmission</w:t>
      </w:r>
      <w:r w:rsidR="00610E56" w:rsidRPr="00DB7FE9">
        <w:rPr>
          <w:rFonts w:ascii="Arial Narrow" w:hAnsi="Arial Narrow" w:cs="Arial"/>
          <w:snapToGrid w:val="0"/>
          <w:sz w:val="18"/>
          <w:szCs w:val="18"/>
          <w:lang w:eastAsia="en-US"/>
        </w:rPr>
        <w:t xml:space="preserve">; </w:t>
      </w:r>
      <w:r w:rsidR="00554747" w:rsidRPr="00DB7FE9">
        <w:rPr>
          <w:rFonts w:ascii="Arial Narrow" w:hAnsi="Arial Narrow" w:cs="Arial"/>
          <w:snapToGrid w:val="0"/>
          <w:sz w:val="18"/>
          <w:szCs w:val="18"/>
          <w:lang w:eastAsia="en-US"/>
        </w:rPr>
        <w:t xml:space="preserve">Table 10 of the </w:t>
      </w:r>
      <w:r w:rsidR="00AE59E3" w:rsidRPr="00DB7FE9">
        <w:rPr>
          <w:rFonts w:ascii="Arial Narrow" w:hAnsi="Arial Narrow" w:cs="Arial"/>
          <w:snapToGrid w:val="0"/>
          <w:sz w:val="18"/>
          <w:szCs w:val="18"/>
          <w:lang w:eastAsia="en-US"/>
        </w:rPr>
        <w:t xml:space="preserve">March 2016 </w:t>
      </w:r>
      <w:r w:rsidR="00C60F56">
        <w:rPr>
          <w:rFonts w:ascii="Arial Narrow" w:hAnsi="Arial Narrow" w:cs="Arial"/>
          <w:snapToGrid w:val="0"/>
          <w:sz w:val="18"/>
          <w:szCs w:val="18"/>
          <w:lang w:eastAsia="en-US"/>
        </w:rPr>
        <w:t>PBAC PSD</w:t>
      </w:r>
      <w:r w:rsidR="00554747" w:rsidRPr="00DB7FE9">
        <w:rPr>
          <w:rFonts w:ascii="Arial Narrow" w:hAnsi="Arial Narrow" w:cs="Arial"/>
          <w:snapToGrid w:val="0"/>
          <w:sz w:val="18"/>
          <w:szCs w:val="18"/>
          <w:lang w:eastAsia="en-US"/>
        </w:rPr>
        <w:t xml:space="preserve">; </w:t>
      </w:r>
      <w:r w:rsidR="00610E56" w:rsidRPr="00DB7FE9">
        <w:rPr>
          <w:rFonts w:ascii="Arial Narrow" w:hAnsi="Arial Narrow" w:cs="Arial"/>
          <w:snapToGrid w:val="0"/>
          <w:sz w:val="18"/>
          <w:szCs w:val="18"/>
          <w:lang w:eastAsia="en-US"/>
        </w:rPr>
        <w:t xml:space="preserve">Values in italics were calculated during </w:t>
      </w:r>
      <w:r w:rsidR="00282B76" w:rsidRPr="00DB7FE9">
        <w:rPr>
          <w:rFonts w:ascii="Arial Narrow" w:hAnsi="Arial Narrow" w:cs="Arial"/>
          <w:snapToGrid w:val="0"/>
          <w:sz w:val="18"/>
          <w:szCs w:val="18"/>
          <w:lang w:eastAsia="en-US"/>
        </w:rPr>
        <w:t>preparation of the Overview</w:t>
      </w:r>
      <w:r w:rsidR="00610E56" w:rsidRPr="00DB7FE9">
        <w:rPr>
          <w:rFonts w:ascii="Arial Narrow" w:hAnsi="Arial Narrow" w:cs="Arial"/>
          <w:snapToGrid w:val="0"/>
          <w:sz w:val="18"/>
          <w:szCs w:val="18"/>
          <w:lang w:eastAsia="en-US"/>
        </w:rPr>
        <w:t xml:space="preserve"> based on “Updated Financial Cost to PBS.xlsx” spreadsheet</w:t>
      </w:r>
    </w:p>
    <w:p w:rsidR="00473315" w:rsidRPr="00EB6EFC" w:rsidRDefault="00DB5F3D" w:rsidP="00610E56">
      <w:pPr>
        <w:keepNext/>
        <w:keepLines/>
        <w:widowControl w:val="0"/>
        <w:ind w:left="720"/>
        <w:jc w:val="both"/>
        <w:rPr>
          <w:rFonts w:ascii="Arial Narrow" w:hAnsi="Arial Narrow" w:cs="Arial"/>
          <w:snapToGrid w:val="0"/>
          <w:sz w:val="18"/>
          <w:szCs w:val="18"/>
          <w:lang w:eastAsia="en-US"/>
        </w:rPr>
      </w:pPr>
      <w:r w:rsidRPr="00EB6EFC">
        <w:rPr>
          <w:rFonts w:ascii="Arial Narrow" w:hAnsi="Arial Narrow" w:cs="Arial"/>
          <w:snapToGrid w:val="0"/>
          <w:sz w:val="18"/>
          <w:szCs w:val="18"/>
          <w:lang w:eastAsia="en-US"/>
        </w:rPr>
        <w:t>MBS = Medica</w:t>
      </w:r>
      <w:r w:rsidR="004F7C7F" w:rsidRPr="00EB6EFC">
        <w:rPr>
          <w:rFonts w:ascii="Arial Narrow" w:hAnsi="Arial Narrow" w:cs="Arial"/>
          <w:snapToGrid w:val="0"/>
          <w:sz w:val="18"/>
          <w:szCs w:val="18"/>
          <w:lang w:eastAsia="en-US"/>
        </w:rPr>
        <w:t>re</w:t>
      </w:r>
      <w:r w:rsidRPr="00EB6EFC">
        <w:rPr>
          <w:rFonts w:ascii="Arial Narrow" w:hAnsi="Arial Narrow" w:cs="Arial"/>
          <w:snapToGrid w:val="0"/>
          <w:sz w:val="18"/>
          <w:szCs w:val="18"/>
          <w:lang w:eastAsia="en-US"/>
        </w:rPr>
        <w:t xml:space="preserve"> Benefits Schedule; </w:t>
      </w:r>
      <w:r w:rsidR="00473315" w:rsidRPr="00EB6EFC">
        <w:rPr>
          <w:rFonts w:ascii="Arial Narrow" w:hAnsi="Arial Narrow" w:cs="Arial"/>
          <w:snapToGrid w:val="0"/>
          <w:sz w:val="18"/>
          <w:szCs w:val="18"/>
          <w:lang w:eastAsia="en-US"/>
        </w:rPr>
        <w:t xml:space="preserve">PBS = Pharmaceutical Benefits Scheme; RPBS = Repatriation Pharmaceutical Benefits Scheme </w:t>
      </w:r>
    </w:p>
    <w:p w:rsidR="00473315" w:rsidRPr="00EB6EFC" w:rsidRDefault="00473315" w:rsidP="00610E56">
      <w:pPr>
        <w:keepNext/>
        <w:keepLines/>
        <w:widowControl w:val="0"/>
        <w:ind w:left="720"/>
        <w:jc w:val="both"/>
        <w:rPr>
          <w:rFonts w:ascii="Arial Narrow" w:hAnsi="Arial Narrow" w:cs="Arial"/>
          <w:snapToGrid w:val="0"/>
          <w:sz w:val="18"/>
          <w:szCs w:val="18"/>
          <w:lang w:eastAsia="en-US"/>
        </w:rPr>
      </w:pPr>
      <w:r w:rsidRPr="00EB6EFC">
        <w:rPr>
          <w:rFonts w:ascii="Arial Narrow" w:hAnsi="Arial Narrow" w:cs="Arial"/>
          <w:snapToGrid w:val="0"/>
          <w:sz w:val="18"/>
          <w:szCs w:val="18"/>
          <w:vertAlign w:val="superscript"/>
          <w:lang w:eastAsia="en-US"/>
        </w:rPr>
        <w:t>a</w:t>
      </w:r>
      <w:r w:rsidRPr="00EB6EFC">
        <w:rPr>
          <w:rFonts w:ascii="Arial Narrow" w:hAnsi="Arial Narrow" w:cs="Arial"/>
          <w:snapToGrid w:val="0"/>
          <w:sz w:val="18"/>
          <w:szCs w:val="18"/>
          <w:lang w:eastAsia="en-US"/>
        </w:rPr>
        <w:t xml:space="preserve"> Assuming </w:t>
      </w:r>
      <w:r w:rsidRPr="00B84B8E">
        <w:rPr>
          <w:rFonts w:ascii="Arial Narrow" w:hAnsi="Arial Narrow" w:cs="Arial"/>
          <w:snapToGrid w:val="0"/>
          <w:sz w:val="18"/>
          <w:szCs w:val="18"/>
          <w:lang w:eastAsia="en-US"/>
        </w:rPr>
        <w:t>11.64</w:t>
      </w:r>
      <w:r w:rsidRPr="00EB6EFC">
        <w:rPr>
          <w:rFonts w:ascii="Arial Narrow" w:hAnsi="Arial Narrow" w:cs="Arial"/>
          <w:snapToGrid w:val="0"/>
          <w:sz w:val="18"/>
          <w:szCs w:val="18"/>
          <w:lang w:eastAsia="en-US"/>
        </w:rPr>
        <w:t xml:space="preserve"> prescriptions per patient per year as estimated by the submission.</w:t>
      </w:r>
    </w:p>
    <w:p w:rsidR="004516D4" w:rsidRPr="00EB6EFC" w:rsidRDefault="004516D4" w:rsidP="00610E56">
      <w:pPr>
        <w:keepNext/>
        <w:keepLines/>
        <w:widowControl w:val="0"/>
        <w:ind w:left="720"/>
        <w:jc w:val="both"/>
        <w:rPr>
          <w:rFonts w:ascii="Arial Narrow" w:hAnsi="Arial Narrow" w:cs="Arial"/>
          <w:b/>
          <w:snapToGrid w:val="0"/>
          <w:sz w:val="18"/>
          <w:szCs w:val="18"/>
          <w:lang w:eastAsia="en-US"/>
        </w:rPr>
      </w:pPr>
      <w:r w:rsidRPr="00EB6EFC">
        <w:rPr>
          <w:rFonts w:ascii="Arial Narrow" w:hAnsi="Arial Narrow" w:cs="Arial"/>
          <w:snapToGrid w:val="0"/>
          <w:sz w:val="18"/>
          <w:szCs w:val="18"/>
          <w:vertAlign w:val="superscript"/>
          <w:lang w:eastAsia="en-US"/>
        </w:rPr>
        <w:t>b</w:t>
      </w:r>
      <w:r w:rsidRPr="00EB6EFC">
        <w:rPr>
          <w:rFonts w:ascii="Arial Narrow" w:hAnsi="Arial Narrow" w:cs="Arial"/>
          <w:snapToGrid w:val="0"/>
          <w:sz w:val="18"/>
          <w:szCs w:val="18"/>
          <w:lang w:eastAsia="en-US"/>
        </w:rPr>
        <w:t xml:space="preserve"> The </w:t>
      </w:r>
      <w:r w:rsidR="00993564">
        <w:rPr>
          <w:rFonts w:ascii="Arial Narrow" w:hAnsi="Arial Narrow" w:cs="Arial"/>
          <w:snapToGrid w:val="0"/>
          <w:sz w:val="18"/>
          <w:szCs w:val="18"/>
          <w:lang w:eastAsia="en-US"/>
        </w:rPr>
        <w:t>resubmission</w:t>
      </w:r>
      <w:r w:rsidRPr="00EB6EFC">
        <w:rPr>
          <w:rFonts w:ascii="Arial Narrow" w:hAnsi="Arial Narrow" w:cs="Arial"/>
          <w:snapToGrid w:val="0"/>
          <w:sz w:val="18"/>
          <w:szCs w:val="18"/>
          <w:lang w:eastAsia="en-US"/>
        </w:rPr>
        <w:t xml:space="preserve"> stated that </w:t>
      </w:r>
      <w:r w:rsidR="001D5724" w:rsidRPr="00EB6EFC">
        <w:rPr>
          <w:rFonts w:ascii="Arial Narrow" w:hAnsi="Arial Narrow" w:cs="Arial"/>
          <w:snapToGrid w:val="0"/>
          <w:sz w:val="18"/>
          <w:szCs w:val="18"/>
          <w:lang w:eastAsia="en-US"/>
        </w:rPr>
        <w:t>this amount</w:t>
      </w:r>
      <w:r w:rsidRPr="00EB6EFC">
        <w:rPr>
          <w:rFonts w:ascii="Arial Narrow" w:hAnsi="Arial Narrow" w:cs="Arial"/>
          <w:snapToGrid w:val="0"/>
          <w:sz w:val="18"/>
          <w:szCs w:val="18"/>
          <w:lang w:eastAsia="en-US"/>
        </w:rPr>
        <w:t xml:space="preserve"> “directly correspond to the updated subsidisation caps with </w:t>
      </w:r>
      <w:r w:rsidR="006505A5">
        <w:rPr>
          <w:rFonts w:ascii="Arial Narrow" w:hAnsi="Arial Narrow" w:cs="Arial"/>
          <w:noProof/>
          <w:snapToGrid w:val="0"/>
          <w:color w:val="000000"/>
          <w:sz w:val="18"/>
          <w:szCs w:val="18"/>
          <w:highlight w:val="black"/>
          <w:lang w:eastAsia="en-US"/>
        </w:rPr>
        <w:t>''''''''''</w:t>
      </w:r>
      <w:r w:rsidRPr="00EB6EFC">
        <w:rPr>
          <w:rFonts w:ascii="Arial Narrow" w:hAnsi="Arial Narrow" w:cs="Arial"/>
          <w:snapToGrid w:val="0"/>
          <w:sz w:val="18"/>
          <w:szCs w:val="18"/>
          <w:lang w:eastAsia="en-US"/>
        </w:rPr>
        <w:t>% rebate for any expenditure above the caps”.</w:t>
      </w:r>
    </w:p>
    <w:p w:rsidR="002640A3" w:rsidRDefault="002640A3">
      <w:pPr>
        <w:rPr>
          <w:rFonts w:cs="Arial"/>
          <w:snapToGrid w:val="0"/>
          <w:szCs w:val="22"/>
          <w:lang w:eastAsia="en-US"/>
        </w:rPr>
      </w:pPr>
    </w:p>
    <w:p w:rsidR="00CB3F7C" w:rsidRDefault="00761ED3" w:rsidP="00761ED3">
      <w:pPr>
        <w:pStyle w:val="ListParagraph"/>
        <w:widowControl/>
        <w:numPr>
          <w:ilvl w:val="1"/>
          <w:numId w:val="5"/>
        </w:numPr>
        <w:rPr>
          <w:szCs w:val="22"/>
        </w:rPr>
      </w:pPr>
      <w:r w:rsidRPr="00EB6EFC">
        <w:rPr>
          <w:szCs w:val="22"/>
        </w:rPr>
        <w:t>The</w:t>
      </w:r>
      <w:r w:rsidR="00CB3F7C">
        <w:rPr>
          <w:szCs w:val="22"/>
        </w:rPr>
        <w:t xml:space="preserve"> redacted table shows that at year 5, the estimated number of patients was less than 10,000 per year.</w:t>
      </w:r>
    </w:p>
    <w:p w:rsidR="00CB3F7C" w:rsidRDefault="00CB3F7C" w:rsidP="00C56081"/>
    <w:p w:rsidR="00554747" w:rsidRPr="00EB6EFC" w:rsidRDefault="00CB3F7C" w:rsidP="00761ED3">
      <w:pPr>
        <w:pStyle w:val="ListParagraph"/>
        <w:widowControl/>
        <w:numPr>
          <w:ilvl w:val="1"/>
          <w:numId w:val="5"/>
        </w:numPr>
        <w:rPr>
          <w:szCs w:val="22"/>
        </w:rPr>
      </w:pPr>
      <w:r>
        <w:rPr>
          <w:szCs w:val="22"/>
        </w:rPr>
        <w:t>The</w:t>
      </w:r>
      <w:r w:rsidR="00761ED3" w:rsidRPr="00EB6EFC">
        <w:rPr>
          <w:szCs w:val="22"/>
        </w:rPr>
        <w:t xml:space="preserve"> minor resubmission estimated a net cost to the PBS</w:t>
      </w:r>
      <w:r w:rsidR="00A02F69" w:rsidRPr="00EB6EFC">
        <w:rPr>
          <w:szCs w:val="22"/>
        </w:rPr>
        <w:t>/RPBS</w:t>
      </w:r>
      <w:r w:rsidR="00761ED3" w:rsidRPr="00EB6EFC">
        <w:rPr>
          <w:szCs w:val="22"/>
        </w:rPr>
        <w:t xml:space="preserve"> of </w:t>
      </w:r>
      <w:r>
        <w:rPr>
          <w:szCs w:val="22"/>
        </w:rPr>
        <w:t>less than $10 million</w:t>
      </w:r>
      <w:r w:rsidR="00A02F69" w:rsidRPr="00EB6EFC">
        <w:rPr>
          <w:szCs w:val="22"/>
        </w:rPr>
        <w:t xml:space="preserve"> </w:t>
      </w:r>
      <w:r w:rsidR="00761ED3" w:rsidRPr="00EB6EFC">
        <w:rPr>
          <w:szCs w:val="22"/>
        </w:rPr>
        <w:t>in Year 5 of listing, with a total net cost to the PBS</w:t>
      </w:r>
      <w:r w:rsidR="00554747" w:rsidRPr="00EB6EFC">
        <w:rPr>
          <w:szCs w:val="22"/>
        </w:rPr>
        <w:t>/RPBS</w:t>
      </w:r>
      <w:r w:rsidR="00761ED3" w:rsidRPr="00EB6EFC">
        <w:rPr>
          <w:szCs w:val="22"/>
        </w:rPr>
        <w:t xml:space="preserve"> of $</w:t>
      </w:r>
      <w:r>
        <w:rPr>
          <w:szCs w:val="22"/>
        </w:rPr>
        <w:t xml:space="preserve">20 - $30 million </w:t>
      </w:r>
      <w:r w:rsidR="00761ED3" w:rsidRPr="00EB6EFC">
        <w:rPr>
          <w:szCs w:val="22"/>
        </w:rPr>
        <w:t>over the first 5 years of listing</w:t>
      </w:r>
      <w:r w:rsidR="00A02F69" w:rsidRPr="00EB6EFC">
        <w:rPr>
          <w:szCs w:val="22"/>
        </w:rPr>
        <w:t xml:space="preserve"> with the EOC cap</w:t>
      </w:r>
      <w:r w:rsidR="00761ED3" w:rsidRPr="00EB6EFC">
        <w:rPr>
          <w:szCs w:val="22"/>
        </w:rPr>
        <w:t>.</w:t>
      </w:r>
      <w:r w:rsidR="00A02F69" w:rsidRPr="00EB6EFC">
        <w:rPr>
          <w:szCs w:val="22"/>
        </w:rPr>
        <w:t xml:space="preserve"> </w:t>
      </w:r>
      <w:r w:rsidR="00554747" w:rsidRPr="00EB6EFC">
        <w:rPr>
          <w:szCs w:val="22"/>
        </w:rPr>
        <w:t>In the previous submission the total net cost to the PBS/RPBS was estimated to be $</w:t>
      </w:r>
      <w:r>
        <w:rPr>
          <w:szCs w:val="22"/>
        </w:rPr>
        <w:t xml:space="preserve">20 - $30 million </w:t>
      </w:r>
      <w:r w:rsidR="00554747" w:rsidRPr="00EB6EFC">
        <w:rPr>
          <w:szCs w:val="22"/>
        </w:rPr>
        <w:t xml:space="preserve">over the first 5 years of listing. </w:t>
      </w:r>
      <w:r w:rsidR="00554747" w:rsidRPr="00176FFA">
        <w:rPr>
          <w:szCs w:val="22"/>
        </w:rPr>
        <w:t xml:space="preserve">The difference was primarily due to the </w:t>
      </w:r>
      <w:r w:rsidR="006505A5">
        <w:rPr>
          <w:noProof/>
          <w:color w:val="000000"/>
          <w:szCs w:val="22"/>
          <w:highlight w:val="black"/>
        </w:rPr>
        <w:t>''''''</w:t>
      </w:r>
      <w:r w:rsidR="00554747" w:rsidRPr="00176FFA">
        <w:rPr>
          <w:szCs w:val="22"/>
        </w:rPr>
        <w:t xml:space="preserve">% rebate offered in the </w:t>
      </w:r>
      <w:r w:rsidR="00993564">
        <w:rPr>
          <w:szCs w:val="22"/>
        </w:rPr>
        <w:t>resubmission</w:t>
      </w:r>
      <w:r w:rsidR="00E632A3">
        <w:rPr>
          <w:szCs w:val="22"/>
        </w:rPr>
        <w:t>.</w:t>
      </w:r>
    </w:p>
    <w:p w:rsidR="00554747" w:rsidRPr="00EB6EFC" w:rsidRDefault="00554747" w:rsidP="00554747">
      <w:pPr>
        <w:pStyle w:val="ListParagraph"/>
        <w:widowControl/>
        <w:rPr>
          <w:szCs w:val="22"/>
        </w:rPr>
      </w:pPr>
    </w:p>
    <w:p w:rsidR="00554747" w:rsidRPr="00EB6EFC" w:rsidRDefault="00A02F69" w:rsidP="00761ED3">
      <w:pPr>
        <w:pStyle w:val="ListParagraph"/>
        <w:widowControl/>
        <w:numPr>
          <w:ilvl w:val="1"/>
          <w:numId w:val="5"/>
        </w:numPr>
        <w:rPr>
          <w:szCs w:val="22"/>
        </w:rPr>
      </w:pPr>
      <w:r w:rsidRPr="00EB6EFC">
        <w:rPr>
          <w:szCs w:val="22"/>
        </w:rPr>
        <w:t xml:space="preserve">Without the EOC cap, the total net cost to the PBS/RPBS was estimated to be </w:t>
      </w:r>
      <w:r w:rsidR="00B84B8E">
        <w:rPr>
          <w:szCs w:val="22"/>
        </w:rPr>
        <w:t>$30 - $60 million</w:t>
      </w:r>
      <w:r w:rsidRPr="00EB6EFC">
        <w:rPr>
          <w:szCs w:val="22"/>
        </w:rPr>
        <w:t xml:space="preserve"> over the first 5 years</w:t>
      </w:r>
      <w:r w:rsidR="00761ED3" w:rsidRPr="00EB6EFC">
        <w:rPr>
          <w:szCs w:val="22"/>
        </w:rPr>
        <w:t xml:space="preserve"> </w:t>
      </w:r>
      <w:r w:rsidRPr="00EB6EFC">
        <w:rPr>
          <w:szCs w:val="22"/>
        </w:rPr>
        <w:t xml:space="preserve">of </w:t>
      </w:r>
      <w:r w:rsidR="00554747" w:rsidRPr="00EB6EFC">
        <w:rPr>
          <w:szCs w:val="22"/>
        </w:rPr>
        <w:t>listing</w:t>
      </w:r>
      <w:r w:rsidRPr="00EB6EFC">
        <w:rPr>
          <w:szCs w:val="22"/>
        </w:rPr>
        <w:t>.</w:t>
      </w:r>
    </w:p>
    <w:p w:rsidR="00554747" w:rsidRDefault="00554747" w:rsidP="00554747">
      <w:pPr>
        <w:pStyle w:val="ListParagraph"/>
        <w:widowControl/>
        <w:rPr>
          <w:szCs w:val="22"/>
        </w:rPr>
      </w:pPr>
    </w:p>
    <w:p w:rsidR="00C60F56" w:rsidRPr="00EB6EFC" w:rsidRDefault="00C60F56" w:rsidP="00554747">
      <w:pPr>
        <w:pStyle w:val="ListParagraph"/>
        <w:widowControl/>
        <w:rPr>
          <w:szCs w:val="22"/>
        </w:rPr>
      </w:pPr>
    </w:p>
    <w:p w:rsidR="004516D4" w:rsidRPr="00EB6EFC" w:rsidRDefault="004516D4" w:rsidP="004516D4">
      <w:pPr>
        <w:pStyle w:val="Heading2"/>
      </w:pPr>
      <w:r w:rsidRPr="00EB6EFC">
        <w:lastRenderedPageBreak/>
        <w:t>Financial Management – Risk-sharing Arrangements</w:t>
      </w:r>
    </w:p>
    <w:p w:rsidR="004516D4" w:rsidRPr="00EB6EFC" w:rsidRDefault="004516D4" w:rsidP="004516D4">
      <w:pPr>
        <w:pStyle w:val="ListParagraph"/>
        <w:widowControl/>
        <w:rPr>
          <w:szCs w:val="22"/>
        </w:rPr>
      </w:pPr>
    </w:p>
    <w:p w:rsidR="004516D4" w:rsidRPr="00EB6EFC" w:rsidRDefault="00CE4F25" w:rsidP="00FA0DE6">
      <w:pPr>
        <w:pStyle w:val="ListParagraph"/>
        <w:widowControl/>
        <w:numPr>
          <w:ilvl w:val="1"/>
          <w:numId w:val="5"/>
        </w:numPr>
        <w:rPr>
          <w:i/>
          <w:szCs w:val="22"/>
        </w:rPr>
      </w:pPr>
      <w:r w:rsidRPr="00EB6EFC">
        <w:rPr>
          <w:szCs w:val="22"/>
        </w:rPr>
        <w:t xml:space="preserve">In its previous consideration, the </w:t>
      </w:r>
      <w:r w:rsidR="00AF63FD">
        <w:rPr>
          <w:szCs w:val="22"/>
        </w:rPr>
        <w:t xml:space="preserve">March 2016 </w:t>
      </w:r>
      <w:r w:rsidRPr="00EB6EFC">
        <w:rPr>
          <w:szCs w:val="22"/>
        </w:rPr>
        <w:t>PBAC stated that “</w:t>
      </w:r>
      <w:r w:rsidRPr="00EB6EFC">
        <w:t xml:space="preserve">a total financial cap should be based on the submission’s estimated patient numbers, the estimated average cost per patient per course under the EOC, after taking into account PBAC’s requested price reduction. Beyond the financial cap a total rebate of </w:t>
      </w:r>
      <w:r w:rsidR="006505A5">
        <w:rPr>
          <w:noProof/>
          <w:color w:val="000000"/>
          <w:highlight w:val="black"/>
        </w:rPr>
        <w:t>'''''''''</w:t>
      </w:r>
      <w:r w:rsidRPr="00EB6EFC">
        <w:t xml:space="preserve">% of expenditure above the cap would be rebated to Government” (Paragraph 6.36). The </w:t>
      </w:r>
      <w:r w:rsidR="00993564">
        <w:t>resubmission</w:t>
      </w:r>
      <w:r w:rsidR="004516D4" w:rsidRPr="00EB6EFC">
        <w:rPr>
          <w:szCs w:val="22"/>
        </w:rPr>
        <w:t xml:space="preserve"> </w:t>
      </w:r>
      <w:r w:rsidRPr="00EB6EFC">
        <w:rPr>
          <w:szCs w:val="22"/>
        </w:rPr>
        <w:t xml:space="preserve">addressed this by offering updated subsidisation caps based on the </w:t>
      </w:r>
      <w:r w:rsidR="004516D4" w:rsidRPr="00EB6EFC">
        <w:rPr>
          <w:szCs w:val="22"/>
        </w:rPr>
        <w:t xml:space="preserve">net cost to the PBS/RPBS with </w:t>
      </w:r>
      <w:r w:rsidRPr="00EB6EFC">
        <w:rPr>
          <w:szCs w:val="22"/>
        </w:rPr>
        <w:t xml:space="preserve">the </w:t>
      </w:r>
      <w:r w:rsidR="004516D4" w:rsidRPr="00EB6EFC">
        <w:rPr>
          <w:szCs w:val="22"/>
        </w:rPr>
        <w:t>EOC cap</w:t>
      </w:r>
      <w:r w:rsidRPr="00EB6EFC">
        <w:rPr>
          <w:szCs w:val="22"/>
        </w:rPr>
        <w:t xml:space="preserve"> applied </w:t>
      </w:r>
      <w:r w:rsidR="00DB5F3D" w:rsidRPr="00EB6EFC">
        <w:rPr>
          <w:szCs w:val="22"/>
        </w:rPr>
        <w:t xml:space="preserve">and a </w:t>
      </w:r>
      <w:r w:rsidR="006505A5">
        <w:rPr>
          <w:noProof/>
          <w:color w:val="000000"/>
          <w:szCs w:val="22"/>
          <w:highlight w:val="black"/>
        </w:rPr>
        <w:t>''''''''''</w:t>
      </w:r>
      <w:r w:rsidR="004516D4" w:rsidRPr="00EB6EFC">
        <w:rPr>
          <w:szCs w:val="22"/>
        </w:rPr>
        <w:t>% rebate for any expenditure above the cap.</w:t>
      </w:r>
      <w:r w:rsidRPr="00EB6EFC">
        <w:rPr>
          <w:szCs w:val="22"/>
        </w:rPr>
        <w:t xml:space="preserve"> </w:t>
      </w:r>
      <w:r w:rsidRPr="00176FFA">
        <w:rPr>
          <w:szCs w:val="22"/>
        </w:rPr>
        <w:t xml:space="preserve">This was based on a </w:t>
      </w:r>
      <w:r w:rsidR="006505A5">
        <w:rPr>
          <w:noProof/>
          <w:color w:val="000000"/>
          <w:szCs w:val="22"/>
          <w:highlight w:val="black"/>
        </w:rPr>
        <w:t>''''''</w:t>
      </w:r>
      <w:r w:rsidRPr="00176FFA">
        <w:rPr>
          <w:szCs w:val="22"/>
        </w:rPr>
        <w:t>% rebate</w:t>
      </w:r>
      <w:r w:rsidR="00DB5F3D" w:rsidRPr="00176FFA">
        <w:rPr>
          <w:szCs w:val="22"/>
        </w:rPr>
        <w:t xml:space="preserve">, rather than at least </w:t>
      </w:r>
      <w:r w:rsidR="006505A5">
        <w:rPr>
          <w:noProof/>
          <w:color w:val="000000"/>
          <w:szCs w:val="22"/>
          <w:highlight w:val="black"/>
        </w:rPr>
        <w:t>''''''</w:t>
      </w:r>
      <w:r w:rsidR="00DB5F3D" w:rsidRPr="00176FFA">
        <w:rPr>
          <w:szCs w:val="22"/>
        </w:rPr>
        <w:t>% as requested by the March 2016 PBAC.</w:t>
      </w:r>
      <w:r w:rsidR="00FA0DE6" w:rsidRPr="00EB6EFC">
        <w:rPr>
          <w:szCs w:val="22"/>
        </w:rPr>
        <w:t xml:space="preserve"> </w:t>
      </w:r>
      <w:r w:rsidR="00DB2A2C">
        <w:rPr>
          <w:szCs w:val="22"/>
        </w:rPr>
        <w:t>In the pre-PBAC response</w:t>
      </w:r>
      <w:r w:rsidR="00F24ECF">
        <w:rPr>
          <w:szCs w:val="22"/>
        </w:rPr>
        <w:t xml:space="preserve"> (p3)</w:t>
      </w:r>
      <w:r w:rsidR="00DB2A2C">
        <w:rPr>
          <w:szCs w:val="22"/>
        </w:rPr>
        <w:t xml:space="preserve">, the sponsor proposed a fixed total financial cap </w:t>
      </w:r>
      <w:r w:rsidR="000E7716">
        <w:rPr>
          <w:szCs w:val="22"/>
        </w:rPr>
        <w:t xml:space="preserve">based on the calculations used in </w:t>
      </w:r>
      <w:r w:rsidR="00DB2A2C">
        <w:rPr>
          <w:szCs w:val="22"/>
        </w:rPr>
        <w:t xml:space="preserve">the </w:t>
      </w:r>
      <w:r w:rsidR="00CD615C">
        <w:rPr>
          <w:szCs w:val="22"/>
        </w:rPr>
        <w:t>EOC</w:t>
      </w:r>
      <w:r w:rsidR="00DB2A2C">
        <w:rPr>
          <w:szCs w:val="22"/>
        </w:rPr>
        <w:t xml:space="preserve"> cap.</w:t>
      </w:r>
    </w:p>
    <w:p w:rsidR="00611E85" w:rsidRDefault="00611E85">
      <w:pPr>
        <w:rPr>
          <w:sz w:val="18"/>
          <w:szCs w:val="18"/>
        </w:rPr>
      </w:pPr>
    </w:p>
    <w:p w:rsidR="00DB7FE9" w:rsidRDefault="00DB7FE9" w:rsidP="00CF7D5D">
      <w:pPr>
        <w:ind w:firstLine="720"/>
        <w:rPr>
          <w:sz w:val="18"/>
          <w:szCs w:val="18"/>
        </w:rPr>
      </w:pPr>
      <w:r w:rsidRPr="00F5500D">
        <w:rPr>
          <w:i/>
          <w:szCs w:val="22"/>
        </w:rPr>
        <w:t>For more deta</w:t>
      </w:r>
      <w:r w:rsidR="00CD796A" w:rsidRPr="00F5500D">
        <w:rPr>
          <w:i/>
          <w:szCs w:val="22"/>
        </w:rPr>
        <w:t>il on PBAC’s view, see section 5</w:t>
      </w:r>
      <w:r w:rsidRPr="00F5500D">
        <w:rPr>
          <w:i/>
          <w:szCs w:val="22"/>
        </w:rPr>
        <w:t xml:space="preserve"> “PBAC outcome”</w:t>
      </w:r>
    </w:p>
    <w:p w:rsidR="00F64CC1" w:rsidRDefault="00F64CC1" w:rsidP="00934B85">
      <w:pPr>
        <w:rPr>
          <w:sz w:val="18"/>
          <w:szCs w:val="18"/>
        </w:rPr>
      </w:pPr>
    </w:p>
    <w:p w:rsidR="00F24ECF" w:rsidRDefault="00F24ECF" w:rsidP="00934B85">
      <w:pPr>
        <w:rPr>
          <w:sz w:val="18"/>
          <w:szCs w:val="18"/>
        </w:rPr>
      </w:pPr>
    </w:p>
    <w:p w:rsidR="00934B85" w:rsidRPr="00F5500D" w:rsidRDefault="00934B85" w:rsidP="00F5500D">
      <w:pPr>
        <w:pStyle w:val="PBACHeading1"/>
      </w:pPr>
      <w:r w:rsidRPr="00F5500D">
        <w:t>PBAC Outcome</w:t>
      </w:r>
    </w:p>
    <w:p w:rsidR="00AC20D6" w:rsidRPr="00F5500D" w:rsidRDefault="00AC20D6" w:rsidP="00934B85">
      <w:pPr>
        <w:contextualSpacing/>
        <w:jc w:val="both"/>
        <w:rPr>
          <w:rFonts w:cs="Arial"/>
          <w:b/>
          <w:bCs/>
          <w:snapToGrid w:val="0"/>
          <w:szCs w:val="22"/>
          <w:lang w:val="en-GB"/>
        </w:rPr>
      </w:pPr>
    </w:p>
    <w:p w:rsidR="006F0AE4" w:rsidRPr="00F5500D" w:rsidRDefault="006F0AE4" w:rsidP="00F5500D">
      <w:pPr>
        <w:numPr>
          <w:ilvl w:val="1"/>
          <w:numId w:val="5"/>
        </w:numPr>
        <w:rPr>
          <w:rFonts w:cs="Arial"/>
          <w:bCs/>
          <w:szCs w:val="22"/>
          <w:lang w:val="en-GB"/>
        </w:rPr>
      </w:pPr>
      <w:r w:rsidRPr="00C87919">
        <w:rPr>
          <w:rFonts w:cs="Arial"/>
          <w:bCs/>
          <w:snapToGrid w:val="0"/>
          <w:szCs w:val="22"/>
          <w:lang w:val="en-GB"/>
        </w:rPr>
        <w:t xml:space="preserve">The PBAC </w:t>
      </w:r>
      <w:r w:rsidR="00C6112D">
        <w:rPr>
          <w:rFonts w:cs="Arial"/>
          <w:bCs/>
          <w:snapToGrid w:val="0"/>
          <w:szCs w:val="22"/>
          <w:lang w:val="en-GB"/>
        </w:rPr>
        <w:t>updated the</w:t>
      </w:r>
      <w:r w:rsidR="000E108D">
        <w:rPr>
          <w:rFonts w:cs="Arial"/>
          <w:bCs/>
          <w:snapToGrid w:val="0"/>
          <w:szCs w:val="22"/>
          <w:lang w:val="en-GB"/>
        </w:rPr>
        <w:t xml:space="preserve"> </w:t>
      </w:r>
      <w:r w:rsidR="00895893">
        <w:rPr>
          <w:rFonts w:cs="Arial"/>
          <w:bCs/>
          <w:snapToGrid w:val="0"/>
          <w:szCs w:val="22"/>
          <w:lang w:val="en-GB"/>
        </w:rPr>
        <w:t xml:space="preserve">advice </w:t>
      </w:r>
      <w:r w:rsidR="00C6112D">
        <w:rPr>
          <w:rFonts w:cs="Arial"/>
          <w:bCs/>
          <w:snapToGrid w:val="0"/>
          <w:szCs w:val="22"/>
          <w:lang w:val="en-GB"/>
        </w:rPr>
        <w:t xml:space="preserve">that </w:t>
      </w:r>
      <w:r w:rsidR="00895893">
        <w:rPr>
          <w:rFonts w:cs="Arial"/>
          <w:bCs/>
          <w:snapToGrid w:val="0"/>
          <w:szCs w:val="22"/>
          <w:lang w:val="en-GB"/>
        </w:rPr>
        <w:t xml:space="preserve">it provided in March 2016 when recommending an </w:t>
      </w:r>
      <w:r w:rsidRPr="00C87919">
        <w:rPr>
          <w:rFonts w:cs="Arial"/>
          <w:bCs/>
          <w:snapToGrid w:val="0"/>
          <w:szCs w:val="22"/>
          <w:lang w:val="en-GB"/>
        </w:rPr>
        <w:t>Authority Required listing of vismodegib for the</w:t>
      </w:r>
      <w:r w:rsidR="00970CF8" w:rsidRPr="00C87919">
        <w:rPr>
          <w:rFonts w:cs="Arial"/>
          <w:bCs/>
          <w:snapToGrid w:val="0"/>
          <w:szCs w:val="22"/>
          <w:lang w:val="en-GB"/>
        </w:rPr>
        <w:t xml:space="preserve"> </w:t>
      </w:r>
      <w:r w:rsidRPr="00C87919">
        <w:rPr>
          <w:rFonts w:cs="Arial"/>
          <w:bCs/>
          <w:snapToGrid w:val="0"/>
          <w:szCs w:val="22"/>
          <w:lang w:val="en-GB"/>
        </w:rPr>
        <w:t>treatment of metastatic or locally advanced BCC inappropriate for surgery and</w:t>
      </w:r>
      <w:r w:rsidR="00970CF8" w:rsidRPr="00C87919">
        <w:rPr>
          <w:rFonts w:cs="Arial"/>
          <w:bCs/>
          <w:snapToGrid w:val="0"/>
          <w:szCs w:val="22"/>
          <w:lang w:val="en-GB"/>
        </w:rPr>
        <w:t xml:space="preserve"> curative radiotherapy</w:t>
      </w:r>
      <w:r w:rsidR="00F247F7">
        <w:rPr>
          <w:rFonts w:cs="Arial"/>
          <w:bCs/>
          <w:snapToGrid w:val="0"/>
          <w:szCs w:val="22"/>
          <w:lang w:val="en-GB"/>
        </w:rPr>
        <w:t>.</w:t>
      </w:r>
    </w:p>
    <w:p w:rsidR="00BB02EA" w:rsidRPr="00F5500D" w:rsidRDefault="00BB02EA" w:rsidP="006C4ED0">
      <w:pPr>
        <w:widowControl w:val="0"/>
        <w:contextualSpacing/>
        <w:jc w:val="both"/>
        <w:rPr>
          <w:rFonts w:cs="Arial"/>
          <w:bCs/>
          <w:snapToGrid w:val="0"/>
          <w:szCs w:val="22"/>
          <w:lang w:val="en-GB"/>
        </w:rPr>
      </w:pPr>
    </w:p>
    <w:p w:rsidR="00095A3E" w:rsidRPr="00C87919" w:rsidRDefault="00095A3E" w:rsidP="00C87919">
      <w:pPr>
        <w:widowControl w:val="0"/>
        <w:numPr>
          <w:ilvl w:val="1"/>
          <w:numId w:val="5"/>
        </w:numPr>
        <w:contextualSpacing/>
        <w:jc w:val="both"/>
        <w:rPr>
          <w:rFonts w:cs="Arial"/>
          <w:bCs/>
          <w:snapToGrid w:val="0"/>
          <w:szCs w:val="22"/>
          <w:lang w:val="en-GB"/>
        </w:rPr>
      </w:pPr>
      <w:r w:rsidRPr="00C87919">
        <w:rPr>
          <w:rFonts w:cs="Arial"/>
          <w:bCs/>
          <w:snapToGrid w:val="0"/>
          <w:szCs w:val="22"/>
          <w:lang w:val="en-GB"/>
        </w:rPr>
        <w:t xml:space="preserve">The PBAC </w:t>
      </w:r>
      <w:r w:rsidR="00FB5530">
        <w:rPr>
          <w:rFonts w:cs="Arial"/>
          <w:bCs/>
          <w:snapToGrid w:val="0"/>
          <w:szCs w:val="22"/>
          <w:lang w:val="en-GB"/>
        </w:rPr>
        <w:t xml:space="preserve">confirmed its March 2016 </w:t>
      </w:r>
      <w:r w:rsidR="00895893">
        <w:rPr>
          <w:rFonts w:cs="Arial"/>
          <w:bCs/>
          <w:snapToGrid w:val="0"/>
          <w:szCs w:val="22"/>
          <w:lang w:val="en-GB"/>
        </w:rPr>
        <w:t>advice</w:t>
      </w:r>
      <w:r w:rsidR="00895893" w:rsidRPr="00C87919">
        <w:rPr>
          <w:rFonts w:cs="Arial"/>
          <w:bCs/>
          <w:snapToGrid w:val="0"/>
          <w:szCs w:val="22"/>
          <w:lang w:val="en-GB"/>
        </w:rPr>
        <w:t xml:space="preserve"> </w:t>
      </w:r>
      <w:r w:rsidRPr="00C87919">
        <w:rPr>
          <w:rFonts w:cs="Arial"/>
          <w:bCs/>
          <w:snapToGrid w:val="0"/>
          <w:szCs w:val="22"/>
          <w:lang w:val="en-GB"/>
        </w:rPr>
        <w:t>that there was a</w:t>
      </w:r>
      <w:r w:rsidR="00FB5530">
        <w:rPr>
          <w:rFonts w:cs="Arial"/>
          <w:bCs/>
          <w:snapToGrid w:val="0"/>
          <w:szCs w:val="22"/>
          <w:lang w:val="en-GB"/>
        </w:rPr>
        <w:t xml:space="preserve"> continued</w:t>
      </w:r>
      <w:r w:rsidR="00C87919">
        <w:rPr>
          <w:rFonts w:cs="Arial"/>
          <w:bCs/>
          <w:snapToGrid w:val="0"/>
          <w:szCs w:val="22"/>
          <w:lang w:val="en-GB"/>
        </w:rPr>
        <w:t xml:space="preserve"> unmet clinical need for vismode</w:t>
      </w:r>
      <w:r w:rsidRPr="00C87919">
        <w:rPr>
          <w:rFonts w:cs="Arial"/>
          <w:bCs/>
          <w:snapToGrid w:val="0"/>
          <w:szCs w:val="22"/>
          <w:lang w:val="en-GB"/>
        </w:rPr>
        <w:t>gib and that there was a likely benefit for a highly selected patient group.</w:t>
      </w:r>
    </w:p>
    <w:p w:rsidR="007B2B5F" w:rsidRPr="00C87919" w:rsidRDefault="007B2B5F" w:rsidP="00F5500D">
      <w:pPr>
        <w:widowControl w:val="0"/>
        <w:ind w:left="720"/>
        <w:contextualSpacing/>
        <w:jc w:val="both"/>
        <w:rPr>
          <w:rFonts w:cs="Arial"/>
          <w:bCs/>
          <w:snapToGrid w:val="0"/>
          <w:szCs w:val="22"/>
          <w:lang w:val="en-GB"/>
        </w:rPr>
      </w:pPr>
    </w:p>
    <w:p w:rsidR="007B2B5F" w:rsidRPr="00C87919" w:rsidRDefault="007B2B5F" w:rsidP="00C87919">
      <w:pPr>
        <w:widowControl w:val="0"/>
        <w:numPr>
          <w:ilvl w:val="1"/>
          <w:numId w:val="5"/>
        </w:numPr>
        <w:contextualSpacing/>
        <w:jc w:val="both"/>
        <w:rPr>
          <w:rFonts w:cs="Arial"/>
          <w:bCs/>
          <w:snapToGrid w:val="0"/>
          <w:szCs w:val="22"/>
          <w:lang w:val="en-GB"/>
        </w:rPr>
      </w:pPr>
      <w:r w:rsidRPr="00C87919">
        <w:rPr>
          <w:rFonts w:cs="Arial"/>
          <w:bCs/>
          <w:snapToGrid w:val="0"/>
          <w:szCs w:val="22"/>
          <w:lang w:val="en-GB"/>
        </w:rPr>
        <w:t>The PBAC noted that there was significant toxicity associated with vismodegib and no improvement in quality of life.</w:t>
      </w:r>
    </w:p>
    <w:p w:rsidR="00095A3E" w:rsidRPr="00C87919" w:rsidRDefault="00095A3E" w:rsidP="00F5500D">
      <w:pPr>
        <w:widowControl w:val="0"/>
        <w:ind w:left="720"/>
        <w:contextualSpacing/>
        <w:jc w:val="both"/>
        <w:rPr>
          <w:rFonts w:cs="Arial"/>
          <w:bCs/>
          <w:snapToGrid w:val="0"/>
          <w:szCs w:val="22"/>
          <w:lang w:val="en-GB"/>
        </w:rPr>
      </w:pPr>
    </w:p>
    <w:p w:rsidR="007B2B5F" w:rsidRPr="00C87919" w:rsidRDefault="007B2B5F" w:rsidP="00AE48EE">
      <w:pPr>
        <w:widowControl w:val="0"/>
        <w:numPr>
          <w:ilvl w:val="1"/>
          <w:numId w:val="5"/>
        </w:numPr>
        <w:contextualSpacing/>
        <w:jc w:val="both"/>
        <w:rPr>
          <w:rFonts w:cs="Arial"/>
          <w:bCs/>
          <w:snapToGrid w:val="0"/>
          <w:szCs w:val="22"/>
          <w:lang w:val="en-GB"/>
        </w:rPr>
      </w:pPr>
      <w:r w:rsidRPr="00C87919">
        <w:rPr>
          <w:rFonts w:cs="Arial"/>
          <w:bCs/>
          <w:snapToGrid w:val="0"/>
          <w:szCs w:val="22"/>
          <w:lang w:val="en-GB"/>
        </w:rPr>
        <w:t>T</w:t>
      </w:r>
      <w:r w:rsidR="00095A3E" w:rsidRPr="00C87919">
        <w:rPr>
          <w:rFonts w:cs="Arial"/>
          <w:bCs/>
          <w:snapToGrid w:val="0"/>
          <w:szCs w:val="22"/>
          <w:lang w:val="en-GB"/>
        </w:rPr>
        <w:t>he PBAC</w:t>
      </w:r>
      <w:r w:rsidRPr="00C87919">
        <w:rPr>
          <w:rFonts w:cs="Arial"/>
          <w:bCs/>
          <w:snapToGrid w:val="0"/>
          <w:szCs w:val="22"/>
          <w:lang w:val="en-GB"/>
        </w:rPr>
        <w:t xml:space="preserve"> noted the</w:t>
      </w:r>
      <w:r w:rsidR="00FB5530">
        <w:rPr>
          <w:rFonts w:cs="Arial"/>
          <w:bCs/>
          <w:snapToGrid w:val="0"/>
          <w:szCs w:val="22"/>
          <w:lang w:val="en-GB"/>
        </w:rPr>
        <w:t xml:space="preserve"> use of a </w:t>
      </w:r>
      <w:r w:rsidRPr="00C87919">
        <w:rPr>
          <w:rFonts w:cs="Arial"/>
          <w:bCs/>
          <w:snapToGrid w:val="0"/>
          <w:szCs w:val="22"/>
          <w:lang w:val="en-GB"/>
        </w:rPr>
        <w:t xml:space="preserve">non-standard </w:t>
      </w:r>
      <w:r w:rsidR="00CD615C">
        <w:rPr>
          <w:rFonts w:cs="Arial"/>
          <w:bCs/>
          <w:snapToGrid w:val="0"/>
          <w:szCs w:val="22"/>
          <w:lang w:val="en-GB"/>
        </w:rPr>
        <w:t>ICER</w:t>
      </w:r>
      <w:r w:rsidR="00FB5530">
        <w:rPr>
          <w:rFonts w:cs="Arial"/>
          <w:bCs/>
          <w:snapToGrid w:val="0"/>
          <w:szCs w:val="22"/>
          <w:lang w:val="en-GB"/>
        </w:rPr>
        <w:t xml:space="preserve"> per</w:t>
      </w:r>
      <w:r w:rsidRPr="00C87919">
        <w:rPr>
          <w:rFonts w:cs="Arial"/>
          <w:bCs/>
          <w:snapToGrid w:val="0"/>
          <w:szCs w:val="22"/>
          <w:lang w:val="en-GB"/>
        </w:rPr>
        <w:t xml:space="preserve"> ‘disfigurement-free responder’ and considered that the cost-effectiveness of vismodegib </w:t>
      </w:r>
      <w:r w:rsidR="00FB5530">
        <w:rPr>
          <w:rFonts w:cs="Arial"/>
          <w:bCs/>
          <w:snapToGrid w:val="0"/>
          <w:szCs w:val="22"/>
          <w:lang w:val="en-GB"/>
        </w:rPr>
        <w:t xml:space="preserve">remained uncertain with the proposed </w:t>
      </w:r>
      <w:r w:rsidR="00AE48EE" w:rsidRPr="00AE48EE">
        <w:rPr>
          <w:rFonts w:cs="Arial"/>
          <w:bCs/>
          <w:snapToGrid w:val="0"/>
          <w:szCs w:val="22"/>
          <w:lang w:val="en-GB"/>
        </w:rPr>
        <w:t>higher response rate and lower disfigurement rate</w:t>
      </w:r>
      <w:r w:rsidR="00AE48EE">
        <w:rPr>
          <w:rFonts w:cs="Arial"/>
          <w:bCs/>
          <w:snapToGrid w:val="0"/>
          <w:szCs w:val="22"/>
          <w:lang w:val="en-GB"/>
        </w:rPr>
        <w:t xml:space="preserve"> inputs</w:t>
      </w:r>
      <w:r w:rsidR="00FB5530">
        <w:rPr>
          <w:rFonts w:cs="Arial"/>
          <w:bCs/>
          <w:snapToGrid w:val="0"/>
          <w:szCs w:val="22"/>
          <w:lang w:val="en-GB"/>
        </w:rPr>
        <w:t xml:space="preserve"> </w:t>
      </w:r>
      <w:r w:rsidRPr="00C87919">
        <w:rPr>
          <w:rFonts w:cs="Arial"/>
          <w:bCs/>
          <w:snapToGrid w:val="0"/>
          <w:szCs w:val="22"/>
          <w:lang w:val="en-GB"/>
        </w:rPr>
        <w:t xml:space="preserve">within the </w:t>
      </w:r>
      <w:r w:rsidR="00FB5530">
        <w:rPr>
          <w:rFonts w:cs="Arial"/>
          <w:bCs/>
          <w:snapToGrid w:val="0"/>
          <w:szCs w:val="22"/>
          <w:lang w:val="en-GB"/>
        </w:rPr>
        <w:t xml:space="preserve">revised </w:t>
      </w:r>
      <w:r w:rsidR="00E632A3">
        <w:rPr>
          <w:rFonts w:cs="Arial"/>
          <w:bCs/>
          <w:snapToGrid w:val="0"/>
          <w:szCs w:val="22"/>
          <w:lang w:val="en-GB"/>
        </w:rPr>
        <w:t>model.</w:t>
      </w:r>
    </w:p>
    <w:p w:rsidR="007B2B5F" w:rsidRPr="00C87919" w:rsidRDefault="007B2B5F" w:rsidP="00F5500D">
      <w:pPr>
        <w:widowControl w:val="0"/>
        <w:ind w:left="720"/>
        <w:contextualSpacing/>
        <w:jc w:val="both"/>
        <w:rPr>
          <w:rFonts w:cs="Arial"/>
          <w:bCs/>
          <w:snapToGrid w:val="0"/>
          <w:szCs w:val="22"/>
          <w:lang w:val="en-GB"/>
        </w:rPr>
      </w:pPr>
    </w:p>
    <w:p w:rsidR="00C87919" w:rsidRPr="00863F01" w:rsidRDefault="00C506E7" w:rsidP="00B24970">
      <w:pPr>
        <w:widowControl w:val="0"/>
        <w:numPr>
          <w:ilvl w:val="1"/>
          <w:numId w:val="5"/>
        </w:numPr>
        <w:contextualSpacing/>
        <w:jc w:val="both"/>
        <w:rPr>
          <w:rFonts w:cs="Arial"/>
          <w:bCs/>
          <w:snapToGrid w:val="0"/>
          <w:szCs w:val="22"/>
          <w:lang w:val="en-GB"/>
        </w:rPr>
      </w:pPr>
      <w:r w:rsidRPr="00863F01">
        <w:rPr>
          <w:rFonts w:cs="Arial"/>
          <w:bCs/>
          <w:snapToGrid w:val="0"/>
          <w:szCs w:val="22"/>
          <w:lang w:val="en-GB"/>
        </w:rPr>
        <w:t xml:space="preserve">The PBAC considered that it was not appropriate to rely solely on data from the STEVIE trial to inform the vismodegib response rate, </w:t>
      </w:r>
      <w:r w:rsidR="00895893" w:rsidRPr="00863F01">
        <w:rPr>
          <w:rFonts w:cs="Arial"/>
          <w:bCs/>
          <w:snapToGrid w:val="0"/>
          <w:szCs w:val="22"/>
          <w:lang w:val="en-GB"/>
        </w:rPr>
        <w:t xml:space="preserve">as that study </w:t>
      </w:r>
      <w:r w:rsidRPr="00863F01">
        <w:rPr>
          <w:rFonts w:cs="Arial"/>
          <w:bCs/>
          <w:snapToGrid w:val="0"/>
          <w:szCs w:val="22"/>
          <w:lang w:val="en-GB"/>
        </w:rPr>
        <w:t>reported a higher response compared to the other studies, had the lowest proportion of participants with metastatic disease, and used investigator rather than independent response assessment. A less optimistic interpretation of the total data, giving more weight to response rates from the other studies, independent assessment, and response rates in metastatic disease, would suggest a vismodegib response rate substantially less than 50%.</w:t>
      </w:r>
      <w:r w:rsidR="00AE48EE" w:rsidRPr="00863F01">
        <w:rPr>
          <w:rFonts w:cs="Arial"/>
          <w:bCs/>
          <w:snapToGrid w:val="0"/>
          <w:szCs w:val="22"/>
          <w:lang w:val="en-GB"/>
        </w:rPr>
        <w:t xml:space="preserve"> The PBAC reaffirmed that </w:t>
      </w:r>
      <w:r w:rsidR="00895893" w:rsidRPr="00863F01">
        <w:rPr>
          <w:rFonts w:cs="Arial"/>
          <w:bCs/>
          <w:snapToGrid w:val="0"/>
          <w:szCs w:val="22"/>
          <w:lang w:val="en-GB"/>
        </w:rPr>
        <w:t xml:space="preserve">it considered </w:t>
      </w:r>
      <w:r w:rsidR="00AE48EE" w:rsidRPr="00863F01">
        <w:rPr>
          <w:rFonts w:cs="Arial"/>
          <w:bCs/>
          <w:snapToGrid w:val="0"/>
          <w:szCs w:val="22"/>
          <w:lang w:val="en-GB"/>
        </w:rPr>
        <w:t xml:space="preserve">a response rate of 50% for vismodegib </w:t>
      </w:r>
      <w:r w:rsidR="00895893" w:rsidRPr="00863F01">
        <w:rPr>
          <w:rFonts w:cs="Arial"/>
          <w:bCs/>
          <w:snapToGrid w:val="0"/>
          <w:szCs w:val="22"/>
          <w:lang w:val="en-GB"/>
        </w:rPr>
        <w:t xml:space="preserve">as </w:t>
      </w:r>
      <w:r w:rsidR="00AE48EE" w:rsidRPr="00863F01">
        <w:rPr>
          <w:rFonts w:cs="Arial"/>
          <w:bCs/>
          <w:snapToGrid w:val="0"/>
          <w:szCs w:val="22"/>
          <w:lang w:val="en-GB"/>
        </w:rPr>
        <w:t>appropriate</w:t>
      </w:r>
      <w:r w:rsidR="00794B9E" w:rsidRPr="00863F01">
        <w:rPr>
          <w:rFonts w:cs="Arial"/>
          <w:bCs/>
          <w:snapToGrid w:val="0"/>
          <w:szCs w:val="22"/>
          <w:lang w:val="en-GB"/>
        </w:rPr>
        <w:t xml:space="preserve"> as per its recommendation in March 2016</w:t>
      </w:r>
      <w:r w:rsidR="00AE48EE" w:rsidRPr="00863F01">
        <w:rPr>
          <w:rFonts w:cs="Arial"/>
          <w:bCs/>
          <w:snapToGrid w:val="0"/>
          <w:szCs w:val="22"/>
          <w:lang w:val="en-GB"/>
        </w:rPr>
        <w:t>.</w:t>
      </w:r>
      <w:r w:rsidR="00863F01" w:rsidRPr="00863F01">
        <w:rPr>
          <w:rFonts w:cs="Arial"/>
          <w:bCs/>
          <w:snapToGrid w:val="0"/>
          <w:szCs w:val="22"/>
          <w:lang w:val="en-GB"/>
        </w:rPr>
        <w:t xml:space="preserve"> </w:t>
      </w:r>
      <w:r w:rsidR="00DC6B0E" w:rsidRPr="00863F01">
        <w:rPr>
          <w:rFonts w:cs="Arial"/>
          <w:bCs/>
          <w:snapToGrid w:val="0"/>
          <w:szCs w:val="22"/>
          <w:lang w:val="en-GB"/>
        </w:rPr>
        <w:t>In terms of the model input for disfigurement rate, t</w:t>
      </w:r>
      <w:r w:rsidR="00095A3E" w:rsidRPr="00863F01">
        <w:rPr>
          <w:rFonts w:cs="Arial"/>
          <w:bCs/>
          <w:snapToGrid w:val="0"/>
          <w:szCs w:val="22"/>
          <w:lang w:val="en-GB"/>
        </w:rPr>
        <w:t xml:space="preserve">he PBAC </w:t>
      </w:r>
      <w:r w:rsidR="00AE48EE" w:rsidRPr="00863F01">
        <w:rPr>
          <w:rFonts w:cs="Arial"/>
          <w:bCs/>
          <w:snapToGrid w:val="0"/>
          <w:szCs w:val="22"/>
          <w:lang w:val="en-GB"/>
        </w:rPr>
        <w:t>consider</w:t>
      </w:r>
      <w:r w:rsidR="00C6112D" w:rsidRPr="00863F01">
        <w:rPr>
          <w:rFonts w:cs="Arial"/>
          <w:bCs/>
          <w:snapToGrid w:val="0"/>
          <w:szCs w:val="22"/>
          <w:lang w:val="en-GB"/>
        </w:rPr>
        <w:t>ed</w:t>
      </w:r>
      <w:r w:rsidR="00095A3E" w:rsidRPr="00863F01">
        <w:rPr>
          <w:rFonts w:cs="Arial"/>
          <w:bCs/>
          <w:snapToGrid w:val="0"/>
          <w:szCs w:val="22"/>
          <w:lang w:val="en-GB"/>
        </w:rPr>
        <w:t xml:space="preserve"> a</w:t>
      </w:r>
      <w:r w:rsidR="00AE48EE" w:rsidRPr="00863F01">
        <w:rPr>
          <w:rFonts w:cs="Arial"/>
          <w:bCs/>
          <w:snapToGrid w:val="0"/>
          <w:szCs w:val="22"/>
          <w:lang w:val="en-GB"/>
        </w:rPr>
        <w:t xml:space="preserve"> revised</w:t>
      </w:r>
      <w:r w:rsidR="00095A3E" w:rsidRPr="00863F01">
        <w:rPr>
          <w:rFonts w:cs="Arial"/>
          <w:bCs/>
          <w:snapToGrid w:val="0"/>
          <w:szCs w:val="22"/>
          <w:lang w:val="en-GB"/>
        </w:rPr>
        <w:t xml:space="preserve"> 10% disfigurement rate </w:t>
      </w:r>
      <w:r w:rsidR="00DC6B0E" w:rsidRPr="00863F01">
        <w:rPr>
          <w:rFonts w:cs="Arial"/>
          <w:bCs/>
          <w:snapToGrid w:val="0"/>
          <w:szCs w:val="22"/>
          <w:lang w:val="en-GB"/>
        </w:rPr>
        <w:t xml:space="preserve">may </w:t>
      </w:r>
      <w:r w:rsidR="00095A3E" w:rsidRPr="00863F01">
        <w:rPr>
          <w:rFonts w:cs="Arial"/>
          <w:bCs/>
          <w:snapToGrid w:val="0"/>
          <w:szCs w:val="22"/>
          <w:lang w:val="en-GB"/>
        </w:rPr>
        <w:t>be reasonable</w:t>
      </w:r>
      <w:r w:rsidR="00DC6B0E" w:rsidRPr="00863F01">
        <w:rPr>
          <w:rFonts w:cs="Arial"/>
          <w:bCs/>
          <w:snapToGrid w:val="0"/>
          <w:szCs w:val="22"/>
          <w:lang w:val="en-GB"/>
        </w:rPr>
        <w:t>.</w:t>
      </w:r>
    </w:p>
    <w:p w:rsidR="00934B85" w:rsidRPr="00F5500D" w:rsidRDefault="00934B85" w:rsidP="00C87919">
      <w:pPr>
        <w:widowControl w:val="0"/>
        <w:ind w:left="720"/>
        <w:contextualSpacing/>
        <w:jc w:val="both"/>
        <w:rPr>
          <w:rFonts w:cs="Arial"/>
          <w:bCs/>
          <w:snapToGrid w:val="0"/>
          <w:szCs w:val="22"/>
          <w:lang w:val="en-GB"/>
        </w:rPr>
      </w:pPr>
    </w:p>
    <w:p w:rsidR="00934B85" w:rsidRPr="00F5500D" w:rsidRDefault="00934B85" w:rsidP="00F5500D">
      <w:pPr>
        <w:widowControl w:val="0"/>
        <w:numPr>
          <w:ilvl w:val="1"/>
          <w:numId w:val="5"/>
        </w:numPr>
        <w:contextualSpacing/>
        <w:jc w:val="both"/>
        <w:rPr>
          <w:rFonts w:cs="Arial"/>
          <w:bCs/>
          <w:snapToGrid w:val="0"/>
          <w:szCs w:val="22"/>
          <w:lang w:val="en-GB"/>
        </w:rPr>
      </w:pPr>
      <w:r w:rsidRPr="00F5500D">
        <w:rPr>
          <w:rFonts w:cs="Arial"/>
          <w:bCs/>
          <w:snapToGrid w:val="0"/>
          <w:szCs w:val="22"/>
          <w:lang w:val="en-GB"/>
        </w:rPr>
        <w:t>The PBAC noted that this submission is</w:t>
      </w:r>
      <w:r w:rsidR="00A557CC">
        <w:rPr>
          <w:rFonts w:cs="Arial"/>
          <w:bCs/>
          <w:snapToGrid w:val="0"/>
          <w:szCs w:val="22"/>
          <w:lang w:val="en-GB"/>
        </w:rPr>
        <w:t xml:space="preserve"> </w:t>
      </w:r>
      <w:r w:rsidRPr="00F5500D">
        <w:rPr>
          <w:rFonts w:cs="Arial"/>
          <w:bCs/>
          <w:snapToGrid w:val="0"/>
          <w:szCs w:val="22"/>
          <w:lang w:val="en-GB"/>
        </w:rPr>
        <w:t>not eligible for an Independent Review</w:t>
      </w:r>
      <w:r w:rsidR="0006727E">
        <w:rPr>
          <w:rFonts w:cs="Arial"/>
          <w:bCs/>
          <w:snapToGrid w:val="0"/>
          <w:szCs w:val="22"/>
          <w:lang w:val="en-GB"/>
        </w:rPr>
        <w:t xml:space="preserve"> as this was a request to change an existing recommendation.</w:t>
      </w:r>
    </w:p>
    <w:p w:rsidR="00934B85" w:rsidRPr="00F5500D" w:rsidRDefault="00934B85" w:rsidP="00934B85">
      <w:pPr>
        <w:jc w:val="both"/>
        <w:rPr>
          <w:rFonts w:cs="Arial"/>
          <w:b/>
          <w:bCs/>
          <w:snapToGrid w:val="0"/>
          <w:szCs w:val="22"/>
          <w:lang w:val="en-GB"/>
        </w:rPr>
      </w:pPr>
    </w:p>
    <w:p w:rsidR="00934B85" w:rsidRPr="00F5500D" w:rsidRDefault="00934B85" w:rsidP="00934B85">
      <w:pPr>
        <w:jc w:val="both"/>
        <w:rPr>
          <w:rFonts w:cs="Arial"/>
          <w:b/>
          <w:bCs/>
          <w:snapToGrid w:val="0"/>
          <w:szCs w:val="22"/>
          <w:lang w:val="en-GB"/>
        </w:rPr>
      </w:pPr>
      <w:r w:rsidRPr="00F5500D">
        <w:rPr>
          <w:rFonts w:cs="Arial"/>
          <w:b/>
          <w:bCs/>
          <w:snapToGrid w:val="0"/>
          <w:szCs w:val="22"/>
          <w:lang w:val="en-GB"/>
        </w:rPr>
        <w:t>Outcome:</w:t>
      </w:r>
    </w:p>
    <w:p w:rsidR="00C60F56" w:rsidRPr="00C60F56" w:rsidRDefault="00AC20D6" w:rsidP="00934B85">
      <w:pPr>
        <w:jc w:val="both"/>
        <w:rPr>
          <w:rFonts w:cs="Arial"/>
          <w:bCs/>
          <w:snapToGrid w:val="0"/>
          <w:szCs w:val="22"/>
          <w:lang w:val="en-GB"/>
        </w:rPr>
      </w:pPr>
      <w:r>
        <w:rPr>
          <w:rFonts w:cs="Arial"/>
          <w:bCs/>
          <w:snapToGrid w:val="0"/>
          <w:szCs w:val="22"/>
          <w:lang w:val="en-GB"/>
        </w:rPr>
        <w:t>Advice provided.</w:t>
      </w:r>
    </w:p>
    <w:p w:rsidR="009D65D4" w:rsidRPr="00570D4E" w:rsidRDefault="009D65D4" w:rsidP="009D65D4">
      <w:pPr>
        <w:pStyle w:val="PBACheading10"/>
        <w:numPr>
          <w:ilvl w:val="0"/>
          <w:numId w:val="5"/>
        </w:numPr>
      </w:pPr>
      <w:r w:rsidRPr="00485DD3">
        <w:lastRenderedPageBreak/>
        <w:t>Context for Decision</w:t>
      </w:r>
    </w:p>
    <w:p w:rsidR="009D65D4" w:rsidRDefault="009D65D4" w:rsidP="00B84B8E">
      <w:pPr>
        <w:ind w:left="426"/>
        <w:jc w:val="both"/>
      </w:pPr>
    </w:p>
    <w:p w:rsidR="009D65D4" w:rsidRDefault="009D65D4" w:rsidP="00B84B8E">
      <w:pPr>
        <w:ind w:left="709"/>
        <w:jc w:val="both"/>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D65D4" w:rsidRDefault="009D65D4" w:rsidP="009D65D4">
      <w:pPr>
        <w:ind w:left="426"/>
      </w:pPr>
    </w:p>
    <w:p w:rsidR="009D65D4" w:rsidRPr="00570D4E" w:rsidRDefault="009D65D4" w:rsidP="009D65D4">
      <w:pPr>
        <w:pStyle w:val="PBACheading10"/>
        <w:numPr>
          <w:ilvl w:val="0"/>
          <w:numId w:val="5"/>
        </w:numPr>
      </w:pPr>
      <w:r w:rsidRPr="00485DD3">
        <w:t>Sponsor’s Comment</w:t>
      </w:r>
    </w:p>
    <w:p w:rsidR="009D65D4" w:rsidRDefault="009D65D4" w:rsidP="009D65D4">
      <w:pPr>
        <w:ind w:left="426"/>
        <w:rPr>
          <w:bCs/>
          <w:highlight w:val="yellow"/>
          <w:lang w:val="en-GB"/>
        </w:rPr>
      </w:pPr>
    </w:p>
    <w:p w:rsidR="009A3BA2" w:rsidRDefault="009A3BA2" w:rsidP="009A3BA2">
      <w:pPr>
        <w:spacing w:after="120"/>
        <w:ind w:left="720"/>
        <w:rPr>
          <w:bCs/>
          <w:lang w:val="en-GB"/>
        </w:rPr>
      </w:pPr>
      <w:r>
        <w:rPr>
          <w:bCs/>
          <w:lang w:val="en-GB"/>
        </w:rPr>
        <w:t>Roche welcomes the advice provided by the PBAC and look forward to working with the Department of Health to ensure the earliest possible access for patients with advanced BCC who are currently without suitable treatment alternatives</w:t>
      </w:r>
    </w:p>
    <w:p w:rsidR="00934B85" w:rsidRPr="00EA0EDA" w:rsidRDefault="00934B85" w:rsidP="00934B85">
      <w:pPr>
        <w:widowControl w:val="0"/>
        <w:jc w:val="both"/>
        <w:rPr>
          <w:rFonts w:cs="Arial"/>
          <w:b/>
          <w:bCs/>
          <w:snapToGrid w:val="0"/>
          <w:szCs w:val="22"/>
          <w:highlight w:val="yellow"/>
        </w:rPr>
      </w:pPr>
    </w:p>
    <w:p w:rsidR="00934B85" w:rsidRPr="00CC1064" w:rsidRDefault="00934B85" w:rsidP="00CC1064">
      <w:pPr>
        <w:rPr>
          <w:rFonts w:cs="Arial"/>
          <w:b/>
          <w:bCs/>
          <w:snapToGrid w:val="0"/>
          <w:szCs w:val="22"/>
        </w:rPr>
      </w:pPr>
    </w:p>
    <w:sectPr w:rsidR="00934B85" w:rsidRPr="00CC106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A5" w:rsidRDefault="006505A5">
      <w:r>
        <w:separator/>
      </w:r>
    </w:p>
    <w:p w:rsidR="006505A5" w:rsidRDefault="006505A5"/>
    <w:p w:rsidR="006505A5" w:rsidRDefault="006505A5"/>
    <w:p w:rsidR="006505A5" w:rsidRDefault="006505A5" w:rsidP="00CB107A"/>
  </w:endnote>
  <w:endnote w:type="continuationSeparator" w:id="0">
    <w:p w:rsidR="006505A5" w:rsidRDefault="006505A5">
      <w:r>
        <w:continuationSeparator/>
      </w:r>
    </w:p>
    <w:p w:rsidR="006505A5" w:rsidRDefault="006505A5"/>
    <w:p w:rsidR="006505A5" w:rsidRDefault="006505A5"/>
    <w:p w:rsidR="006505A5" w:rsidRDefault="006505A5" w:rsidP="00CB1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A3BA2" w:rsidTr="005A3173">
      <w:trPr>
        <w:trHeight w:val="151"/>
      </w:trPr>
      <w:tc>
        <w:tcPr>
          <w:tcW w:w="2250" w:type="pct"/>
          <w:tcBorders>
            <w:top w:val="nil"/>
            <w:left w:val="nil"/>
            <w:bottom w:val="single" w:sz="4" w:space="0" w:color="4F81BD"/>
            <w:right w:val="nil"/>
          </w:tcBorders>
        </w:tcPr>
        <w:p w:rsidR="009A3BA2" w:rsidRPr="005A3173" w:rsidRDefault="009A3B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3BA2" w:rsidRPr="005A3173" w:rsidRDefault="009A3B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3BA2" w:rsidRPr="005A3173" w:rsidRDefault="009A3BA2" w:rsidP="005A3173">
          <w:pPr>
            <w:pStyle w:val="Header"/>
            <w:spacing w:line="276" w:lineRule="auto"/>
            <w:rPr>
              <w:rFonts w:ascii="Calibri" w:eastAsia="MS Gothic" w:hAnsi="Calibri"/>
              <w:b/>
              <w:bCs/>
              <w:color w:val="4F81BD"/>
            </w:rPr>
          </w:pPr>
        </w:p>
      </w:tc>
    </w:tr>
    <w:tr w:rsidR="009A3BA2" w:rsidTr="005A3173">
      <w:trPr>
        <w:trHeight w:val="150"/>
      </w:trPr>
      <w:tc>
        <w:tcPr>
          <w:tcW w:w="2250" w:type="pct"/>
          <w:tcBorders>
            <w:top w:val="single" w:sz="4" w:space="0" w:color="4F81BD"/>
            <w:left w:val="nil"/>
            <w:bottom w:val="nil"/>
            <w:right w:val="nil"/>
          </w:tcBorders>
        </w:tcPr>
        <w:p w:rsidR="009A3BA2" w:rsidRPr="005A3173" w:rsidRDefault="009A3BA2" w:rsidP="005A3173">
          <w:pPr>
            <w:pStyle w:val="Header"/>
            <w:spacing w:line="276" w:lineRule="auto"/>
            <w:rPr>
              <w:rFonts w:ascii="Calibri" w:eastAsia="MS Gothic" w:hAnsi="Calibri"/>
              <w:b/>
              <w:bCs/>
              <w:color w:val="4F81BD"/>
            </w:rPr>
          </w:pPr>
        </w:p>
      </w:tc>
      <w:tc>
        <w:tcPr>
          <w:tcW w:w="0" w:type="auto"/>
          <w:vMerge/>
          <w:vAlign w:val="center"/>
          <w:hideMark/>
        </w:tcPr>
        <w:p w:rsidR="009A3BA2" w:rsidRPr="005A3173" w:rsidRDefault="009A3BA2" w:rsidP="005A3173">
          <w:pPr>
            <w:rPr>
              <w:rFonts w:ascii="Calibri" w:hAnsi="Calibri"/>
              <w:color w:val="365F91"/>
              <w:szCs w:val="22"/>
            </w:rPr>
          </w:pPr>
        </w:p>
      </w:tc>
      <w:tc>
        <w:tcPr>
          <w:tcW w:w="2250" w:type="pct"/>
          <w:tcBorders>
            <w:top w:val="single" w:sz="4" w:space="0" w:color="4F81BD"/>
            <w:left w:val="nil"/>
            <w:bottom w:val="nil"/>
            <w:right w:val="nil"/>
          </w:tcBorders>
        </w:tcPr>
        <w:p w:rsidR="009A3BA2" w:rsidRPr="005A3173" w:rsidRDefault="009A3BA2" w:rsidP="005A3173">
          <w:pPr>
            <w:pStyle w:val="Header"/>
            <w:spacing w:line="276" w:lineRule="auto"/>
            <w:rPr>
              <w:rFonts w:ascii="Calibri" w:eastAsia="MS Gothic" w:hAnsi="Calibri"/>
              <w:b/>
              <w:bCs/>
              <w:color w:val="4F81BD"/>
            </w:rPr>
          </w:pPr>
        </w:p>
      </w:tc>
    </w:tr>
  </w:tbl>
  <w:p w:rsidR="009A3BA2" w:rsidRDefault="009A3BA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3BA2" w:rsidRDefault="009A3BA2">
    <w:pPr>
      <w:pStyle w:val="Footer"/>
    </w:pPr>
  </w:p>
  <w:p w:rsidR="009A3BA2" w:rsidRDefault="009A3BA2"/>
  <w:p w:rsidR="009A3BA2" w:rsidRDefault="009A3BA2"/>
  <w:p w:rsidR="009A3BA2" w:rsidRDefault="009A3BA2" w:rsidP="00CB10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40633"/>
      <w:docPartObj>
        <w:docPartGallery w:val="Page Numbers (Bottom of Page)"/>
        <w:docPartUnique/>
      </w:docPartObj>
    </w:sdtPr>
    <w:sdtEndPr>
      <w:rPr>
        <w:rFonts w:cs="Arial"/>
        <w:noProof/>
      </w:rPr>
    </w:sdtEndPr>
    <w:sdtContent>
      <w:p w:rsidR="009A3BA2" w:rsidRPr="00DB7FE9" w:rsidRDefault="009A3BA2">
        <w:pPr>
          <w:pStyle w:val="Footer"/>
          <w:jc w:val="center"/>
          <w:rPr>
            <w:rFonts w:cs="Arial"/>
          </w:rPr>
        </w:pPr>
        <w:r w:rsidRPr="00DB7FE9">
          <w:rPr>
            <w:rFonts w:cs="Arial"/>
          </w:rPr>
          <w:fldChar w:fldCharType="begin"/>
        </w:r>
        <w:r w:rsidRPr="00DB7FE9">
          <w:rPr>
            <w:rFonts w:cs="Arial"/>
          </w:rPr>
          <w:instrText xml:space="preserve"> PAGE   \* MERGEFORMAT </w:instrText>
        </w:r>
        <w:r w:rsidRPr="00DB7FE9">
          <w:rPr>
            <w:rFonts w:cs="Arial"/>
          </w:rPr>
          <w:fldChar w:fldCharType="separate"/>
        </w:r>
        <w:r w:rsidR="001627F4" w:rsidRPr="001627F4">
          <w:rPr>
            <w:rFonts w:ascii="Times New Roman" w:hAnsi="Times New Roman" w:cs="Arial"/>
            <w:noProof/>
            <w:sz w:val="24"/>
          </w:rPr>
          <w:t>1</w:t>
        </w:r>
        <w:r w:rsidRPr="00DB7FE9">
          <w:rPr>
            <w:rFonts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A3BA2" w:rsidTr="005A3173">
      <w:trPr>
        <w:trHeight w:val="151"/>
      </w:trPr>
      <w:tc>
        <w:tcPr>
          <w:tcW w:w="2250" w:type="pct"/>
          <w:tcBorders>
            <w:top w:val="nil"/>
            <w:left w:val="nil"/>
            <w:bottom w:val="single" w:sz="4" w:space="0" w:color="4F81BD"/>
            <w:right w:val="nil"/>
          </w:tcBorders>
        </w:tcPr>
        <w:p w:rsidR="009A3BA2" w:rsidRPr="005A3173" w:rsidRDefault="009A3B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3BA2" w:rsidRPr="005A3173" w:rsidRDefault="009A3B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3BA2" w:rsidRPr="005A3173" w:rsidRDefault="009A3BA2" w:rsidP="005A3173">
          <w:pPr>
            <w:pStyle w:val="Header"/>
            <w:spacing w:line="276" w:lineRule="auto"/>
            <w:rPr>
              <w:rFonts w:ascii="Calibri" w:eastAsia="MS Gothic" w:hAnsi="Calibri"/>
              <w:b/>
              <w:bCs/>
              <w:color w:val="4F81BD"/>
            </w:rPr>
          </w:pPr>
        </w:p>
      </w:tc>
    </w:tr>
    <w:tr w:rsidR="009A3BA2" w:rsidTr="005A3173">
      <w:trPr>
        <w:trHeight w:val="150"/>
      </w:trPr>
      <w:tc>
        <w:tcPr>
          <w:tcW w:w="2250" w:type="pct"/>
          <w:tcBorders>
            <w:top w:val="single" w:sz="4" w:space="0" w:color="4F81BD"/>
            <w:left w:val="nil"/>
            <w:bottom w:val="nil"/>
            <w:right w:val="nil"/>
          </w:tcBorders>
        </w:tcPr>
        <w:p w:rsidR="009A3BA2" w:rsidRPr="005A3173" w:rsidRDefault="009A3BA2" w:rsidP="005A3173">
          <w:pPr>
            <w:pStyle w:val="Header"/>
            <w:spacing w:line="276" w:lineRule="auto"/>
            <w:rPr>
              <w:rFonts w:ascii="Calibri" w:eastAsia="MS Gothic" w:hAnsi="Calibri"/>
              <w:b/>
              <w:bCs/>
              <w:color w:val="4F81BD"/>
            </w:rPr>
          </w:pPr>
        </w:p>
      </w:tc>
      <w:tc>
        <w:tcPr>
          <w:tcW w:w="0" w:type="auto"/>
          <w:vMerge/>
          <w:vAlign w:val="center"/>
          <w:hideMark/>
        </w:tcPr>
        <w:p w:rsidR="009A3BA2" w:rsidRPr="005A3173" w:rsidRDefault="009A3BA2" w:rsidP="005A3173">
          <w:pPr>
            <w:rPr>
              <w:rFonts w:ascii="Calibri" w:hAnsi="Calibri"/>
              <w:color w:val="365F91"/>
              <w:szCs w:val="22"/>
            </w:rPr>
          </w:pPr>
        </w:p>
      </w:tc>
      <w:tc>
        <w:tcPr>
          <w:tcW w:w="2250" w:type="pct"/>
          <w:tcBorders>
            <w:top w:val="single" w:sz="4" w:space="0" w:color="4F81BD"/>
            <w:left w:val="nil"/>
            <w:bottom w:val="nil"/>
            <w:right w:val="nil"/>
          </w:tcBorders>
        </w:tcPr>
        <w:p w:rsidR="009A3BA2" w:rsidRPr="005A3173" w:rsidRDefault="009A3BA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A3BA2" w:rsidTr="005A3173">
      <w:trPr>
        <w:trHeight w:val="151"/>
      </w:trPr>
      <w:tc>
        <w:tcPr>
          <w:tcW w:w="2250" w:type="pct"/>
          <w:tcBorders>
            <w:top w:val="nil"/>
            <w:left w:val="nil"/>
            <w:bottom w:val="single" w:sz="4" w:space="0" w:color="4F81BD"/>
            <w:right w:val="nil"/>
          </w:tcBorders>
        </w:tcPr>
        <w:p w:rsidR="009A3BA2" w:rsidRPr="005A3173" w:rsidRDefault="009A3B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3BA2" w:rsidRPr="005A3173" w:rsidRDefault="009A3B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3BA2" w:rsidRPr="005A3173" w:rsidRDefault="009A3BA2" w:rsidP="005A3173">
          <w:pPr>
            <w:pStyle w:val="Header"/>
            <w:spacing w:line="276" w:lineRule="auto"/>
            <w:rPr>
              <w:rFonts w:ascii="Calibri" w:eastAsia="MS Gothic" w:hAnsi="Calibri"/>
              <w:b/>
              <w:bCs/>
              <w:color w:val="4F81BD"/>
            </w:rPr>
          </w:pPr>
        </w:p>
      </w:tc>
    </w:tr>
    <w:tr w:rsidR="009A3BA2" w:rsidTr="005A3173">
      <w:trPr>
        <w:trHeight w:val="150"/>
      </w:trPr>
      <w:tc>
        <w:tcPr>
          <w:tcW w:w="2250" w:type="pct"/>
          <w:tcBorders>
            <w:top w:val="single" w:sz="4" w:space="0" w:color="4F81BD"/>
            <w:left w:val="nil"/>
            <w:bottom w:val="nil"/>
            <w:right w:val="nil"/>
          </w:tcBorders>
        </w:tcPr>
        <w:p w:rsidR="009A3BA2" w:rsidRPr="005A3173" w:rsidRDefault="009A3BA2" w:rsidP="005A3173">
          <w:pPr>
            <w:pStyle w:val="Header"/>
            <w:spacing w:line="276" w:lineRule="auto"/>
            <w:rPr>
              <w:rFonts w:ascii="Calibri" w:eastAsia="MS Gothic" w:hAnsi="Calibri"/>
              <w:b/>
              <w:bCs/>
              <w:color w:val="4F81BD"/>
            </w:rPr>
          </w:pPr>
        </w:p>
      </w:tc>
      <w:tc>
        <w:tcPr>
          <w:tcW w:w="0" w:type="auto"/>
          <w:vMerge/>
          <w:vAlign w:val="center"/>
          <w:hideMark/>
        </w:tcPr>
        <w:p w:rsidR="009A3BA2" w:rsidRPr="005A3173" w:rsidRDefault="009A3BA2" w:rsidP="005A3173">
          <w:pPr>
            <w:rPr>
              <w:rFonts w:ascii="Calibri" w:hAnsi="Calibri"/>
              <w:color w:val="365F91"/>
              <w:szCs w:val="22"/>
            </w:rPr>
          </w:pPr>
        </w:p>
      </w:tc>
      <w:tc>
        <w:tcPr>
          <w:tcW w:w="2250" w:type="pct"/>
          <w:tcBorders>
            <w:top w:val="single" w:sz="4" w:space="0" w:color="4F81BD"/>
            <w:left w:val="nil"/>
            <w:bottom w:val="nil"/>
            <w:right w:val="nil"/>
          </w:tcBorders>
        </w:tcPr>
        <w:p w:rsidR="009A3BA2" w:rsidRPr="005A3173" w:rsidRDefault="009A3BA2" w:rsidP="005A3173">
          <w:pPr>
            <w:pStyle w:val="Header"/>
            <w:spacing w:line="276" w:lineRule="auto"/>
            <w:rPr>
              <w:rFonts w:ascii="Calibri" w:eastAsia="MS Gothic" w:hAnsi="Calibri"/>
              <w:b/>
              <w:bCs/>
              <w:color w:val="4F81BD"/>
            </w:rPr>
          </w:pPr>
        </w:p>
      </w:tc>
    </w:tr>
  </w:tbl>
  <w:p w:rsidR="009A3BA2" w:rsidRPr="007C0F57" w:rsidRDefault="009A3BA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A3BA2" w:rsidRPr="007C0F57" w:rsidRDefault="009A3BA2" w:rsidP="007C0F57">
    <w:pPr>
      <w:pStyle w:val="Footer"/>
      <w:jc w:val="center"/>
      <w:rPr>
        <w:b/>
        <w:i/>
        <w:sz w:val="20"/>
        <w:szCs w:val="20"/>
      </w:rPr>
    </w:pPr>
    <w:r w:rsidRPr="007C0F57">
      <w:rPr>
        <w:b/>
        <w:i/>
        <w:sz w:val="20"/>
        <w:szCs w:val="20"/>
      </w:rPr>
      <w:t>Commercial-in-Confidence</w:t>
    </w:r>
  </w:p>
  <w:p w:rsidR="009A3BA2" w:rsidRDefault="009A3BA2"/>
  <w:p w:rsidR="009A3BA2" w:rsidRDefault="009A3BA2"/>
  <w:p w:rsidR="009A3BA2" w:rsidRDefault="009A3BA2" w:rsidP="00CB10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A5" w:rsidRDefault="006505A5">
      <w:r>
        <w:separator/>
      </w:r>
    </w:p>
    <w:p w:rsidR="006505A5" w:rsidRDefault="006505A5"/>
    <w:p w:rsidR="006505A5" w:rsidRDefault="006505A5"/>
    <w:p w:rsidR="006505A5" w:rsidRDefault="006505A5" w:rsidP="00CB107A"/>
  </w:footnote>
  <w:footnote w:type="continuationSeparator" w:id="0">
    <w:p w:rsidR="006505A5" w:rsidRDefault="006505A5">
      <w:r>
        <w:continuationSeparator/>
      </w:r>
    </w:p>
    <w:p w:rsidR="006505A5" w:rsidRDefault="006505A5"/>
    <w:p w:rsidR="006505A5" w:rsidRDefault="006505A5"/>
    <w:p w:rsidR="006505A5" w:rsidRDefault="006505A5" w:rsidP="00CB10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A3BA2" w:rsidRPr="008E0D90" w:rsidTr="00A06225">
      <w:trPr>
        <w:trHeight w:val="151"/>
      </w:trPr>
      <w:tc>
        <w:tcPr>
          <w:tcW w:w="2389" w:type="pct"/>
          <w:tcBorders>
            <w:top w:val="nil"/>
            <w:left w:val="nil"/>
            <w:bottom w:val="single" w:sz="4" w:space="0" w:color="4F81BD"/>
            <w:right w:val="nil"/>
          </w:tcBorders>
        </w:tcPr>
        <w:p w:rsidR="009A3BA2" w:rsidRPr="00A06225" w:rsidRDefault="009A3BA2">
          <w:pPr>
            <w:pStyle w:val="Header"/>
            <w:spacing w:line="276" w:lineRule="auto"/>
            <w:rPr>
              <w:rFonts w:ascii="Cambria" w:eastAsia="MS Gothic" w:hAnsi="Cambria"/>
              <w:b/>
              <w:bCs/>
              <w:color w:val="4F81BD"/>
            </w:rPr>
          </w:pPr>
        </w:p>
      </w:tc>
      <w:tc>
        <w:tcPr>
          <w:tcW w:w="333" w:type="pct"/>
          <w:vMerge w:val="restart"/>
          <w:noWrap/>
          <w:vAlign w:val="center"/>
          <w:hideMark/>
        </w:tcPr>
        <w:p w:rsidR="009A3BA2" w:rsidRPr="00A06225" w:rsidRDefault="009A3BA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A3BA2" w:rsidRPr="00A06225" w:rsidRDefault="009A3BA2">
          <w:pPr>
            <w:pStyle w:val="Header"/>
            <w:spacing w:line="276" w:lineRule="auto"/>
            <w:rPr>
              <w:rFonts w:ascii="Cambria" w:eastAsia="MS Gothic" w:hAnsi="Cambria"/>
              <w:b/>
              <w:bCs/>
              <w:color w:val="4F81BD"/>
            </w:rPr>
          </w:pPr>
        </w:p>
      </w:tc>
    </w:tr>
    <w:tr w:rsidR="009A3BA2" w:rsidRPr="008E0D90" w:rsidTr="00A06225">
      <w:trPr>
        <w:trHeight w:val="150"/>
      </w:trPr>
      <w:tc>
        <w:tcPr>
          <w:tcW w:w="2389" w:type="pct"/>
          <w:tcBorders>
            <w:top w:val="single" w:sz="4" w:space="0" w:color="4F81BD"/>
            <w:left w:val="nil"/>
            <w:bottom w:val="nil"/>
            <w:right w:val="nil"/>
          </w:tcBorders>
        </w:tcPr>
        <w:p w:rsidR="009A3BA2" w:rsidRPr="00A06225" w:rsidRDefault="009A3BA2">
          <w:pPr>
            <w:pStyle w:val="Header"/>
            <w:spacing w:line="276" w:lineRule="auto"/>
            <w:rPr>
              <w:rFonts w:ascii="Cambria" w:eastAsia="MS Gothic" w:hAnsi="Cambria"/>
              <w:b/>
              <w:bCs/>
              <w:color w:val="4F81BD"/>
            </w:rPr>
          </w:pPr>
        </w:p>
      </w:tc>
      <w:tc>
        <w:tcPr>
          <w:tcW w:w="0" w:type="auto"/>
          <w:vMerge/>
          <w:vAlign w:val="center"/>
          <w:hideMark/>
        </w:tcPr>
        <w:p w:rsidR="009A3BA2" w:rsidRPr="00A06225" w:rsidRDefault="009A3BA2">
          <w:pPr>
            <w:rPr>
              <w:rFonts w:ascii="Cambria" w:hAnsi="Cambria"/>
              <w:color w:val="4F81BD"/>
              <w:szCs w:val="22"/>
            </w:rPr>
          </w:pPr>
        </w:p>
      </w:tc>
      <w:tc>
        <w:tcPr>
          <w:tcW w:w="2278" w:type="pct"/>
          <w:tcBorders>
            <w:top w:val="single" w:sz="4" w:space="0" w:color="4F81BD"/>
            <w:left w:val="nil"/>
            <w:bottom w:val="nil"/>
            <w:right w:val="nil"/>
          </w:tcBorders>
        </w:tcPr>
        <w:p w:rsidR="009A3BA2" w:rsidRPr="00A06225" w:rsidRDefault="009A3BA2">
          <w:pPr>
            <w:pStyle w:val="Header"/>
            <w:spacing w:line="276" w:lineRule="auto"/>
            <w:rPr>
              <w:rFonts w:ascii="Cambria" w:eastAsia="MS Gothic" w:hAnsi="Cambria"/>
              <w:b/>
              <w:bCs/>
              <w:color w:val="4F81BD"/>
            </w:rPr>
          </w:pPr>
        </w:p>
      </w:tc>
    </w:tr>
  </w:tbl>
  <w:p w:rsidR="009A3BA2" w:rsidRDefault="009A3BA2">
    <w:pPr>
      <w:pStyle w:val="Header"/>
    </w:pPr>
  </w:p>
  <w:p w:rsidR="009A3BA2" w:rsidRDefault="009A3BA2"/>
  <w:p w:rsidR="009A3BA2" w:rsidRDefault="009A3BA2"/>
  <w:p w:rsidR="009A3BA2" w:rsidRDefault="009A3BA2" w:rsidP="00CB10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A2" w:rsidRDefault="009A3BA2" w:rsidP="009D65D4">
    <w:pPr>
      <w:pStyle w:val="Header"/>
      <w:jc w:val="center"/>
      <w:rPr>
        <w:rFonts w:cs="Arial"/>
        <w:i/>
        <w:color w:val="808080"/>
      </w:rPr>
    </w:pPr>
    <w:r>
      <w:rPr>
        <w:rFonts w:cs="Arial"/>
        <w:i/>
        <w:color w:val="808080"/>
      </w:rPr>
      <w:t xml:space="preserve">Public Summary Document – November 2016 </w:t>
    </w:r>
    <w:r w:rsidRPr="00DF217D">
      <w:rPr>
        <w:rFonts w:cs="Arial"/>
        <w:i/>
        <w:color w:val="808080"/>
      </w:rPr>
      <w:t>PBAC</w:t>
    </w:r>
    <w:r>
      <w:rPr>
        <w:rFonts w:cs="Arial"/>
        <w:i/>
        <w:color w:val="808080"/>
      </w:rPr>
      <w:t xml:space="preserve"> </w:t>
    </w:r>
    <w:r w:rsidRPr="00DF217D">
      <w:rPr>
        <w:rFonts w:cs="Arial"/>
        <w:i/>
        <w:color w:val="808080"/>
      </w:rPr>
      <w:t>Meeting</w:t>
    </w:r>
  </w:p>
  <w:p w:rsidR="009A3BA2" w:rsidRDefault="009A3BA2" w:rsidP="00CB10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A5" w:rsidRDefault="00650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40884B8"/>
    <w:lvl w:ilvl="0">
      <w:start w:val="5"/>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79A4835"/>
    <w:multiLevelType w:val="hybridMultilevel"/>
    <w:tmpl w:val="4ACCF804"/>
    <w:lvl w:ilvl="0" w:tplc="65FA8510">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B55C7D"/>
    <w:multiLevelType w:val="hybridMultilevel"/>
    <w:tmpl w:val="724E9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E1271B0"/>
    <w:multiLevelType w:val="hybridMultilevel"/>
    <w:tmpl w:val="E8B4D1B6"/>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95C6B26"/>
    <w:multiLevelType w:val="hybridMultilevel"/>
    <w:tmpl w:val="83F245E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50D94"/>
    <w:multiLevelType w:val="hybridMultilevel"/>
    <w:tmpl w:val="76D64B02"/>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01D26A4"/>
    <w:multiLevelType w:val="hybridMultilevel"/>
    <w:tmpl w:val="57FA9690"/>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6D6CBA"/>
    <w:multiLevelType w:val="hybridMultilevel"/>
    <w:tmpl w:val="7B96B18A"/>
    <w:lvl w:ilvl="0" w:tplc="A028BD9C">
      <w:numFmt w:val="bullet"/>
      <w:lvlText w:val="-"/>
      <w:lvlJc w:val="left"/>
      <w:pPr>
        <w:ind w:left="530" w:hanging="360"/>
      </w:pPr>
      <w:rPr>
        <w:rFonts w:ascii="Arial Narrow" w:eastAsia="Times New Roman" w:hAnsi="Arial Narrow"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4">
    <w:nsid w:val="7278315A"/>
    <w:multiLevelType w:val="hybridMultilevel"/>
    <w:tmpl w:val="2E4692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84D033C"/>
    <w:multiLevelType w:val="multilevel"/>
    <w:tmpl w:val="E75419B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9"/>
  </w:num>
  <w:num w:numId="4">
    <w:abstractNumId w:val="19"/>
  </w:num>
  <w:num w:numId="5">
    <w:abstractNumId w:val="25"/>
  </w:num>
  <w:num w:numId="6">
    <w:abstractNumId w:val="10"/>
  </w:num>
  <w:num w:numId="7">
    <w:abstractNumId w:val="18"/>
  </w:num>
  <w:num w:numId="8">
    <w:abstractNumId w:val="4"/>
  </w:num>
  <w:num w:numId="9">
    <w:abstractNumId w:val="17"/>
  </w:num>
  <w:num w:numId="10">
    <w:abstractNumId w:val="16"/>
  </w:num>
  <w:num w:numId="11">
    <w:abstractNumId w:val="15"/>
  </w:num>
  <w:num w:numId="12">
    <w:abstractNumId w:val="1"/>
  </w:num>
  <w:num w:numId="13">
    <w:abstractNumId w:val="0"/>
  </w:num>
  <w:num w:numId="14">
    <w:abstractNumId w:val="25"/>
  </w:num>
  <w:num w:numId="15">
    <w:abstractNumId w:val="8"/>
  </w:num>
  <w:num w:numId="16">
    <w:abstractNumId w:val="6"/>
  </w:num>
  <w:num w:numId="17">
    <w:abstractNumId w:val="5"/>
  </w:num>
  <w:num w:numId="18">
    <w:abstractNumId w:val="13"/>
  </w:num>
  <w:num w:numId="19">
    <w:abstractNumId w:val="2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4"/>
  </w:num>
  <w:num w:numId="23">
    <w:abstractNumId w:val="21"/>
  </w:num>
  <w:num w:numId="24">
    <w:abstractNumId w:val="22"/>
  </w:num>
  <w:num w:numId="25">
    <w:abstractNumId w:val="7"/>
  </w:num>
  <w:num w:numId="26">
    <w:abstractNumId w:val="2"/>
  </w:num>
  <w:num w:numId="27">
    <w:abstractNumId w:val="12"/>
  </w:num>
  <w:num w:numId="28">
    <w:abstractNumId w:val="2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5E7D"/>
    <w:rsid w:val="0001651B"/>
    <w:rsid w:val="00017A8D"/>
    <w:rsid w:val="00017FA3"/>
    <w:rsid w:val="00022755"/>
    <w:rsid w:val="0002464A"/>
    <w:rsid w:val="0003106B"/>
    <w:rsid w:val="00036C28"/>
    <w:rsid w:val="00037988"/>
    <w:rsid w:val="000421A1"/>
    <w:rsid w:val="0004240E"/>
    <w:rsid w:val="00045E26"/>
    <w:rsid w:val="000514B5"/>
    <w:rsid w:val="0005629D"/>
    <w:rsid w:val="00060E64"/>
    <w:rsid w:val="00062140"/>
    <w:rsid w:val="00066755"/>
    <w:rsid w:val="0006727E"/>
    <w:rsid w:val="00067C05"/>
    <w:rsid w:val="00077143"/>
    <w:rsid w:val="00084D3F"/>
    <w:rsid w:val="0008603C"/>
    <w:rsid w:val="00095A3E"/>
    <w:rsid w:val="000969AD"/>
    <w:rsid w:val="000B558D"/>
    <w:rsid w:val="000B5C11"/>
    <w:rsid w:val="000C6996"/>
    <w:rsid w:val="000D23BA"/>
    <w:rsid w:val="000E108D"/>
    <w:rsid w:val="000E681E"/>
    <w:rsid w:val="000E7716"/>
    <w:rsid w:val="000F0388"/>
    <w:rsid w:val="000F30E1"/>
    <w:rsid w:val="000F4E6A"/>
    <w:rsid w:val="001067ED"/>
    <w:rsid w:val="001107BF"/>
    <w:rsid w:val="0012417C"/>
    <w:rsid w:val="00130227"/>
    <w:rsid w:val="00131079"/>
    <w:rsid w:val="0013671E"/>
    <w:rsid w:val="00142395"/>
    <w:rsid w:val="00142714"/>
    <w:rsid w:val="001452ED"/>
    <w:rsid w:val="00152E6F"/>
    <w:rsid w:val="001627F4"/>
    <w:rsid w:val="00166063"/>
    <w:rsid w:val="00176FFA"/>
    <w:rsid w:val="00181F97"/>
    <w:rsid w:val="001830CE"/>
    <w:rsid w:val="0018643B"/>
    <w:rsid w:val="00187310"/>
    <w:rsid w:val="00195B62"/>
    <w:rsid w:val="00196307"/>
    <w:rsid w:val="00196876"/>
    <w:rsid w:val="001A1C5B"/>
    <w:rsid w:val="001A360B"/>
    <w:rsid w:val="001B017F"/>
    <w:rsid w:val="001B4BE8"/>
    <w:rsid w:val="001B5129"/>
    <w:rsid w:val="001C1195"/>
    <w:rsid w:val="001D5724"/>
    <w:rsid w:val="001E21EC"/>
    <w:rsid w:val="001E569D"/>
    <w:rsid w:val="001F58B9"/>
    <w:rsid w:val="00203430"/>
    <w:rsid w:val="0020430E"/>
    <w:rsid w:val="00205746"/>
    <w:rsid w:val="00213CFB"/>
    <w:rsid w:val="00224DDD"/>
    <w:rsid w:val="00230EA4"/>
    <w:rsid w:val="0023674F"/>
    <w:rsid w:val="00247821"/>
    <w:rsid w:val="002550E7"/>
    <w:rsid w:val="00264014"/>
    <w:rsid w:val="002640A3"/>
    <w:rsid w:val="00271BA1"/>
    <w:rsid w:val="00277505"/>
    <w:rsid w:val="00281DCC"/>
    <w:rsid w:val="00282B76"/>
    <w:rsid w:val="00283C63"/>
    <w:rsid w:val="0029397B"/>
    <w:rsid w:val="0029458F"/>
    <w:rsid w:val="0029587D"/>
    <w:rsid w:val="002A104C"/>
    <w:rsid w:val="002A4960"/>
    <w:rsid w:val="002B1AE6"/>
    <w:rsid w:val="002B30F8"/>
    <w:rsid w:val="002B5165"/>
    <w:rsid w:val="002B6CE4"/>
    <w:rsid w:val="002C212F"/>
    <w:rsid w:val="002C5348"/>
    <w:rsid w:val="002C5BF9"/>
    <w:rsid w:val="002D2B62"/>
    <w:rsid w:val="002E1036"/>
    <w:rsid w:val="002E3153"/>
    <w:rsid w:val="002E3888"/>
    <w:rsid w:val="002E72CA"/>
    <w:rsid w:val="00300AD6"/>
    <w:rsid w:val="0031343D"/>
    <w:rsid w:val="00326E79"/>
    <w:rsid w:val="00331F3E"/>
    <w:rsid w:val="00334288"/>
    <w:rsid w:val="003367EF"/>
    <w:rsid w:val="00341AE4"/>
    <w:rsid w:val="003437B8"/>
    <w:rsid w:val="003458BB"/>
    <w:rsid w:val="00345ACC"/>
    <w:rsid w:val="00365B74"/>
    <w:rsid w:val="00373D7A"/>
    <w:rsid w:val="0037568F"/>
    <w:rsid w:val="00376291"/>
    <w:rsid w:val="00377B52"/>
    <w:rsid w:val="003829AD"/>
    <w:rsid w:val="003872CF"/>
    <w:rsid w:val="00387648"/>
    <w:rsid w:val="00391F69"/>
    <w:rsid w:val="0039782C"/>
    <w:rsid w:val="003A5B4A"/>
    <w:rsid w:val="003B0A99"/>
    <w:rsid w:val="003B23C5"/>
    <w:rsid w:val="003B2A75"/>
    <w:rsid w:val="003C12E2"/>
    <w:rsid w:val="003C2699"/>
    <w:rsid w:val="003C50B7"/>
    <w:rsid w:val="003C53FC"/>
    <w:rsid w:val="003D4AC4"/>
    <w:rsid w:val="003D63B7"/>
    <w:rsid w:val="003E468B"/>
    <w:rsid w:val="003F2B18"/>
    <w:rsid w:val="003F5C8C"/>
    <w:rsid w:val="0040403B"/>
    <w:rsid w:val="00412F8C"/>
    <w:rsid w:val="0041526D"/>
    <w:rsid w:val="00421468"/>
    <w:rsid w:val="00421DAE"/>
    <w:rsid w:val="00423079"/>
    <w:rsid w:val="00432C2C"/>
    <w:rsid w:val="00433E57"/>
    <w:rsid w:val="004370E7"/>
    <w:rsid w:val="00440BC6"/>
    <w:rsid w:val="0044410C"/>
    <w:rsid w:val="004465BD"/>
    <w:rsid w:val="004516D4"/>
    <w:rsid w:val="00461E29"/>
    <w:rsid w:val="00466ADA"/>
    <w:rsid w:val="00471E1C"/>
    <w:rsid w:val="00473315"/>
    <w:rsid w:val="00475D87"/>
    <w:rsid w:val="00476245"/>
    <w:rsid w:val="004809BC"/>
    <w:rsid w:val="0048449E"/>
    <w:rsid w:val="00485940"/>
    <w:rsid w:val="004919ED"/>
    <w:rsid w:val="00495747"/>
    <w:rsid w:val="004A2484"/>
    <w:rsid w:val="004A2EB8"/>
    <w:rsid w:val="004A58AF"/>
    <w:rsid w:val="004A5A85"/>
    <w:rsid w:val="004A7026"/>
    <w:rsid w:val="004B5640"/>
    <w:rsid w:val="004B7B26"/>
    <w:rsid w:val="004C1593"/>
    <w:rsid w:val="004C1BD7"/>
    <w:rsid w:val="004C691D"/>
    <w:rsid w:val="004D2937"/>
    <w:rsid w:val="004D4350"/>
    <w:rsid w:val="004E17CB"/>
    <w:rsid w:val="004E180C"/>
    <w:rsid w:val="004E66D1"/>
    <w:rsid w:val="004E692D"/>
    <w:rsid w:val="004F0C22"/>
    <w:rsid w:val="004F43B4"/>
    <w:rsid w:val="004F5014"/>
    <w:rsid w:val="004F7C7F"/>
    <w:rsid w:val="00501554"/>
    <w:rsid w:val="005071A2"/>
    <w:rsid w:val="005100D2"/>
    <w:rsid w:val="005102E2"/>
    <w:rsid w:val="00513E96"/>
    <w:rsid w:val="00514CD7"/>
    <w:rsid w:val="00522822"/>
    <w:rsid w:val="00527B1E"/>
    <w:rsid w:val="005319B2"/>
    <w:rsid w:val="00532C74"/>
    <w:rsid w:val="00534E2E"/>
    <w:rsid w:val="005355CB"/>
    <w:rsid w:val="0053692B"/>
    <w:rsid w:val="00537E58"/>
    <w:rsid w:val="00541C7F"/>
    <w:rsid w:val="00544552"/>
    <w:rsid w:val="00554747"/>
    <w:rsid w:val="005556B5"/>
    <w:rsid w:val="00557F32"/>
    <w:rsid w:val="00575FA7"/>
    <w:rsid w:val="00581932"/>
    <w:rsid w:val="005823C9"/>
    <w:rsid w:val="0058359A"/>
    <w:rsid w:val="005963BB"/>
    <w:rsid w:val="005A3173"/>
    <w:rsid w:val="005A3223"/>
    <w:rsid w:val="005A3DA3"/>
    <w:rsid w:val="005A52C4"/>
    <w:rsid w:val="005B0F2B"/>
    <w:rsid w:val="005B36A8"/>
    <w:rsid w:val="005B603A"/>
    <w:rsid w:val="005B752D"/>
    <w:rsid w:val="005B7904"/>
    <w:rsid w:val="005C1E3A"/>
    <w:rsid w:val="005C2D69"/>
    <w:rsid w:val="005C419D"/>
    <w:rsid w:val="005D03AB"/>
    <w:rsid w:val="005D262A"/>
    <w:rsid w:val="005D5017"/>
    <w:rsid w:val="005D7F75"/>
    <w:rsid w:val="005E3DF9"/>
    <w:rsid w:val="005E50B9"/>
    <w:rsid w:val="00600FBE"/>
    <w:rsid w:val="0060126E"/>
    <w:rsid w:val="0060167F"/>
    <w:rsid w:val="00601A91"/>
    <w:rsid w:val="006024B9"/>
    <w:rsid w:val="00602BA3"/>
    <w:rsid w:val="00605059"/>
    <w:rsid w:val="00610E56"/>
    <w:rsid w:val="00611E85"/>
    <w:rsid w:val="00614159"/>
    <w:rsid w:val="00617C00"/>
    <w:rsid w:val="00617D59"/>
    <w:rsid w:val="00623E07"/>
    <w:rsid w:val="006263BF"/>
    <w:rsid w:val="0062748A"/>
    <w:rsid w:val="00630A2C"/>
    <w:rsid w:val="00632DBB"/>
    <w:rsid w:val="006505A5"/>
    <w:rsid w:val="00651169"/>
    <w:rsid w:val="00653D69"/>
    <w:rsid w:val="00662000"/>
    <w:rsid w:val="006622B2"/>
    <w:rsid w:val="00667AEB"/>
    <w:rsid w:val="00670A76"/>
    <w:rsid w:val="006711AA"/>
    <w:rsid w:val="00672B57"/>
    <w:rsid w:val="00673092"/>
    <w:rsid w:val="00675622"/>
    <w:rsid w:val="006906DB"/>
    <w:rsid w:val="0069217C"/>
    <w:rsid w:val="00693B22"/>
    <w:rsid w:val="006A12A5"/>
    <w:rsid w:val="006B0D94"/>
    <w:rsid w:val="006B485D"/>
    <w:rsid w:val="006C19D9"/>
    <w:rsid w:val="006C4ED0"/>
    <w:rsid w:val="006C708E"/>
    <w:rsid w:val="006D6EC7"/>
    <w:rsid w:val="006E0567"/>
    <w:rsid w:val="006F0AE4"/>
    <w:rsid w:val="006F5125"/>
    <w:rsid w:val="00700AF5"/>
    <w:rsid w:val="007174BB"/>
    <w:rsid w:val="00717521"/>
    <w:rsid w:val="00721903"/>
    <w:rsid w:val="00726EB4"/>
    <w:rsid w:val="007354E3"/>
    <w:rsid w:val="007379C4"/>
    <w:rsid w:val="007414FC"/>
    <w:rsid w:val="007471BD"/>
    <w:rsid w:val="0075209C"/>
    <w:rsid w:val="007528BB"/>
    <w:rsid w:val="00760BCD"/>
    <w:rsid w:val="00761ED3"/>
    <w:rsid w:val="0076420C"/>
    <w:rsid w:val="007753C2"/>
    <w:rsid w:val="007838B8"/>
    <w:rsid w:val="007848F3"/>
    <w:rsid w:val="0078604E"/>
    <w:rsid w:val="00794B9E"/>
    <w:rsid w:val="007A19CF"/>
    <w:rsid w:val="007B2B5F"/>
    <w:rsid w:val="007B6931"/>
    <w:rsid w:val="007B6FF4"/>
    <w:rsid w:val="007C0F57"/>
    <w:rsid w:val="007C40B6"/>
    <w:rsid w:val="007C729F"/>
    <w:rsid w:val="007D411F"/>
    <w:rsid w:val="007E1D28"/>
    <w:rsid w:val="007E348D"/>
    <w:rsid w:val="007E38F2"/>
    <w:rsid w:val="007F2641"/>
    <w:rsid w:val="007F7C36"/>
    <w:rsid w:val="00805122"/>
    <w:rsid w:val="00806796"/>
    <w:rsid w:val="00814ED8"/>
    <w:rsid w:val="008151D6"/>
    <w:rsid w:val="00826F6D"/>
    <w:rsid w:val="00837A3C"/>
    <w:rsid w:val="008522C0"/>
    <w:rsid w:val="00852FA4"/>
    <w:rsid w:val="00856DDD"/>
    <w:rsid w:val="00861519"/>
    <w:rsid w:val="00863E68"/>
    <w:rsid w:val="00863F01"/>
    <w:rsid w:val="00864B8F"/>
    <w:rsid w:val="00870B3A"/>
    <w:rsid w:val="00874EDD"/>
    <w:rsid w:val="00882085"/>
    <w:rsid w:val="00883188"/>
    <w:rsid w:val="008924EF"/>
    <w:rsid w:val="00895893"/>
    <w:rsid w:val="008977A3"/>
    <w:rsid w:val="00897D58"/>
    <w:rsid w:val="008A1956"/>
    <w:rsid w:val="008A4937"/>
    <w:rsid w:val="008A50F1"/>
    <w:rsid w:val="008A527E"/>
    <w:rsid w:val="008B1E1F"/>
    <w:rsid w:val="008C11F9"/>
    <w:rsid w:val="008C2C86"/>
    <w:rsid w:val="008D1B5C"/>
    <w:rsid w:val="008D3C82"/>
    <w:rsid w:val="008D447E"/>
    <w:rsid w:val="008D462A"/>
    <w:rsid w:val="008D4F43"/>
    <w:rsid w:val="008D7A41"/>
    <w:rsid w:val="008E3680"/>
    <w:rsid w:val="008E5870"/>
    <w:rsid w:val="008E720E"/>
    <w:rsid w:val="008F1434"/>
    <w:rsid w:val="008F7355"/>
    <w:rsid w:val="00904E19"/>
    <w:rsid w:val="009054F3"/>
    <w:rsid w:val="00905758"/>
    <w:rsid w:val="009067B7"/>
    <w:rsid w:val="00921FB8"/>
    <w:rsid w:val="00930937"/>
    <w:rsid w:val="00933E6C"/>
    <w:rsid w:val="00934B85"/>
    <w:rsid w:val="00942160"/>
    <w:rsid w:val="0094357C"/>
    <w:rsid w:val="0095146F"/>
    <w:rsid w:val="00951E75"/>
    <w:rsid w:val="0095760E"/>
    <w:rsid w:val="009602C5"/>
    <w:rsid w:val="00962223"/>
    <w:rsid w:val="00970CF8"/>
    <w:rsid w:val="00974C21"/>
    <w:rsid w:val="0098230F"/>
    <w:rsid w:val="0099295E"/>
    <w:rsid w:val="00993564"/>
    <w:rsid w:val="00995CF4"/>
    <w:rsid w:val="009A3BA2"/>
    <w:rsid w:val="009A57F4"/>
    <w:rsid w:val="009B0F67"/>
    <w:rsid w:val="009B68EB"/>
    <w:rsid w:val="009B7E2F"/>
    <w:rsid w:val="009C703C"/>
    <w:rsid w:val="009D3CAA"/>
    <w:rsid w:val="009D5D59"/>
    <w:rsid w:val="009D65D4"/>
    <w:rsid w:val="009F4E46"/>
    <w:rsid w:val="009F5B65"/>
    <w:rsid w:val="009F5F2E"/>
    <w:rsid w:val="00A02A95"/>
    <w:rsid w:val="00A02F69"/>
    <w:rsid w:val="00A06225"/>
    <w:rsid w:val="00A128E6"/>
    <w:rsid w:val="00A16E63"/>
    <w:rsid w:val="00A213C8"/>
    <w:rsid w:val="00A21994"/>
    <w:rsid w:val="00A24A71"/>
    <w:rsid w:val="00A30C07"/>
    <w:rsid w:val="00A37C8D"/>
    <w:rsid w:val="00A45B24"/>
    <w:rsid w:val="00A46622"/>
    <w:rsid w:val="00A5273B"/>
    <w:rsid w:val="00A53A9D"/>
    <w:rsid w:val="00A557CC"/>
    <w:rsid w:val="00A55FEE"/>
    <w:rsid w:val="00A62C1A"/>
    <w:rsid w:val="00A6426D"/>
    <w:rsid w:val="00A6525A"/>
    <w:rsid w:val="00A70622"/>
    <w:rsid w:val="00A70977"/>
    <w:rsid w:val="00A7277A"/>
    <w:rsid w:val="00A75F26"/>
    <w:rsid w:val="00A77613"/>
    <w:rsid w:val="00A820EB"/>
    <w:rsid w:val="00A82224"/>
    <w:rsid w:val="00A8390C"/>
    <w:rsid w:val="00A928BD"/>
    <w:rsid w:val="00AA4D1C"/>
    <w:rsid w:val="00AA6DE5"/>
    <w:rsid w:val="00AC193C"/>
    <w:rsid w:val="00AC20D6"/>
    <w:rsid w:val="00AC5206"/>
    <w:rsid w:val="00AC6432"/>
    <w:rsid w:val="00AE11A5"/>
    <w:rsid w:val="00AE13E2"/>
    <w:rsid w:val="00AE48EE"/>
    <w:rsid w:val="00AE59E3"/>
    <w:rsid w:val="00AF3FA7"/>
    <w:rsid w:val="00AF53DB"/>
    <w:rsid w:val="00AF63FD"/>
    <w:rsid w:val="00AF68CC"/>
    <w:rsid w:val="00B019C4"/>
    <w:rsid w:val="00B1059E"/>
    <w:rsid w:val="00B1099B"/>
    <w:rsid w:val="00B171EE"/>
    <w:rsid w:val="00B205AA"/>
    <w:rsid w:val="00B22E84"/>
    <w:rsid w:val="00B24970"/>
    <w:rsid w:val="00B24AF5"/>
    <w:rsid w:val="00B25F75"/>
    <w:rsid w:val="00B35332"/>
    <w:rsid w:val="00B35AAA"/>
    <w:rsid w:val="00B43E90"/>
    <w:rsid w:val="00B467DC"/>
    <w:rsid w:val="00B52A09"/>
    <w:rsid w:val="00B53F73"/>
    <w:rsid w:val="00B56118"/>
    <w:rsid w:val="00B6342F"/>
    <w:rsid w:val="00B6773F"/>
    <w:rsid w:val="00B75098"/>
    <w:rsid w:val="00B801BA"/>
    <w:rsid w:val="00B81643"/>
    <w:rsid w:val="00B84B8E"/>
    <w:rsid w:val="00B95A1C"/>
    <w:rsid w:val="00B95C09"/>
    <w:rsid w:val="00B968F8"/>
    <w:rsid w:val="00BB02EA"/>
    <w:rsid w:val="00BB2755"/>
    <w:rsid w:val="00BB28AD"/>
    <w:rsid w:val="00BB69F5"/>
    <w:rsid w:val="00BB7EC3"/>
    <w:rsid w:val="00BC4B9A"/>
    <w:rsid w:val="00BC7387"/>
    <w:rsid w:val="00BD23C1"/>
    <w:rsid w:val="00BD784C"/>
    <w:rsid w:val="00BF0EA9"/>
    <w:rsid w:val="00BF4CB6"/>
    <w:rsid w:val="00C00DA7"/>
    <w:rsid w:val="00C050D1"/>
    <w:rsid w:val="00C075F1"/>
    <w:rsid w:val="00C12768"/>
    <w:rsid w:val="00C165DB"/>
    <w:rsid w:val="00C27B58"/>
    <w:rsid w:val="00C35996"/>
    <w:rsid w:val="00C44508"/>
    <w:rsid w:val="00C45D3D"/>
    <w:rsid w:val="00C47739"/>
    <w:rsid w:val="00C506E7"/>
    <w:rsid w:val="00C5318D"/>
    <w:rsid w:val="00C5342C"/>
    <w:rsid w:val="00C536F1"/>
    <w:rsid w:val="00C548C5"/>
    <w:rsid w:val="00C56081"/>
    <w:rsid w:val="00C574F8"/>
    <w:rsid w:val="00C579FF"/>
    <w:rsid w:val="00C603D4"/>
    <w:rsid w:val="00C60F56"/>
    <w:rsid w:val="00C6112D"/>
    <w:rsid w:val="00C6256A"/>
    <w:rsid w:val="00C6335F"/>
    <w:rsid w:val="00C64D0B"/>
    <w:rsid w:val="00C87919"/>
    <w:rsid w:val="00C91449"/>
    <w:rsid w:val="00C92D10"/>
    <w:rsid w:val="00C979EA"/>
    <w:rsid w:val="00CA0BA7"/>
    <w:rsid w:val="00CA44DB"/>
    <w:rsid w:val="00CA47EC"/>
    <w:rsid w:val="00CB107A"/>
    <w:rsid w:val="00CB3F7C"/>
    <w:rsid w:val="00CC1064"/>
    <w:rsid w:val="00CD0A10"/>
    <w:rsid w:val="00CD615C"/>
    <w:rsid w:val="00CD796A"/>
    <w:rsid w:val="00CE10C4"/>
    <w:rsid w:val="00CE27B5"/>
    <w:rsid w:val="00CE4F25"/>
    <w:rsid w:val="00CF11E5"/>
    <w:rsid w:val="00CF222C"/>
    <w:rsid w:val="00CF41A4"/>
    <w:rsid w:val="00CF7D5D"/>
    <w:rsid w:val="00D0321E"/>
    <w:rsid w:val="00D070E4"/>
    <w:rsid w:val="00D14119"/>
    <w:rsid w:val="00D1455A"/>
    <w:rsid w:val="00D27633"/>
    <w:rsid w:val="00D3095F"/>
    <w:rsid w:val="00D30B20"/>
    <w:rsid w:val="00D3138B"/>
    <w:rsid w:val="00D3280C"/>
    <w:rsid w:val="00D3406A"/>
    <w:rsid w:val="00D3705B"/>
    <w:rsid w:val="00D40640"/>
    <w:rsid w:val="00D469B2"/>
    <w:rsid w:val="00D50532"/>
    <w:rsid w:val="00D7149A"/>
    <w:rsid w:val="00D741EB"/>
    <w:rsid w:val="00D84934"/>
    <w:rsid w:val="00D84CC3"/>
    <w:rsid w:val="00D854C6"/>
    <w:rsid w:val="00D9063F"/>
    <w:rsid w:val="00D91271"/>
    <w:rsid w:val="00DA2CB5"/>
    <w:rsid w:val="00DA4BAC"/>
    <w:rsid w:val="00DA7AF3"/>
    <w:rsid w:val="00DB19F5"/>
    <w:rsid w:val="00DB2A2C"/>
    <w:rsid w:val="00DB533F"/>
    <w:rsid w:val="00DB5F3D"/>
    <w:rsid w:val="00DB7FE9"/>
    <w:rsid w:val="00DC6B0E"/>
    <w:rsid w:val="00DD2251"/>
    <w:rsid w:val="00DE6D27"/>
    <w:rsid w:val="00DF10AC"/>
    <w:rsid w:val="00DF217D"/>
    <w:rsid w:val="00DF25B2"/>
    <w:rsid w:val="00DF26A7"/>
    <w:rsid w:val="00E0284C"/>
    <w:rsid w:val="00E05797"/>
    <w:rsid w:val="00E05F87"/>
    <w:rsid w:val="00E073AB"/>
    <w:rsid w:val="00E13DCB"/>
    <w:rsid w:val="00E15627"/>
    <w:rsid w:val="00E164B3"/>
    <w:rsid w:val="00E16910"/>
    <w:rsid w:val="00E22A7A"/>
    <w:rsid w:val="00E24D54"/>
    <w:rsid w:val="00E30208"/>
    <w:rsid w:val="00E30EFB"/>
    <w:rsid w:val="00E31C6D"/>
    <w:rsid w:val="00E36EA3"/>
    <w:rsid w:val="00E479C3"/>
    <w:rsid w:val="00E511AB"/>
    <w:rsid w:val="00E632A3"/>
    <w:rsid w:val="00E64057"/>
    <w:rsid w:val="00E65699"/>
    <w:rsid w:val="00E65E54"/>
    <w:rsid w:val="00E75746"/>
    <w:rsid w:val="00E80155"/>
    <w:rsid w:val="00E848C0"/>
    <w:rsid w:val="00E87733"/>
    <w:rsid w:val="00E91B96"/>
    <w:rsid w:val="00E93505"/>
    <w:rsid w:val="00E941A1"/>
    <w:rsid w:val="00E95CE3"/>
    <w:rsid w:val="00E97299"/>
    <w:rsid w:val="00EA2825"/>
    <w:rsid w:val="00EA38C2"/>
    <w:rsid w:val="00EA61A3"/>
    <w:rsid w:val="00EB177C"/>
    <w:rsid w:val="00EB5088"/>
    <w:rsid w:val="00EB65B3"/>
    <w:rsid w:val="00EB6EFC"/>
    <w:rsid w:val="00EC348E"/>
    <w:rsid w:val="00EC36BA"/>
    <w:rsid w:val="00ED1644"/>
    <w:rsid w:val="00ED2593"/>
    <w:rsid w:val="00ED5A18"/>
    <w:rsid w:val="00EE03F2"/>
    <w:rsid w:val="00EE71EC"/>
    <w:rsid w:val="00EE7911"/>
    <w:rsid w:val="00EF44A0"/>
    <w:rsid w:val="00EF4BE0"/>
    <w:rsid w:val="00EF4FED"/>
    <w:rsid w:val="00F01E31"/>
    <w:rsid w:val="00F050BD"/>
    <w:rsid w:val="00F05657"/>
    <w:rsid w:val="00F12CF5"/>
    <w:rsid w:val="00F1394F"/>
    <w:rsid w:val="00F247F7"/>
    <w:rsid w:val="00F24ECF"/>
    <w:rsid w:val="00F25578"/>
    <w:rsid w:val="00F258E5"/>
    <w:rsid w:val="00F300BC"/>
    <w:rsid w:val="00F3334E"/>
    <w:rsid w:val="00F42A1D"/>
    <w:rsid w:val="00F439E7"/>
    <w:rsid w:val="00F50EC4"/>
    <w:rsid w:val="00F5500D"/>
    <w:rsid w:val="00F57A6D"/>
    <w:rsid w:val="00F638CC"/>
    <w:rsid w:val="00F63BB7"/>
    <w:rsid w:val="00F64CC1"/>
    <w:rsid w:val="00F7022D"/>
    <w:rsid w:val="00F8105E"/>
    <w:rsid w:val="00F8247A"/>
    <w:rsid w:val="00F84C4D"/>
    <w:rsid w:val="00F87787"/>
    <w:rsid w:val="00F94FDA"/>
    <w:rsid w:val="00F9629A"/>
    <w:rsid w:val="00FA0DE6"/>
    <w:rsid w:val="00FA5883"/>
    <w:rsid w:val="00FA6055"/>
    <w:rsid w:val="00FB246F"/>
    <w:rsid w:val="00FB322F"/>
    <w:rsid w:val="00FB3CB3"/>
    <w:rsid w:val="00FB442F"/>
    <w:rsid w:val="00FB4566"/>
    <w:rsid w:val="00FB5530"/>
    <w:rsid w:val="00FB74B1"/>
    <w:rsid w:val="00FC1929"/>
    <w:rsid w:val="00FC2D35"/>
    <w:rsid w:val="00FC5B46"/>
    <w:rsid w:val="00FD0245"/>
    <w:rsid w:val="00FD13AC"/>
    <w:rsid w:val="00FD38FF"/>
    <w:rsid w:val="00FD54B4"/>
    <w:rsid w:val="00FE0E94"/>
    <w:rsid w:val="00FE7357"/>
    <w:rsid w:val="00FF00BD"/>
    <w:rsid w:val="00FF084A"/>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64B8F"/>
    <w:rPr>
      <w:rFonts w:ascii="Arial" w:hAnsi="Arial"/>
      <w:sz w:val="22"/>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qFormat/>
    <w:rsid w:val="00B1059E"/>
    <w:pPr>
      <w:keepNext/>
      <w:outlineLvl w:val="1"/>
    </w:pPr>
    <w:rPr>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uiPriority w:val="99"/>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TableFooter">
    <w:name w:val="Table Footer"/>
    <w:basedOn w:val="Normal"/>
    <w:uiPriority w:val="99"/>
    <w:qFormat/>
    <w:rsid w:val="00B1099B"/>
    <w:pPr>
      <w:widowControl w:val="0"/>
      <w:jc w:val="both"/>
    </w:pPr>
    <w:rPr>
      <w:rFonts w:ascii="Arial Narrow" w:hAnsi="Arial Narrow" w:cs="Arial"/>
      <w:snapToGrid w:val="0"/>
      <w:sz w:val="18"/>
      <w:szCs w:val="20"/>
      <w:lang w:eastAsia="en-US"/>
    </w:rPr>
  </w:style>
  <w:style w:type="paragraph" w:customStyle="1" w:styleId="TableText0">
    <w:name w:val="TableText"/>
    <w:basedOn w:val="Normal"/>
    <w:link w:val="TableTextChar"/>
    <w:uiPriority w:val="3"/>
    <w:qFormat/>
    <w:rsid w:val="005B7904"/>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3"/>
    <w:rsid w:val="005B7904"/>
    <w:rPr>
      <w:rFonts w:ascii="Calibri" w:hAnsi="Calibri" w:cstheme="minorHAnsi"/>
      <w:bCs/>
      <w:lang w:eastAsia="en-US"/>
    </w:rPr>
  </w:style>
  <w:style w:type="paragraph" w:customStyle="1" w:styleId="Char">
    <w:name w:val="Char"/>
    <w:basedOn w:val="Normal"/>
    <w:rsid w:val="004F0C22"/>
    <w:pPr>
      <w:spacing w:after="160" w:line="240" w:lineRule="exact"/>
    </w:pPr>
    <w:rPr>
      <w:rFonts w:ascii="Verdana" w:eastAsia="MS Mincho" w:hAnsi="Verdana" w:cs="Verdana"/>
      <w:sz w:val="20"/>
      <w:szCs w:val="20"/>
      <w:lang w:val="en-US" w:eastAsia="en-US"/>
    </w:rPr>
  </w:style>
  <w:style w:type="paragraph" w:styleId="Revision">
    <w:name w:val="Revision"/>
    <w:hidden/>
    <w:uiPriority w:val="71"/>
    <w:rsid w:val="0001651B"/>
    <w:rPr>
      <w:sz w:val="24"/>
      <w:szCs w:val="24"/>
    </w:rPr>
  </w:style>
  <w:style w:type="character" w:styleId="FollowedHyperlink">
    <w:name w:val="FollowedHyperlink"/>
    <w:basedOn w:val="DefaultParagraphFont"/>
    <w:semiHidden/>
    <w:unhideWhenUsed/>
    <w:rsid w:val="00A7277A"/>
    <w:rPr>
      <w:color w:val="800080" w:themeColor="followedHyperlink"/>
      <w:u w:val="single"/>
    </w:rPr>
  </w:style>
  <w:style w:type="paragraph" w:customStyle="1" w:styleId="PBACheading10">
    <w:name w:val="PBAC heading 1"/>
    <w:qFormat/>
    <w:rsid w:val="009D65D4"/>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64B8F"/>
    <w:rPr>
      <w:rFonts w:ascii="Arial" w:hAnsi="Arial"/>
      <w:sz w:val="22"/>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qFormat/>
    <w:rsid w:val="00B1059E"/>
    <w:pPr>
      <w:keepNext/>
      <w:outlineLvl w:val="1"/>
    </w:pPr>
    <w:rPr>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uiPriority w:val="99"/>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TableFooter">
    <w:name w:val="Table Footer"/>
    <w:basedOn w:val="Normal"/>
    <w:uiPriority w:val="99"/>
    <w:qFormat/>
    <w:rsid w:val="00B1099B"/>
    <w:pPr>
      <w:widowControl w:val="0"/>
      <w:jc w:val="both"/>
    </w:pPr>
    <w:rPr>
      <w:rFonts w:ascii="Arial Narrow" w:hAnsi="Arial Narrow" w:cs="Arial"/>
      <w:snapToGrid w:val="0"/>
      <w:sz w:val="18"/>
      <w:szCs w:val="20"/>
      <w:lang w:eastAsia="en-US"/>
    </w:rPr>
  </w:style>
  <w:style w:type="paragraph" w:customStyle="1" w:styleId="TableText0">
    <w:name w:val="TableText"/>
    <w:basedOn w:val="Normal"/>
    <w:link w:val="TableTextChar"/>
    <w:uiPriority w:val="3"/>
    <w:qFormat/>
    <w:rsid w:val="005B7904"/>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3"/>
    <w:rsid w:val="005B7904"/>
    <w:rPr>
      <w:rFonts w:ascii="Calibri" w:hAnsi="Calibri" w:cstheme="minorHAnsi"/>
      <w:bCs/>
      <w:lang w:eastAsia="en-US"/>
    </w:rPr>
  </w:style>
  <w:style w:type="paragraph" w:customStyle="1" w:styleId="Char">
    <w:name w:val="Char"/>
    <w:basedOn w:val="Normal"/>
    <w:rsid w:val="004F0C22"/>
    <w:pPr>
      <w:spacing w:after="160" w:line="240" w:lineRule="exact"/>
    </w:pPr>
    <w:rPr>
      <w:rFonts w:ascii="Verdana" w:eastAsia="MS Mincho" w:hAnsi="Verdana" w:cs="Verdana"/>
      <w:sz w:val="20"/>
      <w:szCs w:val="20"/>
      <w:lang w:val="en-US" w:eastAsia="en-US"/>
    </w:rPr>
  </w:style>
  <w:style w:type="paragraph" w:styleId="Revision">
    <w:name w:val="Revision"/>
    <w:hidden/>
    <w:uiPriority w:val="71"/>
    <w:rsid w:val="0001651B"/>
    <w:rPr>
      <w:sz w:val="24"/>
      <w:szCs w:val="24"/>
    </w:rPr>
  </w:style>
  <w:style w:type="character" w:styleId="FollowedHyperlink">
    <w:name w:val="FollowedHyperlink"/>
    <w:basedOn w:val="DefaultParagraphFont"/>
    <w:semiHidden/>
    <w:unhideWhenUsed/>
    <w:rsid w:val="00A7277A"/>
    <w:rPr>
      <w:color w:val="800080" w:themeColor="followedHyperlink"/>
      <w:u w:val="single"/>
    </w:rPr>
  </w:style>
  <w:style w:type="paragraph" w:customStyle="1" w:styleId="PBACheading10">
    <w:name w:val="PBAC heading 1"/>
    <w:qFormat/>
    <w:rsid w:val="009D65D4"/>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8551157">
      <w:bodyDiv w:val="1"/>
      <w:marLeft w:val="0"/>
      <w:marRight w:val="0"/>
      <w:marTop w:val="0"/>
      <w:marBottom w:val="0"/>
      <w:divBdr>
        <w:top w:val="none" w:sz="0" w:space="0" w:color="auto"/>
        <w:left w:val="none" w:sz="0" w:space="0" w:color="auto"/>
        <w:bottom w:val="none" w:sz="0" w:space="0" w:color="auto"/>
        <w:right w:val="none" w:sz="0" w:space="0" w:color="auto"/>
      </w:divBdr>
    </w:div>
    <w:div w:id="222647486">
      <w:bodyDiv w:val="1"/>
      <w:marLeft w:val="0"/>
      <w:marRight w:val="0"/>
      <w:marTop w:val="0"/>
      <w:marBottom w:val="0"/>
      <w:divBdr>
        <w:top w:val="none" w:sz="0" w:space="0" w:color="auto"/>
        <w:left w:val="none" w:sz="0" w:space="0" w:color="auto"/>
        <w:bottom w:val="none" w:sz="0" w:space="0" w:color="auto"/>
        <w:right w:val="none" w:sz="0" w:space="0" w:color="auto"/>
      </w:divBdr>
    </w:div>
    <w:div w:id="265430282">
      <w:bodyDiv w:val="1"/>
      <w:marLeft w:val="0"/>
      <w:marRight w:val="0"/>
      <w:marTop w:val="0"/>
      <w:marBottom w:val="0"/>
      <w:divBdr>
        <w:top w:val="none" w:sz="0" w:space="0" w:color="auto"/>
        <w:left w:val="none" w:sz="0" w:space="0" w:color="auto"/>
        <w:bottom w:val="none" w:sz="0" w:space="0" w:color="auto"/>
        <w:right w:val="none" w:sz="0" w:space="0" w:color="auto"/>
      </w:divBdr>
    </w:div>
    <w:div w:id="617300538">
      <w:bodyDiv w:val="1"/>
      <w:marLeft w:val="0"/>
      <w:marRight w:val="0"/>
      <w:marTop w:val="0"/>
      <w:marBottom w:val="0"/>
      <w:divBdr>
        <w:top w:val="none" w:sz="0" w:space="0" w:color="auto"/>
        <w:left w:val="none" w:sz="0" w:space="0" w:color="auto"/>
        <w:bottom w:val="none" w:sz="0" w:space="0" w:color="auto"/>
        <w:right w:val="none" w:sz="0" w:space="0" w:color="auto"/>
      </w:divBdr>
      <w:divsChild>
        <w:div w:id="172427479">
          <w:marLeft w:val="1166"/>
          <w:marRight w:val="0"/>
          <w:marTop w:val="96"/>
          <w:marBottom w:val="0"/>
          <w:divBdr>
            <w:top w:val="none" w:sz="0" w:space="0" w:color="auto"/>
            <w:left w:val="none" w:sz="0" w:space="0" w:color="auto"/>
            <w:bottom w:val="none" w:sz="0" w:space="0" w:color="auto"/>
            <w:right w:val="none" w:sz="0" w:space="0" w:color="auto"/>
          </w:divBdr>
        </w:div>
      </w:divsChild>
    </w:div>
    <w:div w:id="661085154">
      <w:bodyDiv w:val="1"/>
      <w:marLeft w:val="0"/>
      <w:marRight w:val="0"/>
      <w:marTop w:val="0"/>
      <w:marBottom w:val="0"/>
      <w:divBdr>
        <w:top w:val="none" w:sz="0" w:space="0" w:color="auto"/>
        <w:left w:val="none" w:sz="0" w:space="0" w:color="auto"/>
        <w:bottom w:val="none" w:sz="0" w:space="0" w:color="auto"/>
        <w:right w:val="none" w:sz="0" w:space="0" w:color="auto"/>
      </w:divBdr>
    </w:div>
    <w:div w:id="67214575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98054556">
      <w:bodyDiv w:val="1"/>
      <w:marLeft w:val="0"/>
      <w:marRight w:val="0"/>
      <w:marTop w:val="0"/>
      <w:marBottom w:val="0"/>
      <w:divBdr>
        <w:top w:val="none" w:sz="0" w:space="0" w:color="auto"/>
        <w:left w:val="none" w:sz="0" w:space="0" w:color="auto"/>
        <w:bottom w:val="none" w:sz="0" w:space="0" w:color="auto"/>
        <w:right w:val="none" w:sz="0" w:space="0" w:color="auto"/>
      </w:divBdr>
    </w:div>
    <w:div w:id="1006636099">
      <w:bodyDiv w:val="1"/>
      <w:marLeft w:val="0"/>
      <w:marRight w:val="0"/>
      <w:marTop w:val="0"/>
      <w:marBottom w:val="0"/>
      <w:divBdr>
        <w:top w:val="none" w:sz="0" w:space="0" w:color="auto"/>
        <w:left w:val="none" w:sz="0" w:space="0" w:color="auto"/>
        <w:bottom w:val="none" w:sz="0" w:space="0" w:color="auto"/>
        <w:right w:val="none" w:sz="0" w:space="0" w:color="auto"/>
      </w:divBdr>
    </w:div>
    <w:div w:id="1030226424">
      <w:bodyDiv w:val="1"/>
      <w:marLeft w:val="0"/>
      <w:marRight w:val="0"/>
      <w:marTop w:val="0"/>
      <w:marBottom w:val="0"/>
      <w:divBdr>
        <w:top w:val="none" w:sz="0" w:space="0" w:color="auto"/>
        <w:left w:val="none" w:sz="0" w:space="0" w:color="auto"/>
        <w:bottom w:val="none" w:sz="0" w:space="0" w:color="auto"/>
        <w:right w:val="none" w:sz="0" w:space="0" w:color="auto"/>
      </w:divBdr>
    </w:div>
    <w:div w:id="1053577464">
      <w:bodyDiv w:val="1"/>
      <w:marLeft w:val="0"/>
      <w:marRight w:val="0"/>
      <w:marTop w:val="0"/>
      <w:marBottom w:val="0"/>
      <w:divBdr>
        <w:top w:val="none" w:sz="0" w:space="0" w:color="auto"/>
        <w:left w:val="none" w:sz="0" w:space="0" w:color="auto"/>
        <w:bottom w:val="none" w:sz="0" w:space="0" w:color="auto"/>
        <w:right w:val="none" w:sz="0" w:space="0" w:color="auto"/>
      </w:divBdr>
    </w:div>
    <w:div w:id="1071929126">
      <w:bodyDiv w:val="1"/>
      <w:marLeft w:val="0"/>
      <w:marRight w:val="0"/>
      <w:marTop w:val="0"/>
      <w:marBottom w:val="0"/>
      <w:divBdr>
        <w:top w:val="none" w:sz="0" w:space="0" w:color="auto"/>
        <w:left w:val="none" w:sz="0" w:space="0" w:color="auto"/>
        <w:bottom w:val="none" w:sz="0" w:space="0" w:color="auto"/>
        <w:right w:val="none" w:sz="0" w:space="0" w:color="auto"/>
      </w:divBdr>
    </w:div>
    <w:div w:id="123805220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3533513">
      <w:bodyDiv w:val="1"/>
      <w:marLeft w:val="0"/>
      <w:marRight w:val="0"/>
      <w:marTop w:val="0"/>
      <w:marBottom w:val="0"/>
      <w:divBdr>
        <w:top w:val="none" w:sz="0" w:space="0" w:color="auto"/>
        <w:left w:val="none" w:sz="0" w:space="0" w:color="auto"/>
        <w:bottom w:val="none" w:sz="0" w:space="0" w:color="auto"/>
        <w:right w:val="none" w:sz="0" w:space="0" w:color="auto"/>
      </w:divBdr>
    </w:div>
    <w:div w:id="188536481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88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9B8F-C76A-41BF-AB1A-3CDF27B6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5755</Words>
  <Characters>33784</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2017-02-09T04:48:00Z</dcterms:created>
  <dcterms:modified xsi:type="dcterms:W3CDTF">2017-02-17T04:40:00Z</dcterms:modified>
</cp:coreProperties>
</file>