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A39" w:rsidRPr="00E12A39" w:rsidRDefault="008B3394" w:rsidP="00D61FC8">
      <w:pPr>
        <w:pStyle w:val="Heading1"/>
        <w:spacing w:before="0" w:after="0"/>
        <w:ind w:left="720" w:hanging="720"/>
        <w:rPr>
          <w:rFonts w:asciiTheme="minorHAnsi" w:hAnsiTheme="minorHAnsi"/>
          <w:sz w:val="36"/>
          <w:szCs w:val="36"/>
        </w:rPr>
      </w:pPr>
      <w:bookmarkStart w:id="0" w:name="_Toc451415924"/>
      <w:bookmarkStart w:id="1" w:name="_GoBack"/>
      <w:bookmarkEnd w:id="1"/>
      <w:r w:rsidRPr="00E12A39">
        <w:rPr>
          <w:rFonts w:asciiTheme="minorHAnsi" w:hAnsiTheme="minorHAnsi"/>
          <w:sz w:val="36"/>
          <w:szCs w:val="36"/>
        </w:rPr>
        <w:t>4.07</w:t>
      </w:r>
      <w:r w:rsidRPr="00E12A39">
        <w:rPr>
          <w:rFonts w:asciiTheme="minorHAnsi" w:hAnsiTheme="minorHAnsi"/>
          <w:sz w:val="36"/>
          <w:szCs w:val="36"/>
        </w:rPr>
        <w:tab/>
      </w:r>
      <w:bookmarkEnd w:id="0"/>
      <w:r w:rsidRPr="00E12A39">
        <w:rPr>
          <w:rFonts w:asciiTheme="minorHAnsi" w:hAnsiTheme="minorHAnsi"/>
          <w:sz w:val="36"/>
          <w:szCs w:val="36"/>
        </w:rPr>
        <w:t>TENOFOVIR ALAFENAMIDE, EMTRICITABINE AND RILPIVIRINE</w:t>
      </w:r>
      <w:r w:rsidR="00E12A39">
        <w:rPr>
          <w:rFonts w:asciiTheme="minorHAnsi" w:hAnsiTheme="minorHAnsi"/>
          <w:sz w:val="36"/>
          <w:szCs w:val="36"/>
        </w:rPr>
        <w:t xml:space="preserve"> FIXED </w:t>
      </w:r>
      <w:r w:rsidR="00E12A39" w:rsidRPr="00E12A39">
        <w:rPr>
          <w:rFonts w:asciiTheme="minorHAnsi" w:hAnsiTheme="minorHAnsi"/>
          <w:sz w:val="36"/>
          <w:szCs w:val="36"/>
        </w:rPr>
        <w:t>DOSE COMBINATION</w:t>
      </w:r>
      <w:r w:rsidRPr="00E12A39">
        <w:rPr>
          <w:rFonts w:asciiTheme="minorHAnsi" w:hAnsiTheme="minorHAnsi"/>
          <w:sz w:val="36"/>
          <w:szCs w:val="36"/>
        </w:rPr>
        <w:t xml:space="preserve">, </w:t>
      </w:r>
    </w:p>
    <w:p w:rsidR="00E12A39" w:rsidRDefault="00E12A39" w:rsidP="00E12A39">
      <w:pPr>
        <w:pStyle w:val="Heading1"/>
        <w:spacing w:before="0" w:after="0"/>
        <w:ind w:left="720"/>
        <w:rPr>
          <w:rFonts w:asciiTheme="minorHAnsi" w:hAnsiTheme="minorHAnsi"/>
          <w:sz w:val="36"/>
          <w:szCs w:val="36"/>
        </w:rPr>
      </w:pPr>
      <w:r>
        <w:rPr>
          <w:rFonts w:asciiTheme="minorHAnsi" w:hAnsiTheme="minorHAnsi"/>
          <w:sz w:val="36"/>
          <w:szCs w:val="36"/>
        </w:rPr>
        <w:t>T</w:t>
      </w:r>
      <w:r w:rsidR="008B3394" w:rsidRPr="00E12A39">
        <w:rPr>
          <w:rFonts w:asciiTheme="minorHAnsi" w:hAnsiTheme="minorHAnsi"/>
          <w:sz w:val="36"/>
          <w:szCs w:val="36"/>
        </w:rPr>
        <w:t>ablet</w:t>
      </w:r>
      <w:r>
        <w:rPr>
          <w:rFonts w:asciiTheme="minorHAnsi" w:hAnsiTheme="minorHAnsi"/>
          <w:sz w:val="36"/>
          <w:szCs w:val="36"/>
        </w:rPr>
        <w:t xml:space="preserve"> containing</w:t>
      </w:r>
      <w:r w:rsidR="008B3394" w:rsidRPr="00E12A39">
        <w:rPr>
          <w:rFonts w:asciiTheme="minorHAnsi" w:hAnsiTheme="minorHAnsi"/>
          <w:sz w:val="36"/>
          <w:szCs w:val="36"/>
        </w:rPr>
        <w:t xml:space="preserve"> tenofovir alafenamide 25 mg, emtricitabine 200 mg and rilpivirine 25 mg, </w:t>
      </w:r>
    </w:p>
    <w:p w:rsidR="00251499" w:rsidRPr="00E12A39" w:rsidRDefault="008B3394" w:rsidP="00E12A39">
      <w:pPr>
        <w:pStyle w:val="Heading1"/>
        <w:spacing w:before="0" w:after="0"/>
        <w:ind w:left="720"/>
        <w:rPr>
          <w:rFonts w:asciiTheme="minorHAnsi" w:hAnsiTheme="minorHAnsi"/>
          <w:sz w:val="36"/>
          <w:szCs w:val="36"/>
        </w:rPr>
      </w:pPr>
      <w:r w:rsidRPr="00E12A39">
        <w:rPr>
          <w:rFonts w:asciiTheme="minorHAnsi" w:hAnsiTheme="minorHAnsi"/>
          <w:sz w:val="36"/>
          <w:szCs w:val="36"/>
        </w:rPr>
        <w:t>Odefsey</w:t>
      </w:r>
      <w:r w:rsidRPr="006C7140">
        <w:rPr>
          <w:rFonts w:asciiTheme="minorHAnsi" w:hAnsiTheme="minorHAnsi"/>
          <w:sz w:val="36"/>
          <w:szCs w:val="36"/>
        </w:rPr>
        <w:t>®</w:t>
      </w:r>
      <w:r w:rsidRPr="00E12A39">
        <w:rPr>
          <w:rFonts w:asciiTheme="minorHAnsi" w:hAnsiTheme="minorHAnsi"/>
          <w:sz w:val="36"/>
          <w:szCs w:val="36"/>
        </w:rPr>
        <w:t>, Gilead Sciences Pty Ltd.</w:t>
      </w:r>
    </w:p>
    <w:p w:rsidR="00251499" w:rsidRPr="006C7140" w:rsidRDefault="00251499" w:rsidP="006C7140">
      <w:pPr>
        <w:pStyle w:val="PBACHeading1"/>
        <w:numPr>
          <w:ilvl w:val="0"/>
          <w:numId w:val="1"/>
        </w:numPr>
        <w:spacing w:before="240" w:after="120"/>
        <w:outlineLvl w:val="0"/>
        <w:rPr>
          <w:rFonts w:asciiTheme="minorHAnsi" w:hAnsiTheme="minorHAnsi"/>
          <w:sz w:val="32"/>
          <w:szCs w:val="32"/>
        </w:rPr>
      </w:pPr>
      <w:r w:rsidRPr="006C7140">
        <w:rPr>
          <w:rFonts w:asciiTheme="minorHAnsi" w:hAnsiTheme="minorHAnsi"/>
          <w:sz w:val="32"/>
          <w:szCs w:val="32"/>
        </w:rPr>
        <w:t>Background</w:t>
      </w:r>
    </w:p>
    <w:p w:rsidR="00251499" w:rsidRPr="006C7140" w:rsidRDefault="00251499" w:rsidP="006C7140">
      <w:pPr>
        <w:pStyle w:val="ListParagraph"/>
        <w:widowControl/>
        <w:numPr>
          <w:ilvl w:val="1"/>
          <w:numId w:val="1"/>
        </w:numPr>
        <w:spacing w:before="120" w:after="120"/>
        <w:contextualSpacing w:val="0"/>
        <w:rPr>
          <w:rFonts w:asciiTheme="minorHAnsi" w:hAnsiTheme="minorHAnsi"/>
          <w:sz w:val="24"/>
          <w:szCs w:val="24"/>
        </w:rPr>
      </w:pPr>
      <w:r w:rsidRPr="006C7140">
        <w:rPr>
          <w:rFonts w:asciiTheme="minorHAnsi" w:hAnsiTheme="minorHAnsi"/>
          <w:sz w:val="24"/>
          <w:szCs w:val="24"/>
        </w:rPr>
        <w:t xml:space="preserve">The sponsor made a submission to the July 2016 PBAC meeting to request a Section 100 Highly Specialised Drug Program (Community Access): Authority Required (Streamlined) listing for </w:t>
      </w:r>
      <w:r w:rsidR="008B3394" w:rsidRPr="006C7140">
        <w:rPr>
          <w:rFonts w:asciiTheme="minorHAnsi" w:hAnsiTheme="minorHAnsi"/>
          <w:sz w:val="24"/>
          <w:szCs w:val="24"/>
        </w:rPr>
        <w:t>Odefsey</w:t>
      </w:r>
      <w:r w:rsidR="00A2438C" w:rsidRPr="006C7140">
        <w:rPr>
          <w:rFonts w:asciiTheme="minorHAnsi" w:hAnsiTheme="minorHAnsi"/>
          <w:sz w:val="24"/>
          <w:szCs w:val="24"/>
          <w:vertAlign w:val="superscript"/>
        </w:rPr>
        <w:t>®</w:t>
      </w:r>
      <w:r w:rsidR="008B3394" w:rsidRPr="006C7140">
        <w:rPr>
          <w:rFonts w:asciiTheme="minorHAnsi" w:hAnsiTheme="minorHAnsi"/>
          <w:sz w:val="24"/>
          <w:szCs w:val="24"/>
        </w:rPr>
        <w:t xml:space="preserve"> fixed-dose combination (rilpivirine 25mg + emtricitabine 200mg + tenofovir alafenamide 25mg tablet)</w:t>
      </w:r>
      <w:r w:rsidRPr="006C7140">
        <w:rPr>
          <w:rFonts w:asciiTheme="minorHAnsi" w:hAnsiTheme="minorHAnsi"/>
          <w:sz w:val="24"/>
          <w:szCs w:val="24"/>
        </w:rPr>
        <w:t>, for treatment of human immunodeficiency virus (HIV) for treatment-naïve patients and treatment-experienced patients.</w:t>
      </w:r>
    </w:p>
    <w:p w:rsidR="008B3394" w:rsidRPr="006C7140" w:rsidRDefault="008B3394" w:rsidP="006C7140">
      <w:pPr>
        <w:pStyle w:val="ListParagraph"/>
        <w:widowControl/>
        <w:numPr>
          <w:ilvl w:val="1"/>
          <w:numId w:val="1"/>
        </w:numPr>
        <w:spacing w:before="120" w:after="120"/>
        <w:contextualSpacing w:val="0"/>
        <w:rPr>
          <w:rFonts w:asciiTheme="minorHAnsi" w:hAnsiTheme="minorHAnsi"/>
          <w:sz w:val="24"/>
          <w:szCs w:val="24"/>
        </w:rPr>
      </w:pPr>
      <w:r w:rsidRPr="006C7140">
        <w:rPr>
          <w:rFonts w:asciiTheme="minorHAnsi" w:hAnsiTheme="minorHAnsi"/>
          <w:sz w:val="24"/>
          <w:szCs w:val="24"/>
        </w:rPr>
        <w:t>The submission provided a cost-minimisation analysis of Odefsey</w:t>
      </w:r>
      <w:r w:rsidRPr="006C7140">
        <w:rPr>
          <w:rFonts w:asciiTheme="minorHAnsi" w:hAnsiTheme="minorHAnsi"/>
          <w:sz w:val="24"/>
          <w:szCs w:val="24"/>
          <w:vertAlign w:val="superscript"/>
        </w:rPr>
        <w:t>®</w:t>
      </w:r>
      <w:r w:rsidRPr="006C7140">
        <w:rPr>
          <w:rFonts w:asciiTheme="minorHAnsi" w:hAnsiTheme="minorHAnsi"/>
          <w:sz w:val="24"/>
          <w:szCs w:val="24"/>
        </w:rPr>
        <w:t xml:space="preserve"> versus the nominated comparator Eviplera</w:t>
      </w:r>
      <w:r w:rsidRPr="006C7140">
        <w:rPr>
          <w:rFonts w:asciiTheme="minorHAnsi" w:hAnsiTheme="minorHAnsi"/>
          <w:sz w:val="24"/>
          <w:szCs w:val="24"/>
          <w:vertAlign w:val="superscript"/>
        </w:rPr>
        <w:t>®</w:t>
      </w:r>
      <w:r w:rsidRPr="006C7140">
        <w:rPr>
          <w:rFonts w:asciiTheme="minorHAnsi" w:hAnsiTheme="minorHAnsi"/>
          <w:sz w:val="24"/>
          <w:szCs w:val="24"/>
        </w:rPr>
        <w:t xml:space="preserve"> based on drug cost only.</w:t>
      </w:r>
    </w:p>
    <w:p w:rsidR="00251499" w:rsidRPr="006C7140" w:rsidRDefault="00251499" w:rsidP="006C7140">
      <w:pPr>
        <w:numPr>
          <w:ilvl w:val="1"/>
          <w:numId w:val="1"/>
        </w:numPr>
        <w:spacing w:before="120" w:after="120"/>
        <w:rPr>
          <w:rFonts w:asciiTheme="minorHAnsi" w:hAnsiTheme="minorHAnsi"/>
          <w:bCs/>
          <w:sz w:val="24"/>
          <w:szCs w:val="24"/>
          <w:lang w:val="en-GB"/>
        </w:rPr>
      </w:pPr>
      <w:r w:rsidRPr="006C7140">
        <w:rPr>
          <w:rFonts w:asciiTheme="minorHAnsi" w:hAnsiTheme="minorHAnsi"/>
          <w:bCs/>
          <w:sz w:val="24"/>
          <w:szCs w:val="24"/>
          <w:lang w:val="en-GB"/>
        </w:rPr>
        <w:t xml:space="preserve">At the July 2016 meeting, the PBAC deferred making a recommendation </w:t>
      </w:r>
      <w:r w:rsidR="00455ED2" w:rsidRPr="006C7140">
        <w:rPr>
          <w:rFonts w:asciiTheme="minorHAnsi" w:hAnsiTheme="minorHAnsi"/>
          <w:bCs/>
          <w:sz w:val="24"/>
          <w:szCs w:val="24"/>
          <w:lang w:val="en-GB"/>
        </w:rPr>
        <w:t>on whether tenofovir alafenamide with emtricitabine and rilpivirine should be listed in the Pharmaceutical Benefits Schedule for the treatment of HIV infection</w:t>
      </w:r>
      <w:r w:rsidRPr="006C7140">
        <w:rPr>
          <w:rFonts w:asciiTheme="minorHAnsi" w:hAnsiTheme="minorHAnsi"/>
          <w:bCs/>
          <w:sz w:val="24"/>
          <w:szCs w:val="24"/>
          <w:lang w:val="en-GB"/>
        </w:rPr>
        <w:t xml:space="preserve"> in order to hear the Department’s views on matters relevant to the question of whether tenofovir disoproxil and tenofovir alafenamide should be declared as different drugs for the purposes of the Act. </w:t>
      </w:r>
    </w:p>
    <w:p w:rsidR="00455ED2" w:rsidRPr="006C7140" w:rsidRDefault="00455ED2" w:rsidP="006C7140">
      <w:pPr>
        <w:pStyle w:val="ListParagraph"/>
        <w:widowControl/>
        <w:numPr>
          <w:ilvl w:val="1"/>
          <w:numId w:val="1"/>
        </w:numPr>
        <w:spacing w:before="120" w:after="120"/>
        <w:contextualSpacing w:val="0"/>
        <w:rPr>
          <w:rFonts w:asciiTheme="minorHAnsi" w:hAnsiTheme="minorHAnsi"/>
          <w:sz w:val="24"/>
          <w:szCs w:val="24"/>
        </w:rPr>
      </w:pPr>
      <w:r w:rsidRPr="006C7140">
        <w:rPr>
          <w:rFonts w:asciiTheme="minorHAnsi" w:hAnsiTheme="minorHAnsi"/>
          <w:sz w:val="24"/>
          <w:szCs w:val="24"/>
        </w:rPr>
        <w:t>The PBAC formed the view that Odefsey</w:t>
      </w:r>
      <w:r w:rsidR="00A2438C" w:rsidRPr="006C7140">
        <w:rPr>
          <w:rFonts w:asciiTheme="minorHAnsi" w:hAnsiTheme="minorHAnsi"/>
          <w:sz w:val="24"/>
          <w:szCs w:val="24"/>
          <w:vertAlign w:val="superscript"/>
        </w:rPr>
        <w:t>®</w:t>
      </w:r>
      <w:r w:rsidRPr="006C7140">
        <w:rPr>
          <w:rFonts w:asciiTheme="minorHAnsi" w:hAnsiTheme="minorHAnsi"/>
          <w:sz w:val="24"/>
          <w:szCs w:val="24"/>
        </w:rPr>
        <w:t xml:space="preserve"> (rilpivirine 25mg + emtricitabine 200mg + tenofovir alafenamide 25mg tablet) is non inferior Eviplera</w:t>
      </w:r>
      <w:r w:rsidRPr="006C7140">
        <w:rPr>
          <w:rFonts w:asciiTheme="minorHAnsi" w:hAnsiTheme="minorHAnsi"/>
          <w:sz w:val="24"/>
          <w:szCs w:val="24"/>
          <w:vertAlign w:val="superscript"/>
        </w:rPr>
        <w:t>®</w:t>
      </w:r>
      <w:r w:rsidRPr="006C7140">
        <w:rPr>
          <w:rFonts w:asciiTheme="minorHAnsi" w:hAnsiTheme="minorHAnsi"/>
          <w:sz w:val="24"/>
          <w:szCs w:val="24"/>
        </w:rPr>
        <w:t xml:space="preserve"> (tenofovir disoproxil fumarate 300 mg + emtricitabine 200 mg + rilpivirine 25 mg tablet) in terms of effectiveness and safety</w:t>
      </w:r>
      <w:r w:rsidR="00C16921" w:rsidRPr="006C7140">
        <w:rPr>
          <w:rFonts w:asciiTheme="minorHAnsi" w:hAnsiTheme="minorHAnsi"/>
          <w:sz w:val="24"/>
          <w:szCs w:val="24"/>
        </w:rPr>
        <w:t xml:space="preserve">. </w:t>
      </w:r>
      <w:r w:rsidRPr="006C7140">
        <w:rPr>
          <w:rFonts w:asciiTheme="minorHAnsi" w:hAnsiTheme="minorHAnsi"/>
          <w:sz w:val="24"/>
          <w:szCs w:val="24"/>
        </w:rPr>
        <w:t>The equi-effective doses are one tablet of Odefsey</w:t>
      </w:r>
      <w:r w:rsidR="00A2438C" w:rsidRPr="006C7140">
        <w:rPr>
          <w:rFonts w:asciiTheme="minorHAnsi" w:hAnsiTheme="minorHAnsi"/>
          <w:sz w:val="24"/>
          <w:szCs w:val="24"/>
          <w:vertAlign w:val="superscript"/>
        </w:rPr>
        <w:t>®</w:t>
      </w:r>
      <w:r w:rsidRPr="006C7140">
        <w:rPr>
          <w:rFonts w:asciiTheme="minorHAnsi" w:hAnsiTheme="minorHAnsi"/>
          <w:sz w:val="24"/>
          <w:szCs w:val="24"/>
        </w:rPr>
        <w:t xml:space="preserve"> is equivalent to one tablet of Eviplera</w:t>
      </w:r>
      <w:r w:rsidR="00A2438C" w:rsidRPr="006C7140">
        <w:rPr>
          <w:rFonts w:asciiTheme="minorHAnsi" w:hAnsiTheme="minorHAnsi"/>
          <w:sz w:val="24"/>
          <w:szCs w:val="24"/>
          <w:vertAlign w:val="superscript"/>
        </w:rPr>
        <w:t>®</w:t>
      </w:r>
      <w:r w:rsidRPr="006C7140">
        <w:rPr>
          <w:rFonts w:asciiTheme="minorHAnsi" w:hAnsiTheme="minorHAnsi"/>
          <w:sz w:val="24"/>
          <w:szCs w:val="24"/>
        </w:rPr>
        <w:t>.</w:t>
      </w:r>
    </w:p>
    <w:p w:rsidR="00455ED2" w:rsidRPr="006C7140" w:rsidRDefault="00455ED2" w:rsidP="006C7140">
      <w:pPr>
        <w:pStyle w:val="ListParagraph"/>
        <w:widowControl/>
        <w:numPr>
          <w:ilvl w:val="1"/>
          <w:numId w:val="1"/>
        </w:numPr>
        <w:spacing w:before="120" w:after="120"/>
        <w:contextualSpacing w:val="0"/>
        <w:rPr>
          <w:rFonts w:asciiTheme="minorHAnsi" w:hAnsiTheme="minorHAnsi"/>
          <w:bCs/>
          <w:sz w:val="24"/>
          <w:szCs w:val="24"/>
          <w:lang w:val="en-GB"/>
        </w:rPr>
      </w:pPr>
      <w:r w:rsidRPr="006C7140">
        <w:rPr>
          <w:rFonts w:asciiTheme="minorHAnsi" w:hAnsiTheme="minorHAnsi"/>
          <w:bCs/>
          <w:sz w:val="24"/>
          <w:szCs w:val="24"/>
          <w:lang w:val="en-GB"/>
        </w:rPr>
        <w:t xml:space="preserve">The PBAC considered the sponsor’s request to have the restrictions for </w:t>
      </w:r>
      <w:r w:rsidRPr="006C7140">
        <w:rPr>
          <w:rFonts w:asciiTheme="minorHAnsi" w:hAnsiTheme="minorHAnsi"/>
          <w:bCs/>
          <w:sz w:val="24"/>
          <w:szCs w:val="24"/>
        </w:rPr>
        <w:t>recently listed single tablet regimen antiretroviral treatments</w:t>
      </w:r>
      <w:r w:rsidRPr="006C7140">
        <w:rPr>
          <w:rFonts w:asciiTheme="minorHAnsi" w:hAnsiTheme="minorHAnsi"/>
          <w:bCs/>
          <w:i/>
          <w:sz w:val="24"/>
          <w:szCs w:val="24"/>
        </w:rPr>
        <w:t xml:space="preserve"> </w:t>
      </w:r>
      <w:r w:rsidRPr="006C7140">
        <w:rPr>
          <w:rFonts w:asciiTheme="minorHAnsi" w:hAnsiTheme="minorHAnsi"/>
          <w:bCs/>
          <w:sz w:val="24"/>
          <w:szCs w:val="24"/>
          <w:lang w:val="en-GB"/>
        </w:rPr>
        <w:t>also apply to a listing of Odefsey</w:t>
      </w:r>
      <w:r w:rsidR="00A2438C" w:rsidRPr="006C7140">
        <w:rPr>
          <w:rFonts w:asciiTheme="minorHAnsi" w:hAnsiTheme="minorHAnsi"/>
          <w:sz w:val="24"/>
          <w:szCs w:val="24"/>
          <w:vertAlign w:val="superscript"/>
        </w:rPr>
        <w:t>®</w:t>
      </w:r>
      <w:r w:rsidRPr="006C7140">
        <w:rPr>
          <w:rFonts w:asciiTheme="minorHAnsi" w:hAnsiTheme="minorHAnsi"/>
          <w:bCs/>
          <w:sz w:val="24"/>
          <w:szCs w:val="24"/>
          <w:lang w:val="en-GB"/>
        </w:rPr>
        <w:t xml:space="preserve"> to be appropriate.</w:t>
      </w:r>
    </w:p>
    <w:p w:rsidR="00455ED2" w:rsidRPr="006C7140" w:rsidRDefault="00455ED2" w:rsidP="006C7140">
      <w:pPr>
        <w:pStyle w:val="ListParagraph"/>
        <w:widowControl/>
        <w:numPr>
          <w:ilvl w:val="1"/>
          <w:numId w:val="1"/>
        </w:numPr>
        <w:spacing w:before="120" w:after="120"/>
        <w:contextualSpacing w:val="0"/>
        <w:rPr>
          <w:rFonts w:asciiTheme="minorHAnsi" w:hAnsiTheme="minorHAnsi"/>
          <w:bCs/>
          <w:sz w:val="24"/>
          <w:szCs w:val="24"/>
          <w:lang w:val="en-GB"/>
        </w:rPr>
      </w:pPr>
      <w:r w:rsidRPr="006C7140">
        <w:rPr>
          <w:rFonts w:asciiTheme="minorHAnsi" w:hAnsiTheme="minorHAnsi"/>
          <w:bCs/>
          <w:sz w:val="24"/>
          <w:szCs w:val="24"/>
        </w:rPr>
        <w:t>The PBAC formed the view that the Early Supply Rule should apply to Odefsey</w:t>
      </w:r>
      <w:r w:rsidR="00A2438C" w:rsidRPr="006C7140">
        <w:rPr>
          <w:rFonts w:asciiTheme="minorHAnsi" w:hAnsiTheme="minorHAnsi"/>
          <w:sz w:val="24"/>
          <w:szCs w:val="24"/>
          <w:vertAlign w:val="superscript"/>
        </w:rPr>
        <w:t>®</w:t>
      </w:r>
      <w:r w:rsidRPr="006C7140">
        <w:rPr>
          <w:rFonts w:asciiTheme="minorHAnsi" w:hAnsiTheme="minorHAnsi"/>
          <w:bCs/>
          <w:sz w:val="24"/>
          <w:szCs w:val="24"/>
        </w:rPr>
        <w:t>, as recommended for all HIV treatments at the November 2015 meeting.</w:t>
      </w:r>
    </w:p>
    <w:p w:rsidR="00251499" w:rsidRPr="006C7140" w:rsidRDefault="00251499" w:rsidP="006C7140">
      <w:pPr>
        <w:pStyle w:val="ListParagraph"/>
        <w:widowControl/>
        <w:numPr>
          <w:ilvl w:val="1"/>
          <w:numId w:val="1"/>
        </w:numPr>
        <w:spacing w:before="120" w:after="120"/>
        <w:contextualSpacing w:val="0"/>
        <w:rPr>
          <w:rFonts w:asciiTheme="minorHAnsi" w:hAnsiTheme="minorHAnsi"/>
          <w:bCs/>
          <w:sz w:val="24"/>
          <w:szCs w:val="24"/>
          <w:lang w:val="en-GB"/>
        </w:rPr>
      </w:pPr>
      <w:r w:rsidRPr="006C7140">
        <w:rPr>
          <w:rFonts w:asciiTheme="minorHAnsi" w:hAnsiTheme="minorHAnsi"/>
          <w:sz w:val="24"/>
          <w:szCs w:val="24"/>
        </w:rPr>
        <w:t xml:space="preserve">The PBAC decided it was not satisfied as required by subsection 101(4AC) and therefore </w:t>
      </w:r>
      <w:r w:rsidR="00356E06" w:rsidRPr="006C7140">
        <w:rPr>
          <w:rFonts w:asciiTheme="minorHAnsi" w:hAnsiTheme="minorHAnsi"/>
          <w:sz w:val="24"/>
          <w:szCs w:val="24"/>
        </w:rPr>
        <w:t xml:space="preserve">would </w:t>
      </w:r>
      <w:r w:rsidRPr="006C7140">
        <w:rPr>
          <w:rFonts w:asciiTheme="minorHAnsi" w:hAnsiTheme="minorHAnsi"/>
          <w:sz w:val="24"/>
          <w:szCs w:val="24"/>
        </w:rPr>
        <w:t xml:space="preserve">not provide advice to the Minister under that section. </w:t>
      </w:r>
    </w:p>
    <w:p w:rsidR="00251499" w:rsidRPr="006C7140" w:rsidRDefault="00251499" w:rsidP="006C7140">
      <w:pPr>
        <w:pStyle w:val="PBACHeading1"/>
        <w:numPr>
          <w:ilvl w:val="0"/>
          <w:numId w:val="1"/>
        </w:numPr>
        <w:spacing w:before="120" w:after="120"/>
        <w:outlineLvl w:val="0"/>
        <w:rPr>
          <w:rFonts w:asciiTheme="minorHAnsi" w:hAnsiTheme="minorHAnsi"/>
          <w:sz w:val="32"/>
          <w:szCs w:val="32"/>
        </w:rPr>
      </w:pPr>
      <w:r w:rsidRPr="006C7140">
        <w:rPr>
          <w:rFonts w:asciiTheme="minorHAnsi" w:hAnsiTheme="minorHAnsi"/>
          <w:sz w:val="32"/>
          <w:szCs w:val="32"/>
        </w:rPr>
        <w:t>Current situation</w:t>
      </w:r>
    </w:p>
    <w:p w:rsidR="00251499" w:rsidRPr="006C7140" w:rsidRDefault="00251499" w:rsidP="006C7140">
      <w:pPr>
        <w:pStyle w:val="ListParagraph"/>
        <w:numPr>
          <w:ilvl w:val="1"/>
          <w:numId w:val="1"/>
        </w:numPr>
        <w:spacing w:before="120" w:after="120"/>
        <w:contextualSpacing w:val="0"/>
        <w:rPr>
          <w:rFonts w:asciiTheme="minorHAnsi" w:hAnsiTheme="minorHAnsi"/>
          <w:sz w:val="24"/>
          <w:szCs w:val="24"/>
        </w:rPr>
      </w:pPr>
      <w:r w:rsidRPr="006C7140">
        <w:rPr>
          <w:rFonts w:asciiTheme="minorHAnsi" w:hAnsiTheme="minorHAnsi"/>
          <w:sz w:val="24"/>
          <w:szCs w:val="24"/>
        </w:rPr>
        <w:t xml:space="preserve">It has been longstanding practice for Pharmaceutical Benefits Advisory Committee (PBAC) recommendations under section 101(3) of the </w:t>
      </w:r>
      <w:r w:rsidRPr="006C7140">
        <w:rPr>
          <w:rFonts w:asciiTheme="minorHAnsi" w:hAnsiTheme="minorHAnsi"/>
          <w:i/>
          <w:sz w:val="24"/>
          <w:szCs w:val="24"/>
        </w:rPr>
        <w:t>National Health Act 1953</w:t>
      </w:r>
      <w:r w:rsidRPr="006C7140">
        <w:rPr>
          <w:rFonts w:asciiTheme="minorHAnsi" w:hAnsiTheme="minorHAnsi"/>
          <w:sz w:val="24"/>
          <w:szCs w:val="24"/>
        </w:rPr>
        <w:t xml:space="preserve"> (the Act) and subsequent declarations under section 85(2) of the Act to be, in the most </w:t>
      </w:r>
      <w:r w:rsidRPr="006C7140">
        <w:rPr>
          <w:rFonts w:asciiTheme="minorHAnsi" w:hAnsiTheme="minorHAnsi"/>
          <w:sz w:val="24"/>
          <w:szCs w:val="24"/>
        </w:rPr>
        <w:lastRenderedPageBreak/>
        <w:t>part, made at the level of the core active moiety, with salts, esters, and other groups determined as part of the form under section 85(3) of the Act.</w:t>
      </w:r>
    </w:p>
    <w:p w:rsidR="00AF3154" w:rsidRPr="006C7140" w:rsidRDefault="00B359D6" w:rsidP="006C7140">
      <w:pPr>
        <w:pStyle w:val="ListParagraph"/>
        <w:numPr>
          <w:ilvl w:val="1"/>
          <w:numId w:val="1"/>
        </w:numPr>
        <w:spacing w:before="120" w:after="120"/>
        <w:contextualSpacing w:val="0"/>
        <w:rPr>
          <w:rFonts w:asciiTheme="minorHAnsi" w:hAnsiTheme="minorHAnsi"/>
          <w:sz w:val="24"/>
          <w:szCs w:val="24"/>
        </w:rPr>
      </w:pPr>
      <w:r w:rsidRPr="006C7140">
        <w:rPr>
          <w:rFonts w:asciiTheme="minorHAnsi" w:hAnsiTheme="minorHAnsi"/>
          <w:sz w:val="24"/>
          <w:szCs w:val="24"/>
        </w:rPr>
        <w:t>The World Health Organisation’s International Non-proprietary Names (INN) list was identified</w:t>
      </w:r>
      <w:r w:rsidR="007754F8" w:rsidRPr="006C7140">
        <w:rPr>
          <w:rFonts w:asciiTheme="minorHAnsi" w:hAnsiTheme="minorHAnsi"/>
          <w:sz w:val="24"/>
          <w:szCs w:val="24"/>
        </w:rPr>
        <w:t xml:space="preserve"> as a source of </w:t>
      </w:r>
      <w:r w:rsidRPr="006C7140">
        <w:rPr>
          <w:rFonts w:asciiTheme="minorHAnsi" w:hAnsiTheme="minorHAnsi"/>
          <w:sz w:val="24"/>
          <w:szCs w:val="24"/>
        </w:rPr>
        <w:t>guid</w:t>
      </w:r>
      <w:r w:rsidR="00444E81" w:rsidRPr="006C7140">
        <w:rPr>
          <w:rFonts w:asciiTheme="minorHAnsi" w:hAnsiTheme="minorHAnsi"/>
          <w:sz w:val="24"/>
          <w:szCs w:val="24"/>
        </w:rPr>
        <w:t>ance for identifying the core active moiety in a drug</w:t>
      </w:r>
      <w:r w:rsidR="007754F8" w:rsidRPr="006C7140">
        <w:rPr>
          <w:rFonts w:asciiTheme="minorHAnsi" w:hAnsiTheme="minorHAnsi"/>
          <w:sz w:val="24"/>
          <w:szCs w:val="24"/>
        </w:rPr>
        <w:t xml:space="preserve"> for sponsors, the PBAC, and the Minister. </w:t>
      </w:r>
      <w:r w:rsidR="00AF3154" w:rsidRPr="006C7140">
        <w:rPr>
          <w:rFonts w:asciiTheme="minorHAnsi" w:hAnsiTheme="minorHAnsi"/>
          <w:sz w:val="24"/>
          <w:szCs w:val="24"/>
        </w:rPr>
        <w:t xml:space="preserve"> The INN may be useful in this regard as “</w:t>
      </w:r>
      <w:r w:rsidR="00AF3154" w:rsidRPr="006C7140">
        <w:rPr>
          <w:rFonts w:asciiTheme="minorHAnsi" w:hAnsiTheme="minorHAnsi"/>
          <w:i/>
          <w:sz w:val="24"/>
          <w:szCs w:val="24"/>
        </w:rPr>
        <w:t>An INN is usually designated for the active part of the molecule only, to avoid the multiplication of entries in cases where several salts, esters, etc. are actually used. In such cases, the user of the INN has to creat</w:t>
      </w:r>
      <w:r w:rsidR="009148CA" w:rsidRPr="006C7140">
        <w:rPr>
          <w:rFonts w:asciiTheme="minorHAnsi" w:hAnsiTheme="minorHAnsi"/>
          <w:i/>
          <w:sz w:val="24"/>
          <w:szCs w:val="24"/>
        </w:rPr>
        <w:t>e a modified INN (INNM) himself</w:t>
      </w:r>
      <w:r w:rsidR="00AF3154" w:rsidRPr="006C7140">
        <w:rPr>
          <w:rFonts w:asciiTheme="minorHAnsi" w:hAnsiTheme="minorHAnsi"/>
          <w:i/>
          <w:sz w:val="24"/>
          <w:szCs w:val="24"/>
        </w:rPr>
        <w:t>; mepyramine maleate (a salt of mepyramine with maleic acid) is an example of an INNM.”</w:t>
      </w:r>
      <w:r w:rsidR="00AF3154" w:rsidRPr="006C7140">
        <w:rPr>
          <w:rFonts w:asciiTheme="minorHAnsi" w:hAnsiTheme="minorHAnsi"/>
          <w:sz w:val="24"/>
          <w:szCs w:val="24"/>
        </w:rPr>
        <w:t xml:space="preserve"> (</w:t>
      </w:r>
      <w:r w:rsidR="00AF3154" w:rsidRPr="00F45CBF">
        <w:rPr>
          <w:rFonts w:asciiTheme="minorHAnsi" w:hAnsiTheme="minorHAnsi"/>
          <w:sz w:val="24"/>
          <w:szCs w:val="24"/>
        </w:rPr>
        <w:t>http://www.who.int/medicines/services/inn/innquidance/en/</w:t>
      </w:r>
      <w:r w:rsidR="00AF3154" w:rsidRPr="006C7140">
        <w:rPr>
          <w:rFonts w:asciiTheme="minorHAnsi" w:hAnsiTheme="minorHAnsi"/>
          <w:sz w:val="24"/>
          <w:szCs w:val="24"/>
        </w:rPr>
        <w:t>)</w:t>
      </w:r>
    </w:p>
    <w:p w:rsidR="007754F8" w:rsidRPr="006C7140" w:rsidRDefault="00AF3154" w:rsidP="006C7140">
      <w:pPr>
        <w:pStyle w:val="ListParagraph"/>
        <w:numPr>
          <w:ilvl w:val="1"/>
          <w:numId w:val="1"/>
        </w:numPr>
        <w:spacing w:before="120" w:after="120"/>
        <w:contextualSpacing w:val="0"/>
        <w:rPr>
          <w:rFonts w:asciiTheme="minorHAnsi" w:hAnsiTheme="minorHAnsi"/>
          <w:sz w:val="24"/>
          <w:szCs w:val="24"/>
        </w:rPr>
      </w:pPr>
      <w:r w:rsidRPr="006C7140">
        <w:rPr>
          <w:rFonts w:asciiTheme="minorHAnsi" w:hAnsiTheme="minorHAnsi"/>
          <w:sz w:val="24"/>
          <w:szCs w:val="24"/>
        </w:rPr>
        <w:t>T</w:t>
      </w:r>
      <w:r w:rsidR="007754F8" w:rsidRPr="006C7140">
        <w:rPr>
          <w:rFonts w:asciiTheme="minorHAnsi" w:hAnsiTheme="minorHAnsi"/>
          <w:sz w:val="24"/>
          <w:szCs w:val="24"/>
        </w:rPr>
        <w:t>he PBAC or the Minister are not bound to follow INN conventions if a different approach is considered appropriate for particular drug</w:t>
      </w:r>
      <w:r w:rsidRPr="006C7140">
        <w:rPr>
          <w:rFonts w:asciiTheme="minorHAnsi" w:hAnsiTheme="minorHAnsi"/>
          <w:sz w:val="24"/>
          <w:szCs w:val="24"/>
        </w:rPr>
        <w:t>s, taking into account chemical, structural, pharmacological, pharmacokinetic or other matters.</w:t>
      </w:r>
      <w:r w:rsidR="007754F8" w:rsidRPr="006C7140">
        <w:rPr>
          <w:rFonts w:asciiTheme="minorHAnsi" w:hAnsiTheme="minorHAnsi"/>
          <w:sz w:val="24"/>
          <w:szCs w:val="24"/>
        </w:rPr>
        <w:t xml:space="preserve"> </w:t>
      </w:r>
    </w:p>
    <w:p w:rsidR="007754F8" w:rsidRPr="006C7140" w:rsidRDefault="007754F8" w:rsidP="006C7140">
      <w:pPr>
        <w:pStyle w:val="PBACHeading1"/>
        <w:numPr>
          <w:ilvl w:val="0"/>
          <w:numId w:val="1"/>
        </w:numPr>
        <w:spacing w:before="120" w:after="120"/>
        <w:outlineLvl w:val="0"/>
        <w:rPr>
          <w:rFonts w:asciiTheme="minorHAnsi" w:hAnsiTheme="minorHAnsi"/>
          <w:sz w:val="32"/>
          <w:szCs w:val="32"/>
        </w:rPr>
      </w:pPr>
      <w:r w:rsidRPr="006C7140">
        <w:rPr>
          <w:rFonts w:asciiTheme="minorHAnsi" w:hAnsiTheme="minorHAnsi"/>
          <w:sz w:val="32"/>
          <w:szCs w:val="32"/>
        </w:rPr>
        <w:t>Sponsor’s response</w:t>
      </w:r>
    </w:p>
    <w:p w:rsidR="007754F8" w:rsidRPr="006C7140" w:rsidRDefault="007754F8" w:rsidP="006C7140">
      <w:pPr>
        <w:pStyle w:val="ListParagraph"/>
        <w:numPr>
          <w:ilvl w:val="1"/>
          <w:numId w:val="1"/>
        </w:numPr>
        <w:spacing w:before="120" w:after="120"/>
        <w:contextualSpacing w:val="0"/>
        <w:rPr>
          <w:rFonts w:asciiTheme="minorHAnsi" w:hAnsiTheme="minorHAnsi"/>
          <w:sz w:val="24"/>
          <w:szCs w:val="24"/>
        </w:rPr>
      </w:pPr>
      <w:r w:rsidRPr="006C7140">
        <w:rPr>
          <w:rFonts w:asciiTheme="minorHAnsi" w:hAnsiTheme="minorHAnsi"/>
          <w:sz w:val="24"/>
          <w:szCs w:val="24"/>
        </w:rPr>
        <w:t xml:space="preserve">The sponsor </w:t>
      </w:r>
      <w:r w:rsidR="00AF3154" w:rsidRPr="006C7140">
        <w:rPr>
          <w:rFonts w:asciiTheme="minorHAnsi" w:hAnsiTheme="minorHAnsi"/>
          <w:sz w:val="24"/>
          <w:szCs w:val="24"/>
        </w:rPr>
        <w:t>asserted</w:t>
      </w:r>
      <w:r w:rsidRPr="006C7140">
        <w:rPr>
          <w:rFonts w:asciiTheme="minorHAnsi" w:hAnsiTheme="minorHAnsi"/>
          <w:sz w:val="24"/>
          <w:szCs w:val="24"/>
        </w:rPr>
        <w:t xml:space="preserve"> that the HIV fixed dose combinations (FDCs) Descovy</w:t>
      </w:r>
      <w:r w:rsidR="00A2438C" w:rsidRPr="006C7140">
        <w:rPr>
          <w:rFonts w:asciiTheme="minorHAnsi" w:hAnsiTheme="minorHAnsi"/>
          <w:sz w:val="24"/>
          <w:szCs w:val="24"/>
          <w:vertAlign w:val="superscript"/>
        </w:rPr>
        <w:t>®</w:t>
      </w:r>
      <w:r w:rsidRPr="006C7140">
        <w:rPr>
          <w:rFonts w:asciiTheme="minorHAnsi" w:hAnsiTheme="minorHAnsi"/>
          <w:sz w:val="24"/>
          <w:szCs w:val="24"/>
        </w:rPr>
        <w:t>, Odefsey</w:t>
      </w:r>
      <w:r w:rsidR="00A2438C" w:rsidRPr="006C7140">
        <w:rPr>
          <w:rFonts w:asciiTheme="minorHAnsi" w:hAnsiTheme="minorHAnsi"/>
          <w:sz w:val="24"/>
          <w:szCs w:val="24"/>
          <w:vertAlign w:val="superscript"/>
        </w:rPr>
        <w:t>®</w:t>
      </w:r>
      <w:r w:rsidRPr="006C7140">
        <w:rPr>
          <w:rFonts w:asciiTheme="minorHAnsi" w:hAnsiTheme="minorHAnsi"/>
          <w:sz w:val="24"/>
          <w:szCs w:val="24"/>
        </w:rPr>
        <w:t xml:space="preserve"> and Genvoya</w:t>
      </w:r>
      <w:r w:rsidR="00A2438C" w:rsidRPr="006C7140">
        <w:rPr>
          <w:rFonts w:asciiTheme="minorHAnsi" w:hAnsiTheme="minorHAnsi"/>
          <w:sz w:val="24"/>
          <w:szCs w:val="24"/>
          <w:vertAlign w:val="superscript"/>
        </w:rPr>
        <w:t>®</w:t>
      </w:r>
      <w:r w:rsidRPr="006C7140">
        <w:rPr>
          <w:rFonts w:asciiTheme="minorHAnsi" w:hAnsiTheme="minorHAnsi"/>
          <w:sz w:val="24"/>
          <w:szCs w:val="24"/>
        </w:rPr>
        <w:t xml:space="preserve"> all contain the drug ‘tenofovir alafenamide’ as the fumarate salt. This is distinct from the drug ‘tenofovir disoproxil’ as the fumarate salt, which is present in the FDC Truvada</w:t>
      </w:r>
      <w:r w:rsidR="00A2438C" w:rsidRPr="006C7140">
        <w:rPr>
          <w:rFonts w:asciiTheme="minorHAnsi" w:hAnsiTheme="minorHAnsi"/>
          <w:sz w:val="24"/>
          <w:szCs w:val="24"/>
          <w:vertAlign w:val="superscript"/>
        </w:rPr>
        <w:t>®</w:t>
      </w:r>
      <w:r w:rsidRPr="006C7140">
        <w:rPr>
          <w:rFonts w:asciiTheme="minorHAnsi" w:hAnsiTheme="minorHAnsi"/>
          <w:sz w:val="24"/>
          <w:szCs w:val="24"/>
        </w:rPr>
        <w:t>, Eviplera</w:t>
      </w:r>
      <w:r w:rsidR="00A2438C" w:rsidRPr="006C7140">
        <w:rPr>
          <w:rFonts w:asciiTheme="minorHAnsi" w:hAnsiTheme="minorHAnsi"/>
          <w:sz w:val="24"/>
          <w:szCs w:val="24"/>
          <w:vertAlign w:val="superscript"/>
        </w:rPr>
        <w:t>®</w:t>
      </w:r>
      <w:r w:rsidRPr="006C7140">
        <w:rPr>
          <w:rFonts w:asciiTheme="minorHAnsi" w:hAnsiTheme="minorHAnsi"/>
          <w:sz w:val="24"/>
          <w:szCs w:val="24"/>
        </w:rPr>
        <w:t xml:space="preserve"> and Stribild</w:t>
      </w:r>
      <w:r w:rsidR="00A2438C" w:rsidRPr="006C7140">
        <w:rPr>
          <w:rFonts w:asciiTheme="minorHAnsi" w:hAnsiTheme="minorHAnsi"/>
          <w:sz w:val="24"/>
          <w:szCs w:val="24"/>
          <w:vertAlign w:val="superscript"/>
        </w:rPr>
        <w:t>®</w:t>
      </w:r>
      <w:r w:rsidRPr="006C7140">
        <w:rPr>
          <w:rFonts w:asciiTheme="minorHAnsi" w:hAnsiTheme="minorHAnsi"/>
          <w:sz w:val="24"/>
          <w:szCs w:val="24"/>
        </w:rPr>
        <w:t>. Further, the sponsor stated that whilst both ‘tenofovir disoproxil’ and ‘tenofovir alafenamide’ are each prodrugs, neither is a prodrug of the other. They are distinct from each other chemically, structurally, pharmacologically and thus clinically different, as shown in figure 1 below.</w:t>
      </w:r>
    </w:p>
    <w:p w:rsidR="007754F8" w:rsidRPr="008311B2" w:rsidRDefault="007754F8" w:rsidP="008311B2">
      <w:pPr>
        <w:ind w:firstLine="720"/>
        <w:rPr>
          <w:rFonts w:ascii="Arial Narrow" w:hAnsi="Arial Narrow"/>
          <w:b/>
          <w:bCs/>
          <w:sz w:val="18"/>
          <w:lang w:val="en-GB"/>
        </w:rPr>
      </w:pPr>
      <w:r w:rsidRPr="008311B2">
        <w:rPr>
          <w:rFonts w:ascii="Arial Narrow" w:hAnsi="Arial Narrow"/>
          <w:b/>
          <w:bCs/>
          <w:sz w:val="20"/>
          <w:lang w:val="en-GB"/>
        </w:rPr>
        <w:t>Figure 1. Summary of characteristics of tenofovir disoproxil fumarate and tenofovir alafenamide</w:t>
      </w:r>
    </w:p>
    <w:p w:rsidR="007754F8" w:rsidRDefault="007754F8" w:rsidP="008311B2">
      <w:pPr>
        <w:ind w:firstLine="709"/>
        <w:rPr>
          <w:bCs/>
          <w:lang w:val="en-GB"/>
        </w:rPr>
      </w:pPr>
      <w:r>
        <w:rPr>
          <w:noProof/>
          <w:snapToGrid/>
          <w:lang w:eastAsia="en-AU"/>
        </w:rPr>
        <w:drawing>
          <wp:inline distT="0" distB="0" distL="0" distR="0" wp14:anchorId="31DFE932" wp14:editId="01057FF9">
            <wp:extent cx="5303520" cy="254872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5309" t="35423" r="52315" b="28373"/>
                    <a:stretch/>
                  </pic:blipFill>
                  <pic:spPr bwMode="auto">
                    <a:xfrm>
                      <a:off x="0" y="0"/>
                      <a:ext cx="5315518" cy="2554488"/>
                    </a:xfrm>
                    <a:prstGeom prst="rect">
                      <a:avLst/>
                    </a:prstGeom>
                    <a:ln>
                      <a:noFill/>
                    </a:ln>
                    <a:extLst>
                      <a:ext uri="{53640926-AAD7-44D8-BBD7-CCE9431645EC}">
                        <a14:shadowObscured xmlns:a14="http://schemas.microsoft.com/office/drawing/2010/main"/>
                      </a:ext>
                    </a:extLst>
                  </pic:spPr>
                </pic:pic>
              </a:graphicData>
            </a:graphic>
          </wp:inline>
        </w:drawing>
      </w:r>
    </w:p>
    <w:p w:rsidR="007754F8" w:rsidRPr="008311B2" w:rsidRDefault="007754F8" w:rsidP="008311B2">
      <w:pPr>
        <w:ind w:firstLine="720"/>
        <w:rPr>
          <w:rFonts w:ascii="Arial Narrow" w:hAnsi="Arial Narrow"/>
          <w:bCs/>
          <w:sz w:val="18"/>
          <w:lang w:val="en-GB"/>
        </w:rPr>
      </w:pPr>
      <w:r w:rsidRPr="008311B2">
        <w:rPr>
          <w:rFonts w:ascii="Arial Narrow" w:hAnsi="Arial Narrow"/>
          <w:bCs/>
          <w:sz w:val="18"/>
          <w:lang w:val="en-GB"/>
        </w:rPr>
        <w:t>Source: Sponsor submission (p1)</w:t>
      </w:r>
    </w:p>
    <w:p w:rsidR="00BB33DC" w:rsidRPr="006C7140" w:rsidRDefault="00BB33DC" w:rsidP="006C7140">
      <w:pPr>
        <w:pStyle w:val="ListParagraph"/>
        <w:numPr>
          <w:ilvl w:val="1"/>
          <w:numId w:val="1"/>
        </w:numPr>
        <w:spacing w:before="120" w:after="120"/>
        <w:contextualSpacing w:val="0"/>
        <w:rPr>
          <w:rFonts w:asciiTheme="minorHAnsi" w:hAnsiTheme="minorHAnsi"/>
          <w:sz w:val="24"/>
          <w:szCs w:val="24"/>
        </w:rPr>
      </w:pPr>
      <w:r w:rsidRPr="006C7140">
        <w:rPr>
          <w:rFonts w:asciiTheme="minorHAnsi" w:hAnsiTheme="minorHAnsi"/>
          <w:sz w:val="24"/>
          <w:szCs w:val="24"/>
        </w:rPr>
        <w:t xml:space="preserve">The sponsor also claimed that the naming of tenofovir also has implications for Quality Use of Medicines (QUM) as TDF and TAF have different clinical indications with regard to age and renal impairment, and different dosing which could cause issues if confusion between the different drugs arises as a result of them both being </w:t>
      </w:r>
      <w:r w:rsidRPr="006C7140">
        <w:rPr>
          <w:rFonts w:asciiTheme="minorHAnsi" w:hAnsiTheme="minorHAnsi"/>
          <w:sz w:val="24"/>
          <w:szCs w:val="24"/>
        </w:rPr>
        <w:lastRenderedPageBreak/>
        <w:t>named tenofovir.</w:t>
      </w:r>
    </w:p>
    <w:p w:rsidR="00BB33DC" w:rsidRPr="006C7140" w:rsidRDefault="00BB33DC" w:rsidP="006C7140">
      <w:pPr>
        <w:pStyle w:val="PBACHeading1"/>
        <w:numPr>
          <w:ilvl w:val="0"/>
          <w:numId w:val="1"/>
        </w:numPr>
        <w:spacing w:before="120" w:after="120"/>
        <w:outlineLvl w:val="0"/>
        <w:rPr>
          <w:rFonts w:asciiTheme="minorHAnsi" w:hAnsiTheme="minorHAnsi"/>
          <w:sz w:val="32"/>
          <w:szCs w:val="32"/>
        </w:rPr>
      </w:pPr>
      <w:r w:rsidRPr="006C7140">
        <w:rPr>
          <w:rFonts w:asciiTheme="minorHAnsi" w:hAnsiTheme="minorHAnsi"/>
          <w:sz w:val="32"/>
          <w:szCs w:val="32"/>
        </w:rPr>
        <w:t>PBAC outcome</w:t>
      </w:r>
    </w:p>
    <w:p w:rsidR="00356E06" w:rsidRPr="006C7140" w:rsidRDefault="00356E06" w:rsidP="006C7140">
      <w:pPr>
        <w:pStyle w:val="ListParagraph"/>
        <w:widowControl/>
        <w:numPr>
          <w:ilvl w:val="1"/>
          <w:numId w:val="1"/>
        </w:numPr>
        <w:spacing w:before="120" w:after="120"/>
        <w:contextualSpacing w:val="0"/>
        <w:rPr>
          <w:rFonts w:asciiTheme="minorHAnsi" w:hAnsiTheme="minorHAnsi"/>
          <w:sz w:val="24"/>
          <w:szCs w:val="24"/>
        </w:rPr>
      </w:pPr>
      <w:r w:rsidRPr="006C7140">
        <w:rPr>
          <w:rFonts w:asciiTheme="minorHAnsi" w:hAnsiTheme="minorHAnsi"/>
          <w:sz w:val="24"/>
          <w:szCs w:val="24"/>
        </w:rPr>
        <w:t xml:space="preserve">The PBAC recommended the listing of </w:t>
      </w:r>
      <w:r w:rsidR="00C16921" w:rsidRPr="006C7140">
        <w:rPr>
          <w:rFonts w:asciiTheme="minorHAnsi" w:hAnsiTheme="minorHAnsi"/>
          <w:bCs/>
          <w:sz w:val="24"/>
          <w:szCs w:val="24"/>
          <w:lang w:val="en-GB"/>
        </w:rPr>
        <w:t>tenofovir alafenamide with emtricitabine and rilpivirine</w:t>
      </w:r>
      <w:r w:rsidRPr="006C7140">
        <w:rPr>
          <w:rFonts w:asciiTheme="minorHAnsi" w:hAnsiTheme="minorHAnsi"/>
          <w:sz w:val="24"/>
          <w:szCs w:val="24"/>
        </w:rPr>
        <w:t xml:space="preserve"> as a Section 100 (community access): Authority Required (STREAMLINED) listing for treatment-naïve and treatment-experienced patients with human immunodeficiency virus (HIV) on a cost-minimisation basis to </w:t>
      </w:r>
      <w:r w:rsidR="00C16921" w:rsidRPr="006C7140">
        <w:rPr>
          <w:rFonts w:asciiTheme="minorHAnsi" w:hAnsiTheme="minorHAnsi"/>
          <w:sz w:val="24"/>
          <w:szCs w:val="24"/>
        </w:rPr>
        <w:t>Eviplera</w:t>
      </w:r>
      <w:r w:rsidR="00CC4835" w:rsidRPr="006C7140">
        <w:rPr>
          <w:rFonts w:asciiTheme="minorHAnsi" w:hAnsiTheme="minorHAnsi"/>
          <w:sz w:val="24"/>
          <w:szCs w:val="24"/>
          <w:vertAlign w:val="superscript"/>
        </w:rPr>
        <w:t>®</w:t>
      </w:r>
      <w:r w:rsidRPr="006C7140">
        <w:rPr>
          <w:rFonts w:asciiTheme="minorHAnsi" w:hAnsiTheme="minorHAnsi"/>
          <w:sz w:val="24"/>
          <w:szCs w:val="24"/>
        </w:rPr>
        <w:t xml:space="preserve">. </w:t>
      </w:r>
    </w:p>
    <w:p w:rsidR="00F5171B" w:rsidRPr="006C7140" w:rsidRDefault="00F5171B" w:rsidP="006C7140">
      <w:pPr>
        <w:pStyle w:val="ListParagraph"/>
        <w:numPr>
          <w:ilvl w:val="1"/>
          <w:numId w:val="1"/>
        </w:numPr>
        <w:spacing w:before="120" w:after="120"/>
        <w:contextualSpacing w:val="0"/>
        <w:rPr>
          <w:rFonts w:asciiTheme="minorHAnsi" w:hAnsiTheme="minorHAnsi"/>
          <w:sz w:val="24"/>
          <w:szCs w:val="24"/>
        </w:rPr>
      </w:pPr>
      <w:r w:rsidRPr="006C7140">
        <w:rPr>
          <w:rFonts w:asciiTheme="minorHAnsi" w:hAnsiTheme="minorHAnsi"/>
          <w:sz w:val="24"/>
          <w:szCs w:val="24"/>
        </w:rPr>
        <w:t>The PBAC noted the evidence presented by the sponsor that indicated tenofovir alafenamide and tenofovir dis</w:t>
      </w:r>
      <w:r w:rsidR="000B70AB" w:rsidRPr="006C7140">
        <w:rPr>
          <w:rFonts w:asciiTheme="minorHAnsi" w:hAnsiTheme="minorHAnsi"/>
          <w:sz w:val="24"/>
          <w:szCs w:val="24"/>
        </w:rPr>
        <w:t>o</w:t>
      </w:r>
      <w:r w:rsidRPr="006C7140">
        <w:rPr>
          <w:rFonts w:asciiTheme="minorHAnsi" w:hAnsiTheme="minorHAnsi"/>
          <w:sz w:val="24"/>
          <w:szCs w:val="24"/>
        </w:rPr>
        <w:t>proxil fumarate had differences in relation to dose, plasma stability, and metabolism. On this basis, the PBAC considered that tenofovir alafenamide should be considered different drug to tenofovir for the purposes of section 85(2) of the Act.</w:t>
      </w:r>
    </w:p>
    <w:p w:rsidR="00356E06" w:rsidRPr="006C7140" w:rsidRDefault="00BB33DC" w:rsidP="006C7140">
      <w:pPr>
        <w:pStyle w:val="ListParagraph"/>
        <w:widowControl/>
        <w:numPr>
          <w:ilvl w:val="1"/>
          <w:numId w:val="1"/>
        </w:numPr>
        <w:spacing w:before="120" w:after="120"/>
        <w:contextualSpacing w:val="0"/>
        <w:rPr>
          <w:rFonts w:asciiTheme="minorHAnsi" w:hAnsiTheme="minorHAnsi"/>
          <w:sz w:val="24"/>
          <w:szCs w:val="24"/>
        </w:rPr>
      </w:pPr>
      <w:r w:rsidRPr="006C7140">
        <w:rPr>
          <w:rFonts w:asciiTheme="minorHAnsi" w:hAnsiTheme="minorHAnsi"/>
          <w:sz w:val="24"/>
          <w:szCs w:val="24"/>
        </w:rPr>
        <w:t>The PBAC</w:t>
      </w:r>
      <w:r w:rsidR="00356E06" w:rsidRPr="006C7140">
        <w:rPr>
          <w:rFonts w:asciiTheme="minorHAnsi" w:hAnsiTheme="minorHAnsi"/>
          <w:sz w:val="24"/>
          <w:szCs w:val="24"/>
        </w:rPr>
        <w:t xml:space="preserve"> recalled </w:t>
      </w:r>
      <w:r w:rsidR="00F5171B" w:rsidRPr="006C7140">
        <w:rPr>
          <w:rFonts w:asciiTheme="minorHAnsi" w:hAnsiTheme="minorHAnsi"/>
          <w:sz w:val="24"/>
          <w:szCs w:val="24"/>
        </w:rPr>
        <w:t>its</w:t>
      </w:r>
      <w:r w:rsidR="00356E06" w:rsidRPr="006C7140">
        <w:rPr>
          <w:rFonts w:asciiTheme="minorHAnsi" w:hAnsiTheme="minorHAnsi"/>
          <w:sz w:val="24"/>
          <w:szCs w:val="24"/>
        </w:rPr>
        <w:t xml:space="preserve"> pre</w:t>
      </w:r>
      <w:r w:rsidR="00C16921" w:rsidRPr="006C7140">
        <w:rPr>
          <w:rFonts w:asciiTheme="minorHAnsi" w:hAnsiTheme="minorHAnsi"/>
          <w:sz w:val="24"/>
          <w:szCs w:val="24"/>
        </w:rPr>
        <w:t>vious advice (see paragraphs 1.4-1.5</w:t>
      </w:r>
      <w:r w:rsidR="00356E06" w:rsidRPr="006C7140">
        <w:rPr>
          <w:rFonts w:asciiTheme="minorHAnsi" w:hAnsiTheme="minorHAnsi"/>
          <w:sz w:val="24"/>
          <w:szCs w:val="24"/>
        </w:rPr>
        <w:t xml:space="preserve">), </w:t>
      </w:r>
      <w:r w:rsidR="00C16921" w:rsidRPr="006C7140">
        <w:rPr>
          <w:rFonts w:asciiTheme="minorHAnsi" w:hAnsiTheme="minorHAnsi"/>
          <w:sz w:val="24"/>
          <w:szCs w:val="24"/>
        </w:rPr>
        <w:t>particularly that Odefsey® (rilpivirine 25mg + emtricitabine 200mg + tenofovir alafenamide 25mg tablet) is non inferior Eviplera</w:t>
      </w:r>
      <w:r w:rsidR="00C16921" w:rsidRPr="006C7140">
        <w:rPr>
          <w:rFonts w:asciiTheme="minorHAnsi" w:hAnsiTheme="minorHAnsi"/>
          <w:sz w:val="24"/>
          <w:szCs w:val="24"/>
          <w:vertAlign w:val="superscript"/>
        </w:rPr>
        <w:t>®</w:t>
      </w:r>
      <w:r w:rsidR="00C16921" w:rsidRPr="006C7140">
        <w:rPr>
          <w:rFonts w:asciiTheme="minorHAnsi" w:hAnsiTheme="minorHAnsi"/>
          <w:sz w:val="24"/>
          <w:szCs w:val="24"/>
        </w:rPr>
        <w:t xml:space="preserve"> (tenofovir disoproxil fumarate 300 mg + emtricitabine 200 mg + rilpivirine 25 mg tablet) in terms of effectiveness and safety. The equi</w:t>
      </w:r>
      <w:r w:rsidR="00C16921" w:rsidRPr="006C7140">
        <w:rPr>
          <w:rFonts w:asciiTheme="minorHAnsi" w:hAnsiTheme="minorHAnsi"/>
          <w:sz w:val="24"/>
          <w:szCs w:val="24"/>
        </w:rPr>
        <w:noBreakHyphen/>
        <w:t>effective doses are one tablet of Odefsey</w:t>
      </w:r>
      <w:r w:rsidR="00CC4835" w:rsidRPr="006C7140">
        <w:rPr>
          <w:rFonts w:asciiTheme="minorHAnsi" w:hAnsiTheme="minorHAnsi"/>
          <w:sz w:val="24"/>
          <w:szCs w:val="24"/>
          <w:vertAlign w:val="superscript"/>
        </w:rPr>
        <w:t>®</w:t>
      </w:r>
      <w:r w:rsidR="00C16921" w:rsidRPr="006C7140">
        <w:rPr>
          <w:rFonts w:asciiTheme="minorHAnsi" w:hAnsiTheme="minorHAnsi"/>
          <w:sz w:val="24"/>
          <w:szCs w:val="24"/>
        </w:rPr>
        <w:t xml:space="preserve"> is equivalent to one tablet of Eviplera</w:t>
      </w:r>
      <w:r w:rsidR="00CC4835" w:rsidRPr="006C7140">
        <w:rPr>
          <w:rFonts w:asciiTheme="minorHAnsi" w:hAnsiTheme="minorHAnsi"/>
          <w:sz w:val="24"/>
          <w:szCs w:val="24"/>
          <w:vertAlign w:val="superscript"/>
        </w:rPr>
        <w:t>®</w:t>
      </w:r>
      <w:r w:rsidR="00C16921" w:rsidRPr="006C7140">
        <w:rPr>
          <w:rFonts w:asciiTheme="minorHAnsi" w:hAnsiTheme="minorHAnsi"/>
          <w:sz w:val="24"/>
          <w:szCs w:val="24"/>
        </w:rPr>
        <w:t>.</w:t>
      </w:r>
    </w:p>
    <w:p w:rsidR="00BB33DC" w:rsidRPr="006C7140" w:rsidRDefault="00356E06" w:rsidP="006C7140">
      <w:pPr>
        <w:pStyle w:val="ListParagraph"/>
        <w:widowControl/>
        <w:numPr>
          <w:ilvl w:val="1"/>
          <w:numId w:val="1"/>
        </w:numPr>
        <w:spacing w:before="120" w:after="120"/>
        <w:contextualSpacing w:val="0"/>
        <w:rPr>
          <w:rFonts w:asciiTheme="minorHAnsi" w:hAnsiTheme="minorHAnsi"/>
          <w:bCs/>
          <w:sz w:val="24"/>
          <w:szCs w:val="24"/>
          <w:lang w:val="en-GB"/>
        </w:rPr>
      </w:pPr>
      <w:r w:rsidRPr="006C7140">
        <w:rPr>
          <w:rFonts w:asciiTheme="minorHAnsi" w:hAnsiTheme="minorHAnsi"/>
          <w:bCs/>
          <w:sz w:val="24"/>
          <w:szCs w:val="24"/>
        </w:rPr>
        <w:t>The PBAC considered that the Early Supply Rule should apply to Descovy</w:t>
      </w:r>
      <w:r w:rsidR="00CC4835" w:rsidRPr="006C7140">
        <w:rPr>
          <w:rFonts w:asciiTheme="minorHAnsi" w:hAnsiTheme="minorHAnsi"/>
          <w:sz w:val="24"/>
          <w:szCs w:val="24"/>
          <w:vertAlign w:val="superscript"/>
        </w:rPr>
        <w:t>®</w:t>
      </w:r>
      <w:r w:rsidRPr="006C7140">
        <w:rPr>
          <w:rFonts w:asciiTheme="minorHAnsi" w:hAnsiTheme="minorHAnsi"/>
          <w:bCs/>
          <w:sz w:val="24"/>
          <w:szCs w:val="24"/>
        </w:rPr>
        <w:t>, as recommended for all HIV treatments at the November 2015 meeting.</w:t>
      </w:r>
    </w:p>
    <w:p w:rsidR="00C16921" w:rsidRPr="006C7140" w:rsidRDefault="00C16921" w:rsidP="006C7140">
      <w:pPr>
        <w:pStyle w:val="ListParagraph"/>
        <w:widowControl/>
        <w:numPr>
          <w:ilvl w:val="1"/>
          <w:numId w:val="1"/>
        </w:numPr>
        <w:spacing w:before="120" w:after="120"/>
        <w:contextualSpacing w:val="0"/>
        <w:rPr>
          <w:rFonts w:asciiTheme="minorHAnsi" w:hAnsiTheme="minorHAnsi"/>
          <w:sz w:val="24"/>
          <w:szCs w:val="24"/>
        </w:rPr>
      </w:pPr>
      <w:r w:rsidRPr="006C7140">
        <w:rPr>
          <w:rFonts w:asciiTheme="minorHAnsi" w:hAnsiTheme="minorHAnsi"/>
          <w:sz w:val="24"/>
          <w:szCs w:val="24"/>
        </w:rPr>
        <w:t>The PBAC noted that this submission was not eligible for Independent Review as it received a positive recommendation.</w:t>
      </w:r>
    </w:p>
    <w:p w:rsidR="00C16921" w:rsidRPr="006C7140" w:rsidRDefault="00C16921" w:rsidP="00F2555A">
      <w:pPr>
        <w:pStyle w:val="PBACHeading1"/>
        <w:numPr>
          <w:ilvl w:val="0"/>
          <w:numId w:val="1"/>
        </w:numPr>
        <w:outlineLvl w:val="0"/>
        <w:rPr>
          <w:rFonts w:asciiTheme="minorHAnsi" w:hAnsiTheme="minorHAnsi"/>
          <w:sz w:val="32"/>
          <w:szCs w:val="32"/>
        </w:rPr>
      </w:pPr>
      <w:r w:rsidRPr="006C7140">
        <w:rPr>
          <w:rFonts w:asciiTheme="minorHAnsi" w:hAnsiTheme="minorHAnsi"/>
          <w:sz w:val="32"/>
          <w:szCs w:val="32"/>
        </w:rPr>
        <w:t>Recommended listing</w:t>
      </w:r>
    </w:p>
    <w:p w:rsidR="00C16921" w:rsidRPr="006C7140" w:rsidRDefault="00C16921" w:rsidP="006C7140">
      <w:pPr>
        <w:numPr>
          <w:ilvl w:val="1"/>
          <w:numId w:val="1"/>
        </w:numPr>
        <w:spacing w:before="120" w:after="120"/>
        <w:rPr>
          <w:rFonts w:asciiTheme="minorHAnsi" w:hAnsiTheme="minorHAnsi"/>
          <w:b/>
          <w:bCs/>
          <w:sz w:val="24"/>
          <w:szCs w:val="24"/>
        </w:rPr>
      </w:pPr>
      <w:r w:rsidRPr="006C7140">
        <w:rPr>
          <w:rFonts w:asciiTheme="minorHAnsi" w:hAnsiTheme="minorHAnsi"/>
          <w:bCs/>
          <w:sz w:val="24"/>
          <w:szCs w:val="24"/>
        </w:rPr>
        <w:t>Add new item:</w:t>
      </w:r>
    </w:p>
    <w:tbl>
      <w:tblPr>
        <w:tblW w:w="4604" w:type="pct"/>
        <w:tblInd w:w="737" w:type="dxa"/>
        <w:tblCellMar>
          <w:left w:w="28" w:type="dxa"/>
          <w:right w:w="28" w:type="dxa"/>
        </w:tblCellMar>
        <w:tblLook w:val="0000" w:firstRow="0" w:lastRow="0" w:firstColumn="0" w:lastColumn="0" w:noHBand="0" w:noVBand="0"/>
      </w:tblPr>
      <w:tblGrid>
        <w:gridCol w:w="3686"/>
        <w:gridCol w:w="567"/>
        <w:gridCol w:w="708"/>
        <w:gridCol w:w="973"/>
        <w:gridCol w:w="2429"/>
      </w:tblGrid>
      <w:tr w:rsidR="00C16921" w:rsidRPr="00F2555A" w:rsidTr="00CC4835">
        <w:trPr>
          <w:cantSplit/>
          <w:trHeight w:val="463"/>
        </w:trPr>
        <w:tc>
          <w:tcPr>
            <w:tcW w:w="2204" w:type="pct"/>
            <w:tcBorders>
              <w:bottom w:val="single" w:sz="4" w:space="0" w:color="auto"/>
            </w:tcBorders>
            <w:vAlign w:val="center"/>
          </w:tcPr>
          <w:p w:rsidR="00C16921" w:rsidRPr="00F2555A" w:rsidRDefault="00C16921" w:rsidP="008372E9">
            <w:pPr>
              <w:keepNext/>
              <w:jc w:val="left"/>
              <w:rPr>
                <w:rFonts w:ascii="Arial Narrow" w:hAnsi="Arial Narrow"/>
                <w:sz w:val="20"/>
              </w:rPr>
            </w:pPr>
            <w:r w:rsidRPr="00F2555A">
              <w:rPr>
                <w:rFonts w:ascii="Arial Narrow" w:hAnsi="Arial Narrow"/>
                <w:sz w:val="20"/>
              </w:rPr>
              <w:t>Name, Restriction,</w:t>
            </w:r>
          </w:p>
          <w:p w:rsidR="00C16921" w:rsidRPr="00F2555A" w:rsidRDefault="00C16921" w:rsidP="008372E9">
            <w:pPr>
              <w:keepNext/>
              <w:jc w:val="left"/>
              <w:rPr>
                <w:rFonts w:ascii="Arial Narrow" w:hAnsi="Arial Narrow"/>
                <w:sz w:val="20"/>
              </w:rPr>
            </w:pPr>
            <w:r w:rsidRPr="00F2555A">
              <w:rPr>
                <w:rFonts w:ascii="Arial Narrow" w:hAnsi="Arial Narrow"/>
                <w:sz w:val="20"/>
              </w:rPr>
              <w:t>Manner of administration and form</w:t>
            </w:r>
          </w:p>
        </w:tc>
        <w:tc>
          <w:tcPr>
            <w:tcW w:w="339" w:type="pct"/>
            <w:tcBorders>
              <w:bottom w:val="single" w:sz="4" w:space="0" w:color="auto"/>
            </w:tcBorders>
            <w:vAlign w:val="center"/>
          </w:tcPr>
          <w:p w:rsidR="00C16921" w:rsidRPr="00F2555A" w:rsidRDefault="00C16921" w:rsidP="008372E9">
            <w:pPr>
              <w:keepNext/>
              <w:jc w:val="center"/>
              <w:rPr>
                <w:rFonts w:ascii="Arial Narrow" w:hAnsi="Arial Narrow"/>
                <w:sz w:val="20"/>
              </w:rPr>
            </w:pPr>
            <w:r w:rsidRPr="00F2555A">
              <w:rPr>
                <w:rFonts w:ascii="Arial Narrow" w:hAnsi="Arial Narrow"/>
                <w:sz w:val="20"/>
              </w:rPr>
              <w:t>Max.</w:t>
            </w:r>
          </w:p>
          <w:p w:rsidR="00C16921" w:rsidRPr="00F2555A" w:rsidRDefault="00C16921" w:rsidP="008372E9">
            <w:pPr>
              <w:keepNext/>
              <w:jc w:val="center"/>
              <w:rPr>
                <w:rFonts w:ascii="Arial Narrow" w:hAnsi="Arial Narrow"/>
                <w:sz w:val="20"/>
              </w:rPr>
            </w:pPr>
            <w:r w:rsidRPr="00F2555A">
              <w:rPr>
                <w:rFonts w:ascii="Arial Narrow" w:hAnsi="Arial Narrow"/>
                <w:sz w:val="20"/>
              </w:rPr>
              <w:t>Qty</w:t>
            </w:r>
          </w:p>
        </w:tc>
        <w:tc>
          <w:tcPr>
            <w:tcW w:w="423" w:type="pct"/>
            <w:tcBorders>
              <w:bottom w:val="single" w:sz="4" w:space="0" w:color="auto"/>
            </w:tcBorders>
            <w:vAlign w:val="center"/>
          </w:tcPr>
          <w:p w:rsidR="00C16921" w:rsidRPr="00F2555A" w:rsidRDefault="00C16921" w:rsidP="008372E9">
            <w:pPr>
              <w:keepNext/>
              <w:jc w:val="center"/>
              <w:rPr>
                <w:rFonts w:ascii="Arial Narrow" w:hAnsi="Arial Narrow"/>
                <w:sz w:val="20"/>
              </w:rPr>
            </w:pPr>
            <w:r w:rsidRPr="00F2555A">
              <w:rPr>
                <w:rFonts w:ascii="Arial Narrow" w:hAnsi="Arial Narrow"/>
                <w:sz w:val="20"/>
              </w:rPr>
              <w:t>№.of</w:t>
            </w:r>
          </w:p>
          <w:p w:rsidR="00C16921" w:rsidRPr="00F2555A" w:rsidRDefault="00C16921" w:rsidP="008372E9">
            <w:pPr>
              <w:keepNext/>
              <w:jc w:val="center"/>
              <w:rPr>
                <w:rFonts w:ascii="Arial Narrow" w:hAnsi="Arial Narrow"/>
                <w:sz w:val="20"/>
              </w:rPr>
            </w:pPr>
            <w:r w:rsidRPr="00F2555A">
              <w:rPr>
                <w:rFonts w:ascii="Arial Narrow" w:hAnsi="Arial Narrow"/>
                <w:sz w:val="20"/>
              </w:rPr>
              <w:t>Rpts</w:t>
            </w:r>
          </w:p>
        </w:tc>
        <w:tc>
          <w:tcPr>
            <w:tcW w:w="2034" w:type="pct"/>
            <w:gridSpan w:val="2"/>
            <w:tcBorders>
              <w:bottom w:val="single" w:sz="4" w:space="0" w:color="auto"/>
            </w:tcBorders>
            <w:vAlign w:val="center"/>
          </w:tcPr>
          <w:p w:rsidR="00C16921" w:rsidRPr="00F2555A" w:rsidRDefault="00C16921" w:rsidP="008372E9">
            <w:pPr>
              <w:keepNext/>
              <w:jc w:val="center"/>
              <w:rPr>
                <w:rFonts w:ascii="Arial Narrow" w:hAnsi="Arial Narrow"/>
                <w:sz w:val="20"/>
                <w:lang w:val="fr-FR"/>
              </w:rPr>
            </w:pPr>
            <w:r w:rsidRPr="00F2555A">
              <w:rPr>
                <w:rFonts w:ascii="Arial Narrow" w:hAnsi="Arial Narrow"/>
                <w:sz w:val="20"/>
              </w:rPr>
              <w:t>Proprietary Name and Manufacturer</w:t>
            </w:r>
          </w:p>
        </w:tc>
      </w:tr>
      <w:tr w:rsidR="00C16921" w:rsidRPr="00F2555A" w:rsidTr="00CC4835">
        <w:trPr>
          <w:cantSplit/>
          <w:trHeight w:val="567"/>
        </w:trPr>
        <w:tc>
          <w:tcPr>
            <w:tcW w:w="2204" w:type="pct"/>
            <w:vAlign w:val="center"/>
          </w:tcPr>
          <w:p w:rsidR="00C16921" w:rsidRPr="00F2555A" w:rsidRDefault="00C16921" w:rsidP="008372E9">
            <w:pPr>
              <w:keepNext/>
              <w:jc w:val="left"/>
              <w:rPr>
                <w:rFonts w:ascii="Arial Narrow" w:hAnsi="Arial Narrow"/>
                <w:sz w:val="20"/>
              </w:rPr>
            </w:pPr>
            <w:r w:rsidRPr="00F2555A">
              <w:rPr>
                <w:rFonts w:ascii="Arial Narrow" w:hAnsi="Arial Narrow"/>
                <w:smallCaps/>
                <w:sz w:val="20"/>
              </w:rPr>
              <w:t xml:space="preserve">rilpivirine + emtricitabine + tenofovir alafenamide </w:t>
            </w:r>
          </w:p>
          <w:p w:rsidR="00C16921" w:rsidRPr="00F2555A" w:rsidRDefault="00C16921" w:rsidP="008372E9">
            <w:pPr>
              <w:keepNext/>
              <w:jc w:val="left"/>
              <w:rPr>
                <w:rFonts w:ascii="Arial Narrow" w:hAnsi="Arial Narrow"/>
                <w:sz w:val="20"/>
              </w:rPr>
            </w:pPr>
            <w:r w:rsidRPr="00F2555A">
              <w:rPr>
                <w:rFonts w:ascii="Arial Narrow" w:hAnsi="Arial Narrow"/>
                <w:sz w:val="20"/>
              </w:rPr>
              <w:t>rilpivirine 25mg + emtricitabine 200mg + tenofovir alafenamide 25mg tablet, 30</w:t>
            </w:r>
          </w:p>
        </w:tc>
        <w:tc>
          <w:tcPr>
            <w:tcW w:w="339" w:type="pct"/>
            <w:vAlign w:val="center"/>
          </w:tcPr>
          <w:p w:rsidR="00C16921" w:rsidRPr="00F2555A" w:rsidRDefault="00C16921" w:rsidP="008372E9">
            <w:pPr>
              <w:keepNext/>
              <w:jc w:val="center"/>
              <w:rPr>
                <w:rFonts w:ascii="Arial Narrow" w:hAnsi="Arial Narrow"/>
                <w:sz w:val="20"/>
              </w:rPr>
            </w:pPr>
            <w:r w:rsidRPr="00F2555A">
              <w:rPr>
                <w:rFonts w:ascii="Arial Narrow" w:hAnsi="Arial Narrow"/>
                <w:sz w:val="20"/>
              </w:rPr>
              <w:t>2</w:t>
            </w:r>
          </w:p>
        </w:tc>
        <w:tc>
          <w:tcPr>
            <w:tcW w:w="423" w:type="pct"/>
            <w:vAlign w:val="center"/>
          </w:tcPr>
          <w:p w:rsidR="00C16921" w:rsidRPr="00F2555A" w:rsidRDefault="00C16921" w:rsidP="008372E9">
            <w:pPr>
              <w:keepNext/>
              <w:jc w:val="center"/>
              <w:rPr>
                <w:rFonts w:ascii="Arial Narrow" w:hAnsi="Arial Narrow"/>
                <w:sz w:val="20"/>
              </w:rPr>
            </w:pPr>
            <w:r w:rsidRPr="00F2555A">
              <w:rPr>
                <w:rFonts w:ascii="Arial Narrow" w:hAnsi="Arial Narrow"/>
                <w:sz w:val="20"/>
              </w:rPr>
              <w:t>5</w:t>
            </w:r>
          </w:p>
        </w:tc>
        <w:tc>
          <w:tcPr>
            <w:tcW w:w="582" w:type="pct"/>
            <w:vAlign w:val="center"/>
          </w:tcPr>
          <w:p w:rsidR="00C16921" w:rsidRPr="00F2555A" w:rsidRDefault="00C16921" w:rsidP="008372E9">
            <w:pPr>
              <w:keepNext/>
              <w:jc w:val="center"/>
              <w:rPr>
                <w:rFonts w:ascii="Arial Narrow" w:hAnsi="Arial Narrow"/>
                <w:sz w:val="20"/>
              </w:rPr>
            </w:pPr>
            <w:r w:rsidRPr="00F2555A">
              <w:rPr>
                <w:rFonts w:ascii="Arial Narrow" w:hAnsi="Arial Narrow"/>
                <w:sz w:val="20"/>
              </w:rPr>
              <w:t>Odefsey</w:t>
            </w:r>
            <w:r w:rsidRPr="00F2555A">
              <w:rPr>
                <w:rFonts w:ascii="Arial Narrow" w:hAnsi="Arial Narrow"/>
                <w:sz w:val="20"/>
                <w:vertAlign w:val="superscript"/>
              </w:rPr>
              <w:t>®</w:t>
            </w:r>
          </w:p>
        </w:tc>
        <w:tc>
          <w:tcPr>
            <w:tcW w:w="1452" w:type="pct"/>
            <w:vAlign w:val="center"/>
          </w:tcPr>
          <w:p w:rsidR="00C16921" w:rsidRPr="00F2555A" w:rsidRDefault="00C16921" w:rsidP="008372E9">
            <w:pPr>
              <w:keepNext/>
              <w:jc w:val="center"/>
              <w:rPr>
                <w:rFonts w:ascii="Arial Narrow" w:hAnsi="Arial Narrow"/>
                <w:sz w:val="20"/>
              </w:rPr>
            </w:pPr>
            <w:r w:rsidRPr="00F2555A">
              <w:rPr>
                <w:rFonts w:ascii="Arial Narrow" w:hAnsi="Arial Narrow"/>
                <w:sz w:val="20"/>
              </w:rPr>
              <w:t>Gilead Sciences Pty Ltd</w:t>
            </w:r>
          </w:p>
        </w:tc>
      </w:tr>
    </w:tbl>
    <w:tbl>
      <w:tblPr>
        <w:tblStyle w:val="TableGrid"/>
        <w:tblW w:w="4602" w:type="pct"/>
        <w:tblInd w:w="737" w:type="dxa"/>
        <w:tblCellMar>
          <w:left w:w="28" w:type="dxa"/>
          <w:right w:w="28" w:type="dxa"/>
        </w:tblCellMar>
        <w:tblLook w:val="04A0" w:firstRow="1" w:lastRow="0" w:firstColumn="1" w:lastColumn="0" w:noHBand="0" w:noVBand="1"/>
      </w:tblPr>
      <w:tblGrid>
        <w:gridCol w:w="1700"/>
        <w:gridCol w:w="6659"/>
      </w:tblGrid>
      <w:tr w:rsidR="00C16921" w:rsidRPr="00F2555A" w:rsidTr="008372E9">
        <w:tc>
          <w:tcPr>
            <w:tcW w:w="1017" w:type="pct"/>
          </w:tcPr>
          <w:p w:rsidR="00C16921" w:rsidRPr="00F2555A" w:rsidRDefault="00C16921" w:rsidP="008372E9">
            <w:pPr>
              <w:pStyle w:val="Table"/>
              <w:rPr>
                <w:rStyle w:val="SmallBold"/>
                <w:rFonts w:ascii="Arial Narrow" w:hAnsi="Arial Narrow"/>
                <w:b w:val="0"/>
              </w:rPr>
            </w:pPr>
            <w:r w:rsidRPr="00F2555A">
              <w:rPr>
                <w:rStyle w:val="SmallBold"/>
                <w:rFonts w:ascii="Arial Narrow" w:hAnsi="Arial Narrow"/>
              </w:rPr>
              <w:t>Category/Program</w:t>
            </w:r>
          </w:p>
        </w:tc>
        <w:tc>
          <w:tcPr>
            <w:tcW w:w="3983" w:type="pct"/>
          </w:tcPr>
          <w:p w:rsidR="00C16921" w:rsidRPr="00F2555A" w:rsidRDefault="00C16921" w:rsidP="008372E9">
            <w:pPr>
              <w:pStyle w:val="Table"/>
              <w:rPr>
                <w:rFonts w:ascii="Arial Narrow" w:hAnsi="Arial Narrow"/>
              </w:rPr>
            </w:pPr>
            <w:r w:rsidRPr="00F2555A">
              <w:rPr>
                <w:rFonts w:ascii="Arial Narrow" w:hAnsi="Arial Narrow"/>
              </w:rPr>
              <w:t>Section 100 - Highly Specialised Drugs Program (Community Access)</w:t>
            </w:r>
          </w:p>
        </w:tc>
      </w:tr>
      <w:tr w:rsidR="00C16921" w:rsidRPr="00F2555A" w:rsidTr="008372E9">
        <w:tc>
          <w:tcPr>
            <w:tcW w:w="1017" w:type="pct"/>
          </w:tcPr>
          <w:p w:rsidR="00C16921" w:rsidRPr="00F2555A" w:rsidRDefault="00C16921" w:rsidP="008372E9">
            <w:pPr>
              <w:pStyle w:val="Table"/>
              <w:rPr>
                <w:rStyle w:val="SmallBold"/>
                <w:rFonts w:ascii="Arial Narrow" w:hAnsi="Arial Narrow"/>
                <w:b w:val="0"/>
              </w:rPr>
            </w:pPr>
            <w:r w:rsidRPr="00F2555A">
              <w:rPr>
                <w:rStyle w:val="SmallBold"/>
                <w:rFonts w:ascii="Arial Narrow" w:hAnsi="Arial Narrow"/>
              </w:rPr>
              <w:t>Condition</w:t>
            </w:r>
          </w:p>
        </w:tc>
        <w:tc>
          <w:tcPr>
            <w:tcW w:w="3983" w:type="pct"/>
          </w:tcPr>
          <w:p w:rsidR="00C16921" w:rsidRPr="00F2555A" w:rsidRDefault="00C16921" w:rsidP="008372E9">
            <w:pPr>
              <w:pStyle w:val="Table"/>
              <w:rPr>
                <w:rFonts w:ascii="Arial Narrow" w:hAnsi="Arial Narrow"/>
              </w:rPr>
            </w:pPr>
            <w:r w:rsidRPr="00F2555A">
              <w:rPr>
                <w:rFonts w:ascii="Arial Narrow" w:hAnsi="Arial Narrow"/>
              </w:rPr>
              <w:t>HIV infection</w:t>
            </w:r>
          </w:p>
        </w:tc>
      </w:tr>
      <w:tr w:rsidR="00C16921" w:rsidRPr="00F2555A" w:rsidTr="008372E9">
        <w:tc>
          <w:tcPr>
            <w:tcW w:w="1017" w:type="pct"/>
          </w:tcPr>
          <w:p w:rsidR="00C16921" w:rsidRPr="00F2555A" w:rsidRDefault="00C16921" w:rsidP="008372E9">
            <w:pPr>
              <w:pStyle w:val="Table"/>
              <w:rPr>
                <w:rStyle w:val="SmallBold"/>
                <w:rFonts w:ascii="Arial Narrow" w:hAnsi="Arial Narrow"/>
                <w:b w:val="0"/>
              </w:rPr>
            </w:pPr>
            <w:r w:rsidRPr="00F2555A">
              <w:rPr>
                <w:rStyle w:val="SmallBold"/>
                <w:rFonts w:ascii="Arial Narrow" w:hAnsi="Arial Narrow"/>
              </w:rPr>
              <w:t xml:space="preserve">Restriction </w:t>
            </w:r>
          </w:p>
        </w:tc>
        <w:tc>
          <w:tcPr>
            <w:tcW w:w="3983" w:type="pct"/>
          </w:tcPr>
          <w:p w:rsidR="00C16921" w:rsidRPr="00F2555A" w:rsidRDefault="00C16921" w:rsidP="008372E9">
            <w:pPr>
              <w:pStyle w:val="Table"/>
              <w:rPr>
                <w:rFonts w:ascii="Arial Narrow" w:hAnsi="Arial Narrow"/>
              </w:rPr>
            </w:pPr>
            <w:r w:rsidRPr="00F2555A">
              <w:rPr>
                <w:rFonts w:ascii="Arial Narrow" w:hAnsi="Arial Narrow"/>
                <w:lang w:eastAsia="en-AU"/>
              </w:rPr>
              <w:t>Authority Required (Streamlined)</w:t>
            </w:r>
          </w:p>
        </w:tc>
      </w:tr>
      <w:tr w:rsidR="00C16921" w:rsidRPr="00F2555A" w:rsidTr="008372E9">
        <w:tc>
          <w:tcPr>
            <w:tcW w:w="1017" w:type="pct"/>
          </w:tcPr>
          <w:p w:rsidR="00C16921" w:rsidRPr="00F2555A" w:rsidRDefault="00C16921" w:rsidP="008372E9">
            <w:pPr>
              <w:pStyle w:val="Table"/>
              <w:rPr>
                <w:rStyle w:val="SmallBold"/>
                <w:rFonts w:ascii="Arial Narrow" w:hAnsi="Arial Narrow"/>
                <w:b w:val="0"/>
              </w:rPr>
            </w:pPr>
            <w:r w:rsidRPr="00F2555A">
              <w:rPr>
                <w:rStyle w:val="SmallBold"/>
                <w:rFonts w:ascii="Arial Narrow" w:hAnsi="Arial Narrow"/>
              </w:rPr>
              <w:t>Treatment criteria</w:t>
            </w:r>
          </w:p>
        </w:tc>
        <w:tc>
          <w:tcPr>
            <w:tcW w:w="3983" w:type="pct"/>
          </w:tcPr>
          <w:p w:rsidR="00C16921" w:rsidRPr="00F2555A" w:rsidRDefault="00C16921" w:rsidP="008372E9">
            <w:pPr>
              <w:pStyle w:val="Table"/>
              <w:rPr>
                <w:rFonts w:ascii="Arial Narrow" w:hAnsi="Arial Narrow"/>
              </w:rPr>
            </w:pPr>
            <w:r w:rsidRPr="00F2555A">
              <w:rPr>
                <w:rFonts w:ascii="Arial Narrow" w:hAnsi="Arial Narrow"/>
              </w:rPr>
              <w:t>Treatment Phase: Initial</w:t>
            </w:r>
          </w:p>
        </w:tc>
      </w:tr>
      <w:tr w:rsidR="00C16921" w:rsidRPr="00F2555A" w:rsidTr="008372E9">
        <w:tc>
          <w:tcPr>
            <w:tcW w:w="1017" w:type="pct"/>
          </w:tcPr>
          <w:p w:rsidR="00C16921" w:rsidRPr="00F2555A" w:rsidRDefault="00C16921" w:rsidP="008372E9">
            <w:pPr>
              <w:pStyle w:val="Table"/>
              <w:rPr>
                <w:rStyle w:val="SmallBold"/>
                <w:rFonts w:ascii="Arial Narrow" w:hAnsi="Arial Narrow"/>
                <w:b w:val="0"/>
              </w:rPr>
            </w:pPr>
            <w:r w:rsidRPr="00F2555A">
              <w:rPr>
                <w:rStyle w:val="SmallBold"/>
                <w:rFonts w:ascii="Arial Narrow" w:hAnsi="Arial Narrow"/>
              </w:rPr>
              <w:t>Clinical criteria</w:t>
            </w:r>
          </w:p>
        </w:tc>
        <w:tc>
          <w:tcPr>
            <w:tcW w:w="3983" w:type="pct"/>
          </w:tcPr>
          <w:p w:rsidR="00C16921" w:rsidRPr="00F2555A" w:rsidRDefault="00C16921" w:rsidP="008372E9">
            <w:pPr>
              <w:pStyle w:val="Table"/>
              <w:rPr>
                <w:rFonts w:ascii="Arial Narrow" w:hAnsi="Arial Narrow"/>
              </w:rPr>
            </w:pPr>
            <w:r w:rsidRPr="00F2555A">
              <w:rPr>
                <w:rFonts w:ascii="Arial Narrow" w:hAnsi="Arial Narrow"/>
              </w:rPr>
              <w:t>Patient must be antiretroviral treatment naïve.</w:t>
            </w:r>
          </w:p>
        </w:tc>
      </w:tr>
      <w:tr w:rsidR="00C16921" w:rsidRPr="00F2555A" w:rsidTr="008372E9">
        <w:tc>
          <w:tcPr>
            <w:tcW w:w="1017" w:type="pct"/>
            <w:tcBorders>
              <w:top w:val="double" w:sz="4" w:space="0" w:color="auto"/>
            </w:tcBorders>
          </w:tcPr>
          <w:p w:rsidR="00C16921" w:rsidRPr="00F2555A" w:rsidRDefault="00C16921" w:rsidP="008372E9">
            <w:pPr>
              <w:rPr>
                <w:rFonts w:ascii="Arial Narrow" w:hAnsi="Arial Narrow"/>
                <w:b/>
                <w:bCs/>
                <w:sz w:val="20"/>
              </w:rPr>
            </w:pPr>
            <w:r w:rsidRPr="00F2555A">
              <w:rPr>
                <w:rFonts w:ascii="Arial Narrow" w:hAnsi="Arial Narrow"/>
                <w:b/>
                <w:bCs/>
                <w:sz w:val="20"/>
              </w:rPr>
              <w:t>Category/Program</w:t>
            </w:r>
          </w:p>
        </w:tc>
        <w:tc>
          <w:tcPr>
            <w:tcW w:w="3983" w:type="pct"/>
            <w:tcBorders>
              <w:top w:val="double" w:sz="4" w:space="0" w:color="auto"/>
            </w:tcBorders>
          </w:tcPr>
          <w:p w:rsidR="00C16921" w:rsidRPr="00F2555A" w:rsidRDefault="00C16921" w:rsidP="008372E9">
            <w:pPr>
              <w:rPr>
                <w:rFonts w:ascii="Arial Narrow" w:hAnsi="Arial Narrow"/>
                <w:sz w:val="20"/>
              </w:rPr>
            </w:pPr>
            <w:r w:rsidRPr="00F2555A">
              <w:rPr>
                <w:rFonts w:ascii="Arial Narrow" w:hAnsi="Arial Narrow"/>
                <w:sz w:val="20"/>
              </w:rPr>
              <w:t>Section 100 – Highly Specialised Drugs Program (Community Access)</w:t>
            </w:r>
          </w:p>
        </w:tc>
      </w:tr>
      <w:tr w:rsidR="00C16921" w:rsidRPr="00F2555A" w:rsidTr="008372E9">
        <w:tc>
          <w:tcPr>
            <w:tcW w:w="1017" w:type="pct"/>
          </w:tcPr>
          <w:p w:rsidR="00C16921" w:rsidRPr="00F2555A" w:rsidRDefault="00C16921" w:rsidP="008372E9">
            <w:pPr>
              <w:rPr>
                <w:rFonts w:ascii="Arial Narrow" w:hAnsi="Arial Narrow"/>
                <w:b/>
                <w:bCs/>
                <w:sz w:val="20"/>
              </w:rPr>
            </w:pPr>
            <w:r w:rsidRPr="00F2555A">
              <w:rPr>
                <w:rFonts w:ascii="Arial Narrow" w:hAnsi="Arial Narrow"/>
                <w:b/>
                <w:bCs/>
                <w:sz w:val="20"/>
              </w:rPr>
              <w:t>Condition</w:t>
            </w:r>
          </w:p>
        </w:tc>
        <w:tc>
          <w:tcPr>
            <w:tcW w:w="3983" w:type="pct"/>
          </w:tcPr>
          <w:p w:rsidR="00C16921" w:rsidRPr="00F2555A" w:rsidRDefault="00C16921" w:rsidP="008372E9">
            <w:pPr>
              <w:rPr>
                <w:rFonts w:ascii="Arial Narrow" w:hAnsi="Arial Narrow"/>
                <w:sz w:val="20"/>
              </w:rPr>
            </w:pPr>
            <w:r w:rsidRPr="00F2555A">
              <w:rPr>
                <w:rFonts w:ascii="Arial Narrow" w:hAnsi="Arial Narrow"/>
                <w:sz w:val="20"/>
              </w:rPr>
              <w:t>HIV infection</w:t>
            </w:r>
          </w:p>
        </w:tc>
      </w:tr>
      <w:tr w:rsidR="00C16921" w:rsidRPr="00F2555A" w:rsidTr="008372E9">
        <w:tc>
          <w:tcPr>
            <w:tcW w:w="1017" w:type="pct"/>
          </w:tcPr>
          <w:p w:rsidR="00C16921" w:rsidRPr="00F2555A" w:rsidRDefault="00C16921" w:rsidP="008372E9">
            <w:pPr>
              <w:rPr>
                <w:rFonts w:ascii="Arial Narrow" w:hAnsi="Arial Narrow"/>
                <w:b/>
                <w:bCs/>
                <w:sz w:val="20"/>
              </w:rPr>
            </w:pPr>
            <w:r w:rsidRPr="00F2555A">
              <w:rPr>
                <w:rFonts w:ascii="Arial Narrow" w:hAnsi="Arial Narrow"/>
                <w:b/>
                <w:bCs/>
                <w:sz w:val="20"/>
              </w:rPr>
              <w:t xml:space="preserve">Restriction </w:t>
            </w:r>
          </w:p>
        </w:tc>
        <w:tc>
          <w:tcPr>
            <w:tcW w:w="3983" w:type="pct"/>
          </w:tcPr>
          <w:p w:rsidR="00C16921" w:rsidRPr="00F2555A" w:rsidRDefault="00C16921" w:rsidP="008372E9">
            <w:pPr>
              <w:rPr>
                <w:rFonts w:ascii="Arial Narrow" w:hAnsi="Arial Narrow"/>
                <w:sz w:val="20"/>
              </w:rPr>
            </w:pPr>
            <w:r w:rsidRPr="00F2555A">
              <w:rPr>
                <w:rFonts w:ascii="Arial Narrow" w:hAnsi="Arial Narrow"/>
                <w:sz w:val="20"/>
                <w:lang w:eastAsia="en-AU"/>
              </w:rPr>
              <w:t>Authority Required (Streamlined)</w:t>
            </w:r>
          </w:p>
        </w:tc>
      </w:tr>
      <w:tr w:rsidR="00C16921" w:rsidRPr="00F2555A" w:rsidTr="008372E9">
        <w:tc>
          <w:tcPr>
            <w:tcW w:w="1017" w:type="pct"/>
          </w:tcPr>
          <w:p w:rsidR="00C16921" w:rsidRPr="00F2555A" w:rsidRDefault="00C16921" w:rsidP="008372E9">
            <w:pPr>
              <w:rPr>
                <w:rFonts w:ascii="Arial Narrow" w:hAnsi="Arial Narrow"/>
                <w:b/>
                <w:bCs/>
                <w:sz w:val="20"/>
              </w:rPr>
            </w:pPr>
            <w:r w:rsidRPr="00F2555A">
              <w:rPr>
                <w:rFonts w:ascii="Arial Narrow" w:hAnsi="Arial Narrow"/>
                <w:b/>
                <w:bCs/>
                <w:sz w:val="20"/>
              </w:rPr>
              <w:t>Treatment criteria</w:t>
            </w:r>
          </w:p>
        </w:tc>
        <w:tc>
          <w:tcPr>
            <w:tcW w:w="3983" w:type="pct"/>
          </w:tcPr>
          <w:p w:rsidR="00C16921" w:rsidRPr="00F2555A" w:rsidRDefault="00C16921" w:rsidP="008372E9">
            <w:pPr>
              <w:rPr>
                <w:rFonts w:ascii="Arial Narrow" w:hAnsi="Arial Narrow"/>
                <w:sz w:val="20"/>
              </w:rPr>
            </w:pPr>
            <w:r w:rsidRPr="00F2555A">
              <w:rPr>
                <w:rFonts w:ascii="Arial Narrow" w:hAnsi="Arial Narrow"/>
                <w:sz w:val="20"/>
              </w:rPr>
              <w:t>Treatment Phase: Continuing</w:t>
            </w:r>
          </w:p>
        </w:tc>
      </w:tr>
      <w:tr w:rsidR="00C16921" w:rsidRPr="00F2555A" w:rsidTr="008372E9">
        <w:tc>
          <w:tcPr>
            <w:tcW w:w="1017" w:type="pct"/>
          </w:tcPr>
          <w:p w:rsidR="00C16921" w:rsidRPr="00F2555A" w:rsidRDefault="00C16921" w:rsidP="008372E9">
            <w:pPr>
              <w:rPr>
                <w:rFonts w:ascii="Arial Narrow" w:hAnsi="Arial Narrow"/>
                <w:b/>
                <w:bCs/>
                <w:sz w:val="20"/>
              </w:rPr>
            </w:pPr>
            <w:r w:rsidRPr="00F2555A">
              <w:rPr>
                <w:rFonts w:ascii="Arial Narrow" w:hAnsi="Arial Narrow"/>
                <w:b/>
                <w:bCs/>
                <w:sz w:val="20"/>
              </w:rPr>
              <w:t>Clinical criteria</w:t>
            </w:r>
          </w:p>
        </w:tc>
        <w:tc>
          <w:tcPr>
            <w:tcW w:w="3983" w:type="pct"/>
          </w:tcPr>
          <w:p w:rsidR="00C16921" w:rsidRPr="00F2555A" w:rsidRDefault="00C16921" w:rsidP="008372E9">
            <w:pPr>
              <w:rPr>
                <w:rFonts w:ascii="Arial Narrow" w:hAnsi="Arial Narrow"/>
                <w:sz w:val="20"/>
              </w:rPr>
            </w:pPr>
            <w:r w:rsidRPr="00F2555A">
              <w:rPr>
                <w:rFonts w:ascii="Arial Narrow" w:hAnsi="Arial Narrow"/>
                <w:sz w:val="20"/>
              </w:rPr>
              <w:t>Patient must have previously received PBS-subsidised therapy for HIV infection.</w:t>
            </w:r>
          </w:p>
        </w:tc>
      </w:tr>
    </w:tbl>
    <w:p w:rsidR="006C7140" w:rsidRPr="006C7140" w:rsidRDefault="006C7140" w:rsidP="006C7140">
      <w:pPr>
        <w:pStyle w:val="PBACHeading1"/>
        <w:numPr>
          <w:ilvl w:val="0"/>
          <w:numId w:val="1"/>
        </w:numPr>
        <w:spacing w:before="240" w:after="120"/>
        <w:outlineLvl w:val="0"/>
        <w:rPr>
          <w:rFonts w:asciiTheme="minorHAnsi" w:eastAsiaTheme="minorHAnsi" w:hAnsiTheme="minorHAnsi" w:cstheme="minorBidi"/>
          <w:snapToGrid/>
          <w:sz w:val="32"/>
          <w:szCs w:val="32"/>
        </w:rPr>
      </w:pPr>
      <w:r w:rsidRPr="006C7140">
        <w:rPr>
          <w:rFonts w:asciiTheme="minorHAnsi" w:eastAsiaTheme="minorHAnsi" w:hAnsiTheme="minorHAnsi" w:cstheme="minorBidi"/>
          <w:snapToGrid/>
          <w:sz w:val="32"/>
          <w:szCs w:val="32"/>
        </w:rPr>
        <w:t>Context for Decision</w:t>
      </w:r>
    </w:p>
    <w:p w:rsidR="006C7140" w:rsidRPr="006C7140" w:rsidRDefault="006C7140" w:rsidP="006C7140">
      <w:pPr>
        <w:rPr>
          <w:rFonts w:asciiTheme="minorHAnsi" w:eastAsiaTheme="minorHAnsi" w:hAnsiTheme="minorHAnsi"/>
          <w:sz w:val="24"/>
          <w:szCs w:val="24"/>
        </w:rPr>
      </w:pPr>
      <w:r w:rsidRPr="006C7140">
        <w:rPr>
          <w:rFonts w:asciiTheme="minorHAnsi" w:eastAsiaTheme="minorHAnsi" w:hAnsiTheme="minorHAnsi"/>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C7140" w:rsidRPr="006C7140" w:rsidRDefault="006C7140" w:rsidP="006C7140">
      <w:pPr>
        <w:pStyle w:val="PBACHeading1"/>
        <w:numPr>
          <w:ilvl w:val="0"/>
          <w:numId w:val="1"/>
        </w:numPr>
        <w:spacing w:before="120" w:after="120"/>
        <w:outlineLvl w:val="0"/>
        <w:rPr>
          <w:rFonts w:asciiTheme="minorHAnsi" w:eastAsiaTheme="minorHAnsi" w:hAnsiTheme="minorHAnsi" w:cstheme="minorBidi"/>
          <w:snapToGrid/>
          <w:sz w:val="32"/>
          <w:szCs w:val="32"/>
        </w:rPr>
      </w:pPr>
      <w:r w:rsidRPr="006C7140">
        <w:rPr>
          <w:rFonts w:asciiTheme="minorHAnsi" w:eastAsiaTheme="minorHAnsi" w:hAnsiTheme="minorHAnsi" w:cstheme="minorBidi"/>
          <w:snapToGrid/>
          <w:sz w:val="32"/>
          <w:szCs w:val="32"/>
        </w:rPr>
        <w:t>Sponsor’s Comment</w:t>
      </w:r>
    </w:p>
    <w:p w:rsidR="00003743" w:rsidRPr="007C10FD" w:rsidRDefault="006C7140" w:rsidP="007C10FD">
      <w:pPr>
        <w:spacing w:after="120"/>
        <w:rPr>
          <w:rFonts w:asciiTheme="minorHAnsi" w:eastAsiaTheme="minorHAnsi" w:hAnsiTheme="minorHAnsi"/>
          <w:bCs/>
          <w:sz w:val="24"/>
          <w:szCs w:val="24"/>
        </w:rPr>
      </w:pPr>
      <w:r w:rsidRPr="00B618AD">
        <w:rPr>
          <w:rFonts w:asciiTheme="minorHAnsi" w:eastAsiaTheme="minorHAnsi" w:hAnsiTheme="minorHAnsi"/>
          <w:bCs/>
          <w:sz w:val="24"/>
          <w:szCs w:val="24"/>
        </w:rPr>
        <w:t>The sponsor had no comment.</w:t>
      </w:r>
    </w:p>
    <w:sectPr w:rsidR="00003743" w:rsidRPr="007C10FD" w:rsidSect="006B2B7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BF" w:rsidRDefault="00F45CBF" w:rsidP="00251499">
      <w:r>
        <w:separator/>
      </w:r>
    </w:p>
  </w:endnote>
  <w:endnote w:type="continuationSeparator" w:id="0">
    <w:p w:rsidR="00F45CBF" w:rsidRDefault="00F45CBF" w:rsidP="0025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40" w:rsidRDefault="006C71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7154"/>
      <w:docPartObj>
        <w:docPartGallery w:val="Page Numbers (Bottom of Page)"/>
        <w:docPartUnique/>
      </w:docPartObj>
    </w:sdtPr>
    <w:sdtEndPr>
      <w:rPr>
        <w:noProof/>
      </w:rPr>
    </w:sdtEndPr>
    <w:sdtContent>
      <w:p w:rsidR="00D61FC8" w:rsidRDefault="00D61FC8" w:rsidP="00D61FC8">
        <w:pPr>
          <w:pStyle w:val="Footer"/>
          <w:jc w:val="center"/>
        </w:pPr>
      </w:p>
      <w:p w:rsidR="00F173DA" w:rsidRPr="00D61FC8" w:rsidRDefault="00D87B47" w:rsidP="00D61FC8">
        <w:pPr>
          <w:pStyle w:val="Footer"/>
          <w:jc w:val="center"/>
        </w:pPr>
        <w:r>
          <w:fldChar w:fldCharType="begin"/>
        </w:r>
        <w:r>
          <w:instrText xml:space="preserve"> PAGE   \* MERGEFORMAT </w:instrText>
        </w:r>
        <w:r>
          <w:fldChar w:fldCharType="separate"/>
        </w:r>
        <w:r w:rsidR="00F45CBF">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40" w:rsidRDefault="006C7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BF" w:rsidRDefault="00F45CBF" w:rsidP="00251499">
      <w:r>
        <w:separator/>
      </w:r>
    </w:p>
  </w:footnote>
  <w:footnote w:type="continuationSeparator" w:id="0">
    <w:p w:rsidR="00F45CBF" w:rsidRDefault="00F45CBF" w:rsidP="00251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40" w:rsidRDefault="006C71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DA" w:rsidRPr="00DF217D" w:rsidRDefault="006C7140" w:rsidP="002424A7">
    <w:pPr>
      <w:pStyle w:val="Header"/>
      <w:ind w:left="360"/>
      <w:jc w:val="center"/>
      <w:rPr>
        <w:i/>
        <w:color w:val="808080"/>
      </w:rPr>
    </w:pPr>
    <w:r>
      <w:rPr>
        <w:i/>
        <w:color w:val="808080"/>
      </w:rPr>
      <w:t>Public Summary Document</w:t>
    </w:r>
    <w:r w:rsidR="00D87B47">
      <w:rPr>
        <w:i/>
        <w:color w:val="808080"/>
      </w:rPr>
      <w:t xml:space="preserve"> </w:t>
    </w:r>
    <w:r w:rsidR="00D87B47" w:rsidRPr="00DF217D">
      <w:rPr>
        <w:i/>
        <w:color w:val="808080"/>
      </w:rPr>
      <w:t xml:space="preserve">– </w:t>
    </w:r>
    <w:r w:rsidR="00251499">
      <w:rPr>
        <w:i/>
        <w:color w:val="808080"/>
      </w:rPr>
      <w:t>November</w:t>
    </w:r>
    <w:r w:rsidR="00D87B47">
      <w:rPr>
        <w:i/>
        <w:color w:val="808080"/>
      </w:rPr>
      <w:t xml:space="preserve"> 2016 </w:t>
    </w:r>
    <w:r w:rsidR="00D87B47" w:rsidRPr="00DF217D">
      <w:rPr>
        <w:i/>
        <w:color w:val="808080"/>
      </w:rPr>
      <w:t>PBAC</w:t>
    </w:r>
    <w:r w:rsidR="00D87B47">
      <w:rPr>
        <w:i/>
        <w:color w:val="808080"/>
      </w:rPr>
      <w:t xml:space="preserve"> </w:t>
    </w:r>
    <w:r w:rsidR="00D87B47" w:rsidRPr="00DF217D">
      <w:rPr>
        <w:i/>
        <w:color w:val="808080"/>
      </w:rPr>
      <w:t>Meeting</w:t>
    </w:r>
  </w:p>
  <w:p w:rsidR="00F173DA" w:rsidRPr="00EE07D3" w:rsidRDefault="00F45CBF">
    <w:pPr>
      <w:pStyle w:val="Header"/>
      <w:rPr>
        <w:color w:val="D9D9D9" w:themeColor="background1" w:themeShade="D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40" w:rsidRDefault="006C71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139EC"/>
    <w:multiLevelType w:val="hybridMultilevel"/>
    <w:tmpl w:val="C074D5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84D033C"/>
    <w:multiLevelType w:val="multilevel"/>
    <w:tmpl w:val="743CBAC8"/>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499"/>
    <w:rsid w:val="00003743"/>
    <w:rsid w:val="00067456"/>
    <w:rsid w:val="000B70AB"/>
    <w:rsid w:val="001B3443"/>
    <w:rsid w:val="001C2091"/>
    <w:rsid w:val="00251499"/>
    <w:rsid w:val="002F3AE3"/>
    <w:rsid w:val="0030786C"/>
    <w:rsid w:val="00356E06"/>
    <w:rsid w:val="003D17F9"/>
    <w:rsid w:val="00443CF6"/>
    <w:rsid w:val="00444E81"/>
    <w:rsid w:val="00455ED2"/>
    <w:rsid w:val="004867E2"/>
    <w:rsid w:val="0063509D"/>
    <w:rsid w:val="006C7140"/>
    <w:rsid w:val="006F4688"/>
    <w:rsid w:val="007754F8"/>
    <w:rsid w:val="007C10FD"/>
    <w:rsid w:val="008264EB"/>
    <w:rsid w:val="008311B2"/>
    <w:rsid w:val="008B3394"/>
    <w:rsid w:val="008B4438"/>
    <w:rsid w:val="009148CA"/>
    <w:rsid w:val="009E3C15"/>
    <w:rsid w:val="00A2438C"/>
    <w:rsid w:val="00A4512D"/>
    <w:rsid w:val="00A705AF"/>
    <w:rsid w:val="00AD655B"/>
    <w:rsid w:val="00AF3154"/>
    <w:rsid w:val="00B15D7A"/>
    <w:rsid w:val="00B359D6"/>
    <w:rsid w:val="00B42851"/>
    <w:rsid w:val="00B618AD"/>
    <w:rsid w:val="00BB33DC"/>
    <w:rsid w:val="00C16921"/>
    <w:rsid w:val="00CB5B1A"/>
    <w:rsid w:val="00CC4835"/>
    <w:rsid w:val="00D61FC8"/>
    <w:rsid w:val="00D87B47"/>
    <w:rsid w:val="00E12A39"/>
    <w:rsid w:val="00F2555A"/>
    <w:rsid w:val="00F45CBF"/>
    <w:rsid w:val="00F517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qFormat="1"/>
    <w:lsdException w:name="Title" w:qFormat="1"/>
    <w:lsdException w:name="Body Text" w:qFormat="1"/>
    <w:lsdException w:name="Subtitle" w:uiPriority="11" w:qFormat="1"/>
    <w:lsdException w:name="Hyperlink" w:uiPriority="99"/>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499"/>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A705AF"/>
    <w:pPr>
      <w:keepNext/>
      <w:spacing w:before="240" w:after="60"/>
      <w:outlineLvl w:val="0"/>
    </w:pPr>
    <w:rPr>
      <w:b/>
      <w:bCs/>
      <w:kern w:val="28"/>
      <w:sz w:val="28"/>
      <w:szCs w:val="32"/>
    </w:rPr>
  </w:style>
  <w:style w:type="paragraph" w:styleId="Heading2">
    <w:name w:val="heading 2"/>
    <w:basedOn w:val="PBACHeading1"/>
    <w:next w:val="Normal"/>
    <w:link w:val="Heading2Char"/>
    <w:qFormat/>
    <w:rsid w:val="00F2555A"/>
    <w:pPr>
      <w:outlineLvl w:val="1"/>
    </w:pPr>
  </w:style>
  <w:style w:type="paragraph" w:styleId="Heading3">
    <w:name w:val="heading 3"/>
    <w:basedOn w:val="Normal"/>
    <w:next w:val="Normal"/>
    <w:qFormat/>
    <w:rsid w:val="00A705AF"/>
    <w:pPr>
      <w:keepNext/>
      <w:spacing w:before="240" w:after="60"/>
      <w:outlineLvl w:val="2"/>
    </w:pPr>
    <w:rPr>
      <w:bCs/>
      <w:szCs w:val="26"/>
    </w:rPr>
  </w:style>
  <w:style w:type="paragraph" w:styleId="Heading4">
    <w:name w:val="heading 4"/>
    <w:basedOn w:val="Normal"/>
    <w:next w:val="Normal"/>
    <w:qFormat/>
    <w:rsid w:val="00A705AF"/>
    <w:pPr>
      <w:keepNext/>
      <w:spacing w:before="240" w:after="60"/>
      <w:outlineLvl w:val="3"/>
    </w:pPr>
    <w:rPr>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paragraph" w:styleId="Heading7">
    <w:name w:val="heading 7"/>
    <w:basedOn w:val="Normal"/>
    <w:next w:val="Normal"/>
    <w:link w:val="Heading7Char"/>
    <w:rsid w:val="00251499"/>
    <w:pPr>
      <w:keepNext/>
      <w:jc w:val="center"/>
      <w:outlineLvl w:val="6"/>
    </w:pPr>
    <w:rPr>
      <w:b/>
      <w:sz w:val="20"/>
    </w:rPr>
  </w:style>
  <w:style w:type="paragraph" w:styleId="Heading8">
    <w:name w:val="heading 8"/>
    <w:basedOn w:val="Normal"/>
    <w:next w:val="Normal"/>
    <w:link w:val="Heading8Char"/>
    <w:rsid w:val="00251499"/>
    <w:pPr>
      <w:keepNext/>
      <w:jc w:val="right"/>
      <w:outlineLvl w:val="7"/>
    </w:pPr>
    <w:rPr>
      <w:b/>
    </w:rPr>
  </w:style>
  <w:style w:type="paragraph" w:styleId="Heading9">
    <w:name w:val="heading 9"/>
    <w:basedOn w:val="Normal"/>
    <w:next w:val="Normal"/>
    <w:link w:val="Heading9Char"/>
    <w:rsid w:val="00251499"/>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character" w:customStyle="1" w:styleId="Heading7Char">
    <w:name w:val="Heading 7 Char"/>
    <w:basedOn w:val="DefaultParagraphFont"/>
    <w:link w:val="Heading7"/>
    <w:rsid w:val="00251499"/>
    <w:rPr>
      <w:rFonts w:ascii="Arial" w:hAnsi="Arial" w:cs="Arial"/>
      <w:b/>
      <w:snapToGrid w:val="0"/>
      <w:lang w:eastAsia="en-US"/>
    </w:rPr>
  </w:style>
  <w:style w:type="character" w:customStyle="1" w:styleId="Heading8Char">
    <w:name w:val="Heading 8 Char"/>
    <w:basedOn w:val="DefaultParagraphFont"/>
    <w:link w:val="Heading8"/>
    <w:rsid w:val="00251499"/>
    <w:rPr>
      <w:rFonts w:ascii="Arial" w:hAnsi="Arial" w:cs="Arial"/>
      <w:b/>
      <w:snapToGrid w:val="0"/>
      <w:sz w:val="22"/>
      <w:lang w:eastAsia="en-US"/>
    </w:rPr>
  </w:style>
  <w:style w:type="character" w:customStyle="1" w:styleId="Heading9Char">
    <w:name w:val="Heading 9 Char"/>
    <w:basedOn w:val="DefaultParagraphFont"/>
    <w:link w:val="Heading9"/>
    <w:rsid w:val="00251499"/>
    <w:rPr>
      <w:rFonts w:ascii="Arial" w:hAnsi="Arial" w:cs="Arial"/>
      <w:b/>
      <w:snapToGrid w:val="0"/>
      <w:color w:val="000000"/>
      <w:lang w:eastAsia="en-US"/>
    </w:rPr>
  </w:style>
  <w:style w:type="paragraph" w:customStyle="1" w:styleId="TableFooter">
    <w:name w:val="Table Footer"/>
    <w:basedOn w:val="Normal"/>
    <w:qFormat/>
    <w:rsid w:val="00251499"/>
    <w:rPr>
      <w:rFonts w:ascii="Arial Narrow" w:hAnsi="Arial Narrow"/>
      <w:sz w:val="18"/>
    </w:rPr>
  </w:style>
  <w:style w:type="paragraph" w:customStyle="1" w:styleId="TableHeader">
    <w:name w:val="Table Header"/>
    <w:basedOn w:val="Normal"/>
    <w:rsid w:val="00251499"/>
    <w:rPr>
      <w:b/>
      <w:sz w:val="20"/>
    </w:rPr>
  </w:style>
  <w:style w:type="character" w:customStyle="1" w:styleId="Heading2Char">
    <w:name w:val="Heading 2 Char"/>
    <w:link w:val="Heading2"/>
    <w:rsid w:val="00F2555A"/>
    <w:rPr>
      <w:rFonts w:ascii="Arial" w:hAnsi="Arial" w:cs="Arial"/>
      <w:b/>
      <w:snapToGrid w:val="0"/>
      <w:sz w:val="22"/>
      <w:szCs w:val="22"/>
      <w:lang w:eastAsia="en-US"/>
    </w:rPr>
  </w:style>
  <w:style w:type="paragraph" w:styleId="Caption">
    <w:name w:val="caption"/>
    <w:basedOn w:val="Normal"/>
    <w:next w:val="Normal"/>
    <w:link w:val="CaptionChar"/>
    <w:unhideWhenUsed/>
    <w:rsid w:val="00251499"/>
    <w:pPr>
      <w:spacing w:after="200"/>
    </w:pPr>
    <w:rPr>
      <w:b/>
      <w:bCs/>
      <w:color w:val="4F81BD" w:themeColor="accent1"/>
      <w:sz w:val="18"/>
      <w:szCs w:val="18"/>
    </w:rPr>
  </w:style>
  <w:style w:type="character" w:customStyle="1" w:styleId="CaptionChar">
    <w:name w:val="Caption Char"/>
    <w:link w:val="Caption"/>
    <w:rsid w:val="00251499"/>
    <w:rPr>
      <w:rFonts w:ascii="Arial" w:hAnsi="Arial" w:cs="Arial"/>
      <w:b/>
      <w:bCs/>
      <w:snapToGrid w:val="0"/>
      <w:color w:val="4F81BD" w:themeColor="accent1"/>
      <w:sz w:val="18"/>
      <w:szCs w:val="18"/>
      <w:lang w:eastAsia="en-US"/>
    </w:rPr>
  </w:style>
  <w:style w:type="paragraph" w:styleId="BodyText">
    <w:name w:val="Body Text"/>
    <w:basedOn w:val="Normal"/>
    <w:link w:val="BodyTextChar"/>
    <w:qFormat/>
    <w:rsid w:val="00251499"/>
    <w:pPr>
      <w:jc w:val="left"/>
    </w:pPr>
  </w:style>
  <w:style w:type="character" w:customStyle="1" w:styleId="BodyTextChar">
    <w:name w:val="Body Text Char"/>
    <w:basedOn w:val="DefaultParagraphFont"/>
    <w:link w:val="BodyText"/>
    <w:rsid w:val="00251499"/>
    <w:rPr>
      <w:rFonts w:ascii="Arial" w:hAnsi="Arial" w:cs="Arial"/>
      <w:snapToGrid w:val="0"/>
      <w:sz w:val="22"/>
      <w:lang w:eastAsia="en-US"/>
    </w:rPr>
  </w:style>
  <w:style w:type="paragraph" w:customStyle="1" w:styleId="RegularText">
    <w:name w:val="Regular Text"/>
    <w:basedOn w:val="BodyText"/>
    <w:link w:val="RegularTextChar"/>
    <w:rsid w:val="00251499"/>
    <w:rPr>
      <w:b/>
    </w:rPr>
  </w:style>
  <w:style w:type="character" w:customStyle="1" w:styleId="RegularTextChar">
    <w:name w:val="Regular Text Char"/>
    <w:basedOn w:val="BodyTextChar"/>
    <w:link w:val="RegularText"/>
    <w:rsid w:val="00251499"/>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2514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251499"/>
    <w:rPr>
      <w:rFonts w:ascii="Arial" w:hAnsi="Arial" w:cs="Arial"/>
      <w:snapToGrid w:val="0"/>
      <w:sz w:val="22"/>
      <w:lang w:eastAsia="en-US"/>
    </w:rPr>
  </w:style>
  <w:style w:type="paragraph" w:styleId="Footer">
    <w:name w:val="footer"/>
    <w:basedOn w:val="Normal"/>
    <w:link w:val="FooterChar"/>
    <w:uiPriority w:val="99"/>
    <w:rsid w:val="00251499"/>
    <w:pPr>
      <w:tabs>
        <w:tab w:val="center" w:pos="4513"/>
        <w:tab w:val="right" w:pos="9026"/>
      </w:tabs>
    </w:pPr>
  </w:style>
  <w:style w:type="character" w:customStyle="1" w:styleId="FooterChar">
    <w:name w:val="Footer Char"/>
    <w:basedOn w:val="DefaultParagraphFont"/>
    <w:link w:val="Footer"/>
    <w:uiPriority w:val="99"/>
    <w:rsid w:val="00251499"/>
    <w:rPr>
      <w:rFonts w:ascii="Arial" w:hAnsi="Arial" w:cs="Arial"/>
      <w:snapToGrid w:val="0"/>
      <w:sz w:val="22"/>
      <w:lang w:eastAsia="en-US"/>
    </w:rPr>
  </w:style>
  <w:style w:type="table" w:styleId="TableGrid">
    <w:name w:val="Table Grid"/>
    <w:aliases w:val="Summary box,CMA Table Template,Table Gridbeth"/>
    <w:basedOn w:val="TableNormal"/>
    <w:uiPriority w:val="39"/>
    <w:rsid w:val="00251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251499"/>
    <w:rPr>
      <w:rFonts w:ascii="Arial Narrow" w:hAnsi="Arial Narrow"/>
      <w:b/>
      <w:sz w:val="20"/>
      <w:szCs w:val="16"/>
    </w:rPr>
  </w:style>
  <w:style w:type="paragraph" w:customStyle="1" w:styleId="Tabletext">
    <w:name w:val="Table text"/>
    <w:basedOn w:val="Normal"/>
    <w:link w:val="TabletextChar"/>
    <w:rsid w:val="00251499"/>
    <w:pPr>
      <w:widowControl/>
      <w:spacing w:after="120"/>
      <w:jc w:val="left"/>
    </w:pPr>
    <w:rPr>
      <w:rFonts w:cs="Times New Roman"/>
      <w:snapToGrid/>
      <w:sz w:val="20"/>
    </w:rPr>
  </w:style>
  <w:style w:type="paragraph" w:customStyle="1" w:styleId="TableHeading">
    <w:name w:val="TableHeading"/>
    <w:basedOn w:val="Normal"/>
    <w:rsid w:val="00251499"/>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251499"/>
    <w:rPr>
      <w:rFonts w:ascii="Arial" w:hAnsi="Arial"/>
      <w:lang w:eastAsia="en-US"/>
    </w:rPr>
  </w:style>
  <w:style w:type="paragraph" w:customStyle="1" w:styleId="Corpsdetextemarge">
    <w:name w:val="Corps de texte marge"/>
    <w:basedOn w:val="BodyText"/>
    <w:uiPriority w:val="99"/>
    <w:rsid w:val="00251499"/>
    <w:pPr>
      <w:widowControl/>
      <w:jc w:val="both"/>
    </w:pPr>
    <w:rPr>
      <w:rFonts w:ascii="Times" w:hAnsi="Times" w:cs="Times New Roman"/>
      <w:snapToGrid/>
      <w:sz w:val="24"/>
      <w:lang w:val="en-US"/>
    </w:rPr>
  </w:style>
  <w:style w:type="paragraph" w:styleId="NormalWeb">
    <w:name w:val="Normal (Web)"/>
    <w:basedOn w:val="Normal"/>
    <w:uiPriority w:val="99"/>
    <w:rsid w:val="00251499"/>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251499"/>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251499"/>
    <w:pPr>
      <w:spacing w:before="240" w:after="120"/>
      <w:jc w:val="left"/>
    </w:pPr>
    <w:rPr>
      <w:bCs/>
      <w:sz w:val="20"/>
    </w:rPr>
  </w:style>
  <w:style w:type="character" w:styleId="Hyperlink">
    <w:name w:val="Hyperlink"/>
    <w:basedOn w:val="DefaultParagraphFont"/>
    <w:uiPriority w:val="99"/>
    <w:unhideWhenUsed/>
    <w:rsid w:val="00251499"/>
    <w:rPr>
      <w:color w:val="0000FF" w:themeColor="hyperlink"/>
      <w:u w:val="single"/>
    </w:rPr>
  </w:style>
  <w:style w:type="paragraph" w:styleId="TOCHeading">
    <w:name w:val="TOC Heading"/>
    <w:basedOn w:val="Heading1"/>
    <w:next w:val="Normal"/>
    <w:uiPriority w:val="39"/>
    <w:unhideWhenUsed/>
    <w:rsid w:val="00251499"/>
    <w:pPr>
      <w:keepLines/>
      <w:spacing w:before="480" w:after="0" w:line="276" w:lineRule="auto"/>
      <w:outlineLvl w:val="9"/>
    </w:pPr>
    <w:rPr>
      <w:rFonts w:asciiTheme="majorHAnsi" w:eastAsiaTheme="majorEastAsia" w:hAnsiTheme="majorHAnsi" w:cstheme="majorBidi"/>
      <w:caps/>
      <w:color w:val="365F91" w:themeColor="accent1" w:themeShade="BF"/>
      <w:kern w:val="0"/>
      <w:szCs w:val="28"/>
      <w:lang w:val="en-US" w:eastAsia="ja-JP"/>
    </w:rPr>
  </w:style>
  <w:style w:type="paragraph" w:styleId="TOC3">
    <w:name w:val="toc 3"/>
    <w:basedOn w:val="Normal"/>
    <w:next w:val="Normal"/>
    <w:autoRedefine/>
    <w:uiPriority w:val="39"/>
    <w:unhideWhenUsed/>
    <w:rsid w:val="00251499"/>
    <w:pPr>
      <w:ind w:left="440"/>
      <w:jc w:val="left"/>
    </w:pPr>
    <w:rPr>
      <w:rFonts w:asciiTheme="minorHAnsi" w:hAnsiTheme="minorHAnsi"/>
      <w:sz w:val="20"/>
    </w:rPr>
  </w:style>
  <w:style w:type="paragraph" w:styleId="BalloonText">
    <w:name w:val="Balloon Text"/>
    <w:basedOn w:val="Normal"/>
    <w:link w:val="BalloonTextChar"/>
    <w:rsid w:val="00251499"/>
    <w:rPr>
      <w:rFonts w:ascii="Tahoma" w:hAnsi="Tahoma" w:cs="Tahoma"/>
      <w:sz w:val="16"/>
      <w:szCs w:val="16"/>
    </w:rPr>
  </w:style>
  <w:style w:type="character" w:customStyle="1" w:styleId="BalloonTextChar">
    <w:name w:val="Balloon Text Char"/>
    <w:basedOn w:val="DefaultParagraphFont"/>
    <w:link w:val="BalloonText"/>
    <w:rsid w:val="00251499"/>
    <w:rPr>
      <w:rFonts w:ascii="Tahoma" w:hAnsi="Tahoma" w:cs="Tahoma"/>
      <w:snapToGrid w:val="0"/>
      <w:sz w:val="16"/>
      <w:szCs w:val="16"/>
      <w:lang w:eastAsia="en-US"/>
    </w:rPr>
  </w:style>
  <w:style w:type="paragraph" w:styleId="BodyText3">
    <w:name w:val="Body Text 3"/>
    <w:basedOn w:val="Normal"/>
    <w:link w:val="BodyText3Char"/>
    <w:rsid w:val="00251499"/>
    <w:pPr>
      <w:spacing w:after="120"/>
    </w:pPr>
    <w:rPr>
      <w:sz w:val="16"/>
      <w:szCs w:val="16"/>
    </w:rPr>
  </w:style>
  <w:style w:type="character" w:customStyle="1" w:styleId="BodyText3Char">
    <w:name w:val="Body Text 3 Char"/>
    <w:basedOn w:val="DefaultParagraphFont"/>
    <w:link w:val="BodyText3"/>
    <w:rsid w:val="00251499"/>
    <w:rPr>
      <w:rFonts w:ascii="Arial" w:hAnsi="Arial" w:cs="Arial"/>
      <w:snapToGrid w:val="0"/>
      <w:sz w:val="16"/>
      <w:szCs w:val="16"/>
      <w:lang w:eastAsia="en-US"/>
    </w:rPr>
  </w:style>
  <w:style w:type="paragraph" w:styleId="TOC4">
    <w:name w:val="toc 4"/>
    <w:basedOn w:val="Normal"/>
    <w:next w:val="Normal"/>
    <w:autoRedefine/>
    <w:rsid w:val="00251499"/>
    <w:pPr>
      <w:ind w:left="660"/>
      <w:jc w:val="left"/>
    </w:pPr>
    <w:rPr>
      <w:rFonts w:asciiTheme="minorHAnsi" w:hAnsiTheme="minorHAnsi"/>
      <w:sz w:val="20"/>
    </w:rPr>
  </w:style>
  <w:style w:type="paragraph" w:styleId="TOC5">
    <w:name w:val="toc 5"/>
    <w:basedOn w:val="Normal"/>
    <w:next w:val="Normal"/>
    <w:autoRedefine/>
    <w:rsid w:val="00251499"/>
    <w:pPr>
      <w:ind w:left="880"/>
      <w:jc w:val="left"/>
    </w:pPr>
    <w:rPr>
      <w:rFonts w:asciiTheme="minorHAnsi" w:hAnsiTheme="minorHAnsi"/>
      <w:sz w:val="20"/>
    </w:rPr>
  </w:style>
  <w:style w:type="paragraph" w:styleId="TOC6">
    <w:name w:val="toc 6"/>
    <w:basedOn w:val="Normal"/>
    <w:next w:val="Normal"/>
    <w:autoRedefine/>
    <w:rsid w:val="00251499"/>
    <w:pPr>
      <w:ind w:left="1100"/>
      <w:jc w:val="left"/>
    </w:pPr>
    <w:rPr>
      <w:rFonts w:asciiTheme="minorHAnsi" w:hAnsiTheme="minorHAnsi"/>
      <w:sz w:val="20"/>
    </w:rPr>
  </w:style>
  <w:style w:type="paragraph" w:styleId="TOC7">
    <w:name w:val="toc 7"/>
    <w:basedOn w:val="Normal"/>
    <w:next w:val="Normal"/>
    <w:autoRedefine/>
    <w:rsid w:val="00251499"/>
    <w:pPr>
      <w:ind w:left="1320"/>
      <w:jc w:val="left"/>
    </w:pPr>
    <w:rPr>
      <w:rFonts w:asciiTheme="minorHAnsi" w:hAnsiTheme="minorHAnsi"/>
      <w:sz w:val="20"/>
    </w:rPr>
  </w:style>
  <w:style w:type="paragraph" w:styleId="TOC8">
    <w:name w:val="toc 8"/>
    <w:basedOn w:val="Normal"/>
    <w:next w:val="Normal"/>
    <w:autoRedefine/>
    <w:rsid w:val="00251499"/>
    <w:pPr>
      <w:ind w:left="1540"/>
      <w:jc w:val="left"/>
    </w:pPr>
    <w:rPr>
      <w:rFonts w:asciiTheme="minorHAnsi" w:hAnsiTheme="minorHAnsi"/>
      <w:sz w:val="20"/>
    </w:rPr>
  </w:style>
  <w:style w:type="paragraph" w:styleId="TOC9">
    <w:name w:val="toc 9"/>
    <w:basedOn w:val="Normal"/>
    <w:next w:val="Normal"/>
    <w:autoRedefine/>
    <w:rsid w:val="00251499"/>
    <w:pPr>
      <w:ind w:left="1760"/>
      <w:jc w:val="left"/>
    </w:pPr>
    <w:rPr>
      <w:rFonts w:asciiTheme="minorHAnsi" w:hAnsiTheme="minorHAnsi"/>
      <w:sz w:val="20"/>
    </w:rPr>
  </w:style>
  <w:style w:type="paragraph" w:styleId="BodyText2">
    <w:name w:val="Body Text 2"/>
    <w:basedOn w:val="Normal"/>
    <w:link w:val="BodyText2Char"/>
    <w:rsid w:val="00251499"/>
    <w:pPr>
      <w:spacing w:after="120" w:line="480" w:lineRule="auto"/>
    </w:pPr>
  </w:style>
  <w:style w:type="character" w:customStyle="1" w:styleId="BodyText2Char">
    <w:name w:val="Body Text 2 Char"/>
    <w:basedOn w:val="DefaultParagraphFont"/>
    <w:link w:val="BodyText2"/>
    <w:rsid w:val="00251499"/>
    <w:rPr>
      <w:rFonts w:ascii="Arial" w:hAnsi="Arial" w:cs="Arial"/>
      <w:snapToGrid w:val="0"/>
      <w:sz w:val="22"/>
      <w:lang w:eastAsia="en-US"/>
    </w:rPr>
  </w:style>
  <w:style w:type="paragraph" w:styleId="CommentText">
    <w:name w:val="annotation text"/>
    <w:basedOn w:val="Normal"/>
    <w:link w:val="CommentTextChar"/>
    <w:uiPriority w:val="99"/>
    <w:rsid w:val="00251499"/>
    <w:rPr>
      <w:rFonts w:ascii="Times New Roman" w:hAnsi="Times New Roman" w:cs="Times New Roman"/>
      <w:sz w:val="20"/>
    </w:rPr>
  </w:style>
  <w:style w:type="character" w:customStyle="1" w:styleId="CommentTextChar">
    <w:name w:val="Comment Text Char"/>
    <w:basedOn w:val="DefaultParagraphFont"/>
    <w:link w:val="CommentText"/>
    <w:uiPriority w:val="99"/>
    <w:rsid w:val="00251499"/>
    <w:rPr>
      <w:snapToGrid w:val="0"/>
      <w:lang w:eastAsia="en-US"/>
    </w:rPr>
  </w:style>
  <w:style w:type="paragraph" w:customStyle="1" w:styleId="TableText0">
    <w:name w:val="TableText"/>
    <w:basedOn w:val="Normal"/>
    <w:rsid w:val="0025149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25149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251499"/>
    <w:pPr>
      <w:keepNext w:val="0"/>
      <w:keepLines/>
      <w:spacing w:before="0" w:after="360"/>
      <w:ind w:left="720"/>
    </w:pPr>
    <w:rPr>
      <w:sz w:val="18"/>
      <w:szCs w:val="18"/>
    </w:rPr>
  </w:style>
  <w:style w:type="paragraph" w:customStyle="1" w:styleId="TableNotes0">
    <w:name w:val="TableNotes+0"/>
    <w:basedOn w:val="TableNotes18"/>
    <w:rsid w:val="00251499"/>
    <w:pPr>
      <w:keepNext/>
      <w:spacing w:after="0"/>
    </w:pPr>
  </w:style>
  <w:style w:type="paragraph" w:styleId="CommentSubject">
    <w:name w:val="annotation subject"/>
    <w:basedOn w:val="CommentText"/>
    <w:next w:val="CommentText"/>
    <w:link w:val="CommentSubjectChar"/>
    <w:rsid w:val="00251499"/>
    <w:rPr>
      <w:rFonts w:ascii="Arial" w:hAnsi="Arial" w:cs="Arial"/>
      <w:b/>
      <w:bCs/>
    </w:rPr>
  </w:style>
  <w:style w:type="character" w:customStyle="1" w:styleId="CommentSubjectChar">
    <w:name w:val="Comment Subject Char"/>
    <w:basedOn w:val="CommentTextChar"/>
    <w:link w:val="CommentSubject"/>
    <w:rsid w:val="00251499"/>
    <w:rPr>
      <w:rFonts w:ascii="Arial" w:hAnsi="Arial" w:cs="Arial"/>
      <w:b/>
      <w:bCs/>
      <w:snapToGrid w:val="0"/>
      <w:lang w:eastAsia="en-US"/>
    </w:rPr>
  </w:style>
  <w:style w:type="paragraph" w:styleId="Revision">
    <w:name w:val="Revision"/>
    <w:hidden/>
    <w:uiPriority w:val="99"/>
    <w:semiHidden/>
    <w:rsid w:val="00251499"/>
    <w:rPr>
      <w:rFonts w:ascii="Arial" w:hAnsi="Arial" w:cs="Arial"/>
      <w:snapToGrid w:val="0"/>
      <w:sz w:val="22"/>
      <w:lang w:eastAsia="en-US"/>
    </w:rPr>
  </w:style>
  <w:style w:type="paragraph" w:styleId="BodyTextIndent">
    <w:name w:val="Body Text Indent"/>
    <w:basedOn w:val="Normal"/>
    <w:link w:val="BodyTextIndentChar"/>
    <w:rsid w:val="00251499"/>
    <w:pPr>
      <w:spacing w:after="120"/>
      <w:ind w:left="283"/>
    </w:pPr>
  </w:style>
  <w:style w:type="character" w:customStyle="1" w:styleId="BodyTextIndentChar">
    <w:name w:val="Body Text Indent Char"/>
    <w:basedOn w:val="DefaultParagraphFont"/>
    <w:link w:val="BodyTextIndent"/>
    <w:rsid w:val="00251499"/>
    <w:rPr>
      <w:rFonts w:ascii="Arial" w:hAnsi="Arial" w:cs="Arial"/>
      <w:snapToGrid w:val="0"/>
      <w:sz w:val="22"/>
      <w:lang w:eastAsia="en-US"/>
    </w:rPr>
  </w:style>
  <w:style w:type="paragraph" w:customStyle="1" w:styleId="Char1CharCharChar">
    <w:name w:val="Char1 Char Char Char"/>
    <w:basedOn w:val="Normal"/>
    <w:rsid w:val="00251499"/>
    <w:pPr>
      <w:widowControl/>
      <w:spacing w:after="160" w:line="240" w:lineRule="exact"/>
      <w:jc w:val="left"/>
    </w:pPr>
    <w:rPr>
      <w:rFonts w:ascii="Verdana" w:eastAsia="MS Mincho" w:hAnsi="Verdana" w:cs="Verdana"/>
      <w:snapToGrid/>
      <w:sz w:val="20"/>
      <w:lang w:val="en-US"/>
    </w:rPr>
  </w:style>
  <w:style w:type="character" w:customStyle="1" w:styleId="SubtitleChar1">
    <w:name w:val="Subtitle Char1"/>
    <w:basedOn w:val="DefaultParagraphFont"/>
    <w:rsid w:val="00251499"/>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251499"/>
    <w:rPr>
      <w:rFonts w:ascii="Arial" w:hAnsi="Arial" w:cs="Arial"/>
      <w:b/>
      <w:snapToGrid w:val="0"/>
      <w:sz w:val="22"/>
      <w:szCs w:val="22"/>
      <w:lang w:eastAsia="en-US"/>
    </w:rPr>
  </w:style>
  <w:style w:type="paragraph" w:customStyle="1" w:styleId="TableCentre">
    <w:name w:val="Table Centre"/>
    <w:basedOn w:val="Normal"/>
    <w:qFormat/>
    <w:rsid w:val="00251499"/>
    <w:pPr>
      <w:widowControl/>
      <w:jc w:val="center"/>
    </w:pPr>
    <w:rPr>
      <w:rFonts w:ascii="Candara" w:eastAsiaTheme="majorEastAsia" w:hAnsi="Candara" w:cstheme="majorBidi"/>
      <w:snapToGrid/>
      <w:sz w:val="20"/>
      <w:szCs w:val="22"/>
      <w:lang w:bidi="en-US"/>
    </w:rPr>
  </w:style>
  <w:style w:type="character" w:customStyle="1" w:styleId="ListParagraphChar">
    <w:name w:val="List Paragraph Char"/>
    <w:aliases w:val="BulletPoints Char"/>
    <w:basedOn w:val="DefaultParagraphFont"/>
    <w:link w:val="ListParagraph"/>
    <w:uiPriority w:val="72"/>
    <w:locked/>
    <w:rsid w:val="00251499"/>
    <w:rPr>
      <w:sz w:val="24"/>
      <w:szCs w:val="24"/>
      <w:lang w:eastAsia="en-US"/>
    </w:rPr>
  </w:style>
  <w:style w:type="character" w:customStyle="1" w:styleId="Small">
    <w:name w:val="Small"/>
    <w:basedOn w:val="DefaultParagraphFont"/>
    <w:uiPriority w:val="4"/>
    <w:qFormat/>
    <w:rsid w:val="00251499"/>
    <w:rPr>
      <w:rFonts w:ascii="Candara" w:hAnsi="Candara"/>
      <w:sz w:val="20"/>
    </w:rPr>
  </w:style>
  <w:style w:type="paragraph" w:customStyle="1" w:styleId="TableBullets">
    <w:name w:val="Table Bullets"/>
    <w:basedOn w:val="Normal"/>
    <w:uiPriority w:val="5"/>
    <w:qFormat/>
    <w:rsid w:val="00251499"/>
    <w:pPr>
      <w:widowControl/>
      <w:numPr>
        <w:numId w:val="2"/>
      </w:numPr>
      <w:ind w:left="357" w:hanging="357"/>
      <w:jc w:val="left"/>
    </w:pPr>
    <w:rPr>
      <w:rFonts w:ascii="Candara" w:eastAsiaTheme="majorEastAsia" w:hAnsi="Candara" w:cstheme="majorBidi"/>
      <w:snapToGrid/>
      <w:sz w:val="20"/>
      <w:szCs w:val="22"/>
      <w:lang w:bidi="en-US"/>
    </w:rPr>
  </w:style>
  <w:style w:type="paragraph" w:styleId="FootnoteText">
    <w:name w:val="footnote text"/>
    <w:basedOn w:val="Normal"/>
    <w:link w:val="FootnoteTextChar"/>
    <w:unhideWhenUsed/>
    <w:rsid w:val="00251499"/>
    <w:rPr>
      <w:sz w:val="20"/>
    </w:rPr>
  </w:style>
  <w:style w:type="character" w:customStyle="1" w:styleId="FootnoteTextChar">
    <w:name w:val="Footnote Text Char"/>
    <w:basedOn w:val="DefaultParagraphFont"/>
    <w:link w:val="FootnoteText"/>
    <w:rsid w:val="00251499"/>
    <w:rPr>
      <w:rFonts w:ascii="Arial" w:hAnsi="Arial" w:cs="Arial"/>
      <w:snapToGrid w:val="0"/>
      <w:lang w:eastAsia="en-US"/>
    </w:rPr>
  </w:style>
  <w:style w:type="character" w:styleId="FootnoteReference">
    <w:name w:val="footnote reference"/>
    <w:basedOn w:val="DefaultParagraphFont"/>
    <w:unhideWhenUsed/>
    <w:rsid w:val="00251499"/>
    <w:rPr>
      <w:vertAlign w:val="superscript"/>
    </w:rPr>
  </w:style>
  <w:style w:type="character" w:customStyle="1" w:styleId="Heading1Char">
    <w:name w:val="Heading 1 Char"/>
    <w:basedOn w:val="DefaultParagraphFont"/>
    <w:link w:val="Heading1"/>
    <w:rsid w:val="00251499"/>
    <w:rPr>
      <w:rFonts w:ascii="Arial" w:hAnsi="Arial" w:cs="Arial"/>
      <w:b/>
      <w:bCs/>
      <w:kern w:val="28"/>
      <w:sz w:val="28"/>
      <w:szCs w:val="3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51499"/>
    <w:pPr>
      <w:widowControl/>
      <w:spacing w:after="160" w:line="240" w:lineRule="exact"/>
      <w:jc w:val="left"/>
    </w:pPr>
    <w:rPr>
      <w:rFonts w:ascii="Verdana" w:eastAsia="MS Mincho" w:hAnsi="Verdana" w:cs="Verdana"/>
      <w:snapToGrid/>
      <w:sz w:val="20"/>
      <w:lang w:val="en-US"/>
    </w:rPr>
  </w:style>
  <w:style w:type="paragraph" w:customStyle="1" w:styleId="Table">
    <w:name w:val="Table"/>
    <w:basedOn w:val="Normal"/>
    <w:link w:val="TableChar"/>
    <w:qFormat/>
    <w:rsid w:val="00C16921"/>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C16921"/>
    <w:rPr>
      <w:rFonts w:ascii="Candara" w:eastAsiaTheme="majorEastAsia" w:hAnsi="Candara" w:cstheme="majorBidi"/>
      <w:szCs w:val="22"/>
      <w:lang w:eastAsia="en-US" w:bidi="en-US"/>
    </w:rPr>
  </w:style>
  <w:style w:type="character" w:customStyle="1" w:styleId="SmallBold">
    <w:name w:val="Small Bold"/>
    <w:basedOn w:val="Small"/>
    <w:uiPriority w:val="4"/>
    <w:qFormat/>
    <w:rsid w:val="00C16921"/>
    <w:rPr>
      <w:rFonts w:ascii="Candara" w:hAnsi="Candara"/>
      <w:b/>
      <w:sz w:val="20"/>
      <w:lang w:val="en-AU"/>
    </w:rPr>
  </w:style>
  <w:style w:type="character" w:customStyle="1" w:styleId="drug-name3">
    <w:name w:val="drug-name3"/>
    <w:basedOn w:val="DefaultParagraphFont"/>
    <w:rsid w:val="00443CF6"/>
    <w:rPr>
      <w:sz w:val="23"/>
      <w:szCs w:val="23"/>
    </w:rPr>
  </w:style>
  <w:style w:type="character" w:customStyle="1" w:styleId="form-strength">
    <w:name w:val="form-strength"/>
    <w:basedOn w:val="DefaultParagraphFont"/>
    <w:rsid w:val="00443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qFormat="1"/>
    <w:lsdException w:name="Title" w:qFormat="1"/>
    <w:lsdException w:name="Body Text" w:qFormat="1"/>
    <w:lsdException w:name="Subtitle" w:uiPriority="11" w:qFormat="1"/>
    <w:lsdException w:name="Hyperlink" w:uiPriority="99"/>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499"/>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A705AF"/>
    <w:pPr>
      <w:keepNext/>
      <w:spacing w:before="240" w:after="60"/>
      <w:outlineLvl w:val="0"/>
    </w:pPr>
    <w:rPr>
      <w:b/>
      <w:bCs/>
      <w:kern w:val="28"/>
      <w:sz w:val="28"/>
      <w:szCs w:val="32"/>
    </w:rPr>
  </w:style>
  <w:style w:type="paragraph" w:styleId="Heading2">
    <w:name w:val="heading 2"/>
    <w:basedOn w:val="PBACHeading1"/>
    <w:next w:val="Normal"/>
    <w:link w:val="Heading2Char"/>
    <w:qFormat/>
    <w:rsid w:val="00F2555A"/>
    <w:pPr>
      <w:outlineLvl w:val="1"/>
    </w:pPr>
  </w:style>
  <w:style w:type="paragraph" w:styleId="Heading3">
    <w:name w:val="heading 3"/>
    <w:basedOn w:val="Normal"/>
    <w:next w:val="Normal"/>
    <w:qFormat/>
    <w:rsid w:val="00A705AF"/>
    <w:pPr>
      <w:keepNext/>
      <w:spacing w:before="240" w:after="60"/>
      <w:outlineLvl w:val="2"/>
    </w:pPr>
    <w:rPr>
      <w:bCs/>
      <w:szCs w:val="26"/>
    </w:rPr>
  </w:style>
  <w:style w:type="paragraph" w:styleId="Heading4">
    <w:name w:val="heading 4"/>
    <w:basedOn w:val="Normal"/>
    <w:next w:val="Normal"/>
    <w:qFormat/>
    <w:rsid w:val="00A705AF"/>
    <w:pPr>
      <w:keepNext/>
      <w:spacing w:before="240" w:after="60"/>
      <w:outlineLvl w:val="3"/>
    </w:pPr>
    <w:rPr>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paragraph" w:styleId="Heading7">
    <w:name w:val="heading 7"/>
    <w:basedOn w:val="Normal"/>
    <w:next w:val="Normal"/>
    <w:link w:val="Heading7Char"/>
    <w:rsid w:val="00251499"/>
    <w:pPr>
      <w:keepNext/>
      <w:jc w:val="center"/>
      <w:outlineLvl w:val="6"/>
    </w:pPr>
    <w:rPr>
      <w:b/>
      <w:sz w:val="20"/>
    </w:rPr>
  </w:style>
  <w:style w:type="paragraph" w:styleId="Heading8">
    <w:name w:val="heading 8"/>
    <w:basedOn w:val="Normal"/>
    <w:next w:val="Normal"/>
    <w:link w:val="Heading8Char"/>
    <w:rsid w:val="00251499"/>
    <w:pPr>
      <w:keepNext/>
      <w:jc w:val="right"/>
      <w:outlineLvl w:val="7"/>
    </w:pPr>
    <w:rPr>
      <w:b/>
    </w:rPr>
  </w:style>
  <w:style w:type="paragraph" w:styleId="Heading9">
    <w:name w:val="heading 9"/>
    <w:basedOn w:val="Normal"/>
    <w:next w:val="Normal"/>
    <w:link w:val="Heading9Char"/>
    <w:rsid w:val="00251499"/>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character" w:customStyle="1" w:styleId="Heading7Char">
    <w:name w:val="Heading 7 Char"/>
    <w:basedOn w:val="DefaultParagraphFont"/>
    <w:link w:val="Heading7"/>
    <w:rsid w:val="00251499"/>
    <w:rPr>
      <w:rFonts w:ascii="Arial" w:hAnsi="Arial" w:cs="Arial"/>
      <w:b/>
      <w:snapToGrid w:val="0"/>
      <w:lang w:eastAsia="en-US"/>
    </w:rPr>
  </w:style>
  <w:style w:type="character" w:customStyle="1" w:styleId="Heading8Char">
    <w:name w:val="Heading 8 Char"/>
    <w:basedOn w:val="DefaultParagraphFont"/>
    <w:link w:val="Heading8"/>
    <w:rsid w:val="00251499"/>
    <w:rPr>
      <w:rFonts w:ascii="Arial" w:hAnsi="Arial" w:cs="Arial"/>
      <w:b/>
      <w:snapToGrid w:val="0"/>
      <w:sz w:val="22"/>
      <w:lang w:eastAsia="en-US"/>
    </w:rPr>
  </w:style>
  <w:style w:type="character" w:customStyle="1" w:styleId="Heading9Char">
    <w:name w:val="Heading 9 Char"/>
    <w:basedOn w:val="DefaultParagraphFont"/>
    <w:link w:val="Heading9"/>
    <w:rsid w:val="00251499"/>
    <w:rPr>
      <w:rFonts w:ascii="Arial" w:hAnsi="Arial" w:cs="Arial"/>
      <w:b/>
      <w:snapToGrid w:val="0"/>
      <w:color w:val="000000"/>
      <w:lang w:eastAsia="en-US"/>
    </w:rPr>
  </w:style>
  <w:style w:type="paragraph" w:customStyle="1" w:styleId="TableFooter">
    <w:name w:val="Table Footer"/>
    <w:basedOn w:val="Normal"/>
    <w:qFormat/>
    <w:rsid w:val="00251499"/>
    <w:rPr>
      <w:rFonts w:ascii="Arial Narrow" w:hAnsi="Arial Narrow"/>
      <w:sz w:val="18"/>
    </w:rPr>
  </w:style>
  <w:style w:type="paragraph" w:customStyle="1" w:styleId="TableHeader">
    <w:name w:val="Table Header"/>
    <w:basedOn w:val="Normal"/>
    <w:rsid w:val="00251499"/>
    <w:rPr>
      <w:b/>
      <w:sz w:val="20"/>
    </w:rPr>
  </w:style>
  <w:style w:type="character" w:customStyle="1" w:styleId="Heading2Char">
    <w:name w:val="Heading 2 Char"/>
    <w:link w:val="Heading2"/>
    <w:rsid w:val="00F2555A"/>
    <w:rPr>
      <w:rFonts w:ascii="Arial" w:hAnsi="Arial" w:cs="Arial"/>
      <w:b/>
      <w:snapToGrid w:val="0"/>
      <w:sz w:val="22"/>
      <w:szCs w:val="22"/>
      <w:lang w:eastAsia="en-US"/>
    </w:rPr>
  </w:style>
  <w:style w:type="paragraph" w:styleId="Caption">
    <w:name w:val="caption"/>
    <w:basedOn w:val="Normal"/>
    <w:next w:val="Normal"/>
    <w:link w:val="CaptionChar"/>
    <w:unhideWhenUsed/>
    <w:rsid w:val="00251499"/>
    <w:pPr>
      <w:spacing w:after="200"/>
    </w:pPr>
    <w:rPr>
      <w:b/>
      <w:bCs/>
      <w:color w:val="4F81BD" w:themeColor="accent1"/>
      <w:sz w:val="18"/>
      <w:szCs w:val="18"/>
    </w:rPr>
  </w:style>
  <w:style w:type="character" w:customStyle="1" w:styleId="CaptionChar">
    <w:name w:val="Caption Char"/>
    <w:link w:val="Caption"/>
    <w:rsid w:val="00251499"/>
    <w:rPr>
      <w:rFonts w:ascii="Arial" w:hAnsi="Arial" w:cs="Arial"/>
      <w:b/>
      <w:bCs/>
      <w:snapToGrid w:val="0"/>
      <w:color w:val="4F81BD" w:themeColor="accent1"/>
      <w:sz w:val="18"/>
      <w:szCs w:val="18"/>
      <w:lang w:eastAsia="en-US"/>
    </w:rPr>
  </w:style>
  <w:style w:type="paragraph" w:styleId="BodyText">
    <w:name w:val="Body Text"/>
    <w:basedOn w:val="Normal"/>
    <w:link w:val="BodyTextChar"/>
    <w:qFormat/>
    <w:rsid w:val="00251499"/>
    <w:pPr>
      <w:jc w:val="left"/>
    </w:pPr>
  </w:style>
  <w:style w:type="character" w:customStyle="1" w:styleId="BodyTextChar">
    <w:name w:val="Body Text Char"/>
    <w:basedOn w:val="DefaultParagraphFont"/>
    <w:link w:val="BodyText"/>
    <w:rsid w:val="00251499"/>
    <w:rPr>
      <w:rFonts w:ascii="Arial" w:hAnsi="Arial" w:cs="Arial"/>
      <w:snapToGrid w:val="0"/>
      <w:sz w:val="22"/>
      <w:lang w:eastAsia="en-US"/>
    </w:rPr>
  </w:style>
  <w:style w:type="paragraph" w:customStyle="1" w:styleId="RegularText">
    <w:name w:val="Regular Text"/>
    <w:basedOn w:val="BodyText"/>
    <w:link w:val="RegularTextChar"/>
    <w:rsid w:val="00251499"/>
    <w:rPr>
      <w:b/>
    </w:rPr>
  </w:style>
  <w:style w:type="character" w:customStyle="1" w:styleId="RegularTextChar">
    <w:name w:val="Regular Text Char"/>
    <w:basedOn w:val="BodyTextChar"/>
    <w:link w:val="RegularText"/>
    <w:rsid w:val="00251499"/>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2514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251499"/>
    <w:rPr>
      <w:rFonts w:ascii="Arial" w:hAnsi="Arial" w:cs="Arial"/>
      <w:snapToGrid w:val="0"/>
      <w:sz w:val="22"/>
      <w:lang w:eastAsia="en-US"/>
    </w:rPr>
  </w:style>
  <w:style w:type="paragraph" w:styleId="Footer">
    <w:name w:val="footer"/>
    <w:basedOn w:val="Normal"/>
    <w:link w:val="FooterChar"/>
    <w:uiPriority w:val="99"/>
    <w:rsid w:val="00251499"/>
    <w:pPr>
      <w:tabs>
        <w:tab w:val="center" w:pos="4513"/>
        <w:tab w:val="right" w:pos="9026"/>
      </w:tabs>
    </w:pPr>
  </w:style>
  <w:style w:type="character" w:customStyle="1" w:styleId="FooterChar">
    <w:name w:val="Footer Char"/>
    <w:basedOn w:val="DefaultParagraphFont"/>
    <w:link w:val="Footer"/>
    <w:uiPriority w:val="99"/>
    <w:rsid w:val="00251499"/>
    <w:rPr>
      <w:rFonts w:ascii="Arial" w:hAnsi="Arial" w:cs="Arial"/>
      <w:snapToGrid w:val="0"/>
      <w:sz w:val="22"/>
      <w:lang w:eastAsia="en-US"/>
    </w:rPr>
  </w:style>
  <w:style w:type="table" w:styleId="TableGrid">
    <w:name w:val="Table Grid"/>
    <w:aliases w:val="Summary box,CMA Table Template,Table Gridbeth"/>
    <w:basedOn w:val="TableNormal"/>
    <w:uiPriority w:val="39"/>
    <w:rsid w:val="00251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251499"/>
    <w:rPr>
      <w:rFonts w:ascii="Arial Narrow" w:hAnsi="Arial Narrow"/>
      <w:b/>
      <w:sz w:val="20"/>
      <w:szCs w:val="16"/>
    </w:rPr>
  </w:style>
  <w:style w:type="paragraph" w:customStyle="1" w:styleId="Tabletext">
    <w:name w:val="Table text"/>
    <w:basedOn w:val="Normal"/>
    <w:link w:val="TabletextChar"/>
    <w:rsid w:val="00251499"/>
    <w:pPr>
      <w:widowControl/>
      <w:spacing w:after="120"/>
      <w:jc w:val="left"/>
    </w:pPr>
    <w:rPr>
      <w:rFonts w:cs="Times New Roman"/>
      <w:snapToGrid/>
      <w:sz w:val="20"/>
    </w:rPr>
  </w:style>
  <w:style w:type="paragraph" w:customStyle="1" w:styleId="TableHeading">
    <w:name w:val="TableHeading"/>
    <w:basedOn w:val="Normal"/>
    <w:rsid w:val="00251499"/>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251499"/>
    <w:rPr>
      <w:rFonts w:ascii="Arial" w:hAnsi="Arial"/>
      <w:lang w:eastAsia="en-US"/>
    </w:rPr>
  </w:style>
  <w:style w:type="paragraph" w:customStyle="1" w:styleId="Corpsdetextemarge">
    <w:name w:val="Corps de texte marge"/>
    <w:basedOn w:val="BodyText"/>
    <w:uiPriority w:val="99"/>
    <w:rsid w:val="00251499"/>
    <w:pPr>
      <w:widowControl/>
      <w:jc w:val="both"/>
    </w:pPr>
    <w:rPr>
      <w:rFonts w:ascii="Times" w:hAnsi="Times" w:cs="Times New Roman"/>
      <w:snapToGrid/>
      <w:sz w:val="24"/>
      <w:lang w:val="en-US"/>
    </w:rPr>
  </w:style>
  <w:style w:type="paragraph" w:styleId="NormalWeb">
    <w:name w:val="Normal (Web)"/>
    <w:basedOn w:val="Normal"/>
    <w:uiPriority w:val="99"/>
    <w:rsid w:val="00251499"/>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251499"/>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251499"/>
    <w:pPr>
      <w:spacing w:before="240" w:after="120"/>
      <w:jc w:val="left"/>
    </w:pPr>
    <w:rPr>
      <w:bCs/>
      <w:sz w:val="20"/>
    </w:rPr>
  </w:style>
  <w:style w:type="character" w:styleId="Hyperlink">
    <w:name w:val="Hyperlink"/>
    <w:basedOn w:val="DefaultParagraphFont"/>
    <w:uiPriority w:val="99"/>
    <w:unhideWhenUsed/>
    <w:rsid w:val="00251499"/>
    <w:rPr>
      <w:color w:val="0000FF" w:themeColor="hyperlink"/>
      <w:u w:val="single"/>
    </w:rPr>
  </w:style>
  <w:style w:type="paragraph" w:styleId="TOCHeading">
    <w:name w:val="TOC Heading"/>
    <w:basedOn w:val="Heading1"/>
    <w:next w:val="Normal"/>
    <w:uiPriority w:val="39"/>
    <w:unhideWhenUsed/>
    <w:rsid w:val="00251499"/>
    <w:pPr>
      <w:keepLines/>
      <w:spacing w:before="480" w:after="0" w:line="276" w:lineRule="auto"/>
      <w:outlineLvl w:val="9"/>
    </w:pPr>
    <w:rPr>
      <w:rFonts w:asciiTheme="majorHAnsi" w:eastAsiaTheme="majorEastAsia" w:hAnsiTheme="majorHAnsi" w:cstheme="majorBidi"/>
      <w:caps/>
      <w:color w:val="365F91" w:themeColor="accent1" w:themeShade="BF"/>
      <w:kern w:val="0"/>
      <w:szCs w:val="28"/>
      <w:lang w:val="en-US" w:eastAsia="ja-JP"/>
    </w:rPr>
  </w:style>
  <w:style w:type="paragraph" w:styleId="TOC3">
    <w:name w:val="toc 3"/>
    <w:basedOn w:val="Normal"/>
    <w:next w:val="Normal"/>
    <w:autoRedefine/>
    <w:uiPriority w:val="39"/>
    <w:unhideWhenUsed/>
    <w:rsid w:val="00251499"/>
    <w:pPr>
      <w:ind w:left="440"/>
      <w:jc w:val="left"/>
    </w:pPr>
    <w:rPr>
      <w:rFonts w:asciiTheme="minorHAnsi" w:hAnsiTheme="minorHAnsi"/>
      <w:sz w:val="20"/>
    </w:rPr>
  </w:style>
  <w:style w:type="paragraph" w:styleId="BalloonText">
    <w:name w:val="Balloon Text"/>
    <w:basedOn w:val="Normal"/>
    <w:link w:val="BalloonTextChar"/>
    <w:rsid w:val="00251499"/>
    <w:rPr>
      <w:rFonts w:ascii="Tahoma" w:hAnsi="Tahoma" w:cs="Tahoma"/>
      <w:sz w:val="16"/>
      <w:szCs w:val="16"/>
    </w:rPr>
  </w:style>
  <w:style w:type="character" w:customStyle="1" w:styleId="BalloonTextChar">
    <w:name w:val="Balloon Text Char"/>
    <w:basedOn w:val="DefaultParagraphFont"/>
    <w:link w:val="BalloonText"/>
    <w:rsid w:val="00251499"/>
    <w:rPr>
      <w:rFonts w:ascii="Tahoma" w:hAnsi="Tahoma" w:cs="Tahoma"/>
      <w:snapToGrid w:val="0"/>
      <w:sz w:val="16"/>
      <w:szCs w:val="16"/>
      <w:lang w:eastAsia="en-US"/>
    </w:rPr>
  </w:style>
  <w:style w:type="paragraph" w:styleId="BodyText3">
    <w:name w:val="Body Text 3"/>
    <w:basedOn w:val="Normal"/>
    <w:link w:val="BodyText3Char"/>
    <w:rsid w:val="00251499"/>
    <w:pPr>
      <w:spacing w:after="120"/>
    </w:pPr>
    <w:rPr>
      <w:sz w:val="16"/>
      <w:szCs w:val="16"/>
    </w:rPr>
  </w:style>
  <w:style w:type="character" w:customStyle="1" w:styleId="BodyText3Char">
    <w:name w:val="Body Text 3 Char"/>
    <w:basedOn w:val="DefaultParagraphFont"/>
    <w:link w:val="BodyText3"/>
    <w:rsid w:val="00251499"/>
    <w:rPr>
      <w:rFonts w:ascii="Arial" w:hAnsi="Arial" w:cs="Arial"/>
      <w:snapToGrid w:val="0"/>
      <w:sz w:val="16"/>
      <w:szCs w:val="16"/>
      <w:lang w:eastAsia="en-US"/>
    </w:rPr>
  </w:style>
  <w:style w:type="paragraph" w:styleId="TOC4">
    <w:name w:val="toc 4"/>
    <w:basedOn w:val="Normal"/>
    <w:next w:val="Normal"/>
    <w:autoRedefine/>
    <w:rsid w:val="00251499"/>
    <w:pPr>
      <w:ind w:left="660"/>
      <w:jc w:val="left"/>
    </w:pPr>
    <w:rPr>
      <w:rFonts w:asciiTheme="minorHAnsi" w:hAnsiTheme="minorHAnsi"/>
      <w:sz w:val="20"/>
    </w:rPr>
  </w:style>
  <w:style w:type="paragraph" w:styleId="TOC5">
    <w:name w:val="toc 5"/>
    <w:basedOn w:val="Normal"/>
    <w:next w:val="Normal"/>
    <w:autoRedefine/>
    <w:rsid w:val="00251499"/>
    <w:pPr>
      <w:ind w:left="880"/>
      <w:jc w:val="left"/>
    </w:pPr>
    <w:rPr>
      <w:rFonts w:asciiTheme="minorHAnsi" w:hAnsiTheme="minorHAnsi"/>
      <w:sz w:val="20"/>
    </w:rPr>
  </w:style>
  <w:style w:type="paragraph" w:styleId="TOC6">
    <w:name w:val="toc 6"/>
    <w:basedOn w:val="Normal"/>
    <w:next w:val="Normal"/>
    <w:autoRedefine/>
    <w:rsid w:val="00251499"/>
    <w:pPr>
      <w:ind w:left="1100"/>
      <w:jc w:val="left"/>
    </w:pPr>
    <w:rPr>
      <w:rFonts w:asciiTheme="minorHAnsi" w:hAnsiTheme="minorHAnsi"/>
      <w:sz w:val="20"/>
    </w:rPr>
  </w:style>
  <w:style w:type="paragraph" w:styleId="TOC7">
    <w:name w:val="toc 7"/>
    <w:basedOn w:val="Normal"/>
    <w:next w:val="Normal"/>
    <w:autoRedefine/>
    <w:rsid w:val="00251499"/>
    <w:pPr>
      <w:ind w:left="1320"/>
      <w:jc w:val="left"/>
    </w:pPr>
    <w:rPr>
      <w:rFonts w:asciiTheme="minorHAnsi" w:hAnsiTheme="minorHAnsi"/>
      <w:sz w:val="20"/>
    </w:rPr>
  </w:style>
  <w:style w:type="paragraph" w:styleId="TOC8">
    <w:name w:val="toc 8"/>
    <w:basedOn w:val="Normal"/>
    <w:next w:val="Normal"/>
    <w:autoRedefine/>
    <w:rsid w:val="00251499"/>
    <w:pPr>
      <w:ind w:left="1540"/>
      <w:jc w:val="left"/>
    </w:pPr>
    <w:rPr>
      <w:rFonts w:asciiTheme="minorHAnsi" w:hAnsiTheme="minorHAnsi"/>
      <w:sz w:val="20"/>
    </w:rPr>
  </w:style>
  <w:style w:type="paragraph" w:styleId="TOC9">
    <w:name w:val="toc 9"/>
    <w:basedOn w:val="Normal"/>
    <w:next w:val="Normal"/>
    <w:autoRedefine/>
    <w:rsid w:val="00251499"/>
    <w:pPr>
      <w:ind w:left="1760"/>
      <w:jc w:val="left"/>
    </w:pPr>
    <w:rPr>
      <w:rFonts w:asciiTheme="minorHAnsi" w:hAnsiTheme="minorHAnsi"/>
      <w:sz w:val="20"/>
    </w:rPr>
  </w:style>
  <w:style w:type="paragraph" w:styleId="BodyText2">
    <w:name w:val="Body Text 2"/>
    <w:basedOn w:val="Normal"/>
    <w:link w:val="BodyText2Char"/>
    <w:rsid w:val="00251499"/>
    <w:pPr>
      <w:spacing w:after="120" w:line="480" w:lineRule="auto"/>
    </w:pPr>
  </w:style>
  <w:style w:type="character" w:customStyle="1" w:styleId="BodyText2Char">
    <w:name w:val="Body Text 2 Char"/>
    <w:basedOn w:val="DefaultParagraphFont"/>
    <w:link w:val="BodyText2"/>
    <w:rsid w:val="00251499"/>
    <w:rPr>
      <w:rFonts w:ascii="Arial" w:hAnsi="Arial" w:cs="Arial"/>
      <w:snapToGrid w:val="0"/>
      <w:sz w:val="22"/>
      <w:lang w:eastAsia="en-US"/>
    </w:rPr>
  </w:style>
  <w:style w:type="paragraph" w:styleId="CommentText">
    <w:name w:val="annotation text"/>
    <w:basedOn w:val="Normal"/>
    <w:link w:val="CommentTextChar"/>
    <w:uiPriority w:val="99"/>
    <w:rsid w:val="00251499"/>
    <w:rPr>
      <w:rFonts w:ascii="Times New Roman" w:hAnsi="Times New Roman" w:cs="Times New Roman"/>
      <w:sz w:val="20"/>
    </w:rPr>
  </w:style>
  <w:style w:type="character" w:customStyle="1" w:styleId="CommentTextChar">
    <w:name w:val="Comment Text Char"/>
    <w:basedOn w:val="DefaultParagraphFont"/>
    <w:link w:val="CommentText"/>
    <w:uiPriority w:val="99"/>
    <w:rsid w:val="00251499"/>
    <w:rPr>
      <w:snapToGrid w:val="0"/>
      <w:lang w:eastAsia="en-US"/>
    </w:rPr>
  </w:style>
  <w:style w:type="paragraph" w:customStyle="1" w:styleId="TableText0">
    <w:name w:val="TableText"/>
    <w:basedOn w:val="Normal"/>
    <w:rsid w:val="0025149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25149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251499"/>
    <w:pPr>
      <w:keepNext w:val="0"/>
      <w:keepLines/>
      <w:spacing w:before="0" w:after="360"/>
      <w:ind w:left="720"/>
    </w:pPr>
    <w:rPr>
      <w:sz w:val="18"/>
      <w:szCs w:val="18"/>
    </w:rPr>
  </w:style>
  <w:style w:type="paragraph" w:customStyle="1" w:styleId="TableNotes0">
    <w:name w:val="TableNotes+0"/>
    <w:basedOn w:val="TableNotes18"/>
    <w:rsid w:val="00251499"/>
    <w:pPr>
      <w:keepNext/>
      <w:spacing w:after="0"/>
    </w:pPr>
  </w:style>
  <w:style w:type="paragraph" w:styleId="CommentSubject">
    <w:name w:val="annotation subject"/>
    <w:basedOn w:val="CommentText"/>
    <w:next w:val="CommentText"/>
    <w:link w:val="CommentSubjectChar"/>
    <w:rsid w:val="00251499"/>
    <w:rPr>
      <w:rFonts w:ascii="Arial" w:hAnsi="Arial" w:cs="Arial"/>
      <w:b/>
      <w:bCs/>
    </w:rPr>
  </w:style>
  <w:style w:type="character" w:customStyle="1" w:styleId="CommentSubjectChar">
    <w:name w:val="Comment Subject Char"/>
    <w:basedOn w:val="CommentTextChar"/>
    <w:link w:val="CommentSubject"/>
    <w:rsid w:val="00251499"/>
    <w:rPr>
      <w:rFonts w:ascii="Arial" w:hAnsi="Arial" w:cs="Arial"/>
      <w:b/>
      <w:bCs/>
      <w:snapToGrid w:val="0"/>
      <w:lang w:eastAsia="en-US"/>
    </w:rPr>
  </w:style>
  <w:style w:type="paragraph" w:styleId="Revision">
    <w:name w:val="Revision"/>
    <w:hidden/>
    <w:uiPriority w:val="99"/>
    <w:semiHidden/>
    <w:rsid w:val="00251499"/>
    <w:rPr>
      <w:rFonts w:ascii="Arial" w:hAnsi="Arial" w:cs="Arial"/>
      <w:snapToGrid w:val="0"/>
      <w:sz w:val="22"/>
      <w:lang w:eastAsia="en-US"/>
    </w:rPr>
  </w:style>
  <w:style w:type="paragraph" w:styleId="BodyTextIndent">
    <w:name w:val="Body Text Indent"/>
    <w:basedOn w:val="Normal"/>
    <w:link w:val="BodyTextIndentChar"/>
    <w:rsid w:val="00251499"/>
    <w:pPr>
      <w:spacing w:after="120"/>
      <w:ind w:left="283"/>
    </w:pPr>
  </w:style>
  <w:style w:type="character" w:customStyle="1" w:styleId="BodyTextIndentChar">
    <w:name w:val="Body Text Indent Char"/>
    <w:basedOn w:val="DefaultParagraphFont"/>
    <w:link w:val="BodyTextIndent"/>
    <w:rsid w:val="00251499"/>
    <w:rPr>
      <w:rFonts w:ascii="Arial" w:hAnsi="Arial" w:cs="Arial"/>
      <w:snapToGrid w:val="0"/>
      <w:sz w:val="22"/>
      <w:lang w:eastAsia="en-US"/>
    </w:rPr>
  </w:style>
  <w:style w:type="paragraph" w:customStyle="1" w:styleId="Char1CharCharChar">
    <w:name w:val="Char1 Char Char Char"/>
    <w:basedOn w:val="Normal"/>
    <w:rsid w:val="00251499"/>
    <w:pPr>
      <w:widowControl/>
      <w:spacing w:after="160" w:line="240" w:lineRule="exact"/>
      <w:jc w:val="left"/>
    </w:pPr>
    <w:rPr>
      <w:rFonts w:ascii="Verdana" w:eastAsia="MS Mincho" w:hAnsi="Verdana" w:cs="Verdana"/>
      <w:snapToGrid/>
      <w:sz w:val="20"/>
      <w:lang w:val="en-US"/>
    </w:rPr>
  </w:style>
  <w:style w:type="character" w:customStyle="1" w:styleId="SubtitleChar1">
    <w:name w:val="Subtitle Char1"/>
    <w:basedOn w:val="DefaultParagraphFont"/>
    <w:rsid w:val="00251499"/>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251499"/>
    <w:rPr>
      <w:rFonts w:ascii="Arial" w:hAnsi="Arial" w:cs="Arial"/>
      <w:b/>
      <w:snapToGrid w:val="0"/>
      <w:sz w:val="22"/>
      <w:szCs w:val="22"/>
      <w:lang w:eastAsia="en-US"/>
    </w:rPr>
  </w:style>
  <w:style w:type="paragraph" w:customStyle="1" w:styleId="TableCentre">
    <w:name w:val="Table Centre"/>
    <w:basedOn w:val="Normal"/>
    <w:qFormat/>
    <w:rsid w:val="00251499"/>
    <w:pPr>
      <w:widowControl/>
      <w:jc w:val="center"/>
    </w:pPr>
    <w:rPr>
      <w:rFonts w:ascii="Candara" w:eastAsiaTheme="majorEastAsia" w:hAnsi="Candara" w:cstheme="majorBidi"/>
      <w:snapToGrid/>
      <w:sz w:val="20"/>
      <w:szCs w:val="22"/>
      <w:lang w:bidi="en-US"/>
    </w:rPr>
  </w:style>
  <w:style w:type="character" w:customStyle="1" w:styleId="ListParagraphChar">
    <w:name w:val="List Paragraph Char"/>
    <w:aliases w:val="BulletPoints Char"/>
    <w:basedOn w:val="DefaultParagraphFont"/>
    <w:link w:val="ListParagraph"/>
    <w:uiPriority w:val="72"/>
    <w:locked/>
    <w:rsid w:val="00251499"/>
    <w:rPr>
      <w:sz w:val="24"/>
      <w:szCs w:val="24"/>
      <w:lang w:eastAsia="en-US"/>
    </w:rPr>
  </w:style>
  <w:style w:type="character" w:customStyle="1" w:styleId="Small">
    <w:name w:val="Small"/>
    <w:basedOn w:val="DefaultParagraphFont"/>
    <w:uiPriority w:val="4"/>
    <w:qFormat/>
    <w:rsid w:val="00251499"/>
    <w:rPr>
      <w:rFonts w:ascii="Candara" w:hAnsi="Candara"/>
      <w:sz w:val="20"/>
    </w:rPr>
  </w:style>
  <w:style w:type="paragraph" w:customStyle="1" w:styleId="TableBullets">
    <w:name w:val="Table Bullets"/>
    <w:basedOn w:val="Normal"/>
    <w:uiPriority w:val="5"/>
    <w:qFormat/>
    <w:rsid w:val="00251499"/>
    <w:pPr>
      <w:widowControl/>
      <w:numPr>
        <w:numId w:val="2"/>
      </w:numPr>
      <w:ind w:left="357" w:hanging="357"/>
      <w:jc w:val="left"/>
    </w:pPr>
    <w:rPr>
      <w:rFonts w:ascii="Candara" w:eastAsiaTheme="majorEastAsia" w:hAnsi="Candara" w:cstheme="majorBidi"/>
      <w:snapToGrid/>
      <w:sz w:val="20"/>
      <w:szCs w:val="22"/>
      <w:lang w:bidi="en-US"/>
    </w:rPr>
  </w:style>
  <w:style w:type="paragraph" w:styleId="FootnoteText">
    <w:name w:val="footnote text"/>
    <w:basedOn w:val="Normal"/>
    <w:link w:val="FootnoteTextChar"/>
    <w:unhideWhenUsed/>
    <w:rsid w:val="00251499"/>
    <w:rPr>
      <w:sz w:val="20"/>
    </w:rPr>
  </w:style>
  <w:style w:type="character" w:customStyle="1" w:styleId="FootnoteTextChar">
    <w:name w:val="Footnote Text Char"/>
    <w:basedOn w:val="DefaultParagraphFont"/>
    <w:link w:val="FootnoteText"/>
    <w:rsid w:val="00251499"/>
    <w:rPr>
      <w:rFonts w:ascii="Arial" w:hAnsi="Arial" w:cs="Arial"/>
      <w:snapToGrid w:val="0"/>
      <w:lang w:eastAsia="en-US"/>
    </w:rPr>
  </w:style>
  <w:style w:type="character" w:styleId="FootnoteReference">
    <w:name w:val="footnote reference"/>
    <w:basedOn w:val="DefaultParagraphFont"/>
    <w:unhideWhenUsed/>
    <w:rsid w:val="00251499"/>
    <w:rPr>
      <w:vertAlign w:val="superscript"/>
    </w:rPr>
  </w:style>
  <w:style w:type="character" w:customStyle="1" w:styleId="Heading1Char">
    <w:name w:val="Heading 1 Char"/>
    <w:basedOn w:val="DefaultParagraphFont"/>
    <w:link w:val="Heading1"/>
    <w:rsid w:val="00251499"/>
    <w:rPr>
      <w:rFonts w:ascii="Arial" w:hAnsi="Arial" w:cs="Arial"/>
      <w:b/>
      <w:bCs/>
      <w:kern w:val="28"/>
      <w:sz w:val="28"/>
      <w:szCs w:val="3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51499"/>
    <w:pPr>
      <w:widowControl/>
      <w:spacing w:after="160" w:line="240" w:lineRule="exact"/>
      <w:jc w:val="left"/>
    </w:pPr>
    <w:rPr>
      <w:rFonts w:ascii="Verdana" w:eastAsia="MS Mincho" w:hAnsi="Verdana" w:cs="Verdana"/>
      <w:snapToGrid/>
      <w:sz w:val="20"/>
      <w:lang w:val="en-US"/>
    </w:rPr>
  </w:style>
  <w:style w:type="paragraph" w:customStyle="1" w:styleId="Table">
    <w:name w:val="Table"/>
    <w:basedOn w:val="Normal"/>
    <w:link w:val="TableChar"/>
    <w:qFormat/>
    <w:rsid w:val="00C16921"/>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C16921"/>
    <w:rPr>
      <w:rFonts w:ascii="Candara" w:eastAsiaTheme="majorEastAsia" w:hAnsi="Candara" w:cstheme="majorBidi"/>
      <w:szCs w:val="22"/>
      <w:lang w:eastAsia="en-US" w:bidi="en-US"/>
    </w:rPr>
  </w:style>
  <w:style w:type="character" w:customStyle="1" w:styleId="SmallBold">
    <w:name w:val="Small Bold"/>
    <w:basedOn w:val="Small"/>
    <w:uiPriority w:val="4"/>
    <w:qFormat/>
    <w:rsid w:val="00C16921"/>
    <w:rPr>
      <w:rFonts w:ascii="Candara" w:hAnsi="Candara"/>
      <w:b/>
      <w:sz w:val="20"/>
      <w:lang w:val="en-AU"/>
    </w:rPr>
  </w:style>
  <w:style w:type="character" w:customStyle="1" w:styleId="drug-name3">
    <w:name w:val="drug-name3"/>
    <w:basedOn w:val="DefaultParagraphFont"/>
    <w:rsid w:val="00443CF6"/>
    <w:rPr>
      <w:sz w:val="23"/>
      <w:szCs w:val="23"/>
    </w:rPr>
  </w:style>
  <w:style w:type="character" w:customStyle="1" w:styleId="form-strength">
    <w:name w:val="form-strength"/>
    <w:basedOn w:val="DefaultParagraphFont"/>
    <w:rsid w:val="00443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F058A-2A58-4BBD-8008-091CA8C0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2018-06-20T06:13:00Z</dcterms:created>
  <dcterms:modified xsi:type="dcterms:W3CDTF">2018-06-20T06:14:00Z</dcterms:modified>
</cp:coreProperties>
</file>