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933" w:rsidRPr="006B13D0" w:rsidRDefault="00191E02" w:rsidP="00D849EA">
      <w:pPr>
        <w:pStyle w:val="Heading1"/>
        <w:widowControl/>
        <w:jc w:val="left"/>
        <w:rPr>
          <w:caps w:val="0"/>
          <w:sz w:val="28"/>
        </w:rPr>
      </w:pPr>
      <w:bookmarkStart w:id="0" w:name="_Toc461555452"/>
      <w:r>
        <w:rPr>
          <w:sz w:val="28"/>
        </w:rPr>
        <w:t>7</w:t>
      </w:r>
      <w:r w:rsidR="00734933" w:rsidRPr="00577717">
        <w:rPr>
          <w:sz w:val="28"/>
        </w:rPr>
        <w:t>.</w:t>
      </w:r>
      <w:r>
        <w:rPr>
          <w:sz w:val="28"/>
        </w:rPr>
        <w:t>10</w:t>
      </w:r>
      <w:r w:rsidR="00734933" w:rsidRPr="00577717">
        <w:rPr>
          <w:sz w:val="28"/>
        </w:rPr>
        <w:tab/>
      </w:r>
      <w:r w:rsidR="00734933">
        <w:rPr>
          <w:sz w:val="28"/>
        </w:rPr>
        <w:t>SOMATROPIN</w:t>
      </w:r>
      <w:proofErr w:type="gramStart"/>
      <w:r w:rsidR="00734933">
        <w:rPr>
          <w:sz w:val="28"/>
        </w:rPr>
        <w:t>,</w:t>
      </w:r>
      <w:proofErr w:type="gramEnd"/>
      <w:r w:rsidR="00570183">
        <w:rPr>
          <w:sz w:val="28"/>
        </w:rPr>
        <w:br/>
      </w:r>
      <w:r w:rsidR="00F33E33">
        <w:rPr>
          <w:caps w:val="0"/>
          <w:sz w:val="28"/>
        </w:rPr>
        <w:t>Multiple</w:t>
      </w:r>
      <w:r w:rsidR="00F33E33" w:rsidRPr="006B13D0">
        <w:rPr>
          <w:caps w:val="0"/>
          <w:sz w:val="28"/>
        </w:rPr>
        <w:t xml:space="preserve"> </w:t>
      </w:r>
      <w:r w:rsidR="006B13D0" w:rsidRPr="006B13D0">
        <w:rPr>
          <w:caps w:val="0"/>
          <w:sz w:val="28"/>
        </w:rPr>
        <w:t>forms and strengths</w:t>
      </w:r>
      <w:r w:rsidR="006B13D0">
        <w:rPr>
          <w:caps w:val="0"/>
          <w:sz w:val="28"/>
        </w:rPr>
        <w:t xml:space="preserve">, </w:t>
      </w:r>
      <w:r w:rsidR="00F33E33">
        <w:rPr>
          <w:caps w:val="0"/>
          <w:sz w:val="28"/>
        </w:rPr>
        <w:t>Multiple</w:t>
      </w:r>
      <w:r w:rsidR="00F33E33" w:rsidRPr="006B13D0">
        <w:rPr>
          <w:caps w:val="0"/>
          <w:sz w:val="28"/>
        </w:rPr>
        <w:t xml:space="preserve"> </w:t>
      </w:r>
      <w:r w:rsidR="006B13D0" w:rsidRPr="006B13D0">
        <w:rPr>
          <w:caps w:val="0"/>
          <w:sz w:val="28"/>
        </w:rPr>
        <w:t>brands</w:t>
      </w:r>
      <w:r w:rsidR="00D3347A">
        <w:rPr>
          <w:caps w:val="0"/>
          <w:sz w:val="28"/>
        </w:rPr>
        <w:t>,</w:t>
      </w:r>
      <w:r w:rsidR="00570183">
        <w:rPr>
          <w:caps w:val="0"/>
          <w:sz w:val="28"/>
        </w:rPr>
        <w:br/>
      </w:r>
      <w:r w:rsidR="006B13D0" w:rsidRPr="006B13D0">
        <w:rPr>
          <w:caps w:val="0"/>
          <w:sz w:val="28"/>
        </w:rPr>
        <w:t>Endocrine Society of Australia</w:t>
      </w:r>
      <w:r w:rsidR="006B13D0">
        <w:rPr>
          <w:caps w:val="0"/>
          <w:sz w:val="28"/>
        </w:rPr>
        <w:t xml:space="preserve">, </w:t>
      </w:r>
      <w:r w:rsidR="006B13D0" w:rsidRPr="006B13D0">
        <w:rPr>
          <w:caps w:val="0"/>
          <w:sz w:val="28"/>
        </w:rPr>
        <w:t>Australian Paediatric Endocrine Group</w:t>
      </w:r>
      <w:bookmarkEnd w:id="0"/>
    </w:p>
    <w:p w:rsidR="008F69E1" w:rsidRDefault="008F69E1" w:rsidP="00D849EA">
      <w:pPr>
        <w:widowControl/>
      </w:pPr>
    </w:p>
    <w:p w:rsidR="00577285" w:rsidRPr="006D6EC7" w:rsidRDefault="00577285" w:rsidP="00D849EA">
      <w:pPr>
        <w:widowControl/>
      </w:pPr>
    </w:p>
    <w:p w:rsidR="00734933" w:rsidRPr="00407F2D" w:rsidRDefault="00734933" w:rsidP="00D849EA">
      <w:pPr>
        <w:pStyle w:val="PBACheading1"/>
        <w:keepNext/>
        <w:rPr>
          <w:b/>
        </w:rPr>
      </w:pPr>
      <w:bookmarkStart w:id="1" w:name="_Toc461555454"/>
      <w:r w:rsidRPr="00407F2D">
        <w:rPr>
          <w:b/>
        </w:rPr>
        <w:t>Purpose of Application</w:t>
      </w:r>
      <w:bookmarkEnd w:id="1"/>
    </w:p>
    <w:p w:rsidR="00734933" w:rsidRPr="00882085" w:rsidRDefault="00734933" w:rsidP="00D849EA">
      <w:pPr>
        <w:keepNext/>
        <w:widowControl/>
        <w:rPr>
          <w:szCs w:val="22"/>
        </w:rPr>
      </w:pPr>
    </w:p>
    <w:p w:rsidR="00734933" w:rsidRPr="00457FA1" w:rsidRDefault="00734933" w:rsidP="00E66A39">
      <w:pPr>
        <w:pStyle w:val="ListParagraph"/>
        <w:widowControl/>
        <w:numPr>
          <w:ilvl w:val="1"/>
          <w:numId w:val="2"/>
        </w:numPr>
      </w:pPr>
      <w:r w:rsidRPr="006303AE">
        <w:t xml:space="preserve">Section 100 (PBS Growth Hormone Program) listing for </w:t>
      </w:r>
      <w:proofErr w:type="spellStart"/>
      <w:r w:rsidRPr="006303AE">
        <w:t>somatropin</w:t>
      </w:r>
      <w:proofErr w:type="spellEnd"/>
      <w:r w:rsidRPr="006303AE">
        <w:t xml:space="preserve"> for treatment of adults with severe growth hormone deficiency (GHD) and substantially impaired quality of life (</w:t>
      </w:r>
      <w:proofErr w:type="spellStart"/>
      <w:r w:rsidRPr="006303AE">
        <w:t>QoL</w:t>
      </w:r>
      <w:proofErr w:type="spellEnd"/>
      <w:r w:rsidRPr="006303AE">
        <w:t xml:space="preserve">) at baseline. This </w:t>
      </w:r>
      <w:r w:rsidR="00014970" w:rsidRPr="006303AE">
        <w:t>resubmission</w:t>
      </w:r>
      <w:r w:rsidRPr="006303AE">
        <w:t xml:space="preserve"> was based on the submission in July 2011. The first submission was reviewed and rejected in December 2001 (Eli</w:t>
      </w:r>
      <w:r w:rsidRPr="00F07F0D">
        <w:t xml:space="preserve"> Lilly Australia Pty Ltd). The second </w:t>
      </w:r>
      <w:r w:rsidR="00014970">
        <w:t>resubmission</w:t>
      </w:r>
      <w:r w:rsidRPr="00F07F0D">
        <w:t xml:space="preserve"> was reviewed and rejected in </w:t>
      </w:r>
      <w:r w:rsidRPr="00457FA1">
        <w:t>July</w:t>
      </w:r>
      <w:r w:rsidR="00E35D56" w:rsidRPr="00457FA1">
        <w:t> </w:t>
      </w:r>
      <w:r w:rsidRPr="00457FA1">
        <w:t>2011 (Pfizer Australia Pty Ltd)</w:t>
      </w:r>
      <w:r w:rsidR="00FE4B8D" w:rsidRPr="00457FA1">
        <w:t xml:space="preserve">, on the basis of uncertain clinical benefit and highly uncertain cost-effectiveness (PSD, July 2011, </w:t>
      </w:r>
      <w:proofErr w:type="spellStart"/>
      <w:r w:rsidR="00FE4B8D" w:rsidRPr="00457FA1">
        <w:t>somatropin</w:t>
      </w:r>
      <w:proofErr w:type="spellEnd"/>
      <w:r w:rsidR="00FE4B8D" w:rsidRPr="00457FA1">
        <w:t>, p11, paragraph 12)</w:t>
      </w:r>
      <w:r w:rsidRPr="00457FA1">
        <w:t>.</w:t>
      </w:r>
    </w:p>
    <w:p w:rsidR="00734933" w:rsidRDefault="00734933" w:rsidP="00D849EA">
      <w:pPr>
        <w:widowControl/>
      </w:pPr>
    </w:p>
    <w:p w:rsidR="00FE4B8D" w:rsidRPr="00882085" w:rsidRDefault="00FE4B8D" w:rsidP="00D849EA">
      <w:pPr>
        <w:widowControl/>
      </w:pPr>
    </w:p>
    <w:p w:rsidR="00734933" w:rsidRPr="00407F2D" w:rsidRDefault="00734933" w:rsidP="00D849EA">
      <w:pPr>
        <w:pStyle w:val="PBACheading1"/>
        <w:rPr>
          <w:b/>
        </w:rPr>
      </w:pPr>
      <w:bookmarkStart w:id="2" w:name="_Toc461555455"/>
      <w:r w:rsidRPr="00407F2D">
        <w:rPr>
          <w:b/>
        </w:rPr>
        <w:t>Requested listing</w:t>
      </w:r>
      <w:bookmarkEnd w:id="2"/>
    </w:p>
    <w:p w:rsidR="00811D0D" w:rsidRDefault="00811D0D" w:rsidP="00D849EA">
      <w:pPr>
        <w:widowControl/>
        <w:ind w:left="720"/>
        <w:rPr>
          <w:u w:val="single"/>
        </w:rPr>
      </w:pPr>
    </w:p>
    <w:p w:rsidR="000C6403" w:rsidRPr="00016D2C" w:rsidRDefault="000C6403" w:rsidP="00E66A39">
      <w:pPr>
        <w:pStyle w:val="ListParagraph"/>
        <w:widowControl/>
        <w:numPr>
          <w:ilvl w:val="1"/>
          <w:numId w:val="3"/>
        </w:numPr>
      </w:pPr>
      <w:r w:rsidRPr="00016D2C">
        <w:t xml:space="preserve">The resubmission requested a Section 100 (PBS Growth Hormone Program) </w:t>
      </w:r>
      <w:r w:rsidR="002A4907" w:rsidRPr="00016D2C">
        <w:t>listing.</w:t>
      </w:r>
    </w:p>
    <w:p w:rsidR="00734933" w:rsidRPr="00D62427" w:rsidRDefault="00734933" w:rsidP="000C6403">
      <w:pPr>
        <w:pStyle w:val="ListParagraph"/>
        <w:widowControl/>
        <w:rPr>
          <w:u w:val="single"/>
        </w:rPr>
      </w:pPr>
    </w:p>
    <w:tbl>
      <w:tblPr>
        <w:tblW w:w="4604" w:type="pct"/>
        <w:tblInd w:w="737" w:type="dxa"/>
        <w:tblCellMar>
          <w:left w:w="28" w:type="dxa"/>
          <w:right w:w="28" w:type="dxa"/>
        </w:tblCellMar>
        <w:tblLook w:val="04A0" w:firstRow="1" w:lastRow="0" w:firstColumn="1" w:lastColumn="0" w:noHBand="0" w:noVBand="1"/>
      </w:tblPr>
      <w:tblGrid>
        <w:gridCol w:w="2129"/>
        <w:gridCol w:w="994"/>
        <w:gridCol w:w="856"/>
        <w:gridCol w:w="843"/>
        <w:gridCol w:w="850"/>
        <w:gridCol w:w="2691"/>
      </w:tblGrid>
      <w:tr w:rsidR="00734933" w:rsidRPr="00E14AAB" w:rsidTr="00F555AD">
        <w:trPr>
          <w:trHeight w:val="208"/>
          <w:tblHeader/>
        </w:trPr>
        <w:tc>
          <w:tcPr>
            <w:tcW w:w="1272" w:type="pct"/>
            <w:tcBorders>
              <w:bottom w:val="single" w:sz="4" w:space="0" w:color="auto"/>
            </w:tcBorders>
            <w:shd w:val="clear" w:color="auto" w:fill="auto"/>
            <w:vAlign w:val="center"/>
            <w:hideMark/>
          </w:tcPr>
          <w:p w:rsidR="00734933" w:rsidRPr="00E14AAB" w:rsidRDefault="00734933" w:rsidP="00D849EA">
            <w:pPr>
              <w:keepNext/>
              <w:widowControl/>
              <w:rPr>
                <w:rFonts w:ascii="Arial Narrow" w:hAnsi="Arial Narrow"/>
                <w:b/>
                <w:sz w:val="20"/>
              </w:rPr>
            </w:pPr>
            <w:r w:rsidRPr="00E14AAB">
              <w:rPr>
                <w:rFonts w:ascii="Arial Narrow" w:hAnsi="Arial Narrow"/>
                <w:b/>
                <w:sz w:val="20"/>
              </w:rPr>
              <w:t>Name, Restriction,</w:t>
            </w:r>
          </w:p>
          <w:p w:rsidR="00734933" w:rsidRPr="00E14AAB" w:rsidRDefault="00734933" w:rsidP="00D849EA">
            <w:pPr>
              <w:keepNext/>
              <w:widowControl/>
              <w:rPr>
                <w:rFonts w:ascii="Arial Narrow" w:eastAsia="Calibri" w:hAnsi="Arial Narrow" w:cs="Calibri"/>
                <w:b/>
                <w:snapToGrid/>
                <w:sz w:val="20"/>
              </w:rPr>
            </w:pPr>
            <w:r w:rsidRPr="00E14AAB">
              <w:rPr>
                <w:rFonts w:ascii="Arial Narrow" w:hAnsi="Arial Narrow"/>
                <w:b/>
                <w:sz w:val="20"/>
              </w:rPr>
              <w:t>Manner of administration and form</w:t>
            </w:r>
            <w:r w:rsidRPr="00E14AAB">
              <w:rPr>
                <w:rFonts w:ascii="Arial Narrow" w:eastAsia="Calibri" w:hAnsi="Arial Narrow" w:cs="Calibri"/>
                <w:b/>
                <w:snapToGrid/>
                <w:sz w:val="20"/>
              </w:rPr>
              <w:t xml:space="preserve"> </w:t>
            </w:r>
          </w:p>
        </w:tc>
        <w:tc>
          <w:tcPr>
            <w:tcW w:w="594" w:type="pct"/>
            <w:tcBorders>
              <w:bottom w:val="single" w:sz="4" w:space="0" w:color="auto"/>
            </w:tcBorders>
            <w:vAlign w:val="center"/>
          </w:tcPr>
          <w:p w:rsidR="00734933" w:rsidRPr="00E14AAB" w:rsidRDefault="00734933" w:rsidP="00D849EA">
            <w:pPr>
              <w:keepNext/>
              <w:widowControl/>
              <w:jc w:val="center"/>
              <w:rPr>
                <w:rFonts w:ascii="Arial Narrow" w:hAnsi="Arial Narrow"/>
                <w:b/>
                <w:sz w:val="20"/>
              </w:rPr>
            </w:pPr>
            <w:r w:rsidRPr="00E14AAB">
              <w:rPr>
                <w:rFonts w:ascii="Arial Narrow" w:hAnsi="Arial Narrow"/>
                <w:b/>
                <w:sz w:val="20"/>
              </w:rPr>
              <w:t>Strength(s)</w:t>
            </w:r>
          </w:p>
        </w:tc>
        <w:tc>
          <w:tcPr>
            <w:tcW w:w="512" w:type="pct"/>
            <w:tcBorders>
              <w:bottom w:val="single" w:sz="4" w:space="0" w:color="auto"/>
            </w:tcBorders>
            <w:vAlign w:val="center"/>
          </w:tcPr>
          <w:p w:rsidR="00734933" w:rsidRPr="00E14AAB" w:rsidRDefault="00734933" w:rsidP="00D849EA">
            <w:pPr>
              <w:keepNext/>
              <w:widowControl/>
              <w:jc w:val="center"/>
              <w:rPr>
                <w:rFonts w:ascii="Arial Narrow" w:hAnsi="Arial Narrow"/>
                <w:b/>
                <w:sz w:val="20"/>
              </w:rPr>
            </w:pPr>
            <w:r w:rsidRPr="00E14AAB">
              <w:rPr>
                <w:rFonts w:ascii="Arial Narrow" w:hAnsi="Arial Narrow"/>
                <w:b/>
                <w:sz w:val="20"/>
              </w:rPr>
              <w:t>Pack quantity</w:t>
            </w:r>
          </w:p>
        </w:tc>
        <w:tc>
          <w:tcPr>
            <w:tcW w:w="504" w:type="pct"/>
            <w:tcBorders>
              <w:bottom w:val="single" w:sz="4" w:space="0" w:color="auto"/>
            </w:tcBorders>
            <w:shd w:val="clear" w:color="auto" w:fill="auto"/>
            <w:vAlign w:val="center"/>
            <w:hideMark/>
          </w:tcPr>
          <w:p w:rsidR="00734933" w:rsidRPr="00E14AAB" w:rsidRDefault="00734933" w:rsidP="00D849EA">
            <w:pPr>
              <w:keepNext/>
              <w:widowControl/>
              <w:jc w:val="center"/>
              <w:rPr>
                <w:rFonts w:ascii="Arial Narrow" w:hAnsi="Arial Narrow"/>
                <w:b/>
                <w:sz w:val="20"/>
              </w:rPr>
            </w:pPr>
            <w:r w:rsidRPr="00E14AAB">
              <w:rPr>
                <w:rFonts w:ascii="Arial Narrow" w:hAnsi="Arial Narrow"/>
                <w:b/>
                <w:sz w:val="20"/>
              </w:rPr>
              <w:t>DPMQ</w:t>
            </w:r>
          </w:p>
        </w:tc>
        <w:tc>
          <w:tcPr>
            <w:tcW w:w="508" w:type="pct"/>
            <w:tcBorders>
              <w:bottom w:val="single" w:sz="4" w:space="0" w:color="auto"/>
            </w:tcBorders>
          </w:tcPr>
          <w:p w:rsidR="00734933" w:rsidRPr="00E14AAB" w:rsidRDefault="00734933" w:rsidP="00D849EA">
            <w:pPr>
              <w:keepNext/>
              <w:widowControl/>
              <w:jc w:val="center"/>
              <w:rPr>
                <w:rFonts w:ascii="Arial Narrow" w:hAnsi="Arial Narrow"/>
                <w:b/>
                <w:sz w:val="20"/>
              </w:rPr>
            </w:pPr>
            <w:r w:rsidRPr="00E14AAB">
              <w:rPr>
                <w:rFonts w:ascii="Arial Narrow" w:hAnsi="Arial Narrow"/>
                <w:b/>
                <w:sz w:val="20"/>
              </w:rPr>
              <w:t>Brand name</w:t>
            </w:r>
          </w:p>
        </w:tc>
        <w:tc>
          <w:tcPr>
            <w:tcW w:w="1609" w:type="pct"/>
            <w:tcBorders>
              <w:bottom w:val="single" w:sz="4" w:space="0" w:color="auto"/>
            </w:tcBorders>
          </w:tcPr>
          <w:p w:rsidR="00734933" w:rsidRPr="00E14AAB" w:rsidRDefault="00734933" w:rsidP="00D849EA">
            <w:pPr>
              <w:keepNext/>
              <w:widowControl/>
              <w:jc w:val="center"/>
              <w:rPr>
                <w:rFonts w:ascii="Arial Narrow" w:hAnsi="Arial Narrow"/>
                <w:b/>
                <w:sz w:val="20"/>
              </w:rPr>
            </w:pPr>
            <w:r w:rsidRPr="00E14AAB">
              <w:rPr>
                <w:rFonts w:ascii="Arial Narrow" w:hAnsi="Arial Narrow"/>
                <w:b/>
                <w:sz w:val="20"/>
              </w:rPr>
              <w:t>Sponsor</w:t>
            </w:r>
            <w:r w:rsidR="00307A42">
              <w:rPr>
                <w:rFonts w:ascii="Arial Narrow" w:hAnsi="Arial Narrow"/>
                <w:b/>
                <w:sz w:val="20"/>
              </w:rPr>
              <w:t>s</w:t>
            </w:r>
          </w:p>
        </w:tc>
      </w:tr>
      <w:tr w:rsidR="00734933" w:rsidRPr="00E14AAB" w:rsidTr="00F555AD">
        <w:trPr>
          <w:trHeight w:val="208"/>
          <w:tblHeader/>
        </w:trPr>
        <w:tc>
          <w:tcPr>
            <w:tcW w:w="1272" w:type="pct"/>
            <w:tcBorders>
              <w:top w:val="single" w:sz="4" w:space="0" w:color="auto"/>
            </w:tcBorders>
            <w:shd w:val="clear" w:color="auto" w:fill="auto"/>
            <w:vAlign w:val="center"/>
          </w:tcPr>
          <w:p w:rsidR="00734933" w:rsidRPr="00E14AAB" w:rsidRDefault="00734933" w:rsidP="00D849EA">
            <w:pPr>
              <w:keepNext/>
              <w:widowControl/>
              <w:spacing w:after="20"/>
              <w:ind w:right="113"/>
              <w:jc w:val="left"/>
              <w:rPr>
                <w:rFonts w:ascii="Arial Narrow" w:eastAsia="Calibri" w:hAnsi="Arial Narrow" w:cs="Calibri"/>
                <w:snapToGrid/>
                <w:sz w:val="20"/>
              </w:rPr>
            </w:pPr>
            <w:proofErr w:type="spellStart"/>
            <w:r w:rsidRPr="00E14AAB">
              <w:rPr>
                <w:rFonts w:ascii="Arial Narrow" w:eastAsia="Calibri" w:hAnsi="Arial Narrow" w:cs="Calibri"/>
                <w:snapToGrid/>
                <w:sz w:val="20"/>
              </w:rPr>
              <w:t>Somatropin</w:t>
            </w:r>
            <w:proofErr w:type="spellEnd"/>
            <w:r w:rsidRPr="00E14AAB">
              <w:rPr>
                <w:rFonts w:ascii="Arial Narrow" w:eastAsia="Calibri" w:hAnsi="Arial Narrow" w:cs="Calibri"/>
                <w:snapToGrid/>
                <w:sz w:val="20"/>
              </w:rPr>
              <w:t xml:space="preserve"> (Recombinant human growth hormone)</w:t>
            </w:r>
          </w:p>
        </w:tc>
        <w:tc>
          <w:tcPr>
            <w:tcW w:w="594" w:type="pct"/>
            <w:tcBorders>
              <w:top w:val="single" w:sz="4" w:space="0" w:color="auto"/>
            </w:tcBorders>
            <w:vAlign w:val="center"/>
          </w:tcPr>
          <w:p w:rsidR="00734933" w:rsidRPr="00E14AAB" w:rsidRDefault="00307A42" w:rsidP="00D849EA">
            <w:pPr>
              <w:keepNext/>
              <w:widowControl/>
              <w:spacing w:after="20"/>
              <w:ind w:left="113" w:right="113"/>
              <w:jc w:val="left"/>
              <w:rPr>
                <w:rFonts w:ascii="Arial Narrow" w:eastAsia="Calibri" w:hAnsi="Arial Narrow" w:cs="Calibri"/>
                <w:snapToGrid/>
                <w:sz w:val="20"/>
              </w:rPr>
            </w:pPr>
            <w:r>
              <w:rPr>
                <w:rFonts w:ascii="Arial Narrow" w:eastAsia="Calibri" w:hAnsi="Arial Narrow" w:cs="Calibri"/>
                <w:snapToGrid/>
                <w:sz w:val="20"/>
              </w:rPr>
              <w:t>Multiple</w:t>
            </w:r>
          </w:p>
        </w:tc>
        <w:tc>
          <w:tcPr>
            <w:tcW w:w="512" w:type="pct"/>
            <w:tcBorders>
              <w:top w:val="single" w:sz="4" w:space="0" w:color="auto"/>
            </w:tcBorders>
            <w:vAlign w:val="center"/>
          </w:tcPr>
          <w:p w:rsidR="00734933" w:rsidRPr="00E14AAB" w:rsidRDefault="00307A42" w:rsidP="00D849EA">
            <w:pPr>
              <w:keepNext/>
              <w:widowControl/>
              <w:spacing w:after="20"/>
              <w:ind w:left="113" w:right="113"/>
              <w:jc w:val="left"/>
              <w:rPr>
                <w:rFonts w:ascii="Arial Narrow" w:eastAsia="Calibri" w:hAnsi="Arial Narrow" w:cs="Calibri"/>
                <w:snapToGrid/>
                <w:sz w:val="20"/>
              </w:rPr>
            </w:pPr>
            <w:r>
              <w:rPr>
                <w:rFonts w:ascii="Arial Narrow" w:eastAsia="Calibri" w:hAnsi="Arial Narrow" w:cs="Calibri"/>
                <w:snapToGrid/>
                <w:sz w:val="20"/>
              </w:rPr>
              <w:t>Multiple</w:t>
            </w:r>
          </w:p>
        </w:tc>
        <w:tc>
          <w:tcPr>
            <w:tcW w:w="504" w:type="pct"/>
            <w:tcBorders>
              <w:top w:val="single" w:sz="4" w:space="0" w:color="auto"/>
            </w:tcBorders>
            <w:shd w:val="clear" w:color="auto" w:fill="auto"/>
            <w:vAlign w:val="center"/>
          </w:tcPr>
          <w:p w:rsidR="00734933" w:rsidRPr="00E14AAB" w:rsidRDefault="00734933" w:rsidP="00D849EA">
            <w:pPr>
              <w:keepNext/>
              <w:widowControl/>
              <w:spacing w:after="20"/>
              <w:ind w:left="113" w:right="113"/>
              <w:jc w:val="center"/>
              <w:rPr>
                <w:rFonts w:ascii="Arial Narrow" w:eastAsia="Calibri" w:hAnsi="Arial Narrow" w:cs="Calibri"/>
                <w:snapToGrid/>
                <w:sz w:val="20"/>
              </w:rPr>
            </w:pPr>
            <w:r>
              <w:rPr>
                <w:rFonts w:ascii="Arial Narrow" w:eastAsia="Calibri" w:hAnsi="Arial Narrow" w:cs="Calibri"/>
                <w:snapToGrid/>
                <w:sz w:val="20"/>
              </w:rPr>
              <w:t>$44.10 per mg</w:t>
            </w:r>
          </w:p>
        </w:tc>
        <w:tc>
          <w:tcPr>
            <w:tcW w:w="508" w:type="pct"/>
            <w:tcBorders>
              <w:top w:val="single" w:sz="4" w:space="0" w:color="auto"/>
            </w:tcBorders>
            <w:vAlign w:val="center"/>
          </w:tcPr>
          <w:p w:rsidR="00734933" w:rsidRPr="00E14AAB" w:rsidRDefault="00307A42" w:rsidP="00D849EA">
            <w:pPr>
              <w:keepNext/>
              <w:widowControl/>
              <w:spacing w:after="20"/>
              <w:ind w:left="113" w:right="113"/>
              <w:jc w:val="center"/>
              <w:rPr>
                <w:rFonts w:ascii="Arial Narrow" w:eastAsia="Calibri" w:hAnsi="Arial Narrow" w:cs="Calibri"/>
                <w:snapToGrid/>
                <w:sz w:val="20"/>
              </w:rPr>
            </w:pPr>
            <w:r>
              <w:rPr>
                <w:rFonts w:ascii="Arial Narrow" w:eastAsia="Calibri" w:hAnsi="Arial Narrow" w:cs="Calibri"/>
                <w:snapToGrid/>
                <w:sz w:val="20"/>
              </w:rPr>
              <w:t>Multiple</w:t>
            </w:r>
          </w:p>
        </w:tc>
        <w:tc>
          <w:tcPr>
            <w:tcW w:w="1609" w:type="pct"/>
            <w:tcBorders>
              <w:top w:val="single" w:sz="4" w:space="0" w:color="auto"/>
            </w:tcBorders>
          </w:tcPr>
          <w:p w:rsidR="00734933" w:rsidRDefault="00734933" w:rsidP="00D849EA">
            <w:pPr>
              <w:keepNext/>
              <w:widowControl/>
              <w:spacing w:after="20"/>
              <w:ind w:left="113" w:right="113"/>
              <w:jc w:val="center"/>
              <w:rPr>
                <w:rFonts w:ascii="Arial Narrow" w:eastAsia="Calibri" w:hAnsi="Arial Narrow" w:cs="Calibri"/>
                <w:snapToGrid/>
                <w:sz w:val="20"/>
              </w:rPr>
            </w:pPr>
            <w:r w:rsidRPr="00E14AAB">
              <w:rPr>
                <w:rFonts w:ascii="Arial Narrow" w:eastAsia="Calibri" w:hAnsi="Arial Narrow" w:cs="Calibri"/>
                <w:snapToGrid/>
                <w:sz w:val="20"/>
              </w:rPr>
              <w:t>Pfizer Australia Pty Ltd</w:t>
            </w:r>
            <w:r>
              <w:rPr>
                <w:rFonts w:ascii="Arial Narrow" w:eastAsia="Calibri" w:hAnsi="Arial Narrow" w:cs="Calibri"/>
                <w:snapToGrid/>
                <w:sz w:val="20"/>
              </w:rPr>
              <w:t>;</w:t>
            </w:r>
            <w:r w:rsidRPr="00E14AAB">
              <w:rPr>
                <w:rFonts w:ascii="Arial Narrow" w:eastAsia="Calibri" w:hAnsi="Arial Narrow" w:cs="Calibri"/>
                <w:snapToGrid/>
                <w:sz w:val="20"/>
              </w:rPr>
              <w:t xml:space="preserve"> </w:t>
            </w:r>
          </w:p>
          <w:p w:rsidR="00734933" w:rsidRDefault="00734933" w:rsidP="00D849EA">
            <w:pPr>
              <w:keepNext/>
              <w:widowControl/>
              <w:spacing w:after="20"/>
              <w:ind w:left="113" w:right="113"/>
              <w:jc w:val="center"/>
              <w:rPr>
                <w:rFonts w:ascii="Arial Narrow" w:eastAsia="Calibri" w:hAnsi="Arial Narrow" w:cs="Calibri"/>
                <w:snapToGrid/>
                <w:sz w:val="20"/>
              </w:rPr>
            </w:pPr>
            <w:r w:rsidRPr="00E14AAB">
              <w:rPr>
                <w:rFonts w:ascii="Arial Narrow" w:eastAsia="Calibri" w:hAnsi="Arial Narrow" w:cs="Calibri"/>
                <w:snapToGrid/>
                <w:sz w:val="20"/>
              </w:rPr>
              <w:t>Eli Lilly Australia Pty Ltd</w:t>
            </w:r>
            <w:r>
              <w:rPr>
                <w:rFonts w:ascii="Arial Narrow" w:eastAsia="Calibri" w:hAnsi="Arial Narrow" w:cs="Calibri"/>
                <w:snapToGrid/>
                <w:sz w:val="20"/>
              </w:rPr>
              <w:t xml:space="preserve">; </w:t>
            </w:r>
            <w:r w:rsidRPr="00E14AAB">
              <w:rPr>
                <w:rFonts w:ascii="Arial Narrow" w:eastAsia="Calibri" w:hAnsi="Arial Narrow" w:cs="Calibri"/>
                <w:snapToGrid/>
                <w:sz w:val="20"/>
              </w:rPr>
              <w:t>Novo Nordisk Pharmaceuticals Pty Limited</w:t>
            </w:r>
            <w:r>
              <w:rPr>
                <w:rFonts w:ascii="Arial Narrow" w:eastAsia="Calibri" w:hAnsi="Arial Narrow" w:cs="Calibri"/>
                <w:snapToGrid/>
                <w:sz w:val="20"/>
              </w:rPr>
              <w:t xml:space="preserve">; </w:t>
            </w:r>
          </w:p>
          <w:p w:rsidR="00734933" w:rsidRDefault="00734933" w:rsidP="00D849EA">
            <w:pPr>
              <w:keepNext/>
              <w:widowControl/>
              <w:spacing w:after="20"/>
              <w:ind w:left="113" w:right="113"/>
              <w:jc w:val="center"/>
              <w:rPr>
                <w:rFonts w:ascii="Arial Narrow" w:eastAsia="Calibri" w:hAnsi="Arial Narrow" w:cs="Calibri"/>
                <w:snapToGrid/>
                <w:sz w:val="20"/>
              </w:rPr>
            </w:pPr>
            <w:proofErr w:type="spellStart"/>
            <w:r w:rsidRPr="00E14AAB">
              <w:rPr>
                <w:rFonts w:ascii="Arial Narrow" w:eastAsia="Calibri" w:hAnsi="Arial Narrow" w:cs="Calibri"/>
                <w:snapToGrid/>
                <w:sz w:val="20"/>
              </w:rPr>
              <w:t>Ipsen</w:t>
            </w:r>
            <w:proofErr w:type="spellEnd"/>
            <w:r w:rsidRPr="00E14AAB">
              <w:rPr>
                <w:rFonts w:ascii="Arial Narrow" w:eastAsia="Calibri" w:hAnsi="Arial Narrow" w:cs="Calibri"/>
                <w:snapToGrid/>
                <w:sz w:val="20"/>
              </w:rPr>
              <w:t xml:space="preserve"> Pty Ltd</w:t>
            </w:r>
            <w:r>
              <w:rPr>
                <w:rFonts w:ascii="Arial Narrow" w:eastAsia="Calibri" w:hAnsi="Arial Narrow" w:cs="Calibri"/>
                <w:snapToGrid/>
                <w:sz w:val="20"/>
              </w:rPr>
              <w:t xml:space="preserve">; and </w:t>
            </w:r>
          </w:p>
          <w:p w:rsidR="00734933" w:rsidRPr="00E14AAB" w:rsidRDefault="00734933" w:rsidP="00D849EA">
            <w:pPr>
              <w:keepNext/>
              <w:widowControl/>
              <w:spacing w:after="20"/>
              <w:ind w:left="113" w:right="113"/>
              <w:jc w:val="center"/>
              <w:rPr>
                <w:rFonts w:ascii="Arial Narrow" w:eastAsia="Calibri" w:hAnsi="Arial Narrow" w:cs="Calibri"/>
                <w:snapToGrid/>
                <w:sz w:val="20"/>
              </w:rPr>
            </w:pPr>
            <w:r w:rsidRPr="00E14AAB">
              <w:rPr>
                <w:rFonts w:ascii="Arial Narrow" w:eastAsia="Calibri" w:hAnsi="Arial Narrow" w:cs="Calibri"/>
                <w:snapToGrid/>
                <w:sz w:val="20"/>
                <w:lang w:val="it-IT"/>
              </w:rPr>
              <w:t>Merck Serono Australia Pty Ltd</w:t>
            </w:r>
          </w:p>
        </w:tc>
      </w:tr>
    </w:tbl>
    <w:p w:rsidR="00734933" w:rsidRDefault="00734933" w:rsidP="00D849EA">
      <w:pPr>
        <w:widowControl/>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6662"/>
      </w:tblGrid>
      <w:tr w:rsidR="00EC54F9" w:rsidRPr="00A56D6A" w:rsidTr="002A4907">
        <w:tc>
          <w:tcPr>
            <w:tcW w:w="1701" w:type="dxa"/>
            <w:shd w:val="clear" w:color="auto" w:fill="auto"/>
          </w:tcPr>
          <w:p w:rsidR="00EC54F9" w:rsidRPr="00A56D6A" w:rsidRDefault="00EC54F9" w:rsidP="000C6403">
            <w:pPr>
              <w:keepNext/>
              <w:widowControl/>
              <w:spacing w:after="20"/>
              <w:ind w:right="113"/>
              <w:jc w:val="left"/>
              <w:rPr>
                <w:rFonts w:ascii="Arial Narrow" w:eastAsia="Calibri" w:hAnsi="Arial Narrow" w:cs="Calibri"/>
                <w:b/>
                <w:snapToGrid/>
                <w:sz w:val="20"/>
              </w:rPr>
            </w:pPr>
            <w:r>
              <w:rPr>
                <w:rFonts w:ascii="Arial Narrow" w:eastAsia="Calibri" w:hAnsi="Arial Narrow" w:cs="Calibri"/>
                <w:b/>
                <w:snapToGrid/>
                <w:sz w:val="20"/>
              </w:rPr>
              <w:t>Treatment phase</w:t>
            </w:r>
          </w:p>
        </w:tc>
        <w:tc>
          <w:tcPr>
            <w:tcW w:w="6662" w:type="dxa"/>
            <w:shd w:val="clear" w:color="auto" w:fill="auto"/>
          </w:tcPr>
          <w:p w:rsidR="00EC54F9" w:rsidRPr="00EC54F9" w:rsidRDefault="00EC54F9" w:rsidP="000C6403">
            <w:pPr>
              <w:keepNext/>
              <w:widowControl/>
              <w:spacing w:after="20"/>
              <w:ind w:left="114" w:right="113"/>
              <w:jc w:val="left"/>
              <w:rPr>
                <w:rFonts w:ascii="Arial Narrow" w:eastAsia="Calibri" w:hAnsi="Arial Narrow" w:cs="Calibri"/>
                <w:snapToGrid/>
                <w:sz w:val="20"/>
              </w:rPr>
            </w:pPr>
            <w:r>
              <w:rPr>
                <w:rFonts w:ascii="Arial Narrow" w:eastAsia="Calibri" w:hAnsi="Arial Narrow" w:cs="Calibri"/>
                <w:snapToGrid/>
                <w:sz w:val="20"/>
              </w:rPr>
              <w:t xml:space="preserve">Initial </w:t>
            </w:r>
          </w:p>
        </w:tc>
      </w:tr>
      <w:tr w:rsidR="000C6403" w:rsidRPr="00A56D6A" w:rsidTr="002A4907">
        <w:tc>
          <w:tcPr>
            <w:tcW w:w="1701" w:type="dxa"/>
            <w:shd w:val="clear" w:color="auto" w:fill="auto"/>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Treatment criteria</w:t>
            </w:r>
          </w:p>
        </w:tc>
        <w:tc>
          <w:tcPr>
            <w:tcW w:w="6662" w:type="dxa"/>
            <w:shd w:val="clear" w:color="auto" w:fill="auto"/>
          </w:tcPr>
          <w:p w:rsidR="000C6403" w:rsidRPr="00A56D6A" w:rsidRDefault="000C6403" w:rsidP="000C6403">
            <w:pPr>
              <w:keepNext/>
              <w:widowControl/>
              <w:spacing w:after="20"/>
              <w:ind w:left="114" w:right="113"/>
              <w:jc w:val="left"/>
              <w:rPr>
                <w:rFonts w:ascii="Arial Narrow" w:eastAsia="Calibri" w:hAnsi="Arial Narrow" w:cs="Calibri"/>
                <w:snapToGrid/>
                <w:sz w:val="20"/>
              </w:rPr>
            </w:pPr>
            <w:r w:rsidRPr="00A56D6A">
              <w:rPr>
                <w:rFonts w:ascii="Arial Narrow" w:eastAsia="Calibri" w:hAnsi="Arial Narrow" w:cs="Calibri"/>
                <w:snapToGrid/>
                <w:sz w:val="20"/>
              </w:rPr>
              <w:t>Patient must be treated by an endocrinologist</w:t>
            </w:r>
          </w:p>
        </w:tc>
      </w:tr>
      <w:tr w:rsidR="000C6403" w:rsidRPr="00A56D6A" w:rsidTr="002A4907">
        <w:tc>
          <w:tcPr>
            <w:tcW w:w="1701" w:type="dxa"/>
            <w:shd w:val="clear" w:color="auto" w:fill="auto"/>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Clinical criteria</w:t>
            </w:r>
          </w:p>
        </w:tc>
        <w:tc>
          <w:tcPr>
            <w:tcW w:w="6662" w:type="dxa"/>
            <w:shd w:val="clear" w:color="auto" w:fill="auto"/>
          </w:tcPr>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 xml:space="preserve">Patient must have childhood onset growth hormone deficiency </w:t>
            </w:r>
            <w:r>
              <w:rPr>
                <w:rFonts w:ascii="Arial Narrow" w:hAnsi="Arial Narrow" w:cs="Calibri"/>
                <w:snapToGrid/>
                <w:color w:val="000000"/>
                <w:sz w:val="20"/>
              </w:rPr>
              <w:t xml:space="preserve">due to a congenital, genetic or </w:t>
            </w:r>
            <w:r w:rsidRPr="00A56D6A">
              <w:rPr>
                <w:rFonts w:ascii="Arial Narrow" w:hAnsi="Arial Narrow" w:cs="Calibri"/>
                <w:snapToGrid/>
                <w:color w:val="000000"/>
                <w:sz w:val="20"/>
              </w:rPr>
              <w:t xml:space="preserve">structural cause; </w:t>
            </w:r>
            <w:r w:rsidRPr="00A56D6A">
              <w:rPr>
                <w:rFonts w:ascii="Arial Narrow" w:hAnsi="Arial Narrow" w:cs="Calibri"/>
                <w:b/>
                <w:snapToGrid/>
                <w:color w:val="000000"/>
                <w:sz w:val="20"/>
              </w:rPr>
              <w:t>OR</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Patient must have adult onset growth hormone deficiency secondary to organic hypothalamic or pituitary disease</w:t>
            </w:r>
          </w:p>
          <w:p w:rsidR="000C6403" w:rsidRPr="00A56D6A" w:rsidRDefault="000C6403" w:rsidP="000C6403">
            <w:pPr>
              <w:keepNext/>
              <w:widowControl/>
              <w:spacing w:after="20"/>
              <w:ind w:left="114" w:right="113"/>
              <w:jc w:val="left"/>
              <w:rPr>
                <w:rFonts w:ascii="Arial Narrow" w:eastAsia="Calibri" w:hAnsi="Arial Narrow" w:cs="Calibri"/>
                <w:b/>
                <w:snapToGrid/>
                <w:sz w:val="20"/>
              </w:rPr>
            </w:pPr>
            <w:r w:rsidRPr="00A56D6A">
              <w:rPr>
                <w:rFonts w:ascii="Arial Narrow" w:eastAsia="Calibri" w:hAnsi="Arial Narrow" w:cs="Calibri"/>
                <w:b/>
                <w:snapToGrid/>
                <w:sz w:val="20"/>
              </w:rPr>
              <w:t>AND</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 xml:space="preserve">Patient must have an insulin tolerance test with maximum serum GH&lt;3 µg/l; </w:t>
            </w:r>
            <w:r w:rsidRPr="00A56D6A">
              <w:rPr>
                <w:rFonts w:ascii="Arial Narrow" w:hAnsi="Arial Narrow" w:cs="Calibri"/>
                <w:b/>
                <w:snapToGrid/>
                <w:color w:val="000000"/>
                <w:sz w:val="20"/>
              </w:rPr>
              <w:t>OR</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 xml:space="preserve">Patient must have an arginine infusion test with maximum serum GH&lt;0.4 µg/l; </w:t>
            </w:r>
            <w:r w:rsidRPr="00A56D6A">
              <w:rPr>
                <w:rFonts w:ascii="Arial Narrow" w:hAnsi="Arial Narrow" w:cs="Calibri"/>
                <w:b/>
                <w:snapToGrid/>
                <w:color w:val="000000"/>
                <w:sz w:val="20"/>
              </w:rPr>
              <w:t>OR</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Patient must have an glucagon provocation test with maximum serum GH&lt;3 µg/l</w:t>
            </w:r>
          </w:p>
          <w:p w:rsidR="000C6403" w:rsidRPr="00A56D6A" w:rsidRDefault="000C6403" w:rsidP="000C6403">
            <w:pPr>
              <w:keepNext/>
              <w:widowControl/>
              <w:spacing w:after="20"/>
              <w:ind w:left="114" w:right="113"/>
              <w:jc w:val="left"/>
              <w:rPr>
                <w:rFonts w:ascii="Arial Narrow" w:eastAsia="Calibri" w:hAnsi="Arial Narrow" w:cs="Calibri"/>
                <w:b/>
                <w:snapToGrid/>
                <w:sz w:val="20"/>
              </w:rPr>
            </w:pPr>
            <w:r w:rsidRPr="00A56D6A">
              <w:rPr>
                <w:rFonts w:ascii="Arial Narrow" w:eastAsia="Calibri" w:hAnsi="Arial Narrow" w:cs="Calibri"/>
                <w:b/>
                <w:snapToGrid/>
                <w:sz w:val="20"/>
              </w:rPr>
              <w:t>AND</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 xml:space="preserve">Patient must have a quality of life score on the </w:t>
            </w:r>
            <w:proofErr w:type="spellStart"/>
            <w:r w:rsidRPr="00A56D6A">
              <w:rPr>
                <w:rFonts w:ascii="Arial Narrow" w:hAnsi="Arial Narrow" w:cs="Calibri"/>
                <w:snapToGrid/>
                <w:color w:val="000000"/>
                <w:sz w:val="20"/>
              </w:rPr>
              <w:t>QoL</w:t>
            </w:r>
            <w:proofErr w:type="spellEnd"/>
            <w:r w:rsidRPr="00A56D6A">
              <w:rPr>
                <w:rFonts w:ascii="Arial Narrow" w:hAnsi="Arial Narrow" w:cs="Calibri"/>
                <w:snapToGrid/>
                <w:color w:val="000000"/>
                <w:sz w:val="20"/>
              </w:rPr>
              <w:t>-AGHDA instrument for growth hormone deficiency of ≥16</w:t>
            </w:r>
          </w:p>
        </w:tc>
      </w:tr>
      <w:tr w:rsidR="000C6403" w:rsidRPr="00A56D6A" w:rsidTr="002A4907">
        <w:tc>
          <w:tcPr>
            <w:tcW w:w="1701" w:type="dxa"/>
            <w:shd w:val="clear" w:color="auto" w:fill="auto"/>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Population criteria</w:t>
            </w:r>
          </w:p>
        </w:tc>
        <w:tc>
          <w:tcPr>
            <w:tcW w:w="6662" w:type="dxa"/>
            <w:shd w:val="clear" w:color="auto" w:fill="auto"/>
          </w:tcPr>
          <w:p w:rsidR="000C6403" w:rsidRPr="00A56D6A" w:rsidRDefault="000C6403" w:rsidP="000C6403">
            <w:pPr>
              <w:keepNext/>
              <w:widowControl/>
              <w:spacing w:after="20"/>
              <w:ind w:left="114" w:right="113"/>
              <w:jc w:val="left"/>
              <w:rPr>
                <w:rFonts w:ascii="Arial Narrow" w:eastAsia="Calibri" w:hAnsi="Arial Narrow" w:cs="Calibri"/>
                <w:snapToGrid/>
                <w:sz w:val="20"/>
              </w:rPr>
            </w:pPr>
            <w:r w:rsidRPr="00A56D6A">
              <w:rPr>
                <w:rFonts w:ascii="Arial Narrow" w:eastAsia="Calibri" w:hAnsi="Arial Narrow" w:cs="Calibri"/>
                <w:snapToGrid/>
                <w:sz w:val="20"/>
              </w:rPr>
              <w:t xml:space="preserve">Patient must be aged 18 years or older </w:t>
            </w:r>
          </w:p>
        </w:tc>
      </w:tr>
    </w:tbl>
    <w:p w:rsidR="000C6403" w:rsidRDefault="000C6403"/>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6662"/>
      </w:tblGrid>
      <w:tr w:rsidR="00EC54F9" w:rsidRPr="00A56D6A" w:rsidTr="002A4907">
        <w:tc>
          <w:tcPr>
            <w:tcW w:w="1701" w:type="dxa"/>
            <w:tcBorders>
              <w:top w:val="single" w:sz="4" w:space="0" w:color="auto"/>
              <w:left w:val="single" w:sz="4" w:space="0" w:color="auto"/>
              <w:bottom w:val="single" w:sz="4" w:space="0" w:color="auto"/>
              <w:right w:val="single" w:sz="4" w:space="0" w:color="auto"/>
            </w:tcBorders>
            <w:shd w:val="clear" w:color="auto" w:fill="auto"/>
          </w:tcPr>
          <w:p w:rsidR="00EC54F9" w:rsidRPr="00A56D6A" w:rsidRDefault="00EC54F9" w:rsidP="00AD10C5">
            <w:pPr>
              <w:keepNext/>
              <w:widowControl/>
              <w:spacing w:after="20"/>
              <w:ind w:right="113"/>
              <w:jc w:val="left"/>
              <w:rPr>
                <w:rFonts w:ascii="Arial Narrow" w:eastAsia="Calibri" w:hAnsi="Arial Narrow" w:cs="Calibri"/>
                <w:b/>
                <w:snapToGrid/>
                <w:sz w:val="20"/>
              </w:rPr>
            </w:pPr>
            <w:r>
              <w:rPr>
                <w:rFonts w:ascii="Arial Narrow" w:eastAsia="Calibri" w:hAnsi="Arial Narrow" w:cs="Calibri"/>
                <w:b/>
                <w:snapToGrid/>
                <w:sz w:val="20"/>
              </w:rPr>
              <w:lastRenderedPageBreak/>
              <w:t>Treatment phase</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C54F9" w:rsidRPr="00A56D6A" w:rsidRDefault="00EC54F9" w:rsidP="00AD10C5">
            <w:pPr>
              <w:keepNext/>
              <w:widowControl/>
              <w:spacing w:after="20"/>
              <w:ind w:left="114" w:right="113"/>
              <w:jc w:val="left"/>
              <w:rPr>
                <w:rFonts w:ascii="Arial Narrow" w:eastAsia="Calibri" w:hAnsi="Arial Narrow" w:cs="Calibri"/>
                <w:snapToGrid/>
                <w:sz w:val="20"/>
              </w:rPr>
            </w:pPr>
            <w:r>
              <w:rPr>
                <w:rFonts w:ascii="Arial Narrow" w:eastAsia="Calibri" w:hAnsi="Arial Narrow" w:cs="Calibri"/>
                <w:snapToGrid/>
                <w:sz w:val="20"/>
              </w:rPr>
              <w:t>Continuing</w:t>
            </w:r>
          </w:p>
        </w:tc>
      </w:tr>
      <w:tr w:rsidR="000C6403" w:rsidRPr="00A56D6A" w:rsidTr="002A4907">
        <w:tc>
          <w:tcPr>
            <w:tcW w:w="1701" w:type="dxa"/>
            <w:shd w:val="clear" w:color="auto" w:fill="auto"/>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Treatment criteria</w:t>
            </w:r>
          </w:p>
        </w:tc>
        <w:tc>
          <w:tcPr>
            <w:tcW w:w="6662" w:type="dxa"/>
            <w:shd w:val="clear" w:color="auto" w:fill="auto"/>
          </w:tcPr>
          <w:p w:rsidR="000C6403" w:rsidRPr="00A56D6A" w:rsidRDefault="000C6403" w:rsidP="000C6403">
            <w:pPr>
              <w:keepNext/>
              <w:widowControl/>
              <w:spacing w:after="20"/>
              <w:ind w:left="114" w:right="113"/>
              <w:jc w:val="left"/>
              <w:rPr>
                <w:rFonts w:ascii="Arial Narrow" w:eastAsia="Calibri" w:hAnsi="Arial Narrow" w:cs="Calibri"/>
                <w:snapToGrid/>
                <w:sz w:val="20"/>
              </w:rPr>
            </w:pPr>
            <w:r w:rsidRPr="00A56D6A">
              <w:rPr>
                <w:rFonts w:ascii="Arial Narrow" w:eastAsia="Calibri" w:hAnsi="Arial Narrow" w:cs="Calibri"/>
                <w:snapToGrid/>
                <w:sz w:val="20"/>
              </w:rPr>
              <w:t xml:space="preserve">Patient must be on </w:t>
            </w:r>
            <w:proofErr w:type="spellStart"/>
            <w:r w:rsidRPr="00A56D6A">
              <w:rPr>
                <w:rFonts w:ascii="Arial Narrow" w:eastAsia="Calibri" w:hAnsi="Arial Narrow" w:cs="Calibri"/>
                <w:snapToGrid/>
                <w:sz w:val="20"/>
              </w:rPr>
              <w:t>somatropin</w:t>
            </w:r>
            <w:proofErr w:type="spellEnd"/>
            <w:r w:rsidRPr="00A56D6A">
              <w:rPr>
                <w:rFonts w:ascii="Arial Narrow" w:eastAsia="Calibri" w:hAnsi="Arial Narrow" w:cs="Calibri"/>
                <w:snapToGrid/>
                <w:sz w:val="20"/>
              </w:rPr>
              <w:t xml:space="preserve"> replacement therapy for &lt;12 months, with a dose not exceeding 0.7</w:t>
            </w:r>
            <w:r>
              <w:rPr>
                <w:rFonts w:ascii="Arial Narrow" w:eastAsia="Calibri" w:hAnsi="Arial Narrow" w:cs="Calibri"/>
                <w:snapToGrid/>
                <w:sz w:val="20"/>
              </w:rPr>
              <w:t xml:space="preserve"> </w:t>
            </w:r>
            <w:r w:rsidRPr="00A56D6A">
              <w:rPr>
                <w:rFonts w:ascii="Arial Narrow" w:eastAsia="Calibri" w:hAnsi="Arial Narrow" w:cs="Calibri"/>
                <w:snapToGrid/>
                <w:sz w:val="20"/>
              </w:rPr>
              <w:t>mg per day for male patients or 1</w:t>
            </w:r>
            <w:r>
              <w:rPr>
                <w:rFonts w:ascii="Arial Narrow" w:eastAsia="Calibri" w:hAnsi="Arial Narrow" w:cs="Calibri"/>
                <w:snapToGrid/>
                <w:sz w:val="20"/>
              </w:rPr>
              <w:t xml:space="preserve"> </w:t>
            </w:r>
            <w:r w:rsidRPr="00A56D6A">
              <w:rPr>
                <w:rFonts w:ascii="Arial Narrow" w:eastAsia="Calibri" w:hAnsi="Arial Narrow" w:cs="Calibri"/>
                <w:snapToGrid/>
                <w:sz w:val="20"/>
              </w:rPr>
              <w:t>mg per day for female patients</w:t>
            </w:r>
          </w:p>
        </w:tc>
      </w:tr>
      <w:tr w:rsidR="000C6403" w:rsidRPr="00A56D6A" w:rsidTr="002A4907">
        <w:tc>
          <w:tcPr>
            <w:tcW w:w="1701" w:type="dxa"/>
            <w:shd w:val="clear" w:color="auto" w:fill="auto"/>
            <w:hideMark/>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Clinical criteria</w:t>
            </w:r>
          </w:p>
        </w:tc>
        <w:tc>
          <w:tcPr>
            <w:tcW w:w="6662" w:type="dxa"/>
            <w:shd w:val="clear" w:color="auto" w:fill="auto"/>
            <w:hideMark/>
          </w:tcPr>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Patient must maintain IGF-1 levels within the normal range for age and sex,</w:t>
            </w:r>
          </w:p>
          <w:p w:rsidR="000C6403" w:rsidRPr="00A56D6A" w:rsidRDefault="000C6403" w:rsidP="000C6403">
            <w:pPr>
              <w:keepNext/>
              <w:widowControl/>
              <w:spacing w:after="20"/>
              <w:ind w:left="114" w:right="113"/>
              <w:jc w:val="left"/>
              <w:rPr>
                <w:rFonts w:ascii="Arial Narrow" w:eastAsia="Calibri" w:hAnsi="Arial Narrow" w:cs="Calibri"/>
                <w:b/>
                <w:snapToGrid/>
                <w:sz w:val="20"/>
              </w:rPr>
            </w:pPr>
            <w:r w:rsidRPr="00A56D6A">
              <w:rPr>
                <w:rFonts w:ascii="Arial Narrow" w:eastAsia="Calibri" w:hAnsi="Arial Narrow" w:cs="Calibri"/>
                <w:b/>
                <w:snapToGrid/>
                <w:sz w:val="20"/>
              </w:rPr>
              <w:t>AND</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 xml:space="preserve">Patient must maintain a quality of life score on the </w:t>
            </w:r>
            <w:proofErr w:type="spellStart"/>
            <w:r w:rsidRPr="00A56D6A">
              <w:rPr>
                <w:rFonts w:ascii="Arial Narrow" w:hAnsi="Arial Narrow" w:cs="Calibri"/>
                <w:snapToGrid/>
                <w:color w:val="000000"/>
                <w:sz w:val="20"/>
              </w:rPr>
              <w:t>QoL</w:t>
            </w:r>
            <w:proofErr w:type="spellEnd"/>
            <w:r w:rsidRPr="00A56D6A">
              <w:rPr>
                <w:rFonts w:ascii="Arial Narrow" w:hAnsi="Arial Narrow" w:cs="Calibri"/>
                <w:snapToGrid/>
                <w:color w:val="000000"/>
                <w:sz w:val="20"/>
              </w:rPr>
              <w:t>-AGHDA instrument for growth hormone deficiency of ≥8 points lower than baseline</w:t>
            </w:r>
          </w:p>
          <w:p w:rsidR="000C6403" w:rsidRPr="00A56D6A" w:rsidRDefault="000C6403" w:rsidP="000C6403">
            <w:pPr>
              <w:keepNext/>
              <w:widowControl/>
              <w:spacing w:after="20"/>
              <w:ind w:left="114" w:right="113"/>
              <w:jc w:val="left"/>
              <w:rPr>
                <w:rFonts w:ascii="Arial Narrow" w:eastAsia="Calibri" w:hAnsi="Arial Narrow" w:cs="Calibri"/>
                <w:b/>
                <w:snapToGrid/>
                <w:sz w:val="20"/>
              </w:rPr>
            </w:pPr>
            <w:r w:rsidRPr="00A56D6A">
              <w:rPr>
                <w:rFonts w:ascii="Arial Narrow" w:eastAsia="Calibri" w:hAnsi="Arial Narrow" w:cs="Calibri"/>
                <w:b/>
                <w:snapToGrid/>
                <w:sz w:val="20"/>
              </w:rPr>
              <w:t>AND</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Patient adherence must be satisfactory with the patient wishing to continue therapy, as determined by clinician</w:t>
            </w:r>
          </w:p>
        </w:tc>
      </w:tr>
      <w:tr w:rsidR="000C6403" w:rsidRPr="00A56D6A" w:rsidTr="002A4907">
        <w:tc>
          <w:tcPr>
            <w:tcW w:w="1701" w:type="dxa"/>
            <w:shd w:val="clear" w:color="auto" w:fill="auto"/>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Population criteria</w:t>
            </w:r>
          </w:p>
        </w:tc>
        <w:tc>
          <w:tcPr>
            <w:tcW w:w="6662" w:type="dxa"/>
            <w:shd w:val="clear" w:color="auto" w:fill="auto"/>
          </w:tcPr>
          <w:p w:rsidR="000C6403" w:rsidRPr="00A56D6A" w:rsidRDefault="000C6403" w:rsidP="000C6403">
            <w:pPr>
              <w:keepNext/>
              <w:widowControl/>
              <w:spacing w:after="20"/>
              <w:ind w:left="114" w:right="113"/>
              <w:jc w:val="left"/>
              <w:rPr>
                <w:rFonts w:ascii="Arial Narrow" w:eastAsia="Calibri" w:hAnsi="Arial Narrow" w:cs="Calibri"/>
                <w:snapToGrid/>
                <w:sz w:val="20"/>
              </w:rPr>
            </w:pPr>
            <w:r w:rsidRPr="00A56D6A">
              <w:rPr>
                <w:rFonts w:ascii="Arial Narrow" w:eastAsia="Calibri" w:hAnsi="Arial Narrow" w:cs="Calibri"/>
                <w:snapToGrid/>
                <w:sz w:val="20"/>
              </w:rPr>
              <w:t xml:space="preserve">Patient must be aged 18 years or older </w:t>
            </w:r>
          </w:p>
        </w:tc>
      </w:tr>
      <w:tr w:rsidR="000C6403" w:rsidRPr="00A56D6A" w:rsidTr="002A4907">
        <w:tc>
          <w:tcPr>
            <w:tcW w:w="8363" w:type="dxa"/>
            <w:gridSpan w:val="2"/>
            <w:shd w:val="clear" w:color="auto" w:fill="auto"/>
          </w:tcPr>
          <w:p w:rsidR="000C6403" w:rsidRPr="00A56D6A" w:rsidRDefault="000C6403" w:rsidP="000C6403">
            <w:pPr>
              <w:keepNext/>
              <w:widowControl/>
              <w:spacing w:after="20"/>
              <w:ind w:left="114" w:right="113"/>
              <w:jc w:val="center"/>
              <w:rPr>
                <w:rFonts w:ascii="Arial Narrow" w:eastAsia="Calibri" w:hAnsi="Arial Narrow" w:cs="Calibri"/>
                <w:snapToGrid/>
                <w:sz w:val="20"/>
              </w:rPr>
            </w:pPr>
            <w:r w:rsidRPr="00A56D6A">
              <w:rPr>
                <w:rFonts w:ascii="Arial Narrow" w:eastAsia="Calibri" w:hAnsi="Arial Narrow" w:cs="Calibri"/>
                <w:b/>
                <w:snapToGrid/>
                <w:sz w:val="20"/>
              </w:rPr>
              <w:t>OR</w:t>
            </w:r>
          </w:p>
        </w:tc>
      </w:tr>
      <w:tr w:rsidR="000C6403" w:rsidRPr="00A56D6A" w:rsidTr="002A4907">
        <w:tc>
          <w:tcPr>
            <w:tcW w:w="1701" w:type="dxa"/>
            <w:shd w:val="clear" w:color="auto" w:fill="auto"/>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Treatment length</w:t>
            </w:r>
          </w:p>
        </w:tc>
        <w:tc>
          <w:tcPr>
            <w:tcW w:w="6662" w:type="dxa"/>
            <w:shd w:val="clear" w:color="auto" w:fill="auto"/>
          </w:tcPr>
          <w:p w:rsidR="000C6403" w:rsidRPr="00A56D6A" w:rsidRDefault="000C6403" w:rsidP="000C6403">
            <w:pPr>
              <w:keepNext/>
              <w:widowControl/>
              <w:spacing w:after="20"/>
              <w:ind w:left="114" w:right="113"/>
              <w:jc w:val="left"/>
              <w:rPr>
                <w:rFonts w:ascii="Arial Narrow" w:eastAsia="Calibri" w:hAnsi="Arial Narrow" w:cs="Calibri"/>
                <w:snapToGrid/>
                <w:sz w:val="20"/>
              </w:rPr>
            </w:pPr>
            <w:r w:rsidRPr="00A56D6A">
              <w:rPr>
                <w:rFonts w:ascii="Arial Narrow" w:eastAsia="Calibri" w:hAnsi="Arial Narrow" w:cs="Calibri"/>
                <w:snapToGrid/>
                <w:sz w:val="20"/>
              </w:rPr>
              <w:t xml:space="preserve">Patient must be on </w:t>
            </w:r>
            <w:proofErr w:type="spellStart"/>
            <w:r w:rsidRPr="00A56D6A">
              <w:rPr>
                <w:rFonts w:ascii="Arial Narrow" w:eastAsia="Calibri" w:hAnsi="Arial Narrow" w:cs="Calibri"/>
                <w:snapToGrid/>
                <w:sz w:val="20"/>
              </w:rPr>
              <w:t>somatropin</w:t>
            </w:r>
            <w:proofErr w:type="spellEnd"/>
            <w:r w:rsidRPr="00A56D6A">
              <w:rPr>
                <w:rFonts w:ascii="Arial Narrow" w:eastAsia="Calibri" w:hAnsi="Arial Narrow" w:cs="Calibri"/>
                <w:snapToGrid/>
                <w:sz w:val="20"/>
              </w:rPr>
              <w:t xml:space="preserve"> replacement therapy for ≥12 months, with a dose not exceeding 0.7</w:t>
            </w:r>
            <w:r>
              <w:rPr>
                <w:rFonts w:ascii="Arial Narrow" w:eastAsia="Calibri" w:hAnsi="Arial Narrow" w:cs="Calibri"/>
                <w:snapToGrid/>
                <w:sz w:val="20"/>
              </w:rPr>
              <w:t xml:space="preserve"> </w:t>
            </w:r>
            <w:r w:rsidRPr="00A56D6A">
              <w:rPr>
                <w:rFonts w:ascii="Arial Narrow" w:eastAsia="Calibri" w:hAnsi="Arial Narrow" w:cs="Calibri"/>
                <w:snapToGrid/>
                <w:sz w:val="20"/>
              </w:rPr>
              <w:t>mg per day for male patients or 1</w:t>
            </w:r>
            <w:r>
              <w:rPr>
                <w:rFonts w:ascii="Arial Narrow" w:eastAsia="Calibri" w:hAnsi="Arial Narrow" w:cs="Calibri"/>
                <w:snapToGrid/>
                <w:sz w:val="20"/>
              </w:rPr>
              <w:t xml:space="preserve"> </w:t>
            </w:r>
            <w:r w:rsidRPr="00A56D6A">
              <w:rPr>
                <w:rFonts w:ascii="Arial Narrow" w:eastAsia="Calibri" w:hAnsi="Arial Narrow" w:cs="Calibri"/>
                <w:snapToGrid/>
                <w:sz w:val="20"/>
              </w:rPr>
              <w:t>mg per day for female patients</w:t>
            </w:r>
          </w:p>
        </w:tc>
      </w:tr>
      <w:tr w:rsidR="000C6403" w:rsidRPr="00A56D6A" w:rsidTr="002A4907">
        <w:tc>
          <w:tcPr>
            <w:tcW w:w="1701" w:type="dxa"/>
            <w:shd w:val="clear" w:color="auto" w:fill="auto"/>
            <w:hideMark/>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Clinical criteria</w:t>
            </w:r>
          </w:p>
        </w:tc>
        <w:tc>
          <w:tcPr>
            <w:tcW w:w="6662" w:type="dxa"/>
            <w:shd w:val="clear" w:color="auto" w:fill="auto"/>
            <w:hideMark/>
          </w:tcPr>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Patient must maintain IGF-1 levels within the normal range for age and sex,</w:t>
            </w:r>
          </w:p>
          <w:p w:rsidR="000C6403" w:rsidRPr="00A56D6A" w:rsidRDefault="000C6403" w:rsidP="000C6403">
            <w:pPr>
              <w:keepNext/>
              <w:widowControl/>
              <w:spacing w:after="20"/>
              <w:ind w:left="114" w:right="113"/>
              <w:jc w:val="left"/>
              <w:rPr>
                <w:rFonts w:ascii="Arial Narrow" w:eastAsia="Calibri" w:hAnsi="Arial Narrow" w:cs="Calibri"/>
                <w:b/>
                <w:snapToGrid/>
                <w:sz w:val="20"/>
              </w:rPr>
            </w:pPr>
            <w:r w:rsidRPr="00A56D6A">
              <w:rPr>
                <w:rFonts w:ascii="Arial Narrow" w:eastAsia="Calibri" w:hAnsi="Arial Narrow" w:cs="Calibri"/>
                <w:b/>
                <w:snapToGrid/>
                <w:sz w:val="20"/>
              </w:rPr>
              <w:t>AND</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 xml:space="preserve">Patient must maintain a quality of life score on the </w:t>
            </w:r>
            <w:proofErr w:type="spellStart"/>
            <w:r w:rsidRPr="00A56D6A">
              <w:rPr>
                <w:rFonts w:ascii="Arial Narrow" w:hAnsi="Arial Narrow" w:cs="Calibri"/>
                <w:snapToGrid/>
                <w:color w:val="000000"/>
                <w:sz w:val="20"/>
              </w:rPr>
              <w:t>QoL</w:t>
            </w:r>
            <w:proofErr w:type="spellEnd"/>
            <w:r w:rsidRPr="00A56D6A">
              <w:rPr>
                <w:rFonts w:ascii="Arial Narrow" w:hAnsi="Arial Narrow" w:cs="Calibri"/>
                <w:snapToGrid/>
                <w:color w:val="000000"/>
                <w:sz w:val="20"/>
              </w:rPr>
              <w:t>-AGHDA instrument for growth hormone deficiency of ≥6 points lower than baseline</w:t>
            </w:r>
          </w:p>
          <w:p w:rsidR="000C6403" w:rsidRPr="00A56D6A" w:rsidRDefault="000C6403" w:rsidP="000C6403">
            <w:pPr>
              <w:keepNext/>
              <w:widowControl/>
              <w:spacing w:after="20"/>
              <w:ind w:left="114" w:right="113"/>
              <w:jc w:val="left"/>
              <w:rPr>
                <w:rFonts w:ascii="Arial Narrow" w:eastAsia="Calibri" w:hAnsi="Arial Narrow" w:cs="Calibri"/>
                <w:b/>
                <w:snapToGrid/>
                <w:sz w:val="20"/>
              </w:rPr>
            </w:pPr>
            <w:r w:rsidRPr="00A56D6A">
              <w:rPr>
                <w:rFonts w:ascii="Arial Narrow" w:eastAsia="Calibri" w:hAnsi="Arial Narrow" w:cs="Calibri"/>
                <w:b/>
                <w:snapToGrid/>
                <w:sz w:val="20"/>
              </w:rPr>
              <w:t>AND</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Patient adherence must be satisfactory with the patient wishing to continue therapy, as determined by clinician</w:t>
            </w:r>
          </w:p>
        </w:tc>
      </w:tr>
      <w:tr w:rsidR="000C6403" w:rsidRPr="00A56D6A" w:rsidTr="002A4907">
        <w:tc>
          <w:tcPr>
            <w:tcW w:w="1701" w:type="dxa"/>
            <w:shd w:val="clear" w:color="auto" w:fill="auto"/>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Population criteria</w:t>
            </w:r>
          </w:p>
        </w:tc>
        <w:tc>
          <w:tcPr>
            <w:tcW w:w="6662" w:type="dxa"/>
            <w:shd w:val="clear" w:color="auto" w:fill="auto"/>
          </w:tcPr>
          <w:p w:rsidR="000C6403" w:rsidRPr="00A56D6A" w:rsidRDefault="000C6403" w:rsidP="000C6403">
            <w:pPr>
              <w:keepNext/>
              <w:widowControl/>
              <w:spacing w:after="20"/>
              <w:ind w:left="114" w:right="113"/>
              <w:jc w:val="left"/>
              <w:rPr>
                <w:rFonts w:ascii="Arial Narrow" w:eastAsia="Calibri" w:hAnsi="Arial Narrow" w:cs="Calibri"/>
                <w:snapToGrid/>
                <w:sz w:val="20"/>
              </w:rPr>
            </w:pPr>
            <w:r w:rsidRPr="00A56D6A">
              <w:rPr>
                <w:rFonts w:ascii="Arial Narrow" w:eastAsia="Calibri" w:hAnsi="Arial Narrow" w:cs="Calibri"/>
                <w:snapToGrid/>
                <w:sz w:val="20"/>
              </w:rPr>
              <w:t xml:space="preserve">Patient must be aged 18 years or older </w:t>
            </w:r>
          </w:p>
        </w:tc>
      </w:tr>
    </w:tbl>
    <w:p w:rsidR="000C6403" w:rsidRDefault="000C6403"/>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6662"/>
      </w:tblGrid>
      <w:tr w:rsidR="00EC54F9" w:rsidRPr="00A56D6A" w:rsidTr="002A4907">
        <w:tc>
          <w:tcPr>
            <w:tcW w:w="1701" w:type="dxa"/>
            <w:tcBorders>
              <w:top w:val="single" w:sz="4" w:space="0" w:color="auto"/>
              <w:left w:val="single" w:sz="4" w:space="0" w:color="auto"/>
              <w:bottom w:val="single" w:sz="4" w:space="0" w:color="auto"/>
              <w:right w:val="single" w:sz="4" w:space="0" w:color="auto"/>
            </w:tcBorders>
            <w:shd w:val="clear" w:color="auto" w:fill="auto"/>
          </w:tcPr>
          <w:p w:rsidR="00EC54F9" w:rsidRPr="00A56D6A" w:rsidRDefault="00EC54F9" w:rsidP="00AD10C5">
            <w:pPr>
              <w:keepNext/>
              <w:widowControl/>
              <w:spacing w:after="20"/>
              <w:ind w:right="113"/>
              <w:jc w:val="left"/>
              <w:rPr>
                <w:rFonts w:ascii="Arial Narrow" w:eastAsia="Calibri" w:hAnsi="Arial Narrow" w:cs="Calibri"/>
                <w:b/>
                <w:snapToGrid/>
                <w:sz w:val="20"/>
              </w:rPr>
            </w:pPr>
            <w:r>
              <w:rPr>
                <w:rFonts w:ascii="Arial Narrow" w:eastAsia="Calibri" w:hAnsi="Arial Narrow" w:cs="Calibri"/>
                <w:b/>
                <w:snapToGrid/>
                <w:sz w:val="20"/>
              </w:rPr>
              <w:t>Treatment phase</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C54F9" w:rsidRPr="00A56D6A" w:rsidRDefault="00EC54F9" w:rsidP="00AD10C5">
            <w:pPr>
              <w:keepNext/>
              <w:widowControl/>
              <w:spacing w:after="20"/>
              <w:ind w:left="114" w:right="113"/>
              <w:jc w:val="left"/>
              <w:rPr>
                <w:rFonts w:ascii="Arial Narrow" w:eastAsia="Calibri" w:hAnsi="Arial Narrow" w:cs="Calibri"/>
                <w:snapToGrid/>
                <w:sz w:val="20"/>
              </w:rPr>
            </w:pPr>
            <w:r>
              <w:rPr>
                <w:rFonts w:ascii="Arial Narrow" w:eastAsia="Calibri" w:hAnsi="Arial Narrow" w:cs="Calibri"/>
                <w:snapToGrid/>
                <w:sz w:val="20"/>
              </w:rPr>
              <w:t>Recommencement of treatment</w:t>
            </w:r>
          </w:p>
        </w:tc>
      </w:tr>
      <w:tr w:rsidR="000C6403" w:rsidRPr="00A56D6A" w:rsidTr="002A4907">
        <w:tc>
          <w:tcPr>
            <w:tcW w:w="1701" w:type="dxa"/>
            <w:shd w:val="clear" w:color="auto" w:fill="auto"/>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Treatment criteria</w:t>
            </w:r>
          </w:p>
        </w:tc>
        <w:tc>
          <w:tcPr>
            <w:tcW w:w="6662" w:type="dxa"/>
            <w:shd w:val="clear" w:color="auto" w:fill="auto"/>
          </w:tcPr>
          <w:p w:rsidR="000C6403" w:rsidRPr="00A56D6A" w:rsidRDefault="000C6403" w:rsidP="000C6403">
            <w:pPr>
              <w:keepNext/>
              <w:widowControl/>
              <w:spacing w:after="20"/>
              <w:ind w:left="114" w:right="113"/>
              <w:jc w:val="left"/>
              <w:rPr>
                <w:rFonts w:ascii="Arial Narrow" w:eastAsia="Calibri" w:hAnsi="Arial Narrow" w:cs="Calibri"/>
                <w:snapToGrid/>
                <w:sz w:val="20"/>
              </w:rPr>
            </w:pPr>
            <w:r w:rsidRPr="00A56D6A">
              <w:rPr>
                <w:rFonts w:ascii="Arial Narrow" w:eastAsia="Calibri" w:hAnsi="Arial Narrow" w:cs="Calibri"/>
                <w:snapToGrid/>
                <w:sz w:val="20"/>
              </w:rPr>
              <w:t>Patient must be treated by an endocrinologist</w:t>
            </w:r>
          </w:p>
        </w:tc>
      </w:tr>
      <w:tr w:rsidR="000C6403" w:rsidRPr="00A56D6A" w:rsidTr="002A4907">
        <w:tc>
          <w:tcPr>
            <w:tcW w:w="1701" w:type="dxa"/>
            <w:shd w:val="clear" w:color="auto" w:fill="auto"/>
            <w:hideMark/>
          </w:tcPr>
          <w:p w:rsidR="000C6403" w:rsidRPr="00A56D6A" w:rsidRDefault="000C6403" w:rsidP="000C6403">
            <w:pPr>
              <w:keepNext/>
              <w:widowControl/>
              <w:spacing w:after="20"/>
              <w:ind w:right="113"/>
              <w:jc w:val="left"/>
              <w:rPr>
                <w:rFonts w:ascii="Arial Narrow" w:eastAsia="Calibri" w:hAnsi="Arial Narrow" w:cs="Calibri"/>
                <w:b/>
                <w:snapToGrid/>
                <w:sz w:val="20"/>
              </w:rPr>
            </w:pPr>
            <w:r w:rsidRPr="00A56D6A">
              <w:rPr>
                <w:rFonts w:ascii="Arial Narrow" w:eastAsia="Calibri" w:hAnsi="Arial Narrow" w:cs="Calibri"/>
                <w:b/>
                <w:snapToGrid/>
                <w:sz w:val="20"/>
              </w:rPr>
              <w:t>Clinical criteria</w:t>
            </w:r>
          </w:p>
        </w:tc>
        <w:tc>
          <w:tcPr>
            <w:tcW w:w="6662" w:type="dxa"/>
            <w:shd w:val="clear" w:color="auto" w:fill="auto"/>
            <w:hideMark/>
          </w:tcPr>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 xml:space="preserve">Patient must have a quality of life score on the </w:t>
            </w:r>
            <w:proofErr w:type="spellStart"/>
            <w:r w:rsidRPr="00A56D6A">
              <w:rPr>
                <w:rFonts w:ascii="Arial Narrow" w:hAnsi="Arial Narrow" w:cs="Calibri"/>
                <w:snapToGrid/>
                <w:color w:val="000000"/>
                <w:sz w:val="20"/>
              </w:rPr>
              <w:t>QoL</w:t>
            </w:r>
            <w:proofErr w:type="spellEnd"/>
            <w:r w:rsidRPr="00A56D6A">
              <w:rPr>
                <w:rFonts w:ascii="Arial Narrow" w:hAnsi="Arial Narrow" w:cs="Calibri"/>
                <w:snapToGrid/>
                <w:color w:val="000000"/>
                <w:sz w:val="20"/>
              </w:rPr>
              <w:t>-AGHDA instrument for growth hormone deficiency of ≥16</w:t>
            </w:r>
          </w:p>
          <w:p w:rsidR="000C6403" w:rsidRPr="00A56D6A" w:rsidRDefault="000C6403" w:rsidP="000C6403">
            <w:pPr>
              <w:keepNext/>
              <w:widowControl/>
              <w:spacing w:after="20"/>
              <w:ind w:left="114" w:right="113"/>
              <w:jc w:val="left"/>
              <w:rPr>
                <w:rFonts w:ascii="Arial Narrow" w:eastAsia="Calibri" w:hAnsi="Arial Narrow" w:cs="Calibri"/>
                <w:b/>
                <w:snapToGrid/>
                <w:sz w:val="20"/>
              </w:rPr>
            </w:pPr>
            <w:r w:rsidRPr="00A56D6A">
              <w:rPr>
                <w:rFonts w:ascii="Arial Narrow" w:eastAsia="Calibri" w:hAnsi="Arial Narrow" w:cs="Calibri"/>
                <w:b/>
                <w:snapToGrid/>
                <w:sz w:val="20"/>
              </w:rPr>
              <w:t>AND</w:t>
            </w:r>
          </w:p>
          <w:p w:rsidR="000C6403" w:rsidRPr="00A56D6A" w:rsidRDefault="000C6403" w:rsidP="000C6403">
            <w:pPr>
              <w:widowControl/>
              <w:spacing w:before="40" w:after="60"/>
              <w:ind w:left="114"/>
              <w:jc w:val="left"/>
              <w:rPr>
                <w:rFonts w:ascii="Arial Narrow" w:hAnsi="Arial Narrow" w:cs="Calibri"/>
                <w:snapToGrid/>
                <w:color w:val="000000"/>
                <w:sz w:val="20"/>
              </w:rPr>
            </w:pPr>
            <w:r w:rsidRPr="00A56D6A">
              <w:rPr>
                <w:rFonts w:ascii="Arial Narrow" w:hAnsi="Arial Narrow" w:cs="Calibri"/>
                <w:snapToGrid/>
                <w:color w:val="000000"/>
                <w:sz w:val="20"/>
              </w:rPr>
              <w:t>Patient adherence is satisfactory with the patient wishing to re-commence therapy, as determined by clinician</w:t>
            </w:r>
          </w:p>
        </w:tc>
      </w:tr>
      <w:tr w:rsidR="000C6403" w:rsidRPr="00A56D6A" w:rsidTr="002A4907">
        <w:tc>
          <w:tcPr>
            <w:tcW w:w="1701" w:type="dxa"/>
            <w:shd w:val="clear" w:color="auto" w:fill="auto"/>
          </w:tcPr>
          <w:p w:rsidR="000C6403" w:rsidRPr="00A56D6A" w:rsidRDefault="000C6403" w:rsidP="000C6403">
            <w:pPr>
              <w:keepNext/>
              <w:widowControl/>
              <w:ind w:right="113"/>
              <w:jc w:val="left"/>
              <w:rPr>
                <w:rFonts w:ascii="Arial Narrow" w:eastAsia="Calibri" w:hAnsi="Arial Narrow" w:cs="Calibri"/>
                <w:b/>
                <w:snapToGrid/>
                <w:sz w:val="20"/>
              </w:rPr>
            </w:pPr>
            <w:r w:rsidRPr="00A56D6A">
              <w:rPr>
                <w:rFonts w:ascii="Arial Narrow" w:eastAsia="Calibri" w:hAnsi="Arial Narrow" w:cs="Calibri"/>
                <w:b/>
                <w:snapToGrid/>
                <w:sz w:val="20"/>
              </w:rPr>
              <w:t>Population criteria</w:t>
            </w:r>
          </w:p>
        </w:tc>
        <w:tc>
          <w:tcPr>
            <w:tcW w:w="6662" w:type="dxa"/>
            <w:shd w:val="clear" w:color="auto" w:fill="auto"/>
          </w:tcPr>
          <w:p w:rsidR="000C6403" w:rsidRPr="00A56D6A" w:rsidRDefault="000C6403" w:rsidP="000C6403">
            <w:pPr>
              <w:keepNext/>
              <w:widowControl/>
              <w:ind w:left="114" w:right="113"/>
              <w:jc w:val="left"/>
              <w:rPr>
                <w:rFonts w:ascii="Arial Narrow" w:eastAsia="Calibri" w:hAnsi="Arial Narrow" w:cs="Calibri"/>
                <w:snapToGrid/>
                <w:sz w:val="20"/>
              </w:rPr>
            </w:pPr>
            <w:r w:rsidRPr="00A56D6A">
              <w:rPr>
                <w:rFonts w:ascii="Arial Narrow" w:eastAsia="Calibri" w:hAnsi="Arial Narrow" w:cs="Calibri"/>
                <w:snapToGrid/>
                <w:sz w:val="20"/>
              </w:rPr>
              <w:t xml:space="preserve">Patient must be aged 18 years or older </w:t>
            </w:r>
          </w:p>
        </w:tc>
      </w:tr>
    </w:tbl>
    <w:p w:rsidR="000C6403" w:rsidRPr="00882085" w:rsidRDefault="000C6403" w:rsidP="00D849EA">
      <w:pPr>
        <w:widowControl/>
      </w:pPr>
    </w:p>
    <w:p w:rsidR="00734933" w:rsidRPr="00A45921" w:rsidRDefault="00734933" w:rsidP="00E66A39">
      <w:pPr>
        <w:pStyle w:val="ListParagraph"/>
        <w:widowControl/>
        <w:numPr>
          <w:ilvl w:val="1"/>
          <w:numId w:val="3"/>
        </w:numPr>
        <w:rPr>
          <w:szCs w:val="22"/>
        </w:rPr>
      </w:pPr>
      <w:r w:rsidRPr="003B076F">
        <w:t xml:space="preserve">Listing was sought on the basis that </w:t>
      </w:r>
      <w:proofErr w:type="spellStart"/>
      <w:r w:rsidRPr="003B076F">
        <w:t>somatropin</w:t>
      </w:r>
      <w:proofErr w:type="spellEnd"/>
      <w:r w:rsidRPr="003B076F">
        <w:t xml:space="preserve"> is cost</w:t>
      </w:r>
      <w:r>
        <w:t>-</w:t>
      </w:r>
      <w:r w:rsidRPr="003B076F">
        <w:t xml:space="preserve">effective compared </w:t>
      </w:r>
      <w:r>
        <w:t>with</w:t>
      </w:r>
      <w:r w:rsidR="000013CC">
        <w:t xml:space="preserve"> standard care (SC).</w:t>
      </w:r>
    </w:p>
    <w:p w:rsidR="00A45921" w:rsidRPr="00A45921" w:rsidRDefault="00A45921" w:rsidP="00A45921">
      <w:pPr>
        <w:pStyle w:val="ListParagraph"/>
        <w:widowControl/>
        <w:rPr>
          <w:szCs w:val="22"/>
        </w:rPr>
      </w:pPr>
    </w:p>
    <w:p w:rsidR="004442A8" w:rsidRPr="00A63EE8" w:rsidRDefault="001C51C9" w:rsidP="00E66A39">
      <w:pPr>
        <w:pStyle w:val="ListParagraph"/>
        <w:widowControl/>
        <w:numPr>
          <w:ilvl w:val="1"/>
          <w:numId w:val="3"/>
        </w:numPr>
        <w:rPr>
          <w:szCs w:val="22"/>
        </w:rPr>
      </w:pPr>
      <w:r w:rsidRPr="00A63EE8">
        <w:rPr>
          <w:szCs w:val="22"/>
        </w:rPr>
        <w:t xml:space="preserve">The ESC </w:t>
      </w:r>
      <w:r w:rsidR="009B234E" w:rsidRPr="00A63EE8">
        <w:rPr>
          <w:szCs w:val="22"/>
        </w:rPr>
        <w:t xml:space="preserve">noted that the recommencement criteria required a patient to be adherent to treatment. </w:t>
      </w:r>
      <w:r w:rsidR="00C71D85" w:rsidRPr="00A63EE8">
        <w:rPr>
          <w:szCs w:val="22"/>
        </w:rPr>
        <w:t>The ESC considered that this may refer to adherence during the previous course of treatment, noting that adherence could not be demonstrated wh</w:t>
      </w:r>
      <w:r w:rsidR="00962D03">
        <w:rPr>
          <w:szCs w:val="22"/>
        </w:rPr>
        <w:t>ile a patient is off treatment.</w:t>
      </w:r>
    </w:p>
    <w:p w:rsidR="004442A8" w:rsidRPr="00A63EE8" w:rsidRDefault="004442A8" w:rsidP="004442A8">
      <w:pPr>
        <w:pStyle w:val="ListParagraph"/>
        <w:rPr>
          <w:szCs w:val="22"/>
        </w:rPr>
      </w:pPr>
    </w:p>
    <w:p w:rsidR="004442A8" w:rsidRPr="00A63EE8" w:rsidRDefault="009B234E" w:rsidP="00E66A39">
      <w:pPr>
        <w:pStyle w:val="ListParagraph"/>
        <w:widowControl/>
        <w:numPr>
          <w:ilvl w:val="1"/>
          <w:numId w:val="3"/>
        </w:numPr>
        <w:rPr>
          <w:szCs w:val="22"/>
        </w:rPr>
      </w:pPr>
      <w:r w:rsidRPr="00A63EE8">
        <w:rPr>
          <w:szCs w:val="22"/>
        </w:rPr>
        <w:t xml:space="preserve">The ESC also noted that it was unclear how a patient who has previously </w:t>
      </w:r>
      <w:r w:rsidR="00E92EFD" w:rsidRPr="00A63EE8">
        <w:rPr>
          <w:szCs w:val="22"/>
        </w:rPr>
        <w:t xml:space="preserve">been treated with </w:t>
      </w:r>
      <w:proofErr w:type="spellStart"/>
      <w:r w:rsidR="00E92EFD" w:rsidRPr="00A63EE8">
        <w:rPr>
          <w:szCs w:val="22"/>
        </w:rPr>
        <w:t>somatropin</w:t>
      </w:r>
      <w:proofErr w:type="spellEnd"/>
      <w:r w:rsidRPr="00A63EE8">
        <w:rPr>
          <w:szCs w:val="22"/>
        </w:rPr>
        <w:t xml:space="preserve">, would qualify for treatment as they may not be able to meet the eligibility criteria for substantially impaired </w:t>
      </w:r>
      <w:proofErr w:type="spellStart"/>
      <w:r w:rsidRPr="00A63EE8">
        <w:rPr>
          <w:szCs w:val="22"/>
        </w:rPr>
        <w:t>QoL</w:t>
      </w:r>
      <w:proofErr w:type="spellEnd"/>
      <w:r w:rsidRPr="00A63EE8">
        <w:rPr>
          <w:szCs w:val="22"/>
        </w:rPr>
        <w:t xml:space="preserve"> at baseline. </w:t>
      </w:r>
      <w:r w:rsidR="007B3EFC" w:rsidRPr="00A63EE8">
        <w:rPr>
          <w:szCs w:val="22"/>
        </w:rPr>
        <w:t>For instance, the current PBS</w:t>
      </w:r>
      <w:r w:rsidR="006F2415" w:rsidRPr="00A63EE8">
        <w:rPr>
          <w:szCs w:val="22"/>
        </w:rPr>
        <w:t xml:space="preserve"> eligibility</w:t>
      </w:r>
      <w:r w:rsidR="007B3EFC" w:rsidRPr="00A63EE8">
        <w:rPr>
          <w:szCs w:val="22"/>
        </w:rPr>
        <w:t xml:space="preserve"> criteria for children accessing </w:t>
      </w:r>
      <w:proofErr w:type="spellStart"/>
      <w:r w:rsidR="007B3EFC" w:rsidRPr="00A63EE8">
        <w:rPr>
          <w:szCs w:val="22"/>
        </w:rPr>
        <w:t>somatropin</w:t>
      </w:r>
      <w:proofErr w:type="spellEnd"/>
      <w:r w:rsidR="007B3EFC" w:rsidRPr="00A63EE8">
        <w:rPr>
          <w:szCs w:val="22"/>
        </w:rPr>
        <w:t xml:space="preserve"> do not include </w:t>
      </w:r>
      <w:proofErr w:type="spellStart"/>
      <w:r w:rsidR="007B3EFC" w:rsidRPr="00A63EE8">
        <w:rPr>
          <w:szCs w:val="22"/>
        </w:rPr>
        <w:t>QoL</w:t>
      </w:r>
      <w:proofErr w:type="spellEnd"/>
      <w:r w:rsidR="007B3EFC" w:rsidRPr="00A63EE8">
        <w:rPr>
          <w:szCs w:val="22"/>
        </w:rPr>
        <w:t xml:space="preserve"> measurements.</w:t>
      </w:r>
      <w:r w:rsidR="00E2246A" w:rsidRPr="00A63EE8">
        <w:rPr>
          <w:szCs w:val="22"/>
        </w:rPr>
        <w:t xml:space="preserve"> The ESC also noted that no re-assessment period was stipulated</w:t>
      </w:r>
      <w:r w:rsidR="007204C1" w:rsidRPr="00A63EE8">
        <w:rPr>
          <w:szCs w:val="22"/>
        </w:rPr>
        <w:t>, and no definition of what constituted a break in therapy was proposed.</w:t>
      </w:r>
    </w:p>
    <w:p w:rsidR="004442A8" w:rsidRPr="00A63EE8" w:rsidRDefault="004442A8" w:rsidP="004442A8">
      <w:pPr>
        <w:pStyle w:val="ListParagraph"/>
        <w:rPr>
          <w:szCs w:val="22"/>
        </w:rPr>
      </w:pPr>
    </w:p>
    <w:p w:rsidR="00E2246A" w:rsidRPr="00A63EE8" w:rsidRDefault="00A624C5" w:rsidP="00E66A39">
      <w:pPr>
        <w:pStyle w:val="ListParagraph"/>
        <w:widowControl/>
        <w:numPr>
          <w:ilvl w:val="1"/>
          <w:numId w:val="3"/>
        </w:numPr>
        <w:rPr>
          <w:szCs w:val="22"/>
        </w:rPr>
      </w:pPr>
      <w:r w:rsidRPr="00A63EE8">
        <w:rPr>
          <w:szCs w:val="22"/>
        </w:rPr>
        <w:t xml:space="preserve">The resubmission proposed initiation criteria, which included that patients must have peak GH concentrations &lt;3 µg/l following </w:t>
      </w:r>
      <w:r w:rsidR="0059157A" w:rsidRPr="00A63EE8">
        <w:rPr>
          <w:szCs w:val="22"/>
        </w:rPr>
        <w:t xml:space="preserve">an </w:t>
      </w:r>
      <w:r w:rsidR="00F34A1D" w:rsidRPr="00A63EE8">
        <w:rPr>
          <w:szCs w:val="22"/>
        </w:rPr>
        <w:t>insulin tolerance test</w:t>
      </w:r>
      <w:r w:rsidRPr="00A63EE8">
        <w:rPr>
          <w:szCs w:val="22"/>
        </w:rPr>
        <w:t xml:space="preserve">. The ESC noted </w:t>
      </w:r>
      <w:r w:rsidRPr="00A63EE8">
        <w:rPr>
          <w:szCs w:val="22"/>
        </w:rPr>
        <w:lastRenderedPageBreak/>
        <w:t xml:space="preserve">that the </w:t>
      </w:r>
      <w:r w:rsidR="003A6D78" w:rsidRPr="00A63EE8">
        <w:rPr>
          <w:szCs w:val="22"/>
        </w:rPr>
        <w:t>approved</w:t>
      </w:r>
      <w:r w:rsidRPr="00A63EE8">
        <w:rPr>
          <w:szCs w:val="22"/>
        </w:rPr>
        <w:t xml:space="preserve"> Product Information(s) required patients to have peak GH concentrations &lt;2.5 µg/l following </w:t>
      </w:r>
      <w:r w:rsidR="0059157A" w:rsidRPr="00A63EE8">
        <w:rPr>
          <w:szCs w:val="22"/>
        </w:rPr>
        <w:t xml:space="preserve">an </w:t>
      </w:r>
      <w:r w:rsidR="00F34A1D" w:rsidRPr="00A63EE8">
        <w:rPr>
          <w:szCs w:val="22"/>
        </w:rPr>
        <w:t>insulin tolerance test</w:t>
      </w:r>
      <w:r w:rsidRPr="00A63EE8">
        <w:rPr>
          <w:szCs w:val="22"/>
        </w:rPr>
        <w:t>.</w:t>
      </w:r>
      <w:r w:rsidR="003A6D78" w:rsidRPr="00A63EE8">
        <w:rPr>
          <w:szCs w:val="22"/>
        </w:rPr>
        <w:t xml:space="preserve">  Extending PBS restriction to include patients with peak GH concentration above the level stipulated in the PI could be construed as PBS subsidy of off-label prescribing.</w:t>
      </w:r>
    </w:p>
    <w:p w:rsidR="003A6D78" w:rsidRPr="00A63EE8" w:rsidRDefault="003A6D78" w:rsidP="003A6D78">
      <w:pPr>
        <w:pStyle w:val="ListParagraph"/>
        <w:rPr>
          <w:szCs w:val="22"/>
        </w:rPr>
      </w:pPr>
    </w:p>
    <w:p w:rsidR="00577285" w:rsidRDefault="003A6D78" w:rsidP="00E66A39">
      <w:pPr>
        <w:pStyle w:val="ListParagraph"/>
        <w:widowControl/>
        <w:numPr>
          <w:ilvl w:val="1"/>
          <w:numId w:val="3"/>
        </w:numPr>
      </w:pPr>
      <w:r w:rsidRPr="00A63EE8">
        <w:rPr>
          <w:szCs w:val="22"/>
        </w:rPr>
        <w:t>The proposed criteria include</w:t>
      </w:r>
      <w:r w:rsidR="005E40C3">
        <w:rPr>
          <w:szCs w:val="22"/>
        </w:rPr>
        <w:t>d</w:t>
      </w:r>
      <w:r w:rsidRPr="00A63EE8">
        <w:rPr>
          <w:szCs w:val="22"/>
        </w:rPr>
        <w:t xml:space="preserve"> assessment of </w:t>
      </w:r>
      <w:proofErr w:type="spellStart"/>
      <w:r w:rsidR="005E40C3">
        <w:rPr>
          <w:szCs w:val="22"/>
        </w:rPr>
        <w:t>QoL</w:t>
      </w:r>
      <w:proofErr w:type="spellEnd"/>
      <w:r w:rsidRPr="00A63EE8">
        <w:rPr>
          <w:szCs w:val="22"/>
        </w:rPr>
        <w:t xml:space="preserve"> using the Quality of Life Assessment of Growth Hormone Deficiency in Adults instrument (</w:t>
      </w:r>
      <w:proofErr w:type="spellStart"/>
      <w:r w:rsidRPr="00A63EE8">
        <w:rPr>
          <w:szCs w:val="22"/>
        </w:rPr>
        <w:t>QoL</w:t>
      </w:r>
      <w:proofErr w:type="spellEnd"/>
      <w:r w:rsidRPr="00A63EE8">
        <w:rPr>
          <w:szCs w:val="22"/>
        </w:rPr>
        <w:t xml:space="preserve">-AGHDA).  The </w:t>
      </w:r>
      <w:r w:rsidR="00F24853" w:rsidRPr="00A63EE8">
        <w:rPr>
          <w:szCs w:val="22"/>
        </w:rPr>
        <w:t xml:space="preserve">self-administered </w:t>
      </w:r>
      <w:proofErr w:type="spellStart"/>
      <w:r w:rsidRPr="00A63EE8">
        <w:rPr>
          <w:szCs w:val="22"/>
        </w:rPr>
        <w:t>QoL</w:t>
      </w:r>
      <w:proofErr w:type="spellEnd"/>
      <w:r w:rsidRPr="00A63EE8">
        <w:rPr>
          <w:szCs w:val="22"/>
        </w:rPr>
        <w:t xml:space="preserve">-AGHDA instrument comprises a set of </w:t>
      </w:r>
      <w:r w:rsidR="008C6AE9" w:rsidRPr="00A63EE8">
        <w:rPr>
          <w:szCs w:val="22"/>
        </w:rPr>
        <w:t xml:space="preserve">25 </w:t>
      </w:r>
      <w:r w:rsidRPr="00A63EE8">
        <w:rPr>
          <w:szCs w:val="22"/>
        </w:rPr>
        <w:t>binary (yes/no) questions</w:t>
      </w:r>
      <w:r w:rsidR="003641A1" w:rsidRPr="00A63EE8">
        <w:rPr>
          <w:szCs w:val="22"/>
        </w:rPr>
        <w:t xml:space="preserve"> such as, “I lack confidence” or, “I have difficulty controlling my emotions</w:t>
      </w:r>
      <w:r w:rsidR="00595DF2" w:rsidRPr="00A63EE8">
        <w:rPr>
          <w:szCs w:val="22"/>
        </w:rPr>
        <w:t>”.</w:t>
      </w:r>
      <w:r w:rsidR="003641A1" w:rsidRPr="00A63EE8">
        <w:rPr>
          <w:szCs w:val="22"/>
        </w:rPr>
        <w:t xml:space="preserve"> </w:t>
      </w:r>
      <w:r w:rsidR="008C6AE9" w:rsidRPr="00A63EE8">
        <w:t xml:space="preserve">The items in the </w:t>
      </w:r>
      <w:proofErr w:type="spellStart"/>
      <w:r w:rsidR="008C6AE9" w:rsidRPr="00A63EE8">
        <w:t>QoL</w:t>
      </w:r>
      <w:proofErr w:type="spellEnd"/>
      <w:r w:rsidR="008C6AE9" w:rsidRPr="00A63EE8">
        <w:t xml:space="preserve">-AGDHA are expressed as unsatisfied needs. A score of 1 is given to each item affirmed and these are summed to give the total score. Consequently, a high score on the measure represents poor </w:t>
      </w:r>
      <w:proofErr w:type="spellStart"/>
      <w:r w:rsidR="009D62A9">
        <w:t>QoL</w:t>
      </w:r>
      <w:proofErr w:type="spellEnd"/>
      <w:r w:rsidR="008C6AE9" w:rsidRPr="00A63EE8">
        <w:t>.</w:t>
      </w:r>
    </w:p>
    <w:p w:rsidR="00BD5183" w:rsidRDefault="00BD5183" w:rsidP="00BD5183">
      <w:pPr>
        <w:pStyle w:val="ListParagraph"/>
      </w:pPr>
    </w:p>
    <w:p w:rsidR="008C6AE9" w:rsidRDefault="00B07C2C" w:rsidP="002832B1">
      <w:pPr>
        <w:pStyle w:val="ListParagraph"/>
        <w:widowControl/>
        <w:numPr>
          <w:ilvl w:val="1"/>
          <w:numId w:val="3"/>
        </w:numPr>
      </w:pPr>
      <w:r>
        <w:t>In its Pre-PBAC R</w:t>
      </w:r>
      <w:r w:rsidR="00BD5183">
        <w:t>esponse</w:t>
      </w:r>
      <w:r>
        <w:t xml:space="preserve"> (p2), the applicant noted that the</w:t>
      </w:r>
      <w:r w:rsidR="00BD5183" w:rsidRPr="00BD5183">
        <w:t xml:space="preserve"> </w:t>
      </w:r>
      <w:proofErr w:type="spellStart"/>
      <w:r w:rsidR="00BD5183" w:rsidRPr="00BD5183">
        <w:t>QoL</w:t>
      </w:r>
      <w:proofErr w:type="spellEnd"/>
      <w:r w:rsidR="00BD5183" w:rsidRPr="00BD5183">
        <w:t xml:space="preserve">-AGHDA has been recognised by the UK National Institute for Health and Clinical Excellence Committee as the best validated evaluation tool available for the assessment of </w:t>
      </w:r>
      <w:proofErr w:type="spellStart"/>
      <w:r w:rsidR="00BD5183" w:rsidRPr="00BD5183">
        <w:t>QoL</w:t>
      </w:r>
      <w:proofErr w:type="spellEnd"/>
      <w:r w:rsidR="00BD5183" w:rsidRPr="00BD5183">
        <w:t xml:space="preserve"> in adults</w:t>
      </w:r>
      <w:r>
        <w:t xml:space="preserve"> with GHD</w:t>
      </w:r>
      <w:r w:rsidR="00BD5183" w:rsidRPr="00BD5183">
        <w:t xml:space="preserve">. </w:t>
      </w:r>
      <w:r w:rsidR="006C4E8B">
        <w:t xml:space="preserve">Whilst acknowledging the subjective nature of the </w:t>
      </w:r>
      <w:proofErr w:type="spellStart"/>
      <w:r w:rsidR="006C4E8B">
        <w:t>QoL</w:t>
      </w:r>
      <w:proofErr w:type="spellEnd"/>
      <w:r w:rsidR="006C4E8B">
        <w:t>-AGHDA, the resubmission stated that the proposed eligibility criteria required patients to have established hypothalamic-pituitary disease and biochemically-</w:t>
      </w:r>
      <w:r w:rsidR="00346576">
        <w:t>confirmed severe</w:t>
      </w:r>
      <w:r w:rsidR="006C4E8B">
        <w:t xml:space="preserve"> GHD, and therefore, </w:t>
      </w:r>
      <w:r w:rsidR="00485A7C">
        <w:t xml:space="preserve">it was </w:t>
      </w:r>
      <w:r w:rsidR="006C4E8B">
        <w:t>argued that this minimised the risk of leakage beyond the proposed PBS population.</w:t>
      </w:r>
    </w:p>
    <w:p w:rsidR="002832B1" w:rsidRDefault="002832B1" w:rsidP="00C91E69">
      <w:pPr>
        <w:pStyle w:val="ListParagraph"/>
        <w:ind w:left="709"/>
        <w:rPr>
          <w:i/>
          <w:szCs w:val="22"/>
          <w:highlight w:val="yellow"/>
        </w:rPr>
      </w:pPr>
    </w:p>
    <w:p w:rsidR="00C91E69" w:rsidRDefault="00C91E69" w:rsidP="00C91E69">
      <w:pPr>
        <w:pStyle w:val="ListParagraph"/>
        <w:ind w:left="709"/>
        <w:rPr>
          <w:i/>
          <w:szCs w:val="22"/>
        </w:rPr>
      </w:pPr>
      <w:r w:rsidRPr="002832B1">
        <w:rPr>
          <w:i/>
          <w:szCs w:val="22"/>
        </w:rPr>
        <w:t>For more detail on PBAC’s view, see section 7 “PBAC outcome”</w:t>
      </w:r>
      <w:r w:rsidR="003B7D67">
        <w:rPr>
          <w:i/>
          <w:szCs w:val="22"/>
        </w:rPr>
        <w:t>.</w:t>
      </w:r>
    </w:p>
    <w:p w:rsidR="008C6AE9" w:rsidRDefault="008C6AE9" w:rsidP="008C6AE9">
      <w:pPr>
        <w:widowControl/>
      </w:pPr>
    </w:p>
    <w:p w:rsidR="00C91E69" w:rsidRPr="00B96291" w:rsidRDefault="00C91E69" w:rsidP="008C6AE9">
      <w:pPr>
        <w:widowControl/>
      </w:pPr>
    </w:p>
    <w:p w:rsidR="00734933" w:rsidRPr="00B96291" w:rsidRDefault="00734933" w:rsidP="00D849EA">
      <w:pPr>
        <w:pStyle w:val="PBACheading1"/>
      </w:pPr>
      <w:bookmarkStart w:id="3" w:name="_Toc461555456"/>
      <w:r w:rsidRPr="00B96291">
        <w:rPr>
          <w:b/>
        </w:rPr>
        <w:t>Background</w:t>
      </w:r>
      <w:bookmarkEnd w:id="3"/>
    </w:p>
    <w:p w:rsidR="00734933" w:rsidRPr="00882085" w:rsidRDefault="00734933" w:rsidP="00D849EA">
      <w:pPr>
        <w:widowControl/>
        <w:rPr>
          <w:szCs w:val="22"/>
        </w:rPr>
      </w:pPr>
    </w:p>
    <w:p w:rsidR="00734933" w:rsidRPr="00205443" w:rsidRDefault="00241928" w:rsidP="00E66A39">
      <w:pPr>
        <w:pStyle w:val="ListParagraph"/>
        <w:widowControl/>
        <w:numPr>
          <w:ilvl w:val="1"/>
          <w:numId w:val="2"/>
        </w:numPr>
        <w:ind w:left="709"/>
        <w:rPr>
          <w:szCs w:val="22"/>
        </w:rPr>
      </w:pPr>
      <w:r w:rsidRPr="00205443">
        <w:rPr>
          <w:b/>
          <w:bCs/>
          <w:szCs w:val="22"/>
        </w:rPr>
        <w:t>TGA status</w:t>
      </w:r>
      <w:r w:rsidR="00B97E9A">
        <w:rPr>
          <w:b/>
          <w:bCs/>
          <w:szCs w:val="22"/>
        </w:rPr>
        <w:t xml:space="preserve"> at the time of PBAC consideration</w:t>
      </w:r>
      <w:r w:rsidRPr="00205443">
        <w:rPr>
          <w:b/>
          <w:bCs/>
          <w:szCs w:val="22"/>
        </w:rPr>
        <w:t>:</w:t>
      </w:r>
      <w:r w:rsidRPr="00205443">
        <w:rPr>
          <w:bCs/>
          <w:szCs w:val="22"/>
        </w:rPr>
        <w:t xml:space="preserve"> </w:t>
      </w:r>
      <w:r w:rsidR="00734933" w:rsidRPr="00205443">
        <w:rPr>
          <w:szCs w:val="22"/>
        </w:rPr>
        <w:t xml:space="preserve">there are five </w:t>
      </w:r>
      <w:proofErr w:type="spellStart"/>
      <w:r w:rsidR="00734933" w:rsidRPr="00205443">
        <w:rPr>
          <w:szCs w:val="22"/>
        </w:rPr>
        <w:t>somatropin</w:t>
      </w:r>
      <w:proofErr w:type="spellEnd"/>
      <w:r w:rsidR="00734933" w:rsidRPr="00205443">
        <w:rPr>
          <w:szCs w:val="22"/>
        </w:rPr>
        <w:t xml:space="preserve"> brands currently TGA </w:t>
      </w:r>
      <w:r w:rsidR="000C2B9F">
        <w:rPr>
          <w:szCs w:val="22"/>
        </w:rPr>
        <w:t>registered</w:t>
      </w:r>
      <w:r w:rsidR="00734933" w:rsidRPr="00205443">
        <w:rPr>
          <w:szCs w:val="22"/>
        </w:rPr>
        <w:t xml:space="preserve"> for the treat</w:t>
      </w:r>
      <w:r w:rsidR="00D3347A">
        <w:rPr>
          <w:szCs w:val="22"/>
        </w:rPr>
        <w:t>ment of adults with severe GHD.</w:t>
      </w:r>
    </w:p>
    <w:p w:rsidR="00734933" w:rsidRPr="001971A6" w:rsidRDefault="00734933" w:rsidP="00D849EA">
      <w:pPr>
        <w:widowControl/>
      </w:pPr>
    </w:p>
    <w:p w:rsidR="00734933" w:rsidRPr="00BE4BE6" w:rsidRDefault="007D094A" w:rsidP="00E66A39">
      <w:pPr>
        <w:pStyle w:val="ListParagraph"/>
        <w:widowControl/>
        <w:numPr>
          <w:ilvl w:val="1"/>
          <w:numId w:val="2"/>
        </w:numPr>
        <w:rPr>
          <w:szCs w:val="22"/>
        </w:rPr>
      </w:pPr>
      <w:proofErr w:type="spellStart"/>
      <w:r>
        <w:rPr>
          <w:szCs w:val="22"/>
        </w:rPr>
        <w:t>Somatropin</w:t>
      </w:r>
      <w:proofErr w:type="spellEnd"/>
      <w:r>
        <w:rPr>
          <w:szCs w:val="22"/>
        </w:rPr>
        <w:t xml:space="preserve"> is currently listed on the PBS for a range of paediatric indications</w:t>
      </w:r>
      <w:r w:rsidR="00EE73F5">
        <w:rPr>
          <w:szCs w:val="22"/>
        </w:rPr>
        <w:t>.</w:t>
      </w:r>
      <w:r>
        <w:rPr>
          <w:szCs w:val="22"/>
        </w:rPr>
        <w:t xml:space="preserve"> </w:t>
      </w:r>
      <w:proofErr w:type="spellStart"/>
      <w:r w:rsidR="00734933" w:rsidRPr="009F6AB1">
        <w:rPr>
          <w:szCs w:val="22"/>
        </w:rPr>
        <w:t>Somatropin</w:t>
      </w:r>
      <w:proofErr w:type="spellEnd"/>
      <w:r w:rsidR="00734933" w:rsidRPr="009F6AB1">
        <w:rPr>
          <w:szCs w:val="22"/>
        </w:rPr>
        <w:t xml:space="preserve"> </w:t>
      </w:r>
      <w:r w:rsidR="00814223">
        <w:rPr>
          <w:szCs w:val="22"/>
        </w:rPr>
        <w:t xml:space="preserve">for the treatment of adults with severe GHD </w:t>
      </w:r>
      <w:r w:rsidR="00734933" w:rsidRPr="009F6AB1">
        <w:rPr>
          <w:szCs w:val="22"/>
        </w:rPr>
        <w:t xml:space="preserve">was previously considered by </w:t>
      </w:r>
      <w:r w:rsidR="00814223">
        <w:rPr>
          <w:szCs w:val="22"/>
        </w:rPr>
        <w:t xml:space="preserve">the </w:t>
      </w:r>
      <w:r w:rsidR="00734933" w:rsidRPr="009F6AB1">
        <w:rPr>
          <w:szCs w:val="22"/>
        </w:rPr>
        <w:t xml:space="preserve">PBAC in December 2001 and in July 2011. </w:t>
      </w:r>
      <w:r w:rsidR="00814223">
        <w:rPr>
          <w:szCs w:val="22"/>
        </w:rPr>
        <w:t xml:space="preserve">The evaluation of this </w:t>
      </w:r>
      <w:r w:rsidR="00014970">
        <w:rPr>
          <w:szCs w:val="22"/>
        </w:rPr>
        <w:t>resubmission</w:t>
      </w:r>
      <w:r w:rsidR="00814223">
        <w:rPr>
          <w:szCs w:val="22"/>
        </w:rPr>
        <w:t xml:space="preserve"> was focussed on </w:t>
      </w:r>
      <w:r w:rsidR="00734933">
        <w:rPr>
          <w:szCs w:val="22"/>
        </w:rPr>
        <w:t xml:space="preserve">changes from the most recent </w:t>
      </w:r>
      <w:r w:rsidR="00014970">
        <w:rPr>
          <w:szCs w:val="22"/>
        </w:rPr>
        <w:t>resubmission</w:t>
      </w:r>
      <w:r w:rsidR="00734933">
        <w:rPr>
          <w:szCs w:val="22"/>
        </w:rPr>
        <w:t>.</w:t>
      </w:r>
      <w:r w:rsidR="00AD10C5">
        <w:rPr>
          <w:szCs w:val="22"/>
        </w:rPr>
        <w:t xml:space="preserve"> </w:t>
      </w:r>
      <w:r w:rsidR="000251DB" w:rsidRPr="00BE4BE6">
        <w:rPr>
          <w:szCs w:val="22"/>
        </w:rPr>
        <w:t>The ESC noted that the trials presented in the July 2011 resubmission were small, heterogeneous studies with limited follow up. The long</w:t>
      </w:r>
      <w:r w:rsidR="00BE4BE6">
        <w:rPr>
          <w:szCs w:val="22"/>
        </w:rPr>
        <w:t>-</w:t>
      </w:r>
      <w:r w:rsidR="000251DB" w:rsidRPr="00BE4BE6">
        <w:rPr>
          <w:szCs w:val="22"/>
        </w:rPr>
        <w:t xml:space="preserve">term effectiveness of </w:t>
      </w:r>
      <w:proofErr w:type="spellStart"/>
      <w:r w:rsidR="000251DB" w:rsidRPr="00BE4BE6">
        <w:rPr>
          <w:szCs w:val="22"/>
        </w:rPr>
        <w:t>somatropin</w:t>
      </w:r>
      <w:proofErr w:type="spellEnd"/>
      <w:r w:rsidR="000251DB" w:rsidRPr="00BE4BE6">
        <w:rPr>
          <w:szCs w:val="22"/>
        </w:rPr>
        <w:t xml:space="preserve"> was uncertain.</w:t>
      </w:r>
    </w:p>
    <w:p w:rsidR="00734933" w:rsidRPr="009F6AB1" w:rsidRDefault="00734933" w:rsidP="00D849EA">
      <w:pPr>
        <w:widowControl/>
        <w:rPr>
          <w:szCs w:val="22"/>
        </w:rPr>
      </w:pPr>
    </w:p>
    <w:p w:rsidR="00734933" w:rsidRPr="00ED0F04" w:rsidRDefault="006B13D0" w:rsidP="00D849EA">
      <w:pPr>
        <w:widowControl/>
        <w:ind w:firstLine="720"/>
        <w:rPr>
          <w:rStyle w:val="CommentReference"/>
        </w:rPr>
      </w:pPr>
      <w:r>
        <w:rPr>
          <w:rStyle w:val="CommentReference"/>
        </w:rPr>
        <w:t xml:space="preserve">Table 1: </w:t>
      </w:r>
      <w:r w:rsidR="00734933" w:rsidRPr="00ED0F04">
        <w:rPr>
          <w:rStyle w:val="CommentReference"/>
        </w:rPr>
        <w:t xml:space="preserve">Summary of the previous submission and current </w:t>
      </w:r>
      <w:r w:rsidR="00014970">
        <w:rPr>
          <w:rStyle w:val="CommentReference"/>
        </w:rPr>
        <w:t>resubmission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3685"/>
        <w:gridCol w:w="3402"/>
      </w:tblGrid>
      <w:tr w:rsidR="00734933" w:rsidRPr="003B7D67" w:rsidTr="00854465">
        <w:trPr>
          <w:cantSplit/>
          <w:trHeight w:val="220"/>
          <w:tblHeader/>
        </w:trPr>
        <w:tc>
          <w:tcPr>
            <w:tcW w:w="1276" w:type="dxa"/>
          </w:tcPr>
          <w:p w:rsidR="00734933" w:rsidRPr="003B7D67" w:rsidRDefault="00734933" w:rsidP="00D849EA">
            <w:pPr>
              <w:widowControl/>
              <w:jc w:val="left"/>
              <w:rPr>
                <w:rFonts w:ascii="Arial Narrow" w:hAnsi="Arial Narrow"/>
                <w:sz w:val="20"/>
              </w:rPr>
            </w:pPr>
          </w:p>
        </w:tc>
        <w:tc>
          <w:tcPr>
            <w:tcW w:w="3685" w:type="dxa"/>
            <w:vAlign w:val="center"/>
          </w:tcPr>
          <w:p w:rsidR="00734933" w:rsidRPr="003B7D67" w:rsidRDefault="00734933" w:rsidP="00D849EA">
            <w:pPr>
              <w:widowControl/>
              <w:jc w:val="center"/>
              <w:rPr>
                <w:rFonts w:ascii="Arial Narrow" w:hAnsi="Arial Narrow"/>
                <w:b/>
                <w:sz w:val="20"/>
              </w:rPr>
            </w:pPr>
            <w:proofErr w:type="spellStart"/>
            <w:r w:rsidRPr="003B7D67">
              <w:rPr>
                <w:rFonts w:ascii="Arial Narrow" w:hAnsi="Arial Narrow"/>
                <w:b/>
                <w:sz w:val="20"/>
              </w:rPr>
              <w:t>Somatropin</w:t>
            </w:r>
            <w:proofErr w:type="spellEnd"/>
            <w:r w:rsidRPr="003B7D67">
              <w:rPr>
                <w:rFonts w:ascii="Arial Narrow" w:hAnsi="Arial Narrow"/>
                <w:b/>
                <w:sz w:val="20"/>
              </w:rPr>
              <w:t xml:space="preserve"> July 2011</w:t>
            </w:r>
          </w:p>
        </w:tc>
        <w:tc>
          <w:tcPr>
            <w:tcW w:w="3402" w:type="dxa"/>
            <w:vAlign w:val="center"/>
          </w:tcPr>
          <w:p w:rsidR="00734933" w:rsidRPr="003B7D67" w:rsidRDefault="00734933" w:rsidP="00D849EA">
            <w:pPr>
              <w:widowControl/>
              <w:jc w:val="center"/>
              <w:rPr>
                <w:rFonts w:ascii="Arial Narrow" w:hAnsi="Arial Narrow"/>
                <w:b/>
                <w:sz w:val="20"/>
              </w:rPr>
            </w:pPr>
            <w:r w:rsidRPr="003B7D67">
              <w:rPr>
                <w:rFonts w:ascii="Arial Narrow" w:hAnsi="Arial Narrow"/>
                <w:b/>
                <w:sz w:val="20"/>
              </w:rPr>
              <w:t xml:space="preserve">Current </w:t>
            </w:r>
            <w:r w:rsidR="00014970" w:rsidRPr="003B7D67">
              <w:rPr>
                <w:rFonts w:ascii="Arial Narrow" w:hAnsi="Arial Narrow"/>
                <w:b/>
                <w:sz w:val="20"/>
              </w:rPr>
              <w:t>resubmission</w:t>
            </w:r>
          </w:p>
        </w:tc>
      </w:tr>
      <w:tr w:rsidR="00734933" w:rsidRPr="003B7D67" w:rsidTr="00854465">
        <w:trPr>
          <w:cantSplit/>
          <w:trHeight w:val="264"/>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Requested PBS listing</w:t>
            </w:r>
          </w:p>
        </w:tc>
        <w:tc>
          <w:tcPr>
            <w:tcW w:w="3685"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For adults with severe GHD.</w:t>
            </w:r>
          </w:p>
          <w:p w:rsidR="00734933" w:rsidRPr="003B7D67" w:rsidRDefault="00734933" w:rsidP="00D849EA">
            <w:pPr>
              <w:widowControl/>
              <w:jc w:val="left"/>
              <w:rPr>
                <w:rFonts w:ascii="Arial Narrow" w:hAnsi="Arial Narrow"/>
                <w:sz w:val="20"/>
              </w:rPr>
            </w:pPr>
            <w:r w:rsidRPr="003B7D67">
              <w:rPr>
                <w:rFonts w:ascii="Arial Narrow" w:hAnsi="Arial Narrow"/>
                <w:sz w:val="20"/>
              </w:rPr>
              <w:t xml:space="preserve">Minimum requirement of </w:t>
            </w:r>
            <w:proofErr w:type="spellStart"/>
            <w:r w:rsidRPr="003B7D67">
              <w:rPr>
                <w:rFonts w:ascii="Arial Narrow" w:hAnsi="Arial Narrow"/>
                <w:sz w:val="20"/>
              </w:rPr>
              <w:t>QoL</w:t>
            </w:r>
            <w:proofErr w:type="spellEnd"/>
            <w:r w:rsidRPr="003B7D67">
              <w:rPr>
                <w:rFonts w:ascii="Arial Narrow" w:hAnsi="Arial Narrow"/>
                <w:sz w:val="20"/>
              </w:rPr>
              <w:t>-AGHDA ≥15.</w:t>
            </w:r>
          </w:p>
          <w:p w:rsidR="005150F6" w:rsidRPr="003B7D67" w:rsidRDefault="005150F6" w:rsidP="00D849EA">
            <w:pPr>
              <w:widowControl/>
              <w:jc w:val="left"/>
              <w:rPr>
                <w:rFonts w:ascii="Arial Narrow" w:hAnsi="Arial Narrow"/>
                <w:sz w:val="20"/>
              </w:rPr>
            </w:pPr>
            <w:r w:rsidRPr="003B7D67">
              <w:rPr>
                <w:rFonts w:ascii="Arial Narrow" w:hAnsi="Arial Narrow"/>
                <w:sz w:val="20"/>
              </w:rPr>
              <w:t>Peak GH concentration &lt;2.5 µg/l following an ITT</w:t>
            </w:r>
          </w:p>
          <w:p w:rsidR="00734933" w:rsidRPr="003B7D67" w:rsidRDefault="00734933" w:rsidP="00D849EA">
            <w:pPr>
              <w:widowControl/>
              <w:jc w:val="left"/>
              <w:rPr>
                <w:rFonts w:ascii="Arial Narrow" w:hAnsi="Arial Narrow"/>
                <w:b/>
                <w:sz w:val="20"/>
              </w:rPr>
            </w:pPr>
            <w:r w:rsidRPr="003B7D67">
              <w:rPr>
                <w:rFonts w:ascii="Arial Narrow" w:hAnsi="Arial Narrow"/>
                <w:sz w:val="20"/>
              </w:rPr>
              <w:t>≥3 pituitary hormone deficiencies and an IGF-1 level below the age-specific reference range.</w:t>
            </w:r>
          </w:p>
          <w:p w:rsidR="00F555AD" w:rsidRDefault="00F555AD" w:rsidP="00D849EA">
            <w:pPr>
              <w:widowControl/>
              <w:jc w:val="left"/>
              <w:rPr>
                <w:rFonts w:ascii="Arial Narrow" w:hAnsi="Arial Narrow"/>
                <w:b/>
                <w:sz w:val="20"/>
              </w:rPr>
            </w:pPr>
          </w:p>
          <w:p w:rsidR="00734933" w:rsidRPr="003B7D67" w:rsidRDefault="00734933" w:rsidP="00D849EA">
            <w:pPr>
              <w:widowControl/>
              <w:jc w:val="left"/>
              <w:rPr>
                <w:rFonts w:ascii="Arial Narrow" w:hAnsi="Arial Narrow"/>
                <w:sz w:val="20"/>
              </w:rPr>
            </w:pPr>
            <w:r w:rsidRPr="003B7D67">
              <w:rPr>
                <w:rFonts w:ascii="Arial Narrow" w:hAnsi="Arial Narrow"/>
                <w:b/>
                <w:sz w:val="20"/>
              </w:rPr>
              <w:t xml:space="preserve">PBAC Comment: </w:t>
            </w:r>
            <w:r w:rsidRPr="003B7D67">
              <w:rPr>
                <w:rFonts w:ascii="Arial Narrow" w:hAnsi="Arial Narrow"/>
                <w:sz w:val="20"/>
              </w:rPr>
              <w:t>None</w:t>
            </w:r>
          </w:p>
        </w:tc>
        <w:tc>
          <w:tcPr>
            <w:tcW w:w="3402"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 xml:space="preserve">Requested listing for </w:t>
            </w:r>
            <w:r w:rsidR="00490925" w:rsidRPr="003B7D67">
              <w:rPr>
                <w:rFonts w:ascii="Arial Narrow" w:hAnsi="Arial Narrow"/>
                <w:sz w:val="20"/>
              </w:rPr>
              <w:t>i</w:t>
            </w:r>
            <w:r w:rsidRPr="003B7D67">
              <w:rPr>
                <w:rFonts w:ascii="Arial Narrow" w:hAnsi="Arial Narrow"/>
                <w:sz w:val="20"/>
              </w:rPr>
              <w:t>nitial treatment, continuation treatment and recommencement of treatment.</w:t>
            </w:r>
          </w:p>
          <w:p w:rsidR="00734933" w:rsidRPr="003B7D67" w:rsidRDefault="00734933" w:rsidP="00D849EA">
            <w:pPr>
              <w:widowControl/>
              <w:jc w:val="left"/>
              <w:rPr>
                <w:rFonts w:ascii="Arial Narrow" w:hAnsi="Arial Narrow"/>
                <w:sz w:val="20"/>
              </w:rPr>
            </w:pPr>
            <w:r w:rsidRPr="003B7D67">
              <w:rPr>
                <w:rFonts w:ascii="Arial Narrow" w:hAnsi="Arial Narrow"/>
                <w:sz w:val="20"/>
                <w:u w:val="single"/>
              </w:rPr>
              <w:t>Main changes:</w:t>
            </w:r>
          </w:p>
          <w:p w:rsidR="00734933" w:rsidRPr="003B7D67" w:rsidRDefault="00734933" w:rsidP="00D849EA">
            <w:pPr>
              <w:widowControl/>
              <w:jc w:val="left"/>
              <w:rPr>
                <w:rFonts w:ascii="Arial Narrow" w:hAnsi="Arial Narrow"/>
                <w:sz w:val="20"/>
              </w:rPr>
            </w:pPr>
            <w:r w:rsidRPr="003B7D67">
              <w:rPr>
                <w:rFonts w:ascii="Arial Narrow" w:hAnsi="Arial Narrow"/>
                <w:sz w:val="20"/>
              </w:rPr>
              <w:t xml:space="preserve">Minimum requirement of </w:t>
            </w:r>
            <w:proofErr w:type="spellStart"/>
            <w:r w:rsidRPr="003B7D67">
              <w:rPr>
                <w:rFonts w:ascii="Arial Narrow" w:hAnsi="Arial Narrow"/>
                <w:sz w:val="20"/>
              </w:rPr>
              <w:t>QoL</w:t>
            </w:r>
            <w:proofErr w:type="spellEnd"/>
            <w:r w:rsidRPr="003B7D67">
              <w:rPr>
                <w:rFonts w:ascii="Arial Narrow" w:hAnsi="Arial Narrow"/>
                <w:sz w:val="20"/>
              </w:rPr>
              <w:t xml:space="preserve">-AGHDA ≥16; </w:t>
            </w:r>
          </w:p>
          <w:p w:rsidR="00734933" w:rsidRPr="003B7D67" w:rsidRDefault="00734933" w:rsidP="00D849EA">
            <w:pPr>
              <w:widowControl/>
              <w:jc w:val="left"/>
              <w:rPr>
                <w:rFonts w:ascii="Arial Narrow" w:hAnsi="Arial Narrow"/>
                <w:sz w:val="20"/>
              </w:rPr>
            </w:pPr>
            <w:r w:rsidRPr="003B7D67">
              <w:rPr>
                <w:rFonts w:ascii="Arial Narrow" w:hAnsi="Arial Narrow"/>
                <w:sz w:val="20"/>
              </w:rPr>
              <w:t>IGF-1 test not required at the initiation of treatment.</w:t>
            </w:r>
          </w:p>
          <w:p w:rsidR="005150F6" w:rsidRPr="003B7D67" w:rsidRDefault="005150F6" w:rsidP="00D849EA">
            <w:pPr>
              <w:widowControl/>
              <w:jc w:val="left"/>
              <w:rPr>
                <w:rFonts w:ascii="Arial Narrow" w:hAnsi="Arial Narrow"/>
                <w:sz w:val="20"/>
              </w:rPr>
            </w:pPr>
            <w:r w:rsidRPr="003B7D67">
              <w:rPr>
                <w:rFonts w:ascii="Arial Narrow" w:hAnsi="Arial Narrow"/>
                <w:sz w:val="20"/>
              </w:rPr>
              <w:t>Peak GH concentrations &lt;3 µg/l following ITT</w:t>
            </w:r>
          </w:p>
        </w:tc>
      </w:tr>
      <w:tr w:rsidR="00734933" w:rsidRPr="003B7D67" w:rsidTr="00854465">
        <w:trPr>
          <w:cantSplit/>
          <w:trHeight w:val="370"/>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lastRenderedPageBreak/>
              <w:t>Clinical evidence</w:t>
            </w:r>
          </w:p>
        </w:tc>
        <w:tc>
          <w:tcPr>
            <w:tcW w:w="3685"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39 RCTs</w:t>
            </w:r>
          </w:p>
          <w:p w:rsidR="00734933" w:rsidRPr="003B7D67" w:rsidRDefault="00734933" w:rsidP="00D849EA">
            <w:pPr>
              <w:widowControl/>
              <w:jc w:val="left"/>
              <w:rPr>
                <w:rFonts w:ascii="Arial Narrow" w:hAnsi="Arial Narrow"/>
                <w:sz w:val="20"/>
              </w:rPr>
            </w:pPr>
            <w:r w:rsidRPr="003B7D67">
              <w:rPr>
                <w:rFonts w:ascii="Arial Narrow" w:hAnsi="Arial Narrow"/>
                <w:sz w:val="20"/>
              </w:rPr>
              <w:t>KIMS database used in economic evaluation</w:t>
            </w:r>
          </w:p>
          <w:p w:rsidR="00F555AD" w:rsidRDefault="00F555AD" w:rsidP="00D849EA">
            <w:pPr>
              <w:widowControl/>
              <w:jc w:val="left"/>
              <w:rPr>
                <w:rFonts w:ascii="Arial Narrow" w:hAnsi="Arial Narrow"/>
                <w:b/>
                <w:sz w:val="20"/>
              </w:rPr>
            </w:pPr>
          </w:p>
          <w:p w:rsidR="00734933" w:rsidRPr="003B7D67" w:rsidRDefault="00734933" w:rsidP="00D849EA">
            <w:pPr>
              <w:widowControl/>
              <w:jc w:val="left"/>
              <w:rPr>
                <w:rFonts w:ascii="Arial Narrow" w:hAnsi="Arial Narrow"/>
                <w:sz w:val="20"/>
              </w:rPr>
            </w:pPr>
            <w:r w:rsidRPr="003B7D67">
              <w:rPr>
                <w:rFonts w:ascii="Arial Narrow" w:hAnsi="Arial Narrow"/>
                <w:b/>
                <w:sz w:val="20"/>
              </w:rPr>
              <w:t>PBAC Comment:</w:t>
            </w:r>
            <w:r w:rsidRPr="003B7D67">
              <w:rPr>
                <w:rFonts w:ascii="Arial Narrow" w:hAnsi="Arial Narrow"/>
                <w:sz w:val="20"/>
              </w:rPr>
              <w:t xml:space="preserve"> Patient population in trial</w:t>
            </w:r>
            <w:r w:rsidR="00F675D8" w:rsidRPr="003B7D67">
              <w:rPr>
                <w:rFonts w:ascii="Arial Narrow" w:hAnsi="Arial Narrow"/>
                <w:sz w:val="20"/>
              </w:rPr>
              <w:t>s</w:t>
            </w:r>
            <w:r w:rsidRPr="003B7D67">
              <w:rPr>
                <w:rFonts w:ascii="Arial Narrow" w:hAnsi="Arial Narrow"/>
                <w:sz w:val="20"/>
              </w:rPr>
              <w:t xml:space="preserve"> not applicable to PBS population (PSD, July 2011, </w:t>
            </w:r>
            <w:proofErr w:type="spellStart"/>
            <w:r w:rsidRPr="003B7D67">
              <w:rPr>
                <w:rFonts w:ascii="Arial Narrow" w:hAnsi="Arial Narrow"/>
                <w:sz w:val="20"/>
              </w:rPr>
              <w:t>somatropin</w:t>
            </w:r>
            <w:proofErr w:type="spellEnd"/>
            <w:r w:rsidRPr="003B7D67">
              <w:rPr>
                <w:rFonts w:ascii="Arial Narrow" w:hAnsi="Arial Narrow"/>
                <w:sz w:val="20"/>
              </w:rPr>
              <w:t>, p10, paragraph 12)</w:t>
            </w:r>
          </w:p>
        </w:tc>
        <w:tc>
          <w:tcPr>
            <w:tcW w:w="3402" w:type="dxa"/>
          </w:tcPr>
          <w:p w:rsidR="00734933" w:rsidRPr="003B7D67" w:rsidRDefault="00734933" w:rsidP="00096CBA">
            <w:pPr>
              <w:widowControl/>
              <w:jc w:val="left"/>
              <w:rPr>
                <w:rFonts w:ascii="Arial Narrow" w:hAnsi="Arial Narrow"/>
                <w:sz w:val="20"/>
              </w:rPr>
            </w:pPr>
            <w:proofErr w:type="spellStart"/>
            <w:r w:rsidRPr="003B7D67">
              <w:rPr>
                <w:rFonts w:ascii="Arial Narrow" w:hAnsi="Arial Narrow"/>
                <w:sz w:val="20"/>
              </w:rPr>
              <w:t>Holdaway</w:t>
            </w:r>
            <w:proofErr w:type="spellEnd"/>
            <w:r w:rsidRPr="003B7D67">
              <w:rPr>
                <w:rFonts w:ascii="Arial Narrow" w:hAnsi="Arial Narrow"/>
                <w:sz w:val="20"/>
              </w:rPr>
              <w:t xml:space="preserve"> et al. (2015) observational </w:t>
            </w:r>
            <w:r w:rsidR="005150F6" w:rsidRPr="003B7D67">
              <w:rPr>
                <w:rFonts w:ascii="Arial Narrow" w:hAnsi="Arial Narrow"/>
                <w:sz w:val="20"/>
              </w:rPr>
              <w:t xml:space="preserve">non-comparative </w:t>
            </w:r>
            <w:r w:rsidRPr="003B7D67">
              <w:rPr>
                <w:rFonts w:ascii="Arial Narrow" w:hAnsi="Arial Narrow"/>
                <w:sz w:val="20"/>
              </w:rPr>
              <w:t>study.</w:t>
            </w:r>
          </w:p>
        </w:tc>
      </w:tr>
      <w:tr w:rsidR="00734933" w:rsidRPr="003B7D67" w:rsidTr="00854465">
        <w:trPr>
          <w:cantSplit/>
          <w:trHeight w:val="1064"/>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Key effectiveness data</w:t>
            </w:r>
          </w:p>
        </w:tc>
        <w:tc>
          <w:tcPr>
            <w:tcW w:w="3685" w:type="dxa"/>
          </w:tcPr>
          <w:p w:rsidR="00734933" w:rsidRPr="003B7D67" w:rsidRDefault="00734933" w:rsidP="00D849EA">
            <w:pPr>
              <w:widowControl/>
              <w:jc w:val="left"/>
              <w:rPr>
                <w:rFonts w:ascii="Arial Narrow" w:hAnsi="Arial Narrow"/>
                <w:sz w:val="20"/>
              </w:rPr>
            </w:pPr>
            <w:proofErr w:type="spellStart"/>
            <w:r w:rsidRPr="003B7D67">
              <w:rPr>
                <w:rFonts w:ascii="Arial Narrow" w:hAnsi="Arial Narrow"/>
                <w:sz w:val="20"/>
              </w:rPr>
              <w:t>QoL</w:t>
            </w:r>
            <w:proofErr w:type="spellEnd"/>
            <w:r w:rsidRPr="003B7D67">
              <w:rPr>
                <w:rFonts w:ascii="Arial Narrow" w:hAnsi="Arial Narrow"/>
                <w:sz w:val="20"/>
              </w:rPr>
              <w:t>-AGHDA: no baseline or improvement values presented;</w:t>
            </w:r>
          </w:p>
          <w:p w:rsidR="00734933" w:rsidRPr="003B7D67" w:rsidRDefault="00734933" w:rsidP="00D849EA">
            <w:pPr>
              <w:widowControl/>
              <w:jc w:val="left"/>
              <w:rPr>
                <w:rFonts w:ascii="Arial Narrow" w:hAnsi="Arial Narrow"/>
                <w:sz w:val="20"/>
              </w:rPr>
            </w:pPr>
            <w:r w:rsidRPr="003B7D67">
              <w:rPr>
                <w:rFonts w:ascii="Arial Narrow" w:hAnsi="Arial Narrow"/>
                <w:sz w:val="20"/>
              </w:rPr>
              <w:t>PGWB;</w:t>
            </w:r>
          </w:p>
          <w:p w:rsidR="00734933" w:rsidRPr="003B7D67" w:rsidRDefault="00734933" w:rsidP="00D849EA">
            <w:pPr>
              <w:widowControl/>
              <w:jc w:val="left"/>
              <w:rPr>
                <w:rFonts w:ascii="Arial Narrow" w:hAnsi="Arial Narrow"/>
                <w:sz w:val="20"/>
              </w:rPr>
            </w:pPr>
            <w:r w:rsidRPr="003B7D67">
              <w:rPr>
                <w:rFonts w:ascii="Arial Narrow" w:hAnsi="Arial Narrow"/>
                <w:sz w:val="20"/>
              </w:rPr>
              <w:t>Body composition (lean body mass and fat mass)</w:t>
            </w:r>
          </w:p>
          <w:p w:rsidR="00F555AD" w:rsidRDefault="00F555AD" w:rsidP="00D849EA">
            <w:pPr>
              <w:widowControl/>
              <w:jc w:val="left"/>
              <w:rPr>
                <w:rFonts w:ascii="Arial Narrow" w:hAnsi="Arial Narrow"/>
                <w:b/>
                <w:sz w:val="20"/>
              </w:rPr>
            </w:pPr>
          </w:p>
          <w:p w:rsidR="00734933" w:rsidRPr="003B7D67" w:rsidRDefault="00734933" w:rsidP="00D849EA">
            <w:pPr>
              <w:widowControl/>
              <w:jc w:val="left"/>
              <w:rPr>
                <w:rFonts w:ascii="Arial Narrow" w:hAnsi="Arial Narrow"/>
                <w:sz w:val="20"/>
              </w:rPr>
            </w:pPr>
            <w:r w:rsidRPr="003B7D67">
              <w:rPr>
                <w:rFonts w:ascii="Arial Narrow" w:hAnsi="Arial Narrow"/>
                <w:b/>
                <w:sz w:val="20"/>
              </w:rPr>
              <w:t>PBAC Comment:</w:t>
            </w:r>
            <w:r w:rsidRPr="003B7D67">
              <w:rPr>
                <w:rFonts w:ascii="Arial Narrow" w:hAnsi="Arial Narrow"/>
                <w:sz w:val="20"/>
              </w:rPr>
              <w:t xml:space="preserve"> </w:t>
            </w:r>
            <w:proofErr w:type="spellStart"/>
            <w:r w:rsidRPr="003B7D67">
              <w:rPr>
                <w:rFonts w:ascii="Arial Narrow" w:hAnsi="Arial Narrow"/>
                <w:sz w:val="20"/>
              </w:rPr>
              <w:t>QoL</w:t>
            </w:r>
            <w:proofErr w:type="spellEnd"/>
            <w:r w:rsidRPr="003B7D67">
              <w:rPr>
                <w:rFonts w:ascii="Arial Narrow" w:hAnsi="Arial Narrow"/>
                <w:sz w:val="20"/>
              </w:rPr>
              <w:t xml:space="preserve">-AGHDA baseline was not an eligibility criterion in the trials, this limited applicability (PSD, July 2011, </w:t>
            </w:r>
            <w:proofErr w:type="spellStart"/>
            <w:r w:rsidRPr="003B7D67">
              <w:rPr>
                <w:rFonts w:ascii="Arial Narrow" w:hAnsi="Arial Narrow"/>
                <w:sz w:val="20"/>
              </w:rPr>
              <w:t>somatropin</w:t>
            </w:r>
            <w:proofErr w:type="spellEnd"/>
            <w:r w:rsidRPr="003B7D67">
              <w:rPr>
                <w:rFonts w:ascii="Arial Narrow" w:hAnsi="Arial Narrow"/>
                <w:sz w:val="20"/>
              </w:rPr>
              <w:t>, p10, paragraph 12).</w:t>
            </w:r>
          </w:p>
        </w:tc>
        <w:tc>
          <w:tcPr>
            <w:tcW w:w="3402" w:type="dxa"/>
          </w:tcPr>
          <w:p w:rsidR="00734933" w:rsidRPr="003B7D67" w:rsidRDefault="00734933" w:rsidP="00D849EA">
            <w:pPr>
              <w:widowControl/>
              <w:jc w:val="left"/>
              <w:rPr>
                <w:rFonts w:ascii="Arial Narrow" w:hAnsi="Arial Narrow"/>
                <w:sz w:val="20"/>
              </w:rPr>
            </w:pPr>
            <w:proofErr w:type="spellStart"/>
            <w:r w:rsidRPr="003B7D67">
              <w:rPr>
                <w:rFonts w:ascii="Arial Narrow" w:hAnsi="Arial Narrow"/>
                <w:sz w:val="20"/>
              </w:rPr>
              <w:t>QoL</w:t>
            </w:r>
            <w:proofErr w:type="spellEnd"/>
            <w:r w:rsidRPr="003B7D67">
              <w:rPr>
                <w:rFonts w:ascii="Arial Narrow" w:hAnsi="Arial Narrow"/>
                <w:sz w:val="20"/>
              </w:rPr>
              <w:t>-AGHDA mean score improvement of 13 points;</w:t>
            </w:r>
          </w:p>
          <w:p w:rsidR="00734933" w:rsidRPr="003B7D67" w:rsidRDefault="00734933" w:rsidP="00D849EA">
            <w:pPr>
              <w:widowControl/>
              <w:jc w:val="left"/>
              <w:rPr>
                <w:rFonts w:ascii="Arial Narrow" w:hAnsi="Arial Narrow"/>
                <w:sz w:val="20"/>
              </w:rPr>
            </w:pPr>
            <w:r w:rsidRPr="003B7D67">
              <w:rPr>
                <w:rFonts w:ascii="Arial Narrow" w:hAnsi="Arial Narrow"/>
                <w:sz w:val="20"/>
              </w:rPr>
              <w:t>IGF-1 score improvement to within 1 SD from the mean (appropriate for age and gender).</w:t>
            </w:r>
          </w:p>
        </w:tc>
      </w:tr>
      <w:tr w:rsidR="00734933" w:rsidRPr="003B7D67" w:rsidTr="00854465">
        <w:trPr>
          <w:cantSplit/>
          <w:trHeight w:val="860"/>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Key safety data</w:t>
            </w:r>
          </w:p>
        </w:tc>
        <w:tc>
          <w:tcPr>
            <w:tcW w:w="3685"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Presented combined adverse events from the clinical trial reports, a summary of adverse events reported from publications and results from unpublished study.</w:t>
            </w:r>
          </w:p>
          <w:p w:rsidR="00734933" w:rsidRPr="003B7D67" w:rsidRDefault="00734933" w:rsidP="00D849EA">
            <w:pPr>
              <w:widowControl/>
              <w:jc w:val="left"/>
              <w:rPr>
                <w:rFonts w:ascii="Arial Narrow" w:hAnsi="Arial Narrow"/>
                <w:sz w:val="20"/>
              </w:rPr>
            </w:pPr>
            <w:r w:rsidRPr="003B7D67">
              <w:rPr>
                <w:rFonts w:ascii="Arial Narrow" w:hAnsi="Arial Narrow"/>
                <w:sz w:val="20"/>
              </w:rPr>
              <w:t xml:space="preserve">Additional data from PI, open-label period of the clinical trials, PSUR (up to March 2009), two observational studies KIMS and </w:t>
            </w:r>
            <w:proofErr w:type="spellStart"/>
            <w:r w:rsidRPr="003B7D67">
              <w:rPr>
                <w:rFonts w:ascii="Arial Narrow" w:hAnsi="Arial Narrow"/>
                <w:sz w:val="20"/>
              </w:rPr>
              <w:t>HypoCSS</w:t>
            </w:r>
            <w:proofErr w:type="spellEnd"/>
            <w:r w:rsidRPr="003B7D67">
              <w:rPr>
                <w:rFonts w:ascii="Arial Narrow" w:hAnsi="Arial Narrow"/>
                <w:sz w:val="20"/>
              </w:rPr>
              <w:t>. Most common adverse events from KIMS were arthralgia, influenza-like symptoms, upper respiratory tract infection and headache.</w:t>
            </w:r>
          </w:p>
          <w:p w:rsidR="00F555AD" w:rsidRDefault="00F555AD" w:rsidP="00D849EA">
            <w:pPr>
              <w:widowControl/>
              <w:jc w:val="left"/>
              <w:rPr>
                <w:rFonts w:ascii="Arial Narrow" w:hAnsi="Arial Narrow"/>
                <w:b/>
                <w:sz w:val="20"/>
              </w:rPr>
            </w:pPr>
          </w:p>
          <w:p w:rsidR="00734933" w:rsidRPr="003B7D67" w:rsidRDefault="00734933" w:rsidP="00D849EA">
            <w:pPr>
              <w:widowControl/>
              <w:jc w:val="left"/>
              <w:rPr>
                <w:rFonts w:ascii="Arial Narrow" w:hAnsi="Arial Narrow"/>
                <w:sz w:val="20"/>
              </w:rPr>
            </w:pPr>
            <w:r w:rsidRPr="003B7D67">
              <w:rPr>
                <w:rFonts w:ascii="Arial Narrow" w:hAnsi="Arial Narrow"/>
                <w:b/>
                <w:sz w:val="20"/>
              </w:rPr>
              <w:t>PBAC Comment:</w:t>
            </w:r>
            <w:r w:rsidRPr="003B7D67">
              <w:rPr>
                <w:rFonts w:ascii="Arial Narrow" w:hAnsi="Arial Narrow"/>
                <w:sz w:val="20"/>
              </w:rPr>
              <w:t xml:space="preserve"> None.</w:t>
            </w:r>
          </w:p>
        </w:tc>
        <w:tc>
          <w:tcPr>
            <w:tcW w:w="3402"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 xml:space="preserve">No data was presented from </w:t>
            </w:r>
            <w:proofErr w:type="spellStart"/>
            <w:r w:rsidRPr="003B7D67">
              <w:rPr>
                <w:rFonts w:ascii="Arial Narrow" w:hAnsi="Arial Narrow"/>
                <w:sz w:val="20"/>
              </w:rPr>
              <w:t>Holdaway</w:t>
            </w:r>
            <w:proofErr w:type="spellEnd"/>
            <w:r w:rsidRPr="003B7D67">
              <w:rPr>
                <w:rFonts w:ascii="Arial Narrow" w:hAnsi="Arial Narrow"/>
                <w:sz w:val="20"/>
              </w:rPr>
              <w:t xml:space="preserve"> et al. (2015); an update PSURs for the five brands were presented in Section B.8</w:t>
            </w:r>
          </w:p>
        </w:tc>
      </w:tr>
      <w:tr w:rsidR="00060FB9" w:rsidRPr="003B7D67" w:rsidTr="00854465">
        <w:trPr>
          <w:cantSplit/>
          <w:trHeight w:val="860"/>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Clinical claim</w:t>
            </w:r>
          </w:p>
        </w:tc>
        <w:tc>
          <w:tcPr>
            <w:tcW w:w="3685" w:type="dxa"/>
          </w:tcPr>
          <w:p w:rsidR="00734933" w:rsidRPr="003B7D67" w:rsidRDefault="00734933" w:rsidP="00D849EA">
            <w:pPr>
              <w:widowControl/>
              <w:jc w:val="left"/>
              <w:rPr>
                <w:rFonts w:ascii="Arial Narrow" w:hAnsi="Arial Narrow"/>
                <w:b/>
                <w:sz w:val="20"/>
              </w:rPr>
            </w:pPr>
            <w:proofErr w:type="spellStart"/>
            <w:r w:rsidRPr="003B7D67">
              <w:rPr>
                <w:rFonts w:ascii="Arial Narrow" w:hAnsi="Arial Narrow"/>
                <w:sz w:val="20"/>
              </w:rPr>
              <w:t>Somatropin</w:t>
            </w:r>
            <w:proofErr w:type="spellEnd"/>
            <w:r w:rsidRPr="003B7D67">
              <w:rPr>
                <w:rFonts w:ascii="Arial Narrow" w:hAnsi="Arial Narrow"/>
                <w:sz w:val="20"/>
              </w:rPr>
              <w:t xml:space="preserve"> is superior in terms of comparative clinical effectiveness with respect to </w:t>
            </w:r>
            <w:proofErr w:type="spellStart"/>
            <w:r w:rsidRPr="003B7D67">
              <w:rPr>
                <w:rFonts w:ascii="Arial Narrow" w:hAnsi="Arial Narrow"/>
                <w:sz w:val="20"/>
              </w:rPr>
              <w:t>QoL</w:t>
            </w:r>
            <w:proofErr w:type="spellEnd"/>
            <w:r w:rsidRPr="003B7D67">
              <w:rPr>
                <w:rFonts w:ascii="Arial Narrow" w:hAnsi="Arial Narrow"/>
                <w:sz w:val="20"/>
              </w:rPr>
              <w:t>, a</w:t>
            </w:r>
            <w:r w:rsidR="00A717EC" w:rsidRPr="003B7D67">
              <w:rPr>
                <w:rFonts w:ascii="Arial Narrow" w:hAnsi="Arial Narrow"/>
                <w:sz w:val="20"/>
              </w:rPr>
              <w:t xml:space="preserve">nd </w:t>
            </w:r>
            <w:r w:rsidRPr="003B7D67">
              <w:rPr>
                <w:rFonts w:ascii="Arial Narrow" w:hAnsi="Arial Narrow"/>
                <w:sz w:val="20"/>
              </w:rPr>
              <w:t xml:space="preserve">inferior in terms of comparative safety, compared with </w:t>
            </w:r>
            <w:r w:rsidR="00A717EC" w:rsidRPr="003B7D67">
              <w:rPr>
                <w:rFonts w:ascii="Arial Narrow" w:hAnsi="Arial Narrow"/>
                <w:sz w:val="20"/>
              </w:rPr>
              <w:t>placebo</w:t>
            </w:r>
            <w:r w:rsidRPr="003B7D67">
              <w:rPr>
                <w:rFonts w:ascii="Arial Narrow" w:hAnsi="Arial Narrow"/>
                <w:sz w:val="20"/>
              </w:rPr>
              <w:t>.</w:t>
            </w:r>
          </w:p>
          <w:p w:rsidR="00F555AD" w:rsidRDefault="00F555AD" w:rsidP="00B679B8">
            <w:pPr>
              <w:widowControl/>
              <w:jc w:val="left"/>
              <w:rPr>
                <w:rFonts w:ascii="Arial Narrow" w:hAnsi="Arial Narrow"/>
                <w:b/>
                <w:sz w:val="20"/>
              </w:rPr>
            </w:pPr>
          </w:p>
          <w:p w:rsidR="00734933" w:rsidRPr="003B7D67" w:rsidRDefault="00734933" w:rsidP="00B679B8">
            <w:pPr>
              <w:widowControl/>
              <w:jc w:val="left"/>
              <w:rPr>
                <w:rFonts w:ascii="Arial Narrow" w:hAnsi="Arial Narrow"/>
                <w:b/>
                <w:sz w:val="20"/>
              </w:rPr>
            </w:pPr>
            <w:r w:rsidRPr="003B7D67">
              <w:rPr>
                <w:rFonts w:ascii="Arial Narrow" w:hAnsi="Arial Narrow"/>
                <w:b/>
                <w:sz w:val="20"/>
              </w:rPr>
              <w:t>PBAC Comment:</w:t>
            </w:r>
            <w:r w:rsidRPr="003B7D67">
              <w:rPr>
                <w:rFonts w:ascii="Arial Narrow" w:hAnsi="Arial Narrow"/>
                <w:sz w:val="20"/>
              </w:rPr>
              <w:t xml:space="preserve"> Effectiveness: the PBAC concluded that the evidence did not support a claim of superiority for </w:t>
            </w:r>
            <w:proofErr w:type="spellStart"/>
            <w:r w:rsidRPr="003B7D67">
              <w:rPr>
                <w:rFonts w:ascii="Arial Narrow" w:hAnsi="Arial Narrow"/>
                <w:sz w:val="20"/>
              </w:rPr>
              <w:t>somatropin</w:t>
            </w:r>
            <w:proofErr w:type="spellEnd"/>
            <w:r w:rsidRPr="003B7D67">
              <w:rPr>
                <w:rFonts w:ascii="Arial Narrow" w:hAnsi="Arial Narrow"/>
                <w:sz w:val="20"/>
              </w:rPr>
              <w:t xml:space="preserve"> over placebo in affecting an improvement in </w:t>
            </w:r>
            <w:proofErr w:type="spellStart"/>
            <w:r w:rsidRPr="003B7D67">
              <w:rPr>
                <w:rFonts w:ascii="Arial Narrow" w:hAnsi="Arial Narrow"/>
                <w:sz w:val="20"/>
              </w:rPr>
              <w:t>QoL</w:t>
            </w:r>
            <w:proofErr w:type="spellEnd"/>
            <w:r w:rsidRPr="003B7D67">
              <w:rPr>
                <w:rFonts w:ascii="Arial Narrow" w:hAnsi="Arial Narrow"/>
                <w:sz w:val="20"/>
              </w:rPr>
              <w:t xml:space="preserve">. Safety: PBAC accepted this claim </w:t>
            </w:r>
            <w:r w:rsidR="00B679B8" w:rsidRPr="003B7D67">
              <w:rPr>
                <w:rFonts w:ascii="Arial Narrow" w:hAnsi="Arial Narrow"/>
                <w:sz w:val="20"/>
              </w:rPr>
              <w:t>in short-term safety, but</w:t>
            </w:r>
            <w:r w:rsidRPr="003B7D67">
              <w:rPr>
                <w:rFonts w:ascii="Arial Narrow" w:hAnsi="Arial Narrow"/>
                <w:sz w:val="20"/>
              </w:rPr>
              <w:t xml:space="preserve"> considered that the long-term safety of </w:t>
            </w:r>
            <w:proofErr w:type="spellStart"/>
            <w:r w:rsidRPr="003B7D67">
              <w:rPr>
                <w:rFonts w:ascii="Arial Narrow" w:hAnsi="Arial Narrow"/>
                <w:sz w:val="20"/>
              </w:rPr>
              <w:t>somatropin</w:t>
            </w:r>
            <w:proofErr w:type="spellEnd"/>
            <w:r w:rsidRPr="003B7D67">
              <w:rPr>
                <w:rFonts w:ascii="Arial Narrow" w:hAnsi="Arial Narrow"/>
                <w:sz w:val="20"/>
              </w:rPr>
              <w:t xml:space="preserve"> was uncertain (PSD, PBAC July 2011, p.8, paragraph 9).</w:t>
            </w:r>
          </w:p>
        </w:tc>
        <w:tc>
          <w:tcPr>
            <w:tcW w:w="3402" w:type="dxa"/>
          </w:tcPr>
          <w:p w:rsidR="00734933" w:rsidRPr="003B7D67" w:rsidRDefault="00734933" w:rsidP="00D849EA">
            <w:pPr>
              <w:widowControl/>
              <w:jc w:val="left"/>
              <w:rPr>
                <w:rFonts w:ascii="Arial Narrow" w:hAnsi="Arial Narrow"/>
                <w:sz w:val="20"/>
              </w:rPr>
            </w:pPr>
            <w:proofErr w:type="spellStart"/>
            <w:r w:rsidRPr="003B7D67">
              <w:rPr>
                <w:rFonts w:ascii="Arial Narrow" w:hAnsi="Arial Narrow"/>
                <w:sz w:val="20"/>
              </w:rPr>
              <w:t>Somatropin</w:t>
            </w:r>
            <w:proofErr w:type="spellEnd"/>
            <w:r w:rsidRPr="003B7D67">
              <w:rPr>
                <w:rFonts w:ascii="Arial Narrow" w:hAnsi="Arial Narrow"/>
                <w:sz w:val="20"/>
              </w:rPr>
              <w:t xml:space="preserve"> is superior in terms of comparative effectiveness with respect to </w:t>
            </w:r>
            <w:proofErr w:type="spellStart"/>
            <w:r w:rsidRPr="003B7D67">
              <w:rPr>
                <w:rFonts w:ascii="Arial Narrow" w:hAnsi="Arial Narrow"/>
                <w:sz w:val="20"/>
              </w:rPr>
              <w:t>QoL</w:t>
            </w:r>
            <w:proofErr w:type="spellEnd"/>
            <w:r w:rsidRPr="003B7D67">
              <w:rPr>
                <w:rFonts w:ascii="Arial Narrow" w:hAnsi="Arial Narrow"/>
                <w:sz w:val="20"/>
              </w:rPr>
              <w:t xml:space="preserve"> and non-inferior in terms of comparative safety over standard care.</w:t>
            </w:r>
          </w:p>
        </w:tc>
      </w:tr>
      <w:tr w:rsidR="00734933" w:rsidRPr="003B7D67" w:rsidTr="00854465">
        <w:trPr>
          <w:cantSplit/>
          <w:trHeight w:val="917"/>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Economic evaluation</w:t>
            </w:r>
          </w:p>
        </w:tc>
        <w:tc>
          <w:tcPr>
            <w:tcW w:w="3685"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 xml:space="preserve">Cost-utility model with cost/QALY </w:t>
            </w:r>
            <w:r w:rsidR="00854465">
              <w:rPr>
                <w:rFonts w:ascii="Arial Narrow" w:hAnsi="Arial Narrow"/>
                <w:sz w:val="20"/>
              </w:rPr>
              <w:t>$45,000 - $75,000</w:t>
            </w:r>
            <w:r w:rsidR="00D3347A">
              <w:rPr>
                <w:rFonts w:ascii="Arial Narrow" w:hAnsi="Arial Narrow"/>
                <w:sz w:val="20"/>
              </w:rPr>
              <w:t>.</w:t>
            </w:r>
          </w:p>
          <w:p w:rsidR="00F555AD" w:rsidRDefault="00F555AD" w:rsidP="00D849EA">
            <w:pPr>
              <w:widowControl/>
              <w:jc w:val="left"/>
              <w:rPr>
                <w:rFonts w:ascii="Arial Narrow" w:hAnsi="Arial Narrow"/>
                <w:b/>
                <w:sz w:val="20"/>
              </w:rPr>
            </w:pPr>
          </w:p>
          <w:p w:rsidR="00734933" w:rsidRPr="003B7D67" w:rsidRDefault="00734933" w:rsidP="00D849EA">
            <w:pPr>
              <w:widowControl/>
              <w:jc w:val="left"/>
              <w:rPr>
                <w:rFonts w:ascii="Arial Narrow" w:hAnsi="Arial Narrow"/>
                <w:sz w:val="20"/>
              </w:rPr>
            </w:pPr>
            <w:r w:rsidRPr="003B7D67">
              <w:rPr>
                <w:rFonts w:ascii="Arial Narrow" w:hAnsi="Arial Narrow"/>
                <w:b/>
                <w:sz w:val="20"/>
              </w:rPr>
              <w:t xml:space="preserve">PBAC Comment: </w:t>
            </w:r>
            <w:r w:rsidRPr="003B7D67">
              <w:rPr>
                <w:rFonts w:ascii="Arial Narrow" w:hAnsi="Arial Narrow"/>
                <w:sz w:val="20"/>
              </w:rPr>
              <w:t xml:space="preserve">the ICER for </w:t>
            </w:r>
            <w:proofErr w:type="spellStart"/>
            <w:r w:rsidRPr="003B7D67">
              <w:rPr>
                <w:rFonts w:ascii="Arial Narrow" w:hAnsi="Arial Narrow"/>
                <w:sz w:val="20"/>
              </w:rPr>
              <w:t>somatropin</w:t>
            </w:r>
            <w:proofErr w:type="spellEnd"/>
            <w:r w:rsidRPr="003B7D67">
              <w:rPr>
                <w:rFonts w:ascii="Arial Narrow" w:hAnsi="Arial Narrow"/>
                <w:sz w:val="20"/>
              </w:rPr>
              <w:t xml:space="preserve"> compared to placebo treatment was likely to be higher (PSD, PBAC July 2011, p.8, paragraph 9).</w:t>
            </w:r>
          </w:p>
        </w:tc>
        <w:tc>
          <w:tcPr>
            <w:tcW w:w="3402"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 xml:space="preserve">Cost-utility model with cost/QALY: </w:t>
            </w:r>
            <w:r w:rsidR="00854465">
              <w:rPr>
                <w:rFonts w:ascii="Arial Narrow" w:hAnsi="Arial Narrow"/>
                <w:sz w:val="20"/>
              </w:rPr>
              <w:t>$15,000 - $45,000</w:t>
            </w:r>
          </w:p>
          <w:p w:rsidR="00734933" w:rsidRPr="003B7D67" w:rsidRDefault="00734933" w:rsidP="00854465">
            <w:pPr>
              <w:widowControl/>
              <w:jc w:val="left"/>
              <w:rPr>
                <w:rFonts w:ascii="Arial Narrow" w:hAnsi="Arial Narrow"/>
                <w:sz w:val="20"/>
              </w:rPr>
            </w:pPr>
            <w:r w:rsidRPr="003B7D67">
              <w:rPr>
                <w:rFonts w:ascii="Arial Narrow" w:hAnsi="Arial Narrow"/>
                <w:sz w:val="20"/>
              </w:rPr>
              <w:t xml:space="preserve">Sensitivity analysis for the change in </w:t>
            </w:r>
            <w:proofErr w:type="spellStart"/>
            <w:r w:rsidR="00964DE6" w:rsidRPr="003B7D67">
              <w:rPr>
                <w:rFonts w:ascii="Arial Narrow" w:hAnsi="Arial Narrow"/>
                <w:sz w:val="20"/>
              </w:rPr>
              <w:t>QoL</w:t>
            </w:r>
            <w:proofErr w:type="spellEnd"/>
            <w:r w:rsidRPr="003B7D67">
              <w:rPr>
                <w:rFonts w:ascii="Arial Narrow" w:hAnsi="Arial Narrow"/>
                <w:sz w:val="20"/>
              </w:rPr>
              <w:t xml:space="preserve">-AGHDA score from the baseline: </w:t>
            </w:r>
            <w:r w:rsidR="00854465">
              <w:rPr>
                <w:rFonts w:ascii="Arial Narrow" w:hAnsi="Arial Narrow"/>
                <w:sz w:val="20"/>
              </w:rPr>
              <w:t>$45,000 - $75,000</w:t>
            </w:r>
            <w:r w:rsidRPr="003B7D67">
              <w:rPr>
                <w:rFonts w:ascii="Arial Narrow" w:hAnsi="Arial Narrow"/>
                <w:sz w:val="20"/>
              </w:rPr>
              <w:t>.</w:t>
            </w:r>
          </w:p>
        </w:tc>
      </w:tr>
      <w:tr w:rsidR="00734933" w:rsidRPr="003B7D67" w:rsidTr="00854465">
        <w:trPr>
          <w:cantSplit/>
          <w:trHeight w:val="462"/>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Number of patients</w:t>
            </w:r>
          </w:p>
        </w:tc>
        <w:tc>
          <w:tcPr>
            <w:tcW w:w="3685" w:type="dxa"/>
          </w:tcPr>
          <w:p w:rsidR="00734933" w:rsidRPr="003B7D67" w:rsidRDefault="00854465" w:rsidP="00D849EA">
            <w:pPr>
              <w:widowControl/>
              <w:jc w:val="left"/>
              <w:rPr>
                <w:rFonts w:ascii="Arial Narrow" w:hAnsi="Arial Narrow"/>
                <w:sz w:val="20"/>
              </w:rPr>
            </w:pPr>
            <w:r>
              <w:rPr>
                <w:rFonts w:ascii="Arial Narrow" w:hAnsi="Arial Narrow"/>
                <w:sz w:val="20"/>
              </w:rPr>
              <w:t>Less than 10,000</w:t>
            </w:r>
            <w:r w:rsidR="00734933" w:rsidRPr="003B7D67">
              <w:rPr>
                <w:rFonts w:ascii="Arial Narrow" w:hAnsi="Arial Narrow"/>
                <w:sz w:val="20"/>
              </w:rPr>
              <w:t xml:space="preserve"> in Year 1 increasing to </w:t>
            </w:r>
            <w:r>
              <w:rPr>
                <w:rFonts w:ascii="Arial Narrow" w:hAnsi="Arial Narrow"/>
                <w:sz w:val="20"/>
              </w:rPr>
              <w:t>Less than 10,000</w:t>
            </w:r>
            <w:r w:rsidR="00734933" w:rsidRPr="003B7D67">
              <w:rPr>
                <w:rFonts w:ascii="Arial Narrow" w:hAnsi="Arial Narrow"/>
                <w:sz w:val="20"/>
              </w:rPr>
              <w:t xml:space="preserve"> in Year 5.</w:t>
            </w:r>
          </w:p>
          <w:p w:rsidR="00F555AD" w:rsidRDefault="00F555AD" w:rsidP="00D849EA">
            <w:pPr>
              <w:widowControl/>
              <w:jc w:val="left"/>
              <w:rPr>
                <w:rFonts w:ascii="Arial Narrow" w:hAnsi="Arial Narrow"/>
                <w:b/>
                <w:sz w:val="20"/>
              </w:rPr>
            </w:pPr>
          </w:p>
          <w:p w:rsidR="00734933" w:rsidRPr="003B7D67" w:rsidRDefault="00734933" w:rsidP="00D849EA">
            <w:pPr>
              <w:widowControl/>
              <w:jc w:val="left"/>
              <w:rPr>
                <w:rFonts w:ascii="Arial Narrow" w:hAnsi="Arial Narrow"/>
                <w:sz w:val="20"/>
              </w:rPr>
            </w:pPr>
            <w:r w:rsidRPr="003B7D67">
              <w:rPr>
                <w:rFonts w:ascii="Arial Narrow" w:hAnsi="Arial Narrow"/>
                <w:b/>
                <w:sz w:val="20"/>
              </w:rPr>
              <w:t>PBAC Comment:</w:t>
            </w:r>
            <w:r w:rsidRPr="003B7D67">
              <w:rPr>
                <w:rFonts w:ascii="Arial Narrow" w:hAnsi="Arial Narrow"/>
                <w:sz w:val="20"/>
              </w:rPr>
              <w:t xml:space="preserve"> None</w:t>
            </w:r>
          </w:p>
        </w:tc>
        <w:tc>
          <w:tcPr>
            <w:tcW w:w="3402" w:type="dxa"/>
          </w:tcPr>
          <w:p w:rsidR="00734933" w:rsidRPr="003B7D67" w:rsidRDefault="00854465" w:rsidP="00854465">
            <w:pPr>
              <w:widowControl/>
              <w:jc w:val="left"/>
              <w:rPr>
                <w:rFonts w:ascii="Arial Narrow" w:hAnsi="Arial Narrow"/>
                <w:sz w:val="20"/>
              </w:rPr>
            </w:pPr>
            <w:r>
              <w:rPr>
                <w:rFonts w:ascii="Arial Narrow" w:hAnsi="Arial Narrow"/>
                <w:sz w:val="20"/>
              </w:rPr>
              <w:t>Less than 10,000</w:t>
            </w:r>
            <w:r w:rsidR="00734933" w:rsidRPr="003B7D67">
              <w:rPr>
                <w:rFonts w:ascii="Arial Narrow" w:hAnsi="Arial Narrow"/>
                <w:sz w:val="20"/>
              </w:rPr>
              <w:t xml:space="preserve"> in Year 1 increasing to </w:t>
            </w:r>
            <w:r>
              <w:rPr>
                <w:rFonts w:ascii="Arial Narrow" w:hAnsi="Arial Narrow"/>
                <w:sz w:val="20"/>
              </w:rPr>
              <w:t>less than 10,000</w:t>
            </w:r>
            <w:r w:rsidR="00734933" w:rsidRPr="003B7D67">
              <w:rPr>
                <w:rFonts w:ascii="Arial Narrow" w:hAnsi="Arial Narrow"/>
                <w:sz w:val="20"/>
              </w:rPr>
              <w:t xml:space="preserve"> in Year 5.</w:t>
            </w:r>
          </w:p>
        </w:tc>
      </w:tr>
      <w:tr w:rsidR="00734933" w:rsidRPr="003B7D67" w:rsidTr="00854465">
        <w:trPr>
          <w:cantSplit/>
          <w:trHeight w:val="1080"/>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lastRenderedPageBreak/>
              <w:t>Estimated cost to PBS</w:t>
            </w:r>
          </w:p>
        </w:tc>
        <w:tc>
          <w:tcPr>
            <w:tcW w:w="3685" w:type="dxa"/>
          </w:tcPr>
          <w:p w:rsidR="00734933" w:rsidRPr="003B7D67" w:rsidRDefault="00854465" w:rsidP="00D849EA">
            <w:pPr>
              <w:widowControl/>
              <w:jc w:val="left"/>
              <w:rPr>
                <w:rFonts w:ascii="Arial Narrow" w:hAnsi="Arial Narrow"/>
                <w:sz w:val="20"/>
              </w:rPr>
            </w:pPr>
            <w:r>
              <w:rPr>
                <w:rFonts w:ascii="Arial Narrow" w:hAnsi="Arial Narrow"/>
                <w:sz w:val="20"/>
              </w:rPr>
              <w:t>Less than $10 million</w:t>
            </w:r>
            <w:r w:rsidR="00734933" w:rsidRPr="003B7D67">
              <w:rPr>
                <w:rFonts w:ascii="Arial Narrow" w:hAnsi="Arial Narrow"/>
                <w:sz w:val="20"/>
              </w:rPr>
              <w:t xml:space="preserve"> in Year 1 increasing to </w:t>
            </w:r>
            <w:r>
              <w:rPr>
                <w:rFonts w:ascii="Arial Narrow" w:hAnsi="Arial Narrow"/>
                <w:sz w:val="20"/>
              </w:rPr>
              <w:t>less than $10 million</w:t>
            </w:r>
            <w:r w:rsidR="00734933" w:rsidRPr="003B7D67">
              <w:rPr>
                <w:rFonts w:ascii="Arial Narrow" w:hAnsi="Arial Narrow"/>
                <w:sz w:val="20"/>
              </w:rPr>
              <w:t xml:space="preserve"> in Year 5 for a total of </w:t>
            </w:r>
            <w:r w:rsidR="00FC39A1">
              <w:rPr>
                <w:rFonts w:ascii="Arial Narrow" w:hAnsi="Arial Narrow"/>
                <w:sz w:val="20"/>
              </w:rPr>
              <w:t>$10 - $20 million</w:t>
            </w:r>
            <w:r w:rsidR="00734933" w:rsidRPr="003B7D67">
              <w:rPr>
                <w:rFonts w:ascii="Arial Narrow" w:hAnsi="Arial Narrow"/>
                <w:sz w:val="20"/>
              </w:rPr>
              <w:t xml:space="preserve"> over the first 5 years of listing.</w:t>
            </w:r>
          </w:p>
          <w:p w:rsidR="00734933" w:rsidRPr="003B7D67" w:rsidRDefault="00734933" w:rsidP="00D849EA">
            <w:pPr>
              <w:widowControl/>
              <w:jc w:val="left"/>
              <w:rPr>
                <w:rFonts w:ascii="Arial Narrow" w:hAnsi="Arial Narrow"/>
                <w:sz w:val="20"/>
              </w:rPr>
            </w:pPr>
            <w:r w:rsidRPr="003B7D67">
              <w:rPr>
                <w:rFonts w:ascii="Arial Narrow" w:hAnsi="Arial Narrow"/>
                <w:sz w:val="20"/>
              </w:rPr>
              <w:t>Excluded patient co-payment.</w:t>
            </w:r>
          </w:p>
          <w:p w:rsidR="00F555AD" w:rsidRDefault="00F555AD" w:rsidP="00D849EA">
            <w:pPr>
              <w:widowControl/>
              <w:jc w:val="left"/>
              <w:rPr>
                <w:rFonts w:ascii="Arial Narrow" w:hAnsi="Arial Narrow"/>
                <w:b/>
                <w:sz w:val="20"/>
              </w:rPr>
            </w:pPr>
          </w:p>
          <w:p w:rsidR="00734933" w:rsidRPr="003B7D67" w:rsidRDefault="00734933" w:rsidP="00D849EA">
            <w:pPr>
              <w:widowControl/>
              <w:jc w:val="left"/>
              <w:rPr>
                <w:rFonts w:ascii="Arial Narrow" w:hAnsi="Arial Narrow"/>
                <w:sz w:val="20"/>
              </w:rPr>
            </w:pPr>
            <w:r w:rsidRPr="003B7D67">
              <w:rPr>
                <w:rFonts w:ascii="Arial Narrow" w:hAnsi="Arial Narrow"/>
                <w:b/>
                <w:sz w:val="20"/>
              </w:rPr>
              <w:t>PBAC Comment:</w:t>
            </w:r>
            <w:r w:rsidRPr="003B7D67">
              <w:rPr>
                <w:rFonts w:ascii="Arial Narrow" w:hAnsi="Arial Narrow"/>
                <w:sz w:val="20"/>
              </w:rPr>
              <w:t xml:space="preserve"> None</w:t>
            </w:r>
          </w:p>
        </w:tc>
        <w:tc>
          <w:tcPr>
            <w:tcW w:w="3402" w:type="dxa"/>
          </w:tcPr>
          <w:p w:rsidR="00734933" w:rsidRPr="003B7D67" w:rsidRDefault="00FC39A1" w:rsidP="00D849EA">
            <w:pPr>
              <w:widowControl/>
              <w:jc w:val="left"/>
              <w:rPr>
                <w:rFonts w:ascii="Arial Narrow" w:hAnsi="Arial Narrow"/>
                <w:sz w:val="20"/>
              </w:rPr>
            </w:pPr>
            <w:r>
              <w:rPr>
                <w:rFonts w:ascii="Arial Narrow" w:hAnsi="Arial Narrow"/>
                <w:sz w:val="20"/>
              </w:rPr>
              <w:t>Less than $10 million</w:t>
            </w:r>
            <w:r w:rsidR="00734933" w:rsidRPr="003B7D67">
              <w:rPr>
                <w:rFonts w:ascii="Arial Narrow" w:hAnsi="Arial Narrow"/>
                <w:sz w:val="20"/>
              </w:rPr>
              <w:t xml:space="preserve"> in Year 1 increasing to </w:t>
            </w:r>
            <w:r>
              <w:rPr>
                <w:rFonts w:ascii="Arial Narrow" w:hAnsi="Arial Narrow"/>
                <w:sz w:val="20"/>
              </w:rPr>
              <w:t>less than $10 million</w:t>
            </w:r>
            <w:r w:rsidR="00734933" w:rsidRPr="003B7D67">
              <w:rPr>
                <w:rFonts w:ascii="Arial Narrow" w:hAnsi="Arial Narrow"/>
                <w:sz w:val="20"/>
              </w:rPr>
              <w:t xml:space="preserve"> in Year 5 for a total of over </w:t>
            </w:r>
            <w:r>
              <w:rPr>
                <w:rFonts w:ascii="Arial Narrow" w:hAnsi="Arial Narrow"/>
                <w:sz w:val="20"/>
              </w:rPr>
              <w:t>$10 - $20 million</w:t>
            </w:r>
            <w:r w:rsidRPr="003B7D67">
              <w:rPr>
                <w:rFonts w:ascii="Arial Narrow" w:hAnsi="Arial Narrow"/>
                <w:sz w:val="20"/>
              </w:rPr>
              <w:t xml:space="preserve"> </w:t>
            </w:r>
            <w:r w:rsidR="00734933" w:rsidRPr="003B7D67">
              <w:rPr>
                <w:rFonts w:ascii="Arial Narrow" w:hAnsi="Arial Narrow"/>
                <w:sz w:val="20"/>
              </w:rPr>
              <w:t xml:space="preserve"> the first 5 years of listing.</w:t>
            </w:r>
          </w:p>
          <w:p w:rsidR="00734933" w:rsidRPr="003B7D67" w:rsidRDefault="00EC5DD0" w:rsidP="00D849EA">
            <w:pPr>
              <w:widowControl/>
              <w:jc w:val="left"/>
              <w:rPr>
                <w:rFonts w:ascii="Arial Narrow" w:hAnsi="Arial Narrow"/>
                <w:sz w:val="20"/>
              </w:rPr>
            </w:pPr>
            <w:r w:rsidRPr="003B7D67">
              <w:rPr>
                <w:rFonts w:ascii="Arial Narrow" w:hAnsi="Arial Narrow"/>
                <w:sz w:val="20"/>
              </w:rPr>
              <w:t>(</w:t>
            </w:r>
            <w:r w:rsidR="00734933" w:rsidRPr="003B7D67">
              <w:rPr>
                <w:rFonts w:ascii="Arial Narrow" w:hAnsi="Arial Narrow"/>
                <w:sz w:val="20"/>
              </w:rPr>
              <w:t>Values were adjusted to include patient co-payments.</w:t>
            </w:r>
            <w:r w:rsidRPr="003B7D67">
              <w:rPr>
                <w:rFonts w:ascii="Arial Narrow" w:hAnsi="Arial Narrow"/>
                <w:sz w:val="20"/>
              </w:rPr>
              <w:t>)</w:t>
            </w:r>
          </w:p>
        </w:tc>
      </w:tr>
      <w:tr w:rsidR="00734933" w:rsidRPr="003B7D67" w:rsidTr="00854465">
        <w:trPr>
          <w:cantSplit/>
          <w:trHeight w:val="438"/>
        </w:trPr>
        <w:tc>
          <w:tcPr>
            <w:tcW w:w="1276"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br w:type="page"/>
              <w:t>PBAC decision</w:t>
            </w:r>
          </w:p>
        </w:tc>
        <w:tc>
          <w:tcPr>
            <w:tcW w:w="3685"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Reject on the basis of uncertain clinical benefit and highly uncertain cost effectiveness.</w:t>
            </w:r>
          </w:p>
        </w:tc>
        <w:tc>
          <w:tcPr>
            <w:tcW w:w="3402" w:type="dxa"/>
          </w:tcPr>
          <w:p w:rsidR="00734933" w:rsidRPr="003B7D67" w:rsidRDefault="00734933" w:rsidP="00D849EA">
            <w:pPr>
              <w:widowControl/>
              <w:jc w:val="left"/>
              <w:rPr>
                <w:rFonts w:ascii="Arial Narrow" w:hAnsi="Arial Narrow"/>
                <w:sz w:val="20"/>
              </w:rPr>
            </w:pPr>
            <w:r w:rsidRPr="003B7D67">
              <w:rPr>
                <w:rFonts w:ascii="Arial Narrow" w:hAnsi="Arial Narrow"/>
                <w:sz w:val="20"/>
              </w:rPr>
              <w:t>-</w:t>
            </w:r>
          </w:p>
        </w:tc>
      </w:tr>
    </w:tbl>
    <w:p w:rsidR="00734933" w:rsidRPr="00CD44BC" w:rsidRDefault="00734933" w:rsidP="00D849EA">
      <w:pPr>
        <w:pStyle w:val="TableFooter"/>
        <w:widowControl/>
        <w:ind w:left="720"/>
        <w:rPr>
          <w:szCs w:val="18"/>
        </w:rPr>
      </w:pPr>
      <w:r w:rsidRPr="001D112E">
        <w:t>Source: Compiled during the evaluation</w:t>
      </w:r>
      <w:r>
        <w:t>. Abbreviations:  PI= Product Information, PSUR=</w:t>
      </w:r>
      <w:r w:rsidRPr="00041847">
        <w:t xml:space="preserve"> Periodic Safety Update Report</w:t>
      </w:r>
      <w:r>
        <w:t>, KIMS=</w:t>
      </w:r>
      <w:r w:rsidRPr="00041847">
        <w:t xml:space="preserve"> Pfizer International Metabolic Database</w:t>
      </w:r>
      <w:r>
        <w:t xml:space="preserve">, </w:t>
      </w:r>
      <w:proofErr w:type="spellStart"/>
      <w:r>
        <w:t>HypoCSS</w:t>
      </w:r>
      <w:proofErr w:type="spellEnd"/>
      <w:r>
        <w:t>=</w:t>
      </w:r>
      <w:r w:rsidRPr="00041847">
        <w:t xml:space="preserve"> </w:t>
      </w:r>
      <w:proofErr w:type="spellStart"/>
      <w:r w:rsidRPr="00041847">
        <w:t>Hypopituitary</w:t>
      </w:r>
      <w:proofErr w:type="spellEnd"/>
      <w:r w:rsidRPr="00041847">
        <w:t xml:space="preserve"> Control and Complications Study</w:t>
      </w:r>
      <w:r>
        <w:t xml:space="preserve">, ICER= incremental cost effectiveness ratio, PSD= public summary document, </w:t>
      </w:r>
      <w:r w:rsidR="0081224D">
        <w:t>PGWB</w:t>
      </w:r>
      <w:r w:rsidR="001B5C6C">
        <w:t>=</w:t>
      </w:r>
      <w:r w:rsidR="0081224D">
        <w:t xml:space="preserve"> Psychological General Well Being</w:t>
      </w:r>
      <w:r w:rsidR="00BB2256">
        <w:t>, QALY</w:t>
      </w:r>
      <w:r>
        <w:t xml:space="preserve">= quality adjusted life years, </w:t>
      </w:r>
      <w:proofErr w:type="spellStart"/>
      <w:r>
        <w:t>QoL</w:t>
      </w:r>
      <w:proofErr w:type="spellEnd"/>
      <w:r>
        <w:t xml:space="preserve">= quality of life, </w:t>
      </w:r>
      <w:proofErr w:type="spellStart"/>
      <w:r>
        <w:t>QoL</w:t>
      </w:r>
      <w:proofErr w:type="spellEnd"/>
      <w:r>
        <w:t xml:space="preserve">-AGHDA= </w:t>
      </w:r>
      <w:r w:rsidRPr="00CD44BC">
        <w:rPr>
          <w:rFonts w:eastAsia="Calibri" w:cs="Calibri"/>
          <w:snapToGrid/>
          <w:szCs w:val="18"/>
        </w:rPr>
        <w:t xml:space="preserve">quality of life assessment of growth hormone deficiency in adults, </w:t>
      </w:r>
      <w:r w:rsidRPr="00CD44BC">
        <w:rPr>
          <w:szCs w:val="18"/>
        </w:rPr>
        <w:t>GHD= growth hormone disorder, SD= standard deviation.</w:t>
      </w:r>
    </w:p>
    <w:p w:rsidR="00734933" w:rsidRDefault="00734933" w:rsidP="00D849EA">
      <w:pPr>
        <w:widowControl/>
      </w:pPr>
    </w:p>
    <w:p w:rsidR="00577285" w:rsidRPr="00882085" w:rsidRDefault="00577285" w:rsidP="00D849EA">
      <w:pPr>
        <w:widowControl/>
      </w:pPr>
    </w:p>
    <w:p w:rsidR="00734933" w:rsidRPr="00407F2D" w:rsidRDefault="00734933" w:rsidP="00BA3797">
      <w:pPr>
        <w:pStyle w:val="PBACheading1"/>
        <w:keepNext/>
        <w:rPr>
          <w:b/>
        </w:rPr>
      </w:pPr>
      <w:bookmarkStart w:id="4" w:name="_Toc461555457"/>
      <w:r w:rsidRPr="00407F2D">
        <w:rPr>
          <w:b/>
        </w:rPr>
        <w:t>Clinical place for the proposed therapy</w:t>
      </w:r>
      <w:bookmarkEnd w:id="4"/>
    </w:p>
    <w:p w:rsidR="00734933" w:rsidRDefault="00734933" w:rsidP="00BA3797">
      <w:pPr>
        <w:keepNext/>
        <w:widowControl/>
        <w:rPr>
          <w:szCs w:val="22"/>
        </w:rPr>
      </w:pPr>
    </w:p>
    <w:p w:rsidR="00734933" w:rsidRDefault="00734933" w:rsidP="00E66A39">
      <w:pPr>
        <w:pStyle w:val="ListParagraph"/>
        <w:widowControl/>
        <w:numPr>
          <w:ilvl w:val="1"/>
          <w:numId w:val="2"/>
        </w:numPr>
      </w:pPr>
      <w:r w:rsidRPr="009F6AB1">
        <w:t>Adult</w:t>
      </w:r>
      <w:r>
        <w:t>s with GHD have increased fatigue, lowered endurance, decreased lean muscle mass, increased fat mass and impaired exercise tolerance. Muscle function and cardiac performance assessed by formal measurements are significantly impaired compared with non-GHD subjects. GHD causes a number of adverse metabolic effects including hyperlipidaemia, impaired insulin sensitivity, and abnormal levels of fibrinogen. GH</w:t>
      </w:r>
      <w:r w:rsidR="00802041">
        <w:t xml:space="preserve"> deficient</w:t>
      </w:r>
      <w:r>
        <w:t xml:space="preserve"> adults also have an increased incidence</w:t>
      </w:r>
      <w:r w:rsidR="00AE4F85">
        <w:t xml:space="preserve"> of osteoporosis and fractures.</w:t>
      </w:r>
    </w:p>
    <w:p w:rsidR="00734933" w:rsidRDefault="00734933" w:rsidP="00D849EA">
      <w:pPr>
        <w:pStyle w:val="ListParagraph"/>
        <w:widowControl/>
      </w:pPr>
    </w:p>
    <w:p w:rsidR="00734933" w:rsidRPr="005850B4" w:rsidRDefault="00734933" w:rsidP="00E66A39">
      <w:pPr>
        <w:pStyle w:val="ListParagraph"/>
        <w:widowControl/>
        <w:numPr>
          <w:ilvl w:val="1"/>
          <w:numId w:val="2"/>
        </w:numPr>
        <w:rPr>
          <w:szCs w:val="22"/>
        </w:rPr>
      </w:pPr>
      <w:r>
        <w:t xml:space="preserve">GH deficient adults have </w:t>
      </w:r>
      <w:r w:rsidR="003A6D78">
        <w:t>reduced</w:t>
      </w:r>
      <w:r>
        <w:t xml:space="preserve"> </w:t>
      </w:r>
      <w:proofErr w:type="spellStart"/>
      <w:r>
        <w:t>QoL</w:t>
      </w:r>
      <w:proofErr w:type="spellEnd"/>
      <w:r>
        <w:t xml:space="preserve"> due to, among other symptoms, mood fluctuations, anxiety, depression, fatigue and lack of strength. </w:t>
      </w:r>
      <w:r w:rsidRPr="005850B4">
        <w:t xml:space="preserve">The clinical evidence presented in this </w:t>
      </w:r>
      <w:r w:rsidR="00014970" w:rsidRPr="005850B4">
        <w:t>resubmission</w:t>
      </w:r>
      <w:r w:rsidRPr="005850B4">
        <w:t xml:space="preserve"> </w:t>
      </w:r>
      <w:r w:rsidR="00BC59AF">
        <w:t xml:space="preserve">only </w:t>
      </w:r>
      <w:r w:rsidRPr="005850B4">
        <w:t>addresse</w:t>
      </w:r>
      <w:r w:rsidR="004163AC">
        <w:t>d</w:t>
      </w:r>
      <w:r w:rsidRPr="005850B4">
        <w:t xml:space="preserve"> the </w:t>
      </w:r>
      <w:proofErr w:type="spellStart"/>
      <w:r w:rsidRPr="005850B4">
        <w:t>QoL</w:t>
      </w:r>
      <w:proofErr w:type="spellEnd"/>
      <w:r w:rsidRPr="005850B4">
        <w:t xml:space="preserve"> impairments of GHD.</w:t>
      </w:r>
    </w:p>
    <w:p w:rsidR="00734933" w:rsidRPr="00EA7A83" w:rsidRDefault="00734933" w:rsidP="00D849EA">
      <w:pPr>
        <w:pStyle w:val="ListParagraph"/>
        <w:widowControl/>
        <w:rPr>
          <w:szCs w:val="22"/>
        </w:rPr>
      </w:pPr>
    </w:p>
    <w:p w:rsidR="00734933" w:rsidRPr="005C78C0" w:rsidRDefault="00734933" w:rsidP="00E66A39">
      <w:pPr>
        <w:pStyle w:val="ListParagraph"/>
        <w:widowControl/>
        <w:numPr>
          <w:ilvl w:val="1"/>
          <w:numId w:val="2"/>
        </w:numPr>
        <w:rPr>
          <w:szCs w:val="22"/>
        </w:rPr>
      </w:pPr>
      <w:r w:rsidRPr="006303AE">
        <w:rPr>
          <w:szCs w:val="22"/>
        </w:rPr>
        <w:t xml:space="preserve">The </w:t>
      </w:r>
      <w:r w:rsidR="00014970" w:rsidRPr="006303AE">
        <w:rPr>
          <w:szCs w:val="22"/>
        </w:rPr>
        <w:t>resubmission</w:t>
      </w:r>
      <w:r w:rsidRPr="006303AE">
        <w:rPr>
          <w:szCs w:val="22"/>
        </w:rPr>
        <w:t xml:space="preserve"> proposed the use of </w:t>
      </w:r>
      <w:proofErr w:type="spellStart"/>
      <w:r w:rsidRPr="006303AE">
        <w:rPr>
          <w:szCs w:val="22"/>
        </w:rPr>
        <w:t>QoL</w:t>
      </w:r>
      <w:proofErr w:type="spellEnd"/>
      <w:r w:rsidRPr="006303AE">
        <w:rPr>
          <w:szCs w:val="22"/>
        </w:rPr>
        <w:t xml:space="preserve"> scores assessed using the </w:t>
      </w:r>
      <w:proofErr w:type="spellStart"/>
      <w:r w:rsidRPr="006303AE">
        <w:rPr>
          <w:szCs w:val="22"/>
        </w:rPr>
        <w:t>QoL</w:t>
      </w:r>
      <w:proofErr w:type="spellEnd"/>
      <w:r w:rsidRPr="006303AE">
        <w:rPr>
          <w:szCs w:val="22"/>
        </w:rPr>
        <w:t xml:space="preserve">-AGHDA for treatment initiation, continuation and recommencement. </w:t>
      </w:r>
      <w:r w:rsidR="008019CF">
        <w:rPr>
          <w:szCs w:val="22"/>
        </w:rPr>
        <w:t xml:space="preserve">The initiation and recommencement criteria included a baseline measurement </w:t>
      </w:r>
      <w:r w:rsidR="008019CF" w:rsidRPr="008019CF">
        <w:rPr>
          <w:szCs w:val="22"/>
        </w:rPr>
        <w:t>(</w:t>
      </w:r>
      <w:proofErr w:type="spellStart"/>
      <w:r w:rsidR="008019CF" w:rsidRPr="006303AE">
        <w:rPr>
          <w:szCs w:val="22"/>
        </w:rPr>
        <w:t>QoL</w:t>
      </w:r>
      <w:proofErr w:type="spellEnd"/>
      <w:r w:rsidR="008019CF" w:rsidRPr="006303AE">
        <w:rPr>
          <w:szCs w:val="22"/>
        </w:rPr>
        <w:t>-</w:t>
      </w:r>
      <w:r w:rsidR="0041412A" w:rsidRPr="006303AE">
        <w:rPr>
          <w:szCs w:val="22"/>
        </w:rPr>
        <w:t>AGHDA</w:t>
      </w:r>
      <w:r w:rsidR="00FB034E">
        <w:rPr>
          <w:szCs w:val="22"/>
        </w:rPr>
        <w:t> </w:t>
      </w:r>
      <w:r w:rsidR="0041412A">
        <w:rPr>
          <w:szCs w:val="22"/>
        </w:rPr>
        <w:t>score</w:t>
      </w:r>
      <w:r w:rsidR="005A0853">
        <w:rPr>
          <w:szCs w:val="22"/>
        </w:rPr>
        <w:t> </w:t>
      </w:r>
      <w:r w:rsidR="008019CF" w:rsidRPr="008019CF">
        <w:rPr>
          <w:szCs w:val="22"/>
        </w:rPr>
        <w:t>≥16)</w:t>
      </w:r>
      <w:r w:rsidR="008019CF">
        <w:rPr>
          <w:szCs w:val="22"/>
        </w:rPr>
        <w:t>, and the c</w:t>
      </w:r>
      <w:r w:rsidR="0029544F">
        <w:rPr>
          <w:szCs w:val="22"/>
        </w:rPr>
        <w:t xml:space="preserve">riteria for continuing treatment varied by treatment duration </w:t>
      </w:r>
      <w:r w:rsidR="0029544F" w:rsidRPr="006303AE">
        <w:rPr>
          <w:szCs w:val="22"/>
        </w:rPr>
        <w:t>(score of ≥8 points lower than baseline for patient with &lt;12 months of treatment and</w:t>
      </w:r>
      <w:r w:rsidR="005A0853">
        <w:rPr>
          <w:szCs w:val="22"/>
        </w:rPr>
        <w:t> </w:t>
      </w:r>
      <w:r w:rsidR="0029544F" w:rsidRPr="006303AE">
        <w:rPr>
          <w:szCs w:val="22"/>
        </w:rPr>
        <w:t>≥6 lower than the baseline for patients with ≥12 months of treatment).</w:t>
      </w:r>
      <w:r w:rsidR="008019CF" w:rsidRPr="0029544F">
        <w:rPr>
          <w:szCs w:val="22"/>
        </w:rPr>
        <w:t xml:space="preserve"> </w:t>
      </w:r>
      <w:r w:rsidRPr="0029544F">
        <w:rPr>
          <w:szCs w:val="22"/>
        </w:rPr>
        <w:t xml:space="preserve">However, </w:t>
      </w:r>
      <w:r w:rsidR="002B2868" w:rsidRPr="005C78C0">
        <w:rPr>
          <w:szCs w:val="22"/>
        </w:rPr>
        <w:t xml:space="preserve">the ESC considered that </w:t>
      </w:r>
      <w:r w:rsidR="0029544F" w:rsidRPr="005C78C0">
        <w:rPr>
          <w:szCs w:val="22"/>
        </w:rPr>
        <w:t xml:space="preserve">the resubmission </w:t>
      </w:r>
      <w:r w:rsidRPr="005C78C0">
        <w:rPr>
          <w:szCs w:val="22"/>
        </w:rPr>
        <w:t xml:space="preserve">did not </w:t>
      </w:r>
      <w:r w:rsidR="007776BB" w:rsidRPr="005C78C0">
        <w:t xml:space="preserve">adequately </w:t>
      </w:r>
      <w:r w:rsidRPr="005C78C0">
        <w:rPr>
          <w:szCs w:val="22"/>
        </w:rPr>
        <w:t>justify the choice of</w:t>
      </w:r>
      <w:r w:rsidRPr="0029544F">
        <w:rPr>
          <w:szCs w:val="22"/>
        </w:rPr>
        <w:t xml:space="preserve"> cut-offs for each of these criteria, the differences between the criterion for continuing </w:t>
      </w:r>
      <w:r w:rsidRPr="005C78C0">
        <w:rPr>
          <w:szCs w:val="22"/>
        </w:rPr>
        <w:t>treatment based on treatment duration</w:t>
      </w:r>
      <w:r w:rsidR="007776BB" w:rsidRPr="005C78C0">
        <w:rPr>
          <w:szCs w:val="22"/>
        </w:rPr>
        <w:t>,</w:t>
      </w:r>
      <w:r w:rsidRPr="005C78C0">
        <w:rPr>
          <w:szCs w:val="22"/>
        </w:rPr>
        <w:t xml:space="preserve"> </w:t>
      </w:r>
      <w:r w:rsidR="007776BB" w:rsidRPr="005C78C0">
        <w:t xml:space="preserve">nor the broader deviations from the PHARMAC criteria for initial and continuing access to </w:t>
      </w:r>
      <w:proofErr w:type="spellStart"/>
      <w:r w:rsidR="007776BB" w:rsidRPr="005C78C0">
        <w:t>somatropin</w:t>
      </w:r>
      <w:proofErr w:type="spellEnd"/>
      <w:r w:rsidR="007776BB" w:rsidRPr="005C78C0">
        <w:t xml:space="preserve"> applied within </w:t>
      </w:r>
      <w:proofErr w:type="spellStart"/>
      <w:r w:rsidR="007776BB" w:rsidRPr="005C78C0">
        <w:t>Holdaway</w:t>
      </w:r>
      <w:proofErr w:type="spellEnd"/>
      <w:r w:rsidR="007776BB" w:rsidRPr="005C78C0">
        <w:t xml:space="preserve"> et al. (2015).</w:t>
      </w:r>
    </w:p>
    <w:p w:rsidR="007776BB" w:rsidRDefault="007776BB" w:rsidP="00D849EA">
      <w:pPr>
        <w:widowControl/>
        <w:rPr>
          <w:szCs w:val="22"/>
        </w:rPr>
      </w:pPr>
    </w:p>
    <w:p w:rsidR="00C91E69" w:rsidRPr="0008718A" w:rsidRDefault="00F069FC" w:rsidP="00E66A39">
      <w:pPr>
        <w:pStyle w:val="ListParagraph"/>
        <w:widowControl/>
        <w:numPr>
          <w:ilvl w:val="1"/>
          <w:numId w:val="2"/>
        </w:numPr>
        <w:rPr>
          <w:szCs w:val="22"/>
        </w:rPr>
      </w:pPr>
      <w:r w:rsidRPr="0008718A">
        <w:rPr>
          <w:szCs w:val="22"/>
        </w:rPr>
        <w:t>The Pre-Sub-Committee-Response (PSCR, p</w:t>
      </w:r>
      <w:r w:rsidR="00217EF5" w:rsidRPr="0008718A">
        <w:rPr>
          <w:szCs w:val="22"/>
        </w:rPr>
        <w:t>2</w:t>
      </w:r>
      <w:r w:rsidRPr="0008718A">
        <w:rPr>
          <w:szCs w:val="22"/>
        </w:rPr>
        <w:t>)</w:t>
      </w:r>
      <w:r w:rsidR="00B24973" w:rsidRPr="0008718A">
        <w:rPr>
          <w:szCs w:val="22"/>
        </w:rPr>
        <w:t xml:space="preserve"> state</w:t>
      </w:r>
      <w:r w:rsidR="00217EF5" w:rsidRPr="0008718A">
        <w:rPr>
          <w:szCs w:val="22"/>
        </w:rPr>
        <w:t xml:space="preserve">d </w:t>
      </w:r>
      <w:r w:rsidR="00B24973" w:rsidRPr="0008718A">
        <w:rPr>
          <w:szCs w:val="22"/>
        </w:rPr>
        <w:t xml:space="preserve">that the choice of cut-off at initiation is “modelled on the reimbursement criteria adopted by the New Zealand PHARMAC for </w:t>
      </w:r>
      <w:proofErr w:type="spellStart"/>
      <w:r w:rsidR="00B24973" w:rsidRPr="0008718A">
        <w:rPr>
          <w:szCs w:val="22"/>
        </w:rPr>
        <w:t>somatropin</w:t>
      </w:r>
      <w:proofErr w:type="spellEnd"/>
      <w:r w:rsidR="00B24973" w:rsidRPr="0008718A">
        <w:rPr>
          <w:szCs w:val="22"/>
        </w:rPr>
        <w:t xml:space="preserve"> in the treatment of severe GHD adults with substantially impaired </w:t>
      </w:r>
      <w:proofErr w:type="spellStart"/>
      <w:r w:rsidR="00B24973" w:rsidRPr="0008718A">
        <w:rPr>
          <w:szCs w:val="22"/>
        </w:rPr>
        <w:t>QoL</w:t>
      </w:r>
      <w:proofErr w:type="spellEnd"/>
      <w:r w:rsidR="00B24973" w:rsidRPr="0008718A">
        <w:rPr>
          <w:szCs w:val="22"/>
        </w:rPr>
        <w:t xml:space="preserve">. The </w:t>
      </w:r>
      <w:proofErr w:type="spellStart"/>
      <w:r w:rsidR="009D62A9">
        <w:rPr>
          <w:szCs w:val="22"/>
        </w:rPr>
        <w:t>QoL</w:t>
      </w:r>
      <w:proofErr w:type="spellEnd"/>
      <w:r w:rsidR="00B24973" w:rsidRPr="0008718A">
        <w:rPr>
          <w:szCs w:val="22"/>
        </w:rPr>
        <w:t xml:space="preserve"> cut-off poi</w:t>
      </w:r>
      <w:r w:rsidR="00EC7232" w:rsidRPr="0008718A">
        <w:rPr>
          <w:szCs w:val="22"/>
        </w:rPr>
        <w:t xml:space="preserve">nt adopted by PHARMAC (i.e. </w:t>
      </w:r>
      <w:proofErr w:type="spellStart"/>
      <w:r w:rsidR="00EC7232" w:rsidRPr="0008718A">
        <w:rPr>
          <w:szCs w:val="22"/>
        </w:rPr>
        <w:t>QoL</w:t>
      </w:r>
      <w:proofErr w:type="spellEnd"/>
      <w:r w:rsidR="00EC7232" w:rsidRPr="0008718A">
        <w:rPr>
          <w:szCs w:val="22"/>
        </w:rPr>
        <w:t>-</w:t>
      </w:r>
      <w:r w:rsidR="000226CD">
        <w:rPr>
          <w:szCs w:val="22"/>
        </w:rPr>
        <w:t>AGHDA score ≥</w:t>
      </w:r>
      <w:r w:rsidR="00B24973" w:rsidRPr="0008718A">
        <w:rPr>
          <w:szCs w:val="22"/>
        </w:rPr>
        <w:t xml:space="preserve">16 of a maximum of 25) is the most stringent of the major HTA markets. By comparison, the cut-off point for NICE in the UK is a </w:t>
      </w:r>
      <w:proofErr w:type="spellStart"/>
      <w:r w:rsidR="00B24973" w:rsidRPr="0008718A">
        <w:rPr>
          <w:szCs w:val="22"/>
        </w:rPr>
        <w:t>QoL</w:t>
      </w:r>
      <w:proofErr w:type="spellEnd"/>
      <w:r w:rsidR="00B24973" w:rsidRPr="0008718A">
        <w:rPr>
          <w:szCs w:val="22"/>
        </w:rPr>
        <w:t>- AGHDA score ≥</w:t>
      </w:r>
      <w:r w:rsidR="000226CD">
        <w:rPr>
          <w:szCs w:val="22"/>
        </w:rPr>
        <w:t>11.”</w:t>
      </w:r>
      <w:r w:rsidR="00002D90">
        <w:rPr>
          <w:szCs w:val="22"/>
        </w:rPr>
        <w:t xml:space="preserve"> The Pre-PBAC response (p2) reiterated this view and added that ESA and APEG are open to discuss alternative </w:t>
      </w:r>
      <w:proofErr w:type="spellStart"/>
      <w:r w:rsidR="00002D90">
        <w:rPr>
          <w:szCs w:val="22"/>
        </w:rPr>
        <w:t>QoL</w:t>
      </w:r>
      <w:proofErr w:type="spellEnd"/>
      <w:r w:rsidR="00002D90">
        <w:rPr>
          <w:szCs w:val="22"/>
        </w:rPr>
        <w:t xml:space="preserve">-AGHDA cut-off points which the PBAC </w:t>
      </w:r>
      <w:r w:rsidR="00F20D2C">
        <w:rPr>
          <w:szCs w:val="22"/>
        </w:rPr>
        <w:t xml:space="preserve">may </w:t>
      </w:r>
      <w:r w:rsidR="00002D90">
        <w:rPr>
          <w:szCs w:val="22"/>
        </w:rPr>
        <w:t>consider more appropriate.</w:t>
      </w:r>
    </w:p>
    <w:p w:rsidR="00C91E69" w:rsidRPr="00C91E69" w:rsidRDefault="00C91E69" w:rsidP="00C91E69">
      <w:pPr>
        <w:pStyle w:val="ListParagraph"/>
        <w:rPr>
          <w:highlight w:val="yellow"/>
        </w:rPr>
      </w:pPr>
    </w:p>
    <w:p w:rsidR="00E20DAE" w:rsidRPr="00C91E69" w:rsidRDefault="00C91E69" w:rsidP="00C91E69">
      <w:pPr>
        <w:pStyle w:val="ListParagraph"/>
        <w:widowControl/>
        <w:rPr>
          <w:i/>
          <w:szCs w:val="22"/>
        </w:rPr>
      </w:pPr>
      <w:r w:rsidRPr="00102E78">
        <w:rPr>
          <w:i/>
        </w:rPr>
        <w:t>For more detail on PBAC’s view, see section 7 “PBAC outcome”</w:t>
      </w:r>
      <w:r w:rsidR="003B7D67">
        <w:rPr>
          <w:i/>
        </w:rPr>
        <w:t>.</w:t>
      </w:r>
    </w:p>
    <w:p w:rsidR="00C91E69" w:rsidRDefault="00C91E69" w:rsidP="00D849EA">
      <w:pPr>
        <w:widowControl/>
        <w:rPr>
          <w:szCs w:val="22"/>
        </w:rPr>
      </w:pPr>
    </w:p>
    <w:p w:rsidR="00FB1762" w:rsidRPr="006303AE" w:rsidRDefault="00FB1762" w:rsidP="00D849EA">
      <w:pPr>
        <w:widowControl/>
        <w:rPr>
          <w:szCs w:val="22"/>
        </w:rPr>
      </w:pPr>
    </w:p>
    <w:p w:rsidR="00734933" w:rsidRPr="006303AE" w:rsidRDefault="00734933" w:rsidP="00D849EA">
      <w:pPr>
        <w:pStyle w:val="PBACheading1"/>
        <w:rPr>
          <w:b/>
        </w:rPr>
      </w:pPr>
      <w:bookmarkStart w:id="5" w:name="_Toc461555458"/>
      <w:r w:rsidRPr="006303AE">
        <w:rPr>
          <w:b/>
        </w:rPr>
        <w:t>Comparator</w:t>
      </w:r>
      <w:bookmarkEnd w:id="5"/>
    </w:p>
    <w:p w:rsidR="00734933" w:rsidRPr="006303AE" w:rsidRDefault="00734933" w:rsidP="00D849EA">
      <w:pPr>
        <w:widowControl/>
      </w:pPr>
    </w:p>
    <w:p w:rsidR="00734933" w:rsidRPr="006303AE" w:rsidRDefault="00734933" w:rsidP="00E66A39">
      <w:pPr>
        <w:pStyle w:val="ListParagraph"/>
        <w:widowControl/>
        <w:numPr>
          <w:ilvl w:val="1"/>
          <w:numId w:val="2"/>
        </w:numPr>
        <w:rPr>
          <w:szCs w:val="22"/>
        </w:rPr>
      </w:pPr>
      <w:r w:rsidRPr="006303AE">
        <w:t xml:space="preserve">The </w:t>
      </w:r>
      <w:r w:rsidR="00014970" w:rsidRPr="006303AE">
        <w:t>resubmission</w:t>
      </w:r>
      <w:r w:rsidRPr="006303AE">
        <w:t xml:space="preserve"> presented standard care </w:t>
      </w:r>
      <w:r w:rsidR="00A91920">
        <w:t>(</w:t>
      </w:r>
      <w:r w:rsidR="00A91920" w:rsidRPr="00A91920">
        <w:t>consist</w:t>
      </w:r>
      <w:r w:rsidR="00A91920">
        <w:t>ing</w:t>
      </w:r>
      <w:r w:rsidR="00A91920" w:rsidRPr="00A91920">
        <w:t xml:space="preserve"> of regular monitoring by an endocrinologist of appropriate replacement of other hormone deficiencies and management of symptoms and risk factors arising from GHD</w:t>
      </w:r>
      <w:r w:rsidR="00A91920">
        <w:t>)</w:t>
      </w:r>
      <w:r w:rsidR="00A91920" w:rsidRPr="00A91920">
        <w:t xml:space="preserve"> </w:t>
      </w:r>
      <w:r w:rsidRPr="006303AE">
        <w:t xml:space="preserve">as the main comparator. </w:t>
      </w:r>
      <w:r w:rsidR="00A91920">
        <w:t xml:space="preserve">This was the same definition of </w:t>
      </w:r>
      <w:r w:rsidR="007D4E21">
        <w:t>s</w:t>
      </w:r>
      <w:r w:rsidR="00A91920">
        <w:t xml:space="preserve">tandard </w:t>
      </w:r>
      <w:r w:rsidR="007D4E21">
        <w:t>c</w:t>
      </w:r>
      <w:r w:rsidR="00A91920">
        <w:t xml:space="preserve">are as in the July 2011 submission, which </w:t>
      </w:r>
      <w:r w:rsidRPr="006303AE">
        <w:t>was previously considered by PBAC to be an appropriate comparator (PSD, PBAC July 2011,</w:t>
      </w:r>
      <w:r w:rsidR="00D3347A">
        <w:t xml:space="preserve"> </w:t>
      </w:r>
      <w:proofErr w:type="spellStart"/>
      <w:r w:rsidR="00D3347A">
        <w:t>Somatropin</w:t>
      </w:r>
      <w:proofErr w:type="spellEnd"/>
      <w:r w:rsidR="00D3347A">
        <w:t>, p9, paragraph 12).</w:t>
      </w:r>
    </w:p>
    <w:p w:rsidR="00734933" w:rsidRDefault="00734933" w:rsidP="00D849EA">
      <w:pPr>
        <w:widowControl/>
      </w:pPr>
    </w:p>
    <w:p w:rsidR="00C91E69" w:rsidRDefault="00C91E69" w:rsidP="00C91E69">
      <w:pPr>
        <w:pStyle w:val="ListParagraph"/>
        <w:ind w:left="709"/>
        <w:rPr>
          <w:i/>
          <w:szCs w:val="22"/>
        </w:rPr>
      </w:pPr>
      <w:r w:rsidRPr="00355A78">
        <w:rPr>
          <w:i/>
          <w:szCs w:val="22"/>
        </w:rPr>
        <w:t>For more detail on PBAC’s view, see section 7 “PBAC outcome”</w:t>
      </w:r>
      <w:r w:rsidR="000848C6">
        <w:rPr>
          <w:i/>
          <w:szCs w:val="22"/>
        </w:rPr>
        <w:t>.</w:t>
      </w:r>
    </w:p>
    <w:p w:rsidR="00B16E44" w:rsidRDefault="00B16E44" w:rsidP="00D849EA">
      <w:pPr>
        <w:widowControl/>
      </w:pPr>
    </w:p>
    <w:p w:rsidR="00AE6BCD" w:rsidRPr="00506E16" w:rsidRDefault="00AE6BCD" w:rsidP="00D849EA">
      <w:pPr>
        <w:widowControl/>
      </w:pPr>
    </w:p>
    <w:p w:rsidR="00734933" w:rsidRDefault="00734933" w:rsidP="00D849EA">
      <w:pPr>
        <w:pStyle w:val="PBACheading1"/>
        <w:rPr>
          <w:b/>
        </w:rPr>
      </w:pPr>
      <w:bookmarkStart w:id="6" w:name="_Toc461555459"/>
      <w:r>
        <w:rPr>
          <w:b/>
        </w:rPr>
        <w:t>C</w:t>
      </w:r>
      <w:r w:rsidRPr="00407F2D">
        <w:rPr>
          <w:b/>
        </w:rPr>
        <w:t>onsideration of the evidence</w:t>
      </w:r>
      <w:bookmarkEnd w:id="6"/>
    </w:p>
    <w:p w:rsidR="00C91E69" w:rsidRPr="00407F2D" w:rsidRDefault="00C91E69" w:rsidP="00C91E69"/>
    <w:p w:rsidR="00C91E69" w:rsidRDefault="00C91E69" w:rsidP="00C91E69">
      <w:pPr>
        <w:pStyle w:val="Heading2"/>
        <w:rPr>
          <w:i/>
        </w:rPr>
      </w:pPr>
      <w:r w:rsidRPr="00A8719C">
        <w:rPr>
          <w:i/>
        </w:rPr>
        <w:t>Sponsor hearing</w:t>
      </w:r>
    </w:p>
    <w:p w:rsidR="00C91E69" w:rsidRPr="005A414D" w:rsidRDefault="00C91E69" w:rsidP="00C91E69"/>
    <w:p w:rsidR="001950FA" w:rsidRPr="006A47C5" w:rsidRDefault="001950FA" w:rsidP="001950FA">
      <w:pPr>
        <w:numPr>
          <w:ilvl w:val="1"/>
          <w:numId w:val="2"/>
        </w:numPr>
        <w:contextualSpacing/>
        <w:rPr>
          <w:bCs/>
          <w:szCs w:val="22"/>
        </w:rPr>
      </w:pPr>
      <w:r w:rsidRPr="003A61DB">
        <w:rPr>
          <w:bCs/>
          <w:szCs w:val="22"/>
        </w:rPr>
        <w:t xml:space="preserve">The applicant requested a hearing for this item. The clinician described the high </w:t>
      </w:r>
      <w:r>
        <w:rPr>
          <w:bCs/>
          <w:szCs w:val="22"/>
        </w:rPr>
        <w:t xml:space="preserve">unmet clinical need of the drug, </w:t>
      </w:r>
      <w:r w:rsidRPr="003A61DB">
        <w:rPr>
          <w:bCs/>
          <w:szCs w:val="22"/>
        </w:rPr>
        <w:t>discussed how the drug is used in practice</w:t>
      </w:r>
      <w:r>
        <w:rPr>
          <w:bCs/>
          <w:szCs w:val="22"/>
        </w:rPr>
        <w:t xml:space="preserve">, and addressed other matters in response to the Committee’s questions. The clinician described how patients receiving a benefit from the </w:t>
      </w:r>
      <w:proofErr w:type="spellStart"/>
      <w:r>
        <w:rPr>
          <w:bCs/>
          <w:szCs w:val="22"/>
        </w:rPr>
        <w:t>somatropin</w:t>
      </w:r>
      <w:proofErr w:type="spellEnd"/>
      <w:r>
        <w:rPr>
          <w:bCs/>
          <w:szCs w:val="22"/>
        </w:rPr>
        <w:t xml:space="preserve"> are likely to be adherent to therapy and how when therapy is stopped, the clinical features of GH deficiency tend to recur. The evidence in the resubmission (</w:t>
      </w:r>
      <w:proofErr w:type="spellStart"/>
      <w:r>
        <w:rPr>
          <w:bCs/>
          <w:szCs w:val="22"/>
        </w:rPr>
        <w:t>Holdaway</w:t>
      </w:r>
      <w:proofErr w:type="spellEnd"/>
      <w:r>
        <w:rPr>
          <w:bCs/>
          <w:szCs w:val="22"/>
        </w:rPr>
        <w:t xml:space="preserve"> et al, 2015) was compared with earlier RCTs, and it was noted that earlier studies had often use</w:t>
      </w:r>
      <w:r w:rsidR="005E40C3">
        <w:rPr>
          <w:bCs/>
          <w:szCs w:val="22"/>
        </w:rPr>
        <w:t>d</w:t>
      </w:r>
      <w:r>
        <w:rPr>
          <w:bCs/>
          <w:szCs w:val="22"/>
        </w:rPr>
        <w:t xml:space="preserve"> generic</w:t>
      </w:r>
      <w:r w:rsidR="005E40C3">
        <w:rPr>
          <w:bCs/>
          <w:szCs w:val="22"/>
        </w:rPr>
        <w:t xml:space="preserve"> or</w:t>
      </w:r>
      <w:r>
        <w:rPr>
          <w:bCs/>
          <w:szCs w:val="22"/>
        </w:rPr>
        <w:t xml:space="preserve"> non-specific questionnaires and did not always target the cohort of population of patient with the </w:t>
      </w:r>
      <w:r w:rsidR="005E40C3">
        <w:rPr>
          <w:bCs/>
          <w:szCs w:val="22"/>
        </w:rPr>
        <w:t>lowest</w:t>
      </w:r>
      <w:r>
        <w:rPr>
          <w:bCs/>
          <w:szCs w:val="22"/>
        </w:rPr>
        <w:t xml:space="preserve"> </w:t>
      </w:r>
      <w:proofErr w:type="spellStart"/>
      <w:r>
        <w:rPr>
          <w:bCs/>
          <w:szCs w:val="22"/>
        </w:rPr>
        <w:t>QoL</w:t>
      </w:r>
      <w:proofErr w:type="spellEnd"/>
      <w:r>
        <w:rPr>
          <w:bCs/>
          <w:szCs w:val="22"/>
        </w:rPr>
        <w:t xml:space="preserve"> at baseline, as proposed for the PBS population. </w:t>
      </w:r>
      <w:r w:rsidR="0002593B">
        <w:rPr>
          <w:bCs/>
          <w:szCs w:val="22"/>
        </w:rPr>
        <w:t xml:space="preserve">The Committee asked how a 7-point improvement </w:t>
      </w:r>
      <w:r w:rsidR="000B2F96">
        <w:rPr>
          <w:bCs/>
          <w:szCs w:val="22"/>
        </w:rPr>
        <w:t xml:space="preserve">in </w:t>
      </w:r>
      <w:proofErr w:type="spellStart"/>
      <w:r w:rsidR="000B2F96">
        <w:rPr>
          <w:bCs/>
          <w:szCs w:val="22"/>
        </w:rPr>
        <w:t>QoL</w:t>
      </w:r>
      <w:proofErr w:type="spellEnd"/>
      <w:r w:rsidR="000B2F96">
        <w:rPr>
          <w:bCs/>
          <w:szCs w:val="22"/>
        </w:rPr>
        <w:t xml:space="preserve"> </w:t>
      </w:r>
      <w:r w:rsidR="0002593B">
        <w:rPr>
          <w:bCs/>
          <w:szCs w:val="22"/>
        </w:rPr>
        <w:t xml:space="preserve">would be perceived by a patient, </w:t>
      </w:r>
      <w:r w:rsidR="00B55038">
        <w:rPr>
          <w:bCs/>
          <w:szCs w:val="22"/>
        </w:rPr>
        <w:t xml:space="preserve">and </w:t>
      </w:r>
      <w:r w:rsidR="0002593B">
        <w:rPr>
          <w:bCs/>
          <w:szCs w:val="22"/>
        </w:rPr>
        <w:t>the applicant remarked that it would mean a marked improvement in their ability to function in society.</w:t>
      </w:r>
      <w:r w:rsidR="000B2F96">
        <w:rPr>
          <w:bCs/>
          <w:szCs w:val="22"/>
        </w:rPr>
        <w:t xml:space="preserve"> </w:t>
      </w:r>
      <w:r w:rsidR="000B2F96" w:rsidRPr="006A47C5">
        <w:rPr>
          <w:bCs/>
          <w:szCs w:val="22"/>
        </w:rPr>
        <w:t>The PBAC considered that the hearing was informative as it provided a clin</w:t>
      </w:r>
      <w:r w:rsidR="00B55038">
        <w:rPr>
          <w:bCs/>
          <w:szCs w:val="22"/>
        </w:rPr>
        <w:t>ical perspective on treating severe GHD</w:t>
      </w:r>
      <w:r w:rsidR="0081069A">
        <w:rPr>
          <w:bCs/>
          <w:szCs w:val="22"/>
        </w:rPr>
        <w:t xml:space="preserve"> in adults</w:t>
      </w:r>
      <w:r w:rsidR="000B2F96" w:rsidRPr="006A47C5">
        <w:rPr>
          <w:bCs/>
          <w:szCs w:val="22"/>
        </w:rPr>
        <w:t xml:space="preserve">. </w:t>
      </w:r>
    </w:p>
    <w:p w:rsidR="008B6CD0" w:rsidRPr="003A49F2" w:rsidRDefault="008B6CD0" w:rsidP="00C91E69">
      <w:pPr>
        <w:rPr>
          <w:bCs/>
          <w:szCs w:val="22"/>
          <w:highlight w:val="yellow"/>
        </w:rPr>
      </w:pPr>
    </w:p>
    <w:p w:rsidR="00C91E69" w:rsidRPr="00E62D6B" w:rsidRDefault="00C91E69" w:rsidP="00C91E69">
      <w:pPr>
        <w:pStyle w:val="Heading2"/>
        <w:rPr>
          <w:i/>
        </w:rPr>
      </w:pPr>
      <w:r w:rsidRPr="00E62D6B">
        <w:rPr>
          <w:i/>
        </w:rPr>
        <w:t>Consumer comments</w:t>
      </w:r>
    </w:p>
    <w:p w:rsidR="00C91E69" w:rsidRPr="00E62D6B" w:rsidRDefault="00C91E69" w:rsidP="00C91E69"/>
    <w:p w:rsidR="001950FA" w:rsidRPr="00504101" w:rsidRDefault="001950FA" w:rsidP="001950FA">
      <w:pPr>
        <w:numPr>
          <w:ilvl w:val="1"/>
          <w:numId w:val="2"/>
        </w:numPr>
        <w:contextualSpacing/>
        <w:rPr>
          <w:bCs/>
          <w:szCs w:val="22"/>
        </w:rPr>
      </w:pPr>
      <w:r w:rsidRPr="00504101">
        <w:rPr>
          <w:bCs/>
          <w:szCs w:val="22"/>
        </w:rPr>
        <w:t xml:space="preserve">The PBAC noted and welcomed the input from individuals (68), health care professionals (2) and organisations (2) via the Consumer Comments facility on the PBS website.  The comments described a range of benefits of treatment with </w:t>
      </w:r>
      <w:proofErr w:type="spellStart"/>
      <w:r w:rsidRPr="00504101">
        <w:rPr>
          <w:bCs/>
          <w:szCs w:val="22"/>
        </w:rPr>
        <w:t>somatropin</w:t>
      </w:r>
      <w:proofErr w:type="spellEnd"/>
      <w:r w:rsidRPr="00504101">
        <w:rPr>
          <w:bCs/>
          <w:szCs w:val="22"/>
        </w:rPr>
        <w:t xml:space="preserve"> including the weight loss, improved bone density, muscle and joint strength, mobility, respiratory function, cardiac health and mood. Overall, comments emphasised that </w:t>
      </w:r>
      <w:proofErr w:type="spellStart"/>
      <w:r w:rsidRPr="00504101">
        <w:rPr>
          <w:bCs/>
          <w:szCs w:val="22"/>
        </w:rPr>
        <w:t>somatropin</w:t>
      </w:r>
      <w:proofErr w:type="spellEnd"/>
      <w:r w:rsidRPr="00504101">
        <w:rPr>
          <w:bCs/>
          <w:szCs w:val="22"/>
        </w:rPr>
        <w:t xml:space="preserve"> improved energy levels, and quality of life, particularly in relation to work and social functioning. The comments also described the financial burden of taking the treatment over many years.</w:t>
      </w:r>
    </w:p>
    <w:p w:rsidR="001950FA" w:rsidRPr="00E62D6B" w:rsidRDefault="001950FA" w:rsidP="001950FA">
      <w:pPr>
        <w:contextualSpacing/>
        <w:rPr>
          <w:bCs/>
          <w:color w:val="0070C0"/>
          <w:szCs w:val="22"/>
        </w:rPr>
      </w:pPr>
    </w:p>
    <w:p w:rsidR="001950FA" w:rsidRPr="00534162" w:rsidRDefault="001950FA" w:rsidP="001950FA">
      <w:pPr>
        <w:numPr>
          <w:ilvl w:val="1"/>
          <w:numId w:val="2"/>
        </w:numPr>
        <w:contextualSpacing/>
        <w:rPr>
          <w:bCs/>
          <w:szCs w:val="22"/>
        </w:rPr>
      </w:pPr>
      <w:r w:rsidRPr="0060610C">
        <w:rPr>
          <w:bCs/>
          <w:szCs w:val="22"/>
        </w:rPr>
        <w:t xml:space="preserve">The PBAC noted the advice received from the Australian Pituitary Foundation and the Endocrine Society of Australia. The President of the ESA, writing an independent clinician, wrote to support the listing of </w:t>
      </w:r>
      <w:proofErr w:type="spellStart"/>
      <w:r w:rsidRPr="0060610C">
        <w:rPr>
          <w:bCs/>
          <w:szCs w:val="22"/>
        </w:rPr>
        <w:t>somatropin</w:t>
      </w:r>
      <w:proofErr w:type="spellEnd"/>
      <w:r w:rsidRPr="0060610C">
        <w:rPr>
          <w:bCs/>
          <w:szCs w:val="22"/>
        </w:rPr>
        <w:t xml:space="preserve"> under this submission. The PBAC noted the advice that the New</w:t>
      </w:r>
      <w:r w:rsidRPr="00534162">
        <w:rPr>
          <w:bCs/>
          <w:szCs w:val="22"/>
        </w:rPr>
        <w:t xml:space="preserve"> Zealand experience of </w:t>
      </w:r>
      <w:proofErr w:type="spellStart"/>
      <w:r w:rsidRPr="00534162">
        <w:rPr>
          <w:bCs/>
          <w:szCs w:val="22"/>
        </w:rPr>
        <w:t>somatropin</w:t>
      </w:r>
      <w:proofErr w:type="spellEnd"/>
      <w:r w:rsidRPr="00534162">
        <w:rPr>
          <w:bCs/>
          <w:szCs w:val="22"/>
        </w:rPr>
        <w:t xml:space="preserve"> subsidy has been published, that there were methodological shortcomings with earlier trials, and </w:t>
      </w:r>
      <w:r w:rsidR="00FB65A9">
        <w:rPr>
          <w:bCs/>
          <w:szCs w:val="22"/>
        </w:rPr>
        <w:t xml:space="preserve">that </w:t>
      </w:r>
      <w:r w:rsidRPr="00534162">
        <w:rPr>
          <w:bCs/>
          <w:szCs w:val="22"/>
        </w:rPr>
        <w:t>further large randomised controlled trials</w:t>
      </w:r>
      <w:r w:rsidR="00FB65A9">
        <w:rPr>
          <w:bCs/>
          <w:szCs w:val="22"/>
        </w:rPr>
        <w:t xml:space="preserve"> were unlikely to be conducted</w:t>
      </w:r>
      <w:r w:rsidRPr="00534162">
        <w:rPr>
          <w:bCs/>
          <w:szCs w:val="22"/>
        </w:rPr>
        <w:t xml:space="preserve">. The PBAC also noted the advice that patients who do not experience a benefit from </w:t>
      </w:r>
      <w:proofErr w:type="spellStart"/>
      <w:r w:rsidRPr="00534162">
        <w:rPr>
          <w:bCs/>
          <w:szCs w:val="22"/>
        </w:rPr>
        <w:t>somatropin</w:t>
      </w:r>
      <w:proofErr w:type="spellEnd"/>
      <w:r w:rsidRPr="00534162">
        <w:rPr>
          <w:bCs/>
          <w:szCs w:val="22"/>
        </w:rPr>
        <w:t xml:space="preserve"> </w:t>
      </w:r>
      <w:r w:rsidRPr="00534162">
        <w:rPr>
          <w:bCs/>
          <w:szCs w:val="22"/>
        </w:rPr>
        <w:lastRenderedPageBreak/>
        <w:t>would be unlikely to continue treatment. The PBAC considered that these comments reflected the evidence provided in the submission.</w:t>
      </w:r>
    </w:p>
    <w:p w:rsidR="001950FA" w:rsidRPr="00E62D6B" w:rsidRDefault="001950FA" w:rsidP="001950FA">
      <w:pPr>
        <w:rPr>
          <w:bCs/>
          <w:color w:val="0070C0"/>
          <w:szCs w:val="22"/>
        </w:rPr>
      </w:pPr>
    </w:p>
    <w:p w:rsidR="001C0BC4" w:rsidRDefault="001950FA" w:rsidP="00D90EFD">
      <w:pPr>
        <w:numPr>
          <w:ilvl w:val="1"/>
          <w:numId w:val="2"/>
        </w:numPr>
        <w:contextualSpacing/>
        <w:rPr>
          <w:bCs/>
          <w:szCs w:val="22"/>
        </w:rPr>
      </w:pPr>
      <w:r w:rsidRPr="005C0A25">
        <w:rPr>
          <w:bCs/>
          <w:szCs w:val="22"/>
        </w:rPr>
        <w:t xml:space="preserve">The Australian Pituitary Foundation (APF) wrote to support the submission on behalf of its members. The APF conducted a consumer survey (n=165), </w:t>
      </w:r>
      <w:r>
        <w:rPr>
          <w:bCs/>
          <w:szCs w:val="22"/>
        </w:rPr>
        <w:t>and provided</w:t>
      </w:r>
      <w:r w:rsidRPr="005C0A25">
        <w:rPr>
          <w:bCs/>
          <w:szCs w:val="22"/>
        </w:rPr>
        <w:t xml:space="preserve"> patient </w:t>
      </w:r>
      <w:r>
        <w:rPr>
          <w:bCs/>
          <w:szCs w:val="22"/>
        </w:rPr>
        <w:t xml:space="preserve">and carer </w:t>
      </w:r>
      <w:r w:rsidRPr="005C0A25">
        <w:rPr>
          <w:bCs/>
          <w:szCs w:val="22"/>
        </w:rPr>
        <w:t xml:space="preserve">testimonials. </w:t>
      </w:r>
      <w:r>
        <w:rPr>
          <w:bCs/>
          <w:szCs w:val="22"/>
        </w:rPr>
        <w:t xml:space="preserve">The survey responses described a range of patient demographics, treatment histories and benefits from GH replacement therapy. The patient testimonials included from: adults who had been recipients of GH as a child; parents of children who received therapy who are now adults; adults who acquired GH deficiency later in life who cannot afford therapy; and adults who self-fund and receive benefits from GH </w:t>
      </w:r>
      <w:r w:rsidRPr="009C4F8F">
        <w:rPr>
          <w:bCs/>
          <w:szCs w:val="22"/>
        </w:rPr>
        <w:t xml:space="preserve">therapy. Comments </w:t>
      </w:r>
      <w:r>
        <w:rPr>
          <w:bCs/>
          <w:szCs w:val="22"/>
        </w:rPr>
        <w:t>were also received from</w:t>
      </w:r>
      <w:r w:rsidRPr="009C4F8F">
        <w:rPr>
          <w:bCs/>
          <w:szCs w:val="22"/>
        </w:rPr>
        <w:t xml:space="preserve"> family and friends supporting </w:t>
      </w:r>
      <w:r>
        <w:rPr>
          <w:bCs/>
          <w:szCs w:val="22"/>
        </w:rPr>
        <w:t xml:space="preserve">the </w:t>
      </w:r>
      <w:r w:rsidRPr="009C4F8F">
        <w:rPr>
          <w:bCs/>
          <w:szCs w:val="22"/>
        </w:rPr>
        <w:t xml:space="preserve">PBS </w:t>
      </w:r>
      <w:r>
        <w:rPr>
          <w:bCs/>
          <w:szCs w:val="22"/>
        </w:rPr>
        <w:t>listing</w:t>
      </w:r>
      <w:r w:rsidRPr="009C4F8F">
        <w:rPr>
          <w:bCs/>
          <w:szCs w:val="22"/>
        </w:rPr>
        <w:t xml:space="preserve"> </w:t>
      </w:r>
      <w:r>
        <w:rPr>
          <w:bCs/>
          <w:szCs w:val="22"/>
        </w:rPr>
        <w:t xml:space="preserve">of </w:t>
      </w:r>
      <w:proofErr w:type="spellStart"/>
      <w:r>
        <w:rPr>
          <w:bCs/>
          <w:szCs w:val="22"/>
        </w:rPr>
        <w:t>somatropin</w:t>
      </w:r>
      <w:proofErr w:type="spellEnd"/>
      <w:r w:rsidRPr="009C4F8F">
        <w:rPr>
          <w:bCs/>
          <w:szCs w:val="22"/>
        </w:rPr>
        <w:t>. The PBAC noted the correspondence from the Pituitary Foundation UK and the International Coalition of Organizations Supporting Endocrine Patients (attached to the APF submission) expressing support for public subsidy of GH replacement therapy.</w:t>
      </w:r>
    </w:p>
    <w:p w:rsidR="0094421F" w:rsidRDefault="0094421F" w:rsidP="001C0BC4">
      <w:pPr>
        <w:pStyle w:val="ListParagraph"/>
        <w:rPr>
          <w:bCs/>
          <w:i/>
          <w:szCs w:val="22"/>
          <w:highlight w:val="yellow"/>
        </w:rPr>
      </w:pPr>
    </w:p>
    <w:p w:rsidR="00734933" w:rsidRPr="00497F10" w:rsidRDefault="00734933" w:rsidP="00D849EA">
      <w:pPr>
        <w:pStyle w:val="Heading2"/>
        <w:widowControl/>
        <w:rPr>
          <w:i/>
        </w:rPr>
      </w:pPr>
      <w:bookmarkStart w:id="7" w:name="_Toc461555460"/>
      <w:r w:rsidRPr="00497F10">
        <w:rPr>
          <w:i/>
        </w:rPr>
        <w:t>Clinical trials</w:t>
      </w:r>
      <w:bookmarkEnd w:id="7"/>
    </w:p>
    <w:p w:rsidR="00734933" w:rsidRPr="00882085" w:rsidRDefault="00734933" w:rsidP="00D849EA">
      <w:pPr>
        <w:widowControl/>
        <w:rPr>
          <w:szCs w:val="22"/>
        </w:rPr>
      </w:pPr>
    </w:p>
    <w:p w:rsidR="00734933" w:rsidRPr="006303AE" w:rsidRDefault="00307A42" w:rsidP="00E66A39">
      <w:pPr>
        <w:pStyle w:val="ListParagraph"/>
        <w:widowControl/>
        <w:numPr>
          <w:ilvl w:val="1"/>
          <w:numId w:val="2"/>
        </w:numPr>
        <w:rPr>
          <w:szCs w:val="22"/>
        </w:rPr>
      </w:pPr>
      <w:r w:rsidRPr="006303AE">
        <w:rPr>
          <w:szCs w:val="22"/>
        </w:rPr>
        <w:t>The re</w:t>
      </w:r>
      <w:r w:rsidR="00734933" w:rsidRPr="006303AE">
        <w:rPr>
          <w:szCs w:val="22"/>
        </w:rPr>
        <w:t xml:space="preserve">submission </w:t>
      </w:r>
      <w:r w:rsidR="00E72FF5">
        <w:rPr>
          <w:szCs w:val="22"/>
        </w:rPr>
        <w:t>wa</w:t>
      </w:r>
      <w:r w:rsidR="00734933" w:rsidRPr="006303AE">
        <w:rPr>
          <w:szCs w:val="22"/>
        </w:rPr>
        <w:t xml:space="preserve">s based on one non-randomised, single arm observational study of New Zealand patients with severe GHD receiving </w:t>
      </w:r>
      <w:proofErr w:type="spellStart"/>
      <w:r w:rsidR="00734933" w:rsidRPr="006303AE">
        <w:rPr>
          <w:szCs w:val="22"/>
        </w:rPr>
        <w:t>somatropin</w:t>
      </w:r>
      <w:proofErr w:type="spellEnd"/>
      <w:r w:rsidR="00B24973" w:rsidRPr="00B24973">
        <w:rPr>
          <w:szCs w:val="22"/>
        </w:rPr>
        <w:t xml:space="preserve"> </w:t>
      </w:r>
      <w:r w:rsidR="00B24973" w:rsidRPr="008C0418">
        <w:rPr>
          <w:szCs w:val="22"/>
        </w:rPr>
        <w:t xml:space="preserve">under the auspices of the PHARMAC program for subsidised access to </w:t>
      </w:r>
      <w:proofErr w:type="spellStart"/>
      <w:r w:rsidR="00B24973" w:rsidRPr="008C0418">
        <w:rPr>
          <w:szCs w:val="22"/>
        </w:rPr>
        <w:t>somatropin</w:t>
      </w:r>
      <w:proofErr w:type="spellEnd"/>
      <w:r w:rsidR="002F3374" w:rsidRPr="008C0418">
        <w:rPr>
          <w:szCs w:val="22"/>
        </w:rPr>
        <w:t xml:space="preserve"> during</w:t>
      </w:r>
      <w:r w:rsidR="00734933" w:rsidRPr="006303AE">
        <w:rPr>
          <w:szCs w:val="22"/>
        </w:rPr>
        <w:t xml:space="preserve"> </w:t>
      </w:r>
      <w:proofErr w:type="spellStart"/>
      <w:r w:rsidR="00734933" w:rsidRPr="006303AE">
        <w:rPr>
          <w:szCs w:val="22"/>
        </w:rPr>
        <w:t>Holdaway</w:t>
      </w:r>
      <w:proofErr w:type="spellEnd"/>
      <w:r w:rsidR="00734933" w:rsidRPr="006303AE">
        <w:rPr>
          <w:szCs w:val="22"/>
        </w:rPr>
        <w:t xml:space="preserve"> et al. (2015). The July 2011 </w:t>
      </w:r>
      <w:r w:rsidR="00014970" w:rsidRPr="006303AE">
        <w:rPr>
          <w:szCs w:val="22"/>
        </w:rPr>
        <w:t>resubmission</w:t>
      </w:r>
      <w:r w:rsidR="00734933" w:rsidRPr="006303AE">
        <w:rPr>
          <w:szCs w:val="22"/>
        </w:rPr>
        <w:t xml:space="preserve"> was based on 39 randomised controlled trials comparing </w:t>
      </w:r>
      <w:proofErr w:type="spellStart"/>
      <w:r w:rsidR="00734933" w:rsidRPr="006303AE">
        <w:rPr>
          <w:szCs w:val="22"/>
        </w:rPr>
        <w:t>somatropin</w:t>
      </w:r>
      <w:proofErr w:type="spellEnd"/>
      <w:r w:rsidR="00734933" w:rsidRPr="006303AE">
        <w:rPr>
          <w:szCs w:val="22"/>
        </w:rPr>
        <w:t xml:space="preserve"> with plac</w:t>
      </w:r>
      <w:r w:rsidR="00E72FF5">
        <w:rPr>
          <w:szCs w:val="22"/>
        </w:rPr>
        <w:t>ebo in adult patients with GHD.</w:t>
      </w:r>
    </w:p>
    <w:p w:rsidR="00734933" w:rsidRPr="006303AE" w:rsidRDefault="00734933" w:rsidP="00D849EA">
      <w:pPr>
        <w:widowControl/>
        <w:rPr>
          <w:szCs w:val="22"/>
        </w:rPr>
      </w:pPr>
    </w:p>
    <w:p w:rsidR="00734933" w:rsidRPr="006303AE" w:rsidRDefault="00734933" w:rsidP="00E66A39">
      <w:pPr>
        <w:pStyle w:val="ListParagraph"/>
        <w:widowControl/>
        <w:numPr>
          <w:ilvl w:val="1"/>
          <w:numId w:val="2"/>
        </w:numPr>
        <w:rPr>
          <w:szCs w:val="22"/>
        </w:rPr>
      </w:pPr>
      <w:r w:rsidRPr="006303AE">
        <w:rPr>
          <w:szCs w:val="22"/>
        </w:rPr>
        <w:t>Details of the study</w:t>
      </w:r>
      <w:r w:rsidR="00307A42" w:rsidRPr="006303AE">
        <w:rPr>
          <w:szCs w:val="22"/>
        </w:rPr>
        <w:t xml:space="preserve"> presented in the re</w:t>
      </w:r>
      <w:r w:rsidRPr="006303AE">
        <w:rPr>
          <w:szCs w:val="22"/>
        </w:rPr>
        <w:t>submission are provided below.</w:t>
      </w:r>
    </w:p>
    <w:p w:rsidR="00734933" w:rsidRDefault="00734933" w:rsidP="006E5469">
      <w:pPr>
        <w:rPr>
          <w:rStyle w:val="CommentReference"/>
        </w:rPr>
      </w:pPr>
    </w:p>
    <w:p w:rsidR="00734933" w:rsidRPr="002351AC" w:rsidRDefault="006B13D0" w:rsidP="00D849EA">
      <w:pPr>
        <w:widowControl/>
        <w:ind w:firstLine="720"/>
        <w:rPr>
          <w:rStyle w:val="CommentReference"/>
          <w:b w:val="0"/>
          <w:szCs w:val="20"/>
        </w:rPr>
      </w:pPr>
      <w:r>
        <w:rPr>
          <w:rStyle w:val="CommentReference"/>
          <w:szCs w:val="20"/>
        </w:rPr>
        <w:t>Table 2</w:t>
      </w:r>
      <w:r w:rsidR="00734933" w:rsidRPr="002351AC">
        <w:rPr>
          <w:rStyle w:val="CommentReference"/>
          <w:szCs w:val="20"/>
        </w:rPr>
        <w:t>:</w:t>
      </w:r>
      <w:r w:rsidR="002351AC">
        <w:rPr>
          <w:rStyle w:val="CommentReference"/>
          <w:b w:val="0"/>
          <w:szCs w:val="20"/>
        </w:rPr>
        <w:t xml:space="preserve"> </w:t>
      </w:r>
      <w:r w:rsidR="00A63D53">
        <w:rPr>
          <w:rFonts w:ascii="Arial Narrow" w:hAnsi="Arial Narrow"/>
          <w:b/>
          <w:sz w:val="20"/>
        </w:rPr>
        <w:t>Study</w:t>
      </w:r>
      <w:r w:rsidR="00734933" w:rsidRPr="002351AC">
        <w:rPr>
          <w:rFonts w:ascii="Arial Narrow" w:hAnsi="Arial Narrow"/>
          <w:b/>
          <w:sz w:val="20"/>
        </w:rPr>
        <w:t xml:space="preserve"> and associated report presented in the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6"/>
        <w:gridCol w:w="4817"/>
        <w:gridCol w:w="2532"/>
      </w:tblGrid>
      <w:tr w:rsidR="00734933" w:rsidRPr="004E2ADC" w:rsidTr="000848C6">
        <w:tc>
          <w:tcPr>
            <w:tcW w:w="597" w:type="pct"/>
          </w:tcPr>
          <w:p w:rsidR="00734933" w:rsidRPr="004E2ADC" w:rsidRDefault="00A63D53" w:rsidP="00D849EA">
            <w:pPr>
              <w:widowControl/>
              <w:jc w:val="left"/>
              <w:rPr>
                <w:rFonts w:ascii="Arial Narrow" w:hAnsi="Arial Narrow"/>
                <w:b/>
                <w:sz w:val="20"/>
              </w:rPr>
            </w:pPr>
            <w:r>
              <w:rPr>
                <w:rFonts w:ascii="Arial Narrow" w:hAnsi="Arial Narrow"/>
                <w:b/>
                <w:sz w:val="20"/>
              </w:rPr>
              <w:t>Study</w:t>
            </w:r>
            <w:r w:rsidRPr="004E2ADC">
              <w:rPr>
                <w:rFonts w:ascii="Arial Narrow" w:hAnsi="Arial Narrow"/>
                <w:b/>
                <w:sz w:val="20"/>
              </w:rPr>
              <w:t xml:space="preserve"> </w:t>
            </w:r>
            <w:r w:rsidR="00734933" w:rsidRPr="004E2ADC">
              <w:rPr>
                <w:rFonts w:ascii="Arial Narrow" w:hAnsi="Arial Narrow"/>
                <w:b/>
                <w:sz w:val="20"/>
              </w:rPr>
              <w:t>ID</w:t>
            </w:r>
          </w:p>
        </w:tc>
        <w:tc>
          <w:tcPr>
            <w:tcW w:w="2886" w:type="pct"/>
          </w:tcPr>
          <w:p w:rsidR="00734933" w:rsidRPr="004E2ADC" w:rsidRDefault="00734933" w:rsidP="00D849EA">
            <w:pPr>
              <w:widowControl/>
              <w:jc w:val="center"/>
              <w:rPr>
                <w:rFonts w:ascii="Arial Narrow" w:hAnsi="Arial Narrow"/>
                <w:b/>
                <w:sz w:val="20"/>
              </w:rPr>
            </w:pPr>
            <w:r w:rsidRPr="004E2ADC">
              <w:rPr>
                <w:rFonts w:ascii="Arial Narrow" w:hAnsi="Arial Narrow"/>
                <w:b/>
                <w:sz w:val="20"/>
              </w:rPr>
              <w:t>Protocol title/ Publication title</w:t>
            </w:r>
          </w:p>
        </w:tc>
        <w:tc>
          <w:tcPr>
            <w:tcW w:w="1518" w:type="pct"/>
          </w:tcPr>
          <w:p w:rsidR="00734933" w:rsidRPr="004E2ADC" w:rsidRDefault="00734933" w:rsidP="00D849EA">
            <w:pPr>
              <w:widowControl/>
              <w:jc w:val="center"/>
              <w:rPr>
                <w:rFonts w:ascii="Arial Narrow" w:hAnsi="Arial Narrow"/>
                <w:b/>
                <w:sz w:val="20"/>
              </w:rPr>
            </w:pPr>
            <w:r w:rsidRPr="004E2ADC">
              <w:rPr>
                <w:rFonts w:ascii="Arial Narrow" w:hAnsi="Arial Narrow"/>
                <w:b/>
                <w:sz w:val="20"/>
              </w:rPr>
              <w:t>Publication citation</w:t>
            </w:r>
          </w:p>
        </w:tc>
      </w:tr>
      <w:tr w:rsidR="00734933" w:rsidRPr="004E2ADC" w:rsidTr="00734933">
        <w:tc>
          <w:tcPr>
            <w:tcW w:w="5000" w:type="pct"/>
            <w:gridSpan w:val="3"/>
          </w:tcPr>
          <w:p w:rsidR="00734933" w:rsidRPr="004E2ADC" w:rsidRDefault="00734933" w:rsidP="00D849EA">
            <w:pPr>
              <w:widowControl/>
              <w:jc w:val="left"/>
              <w:rPr>
                <w:rFonts w:ascii="Arial Narrow" w:hAnsi="Arial Narrow"/>
                <w:b/>
                <w:sz w:val="20"/>
              </w:rPr>
            </w:pPr>
            <w:r>
              <w:rPr>
                <w:rFonts w:ascii="Arial Narrow" w:hAnsi="Arial Narrow"/>
                <w:b/>
                <w:sz w:val="20"/>
              </w:rPr>
              <w:t>Included study</w:t>
            </w:r>
          </w:p>
        </w:tc>
      </w:tr>
      <w:tr w:rsidR="00734933" w:rsidRPr="004E2ADC" w:rsidTr="000848C6">
        <w:tc>
          <w:tcPr>
            <w:tcW w:w="597" w:type="pct"/>
          </w:tcPr>
          <w:p w:rsidR="00734933" w:rsidRPr="004E2ADC" w:rsidRDefault="00734933" w:rsidP="00D849EA">
            <w:pPr>
              <w:widowControl/>
              <w:jc w:val="left"/>
              <w:rPr>
                <w:rFonts w:ascii="Arial Narrow" w:hAnsi="Arial Narrow"/>
                <w:sz w:val="20"/>
              </w:rPr>
            </w:pPr>
            <w:proofErr w:type="spellStart"/>
            <w:r>
              <w:rPr>
                <w:rFonts w:ascii="Arial Narrow" w:hAnsi="Arial Narrow"/>
                <w:sz w:val="20"/>
              </w:rPr>
              <w:t>Holdaway</w:t>
            </w:r>
            <w:proofErr w:type="spellEnd"/>
            <w:r>
              <w:rPr>
                <w:rFonts w:ascii="Arial Narrow" w:hAnsi="Arial Narrow"/>
                <w:sz w:val="20"/>
              </w:rPr>
              <w:t xml:space="preserve"> </w:t>
            </w:r>
          </w:p>
        </w:tc>
        <w:tc>
          <w:tcPr>
            <w:tcW w:w="2886" w:type="pct"/>
          </w:tcPr>
          <w:p w:rsidR="00734933" w:rsidRPr="004E2ADC" w:rsidRDefault="00734933" w:rsidP="00D849EA">
            <w:pPr>
              <w:widowControl/>
              <w:jc w:val="left"/>
              <w:rPr>
                <w:rFonts w:ascii="Arial Narrow" w:hAnsi="Arial Narrow"/>
                <w:b/>
                <w:sz w:val="20"/>
              </w:rPr>
            </w:pPr>
            <w:proofErr w:type="spellStart"/>
            <w:r w:rsidRPr="00A65F47">
              <w:rPr>
                <w:rFonts w:ascii="Arial Narrow" w:hAnsi="Arial Narrow"/>
                <w:sz w:val="20"/>
              </w:rPr>
              <w:t>Holdaway</w:t>
            </w:r>
            <w:proofErr w:type="spellEnd"/>
            <w:r w:rsidRPr="00A65F47">
              <w:rPr>
                <w:rFonts w:ascii="Arial Narrow" w:hAnsi="Arial Narrow"/>
                <w:sz w:val="20"/>
              </w:rPr>
              <w:t xml:space="preserve">, I. M., Hunt, P., Manning, P., </w:t>
            </w:r>
            <w:proofErr w:type="spellStart"/>
            <w:r w:rsidRPr="00A65F47">
              <w:rPr>
                <w:rFonts w:ascii="Arial Narrow" w:hAnsi="Arial Narrow"/>
                <w:sz w:val="20"/>
              </w:rPr>
              <w:t>Cutfield</w:t>
            </w:r>
            <w:proofErr w:type="spellEnd"/>
            <w:r w:rsidRPr="00A65F47">
              <w:rPr>
                <w:rFonts w:ascii="Arial Narrow" w:hAnsi="Arial Narrow"/>
                <w:sz w:val="20"/>
              </w:rPr>
              <w:t xml:space="preserve">, W., Gamble, G., </w:t>
            </w:r>
            <w:proofErr w:type="spellStart"/>
            <w:r w:rsidRPr="00A65F47">
              <w:rPr>
                <w:rFonts w:ascii="Arial Narrow" w:hAnsi="Arial Narrow"/>
                <w:sz w:val="20"/>
              </w:rPr>
              <w:t>Ninow</w:t>
            </w:r>
            <w:proofErr w:type="spellEnd"/>
            <w:r w:rsidRPr="00A65F47">
              <w:rPr>
                <w:rFonts w:ascii="Arial Narrow" w:hAnsi="Arial Narrow"/>
                <w:sz w:val="20"/>
              </w:rPr>
              <w:t xml:space="preserve">, N., Staples-Moon, D., </w:t>
            </w:r>
            <w:proofErr w:type="spellStart"/>
            <w:r w:rsidRPr="00A65F47">
              <w:rPr>
                <w:rFonts w:ascii="Arial Narrow" w:hAnsi="Arial Narrow"/>
                <w:sz w:val="20"/>
              </w:rPr>
              <w:t>Moodie</w:t>
            </w:r>
            <w:proofErr w:type="spellEnd"/>
            <w:r w:rsidRPr="00A65F47">
              <w:rPr>
                <w:rFonts w:ascii="Arial Narrow" w:hAnsi="Arial Narrow"/>
                <w:sz w:val="20"/>
              </w:rPr>
              <w:t xml:space="preserve">, P., &amp; Metcalfe, S. (2015). Three-year experience with access to nationally funded growth hormone (GH) replacement for GH-deficient adults. </w:t>
            </w:r>
          </w:p>
        </w:tc>
        <w:tc>
          <w:tcPr>
            <w:tcW w:w="1518" w:type="pct"/>
          </w:tcPr>
          <w:p w:rsidR="00734933" w:rsidRPr="004E2ADC" w:rsidRDefault="00734933" w:rsidP="00D849EA">
            <w:pPr>
              <w:widowControl/>
              <w:jc w:val="left"/>
              <w:rPr>
                <w:rFonts w:ascii="Arial Narrow" w:hAnsi="Arial Narrow"/>
                <w:sz w:val="20"/>
              </w:rPr>
            </w:pPr>
            <w:r>
              <w:rPr>
                <w:rFonts w:ascii="Arial Narrow" w:hAnsi="Arial Narrow"/>
                <w:sz w:val="20"/>
              </w:rPr>
              <w:t>July 2015</w:t>
            </w:r>
          </w:p>
          <w:p w:rsidR="00734933" w:rsidRPr="004E2ADC" w:rsidRDefault="00734933" w:rsidP="00D849EA">
            <w:pPr>
              <w:widowControl/>
              <w:jc w:val="left"/>
              <w:rPr>
                <w:rFonts w:ascii="Arial Narrow" w:hAnsi="Arial Narrow"/>
                <w:b/>
                <w:sz w:val="20"/>
              </w:rPr>
            </w:pPr>
            <w:r w:rsidRPr="00A65F47">
              <w:rPr>
                <w:rFonts w:ascii="Arial Narrow" w:hAnsi="Arial Narrow"/>
                <w:i/>
                <w:sz w:val="20"/>
              </w:rPr>
              <w:t>Clinical endocrinology</w:t>
            </w:r>
            <w:r>
              <w:rPr>
                <w:rFonts w:ascii="Arial Narrow" w:hAnsi="Arial Narrow"/>
                <w:sz w:val="20"/>
              </w:rPr>
              <w:t xml:space="preserve"> 2015;</w:t>
            </w:r>
            <w:r w:rsidRPr="00A65F47">
              <w:rPr>
                <w:rFonts w:ascii="Arial Narrow" w:hAnsi="Arial Narrow"/>
                <w:sz w:val="20"/>
              </w:rPr>
              <w:t>83(1)</w:t>
            </w:r>
            <w:r>
              <w:rPr>
                <w:rFonts w:ascii="Arial Narrow" w:hAnsi="Arial Narrow"/>
                <w:sz w:val="20"/>
              </w:rPr>
              <w:t>:</w:t>
            </w:r>
            <w:r w:rsidRPr="00A65F47">
              <w:rPr>
                <w:rFonts w:ascii="Arial Narrow" w:hAnsi="Arial Narrow"/>
                <w:sz w:val="20"/>
              </w:rPr>
              <w:t xml:space="preserve"> 85-90</w:t>
            </w:r>
          </w:p>
        </w:tc>
      </w:tr>
    </w:tbl>
    <w:p w:rsidR="00734933" w:rsidRPr="00B16E44" w:rsidRDefault="00734933" w:rsidP="00D849EA">
      <w:pPr>
        <w:pStyle w:val="TableFooter"/>
        <w:widowControl/>
        <w:ind w:firstLine="720"/>
      </w:pPr>
      <w:r w:rsidRPr="00B16E44">
        <w:t xml:space="preserve">Source: Table 16, p21, of the </w:t>
      </w:r>
      <w:r w:rsidR="00014970">
        <w:t>resubmission</w:t>
      </w:r>
      <w:r w:rsidRPr="00B16E44">
        <w:t>.</w:t>
      </w:r>
    </w:p>
    <w:p w:rsidR="000848C6" w:rsidRDefault="000848C6">
      <w:pPr>
        <w:widowControl/>
        <w:jc w:val="left"/>
        <w:rPr>
          <w:szCs w:val="22"/>
        </w:rPr>
      </w:pPr>
    </w:p>
    <w:p w:rsidR="00734933" w:rsidRDefault="00734933" w:rsidP="00E66A39">
      <w:pPr>
        <w:pStyle w:val="ListParagraph"/>
        <w:widowControl/>
        <w:numPr>
          <w:ilvl w:val="1"/>
          <w:numId w:val="2"/>
        </w:numPr>
        <w:rPr>
          <w:szCs w:val="22"/>
        </w:rPr>
      </w:pPr>
      <w:r w:rsidRPr="00D06FD4">
        <w:rPr>
          <w:szCs w:val="22"/>
        </w:rPr>
        <w:t xml:space="preserve">The key features of the </w:t>
      </w:r>
      <w:proofErr w:type="spellStart"/>
      <w:r>
        <w:rPr>
          <w:szCs w:val="22"/>
        </w:rPr>
        <w:t>Holdaway</w:t>
      </w:r>
      <w:proofErr w:type="spellEnd"/>
      <w:r>
        <w:rPr>
          <w:szCs w:val="22"/>
        </w:rPr>
        <w:t xml:space="preserve"> et al. (2015) study</w:t>
      </w:r>
      <w:r w:rsidRPr="00D06FD4">
        <w:rPr>
          <w:szCs w:val="22"/>
        </w:rPr>
        <w:t xml:space="preserve"> are summarised below.</w:t>
      </w:r>
    </w:p>
    <w:p w:rsidR="006119BA" w:rsidRPr="00D06FD4" w:rsidRDefault="006119BA" w:rsidP="006119BA">
      <w:pPr>
        <w:pStyle w:val="ListParagraph"/>
        <w:widowControl/>
        <w:rPr>
          <w:szCs w:val="22"/>
        </w:rPr>
      </w:pPr>
    </w:p>
    <w:p w:rsidR="00734933" w:rsidRPr="00E2771E" w:rsidRDefault="006B13D0" w:rsidP="00D849EA">
      <w:pPr>
        <w:keepNext/>
        <w:widowControl/>
        <w:ind w:firstLine="720"/>
        <w:rPr>
          <w:rStyle w:val="CommentReference"/>
        </w:rPr>
      </w:pPr>
      <w:r>
        <w:rPr>
          <w:rStyle w:val="CommentReference"/>
        </w:rPr>
        <w:t>Table 3</w:t>
      </w:r>
      <w:r w:rsidR="00734933"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330"/>
        <w:gridCol w:w="1514"/>
        <w:gridCol w:w="1133"/>
        <w:gridCol w:w="1559"/>
        <w:gridCol w:w="1133"/>
        <w:gridCol w:w="1684"/>
      </w:tblGrid>
      <w:tr w:rsidR="000848C6" w:rsidRPr="00E2771E" w:rsidTr="000848C6">
        <w:tc>
          <w:tcPr>
            <w:tcW w:w="594" w:type="pct"/>
            <w:shd w:val="clear" w:color="auto" w:fill="auto"/>
            <w:vAlign w:val="center"/>
          </w:tcPr>
          <w:p w:rsidR="00734933" w:rsidRPr="00E2771E" w:rsidRDefault="00A63D53" w:rsidP="00D849EA">
            <w:pPr>
              <w:keepNext/>
              <w:widowControl/>
              <w:jc w:val="left"/>
              <w:rPr>
                <w:rFonts w:ascii="Arial Narrow" w:hAnsi="Arial Narrow"/>
                <w:b/>
                <w:sz w:val="20"/>
                <w:lang w:val="en-US"/>
              </w:rPr>
            </w:pPr>
            <w:r>
              <w:rPr>
                <w:rFonts w:ascii="Arial Narrow" w:hAnsi="Arial Narrow"/>
                <w:b/>
                <w:sz w:val="20"/>
                <w:lang w:val="en-US"/>
              </w:rPr>
              <w:t>Study</w:t>
            </w:r>
          </w:p>
        </w:tc>
        <w:tc>
          <w:tcPr>
            <w:tcW w:w="198" w:type="pct"/>
            <w:shd w:val="clear" w:color="auto" w:fill="auto"/>
            <w:vAlign w:val="center"/>
          </w:tcPr>
          <w:p w:rsidR="00734933" w:rsidRPr="00E2771E" w:rsidRDefault="00734933" w:rsidP="00D849EA">
            <w:pPr>
              <w:keepNext/>
              <w:widowControl/>
              <w:jc w:val="center"/>
              <w:rPr>
                <w:rFonts w:ascii="Arial Narrow" w:hAnsi="Arial Narrow"/>
                <w:b/>
                <w:sz w:val="20"/>
                <w:lang w:val="en-US"/>
              </w:rPr>
            </w:pPr>
            <w:r w:rsidRPr="00E2771E">
              <w:rPr>
                <w:rFonts w:ascii="Arial Narrow" w:hAnsi="Arial Narrow"/>
                <w:b/>
                <w:sz w:val="20"/>
                <w:lang w:val="en-US"/>
              </w:rPr>
              <w:t>N</w:t>
            </w:r>
          </w:p>
        </w:tc>
        <w:tc>
          <w:tcPr>
            <w:tcW w:w="907" w:type="pct"/>
            <w:shd w:val="clear" w:color="auto" w:fill="auto"/>
            <w:vAlign w:val="center"/>
          </w:tcPr>
          <w:p w:rsidR="00734933" w:rsidRPr="00E2771E" w:rsidRDefault="00734933" w:rsidP="00D849EA">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679" w:type="pct"/>
            <w:shd w:val="clear" w:color="auto" w:fill="auto"/>
            <w:vAlign w:val="center"/>
          </w:tcPr>
          <w:p w:rsidR="00734933" w:rsidRPr="00E2771E" w:rsidRDefault="00734933" w:rsidP="00D849EA">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934" w:type="pct"/>
            <w:shd w:val="clear" w:color="auto" w:fill="auto"/>
            <w:vAlign w:val="center"/>
          </w:tcPr>
          <w:p w:rsidR="00734933" w:rsidRPr="00E2771E" w:rsidRDefault="00734933" w:rsidP="00D849EA">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679" w:type="pct"/>
            <w:shd w:val="clear" w:color="auto" w:fill="auto"/>
            <w:vAlign w:val="center"/>
          </w:tcPr>
          <w:p w:rsidR="00734933" w:rsidRPr="00E2771E" w:rsidRDefault="00734933" w:rsidP="00D849EA">
            <w:pPr>
              <w:keepNext/>
              <w:widowControl/>
              <w:jc w:val="center"/>
              <w:rPr>
                <w:rFonts w:ascii="Arial Narrow" w:hAnsi="Arial Narrow"/>
                <w:b/>
                <w:sz w:val="20"/>
                <w:lang w:val="en-US"/>
              </w:rPr>
            </w:pPr>
            <w:r w:rsidRPr="00E2771E">
              <w:rPr>
                <w:rFonts w:ascii="Arial Narrow" w:hAnsi="Arial Narrow"/>
                <w:b/>
                <w:sz w:val="20"/>
                <w:lang w:val="en-US"/>
              </w:rPr>
              <w:t>Outcome(s)</w:t>
            </w:r>
          </w:p>
        </w:tc>
        <w:tc>
          <w:tcPr>
            <w:tcW w:w="1008" w:type="pct"/>
            <w:shd w:val="clear" w:color="auto" w:fill="auto"/>
            <w:vAlign w:val="center"/>
          </w:tcPr>
          <w:p w:rsidR="00734933" w:rsidRPr="00E2771E" w:rsidRDefault="00734933" w:rsidP="00D849EA">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734933" w:rsidRPr="00E2771E" w:rsidTr="00734933">
        <w:tc>
          <w:tcPr>
            <w:tcW w:w="5000" w:type="pct"/>
            <w:gridSpan w:val="7"/>
            <w:shd w:val="clear" w:color="auto" w:fill="auto"/>
            <w:vAlign w:val="center"/>
          </w:tcPr>
          <w:p w:rsidR="00734933" w:rsidRPr="00E2771E" w:rsidRDefault="00734933" w:rsidP="00D849EA">
            <w:pPr>
              <w:keepNext/>
              <w:widowControl/>
              <w:jc w:val="left"/>
              <w:rPr>
                <w:rFonts w:ascii="Arial Narrow" w:hAnsi="Arial Narrow"/>
                <w:b/>
                <w:sz w:val="20"/>
                <w:lang w:val="en-US"/>
              </w:rPr>
            </w:pPr>
            <w:r>
              <w:rPr>
                <w:rFonts w:ascii="Arial Narrow" w:hAnsi="Arial Narrow"/>
                <w:b/>
                <w:sz w:val="20"/>
                <w:lang w:val="en-US"/>
              </w:rPr>
              <w:t xml:space="preserve">Single arm, </w:t>
            </w:r>
            <w:proofErr w:type="spellStart"/>
            <w:r>
              <w:rPr>
                <w:rFonts w:ascii="Arial Narrow" w:hAnsi="Arial Narrow"/>
                <w:b/>
                <w:sz w:val="20"/>
                <w:lang w:val="en-US"/>
              </w:rPr>
              <w:t>somatropin</w:t>
            </w:r>
            <w:proofErr w:type="spellEnd"/>
          </w:p>
        </w:tc>
      </w:tr>
      <w:tr w:rsidR="000848C6" w:rsidRPr="00E2771E" w:rsidTr="000848C6">
        <w:tc>
          <w:tcPr>
            <w:tcW w:w="594" w:type="pct"/>
            <w:shd w:val="clear" w:color="auto" w:fill="auto"/>
            <w:vAlign w:val="center"/>
          </w:tcPr>
          <w:p w:rsidR="00734933" w:rsidRPr="00E2771E" w:rsidRDefault="00734933" w:rsidP="00D849EA">
            <w:pPr>
              <w:keepNext/>
              <w:widowControl/>
              <w:jc w:val="left"/>
              <w:rPr>
                <w:rFonts w:ascii="Arial Narrow" w:hAnsi="Arial Narrow"/>
                <w:sz w:val="20"/>
                <w:lang w:val="en-US"/>
              </w:rPr>
            </w:pPr>
            <w:proofErr w:type="spellStart"/>
            <w:r>
              <w:rPr>
                <w:rFonts w:ascii="Arial Narrow" w:hAnsi="Arial Narrow"/>
                <w:sz w:val="20"/>
                <w:lang w:val="en-US"/>
              </w:rPr>
              <w:t>Holdaway</w:t>
            </w:r>
            <w:proofErr w:type="spellEnd"/>
            <w:r>
              <w:rPr>
                <w:rFonts w:ascii="Arial Narrow" w:hAnsi="Arial Narrow"/>
                <w:sz w:val="20"/>
                <w:lang w:val="en-US"/>
              </w:rPr>
              <w:t xml:space="preserve"> et al. (2015)</w:t>
            </w:r>
          </w:p>
        </w:tc>
        <w:tc>
          <w:tcPr>
            <w:tcW w:w="198" w:type="pct"/>
            <w:shd w:val="clear" w:color="auto" w:fill="auto"/>
            <w:vAlign w:val="center"/>
          </w:tcPr>
          <w:p w:rsidR="00734933" w:rsidRPr="00E2771E" w:rsidRDefault="00734933" w:rsidP="00D849EA">
            <w:pPr>
              <w:keepNext/>
              <w:widowControl/>
              <w:jc w:val="center"/>
              <w:rPr>
                <w:rFonts w:ascii="Arial Narrow" w:hAnsi="Arial Narrow"/>
                <w:sz w:val="20"/>
                <w:lang w:val="en-US"/>
              </w:rPr>
            </w:pPr>
            <w:r>
              <w:rPr>
                <w:rFonts w:ascii="Arial Narrow" w:hAnsi="Arial Narrow"/>
                <w:sz w:val="20"/>
                <w:lang w:val="en-US"/>
              </w:rPr>
              <w:t>201</w:t>
            </w:r>
          </w:p>
        </w:tc>
        <w:tc>
          <w:tcPr>
            <w:tcW w:w="907" w:type="pct"/>
            <w:shd w:val="clear" w:color="auto" w:fill="auto"/>
            <w:vAlign w:val="center"/>
          </w:tcPr>
          <w:p w:rsidR="00734933" w:rsidRPr="00E2771E" w:rsidRDefault="00734933" w:rsidP="00D849EA">
            <w:pPr>
              <w:keepNext/>
              <w:widowControl/>
              <w:jc w:val="center"/>
              <w:rPr>
                <w:rFonts w:ascii="Arial Narrow" w:hAnsi="Arial Narrow"/>
                <w:sz w:val="20"/>
                <w:lang w:val="en-US"/>
              </w:rPr>
            </w:pPr>
            <w:r>
              <w:rPr>
                <w:rFonts w:ascii="Arial Narrow" w:hAnsi="Arial Narrow"/>
                <w:sz w:val="20"/>
                <w:lang w:val="en-US"/>
              </w:rPr>
              <w:t>Observational</w:t>
            </w:r>
          </w:p>
          <w:p w:rsidR="00734933" w:rsidRPr="00E2771E" w:rsidRDefault="00734933" w:rsidP="00D849EA">
            <w:pPr>
              <w:keepNext/>
              <w:widowControl/>
              <w:jc w:val="center"/>
              <w:rPr>
                <w:rFonts w:ascii="Arial Narrow" w:hAnsi="Arial Narrow"/>
                <w:sz w:val="20"/>
                <w:lang w:val="en-US"/>
              </w:rPr>
            </w:pPr>
            <w:r>
              <w:rPr>
                <w:rFonts w:ascii="Arial Narrow" w:hAnsi="Arial Narrow"/>
                <w:sz w:val="20"/>
                <w:lang w:val="en-US"/>
              </w:rPr>
              <w:t xml:space="preserve">33 </w:t>
            </w:r>
            <w:proofErr w:type="spellStart"/>
            <w:r w:rsidRPr="00E2771E">
              <w:rPr>
                <w:rFonts w:ascii="Arial Narrow" w:hAnsi="Arial Narrow"/>
                <w:sz w:val="20"/>
                <w:lang w:val="en-US"/>
              </w:rPr>
              <w:t>mths</w:t>
            </w:r>
            <w:proofErr w:type="spellEnd"/>
          </w:p>
        </w:tc>
        <w:tc>
          <w:tcPr>
            <w:tcW w:w="679" w:type="pct"/>
            <w:shd w:val="clear" w:color="auto" w:fill="auto"/>
            <w:vAlign w:val="center"/>
          </w:tcPr>
          <w:p w:rsidR="00734933" w:rsidRPr="00E2771E" w:rsidRDefault="00734933" w:rsidP="00D849EA">
            <w:pPr>
              <w:keepNext/>
              <w:widowControl/>
              <w:jc w:val="center"/>
              <w:rPr>
                <w:rFonts w:ascii="Arial Narrow" w:hAnsi="Arial Narrow"/>
                <w:sz w:val="20"/>
                <w:lang w:val="en-US"/>
              </w:rPr>
            </w:pPr>
            <w:r>
              <w:rPr>
                <w:rFonts w:ascii="Arial Narrow" w:hAnsi="Arial Narrow"/>
                <w:sz w:val="20"/>
                <w:lang w:val="en-US"/>
              </w:rPr>
              <w:t>High</w:t>
            </w:r>
          </w:p>
        </w:tc>
        <w:tc>
          <w:tcPr>
            <w:tcW w:w="934" w:type="pct"/>
            <w:shd w:val="clear" w:color="auto" w:fill="auto"/>
            <w:vAlign w:val="center"/>
          </w:tcPr>
          <w:p w:rsidR="00734933" w:rsidRPr="00E2771E" w:rsidRDefault="00734933" w:rsidP="006D7736">
            <w:pPr>
              <w:keepNext/>
              <w:widowControl/>
              <w:jc w:val="center"/>
              <w:rPr>
                <w:rFonts w:ascii="Arial Narrow" w:hAnsi="Arial Narrow"/>
                <w:sz w:val="20"/>
                <w:lang w:val="en-US"/>
              </w:rPr>
            </w:pPr>
            <w:r>
              <w:rPr>
                <w:rFonts w:ascii="Arial Narrow" w:hAnsi="Arial Narrow"/>
                <w:sz w:val="20"/>
                <w:lang w:val="en-US"/>
              </w:rPr>
              <w:t xml:space="preserve">Adults with </w:t>
            </w:r>
            <w:r w:rsidR="006D7736">
              <w:rPr>
                <w:rFonts w:ascii="Arial Narrow" w:hAnsi="Arial Narrow"/>
                <w:sz w:val="20"/>
                <w:lang w:val="en-US"/>
              </w:rPr>
              <w:t>s</w:t>
            </w:r>
            <w:r>
              <w:rPr>
                <w:rFonts w:ascii="Arial Narrow" w:hAnsi="Arial Narrow"/>
                <w:sz w:val="20"/>
                <w:lang w:val="en-US"/>
              </w:rPr>
              <w:t>evere GHD</w:t>
            </w:r>
          </w:p>
        </w:tc>
        <w:tc>
          <w:tcPr>
            <w:tcW w:w="679" w:type="pct"/>
            <w:shd w:val="clear" w:color="auto" w:fill="auto"/>
            <w:vAlign w:val="center"/>
          </w:tcPr>
          <w:p w:rsidR="00734933" w:rsidRPr="00E2771E" w:rsidRDefault="00734933" w:rsidP="00D849EA">
            <w:pPr>
              <w:keepNext/>
              <w:widowControl/>
              <w:jc w:val="center"/>
              <w:rPr>
                <w:rFonts w:ascii="Arial Narrow" w:hAnsi="Arial Narrow"/>
                <w:sz w:val="20"/>
                <w:lang w:val="en-US"/>
              </w:rPr>
            </w:pPr>
            <w:proofErr w:type="spellStart"/>
            <w:r>
              <w:rPr>
                <w:rFonts w:ascii="Arial Narrow" w:hAnsi="Arial Narrow"/>
                <w:sz w:val="20"/>
                <w:lang w:val="en-US"/>
              </w:rPr>
              <w:t>QoL</w:t>
            </w:r>
            <w:proofErr w:type="spellEnd"/>
            <w:r>
              <w:rPr>
                <w:rFonts w:ascii="Arial Narrow" w:hAnsi="Arial Narrow"/>
                <w:sz w:val="20"/>
                <w:lang w:val="en-US"/>
              </w:rPr>
              <w:t>-AGHDA, IGF-1 score</w:t>
            </w:r>
          </w:p>
        </w:tc>
        <w:tc>
          <w:tcPr>
            <w:tcW w:w="1008" w:type="pct"/>
            <w:shd w:val="clear" w:color="auto" w:fill="auto"/>
            <w:vAlign w:val="center"/>
          </w:tcPr>
          <w:p w:rsidR="00734933" w:rsidRPr="00E2771E" w:rsidRDefault="00734933" w:rsidP="00D849EA">
            <w:pPr>
              <w:keepNext/>
              <w:widowControl/>
              <w:jc w:val="center"/>
              <w:rPr>
                <w:rFonts w:ascii="Arial Narrow" w:hAnsi="Arial Narrow"/>
                <w:sz w:val="20"/>
                <w:lang w:val="en-US"/>
              </w:rPr>
            </w:pPr>
            <w:r>
              <w:rPr>
                <w:rFonts w:ascii="Arial Narrow" w:hAnsi="Arial Narrow"/>
                <w:sz w:val="20"/>
                <w:lang w:val="en-US"/>
              </w:rPr>
              <w:t xml:space="preserve">Basis for </w:t>
            </w:r>
            <w:proofErr w:type="spellStart"/>
            <w:r>
              <w:rPr>
                <w:rFonts w:ascii="Arial Narrow" w:hAnsi="Arial Narrow"/>
                <w:sz w:val="20"/>
                <w:lang w:val="en-US"/>
              </w:rPr>
              <w:t>QoL</w:t>
            </w:r>
            <w:proofErr w:type="spellEnd"/>
            <w:r>
              <w:rPr>
                <w:rFonts w:ascii="Arial Narrow" w:hAnsi="Arial Narrow"/>
                <w:sz w:val="20"/>
                <w:lang w:val="en-US"/>
              </w:rPr>
              <w:t xml:space="preserve"> changes and treatment </w:t>
            </w:r>
            <w:proofErr w:type="spellStart"/>
            <w:r w:rsidR="00BD1861">
              <w:rPr>
                <w:rFonts w:ascii="Arial Narrow" w:hAnsi="Arial Narrow"/>
                <w:sz w:val="20"/>
                <w:lang w:val="en-US"/>
              </w:rPr>
              <w:t>utilisation</w:t>
            </w:r>
            <w:proofErr w:type="spellEnd"/>
            <w:r>
              <w:rPr>
                <w:rFonts w:ascii="Arial Narrow" w:hAnsi="Arial Narrow"/>
                <w:sz w:val="20"/>
                <w:lang w:val="en-US"/>
              </w:rPr>
              <w:t>.</w:t>
            </w:r>
          </w:p>
        </w:tc>
      </w:tr>
    </w:tbl>
    <w:p w:rsidR="00734933" w:rsidRPr="0072416F" w:rsidRDefault="00734933" w:rsidP="00D849EA">
      <w:pPr>
        <w:pStyle w:val="TableFooter"/>
        <w:keepNext/>
        <w:widowControl/>
        <w:ind w:left="720" w:hanging="720"/>
      </w:pPr>
      <w:r w:rsidRPr="0072416F">
        <w:t>.</w:t>
      </w:r>
      <w:r>
        <w:tab/>
      </w:r>
      <w:r w:rsidRPr="000848C6">
        <w:rPr>
          <w:szCs w:val="18"/>
        </w:rPr>
        <w:t xml:space="preserve">Source: compiled during the evaluation. GHD = growth hormone deficiency; </w:t>
      </w:r>
      <w:proofErr w:type="spellStart"/>
      <w:r w:rsidRPr="000848C6">
        <w:rPr>
          <w:szCs w:val="18"/>
        </w:rPr>
        <w:t>QoL</w:t>
      </w:r>
      <w:proofErr w:type="spellEnd"/>
      <w:r w:rsidRPr="000848C6">
        <w:rPr>
          <w:szCs w:val="18"/>
        </w:rPr>
        <w:t xml:space="preserve">-AGHDA = quality of life assessment of growth hormone deficiency in adults; IGF-1 = </w:t>
      </w:r>
      <w:r w:rsidRPr="000848C6">
        <w:rPr>
          <w:rFonts w:eastAsia="Calibri" w:cs="Calibri"/>
          <w:snapToGrid/>
          <w:szCs w:val="18"/>
        </w:rPr>
        <w:t>insulin-like growth factor 1.</w:t>
      </w:r>
    </w:p>
    <w:p w:rsidR="00734933" w:rsidRDefault="00734933" w:rsidP="00D849EA">
      <w:pPr>
        <w:widowControl/>
        <w:rPr>
          <w:szCs w:val="22"/>
        </w:rPr>
      </w:pPr>
    </w:p>
    <w:p w:rsidR="005A5AB3" w:rsidRDefault="00571B4F" w:rsidP="00E66A39">
      <w:pPr>
        <w:pStyle w:val="ListParagraph"/>
        <w:widowControl/>
        <w:numPr>
          <w:ilvl w:val="1"/>
          <w:numId w:val="2"/>
        </w:numPr>
        <w:rPr>
          <w:szCs w:val="22"/>
        </w:rPr>
      </w:pPr>
      <w:r w:rsidRPr="00E3078B">
        <w:rPr>
          <w:szCs w:val="22"/>
        </w:rPr>
        <w:t xml:space="preserve">The </w:t>
      </w:r>
      <w:r w:rsidR="008C2C09" w:rsidRPr="00E3078B">
        <w:rPr>
          <w:szCs w:val="22"/>
        </w:rPr>
        <w:t xml:space="preserve">key </w:t>
      </w:r>
      <w:r w:rsidR="00FE2A82" w:rsidRPr="00E3078B">
        <w:rPr>
          <w:szCs w:val="22"/>
        </w:rPr>
        <w:t xml:space="preserve">eligibility criteria in </w:t>
      </w:r>
      <w:proofErr w:type="spellStart"/>
      <w:r w:rsidR="00FE2A82" w:rsidRPr="00E3078B">
        <w:rPr>
          <w:szCs w:val="22"/>
        </w:rPr>
        <w:t>Holdaway</w:t>
      </w:r>
      <w:proofErr w:type="spellEnd"/>
      <w:r w:rsidR="00FE2A82" w:rsidRPr="00E3078B">
        <w:rPr>
          <w:szCs w:val="22"/>
        </w:rPr>
        <w:t xml:space="preserve"> et al. (2015) </w:t>
      </w:r>
      <w:r w:rsidR="00BA3797" w:rsidRPr="00E3078B">
        <w:rPr>
          <w:szCs w:val="22"/>
        </w:rPr>
        <w:t xml:space="preserve">(i.e. </w:t>
      </w:r>
      <w:r w:rsidR="00FE2A82" w:rsidRPr="00E3078B">
        <w:rPr>
          <w:szCs w:val="22"/>
        </w:rPr>
        <w:t xml:space="preserve">the </w:t>
      </w:r>
      <w:r w:rsidRPr="00E3078B">
        <w:rPr>
          <w:szCs w:val="22"/>
        </w:rPr>
        <w:t>PHARMAC criteria</w:t>
      </w:r>
      <w:r w:rsidR="00BA3797" w:rsidRPr="00E3078B">
        <w:rPr>
          <w:szCs w:val="22"/>
        </w:rPr>
        <w:t>)</w:t>
      </w:r>
      <w:r w:rsidRPr="00E3078B">
        <w:rPr>
          <w:szCs w:val="22"/>
        </w:rPr>
        <w:t xml:space="preserve"> for</w:t>
      </w:r>
      <w:r w:rsidR="00FE2A82" w:rsidRPr="00E3078B">
        <w:rPr>
          <w:szCs w:val="22"/>
        </w:rPr>
        <w:t xml:space="preserve"> accessing </w:t>
      </w:r>
      <w:proofErr w:type="spellStart"/>
      <w:r w:rsidR="00FE2A82" w:rsidRPr="00E3078B">
        <w:rPr>
          <w:szCs w:val="22"/>
        </w:rPr>
        <w:t>somatropin</w:t>
      </w:r>
      <w:proofErr w:type="spellEnd"/>
      <w:r w:rsidR="00FE2A82" w:rsidRPr="00E3078B">
        <w:rPr>
          <w:szCs w:val="22"/>
        </w:rPr>
        <w:t xml:space="preserve"> are outlined in the table below.</w:t>
      </w:r>
    </w:p>
    <w:p w:rsidR="00456557" w:rsidRPr="00E3078B" w:rsidRDefault="00456557" w:rsidP="00456557">
      <w:pPr>
        <w:pStyle w:val="ListParagraph"/>
        <w:widowControl/>
        <w:rPr>
          <w:szCs w:val="22"/>
        </w:rPr>
      </w:pPr>
    </w:p>
    <w:p w:rsidR="00F555AD" w:rsidRDefault="00F555AD">
      <w:pPr>
        <w:widowControl/>
        <w:jc w:val="left"/>
        <w:rPr>
          <w:rStyle w:val="CommentReference"/>
        </w:rPr>
      </w:pPr>
      <w:r>
        <w:rPr>
          <w:rStyle w:val="CommentReference"/>
        </w:rPr>
        <w:br w:type="page"/>
      </w:r>
    </w:p>
    <w:p w:rsidR="005A5AB3" w:rsidRPr="000848C6" w:rsidRDefault="005A5AB3" w:rsidP="005A5AB3">
      <w:pPr>
        <w:widowControl/>
        <w:ind w:firstLine="720"/>
        <w:rPr>
          <w:rStyle w:val="CommentReference"/>
        </w:rPr>
      </w:pPr>
      <w:proofErr w:type="gramStart"/>
      <w:r w:rsidRPr="000848C6">
        <w:rPr>
          <w:rStyle w:val="CommentReference"/>
        </w:rPr>
        <w:lastRenderedPageBreak/>
        <w:t xml:space="preserve">Table </w:t>
      </w:r>
      <w:r w:rsidR="002B2868" w:rsidRPr="000848C6">
        <w:rPr>
          <w:rStyle w:val="CommentReference"/>
        </w:rPr>
        <w:t>4</w:t>
      </w:r>
      <w:r w:rsidRPr="000848C6">
        <w:rPr>
          <w:rStyle w:val="CommentReference"/>
        </w:rPr>
        <w:t xml:space="preserve">: </w:t>
      </w:r>
      <w:r w:rsidR="00DD338D" w:rsidRPr="000848C6">
        <w:rPr>
          <w:rStyle w:val="CommentReference"/>
        </w:rPr>
        <w:t>Key e</w:t>
      </w:r>
      <w:r w:rsidRPr="000848C6">
        <w:rPr>
          <w:rStyle w:val="CommentReference"/>
        </w:rPr>
        <w:t>ligibility criteria used in the observational study</w:t>
      </w:r>
      <w:r w:rsidR="00FE2A82" w:rsidRPr="000848C6">
        <w:rPr>
          <w:rStyle w:val="CommentReference"/>
        </w:rPr>
        <w:t xml:space="preserve">, </w:t>
      </w:r>
      <w:proofErr w:type="spellStart"/>
      <w:r w:rsidR="00FE2A82" w:rsidRPr="000848C6">
        <w:rPr>
          <w:rStyle w:val="CommentReference"/>
        </w:rPr>
        <w:t>Holdaway</w:t>
      </w:r>
      <w:proofErr w:type="spellEnd"/>
      <w:r w:rsidR="00FE2A82" w:rsidRPr="000848C6">
        <w:rPr>
          <w:rStyle w:val="CommentReference"/>
        </w:rPr>
        <w:t xml:space="preserve"> et al. (2015).</w:t>
      </w:r>
      <w:proofErr w:type="gramEnd"/>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363"/>
      </w:tblGrid>
      <w:tr w:rsidR="00FE2A82" w:rsidRPr="00E3078B" w:rsidTr="00FE2A82">
        <w:tc>
          <w:tcPr>
            <w:tcW w:w="5000" w:type="pct"/>
            <w:vAlign w:val="center"/>
          </w:tcPr>
          <w:p w:rsidR="00FE2A82" w:rsidRPr="00E3078B" w:rsidRDefault="00FE2A82" w:rsidP="005174F0">
            <w:pPr>
              <w:widowControl/>
              <w:jc w:val="center"/>
              <w:rPr>
                <w:rFonts w:ascii="Arial Narrow" w:hAnsi="Arial Narrow"/>
                <w:b/>
                <w:sz w:val="20"/>
              </w:rPr>
            </w:pPr>
            <w:r w:rsidRPr="00E3078B">
              <w:rPr>
                <w:rFonts w:ascii="Arial Narrow" w:hAnsi="Arial Narrow"/>
                <w:b/>
                <w:sz w:val="20"/>
              </w:rPr>
              <w:t>Inclusion criteria</w:t>
            </w:r>
          </w:p>
        </w:tc>
      </w:tr>
      <w:tr w:rsidR="00FE2A82" w:rsidRPr="00E3078B" w:rsidTr="00FE2A82">
        <w:tc>
          <w:tcPr>
            <w:tcW w:w="5000" w:type="pct"/>
            <w:vAlign w:val="center"/>
          </w:tcPr>
          <w:p w:rsidR="00FE2A82" w:rsidRPr="00E3078B" w:rsidRDefault="00FE2A82" w:rsidP="00FE2A82">
            <w:pPr>
              <w:widowControl/>
              <w:rPr>
                <w:rFonts w:ascii="Arial Narrow" w:hAnsi="Arial Narrow"/>
                <w:sz w:val="20"/>
              </w:rPr>
            </w:pPr>
            <w:r w:rsidRPr="00E3078B">
              <w:rPr>
                <w:rFonts w:ascii="Arial Narrow" w:hAnsi="Arial Narrow"/>
                <w:sz w:val="20"/>
              </w:rPr>
              <w:t xml:space="preserve">All patients </w:t>
            </w:r>
          </w:p>
          <w:p w:rsidR="00FE2A82" w:rsidRPr="00E3078B" w:rsidRDefault="00FE2A82" w:rsidP="00FE2A82">
            <w:pPr>
              <w:widowControl/>
              <w:rPr>
                <w:rFonts w:ascii="Arial Narrow" w:hAnsi="Arial Narrow"/>
                <w:sz w:val="20"/>
              </w:rPr>
            </w:pPr>
            <w:proofErr w:type="spellStart"/>
            <w:r w:rsidRPr="00E3078B">
              <w:rPr>
                <w:rFonts w:ascii="Arial Narrow" w:hAnsi="Arial Narrow"/>
                <w:sz w:val="20"/>
              </w:rPr>
              <w:t>Somatropin</w:t>
            </w:r>
            <w:proofErr w:type="spellEnd"/>
            <w:r w:rsidRPr="00E3078B">
              <w:rPr>
                <w:rFonts w:ascii="Arial Narrow" w:hAnsi="Arial Narrow"/>
                <w:sz w:val="20"/>
              </w:rPr>
              <w:t>-naive patients:</w:t>
            </w:r>
          </w:p>
          <w:p w:rsidR="00FE2A82" w:rsidRPr="00E3078B" w:rsidRDefault="00FE2A82" w:rsidP="00E66A39">
            <w:pPr>
              <w:pStyle w:val="ListParagraph"/>
              <w:widowControl/>
              <w:numPr>
                <w:ilvl w:val="0"/>
                <w:numId w:val="1"/>
              </w:numPr>
              <w:ind w:left="236" w:hanging="142"/>
              <w:rPr>
                <w:rFonts w:ascii="Arial Narrow" w:hAnsi="Arial Narrow"/>
                <w:sz w:val="20"/>
              </w:rPr>
            </w:pPr>
            <w:r w:rsidRPr="00E3078B">
              <w:rPr>
                <w:rFonts w:ascii="Arial Narrow" w:hAnsi="Arial Narrow"/>
                <w:sz w:val="20"/>
              </w:rPr>
              <w:t>Age ≥ 18 year old;</w:t>
            </w:r>
          </w:p>
          <w:p w:rsidR="00FE2A82" w:rsidRPr="00E3078B" w:rsidRDefault="00FE2A82" w:rsidP="00E66A39">
            <w:pPr>
              <w:pStyle w:val="ListParagraph"/>
              <w:widowControl/>
              <w:numPr>
                <w:ilvl w:val="0"/>
                <w:numId w:val="1"/>
              </w:numPr>
              <w:ind w:left="236" w:hanging="142"/>
              <w:rPr>
                <w:rFonts w:ascii="Arial Narrow" w:hAnsi="Arial Narrow" w:cs="AdvMINION-R"/>
                <w:snapToGrid/>
                <w:sz w:val="20"/>
                <w:lang w:eastAsia="en-AU"/>
              </w:rPr>
            </w:pPr>
            <w:r w:rsidRPr="00E3078B">
              <w:rPr>
                <w:rFonts w:ascii="Arial Narrow" w:hAnsi="Arial Narrow" w:cs="AdvMINION-R"/>
                <w:snapToGrid/>
                <w:sz w:val="20"/>
                <w:lang w:eastAsia="en-AU"/>
              </w:rPr>
              <w:t>GH-deficient as shown in one or more of the following dynamic tests of GH secretion:</w:t>
            </w:r>
          </w:p>
          <w:p w:rsidR="00FE2A82" w:rsidRPr="00E3078B" w:rsidRDefault="00FE2A82" w:rsidP="00E66A39">
            <w:pPr>
              <w:pStyle w:val="ListParagraph"/>
              <w:widowControl/>
              <w:numPr>
                <w:ilvl w:val="0"/>
                <w:numId w:val="11"/>
              </w:numPr>
              <w:rPr>
                <w:rFonts w:ascii="Arial Narrow" w:hAnsi="Arial Narrow" w:cs="AdvMINION-R"/>
                <w:snapToGrid/>
                <w:sz w:val="20"/>
                <w:lang w:eastAsia="en-AU"/>
              </w:rPr>
            </w:pPr>
            <w:r w:rsidRPr="00E3078B">
              <w:rPr>
                <w:rFonts w:ascii="Arial Narrow" w:hAnsi="Arial Narrow" w:cs="AdvMINION-R"/>
                <w:snapToGrid/>
                <w:sz w:val="20"/>
                <w:lang w:eastAsia="en-AU"/>
              </w:rPr>
              <w:t xml:space="preserve">insulin-induced hypoglycaemia with maximum serum GH &lt;3 </w:t>
            </w:r>
            <w:r w:rsidRPr="00E3078B">
              <w:rPr>
                <w:rFonts w:ascii="Arial Narrow" w:hAnsi="Arial Narrow" w:cs="Calibri"/>
                <w:snapToGrid/>
                <w:color w:val="000000"/>
                <w:sz w:val="20"/>
              </w:rPr>
              <w:t>µg</w:t>
            </w:r>
            <w:r w:rsidRPr="00E3078B">
              <w:rPr>
                <w:rFonts w:ascii="Arial Narrow" w:hAnsi="Arial Narrow" w:cs="AdvMINION-R"/>
                <w:snapToGrid/>
                <w:sz w:val="20"/>
                <w:lang w:eastAsia="en-AU"/>
              </w:rPr>
              <w:t xml:space="preserve">/l; </w:t>
            </w:r>
          </w:p>
          <w:p w:rsidR="00FE2A82" w:rsidRPr="00E3078B" w:rsidRDefault="00FE2A82" w:rsidP="00E66A39">
            <w:pPr>
              <w:pStyle w:val="ListParagraph"/>
              <w:widowControl/>
              <w:numPr>
                <w:ilvl w:val="0"/>
                <w:numId w:val="11"/>
              </w:numPr>
              <w:rPr>
                <w:rFonts w:ascii="Arial Narrow" w:hAnsi="Arial Narrow" w:cs="AdvMINION-R"/>
                <w:snapToGrid/>
                <w:sz w:val="20"/>
                <w:lang w:eastAsia="en-AU"/>
              </w:rPr>
            </w:pPr>
            <w:r w:rsidRPr="00E3078B">
              <w:rPr>
                <w:rFonts w:ascii="Arial Narrow" w:hAnsi="Arial Narrow" w:cs="AdvMINION-R"/>
                <w:snapToGrid/>
                <w:sz w:val="20"/>
                <w:lang w:eastAsia="en-AU"/>
              </w:rPr>
              <w:t xml:space="preserve">arginine infusion with maximum serum GH &lt;0.4 </w:t>
            </w:r>
            <w:r w:rsidRPr="00E3078B">
              <w:rPr>
                <w:rFonts w:ascii="Arial Narrow" w:hAnsi="Arial Narrow" w:cs="Calibri"/>
                <w:snapToGrid/>
                <w:color w:val="000000"/>
                <w:sz w:val="20"/>
              </w:rPr>
              <w:t>µg</w:t>
            </w:r>
            <w:r w:rsidRPr="00E3078B">
              <w:rPr>
                <w:rFonts w:ascii="Arial Narrow" w:hAnsi="Arial Narrow" w:cs="AdvMINION-R"/>
                <w:snapToGrid/>
                <w:sz w:val="20"/>
                <w:lang w:eastAsia="en-AU"/>
              </w:rPr>
              <w:t xml:space="preserve"> /l; and/or</w:t>
            </w:r>
          </w:p>
          <w:p w:rsidR="00FE2A82" w:rsidRPr="00E3078B" w:rsidRDefault="00FE2A82" w:rsidP="00E66A39">
            <w:pPr>
              <w:pStyle w:val="ListParagraph"/>
              <w:widowControl/>
              <w:numPr>
                <w:ilvl w:val="0"/>
                <w:numId w:val="11"/>
              </w:numPr>
              <w:rPr>
                <w:rFonts w:ascii="AdvMINION-R" w:hAnsi="AdvMINION-R" w:cs="AdvMINION-R"/>
                <w:snapToGrid/>
                <w:sz w:val="20"/>
                <w:lang w:eastAsia="en-AU"/>
              </w:rPr>
            </w:pPr>
            <w:proofErr w:type="gramStart"/>
            <w:r w:rsidRPr="00E3078B">
              <w:rPr>
                <w:rFonts w:ascii="Arial Narrow" w:hAnsi="Arial Narrow" w:cs="AdvMINION-R"/>
                <w:snapToGrid/>
                <w:sz w:val="20"/>
                <w:lang w:eastAsia="en-AU"/>
              </w:rPr>
              <w:t>glucagon</w:t>
            </w:r>
            <w:proofErr w:type="gramEnd"/>
            <w:r w:rsidRPr="00E3078B">
              <w:rPr>
                <w:rFonts w:ascii="Arial Narrow" w:hAnsi="Arial Narrow" w:cs="AdvMINION-R"/>
                <w:snapToGrid/>
                <w:sz w:val="20"/>
                <w:lang w:eastAsia="en-AU"/>
              </w:rPr>
              <w:t xml:space="preserve"> provocation with maximum serum GH &lt;3 </w:t>
            </w:r>
            <w:r w:rsidRPr="00E3078B">
              <w:rPr>
                <w:rFonts w:ascii="Arial Narrow" w:hAnsi="Arial Narrow" w:cs="Calibri"/>
                <w:snapToGrid/>
                <w:color w:val="000000"/>
                <w:sz w:val="20"/>
              </w:rPr>
              <w:t>µg</w:t>
            </w:r>
            <w:r w:rsidRPr="00E3078B">
              <w:rPr>
                <w:rFonts w:ascii="Arial Narrow" w:hAnsi="Arial Narrow" w:cs="AdvMINION-R"/>
                <w:snapToGrid/>
                <w:sz w:val="20"/>
                <w:lang w:eastAsia="en-AU"/>
              </w:rPr>
              <w:t>/l.</w:t>
            </w:r>
          </w:p>
          <w:p w:rsidR="00FE2A82" w:rsidRPr="00E3078B" w:rsidRDefault="00FE2A82" w:rsidP="00E66A39">
            <w:pPr>
              <w:pStyle w:val="ListParagraph"/>
              <w:widowControl/>
              <w:numPr>
                <w:ilvl w:val="0"/>
                <w:numId w:val="1"/>
              </w:numPr>
              <w:ind w:left="236" w:hanging="142"/>
              <w:rPr>
                <w:rFonts w:ascii="Arial Narrow" w:hAnsi="Arial Narrow"/>
                <w:sz w:val="20"/>
              </w:rPr>
            </w:pPr>
            <w:r w:rsidRPr="00E3078B">
              <w:rPr>
                <w:rFonts w:ascii="Arial Narrow" w:hAnsi="Arial Narrow"/>
                <w:sz w:val="20"/>
              </w:rPr>
              <w:t xml:space="preserve">serum IGF-I more than 1 standard deviation (SD) below </w:t>
            </w:r>
            <w:r w:rsidR="00D3347A">
              <w:rPr>
                <w:rFonts w:ascii="Arial Narrow" w:hAnsi="Arial Narrow"/>
                <w:sz w:val="20"/>
              </w:rPr>
              <w:t>normal mean for gender and age;</w:t>
            </w:r>
          </w:p>
          <w:p w:rsidR="00FE2A82" w:rsidRPr="00E3078B" w:rsidRDefault="00FE2A82" w:rsidP="00E66A39">
            <w:pPr>
              <w:pStyle w:val="ListParagraph"/>
              <w:widowControl/>
              <w:numPr>
                <w:ilvl w:val="0"/>
                <w:numId w:val="1"/>
              </w:numPr>
              <w:ind w:left="236" w:hanging="142"/>
              <w:rPr>
                <w:rFonts w:ascii="Arial Narrow" w:hAnsi="Arial Narrow"/>
                <w:sz w:val="20"/>
              </w:rPr>
            </w:pPr>
            <w:r w:rsidRPr="00E3078B">
              <w:rPr>
                <w:rFonts w:ascii="Arial Narrow" w:hAnsi="Arial Narrow"/>
                <w:sz w:val="20"/>
              </w:rPr>
              <w:t>a quality of life score on</w:t>
            </w:r>
            <w:r w:rsidR="00D3347A">
              <w:rPr>
                <w:rFonts w:ascii="Arial Narrow" w:hAnsi="Arial Narrow"/>
                <w:sz w:val="20"/>
              </w:rPr>
              <w:t xml:space="preserve"> the </w:t>
            </w:r>
            <w:proofErr w:type="spellStart"/>
            <w:r w:rsidR="00D3347A">
              <w:rPr>
                <w:rFonts w:ascii="Arial Narrow" w:hAnsi="Arial Narrow"/>
                <w:sz w:val="20"/>
              </w:rPr>
              <w:t>QoL</w:t>
            </w:r>
            <w:proofErr w:type="spellEnd"/>
            <w:r w:rsidR="00D3347A">
              <w:rPr>
                <w:rFonts w:ascii="Arial Narrow" w:hAnsi="Arial Narrow"/>
                <w:sz w:val="20"/>
              </w:rPr>
              <w:t>-AGHDA instrument ≥ 16;</w:t>
            </w:r>
          </w:p>
          <w:p w:rsidR="00FE2A82" w:rsidRPr="00E3078B" w:rsidRDefault="00FE2A82" w:rsidP="00E66A39">
            <w:pPr>
              <w:pStyle w:val="ListParagraph"/>
              <w:widowControl/>
              <w:numPr>
                <w:ilvl w:val="0"/>
                <w:numId w:val="1"/>
              </w:numPr>
              <w:ind w:left="236" w:hanging="142"/>
              <w:rPr>
                <w:rFonts w:ascii="Arial Narrow" w:hAnsi="Arial Narrow"/>
                <w:sz w:val="20"/>
              </w:rPr>
            </w:pPr>
            <w:r w:rsidRPr="00E3078B">
              <w:rPr>
                <w:rFonts w:ascii="Arial Narrow" w:hAnsi="Arial Narrow"/>
                <w:sz w:val="20"/>
              </w:rPr>
              <w:t>a medical condition known to cause deficiency; and</w:t>
            </w:r>
          </w:p>
          <w:p w:rsidR="00FE2A82" w:rsidRPr="00E3078B" w:rsidRDefault="00FE2A82" w:rsidP="00E66A39">
            <w:pPr>
              <w:pStyle w:val="ListParagraph"/>
              <w:widowControl/>
              <w:numPr>
                <w:ilvl w:val="0"/>
                <w:numId w:val="1"/>
              </w:numPr>
              <w:ind w:left="236" w:hanging="142"/>
              <w:rPr>
                <w:rFonts w:ascii="Arial Narrow" w:hAnsi="Arial Narrow"/>
                <w:sz w:val="20"/>
              </w:rPr>
            </w:pPr>
            <w:proofErr w:type="gramStart"/>
            <w:r w:rsidRPr="00E3078B">
              <w:rPr>
                <w:rFonts w:ascii="Arial Narrow" w:hAnsi="Arial Narrow"/>
                <w:sz w:val="20"/>
              </w:rPr>
              <w:t>other</w:t>
            </w:r>
            <w:proofErr w:type="gramEnd"/>
            <w:r w:rsidRPr="00E3078B">
              <w:rPr>
                <w:rFonts w:ascii="Arial Narrow" w:hAnsi="Arial Narrow"/>
                <w:sz w:val="20"/>
              </w:rPr>
              <w:t xml:space="preserve"> hormone deficiencies and psychological illness should be adequately treated.</w:t>
            </w:r>
          </w:p>
          <w:p w:rsidR="00FE2A82" w:rsidRPr="00E3078B" w:rsidRDefault="00FE2A82" w:rsidP="00FE2A82">
            <w:pPr>
              <w:pStyle w:val="ListParagraph"/>
              <w:widowControl/>
              <w:ind w:left="236"/>
              <w:rPr>
                <w:rFonts w:ascii="Arial Narrow" w:hAnsi="Arial Narrow"/>
                <w:sz w:val="20"/>
              </w:rPr>
            </w:pPr>
          </w:p>
          <w:p w:rsidR="00FE2A82" w:rsidRPr="00E3078B" w:rsidRDefault="00FE2A82" w:rsidP="00FE2A82">
            <w:pPr>
              <w:widowControl/>
              <w:rPr>
                <w:rFonts w:ascii="Arial Narrow" w:hAnsi="Arial Narrow"/>
                <w:sz w:val="20"/>
              </w:rPr>
            </w:pPr>
            <w:r w:rsidRPr="00E3078B">
              <w:rPr>
                <w:rFonts w:ascii="Arial Narrow" w:hAnsi="Arial Narrow"/>
                <w:sz w:val="20"/>
              </w:rPr>
              <w:t>Patients who had previously self-funded growth hormone treatment (without the appropriate baseline data available) were required to:</w:t>
            </w:r>
          </w:p>
          <w:p w:rsidR="00FE2A82" w:rsidRPr="00E3078B" w:rsidRDefault="00FE2A82" w:rsidP="00E66A39">
            <w:pPr>
              <w:pStyle w:val="ListParagraph"/>
              <w:widowControl/>
              <w:numPr>
                <w:ilvl w:val="0"/>
                <w:numId w:val="4"/>
              </w:numPr>
              <w:ind w:left="236" w:hanging="142"/>
              <w:rPr>
                <w:rFonts w:ascii="Arial Narrow" w:hAnsi="Arial Narrow"/>
                <w:sz w:val="20"/>
              </w:rPr>
            </w:pPr>
            <w:r w:rsidRPr="00E3078B">
              <w:rPr>
                <w:rFonts w:ascii="Arial Narrow" w:hAnsi="Arial Narrow"/>
                <w:sz w:val="20"/>
              </w:rPr>
              <w:t>stop GH treatment for a minimum period of one month; and</w:t>
            </w:r>
          </w:p>
          <w:p w:rsidR="00FE2A82" w:rsidRPr="00E3078B" w:rsidRDefault="00FE2A82" w:rsidP="00E66A39">
            <w:pPr>
              <w:pStyle w:val="ListParagraph"/>
              <w:widowControl/>
              <w:numPr>
                <w:ilvl w:val="0"/>
                <w:numId w:val="4"/>
              </w:numPr>
              <w:ind w:left="236" w:hanging="142"/>
              <w:rPr>
                <w:rFonts w:ascii="Arial Narrow" w:hAnsi="Arial Narrow"/>
                <w:sz w:val="20"/>
              </w:rPr>
            </w:pPr>
            <w:proofErr w:type="gramStart"/>
            <w:r w:rsidRPr="00E3078B">
              <w:rPr>
                <w:rFonts w:ascii="Arial Narrow" w:hAnsi="Arial Narrow"/>
                <w:sz w:val="20"/>
              </w:rPr>
              <w:t>undergo</w:t>
            </w:r>
            <w:proofErr w:type="gramEnd"/>
            <w:r w:rsidRPr="00E3078B">
              <w:rPr>
                <w:rFonts w:ascii="Arial Narrow" w:hAnsi="Arial Narrow"/>
                <w:sz w:val="20"/>
              </w:rPr>
              <w:t xml:space="preserve"> full assessment as for </w:t>
            </w:r>
            <w:proofErr w:type="spellStart"/>
            <w:r w:rsidRPr="00E3078B">
              <w:rPr>
                <w:rFonts w:ascii="Arial Narrow" w:hAnsi="Arial Narrow"/>
                <w:sz w:val="20"/>
              </w:rPr>
              <w:t>somatropin</w:t>
            </w:r>
            <w:proofErr w:type="spellEnd"/>
            <w:r w:rsidRPr="00E3078B">
              <w:rPr>
                <w:rFonts w:ascii="Arial Narrow" w:hAnsi="Arial Narrow"/>
                <w:sz w:val="20"/>
              </w:rPr>
              <w:t>-naïve patients.</w:t>
            </w:r>
          </w:p>
          <w:p w:rsidR="00FE2A82" w:rsidRPr="00E3078B" w:rsidRDefault="00FE2A82" w:rsidP="00FE2A82">
            <w:pPr>
              <w:widowControl/>
              <w:rPr>
                <w:rFonts w:ascii="Arial Narrow" w:hAnsi="Arial Narrow"/>
                <w:sz w:val="20"/>
              </w:rPr>
            </w:pPr>
            <w:r w:rsidRPr="00E3078B">
              <w:rPr>
                <w:rFonts w:ascii="Arial Narrow" w:hAnsi="Arial Narrow"/>
                <w:sz w:val="20"/>
              </w:rPr>
              <w:t>Individuals who were previously treated with GH under childhood program and who presented for funded treatment as adults were required to:</w:t>
            </w:r>
          </w:p>
          <w:p w:rsidR="00FE2A82" w:rsidRPr="00E3078B" w:rsidRDefault="00FE2A82" w:rsidP="00E66A39">
            <w:pPr>
              <w:pStyle w:val="ListParagraph"/>
              <w:widowControl/>
              <w:numPr>
                <w:ilvl w:val="0"/>
                <w:numId w:val="4"/>
              </w:numPr>
              <w:ind w:left="236" w:hanging="142"/>
              <w:rPr>
                <w:rFonts w:ascii="Arial Narrow" w:hAnsi="Arial Narrow"/>
                <w:sz w:val="20"/>
              </w:rPr>
            </w:pPr>
            <w:proofErr w:type="gramStart"/>
            <w:r w:rsidRPr="00E3078B">
              <w:rPr>
                <w:rFonts w:ascii="Arial Narrow" w:hAnsi="Arial Narrow"/>
                <w:sz w:val="20"/>
              </w:rPr>
              <w:t>undergo</w:t>
            </w:r>
            <w:proofErr w:type="gramEnd"/>
            <w:r w:rsidRPr="00E3078B">
              <w:rPr>
                <w:rFonts w:ascii="Arial Narrow" w:hAnsi="Arial Narrow"/>
                <w:sz w:val="20"/>
              </w:rPr>
              <w:t xml:space="preserve"> full re-evaluation off the GH treatment for a minimum period of th</w:t>
            </w:r>
            <w:r w:rsidR="00526C80" w:rsidRPr="00E3078B">
              <w:rPr>
                <w:rFonts w:ascii="Arial Narrow" w:hAnsi="Arial Narrow"/>
                <w:sz w:val="20"/>
              </w:rPr>
              <w:t>re</w:t>
            </w:r>
            <w:r w:rsidRPr="00E3078B">
              <w:rPr>
                <w:rFonts w:ascii="Arial Narrow" w:hAnsi="Arial Narrow"/>
                <w:sz w:val="20"/>
              </w:rPr>
              <w:t>e months.</w:t>
            </w:r>
          </w:p>
          <w:p w:rsidR="00FE2A82" w:rsidRPr="00E3078B" w:rsidRDefault="00FE2A82" w:rsidP="00FE2A82">
            <w:pPr>
              <w:pStyle w:val="ListParagraph"/>
              <w:widowControl/>
              <w:ind w:left="236"/>
              <w:rPr>
                <w:rFonts w:ascii="Arial Narrow" w:hAnsi="Arial Narrow"/>
                <w:sz w:val="20"/>
              </w:rPr>
            </w:pPr>
          </w:p>
          <w:p w:rsidR="00FE2A82" w:rsidRPr="00E3078B" w:rsidRDefault="00FE2A82" w:rsidP="00FE2A82">
            <w:pPr>
              <w:widowControl/>
              <w:rPr>
                <w:rFonts w:ascii="Arial Narrow" w:hAnsi="Arial Narrow"/>
                <w:sz w:val="20"/>
              </w:rPr>
            </w:pPr>
            <w:r w:rsidRPr="00E3078B">
              <w:rPr>
                <w:rFonts w:ascii="Arial Narrow" w:hAnsi="Arial Narrow"/>
                <w:sz w:val="20"/>
              </w:rPr>
              <w:t>Other requirements:</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the report from the patient’s most recent pituitary MRI scan;</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details of any previous treatment with growth hormone, current illness and medications, fasting serum lipids and glucos</w:t>
            </w:r>
            <w:r w:rsidR="00D3347A">
              <w:rPr>
                <w:rFonts w:ascii="Arial Narrow" w:hAnsi="Arial Narrow"/>
                <w:sz w:val="20"/>
              </w:rPr>
              <w:t>e, HbA1c, serum hormone levels,</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waist and body mass index (BMI) measurements;</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Epworth Sleepiness Scale (ESS) daytime somnolence score if BMI &gt; 35</w:t>
            </w:r>
            <w:r w:rsidR="00D3347A">
              <w:rPr>
                <w:rFonts w:ascii="Arial Narrow" w:hAnsi="Arial Narrow"/>
                <w:sz w:val="20"/>
              </w:rPr>
              <w:t xml:space="preserve"> (in sleep study if indicated),</w:t>
            </w:r>
          </w:p>
          <w:p w:rsidR="00FE2A82" w:rsidRPr="00E3078B" w:rsidRDefault="00D3347A" w:rsidP="00E66A39">
            <w:pPr>
              <w:pStyle w:val="ListParagraph"/>
              <w:widowControl/>
              <w:numPr>
                <w:ilvl w:val="0"/>
                <w:numId w:val="1"/>
              </w:numPr>
              <w:ind w:left="236" w:hanging="200"/>
              <w:rPr>
                <w:rFonts w:ascii="Arial Narrow" w:hAnsi="Arial Narrow"/>
                <w:sz w:val="20"/>
              </w:rPr>
            </w:pPr>
            <w:r>
              <w:rPr>
                <w:rFonts w:ascii="Arial Narrow" w:hAnsi="Arial Narrow"/>
                <w:sz w:val="20"/>
              </w:rPr>
              <w:t>bone mineral density; and</w:t>
            </w:r>
          </w:p>
          <w:p w:rsidR="00FE2A82" w:rsidRPr="00E3078B" w:rsidRDefault="00FE2A82" w:rsidP="00E66A39">
            <w:pPr>
              <w:pStyle w:val="ListParagraph"/>
              <w:widowControl/>
              <w:numPr>
                <w:ilvl w:val="0"/>
                <w:numId w:val="1"/>
              </w:numPr>
              <w:ind w:left="236" w:hanging="200"/>
              <w:rPr>
                <w:rFonts w:ascii="Arial Narrow" w:hAnsi="Arial Narrow"/>
                <w:sz w:val="20"/>
              </w:rPr>
            </w:pPr>
            <w:proofErr w:type="gramStart"/>
            <w:r w:rsidRPr="00E3078B">
              <w:rPr>
                <w:rFonts w:ascii="Arial Narrow" w:hAnsi="Arial Narrow"/>
                <w:sz w:val="20"/>
              </w:rPr>
              <w:t>statement</w:t>
            </w:r>
            <w:proofErr w:type="gramEnd"/>
            <w:r w:rsidRPr="00E3078B">
              <w:rPr>
                <w:rFonts w:ascii="Arial Narrow" w:hAnsi="Arial Narrow"/>
                <w:sz w:val="20"/>
              </w:rPr>
              <w:t xml:space="preserve"> from referring clinician as to what clinical improvements were expected with GH treatment.</w:t>
            </w:r>
          </w:p>
        </w:tc>
      </w:tr>
      <w:tr w:rsidR="00FE2A82" w:rsidRPr="00E3078B" w:rsidTr="00FE2A82">
        <w:tc>
          <w:tcPr>
            <w:tcW w:w="5000" w:type="pct"/>
            <w:vAlign w:val="center"/>
          </w:tcPr>
          <w:p w:rsidR="00FE2A82" w:rsidRPr="00E3078B" w:rsidRDefault="00FE2A82" w:rsidP="00174135">
            <w:pPr>
              <w:widowControl/>
              <w:jc w:val="center"/>
              <w:rPr>
                <w:rFonts w:ascii="Arial Narrow" w:hAnsi="Arial Narrow"/>
                <w:b/>
                <w:sz w:val="20"/>
              </w:rPr>
            </w:pPr>
            <w:r w:rsidRPr="00E3078B">
              <w:rPr>
                <w:rFonts w:ascii="Arial Narrow" w:hAnsi="Arial Narrow"/>
                <w:b/>
                <w:sz w:val="20"/>
              </w:rPr>
              <w:t>Continuation criteria</w:t>
            </w:r>
          </w:p>
        </w:tc>
      </w:tr>
      <w:tr w:rsidR="00FE2A82" w:rsidRPr="00E3078B" w:rsidTr="00FE2A82">
        <w:tc>
          <w:tcPr>
            <w:tcW w:w="5000" w:type="pct"/>
            <w:vAlign w:val="center"/>
          </w:tcPr>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Assessment after initial 9 months and then re-a</w:t>
            </w:r>
            <w:r w:rsidR="00D3347A">
              <w:rPr>
                <w:rFonts w:ascii="Arial Narrow" w:hAnsi="Arial Narrow"/>
                <w:sz w:val="20"/>
              </w:rPr>
              <w:t>pproval is considered annually.</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 xml:space="preserve">Data must include an updated </w:t>
            </w:r>
            <w:proofErr w:type="spellStart"/>
            <w:r w:rsidRPr="00E3078B">
              <w:rPr>
                <w:rFonts w:ascii="Arial Narrow" w:hAnsi="Arial Narrow"/>
                <w:sz w:val="20"/>
              </w:rPr>
              <w:t>QoL</w:t>
            </w:r>
            <w:proofErr w:type="spellEnd"/>
            <w:r w:rsidRPr="00E3078B">
              <w:rPr>
                <w:rFonts w:ascii="Arial Narrow" w:hAnsi="Arial Narrow"/>
                <w:sz w:val="20"/>
              </w:rPr>
              <w:t>- AGHDA score as well as IGF-I levels, dose of GH, statements on side effects and patient adherence.</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 xml:space="preserve">Renewal criteria are met for further funding if the IGF-I is within target range, the </w:t>
            </w:r>
            <w:proofErr w:type="spellStart"/>
            <w:r w:rsidRPr="00E3078B">
              <w:rPr>
                <w:rFonts w:ascii="Arial Narrow" w:hAnsi="Arial Narrow"/>
                <w:sz w:val="20"/>
              </w:rPr>
              <w:t>QoL</w:t>
            </w:r>
            <w:proofErr w:type="spellEnd"/>
            <w:r w:rsidRPr="00E3078B">
              <w:rPr>
                <w:rFonts w:ascii="Arial Narrow" w:hAnsi="Arial Narrow"/>
                <w:sz w:val="20"/>
              </w:rPr>
              <w:t>-AGHDA score has improved by more than 7 points, and patient adherence is satisfactory with the patient wishing to continue therapy.</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 xml:space="preserve">After the initial dose adjustment period, patients have 6 monthly IGF-I levels to monitor compliance and an annual clinical review including </w:t>
            </w:r>
            <w:proofErr w:type="spellStart"/>
            <w:r w:rsidRPr="00E3078B">
              <w:rPr>
                <w:rFonts w:ascii="Arial Narrow" w:hAnsi="Arial Narrow"/>
                <w:sz w:val="20"/>
              </w:rPr>
              <w:t>QoL</w:t>
            </w:r>
            <w:proofErr w:type="spellEnd"/>
            <w:r w:rsidRPr="00E3078B">
              <w:rPr>
                <w:rFonts w:ascii="Arial Narrow" w:hAnsi="Arial Narrow"/>
                <w:sz w:val="20"/>
              </w:rPr>
              <w:t>-AGHDA scores and routine biochemistry.</w:t>
            </w:r>
          </w:p>
        </w:tc>
      </w:tr>
      <w:tr w:rsidR="00FE2A82" w:rsidRPr="00E3078B" w:rsidTr="00FE2A82">
        <w:tc>
          <w:tcPr>
            <w:tcW w:w="5000" w:type="pct"/>
            <w:vAlign w:val="center"/>
          </w:tcPr>
          <w:p w:rsidR="00FE2A82" w:rsidRPr="00E3078B" w:rsidRDefault="00FE2A82" w:rsidP="00FE2A82">
            <w:pPr>
              <w:pStyle w:val="ListParagraph"/>
              <w:widowControl/>
              <w:ind w:left="236"/>
              <w:jc w:val="center"/>
              <w:rPr>
                <w:rFonts w:ascii="Arial Narrow" w:hAnsi="Arial Narrow"/>
                <w:b/>
                <w:sz w:val="20"/>
              </w:rPr>
            </w:pPr>
            <w:r w:rsidRPr="00E3078B">
              <w:rPr>
                <w:rFonts w:ascii="Arial Narrow" w:hAnsi="Arial Narrow"/>
                <w:b/>
                <w:sz w:val="20"/>
              </w:rPr>
              <w:t>Exit criteria</w:t>
            </w:r>
          </w:p>
        </w:tc>
      </w:tr>
      <w:tr w:rsidR="00FE2A82" w:rsidRPr="00E3078B" w:rsidTr="00FE2A82">
        <w:tc>
          <w:tcPr>
            <w:tcW w:w="5000" w:type="pct"/>
            <w:vAlign w:val="center"/>
          </w:tcPr>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Patient wishing to stop treatment</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Major adverse side effects</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Failure to reach/maintain serum IGF-1 within one SD of mean for age/sex despite ceiling doses (0.7mg/</w:t>
            </w:r>
            <w:r w:rsidR="00D3347A">
              <w:rPr>
                <w:rFonts w:ascii="Arial Narrow" w:hAnsi="Arial Narrow"/>
                <w:sz w:val="20"/>
              </w:rPr>
              <w:t>day males and 1 mg/day females)</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Once stable on treatment, deterioration in AGHDA &gt;5 on two measurements more than 6 months apart (without explanation by coincidental illness or stress)</w:t>
            </w:r>
          </w:p>
          <w:p w:rsidR="00FE2A82" w:rsidRPr="00E3078B" w:rsidRDefault="00FE2A82" w:rsidP="00E66A39">
            <w:pPr>
              <w:pStyle w:val="ListParagraph"/>
              <w:widowControl/>
              <w:numPr>
                <w:ilvl w:val="0"/>
                <w:numId w:val="1"/>
              </w:numPr>
              <w:ind w:left="236" w:hanging="200"/>
              <w:rPr>
                <w:rFonts w:ascii="Arial Narrow" w:hAnsi="Arial Narrow"/>
                <w:sz w:val="20"/>
              </w:rPr>
            </w:pPr>
            <w:r w:rsidRPr="00E3078B">
              <w:rPr>
                <w:rFonts w:ascii="Arial Narrow" w:hAnsi="Arial Narrow"/>
                <w:sz w:val="20"/>
              </w:rPr>
              <w:t>Unsatisfactory follow-up/compliance</w:t>
            </w:r>
          </w:p>
        </w:tc>
      </w:tr>
    </w:tbl>
    <w:p w:rsidR="005A5AB3" w:rsidRPr="00E3078B" w:rsidRDefault="005A5AB3" w:rsidP="000216CA">
      <w:pPr>
        <w:widowControl/>
        <w:ind w:firstLine="720"/>
        <w:rPr>
          <w:rFonts w:ascii="Arial Narrow" w:hAnsi="Arial Narrow"/>
          <w:sz w:val="18"/>
        </w:rPr>
      </w:pPr>
      <w:r w:rsidRPr="00E3078B">
        <w:rPr>
          <w:rFonts w:ascii="Arial Narrow" w:hAnsi="Arial Narrow"/>
          <w:sz w:val="18"/>
        </w:rPr>
        <w:t xml:space="preserve">Source: p86, </w:t>
      </w:r>
      <w:proofErr w:type="spellStart"/>
      <w:r w:rsidRPr="00E3078B">
        <w:rPr>
          <w:rFonts w:ascii="Arial Narrow" w:hAnsi="Arial Narrow"/>
          <w:sz w:val="18"/>
        </w:rPr>
        <w:t>Holdaway</w:t>
      </w:r>
      <w:proofErr w:type="spellEnd"/>
      <w:r w:rsidRPr="00E3078B">
        <w:rPr>
          <w:rFonts w:ascii="Arial Narrow" w:hAnsi="Arial Narrow"/>
          <w:sz w:val="18"/>
        </w:rPr>
        <w:t xml:space="preserve"> et al., 2015.</w:t>
      </w:r>
    </w:p>
    <w:p w:rsidR="00571B4F" w:rsidRDefault="00571B4F" w:rsidP="00C03234">
      <w:pPr>
        <w:rPr>
          <w:szCs w:val="22"/>
        </w:rPr>
      </w:pPr>
      <w:r w:rsidRPr="00D06FD4">
        <w:t xml:space="preserve"> </w:t>
      </w:r>
    </w:p>
    <w:p w:rsidR="0061799D" w:rsidRPr="005525EE" w:rsidRDefault="0061799D" w:rsidP="00E66A39">
      <w:pPr>
        <w:pStyle w:val="ListParagraph"/>
        <w:widowControl/>
        <w:numPr>
          <w:ilvl w:val="1"/>
          <w:numId w:val="2"/>
        </w:numPr>
        <w:rPr>
          <w:szCs w:val="22"/>
        </w:rPr>
      </w:pPr>
      <w:r w:rsidRPr="005525EE">
        <w:rPr>
          <w:szCs w:val="22"/>
        </w:rPr>
        <w:t xml:space="preserve">With regard to these criteria, the ESC </w:t>
      </w:r>
      <w:r w:rsidR="00292989" w:rsidRPr="005525EE">
        <w:rPr>
          <w:szCs w:val="22"/>
        </w:rPr>
        <w:t>noted:</w:t>
      </w:r>
    </w:p>
    <w:p w:rsidR="00292989" w:rsidRPr="005525EE" w:rsidRDefault="00AD6242" w:rsidP="00E66A39">
      <w:pPr>
        <w:pStyle w:val="ListParagraph"/>
        <w:widowControl/>
        <w:numPr>
          <w:ilvl w:val="0"/>
          <w:numId w:val="12"/>
        </w:numPr>
        <w:rPr>
          <w:szCs w:val="22"/>
        </w:rPr>
      </w:pPr>
      <w:r w:rsidRPr="005525EE">
        <w:rPr>
          <w:szCs w:val="22"/>
        </w:rPr>
        <w:t>The</w:t>
      </w:r>
      <w:r w:rsidR="00761701" w:rsidRPr="005525EE">
        <w:rPr>
          <w:szCs w:val="22"/>
        </w:rPr>
        <w:t xml:space="preserve"> requirement that other hormone deficiencies and psychological illness should be adequately treated was not included in the proposed PBS criteria. The ESC considered that if it were</w:t>
      </w:r>
      <w:r w:rsidR="00AE2E07" w:rsidRPr="005525EE">
        <w:rPr>
          <w:szCs w:val="22"/>
        </w:rPr>
        <w:t xml:space="preserve"> not</w:t>
      </w:r>
      <w:r w:rsidR="00761701" w:rsidRPr="005525EE">
        <w:rPr>
          <w:szCs w:val="22"/>
        </w:rPr>
        <w:t xml:space="preserve">, there </w:t>
      </w:r>
      <w:r w:rsidR="00FA68EE" w:rsidRPr="005525EE">
        <w:rPr>
          <w:szCs w:val="22"/>
        </w:rPr>
        <w:t xml:space="preserve">was potential to see larger improvements in </w:t>
      </w:r>
      <w:r w:rsidR="00FA68EE" w:rsidRPr="005525EE">
        <w:rPr>
          <w:szCs w:val="22"/>
        </w:rPr>
        <w:lastRenderedPageBreak/>
        <w:t>PBS patients with co-existing psychological conditions who may not otherwise qualify for ongoing treatment.</w:t>
      </w:r>
    </w:p>
    <w:p w:rsidR="00115070" w:rsidRPr="005525EE" w:rsidRDefault="00AD6242" w:rsidP="00E66A39">
      <w:pPr>
        <w:pStyle w:val="ListParagraph"/>
        <w:widowControl/>
        <w:numPr>
          <w:ilvl w:val="0"/>
          <w:numId w:val="12"/>
        </w:numPr>
        <w:rPr>
          <w:szCs w:val="22"/>
        </w:rPr>
      </w:pPr>
      <w:r w:rsidRPr="005525EE">
        <w:rPr>
          <w:szCs w:val="22"/>
        </w:rPr>
        <w:t>The</w:t>
      </w:r>
      <w:r w:rsidR="00761701" w:rsidRPr="005525EE">
        <w:rPr>
          <w:szCs w:val="22"/>
        </w:rPr>
        <w:t xml:space="preserve"> </w:t>
      </w:r>
      <w:r w:rsidR="00A63D53" w:rsidRPr="005525EE">
        <w:rPr>
          <w:szCs w:val="22"/>
        </w:rPr>
        <w:t>study</w:t>
      </w:r>
      <w:r w:rsidR="00761701" w:rsidRPr="005525EE">
        <w:rPr>
          <w:szCs w:val="22"/>
        </w:rPr>
        <w:t xml:space="preserve"> required patients to have peak GH serum as measured by</w:t>
      </w:r>
      <w:r w:rsidR="004442A8" w:rsidRPr="005525EE">
        <w:rPr>
          <w:szCs w:val="22"/>
        </w:rPr>
        <w:t xml:space="preserve"> insulin tolerance test</w:t>
      </w:r>
      <w:r w:rsidR="00761701" w:rsidRPr="005525EE">
        <w:rPr>
          <w:szCs w:val="22"/>
        </w:rPr>
        <w:t xml:space="preserve">, of &lt;3 µg/l. This was included in the proposed </w:t>
      </w:r>
      <w:r w:rsidR="00FE05A0" w:rsidRPr="005525EE">
        <w:rPr>
          <w:szCs w:val="22"/>
        </w:rPr>
        <w:t>PBS criteria</w:t>
      </w:r>
      <w:r w:rsidR="00DB7BCF" w:rsidRPr="005525EE">
        <w:rPr>
          <w:szCs w:val="22"/>
        </w:rPr>
        <w:t>, and was not as stringent as in the approved product information</w:t>
      </w:r>
      <w:r w:rsidR="00FE05A0" w:rsidRPr="005525EE">
        <w:rPr>
          <w:szCs w:val="22"/>
        </w:rPr>
        <w:t xml:space="preserve"> </w:t>
      </w:r>
      <w:r w:rsidR="00DB7BCF" w:rsidRPr="005525EE">
        <w:rPr>
          <w:szCs w:val="22"/>
        </w:rPr>
        <w:t>(</w:t>
      </w:r>
      <w:r w:rsidR="00FE05A0" w:rsidRPr="005525EE">
        <w:rPr>
          <w:szCs w:val="22"/>
        </w:rPr>
        <w:t>PIs</w:t>
      </w:r>
      <w:r w:rsidR="00DB7BCF" w:rsidRPr="005525EE">
        <w:rPr>
          <w:szCs w:val="22"/>
        </w:rPr>
        <w:t>)</w:t>
      </w:r>
      <w:r w:rsidR="00FE05A0" w:rsidRPr="005525EE">
        <w:rPr>
          <w:szCs w:val="22"/>
        </w:rPr>
        <w:t xml:space="preserve">, which stipulate peak GH concentrations &lt;2.5 µg/l following </w:t>
      </w:r>
      <w:r w:rsidR="004442A8" w:rsidRPr="005525EE">
        <w:rPr>
          <w:szCs w:val="22"/>
        </w:rPr>
        <w:t>insulin tolerance test</w:t>
      </w:r>
      <w:r w:rsidR="00DB7BCF" w:rsidRPr="005525EE">
        <w:rPr>
          <w:szCs w:val="22"/>
        </w:rPr>
        <w:t>ing</w:t>
      </w:r>
      <w:r w:rsidR="00FE05A0" w:rsidRPr="005525EE">
        <w:rPr>
          <w:szCs w:val="22"/>
        </w:rPr>
        <w:t>.</w:t>
      </w:r>
      <w:r w:rsidR="002B2868" w:rsidRPr="005525EE">
        <w:rPr>
          <w:szCs w:val="22"/>
        </w:rPr>
        <w:t xml:space="preserve"> The use of </w:t>
      </w:r>
      <w:proofErr w:type="spellStart"/>
      <w:r w:rsidR="00E370D4" w:rsidRPr="005525EE">
        <w:rPr>
          <w:szCs w:val="22"/>
        </w:rPr>
        <w:t>somatropin</w:t>
      </w:r>
      <w:proofErr w:type="spellEnd"/>
      <w:r w:rsidR="002B2868" w:rsidRPr="005525EE">
        <w:rPr>
          <w:szCs w:val="22"/>
        </w:rPr>
        <w:t xml:space="preserve"> for patients with higher peak GH levels than specified in the TGA-registered indication would constitute PBS su</w:t>
      </w:r>
      <w:r w:rsidR="00D3347A">
        <w:rPr>
          <w:szCs w:val="22"/>
        </w:rPr>
        <w:t>bsidy of off-label prescribing.</w:t>
      </w:r>
    </w:p>
    <w:p w:rsidR="00115070" w:rsidRPr="005525EE" w:rsidRDefault="002134D0" w:rsidP="00E66A39">
      <w:pPr>
        <w:pStyle w:val="ListParagraph"/>
        <w:widowControl/>
        <w:numPr>
          <w:ilvl w:val="0"/>
          <w:numId w:val="12"/>
        </w:numPr>
        <w:rPr>
          <w:szCs w:val="22"/>
        </w:rPr>
      </w:pPr>
      <w:r w:rsidRPr="005525EE">
        <w:rPr>
          <w:szCs w:val="22"/>
        </w:rPr>
        <w:t xml:space="preserve">The timeframe </w:t>
      </w:r>
      <w:r w:rsidR="0022155B" w:rsidRPr="005525EE">
        <w:rPr>
          <w:szCs w:val="22"/>
        </w:rPr>
        <w:t xml:space="preserve">for clinical reassessment in the </w:t>
      </w:r>
      <w:r w:rsidR="00A63D53" w:rsidRPr="005525EE">
        <w:rPr>
          <w:szCs w:val="22"/>
        </w:rPr>
        <w:t>study</w:t>
      </w:r>
      <w:r w:rsidR="0022155B" w:rsidRPr="005525EE">
        <w:rPr>
          <w:szCs w:val="22"/>
        </w:rPr>
        <w:t xml:space="preserve"> was initially 9 months, then every six months (with PHARMAC continuation approval considered annually). No timeframe for reassessment was specified</w:t>
      </w:r>
      <w:r w:rsidR="003526AA" w:rsidRPr="005525EE">
        <w:rPr>
          <w:szCs w:val="22"/>
        </w:rPr>
        <w:t xml:space="preserve"> in the proposed PBS criteria.</w:t>
      </w:r>
      <w:r w:rsidR="00DB7BCF" w:rsidRPr="005525EE">
        <w:rPr>
          <w:szCs w:val="22"/>
        </w:rPr>
        <w:t xml:space="preserve"> PBS-subsidised treatment usually provides one month’s supply per dispensing, with sufficient repeats (if appropriate) for up to six months’ supply per prescription.</w:t>
      </w:r>
    </w:p>
    <w:p w:rsidR="00D14B03" w:rsidRPr="005525EE" w:rsidRDefault="002E4483" w:rsidP="00E66A39">
      <w:pPr>
        <w:pStyle w:val="ListParagraph"/>
        <w:widowControl/>
        <w:numPr>
          <w:ilvl w:val="0"/>
          <w:numId w:val="12"/>
        </w:numPr>
        <w:rPr>
          <w:szCs w:val="22"/>
        </w:rPr>
      </w:pPr>
      <w:r>
        <w:rPr>
          <w:szCs w:val="22"/>
        </w:rPr>
        <w:t>“</w:t>
      </w:r>
      <w:r w:rsidR="00776EEE" w:rsidRPr="005525EE">
        <w:rPr>
          <w:szCs w:val="22"/>
        </w:rPr>
        <w:t>Major adverse side effects</w:t>
      </w:r>
      <w:r>
        <w:rPr>
          <w:szCs w:val="22"/>
        </w:rPr>
        <w:t>”</w:t>
      </w:r>
      <w:r w:rsidR="00776EEE" w:rsidRPr="005525EE">
        <w:rPr>
          <w:szCs w:val="22"/>
        </w:rPr>
        <w:t xml:space="preserve"> were an exit criterion</w:t>
      </w:r>
      <w:r w:rsidR="00DB7BCF" w:rsidRPr="005525EE">
        <w:rPr>
          <w:szCs w:val="22"/>
        </w:rPr>
        <w:t>, y</w:t>
      </w:r>
      <w:r w:rsidR="00776EEE" w:rsidRPr="005525EE">
        <w:rPr>
          <w:szCs w:val="22"/>
        </w:rPr>
        <w:t>et s</w:t>
      </w:r>
      <w:r w:rsidR="00115070" w:rsidRPr="005525EE">
        <w:rPr>
          <w:szCs w:val="22"/>
        </w:rPr>
        <w:t xml:space="preserve">erious </w:t>
      </w:r>
      <w:r w:rsidR="00776EEE" w:rsidRPr="005525EE">
        <w:rPr>
          <w:szCs w:val="22"/>
        </w:rPr>
        <w:t>adverse events were n</w:t>
      </w:r>
      <w:r w:rsidR="00D14B03" w:rsidRPr="005525EE">
        <w:rPr>
          <w:szCs w:val="22"/>
        </w:rPr>
        <w:t xml:space="preserve">ot quantified in </w:t>
      </w:r>
      <w:proofErr w:type="spellStart"/>
      <w:r w:rsidR="00776EEE" w:rsidRPr="005525EE">
        <w:rPr>
          <w:szCs w:val="22"/>
        </w:rPr>
        <w:t>Holdaway</w:t>
      </w:r>
      <w:proofErr w:type="spellEnd"/>
      <w:r w:rsidR="00776EEE" w:rsidRPr="005525EE">
        <w:rPr>
          <w:szCs w:val="22"/>
        </w:rPr>
        <w:t xml:space="preserve"> et al. (2015). The ESC considered this important in light </w:t>
      </w:r>
      <w:r w:rsidR="00D14B03" w:rsidRPr="005525EE">
        <w:rPr>
          <w:szCs w:val="22"/>
        </w:rPr>
        <w:t xml:space="preserve">of </w:t>
      </w:r>
      <w:r w:rsidR="00776EEE" w:rsidRPr="005525EE">
        <w:rPr>
          <w:szCs w:val="22"/>
        </w:rPr>
        <w:t xml:space="preserve">the </w:t>
      </w:r>
      <w:r w:rsidR="00D14B03" w:rsidRPr="005525EE">
        <w:rPr>
          <w:szCs w:val="22"/>
        </w:rPr>
        <w:t xml:space="preserve">lack of comparative safety in </w:t>
      </w:r>
      <w:r w:rsidR="004442A8" w:rsidRPr="005525EE">
        <w:rPr>
          <w:szCs w:val="22"/>
        </w:rPr>
        <w:t xml:space="preserve">both </w:t>
      </w:r>
      <w:r w:rsidR="00D14B03" w:rsidRPr="005525EE">
        <w:rPr>
          <w:szCs w:val="22"/>
        </w:rPr>
        <w:t xml:space="preserve">this </w:t>
      </w:r>
      <w:r w:rsidR="002B2868" w:rsidRPr="005525EE">
        <w:rPr>
          <w:szCs w:val="22"/>
        </w:rPr>
        <w:t>re</w:t>
      </w:r>
      <w:r w:rsidR="00D14B03" w:rsidRPr="005525EE">
        <w:rPr>
          <w:szCs w:val="22"/>
        </w:rPr>
        <w:t xml:space="preserve">submission and </w:t>
      </w:r>
      <w:r w:rsidR="004442A8" w:rsidRPr="005525EE">
        <w:rPr>
          <w:szCs w:val="22"/>
        </w:rPr>
        <w:t xml:space="preserve">the </w:t>
      </w:r>
      <w:r w:rsidR="00D14B03" w:rsidRPr="005525EE">
        <w:rPr>
          <w:szCs w:val="22"/>
        </w:rPr>
        <w:t>previous submission</w:t>
      </w:r>
      <w:r w:rsidR="00776EEE" w:rsidRPr="005525EE">
        <w:rPr>
          <w:szCs w:val="22"/>
        </w:rPr>
        <w:t>.</w:t>
      </w:r>
    </w:p>
    <w:p w:rsidR="00115070" w:rsidRPr="005525EE" w:rsidRDefault="00AD6242" w:rsidP="00E66A39">
      <w:pPr>
        <w:pStyle w:val="ListParagraph"/>
        <w:widowControl/>
        <w:numPr>
          <w:ilvl w:val="0"/>
          <w:numId w:val="12"/>
        </w:numPr>
        <w:rPr>
          <w:szCs w:val="22"/>
        </w:rPr>
      </w:pPr>
      <w:r w:rsidRPr="005525EE">
        <w:rPr>
          <w:szCs w:val="22"/>
        </w:rPr>
        <w:t xml:space="preserve">The </w:t>
      </w:r>
      <w:r w:rsidR="00D312E1">
        <w:rPr>
          <w:szCs w:val="22"/>
        </w:rPr>
        <w:t>study</w:t>
      </w:r>
      <w:r w:rsidR="00D312E1" w:rsidRPr="005525EE">
        <w:rPr>
          <w:szCs w:val="22"/>
        </w:rPr>
        <w:t xml:space="preserve"> </w:t>
      </w:r>
      <w:r w:rsidRPr="005525EE">
        <w:rPr>
          <w:szCs w:val="22"/>
        </w:rPr>
        <w:t>c</w:t>
      </w:r>
      <w:r w:rsidR="00115070" w:rsidRPr="005525EE">
        <w:rPr>
          <w:szCs w:val="22"/>
        </w:rPr>
        <w:t xml:space="preserve">ontinuation </w:t>
      </w:r>
      <w:r w:rsidR="001D6FDD" w:rsidRPr="005525EE">
        <w:rPr>
          <w:szCs w:val="22"/>
        </w:rPr>
        <w:t>criteria</w:t>
      </w:r>
      <w:r w:rsidR="00115070" w:rsidRPr="005525EE">
        <w:rPr>
          <w:szCs w:val="22"/>
        </w:rPr>
        <w:t xml:space="preserve"> consider</w:t>
      </w:r>
      <w:r w:rsidR="00AA04CE" w:rsidRPr="005525EE">
        <w:rPr>
          <w:szCs w:val="22"/>
        </w:rPr>
        <w:t>ed</w:t>
      </w:r>
      <w:r w:rsidR="00115070" w:rsidRPr="005525EE">
        <w:rPr>
          <w:szCs w:val="22"/>
        </w:rPr>
        <w:t xml:space="preserve"> response </w:t>
      </w:r>
      <w:r w:rsidR="00730E6A" w:rsidRPr="005525EE">
        <w:rPr>
          <w:szCs w:val="22"/>
        </w:rPr>
        <w:t xml:space="preserve">in relation to both baseline measurements, </w:t>
      </w:r>
      <w:r w:rsidR="00730E6A" w:rsidRPr="005525EE">
        <w:rPr>
          <w:b/>
          <w:szCs w:val="22"/>
        </w:rPr>
        <w:t xml:space="preserve">and </w:t>
      </w:r>
      <w:r w:rsidR="00115070" w:rsidRPr="005525EE">
        <w:rPr>
          <w:szCs w:val="22"/>
        </w:rPr>
        <w:t>treatment over time.</w:t>
      </w:r>
      <w:r w:rsidR="00AA04CE" w:rsidRPr="005525EE">
        <w:rPr>
          <w:szCs w:val="22"/>
        </w:rPr>
        <w:t xml:space="preserve"> </w:t>
      </w:r>
      <w:r w:rsidR="00DB7BCF" w:rsidRPr="005525EE">
        <w:rPr>
          <w:szCs w:val="22"/>
        </w:rPr>
        <w:t>For example, an exit criterion was</w:t>
      </w:r>
      <w:r w:rsidR="00FB41D1">
        <w:rPr>
          <w:szCs w:val="22"/>
        </w:rPr>
        <w:t>:</w:t>
      </w:r>
      <w:r w:rsidR="00DB7BCF" w:rsidRPr="005525EE">
        <w:rPr>
          <w:szCs w:val="22"/>
        </w:rPr>
        <w:t xml:space="preserve"> deterioration in </w:t>
      </w:r>
      <w:proofErr w:type="spellStart"/>
      <w:r w:rsidR="00DB7BCF" w:rsidRPr="005525EE">
        <w:rPr>
          <w:szCs w:val="22"/>
        </w:rPr>
        <w:t>QoL</w:t>
      </w:r>
      <w:proofErr w:type="spellEnd"/>
      <w:r w:rsidR="00DB7BCF" w:rsidRPr="005525EE">
        <w:rPr>
          <w:szCs w:val="22"/>
        </w:rPr>
        <w:t xml:space="preserve">-AGHDA of more than five points in measurements taken more than six months apart.  </w:t>
      </w:r>
      <w:r w:rsidR="00AA04CE" w:rsidRPr="005525EE">
        <w:rPr>
          <w:szCs w:val="22"/>
        </w:rPr>
        <w:t xml:space="preserve">In contrast, the </w:t>
      </w:r>
      <w:r w:rsidR="000D013C" w:rsidRPr="005525EE">
        <w:rPr>
          <w:szCs w:val="22"/>
        </w:rPr>
        <w:t xml:space="preserve">proposed </w:t>
      </w:r>
      <w:r w:rsidR="00115070" w:rsidRPr="005525EE">
        <w:rPr>
          <w:szCs w:val="22"/>
        </w:rPr>
        <w:t xml:space="preserve">PBS criteria </w:t>
      </w:r>
      <w:r w:rsidR="000D013C" w:rsidRPr="005525EE">
        <w:rPr>
          <w:szCs w:val="22"/>
        </w:rPr>
        <w:t>consider response to treatment in relation only to baseline</w:t>
      </w:r>
      <w:r w:rsidR="00DB7BCF" w:rsidRPr="005525EE">
        <w:rPr>
          <w:szCs w:val="22"/>
        </w:rPr>
        <w:t xml:space="preserve"> </w:t>
      </w:r>
      <w:proofErr w:type="spellStart"/>
      <w:r w:rsidR="00DB7BCF" w:rsidRPr="005525EE">
        <w:rPr>
          <w:szCs w:val="22"/>
        </w:rPr>
        <w:t>QoL</w:t>
      </w:r>
      <w:proofErr w:type="spellEnd"/>
      <w:r w:rsidR="00DB7BCF" w:rsidRPr="005525EE">
        <w:rPr>
          <w:szCs w:val="22"/>
        </w:rPr>
        <w:t>-AGHDA score</w:t>
      </w:r>
      <w:r w:rsidR="000D013C" w:rsidRPr="005525EE">
        <w:rPr>
          <w:szCs w:val="22"/>
        </w:rPr>
        <w:t xml:space="preserve">. Should the resubmission be recommended by PBAC, the ESC advised that it would be appropriate to include a requirement for response to be measured over </w:t>
      </w:r>
      <w:proofErr w:type="gramStart"/>
      <w:r w:rsidR="000D013C" w:rsidRPr="005525EE">
        <w:rPr>
          <w:szCs w:val="22"/>
        </w:rPr>
        <w:t>time.</w:t>
      </w:r>
      <w:proofErr w:type="gramEnd"/>
    </w:p>
    <w:p w:rsidR="00D14B03" w:rsidRPr="005525EE" w:rsidRDefault="00730E6A" w:rsidP="00E66A39">
      <w:pPr>
        <w:pStyle w:val="ListParagraph"/>
        <w:widowControl/>
        <w:numPr>
          <w:ilvl w:val="0"/>
          <w:numId w:val="12"/>
        </w:numPr>
        <w:rPr>
          <w:szCs w:val="22"/>
        </w:rPr>
      </w:pPr>
      <w:r w:rsidRPr="005525EE">
        <w:rPr>
          <w:szCs w:val="22"/>
        </w:rPr>
        <w:t xml:space="preserve">Under the </w:t>
      </w:r>
      <w:r w:rsidR="00D312E1">
        <w:rPr>
          <w:szCs w:val="22"/>
        </w:rPr>
        <w:t>study</w:t>
      </w:r>
      <w:r w:rsidR="00D312E1" w:rsidRPr="005525EE">
        <w:rPr>
          <w:szCs w:val="22"/>
        </w:rPr>
        <w:t xml:space="preserve"> </w:t>
      </w:r>
      <w:r w:rsidRPr="005525EE">
        <w:rPr>
          <w:szCs w:val="22"/>
        </w:rPr>
        <w:t xml:space="preserve">continuation criteria, </w:t>
      </w:r>
      <w:r w:rsidR="00120591" w:rsidRPr="005525EE">
        <w:rPr>
          <w:szCs w:val="22"/>
        </w:rPr>
        <w:t xml:space="preserve">patients needed to achieve an improvement in their </w:t>
      </w:r>
      <w:r w:rsidR="00115070" w:rsidRPr="005525EE">
        <w:rPr>
          <w:szCs w:val="22"/>
        </w:rPr>
        <w:t>QOL-AGHDA</w:t>
      </w:r>
      <w:r w:rsidR="00120591" w:rsidRPr="005525EE">
        <w:rPr>
          <w:szCs w:val="22"/>
        </w:rPr>
        <w:t xml:space="preserve"> score </w:t>
      </w:r>
      <w:r w:rsidR="00D14B03" w:rsidRPr="005525EE">
        <w:rPr>
          <w:szCs w:val="22"/>
        </w:rPr>
        <w:t>&gt;7 points from baseline</w:t>
      </w:r>
      <w:r w:rsidR="00115070" w:rsidRPr="005525EE">
        <w:rPr>
          <w:szCs w:val="22"/>
        </w:rPr>
        <w:t xml:space="preserve">. </w:t>
      </w:r>
      <w:r w:rsidR="00B95445" w:rsidRPr="005525EE">
        <w:rPr>
          <w:szCs w:val="22"/>
        </w:rPr>
        <w:t xml:space="preserve">The proposed PBS criteria required improvements of ≥8 from baseline at </w:t>
      </w:r>
      <w:r w:rsidR="003E7174" w:rsidRPr="003E7174">
        <w:rPr>
          <w:szCs w:val="22"/>
        </w:rPr>
        <w:t>&lt;</w:t>
      </w:r>
      <w:r w:rsidR="00B95445" w:rsidRPr="005525EE">
        <w:rPr>
          <w:szCs w:val="22"/>
        </w:rPr>
        <w:t>12 months, or ≥6 from baseline at ≥12 months. No adequate justification for either the deviation or the variation was provided in the resubmission. As propose</w:t>
      </w:r>
      <w:r w:rsidR="00E05803" w:rsidRPr="005525EE">
        <w:rPr>
          <w:szCs w:val="22"/>
        </w:rPr>
        <w:t>d</w:t>
      </w:r>
      <w:r w:rsidR="00B95445" w:rsidRPr="005525EE">
        <w:rPr>
          <w:szCs w:val="22"/>
        </w:rPr>
        <w:t xml:space="preserve">, the PBS criteria could </w:t>
      </w:r>
      <w:r w:rsidR="00D14B03" w:rsidRPr="005525EE">
        <w:rPr>
          <w:szCs w:val="22"/>
        </w:rPr>
        <w:t xml:space="preserve">allow for patients to have a </w:t>
      </w:r>
      <w:r w:rsidR="00B95445" w:rsidRPr="005525EE">
        <w:rPr>
          <w:szCs w:val="22"/>
        </w:rPr>
        <w:t>large</w:t>
      </w:r>
      <w:r w:rsidR="00D14B03" w:rsidRPr="005525EE">
        <w:rPr>
          <w:szCs w:val="22"/>
        </w:rPr>
        <w:t xml:space="preserve"> response from baseline within the first 12 months, </w:t>
      </w:r>
      <w:r w:rsidR="00E05803" w:rsidRPr="005525EE">
        <w:rPr>
          <w:szCs w:val="22"/>
        </w:rPr>
        <w:t xml:space="preserve">and </w:t>
      </w:r>
      <w:r w:rsidR="00D14B03" w:rsidRPr="005525EE">
        <w:rPr>
          <w:szCs w:val="22"/>
        </w:rPr>
        <w:t xml:space="preserve">to then deteriorate by a clinically relevant amount, but to </w:t>
      </w:r>
      <w:r w:rsidR="00B95445" w:rsidRPr="005525EE">
        <w:rPr>
          <w:szCs w:val="22"/>
        </w:rPr>
        <w:t>remain</w:t>
      </w:r>
      <w:r w:rsidR="00D14B03" w:rsidRPr="005525EE">
        <w:rPr>
          <w:szCs w:val="22"/>
        </w:rPr>
        <w:t xml:space="preserve"> on treatment as long a</w:t>
      </w:r>
      <w:r w:rsidR="00E05803" w:rsidRPr="005525EE">
        <w:rPr>
          <w:szCs w:val="22"/>
        </w:rPr>
        <w:t>s the difference from baseline wa</w:t>
      </w:r>
      <w:r w:rsidR="00D14B03" w:rsidRPr="005525EE">
        <w:rPr>
          <w:szCs w:val="22"/>
        </w:rPr>
        <w:t xml:space="preserve">s </w:t>
      </w:r>
      <w:r w:rsidR="004868DA" w:rsidRPr="005525EE">
        <w:rPr>
          <w:szCs w:val="22"/>
        </w:rPr>
        <w:t xml:space="preserve">≥6 </w:t>
      </w:r>
      <w:r w:rsidR="00E05803" w:rsidRPr="005525EE">
        <w:rPr>
          <w:szCs w:val="22"/>
        </w:rPr>
        <w:t>points</w:t>
      </w:r>
      <w:r w:rsidR="00F41350" w:rsidRPr="005525EE">
        <w:rPr>
          <w:szCs w:val="22"/>
        </w:rPr>
        <w:t>.</w:t>
      </w:r>
    </w:p>
    <w:p w:rsidR="0010076B" w:rsidRPr="005525EE" w:rsidRDefault="0010076B" w:rsidP="0010076B">
      <w:pPr>
        <w:widowControl/>
        <w:rPr>
          <w:szCs w:val="22"/>
        </w:rPr>
      </w:pPr>
    </w:p>
    <w:p w:rsidR="00932174" w:rsidRPr="0057010D" w:rsidRDefault="00490FC4" w:rsidP="00E66A39">
      <w:pPr>
        <w:pStyle w:val="ListParagraph"/>
        <w:widowControl/>
        <w:numPr>
          <w:ilvl w:val="1"/>
          <w:numId w:val="2"/>
        </w:numPr>
        <w:rPr>
          <w:szCs w:val="22"/>
        </w:rPr>
      </w:pPr>
      <w:r w:rsidRPr="005525EE">
        <w:t xml:space="preserve">The ESC noted a 2012 </w:t>
      </w:r>
      <w:r w:rsidR="0095288C">
        <w:t xml:space="preserve">publication of a </w:t>
      </w:r>
      <w:r w:rsidRPr="005525EE">
        <w:t xml:space="preserve">meta-analysis of 53 RCTs by </w:t>
      </w:r>
      <w:proofErr w:type="spellStart"/>
      <w:r w:rsidRPr="005525EE">
        <w:t>Hazem</w:t>
      </w:r>
      <w:proofErr w:type="spellEnd"/>
      <w:r w:rsidRPr="005525EE">
        <w:t xml:space="preserve"> </w:t>
      </w:r>
      <w:r w:rsidRPr="0095288C">
        <w:t>et al</w:t>
      </w:r>
      <w:r w:rsidR="003E79DB">
        <w:rPr>
          <w:rStyle w:val="FootnoteReference"/>
        </w:rPr>
        <w:footnoteReference w:id="1"/>
      </w:r>
      <w:r w:rsidRPr="005525EE">
        <w:t>. The ESC noted that this meta-analysis was not included in the resubmission, although the individual RCTs in the meta-analysis were included in the literature searc</w:t>
      </w:r>
      <w:r w:rsidR="00BA3797" w:rsidRPr="005525EE">
        <w:t>h for the July 2011 submission.</w:t>
      </w:r>
      <w:r w:rsidRPr="005525EE">
        <w:t xml:space="preserve"> The ESC advised that the </w:t>
      </w:r>
      <w:r w:rsidR="008C5A74">
        <w:t>applicant</w:t>
      </w:r>
      <w:r w:rsidR="008C5A74" w:rsidRPr="005525EE">
        <w:t xml:space="preserve"> </w:t>
      </w:r>
      <w:r w:rsidRPr="005525EE">
        <w:t>may wish to address the exclusion of this meta-analysis in its pre-PBAC response.</w:t>
      </w:r>
      <w:r w:rsidR="008C5A74">
        <w:t xml:space="preserve"> In its </w:t>
      </w:r>
      <w:r w:rsidR="0057010D">
        <w:t xml:space="preserve">Pre-PBAC Response (p2), the applicant stated that the meta-analysis was not included because </w:t>
      </w:r>
      <w:r w:rsidR="00297DE4" w:rsidRPr="0057010D">
        <w:rPr>
          <w:szCs w:val="22"/>
        </w:rPr>
        <w:t xml:space="preserve">not all of the trials analysed were limited to a severe GHD population and none of the included trials were limited to a population with a substantially impaired </w:t>
      </w:r>
      <w:proofErr w:type="spellStart"/>
      <w:r w:rsidR="00297DE4" w:rsidRPr="0057010D">
        <w:rPr>
          <w:szCs w:val="22"/>
        </w:rPr>
        <w:t>QoL</w:t>
      </w:r>
      <w:proofErr w:type="spellEnd"/>
      <w:r w:rsidR="00297DE4" w:rsidRPr="0057010D">
        <w:rPr>
          <w:szCs w:val="22"/>
        </w:rPr>
        <w:t>. Therefore, the results of the meta-analysis were not applicable to the proposed PBS restriction.</w:t>
      </w:r>
    </w:p>
    <w:p w:rsidR="00E20DAE" w:rsidRPr="00882085" w:rsidRDefault="00E20DAE" w:rsidP="00D849EA">
      <w:pPr>
        <w:widowControl/>
        <w:rPr>
          <w:szCs w:val="22"/>
        </w:rPr>
      </w:pPr>
    </w:p>
    <w:p w:rsidR="006119BA" w:rsidRDefault="006119BA">
      <w:pPr>
        <w:widowControl/>
        <w:jc w:val="left"/>
        <w:rPr>
          <w:b/>
          <w:i/>
        </w:rPr>
      </w:pPr>
      <w:bookmarkStart w:id="8" w:name="_Toc461555461"/>
      <w:r>
        <w:rPr>
          <w:i/>
        </w:rPr>
        <w:br w:type="page"/>
      </w:r>
    </w:p>
    <w:p w:rsidR="00734933" w:rsidRPr="00497F10" w:rsidRDefault="00734933" w:rsidP="00D849EA">
      <w:pPr>
        <w:pStyle w:val="Heading2"/>
        <w:widowControl/>
        <w:rPr>
          <w:i/>
        </w:rPr>
      </w:pPr>
      <w:r w:rsidRPr="00497F10">
        <w:rPr>
          <w:i/>
        </w:rPr>
        <w:lastRenderedPageBreak/>
        <w:t>Comparative effectiveness</w:t>
      </w:r>
      <w:bookmarkEnd w:id="8"/>
    </w:p>
    <w:p w:rsidR="00734933" w:rsidRPr="00882085" w:rsidRDefault="00734933" w:rsidP="00D849EA">
      <w:pPr>
        <w:widowControl/>
        <w:rPr>
          <w:szCs w:val="22"/>
        </w:rPr>
      </w:pPr>
    </w:p>
    <w:p w:rsidR="00734933" w:rsidRPr="008440BA" w:rsidRDefault="00734933" w:rsidP="00E66A39">
      <w:pPr>
        <w:pStyle w:val="ListParagraph"/>
        <w:widowControl/>
        <w:numPr>
          <w:ilvl w:val="1"/>
          <w:numId w:val="2"/>
        </w:numPr>
        <w:rPr>
          <w:szCs w:val="22"/>
        </w:rPr>
      </w:pPr>
      <w:proofErr w:type="spellStart"/>
      <w:r w:rsidRPr="008440BA">
        <w:t>QoL</w:t>
      </w:r>
      <w:proofErr w:type="spellEnd"/>
      <w:r w:rsidRPr="008440BA">
        <w:t xml:space="preserve">-AGHDA results from </w:t>
      </w:r>
      <w:proofErr w:type="spellStart"/>
      <w:r w:rsidRPr="008440BA">
        <w:t>Holdaway</w:t>
      </w:r>
      <w:proofErr w:type="spellEnd"/>
      <w:r w:rsidRPr="008440BA">
        <w:t xml:space="preserve"> et al. (2015) are summarised in Table </w:t>
      </w:r>
      <w:r w:rsidR="006B13D0">
        <w:t>4</w:t>
      </w:r>
      <w:r w:rsidRPr="008440BA">
        <w:t xml:space="preserve"> for the treated population.</w:t>
      </w:r>
    </w:p>
    <w:p w:rsidR="008B3DC7" w:rsidRDefault="008B3DC7" w:rsidP="00D849EA">
      <w:pPr>
        <w:widowControl/>
        <w:ind w:firstLine="720"/>
        <w:rPr>
          <w:rStyle w:val="CommentReference"/>
        </w:rPr>
      </w:pPr>
    </w:p>
    <w:p w:rsidR="00734933" w:rsidRDefault="00734933" w:rsidP="00D849EA">
      <w:pPr>
        <w:widowControl/>
        <w:ind w:firstLine="720"/>
        <w:rPr>
          <w:rStyle w:val="CommentReference"/>
        </w:rPr>
      </w:pPr>
      <w:r w:rsidRPr="001F7361">
        <w:rPr>
          <w:rStyle w:val="CommentReference"/>
        </w:rPr>
        <w:t xml:space="preserve">Table </w:t>
      </w:r>
      <w:r w:rsidR="006B13D0">
        <w:rPr>
          <w:rStyle w:val="CommentReference"/>
        </w:rPr>
        <w:t>4</w:t>
      </w:r>
      <w:r>
        <w:rPr>
          <w:rStyle w:val="CommentReference"/>
        </w:rPr>
        <w:t xml:space="preserve">: </w:t>
      </w:r>
      <w:r w:rsidRPr="001F7361">
        <w:rPr>
          <w:rStyle w:val="CommentReference"/>
        </w:rPr>
        <w:t xml:space="preserve">Results of </w:t>
      </w:r>
      <w:proofErr w:type="spellStart"/>
      <w:r>
        <w:rPr>
          <w:rStyle w:val="CommentReference"/>
        </w:rPr>
        <w:t>QoL</w:t>
      </w:r>
      <w:proofErr w:type="spellEnd"/>
      <w:r>
        <w:rPr>
          <w:rStyle w:val="CommentReference"/>
        </w:rPr>
        <w:t>-AGHDA</w:t>
      </w:r>
      <w:r w:rsidR="00A717EC">
        <w:rPr>
          <w:rStyle w:val="CommentReference"/>
        </w:rPr>
        <w:t xml:space="preserve"> </w:t>
      </w:r>
      <w:r w:rsidR="00307A42">
        <w:rPr>
          <w:rStyle w:val="CommentReference"/>
        </w:rPr>
        <w:t>from</w:t>
      </w:r>
      <w:r w:rsidR="00A717EC">
        <w:rPr>
          <w:rStyle w:val="CommentReference"/>
        </w:rPr>
        <w:t xml:space="preserve"> the</w:t>
      </w:r>
      <w:r w:rsidRPr="001F7361">
        <w:rPr>
          <w:rStyle w:val="CommentReference"/>
        </w:rPr>
        <w:t xml:space="preserve"> </w:t>
      </w:r>
      <w:r w:rsidR="00A717EC">
        <w:rPr>
          <w:rStyle w:val="CommentReference"/>
        </w:rPr>
        <w:t xml:space="preserve">observational </w:t>
      </w:r>
      <w:r w:rsidR="00280CE8">
        <w:rPr>
          <w:rStyle w:val="CommentReference"/>
        </w:rPr>
        <w:t>study</w:t>
      </w:r>
      <w:r w:rsidRPr="001F7361">
        <w:rPr>
          <w:rStyle w:val="CommentReference"/>
        </w:rPr>
        <w:t xml:space="preserve"> </w:t>
      </w:r>
    </w:p>
    <w:tbl>
      <w:tblPr>
        <w:tblStyle w:val="TableGrid"/>
        <w:tblW w:w="4604" w:type="pct"/>
        <w:tblInd w:w="737" w:type="dxa"/>
        <w:tblLayout w:type="fixed"/>
        <w:tblCellMar>
          <w:left w:w="28" w:type="dxa"/>
          <w:right w:w="28" w:type="dxa"/>
        </w:tblCellMar>
        <w:tblLook w:val="04A0" w:firstRow="1" w:lastRow="0" w:firstColumn="1" w:lastColumn="0" w:noHBand="0" w:noVBand="1"/>
        <w:tblCaption w:val="Results of Quality of Life outcomes from the observational study"/>
        <w:tblDescription w:val="Results of QoL-AGHDA from the Holdaway et al. (2015) study."/>
      </w:tblPr>
      <w:tblGrid>
        <w:gridCol w:w="1985"/>
        <w:gridCol w:w="708"/>
        <w:gridCol w:w="1418"/>
        <w:gridCol w:w="709"/>
        <w:gridCol w:w="1417"/>
        <w:gridCol w:w="567"/>
        <w:gridCol w:w="1559"/>
      </w:tblGrid>
      <w:tr w:rsidR="00734933" w:rsidRPr="004C750E" w:rsidTr="00846CB6">
        <w:trPr>
          <w:trHeight w:val="82"/>
          <w:tblHeader/>
        </w:trPr>
        <w:tc>
          <w:tcPr>
            <w:tcW w:w="1985" w:type="dxa"/>
            <w:vMerge w:val="restart"/>
            <w:tcBorders>
              <w:right w:val="single" w:sz="4" w:space="0" w:color="000000" w:themeColor="text1"/>
            </w:tcBorders>
            <w:shd w:val="clear" w:color="auto" w:fill="auto"/>
          </w:tcPr>
          <w:p w:rsidR="00734933" w:rsidRPr="004C750E" w:rsidRDefault="00A63D53" w:rsidP="00D849EA">
            <w:pPr>
              <w:pStyle w:val="TableH1Centered1beforeandafter"/>
              <w:rPr>
                <w:rFonts w:ascii="Arial Narrow" w:hAnsi="Arial Narrow"/>
                <w:sz w:val="20"/>
                <w:lang w:val="en-AU"/>
              </w:rPr>
            </w:pPr>
            <w:r>
              <w:rPr>
                <w:rFonts w:ascii="Arial Narrow" w:hAnsi="Arial Narrow"/>
                <w:sz w:val="20"/>
                <w:lang w:val="en-AU"/>
              </w:rPr>
              <w:t>Study</w:t>
            </w:r>
            <w:r w:rsidRPr="004C750E">
              <w:rPr>
                <w:rFonts w:ascii="Arial Narrow" w:hAnsi="Arial Narrow"/>
                <w:sz w:val="20"/>
                <w:lang w:val="en-AU"/>
              </w:rPr>
              <w:t xml:space="preserve"> </w:t>
            </w:r>
            <w:r w:rsidR="00734933" w:rsidRPr="004C750E">
              <w:rPr>
                <w:rFonts w:ascii="Arial Narrow" w:hAnsi="Arial Narrow"/>
                <w:sz w:val="20"/>
                <w:lang w:val="en-AU"/>
              </w:rPr>
              <w:t>ID</w:t>
            </w:r>
          </w:p>
        </w:tc>
        <w:tc>
          <w:tcPr>
            <w:tcW w:w="6378" w:type="dxa"/>
            <w:gridSpan w:val="6"/>
            <w:tcBorders>
              <w:right w:val="single" w:sz="4" w:space="0" w:color="000000" w:themeColor="text1"/>
            </w:tcBorders>
            <w:shd w:val="clear" w:color="auto" w:fill="auto"/>
          </w:tcPr>
          <w:p w:rsidR="00734933" w:rsidRPr="004C750E" w:rsidRDefault="00734933" w:rsidP="00D849EA">
            <w:pPr>
              <w:pStyle w:val="TableH1Centered1beforeandafter"/>
              <w:rPr>
                <w:rFonts w:ascii="Arial Narrow" w:hAnsi="Arial Narrow"/>
                <w:sz w:val="20"/>
                <w:lang w:val="en-AU"/>
              </w:rPr>
            </w:pPr>
            <w:proofErr w:type="spellStart"/>
            <w:r w:rsidRPr="004C750E">
              <w:rPr>
                <w:rFonts w:ascii="Arial Narrow" w:hAnsi="Arial Narrow"/>
                <w:sz w:val="20"/>
                <w:lang w:val="en-AU"/>
              </w:rPr>
              <w:t>Somatropin</w:t>
            </w:r>
            <w:proofErr w:type="spellEnd"/>
            <w:r w:rsidRPr="004C750E">
              <w:rPr>
                <w:rFonts w:ascii="Arial Narrow" w:hAnsi="Arial Narrow"/>
                <w:sz w:val="20"/>
                <w:lang w:val="en-AU"/>
              </w:rPr>
              <w:t xml:space="preserve"> (mean values, 95%CI)</w:t>
            </w:r>
          </w:p>
        </w:tc>
      </w:tr>
      <w:tr w:rsidR="00734933" w:rsidRPr="004C750E" w:rsidTr="00846CB6">
        <w:trPr>
          <w:trHeight w:val="77"/>
          <w:tblHeader/>
        </w:trPr>
        <w:tc>
          <w:tcPr>
            <w:tcW w:w="1985" w:type="dxa"/>
            <w:vMerge/>
            <w:tcBorders>
              <w:bottom w:val="single" w:sz="4" w:space="0" w:color="auto"/>
              <w:right w:val="single" w:sz="4" w:space="0" w:color="000000" w:themeColor="text1"/>
            </w:tcBorders>
            <w:shd w:val="clear" w:color="auto" w:fill="auto"/>
          </w:tcPr>
          <w:p w:rsidR="00734933" w:rsidRPr="004C750E" w:rsidRDefault="00734933" w:rsidP="00D849EA">
            <w:pPr>
              <w:pStyle w:val="TableH1Centered1beforeandafter"/>
              <w:rPr>
                <w:rFonts w:ascii="Arial Narrow" w:hAnsi="Arial Narrow"/>
                <w:b/>
                <w:sz w:val="20"/>
                <w:lang w:val="en-A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4933" w:rsidRPr="004C750E" w:rsidRDefault="00734933" w:rsidP="00D849EA">
            <w:pPr>
              <w:pStyle w:val="TableH1Centered1beforeandafter"/>
              <w:rPr>
                <w:rFonts w:ascii="Arial Narrow" w:hAnsi="Arial Narrow"/>
                <w:b/>
                <w:sz w:val="20"/>
                <w:lang w:val="en-AU"/>
              </w:rPr>
            </w:pPr>
            <w:r w:rsidRPr="004C750E">
              <w:rPr>
                <w:rFonts w:ascii="Arial Narrow" w:hAnsi="Arial Narrow"/>
                <w:b/>
                <w:sz w:val="20"/>
                <w:lang w:val="en-AU"/>
              </w:rPr>
              <w:t>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4933" w:rsidRPr="004C750E" w:rsidRDefault="00734933" w:rsidP="00D849EA">
            <w:pPr>
              <w:pStyle w:val="TableH1Centered1beforeandafter"/>
              <w:rPr>
                <w:rFonts w:ascii="Arial Narrow" w:hAnsi="Arial Narrow"/>
                <w:b/>
                <w:sz w:val="20"/>
                <w:lang w:val="en-AU"/>
              </w:rPr>
            </w:pPr>
            <w:r w:rsidRPr="004C750E">
              <w:rPr>
                <w:rFonts w:ascii="Arial Narrow" w:hAnsi="Arial Narrow"/>
                <w:b/>
                <w:sz w:val="20"/>
                <w:lang w:val="en-AU"/>
              </w:rPr>
              <w:t>Baseline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4933" w:rsidRPr="00952BCF" w:rsidRDefault="00734933" w:rsidP="00D849EA">
            <w:pPr>
              <w:pStyle w:val="TableH1Centered1beforeandafter"/>
              <w:rPr>
                <w:rFonts w:ascii="Arial Narrow" w:hAnsi="Arial Narrow"/>
                <w:b/>
                <w:sz w:val="20"/>
                <w:lang w:val="en-AU"/>
              </w:rPr>
            </w:pPr>
            <w:r w:rsidRPr="00952BCF">
              <w:rPr>
                <w:rFonts w:ascii="Arial Narrow" w:hAnsi="Arial Narrow"/>
                <w:b/>
                <w:sz w:val="20"/>
                <w:lang w:val="en-AU"/>
              </w:rPr>
              <w:t>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4933" w:rsidRPr="004C750E" w:rsidRDefault="00734933" w:rsidP="00D849EA">
            <w:pPr>
              <w:pStyle w:val="TableH1Centered1beforeandafter"/>
              <w:rPr>
                <w:rFonts w:ascii="Arial Narrow" w:hAnsi="Arial Narrow"/>
                <w:b/>
                <w:sz w:val="20"/>
                <w:lang w:val="en-AU"/>
              </w:rPr>
            </w:pPr>
            <w:r w:rsidRPr="004C750E">
              <w:rPr>
                <w:rFonts w:ascii="Arial Narrow" w:hAnsi="Arial Narrow"/>
                <w:b/>
                <w:sz w:val="20"/>
                <w:lang w:val="en-AU"/>
              </w:rPr>
              <w:t>9 months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4933" w:rsidRPr="00952BCF" w:rsidRDefault="00734933" w:rsidP="00D849EA">
            <w:pPr>
              <w:pStyle w:val="TableH1Centered1beforeandafter"/>
              <w:rPr>
                <w:rFonts w:ascii="Arial Narrow" w:hAnsi="Arial Narrow"/>
                <w:b/>
                <w:sz w:val="20"/>
                <w:lang w:val="en-AU"/>
              </w:rPr>
            </w:pPr>
            <w:r w:rsidRPr="00952BCF">
              <w:rPr>
                <w:rFonts w:ascii="Arial Narrow" w:hAnsi="Arial Narrow"/>
                <w:b/>
                <w:sz w:val="20"/>
                <w:lang w:val="en-AU"/>
              </w:rPr>
              <w:t>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4933" w:rsidRPr="004C750E" w:rsidRDefault="00734933" w:rsidP="00D849EA">
            <w:pPr>
              <w:pStyle w:val="TableH1Centered1beforeandafter"/>
              <w:rPr>
                <w:rFonts w:ascii="Arial Narrow" w:hAnsi="Arial Narrow"/>
                <w:b/>
                <w:sz w:val="20"/>
                <w:lang w:val="en-AU"/>
              </w:rPr>
            </w:pPr>
            <w:r w:rsidRPr="004C750E">
              <w:rPr>
                <w:rFonts w:ascii="Arial Narrow" w:hAnsi="Arial Narrow"/>
                <w:b/>
                <w:sz w:val="20"/>
                <w:lang w:val="en-AU"/>
              </w:rPr>
              <w:t>33 months</w:t>
            </w:r>
          </w:p>
        </w:tc>
      </w:tr>
      <w:tr w:rsidR="00734933" w:rsidRPr="004C750E" w:rsidTr="006119BA">
        <w:trPr>
          <w:trHeight w:val="17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34933" w:rsidRPr="004C750E" w:rsidRDefault="00734933" w:rsidP="00D849EA">
            <w:pPr>
              <w:pStyle w:val="Tabletext"/>
              <w:rPr>
                <w:rFonts w:ascii="Arial Narrow" w:hAnsi="Arial Narrow"/>
              </w:rPr>
            </w:pPr>
            <w:proofErr w:type="spellStart"/>
            <w:r>
              <w:rPr>
                <w:rFonts w:ascii="Arial Narrow" w:hAnsi="Arial Narrow"/>
              </w:rPr>
              <w:t>Holdaway</w:t>
            </w:r>
            <w:proofErr w:type="spellEnd"/>
            <w:r>
              <w:rPr>
                <w:rFonts w:ascii="Arial Narrow" w:hAnsi="Arial Narrow"/>
              </w:rPr>
              <w:t xml:space="preserve"> et al. (2015)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34933" w:rsidRPr="004C750E" w:rsidRDefault="00734933" w:rsidP="00D849EA">
            <w:pPr>
              <w:pStyle w:val="Tabletext"/>
              <w:jc w:val="center"/>
              <w:rPr>
                <w:rFonts w:ascii="Arial Narrow" w:hAnsi="Arial Narrow"/>
              </w:rPr>
            </w:pPr>
            <w:r w:rsidRPr="004C750E">
              <w:rPr>
                <w:rFonts w:ascii="Arial Narrow" w:hAnsi="Arial Narrow"/>
              </w:rPr>
              <w:t>191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4933" w:rsidRPr="004C750E" w:rsidRDefault="00734933" w:rsidP="00D849EA">
            <w:pPr>
              <w:pStyle w:val="Tabletext"/>
              <w:jc w:val="center"/>
              <w:rPr>
                <w:rFonts w:ascii="Arial Narrow" w:hAnsi="Arial Narrow"/>
              </w:rPr>
            </w:pPr>
            <w:r w:rsidRPr="004C750E">
              <w:rPr>
                <w:rFonts w:ascii="Arial Narrow" w:hAnsi="Arial Narrow"/>
              </w:rPr>
              <w:t>19 (18, 21)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34933" w:rsidRPr="00952BCF" w:rsidRDefault="00734933" w:rsidP="00D849EA">
            <w:pPr>
              <w:pStyle w:val="Tabletext"/>
              <w:jc w:val="center"/>
              <w:rPr>
                <w:rFonts w:ascii="Arial Narrow" w:hAnsi="Arial Narrow"/>
              </w:rPr>
            </w:pPr>
            <w:r w:rsidRPr="00952BCF">
              <w:rPr>
                <w:rFonts w:ascii="Arial Narrow" w:hAnsi="Arial Narrow"/>
              </w:rPr>
              <w:t>NR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4933" w:rsidRPr="004C750E" w:rsidRDefault="00734933" w:rsidP="00D849EA">
            <w:pPr>
              <w:pStyle w:val="Tabletext"/>
              <w:jc w:val="center"/>
              <w:rPr>
                <w:rFonts w:ascii="Arial Narrow" w:hAnsi="Arial Narrow"/>
              </w:rPr>
            </w:pPr>
            <w:r w:rsidRPr="004C750E">
              <w:rPr>
                <w:rFonts w:ascii="Arial Narrow" w:hAnsi="Arial Narrow"/>
              </w:rPr>
              <w:t>6 (4, 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34933" w:rsidRPr="00952BCF" w:rsidRDefault="00734933" w:rsidP="00D849EA">
            <w:pPr>
              <w:pStyle w:val="Tabletext"/>
              <w:jc w:val="center"/>
              <w:rPr>
                <w:rFonts w:ascii="Arial Narrow" w:hAnsi="Arial Narrow"/>
              </w:rPr>
            </w:pPr>
            <w:r w:rsidRPr="00952BCF">
              <w:rPr>
                <w:rFonts w:ascii="Arial Narrow" w:hAnsi="Arial Narrow"/>
              </w:rPr>
              <w:t>157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933" w:rsidRPr="004C750E" w:rsidRDefault="00734933" w:rsidP="00D849EA">
            <w:pPr>
              <w:pStyle w:val="Tabletext"/>
              <w:jc w:val="center"/>
              <w:rPr>
                <w:rFonts w:ascii="Arial Narrow" w:hAnsi="Arial Narrow"/>
              </w:rPr>
            </w:pPr>
            <w:r w:rsidRPr="004C750E">
              <w:rPr>
                <w:rFonts w:ascii="Arial Narrow" w:hAnsi="Arial Narrow"/>
              </w:rPr>
              <w:t>5 (3, 9)</w:t>
            </w:r>
          </w:p>
        </w:tc>
      </w:tr>
    </w:tbl>
    <w:p w:rsidR="00734933" w:rsidRPr="00CC469E" w:rsidRDefault="00964DE6" w:rsidP="00D849EA">
      <w:pPr>
        <w:pStyle w:val="TableFooter"/>
        <w:widowControl/>
        <w:ind w:left="720"/>
      </w:pPr>
      <w:r w:rsidRPr="00CC469E">
        <w:t xml:space="preserve">Source: Table 18, p.23 and Table 23, p.28, of the </w:t>
      </w:r>
      <w:r w:rsidR="00014970" w:rsidRPr="00CC469E">
        <w:t>resubmission</w:t>
      </w:r>
      <w:r w:rsidRPr="00CC469E">
        <w:t xml:space="preserve">. </w:t>
      </w:r>
      <w:r w:rsidR="00734933" w:rsidRPr="00CC469E">
        <w:t xml:space="preserve">Note: CI = confidence interval; </w:t>
      </w:r>
      <w:proofErr w:type="spellStart"/>
      <w:r w:rsidR="00734933" w:rsidRPr="00CC469E">
        <w:t>QoL</w:t>
      </w:r>
      <w:proofErr w:type="spellEnd"/>
      <w:r w:rsidR="00734933" w:rsidRPr="00CC469E">
        <w:t>-AGHDA = quality of life assessment of growth hormone deficiency in adults; NR = not reported.</w:t>
      </w:r>
    </w:p>
    <w:p w:rsidR="00734933" w:rsidRDefault="00734933" w:rsidP="00D849EA">
      <w:pPr>
        <w:widowControl/>
        <w:rPr>
          <w:szCs w:val="22"/>
        </w:rPr>
      </w:pPr>
    </w:p>
    <w:p w:rsidR="00734933" w:rsidRPr="00225654" w:rsidRDefault="00734933" w:rsidP="00E66A39">
      <w:pPr>
        <w:pStyle w:val="ListParagraph"/>
        <w:widowControl/>
        <w:numPr>
          <w:ilvl w:val="1"/>
          <w:numId w:val="2"/>
        </w:numPr>
        <w:rPr>
          <w:szCs w:val="22"/>
        </w:rPr>
      </w:pPr>
      <w:r w:rsidRPr="006303AE">
        <w:t>The outcomes were assessed only for patients who remained on treatment at 33</w:t>
      </w:r>
      <w:r w:rsidR="006B13D0" w:rsidRPr="006303AE">
        <w:rPr>
          <w:szCs w:val="22"/>
        </w:rPr>
        <w:t> </w:t>
      </w:r>
      <w:r w:rsidRPr="006303AE">
        <w:rPr>
          <w:szCs w:val="22"/>
        </w:rPr>
        <w:t xml:space="preserve">months (n=157). The magnitude of the improvement in </w:t>
      </w:r>
      <w:proofErr w:type="spellStart"/>
      <w:r w:rsidRPr="006303AE">
        <w:rPr>
          <w:szCs w:val="22"/>
        </w:rPr>
        <w:t>QoL</w:t>
      </w:r>
      <w:proofErr w:type="spellEnd"/>
      <w:r w:rsidRPr="006303AE">
        <w:rPr>
          <w:szCs w:val="22"/>
        </w:rPr>
        <w:t>-AGHDA is likely to be lower if all treated patients were considered.</w:t>
      </w:r>
      <w:r w:rsidR="00A1761B">
        <w:rPr>
          <w:szCs w:val="22"/>
        </w:rPr>
        <w:t xml:space="preserve"> </w:t>
      </w:r>
      <w:r w:rsidR="00A1761B" w:rsidRPr="00225654">
        <w:rPr>
          <w:szCs w:val="22"/>
        </w:rPr>
        <w:t>The PBAC previously considered that the patients who continued treatment were the most likely to respon</w:t>
      </w:r>
      <w:r w:rsidR="00F41350" w:rsidRPr="00225654">
        <w:rPr>
          <w:szCs w:val="22"/>
        </w:rPr>
        <w:t>d</w:t>
      </w:r>
      <w:r w:rsidR="00A1761B" w:rsidRPr="00225654">
        <w:rPr>
          <w:szCs w:val="22"/>
        </w:rPr>
        <w:t>, since patients with adverse events are likely to discontinue.</w:t>
      </w:r>
    </w:p>
    <w:p w:rsidR="00E20DAE" w:rsidRPr="00225654" w:rsidRDefault="00E20DAE" w:rsidP="00E20DAE">
      <w:pPr>
        <w:pStyle w:val="ListParagraph"/>
        <w:widowControl/>
        <w:ind w:left="709"/>
        <w:rPr>
          <w:szCs w:val="22"/>
        </w:rPr>
      </w:pPr>
    </w:p>
    <w:p w:rsidR="00D14B03" w:rsidRPr="00225654" w:rsidRDefault="00F67C67" w:rsidP="00E66A39">
      <w:pPr>
        <w:pStyle w:val="ListParagraph"/>
        <w:widowControl/>
        <w:numPr>
          <w:ilvl w:val="1"/>
          <w:numId w:val="2"/>
        </w:numPr>
        <w:rPr>
          <w:szCs w:val="22"/>
        </w:rPr>
      </w:pPr>
      <w:r w:rsidRPr="00225654">
        <w:rPr>
          <w:szCs w:val="22"/>
        </w:rPr>
        <w:t>The PSCR (p2) stated</w:t>
      </w:r>
      <w:r w:rsidR="00D14B03" w:rsidRPr="00225654">
        <w:rPr>
          <w:szCs w:val="22"/>
        </w:rPr>
        <w:t xml:space="preserve"> that the exclusion of patients who discontinued treatment in the </w:t>
      </w:r>
      <w:proofErr w:type="spellStart"/>
      <w:r w:rsidR="00D14B03" w:rsidRPr="00225654">
        <w:rPr>
          <w:szCs w:val="22"/>
        </w:rPr>
        <w:t>Holdaway</w:t>
      </w:r>
      <w:proofErr w:type="spellEnd"/>
      <w:r w:rsidR="00D14B03" w:rsidRPr="00225654">
        <w:rPr>
          <w:szCs w:val="22"/>
        </w:rPr>
        <w:t xml:space="preserve"> study was justified on the basis of a low rate of treatment </w:t>
      </w:r>
      <w:r w:rsidRPr="00225654">
        <w:rPr>
          <w:szCs w:val="22"/>
        </w:rPr>
        <w:t>discontinuation (</w:t>
      </w:r>
      <w:r w:rsidR="00D14B03" w:rsidRPr="00225654">
        <w:rPr>
          <w:szCs w:val="22"/>
        </w:rPr>
        <w:t>17% after 3 years). In addition, the</w:t>
      </w:r>
      <w:r w:rsidRPr="00225654">
        <w:rPr>
          <w:szCs w:val="22"/>
        </w:rPr>
        <w:t xml:space="preserve"> </w:t>
      </w:r>
      <w:r w:rsidR="00D14B03" w:rsidRPr="00225654">
        <w:rPr>
          <w:szCs w:val="22"/>
        </w:rPr>
        <w:t xml:space="preserve">PBS treatment continuation criteria proposed in the </w:t>
      </w:r>
      <w:r w:rsidRPr="00225654">
        <w:rPr>
          <w:szCs w:val="22"/>
        </w:rPr>
        <w:t>re</w:t>
      </w:r>
      <w:r w:rsidR="00D14B03" w:rsidRPr="00225654">
        <w:rPr>
          <w:szCs w:val="22"/>
        </w:rPr>
        <w:t xml:space="preserve">submission </w:t>
      </w:r>
      <w:r w:rsidRPr="00225654">
        <w:rPr>
          <w:szCs w:val="22"/>
        </w:rPr>
        <w:t>– on t</w:t>
      </w:r>
      <w:r w:rsidR="00D14B03" w:rsidRPr="00225654">
        <w:rPr>
          <w:szCs w:val="22"/>
        </w:rPr>
        <w:t xml:space="preserve">he basis of changes in </w:t>
      </w:r>
      <w:proofErr w:type="spellStart"/>
      <w:r w:rsidR="00D14B03" w:rsidRPr="00225654">
        <w:rPr>
          <w:szCs w:val="22"/>
        </w:rPr>
        <w:t>QoL</w:t>
      </w:r>
      <w:proofErr w:type="spellEnd"/>
      <w:r w:rsidR="00D14B03" w:rsidRPr="00225654">
        <w:rPr>
          <w:szCs w:val="22"/>
        </w:rPr>
        <w:t>-</w:t>
      </w:r>
      <w:r w:rsidRPr="00225654">
        <w:rPr>
          <w:szCs w:val="22"/>
        </w:rPr>
        <w:t xml:space="preserve">AGHDA scores – </w:t>
      </w:r>
      <w:r w:rsidR="00D14B03" w:rsidRPr="00225654">
        <w:rPr>
          <w:szCs w:val="22"/>
        </w:rPr>
        <w:t xml:space="preserve">ensures that reimbursement is only provided to individuals benefiting from treatment. Further, </w:t>
      </w:r>
      <w:r w:rsidRPr="00225654">
        <w:rPr>
          <w:szCs w:val="22"/>
        </w:rPr>
        <w:t xml:space="preserve">in the economic model, </w:t>
      </w:r>
      <w:r w:rsidR="00D14B03" w:rsidRPr="00225654">
        <w:rPr>
          <w:szCs w:val="22"/>
        </w:rPr>
        <w:t xml:space="preserve">the </w:t>
      </w:r>
      <w:proofErr w:type="spellStart"/>
      <w:r w:rsidRPr="00225654">
        <w:rPr>
          <w:szCs w:val="22"/>
        </w:rPr>
        <w:t>QoL</w:t>
      </w:r>
      <w:proofErr w:type="spellEnd"/>
      <w:r w:rsidR="00D14B03" w:rsidRPr="00225654">
        <w:rPr>
          <w:szCs w:val="22"/>
        </w:rPr>
        <w:t xml:space="preserve"> benefits </w:t>
      </w:r>
      <w:r w:rsidRPr="00225654">
        <w:rPr>
          <w:szCs w:val="22"/>
        </w:rPr>
        <w:t>were</w:t>
      </w:r>
      <w:r w:rsidR="00D14B03" w:rsidRPr="00225654">
        <w:rPr>
          <w:szCs w:val="22"/>
        </w:rPr>
        <w:t xml:space="preserve"> only applied to ind</w:t>
      </w:r>
      <w:r w:rsidRPr="00225654">
        <w:rPr>
          <w:szCs w:val="22"/>
        </w:rPr>
        <w:t xml:space="preserve">ividuals remaining on treatment, </w:t>
      </w:r>
      <w:r w:rsidR="00D14B03" w:rsidRPr="00225654">
        <w:rPr>
          <w:szCs w:val="22"/>
        </w:rPr>
        <w:t>with those patients discontinuing treatment returning to baseline levels</w:t>
      </w:r>
      <w:r w:rsidRPr="00225654">
        <w:rPr>
          <w:szCs w:val="22"/>
        </w:rPr>
        <w:t xml:space="preserve">. Therefore, </w:t>
      </w:r>
      <w:r w:rsidR="00D14B03" w:rsidRPr="00225654">
        <w:rPr>
          <w:szCs w:val="22"/>
        </w:rPr>
        <w:t xml:space="preserve">the </w:t>
      </w:r>
      <w:r w:rsidR="00F41350" w:rsidRPr="00225654">
        <w:rPr>
          <w:szCs w:val="22"/>
        </w:rPr>
        <w:t xml:space="preserve">PSCR claimed that the </w:t>
      </w:r>
      <w:r w:rsidR="00D14B03" w:rsidRPr="00225654">
        <w:rPr>
          <w:szCs w:val="22"/>
        </w:rPr>
        <w:t>magnitude of clinical benefit in t</w:t>
      </w:r>
      <w:r w:rsidRPr="00225654">
        <w:rPr>
          <w:szCs w:val="22"/>
        </w:rPr>
        <w:t>he cost-effectiveness analysis wa</w:t>
      </w:r>
      <w:r w:rsidR="00D14B03" w:rsidRPr="00225654">
        <w:rPr>
          <w:szCs w:val="22"/>
        </w:rPr>
        <w:t>s not overestimated.</w:t>
      </w:r>
    </w:p>
    <w:p w:rsidR="00D14B03" w:rsidRPr="00225654" w:rsidRDefault="00D14B03" w:rsidP="00D14B03">
      <w:pPr>
        <w:widowControl/>
        <w:rPr>
          <w:szCs w:val="22"/>
        </w:rPr>
      </w:pPr>
    </w:p>
    <w:p w:rsidR="003003DD" w:rsidRPr="00225654" w:rsidRDefault="00E604FE" w:rsidP="00E66A39">
      <w:pPr>
        <w:pStyle w:val="ListParagraph"/>
        <w:widowControl/>
        <w:numPr>
          <w:ilvl w:val="1"/>
          <w:numId w:val="2"/>
        </w:numPr>
        <w:rPr>
          <w:szCs w:val="22"/>
        </w:rPr>
      </w:pPr>
      <w:r w:rsidRPr="00225654">
        <w:rPr>
          <w:szCs w:val="22"/>
        </w:rPr>
        <w:t>The ESC considered that t</w:t>
      </w:r>
      <w:r w:rsidR="00D14B03" w:rsidRPr="00225654">
        <w:rPr>
          <w:szCs w:val="22"/>
        </w:rPr>
        <w:t xml:space="preserve">he magnitude of benefit </w:t>
      </w:r>
      <w:r w:rsidRPr="00225654">
        <w:rPr>
          <w:szCs w:val="22"/>
        </w:rPr>
        <w:t>wa</w:t>
      </w:r>
      <w:r w:rsidR="00D14B03" w:rsidRPr="00225654">
        <w:rPr>
          <w:szCs w:val="22"/>
        </w:rPr>
        <w:t xml:space="preserve">s likely overestimated. </w:t>
      </w:r>
      <w:r w:rsidRPr="00225654">
        <w:rPr>
          <w:szCs w:val="22"/>
        </w:rPr>
        <w:t xml:space="preserve">The ESC </w:t>
      </w:r>
      <w:r w:rsidR="00097ED7" w:rsidRPr="00225654">
        <w:rPr>
          <w:szCs w:val="22"/>
        </w:rPr>
        <w:t>considered</w:t>
      </w:r>
      <w:r w:rsidRPr="00225654">
        <w:rPr>
          <w:szCs w:val="22"/>
        </w:rPr>
        <w:t xml:space="preserve"> the discontinuation rate </w:t>
      </w:r>
      <w:r w:rsidR="00D14B03" w:rsidRPr="00225654">
        <w:rPr>
          <w:szCs w:val="22"/>
        </w:rPr>
        <w:t>not insubstantial given the small sample size</w:t>
      </w:r>
      <w:r w:rsidR="00F41350" w:rsidRPr="00225654">
        <w:rPr>
          <w:szCs w:val="22"/>
        </w:rPr>
        <w:t xml:space="preserve"> (33 discontinuations out of 191 patients recruited)</w:t>
      </w:r>
      <w:r w:rsidR="00D14B03" w:rsidRPr="00225654">
        <w:rPr>
          <w:szCs w:val="22"/>
        </w:rPr>
        <w:t xml:space="preserve">. </w:t>
      </w:r>
      <w:r w:rsidRPr="00225654">
        <w:rPr>
          <w:szCs w:val="22"/>
        </w:rPr>
        <w:t xml:space="preserve">The ESC </w:t>
      </w:r>
      <w:r w:rsidR="00505CA7">
        <w:rPr>
          <w:szCs w:val="22"/>
        </w:rPr>
        <w:t xml:space="preserve">also </w:t>
      </w:r>
      <w:r w:rsidRPr="00225654">
        <w:rPr>
          <w:szCs w:val="22"/>
        </w:rPr>
        <w:t xml:space="preserve">noted </w:t>
      </w:r>
      <w:r w:rsidR="003003DD" w:rsidRPr="00225654">
        <w:rPr>
          <w:szCs w:val="22"/>
        </w:rPr>
        <w:t xml:space="preserve">there </w:t>
      </w:r>
      <w:r w:rsidRPr="00225654">
        <w:rPr>
          <w:szCs w:val="22"/>
        </w:rPr>
        <w:t xml:space="preserve">was a risk of selection bias as it was </w:t>
      </w:r>
      <w:r w:rsidR="00097ED7" w:rsidRPr="00225654">
        <w:rPr>
          <w:szCs w:val="22"/>
        </w:rPr>
        <w:t xml:space="preserve">not known </w:t>
      </w:r>
      <w:r w:rsidRPr="00225654">
        <w:rPr>
          <w:szCs w:val="22"/>
        </w:rPr>
        <w:t xml:space="preserve">which potentially eligible GHD patients chose not to enter the PHARMAC-funded </w:t>
      </w:r>
      <w:proofErr w:type="spellStart"/>
      <w:r w:rsidRPr="00225654">
        <w:rPr>
          <w:szCs w:val="22"/>
        </w:rPr>
        <w:t>somatropin</w:t>
      </w:r>
      <w:proofErr w:type="spellEnd"/>
      <w:r w:rsidRPr="00225654">
        <w:rPr>
          <w:szCs w:val="22"/>
        </w:rPr>
        <w:t xml:space="preserve"> access scheme. </w:t>
      </w:r>
    </w:p>
    <w:p w:rsidR="0016089D" w:rsidRPr="00225654" w:rsidRDefault="0016089D" w:rsidP="0016089D">
      <w:pPr>
        <w:pStyle w:val="ListParagraph"/>
        <w:rPr>
          <w:szCs w:val="22"/>
        </w:rPr>
      </w:pPr>
    </w:p>
    <w:p w:rsidR="0016089D" w:rsidRDefault="0016089D" w:rsidP="00E66A39">
      <w:pPr>
        <w:pStyle w:val="ListParagraph"/>
        <w:widowControl/>
        <w:numPr>
          <w:ilvl w:val="1"/>
          <w:numId w:val="2"/>
        </w:numPr>
        <w:rPr>
          <w:szCs w:val="22"/>
        </w:rPr>
      </w:pPr>
      <w:r w:rsidRPr="00225654">
        <w:rPr>
          <w:szCs w:val="22"/>
        </w:rPr>
        <w:t xml:space="preserve">The ESC recalled that in the July 2011 submission, the PBAC noted that the two trials that assessed </w:t>
      </w:r>
      <w:proofErr w:type="spellStart"/>
      <w:r w:rsidRPr="00225654">
        <w:rPr>
          <w:szCs w:val="22"/>
        </w:rPr>
        <w:t>QoL</w:t>
      </w:r>
      <w:proofErr w:type="spellEnd"/>
      <w:r w:rsidRPr="00225654">
        <w:rPr>
          <w:szCs w:val="22"/>
        </w:rPr>
        <w:t xml:space="preserve"> using the </w:t>
      </w:r>
      <w:proofErr w:type="spellStart"/>
      <w:r w:rsidRPr="00225654">
        <w:rPr>
          <w:szCs w:val="22"/>
        </w:rPr>
        <w:t>QoL</w:t>
      </w:r>
      <w:proofErr w:type="spellEnd"/>
      <w:r w:rsidRPr="00225654">
        <w:rPr>
          <w:szCs w:val="22"/>
        </w:rPr>
        <w:t>-AGHDA (</w:t>
      </w:r>
      <w:proofErr w:type="spellStart"/>
      <w:r w:rsidRPr="00225654">
        <w:rPr>
          <w:szCs w:val="22"/>
        </w:rPr>
        <w:t>Chihara</w:t>
      </w:r>
      <w:proofErr w:type="spellEnd"/>
      <w:r w:rsidRPr="00225654">
        <w:rPr>
          <w:szCs w:val="22"/>
        </w:rPr>
        <w:t xml:space="preserve"> 2006 and Mesa 2003) reported no significant effect of treatment with </w:t>
      </w:r>
      <w:proofErr w:type="spellStart"/>
      <w:r w:rsidRPr="00225654">
        <w:rPr>
          <w:szCs w:val="22"/>
        </w:rPr>
        <w:t>somatropin</w:t>
      </w:r>
      <w:proofErr w:type="spellEnd"/>
      <w:r w:rsidRPr="00225654">
        <w:rPr>
          <w:szCs w:val="22"/>
        </w:rPr>
        <w:t>.</w:t>
      </w:r>
    </w:p>
    <w:p w:rsidR="007208A5" w:rsidRPr="007208A5" w:rsidRDefault="007208A5" w:rsidP="007208A5">
      <w:pPr>
        <w:pStyle w:val="ListParagraph"/>
        <w:rPr>
          <w:szCs w:val="22"/>
        </w:rPr>
      </w:pPr>
    </w:p>
    <w:p w:rsidR="007208A5" w:rsidRPr="00612751" w:rsidRDefault="00841B87" w:rsidP="00612751">
      <w:pPr>
        <w:pStyle w:val="ListParagraph"/>
        <w:widowControl/>
        <w:numPr>
          <w:ilvl w:val="1"/>
          <w:numId w:val="2"/>
        </w:numPr>
        <w:rPr>
          <w:szCs w:val="22"/>
        </w:rPr>
      </w:pPr>
      <w:r>
        <w:rPr>
          <w:szCs w:val="22"/>
        </w:rPr>
        <w:t xml:space="preserve">The </w:t>
      </w:r>
      <w:r w:rsidR="00F555AD">
        <w:rPr>
          <w:szCs w:val="22"/>
        </w:rPr>
        <w:t>Pre-PBAC Response (</w:t>
      </w:r>
      <w:r w:rsidR="007208A5">
        <w:rPr>
          <w:szCs w:val="22"/>
        </w:rPr>
        <w:t>p1-2)</w:t>
      </w:r>
      <w:r>
        <w:rPr>
          <w:szCs w:val="22"/>
        </w:rPr>
        <w:t xml:space="preserve"> agreed that those patients who continue </w:t>
      </w:r>
      <w:r w:rsidR="00796209" w:rsidRPr="00796209">
        <w:rPr>
          <w:szCs w:val="22"/>
        </w:rPr>
        <w:t xml:space="preserve">to receive </w:t>
      </w:r>
      <w:proofErr w:type="spellStart"/>
      <w:r w:rsidR="00796209" w:rsidRPr="00796209">
        <w:rPr>
          <w:szCs w:val="22"/>
        </w:rPr>
        <w:t>somatropin</w:t>
      </w:r>
      <w:proofErr w:type="spellEnd"/>
      <w:r w:rsidR="00796209" w:rsidRPr="00796209">
        <w:rPr>
          <w:szCs w:val="22"/>
        </w:rPr>
        <w:t xml:space="preserve"> are those most likely to respond.</w:t>
      </w:r>
      <w:r w:rsidR="00612751">
        <w:rPr>
          <w:szCs w:val="22"/>
        </w:rPr>
        <w:t xml:space="preserve"> </w:t>
      </w:r>
      <w:r>
        <w:rPr>
          <w:szCs w:val="22"/>
        </w:rPr>
        <w:t>However, it claimed that the due to the “</w:t>
      </w:r>
      <w:r w:rsidR="00612751" w:rsidRPr="00612751">
        <w:rPr>
          <w:szCs w:val="22"/>
        </w:rPr>
        <w:t>strict continuation criteria proposed in this submission</w:t>
      </w:r>
      <w:r>
        <w:rPr>
          <w:szCs w:val="22"/>
        </w:rPr>
        <w:t>…</w:t>
      </w:r>
      <w:r w:rsidR="00612751" w:rsidRPr="00612751">
        <w:rPr>
          <w:szCs w:val="22"/>
        </w:rPr>
        <w:t xml:space="preserve"> </w:t>
      </w:r>
      <w:proofErr w:type="spellStart"/>
      <w:r w:rsidR="00612751" w:rsidRPr="00612751">
        <w:rPr>
          <w:szCs w:val="22"/>
        </w:rPr>
        <w:t>somatropin</w:t>
      </w:r>
      <w:proofErr w:type="spellEnd"/>
      <w:r w:rsidR="00612751" w:rsidRPr="00612751">
        <w:rPr>
          <w:szCs w:val="22"/>
        </w:rPr>
        <w:t xml:space="preserve"> will only be reimbursed for those patients experiencing a substantial benefit.</w:t>
      </w:r>
      <w:r>
        <w:rPr>
          <w:szCs w:val="22"/>
        </w:rPr>
        <w:t>”</w:t>
      </w:r>
      <w:r w:rsidR="00612751" w:rsidRPr="00612751">
        <w:rPr>
          <w:szCs w:val="22"/>
        </w:rPr>
        <w:t xml:space="preserve"> </w:t>
      </w:r>
      <w:r>
        <w:rPr>
          <w:szCs w:val="22"/>
        </w:rPr>
        <w:t xml:space="preserve">The Pre-PBAC Response argued that </w:t>
      </w:r>
      <w:r w:rsidR="003869AB">
        <w:rPr>
          <w:szCs w:val="22"/>
        </w:rPr>
        <w:t>since</w:t>
      </w:r>
      <w:r w:rsidR="00612751" w:rsidRPr="00612751">
        <w:rPr>
          <w:szCs w:val="22"/>
        </w:rPr>
        <w:t xml:space="preserve"> the cost-effectiveness </w:t>
      </w:r>
      <w:r>
        <w:rPr>
          <w:szCs w:val="22"/>
        </w:rPr>
        <w:t>w</w:t>
      </w:r>
      <w:r w:rsidR="00612751" w:rsidRPr="00612751">
        <w:rPr>
          <w:szCs w:val="22"/>
        </w:rPr>
        <w:t xml:space="preserve">as calculated </w:t>
      </w:r>
      <w:r w:rsidR="0058195C">
        <w:rPr>
          <w:szCs w:val="22"/>
        </w:rPr>
        <w:t>“</w:t>
      </w:r>
      <w:r w:rsidR="00612751" w:rsidRPr="00896B3F">
        <w:rPr>
          <w:iCs/>
          <w:szCs w:val="22"/>
        </w:rPr>
        <w:t>inclusive</w:t>
      </w:r>
      <w:r w:rsidR="00612751" w:rsidRPr="00612751">
        <w:rPr>
          <w:i/>
          <w:iCs/>
          <w:szCs w:val="22"/>
        </w:rPr>
        <w:t xml:space="preserve"> </w:t>
      </w:r>
      <w:r w:rsidR="00612751" w:rsidRPr="00612751">
        <w:rPr>
          <w:szCs w:val="22"/>
        </w:rPr>
        <w:t>of application of ongoing continuation rules</w:t>
      </w:r>
      <w:r w:rsidR="0058195C">
        <w:rPr>
          <w:szCs w:val="22"/>
        </w:rPr>
        <w:t>”</w:t>
      </w:r>
      <w:r w:rsidR="00612751" w:rsidRPr="00612751">
        <w:rPr>
          <w:szCs w:val="22"/>
        </w:rPr>
        <w:t xml:space="preserve">, </w:t>
      </w:r>
      <w:r>
        <w:rPr>
          <w:szCs w:val="22"/>
        </w:rPr>
        <w:t xml:space="preserve">it </w:t>
      </w:r>
      <w:r w:rsidR="00896B3F">
        <w:rPr>
          <w:szCs w:val="22"/>
        </w:rPr>
        <w:t>is unlikely</w:t>
      </w:r>
      <w:r w:rsidR="00612751" w:rsidRPr="00612751">
        <w:rPr>
          <w:szCs w:val="22"/>
        </w:rPr>
        <w:t xml:space="preserve"> that the magnitude of benefit has been over-estimated (</w:t>
      </w:r>
      <w:r w:rsidR="00896B3F">
        <w:rPr>
          <w:szCs w:val="22"/>
        </w:rPr>
        <w:t>“</w:t>
      </w:r>
      <w:r w:rsidR="00612751" w:rsidRPr="00612751">
        <w:rPr>
          <w:szCs w:val="22"/>
        </w:rPr>
        <w:t>as discontinuing patients have been factored in</w:t>
      </w:r>
      <w:r w:rsidR="00896B3F">
        <w:rPr>
          <w:szCs w:val="22"/>
        </w:rPr>
        <w:t>”</w:t>
      </w:r>
      <w:r w:rsidR="00612751" w:rsidRPr="00612751">
        <w:rPr>
          <w:szCs w:val="22"/>
        </w:rPr>
        <w:t>).</w:t>
      </w:r>
    </w:p>
    <w:p w:rsidR="002671CF" w:rsidRPr="002671CF" w:rsidRDefault="002671CF" w:rsidP="002671CF">
      <w:pPr>
        <w:widowControl/>
        <w:rPr>
          <w:i/>
          <w:szCs w:val="22"/>
        </w:rPr>
      </w:pPr>
    </w:p>
    <w:p w:rsidR="000848C6" w:rsidRDefault="000848C6">
      <w:pPr>
        <w:widowControl/>
        <w:jc w:val="left"/>
        <w:rPr>
          <w:b/>
          <w:i/>
        </w:rPr>
      </w:pPr>
      <w:bookmarkStart w:id="9" w:name="_Toc461555462"/>
      <w:r>
        <w:rPr>
          <w:i/>
        </w:rPr>
        <w:br w:type="page"/>
      </w:r>
    </w:p>
    <w:p w:rsidR="00734933" w:rsidRPr="006303AE" w:rsidRDefault="00734933" w:rsidP="00D849EA">
      <w:pPr>
        <w:pStyle w:val="Heading2"/>
        <w:widowControl/>
        <w:rPr>
          <w:i/>
        </w:rPr>
      </w:pPr>
      <w:r w:rsidRPr="006303AE">
        <w:rPr>
          <w:i/>
        </w:rPr>
        <w:lastRenderedPageBreak/>
        <w:t>Comparative harms</w:t>
      </w:r>
      <w:bookmarkEnd w:id="9"/>
    </w:p>
    <w:p w:rsidR="00734933" w:rsidRPr="006303AE" w:rsidRDefault="00734933" w:rsidP="00D849EA">
      <w:pPr>
        <w:widowControl/>
        <w:ind w:left="720" w:hanging="720"/>
        <w:rPr>
          <w:szCs w:val="22"/>
        </w:rPr>
      </w:pPr>
    </w:p>
    <w:p w:rsidR="00734933" w:rsidRPr="006303AE" w:rsidRDefault="00734933" w:rsidP="00E66A39">
      <w:pPr>
        <w:pStyle w:val="ListParagraph"/>
        <w:widowControl/>
        <w:numPr>
          <w:ilvl w:val="1"/>
          <w:numId w:val="2"/>
        </w:numPr>
        <w:rPr>
          <w:szCs w:val="22"/>
        </w:rPr>
      </w:pPr>
      <w:r w:rsidRPr="006303AE">
        <w:t xml:space="preserve">The </w:t>
      </w:r>
      <w:r w:rsidR="00014970" w:rsidRPr="006303AE">
        <w:t>resubmission</w:t>
      </w:r>
      <w:r w:rsidRPr="006303AE">
        <w:t xml:space="preserve"> stated that no serious adverse events (SAEs) were reported in the </w:t>
      </w:r>
      <w:proofErr w:type="spellStart"/>
      <w:r w:rsidRPr="006303AE">
        <w:t>Holdaway</w:t>
      </w:r>
      <w:proofErr w:type="spellEnd"/>
      <w:r w:rsidRPr="006303AE">
        <w:t xml:space="preserve"> et al. (2015) study. Patients experienced minor side effects when commencing </w:t>
      </w:r>
      <w:proofErr w:type="spellStart"/>
      <w:r w:rsidRPr="006303AE">
        <w:rPr>
          <w:color w:val="000000" w:themeColor="text1"/>
        </w:rPr>
        <w:t>somatropin</w:t>
      </w:r>
      <w:proofErr w:type="spellEnd"/>
      <w:r w:rsidRPr="006303AE">
        <w:rPr>
          <w:color w:val="000000" w:themeColor="text1"/>
        </w:rPr>
        <w:t xml:space="preserve">, including fluid retention, arthralgia and early carpal tunnel symptoms, which were resolved with continuing treatment. However, </w:t>
      </w:r>
      <w:r w:rsidR="00AD1012">
        <w:rPr>
          <w:color w:val="000000" w:themeColor="text1"/>
        </w:rPr>
        <w:t xml:space="preserve">the study </w:t>
      </w:r>
      <w:r w:rsidRPr="006303AE">
        <w:rPr>
          <w:color w:val="000000" w:themeColor="text1"/>
        </w:rPr>
        <w:t xml:space="preserve">also stated that a more detailed record of the reasons for discontinuation of 33 (17%) participants </w:t>
      </w:r>
      <w:r w:rsidRPr="00F462D0">
        <w:rPr>
          <w:color w:val="000000" w:themeColor="text1"/>
        </w:rPr>
        <w:t xml:space="preserve">would have been necessary to understand the occurrence of adverse events. </w:t>
      </w:r>
      <w:r w:rsidR="00064072" w:rsidRPr="00F462D0">
        <w:rPr>
          <w:color w:val="000000" w:themeColor="text1"/>
        </w:rPr>
        <w:t xml:space="preserve">The ESC noted that the exit criteria </w:t>
      </w:r>
      <w:r w:rsidR="005A6110" w:rsidRPr="00F462D0">
        <w:rPr>
          <w:color w:val="000000" w:themeColor="text1"/>
        </w:rPr>
        <w:t>in</w:t>
      </w:r>
      <w:r w:rsidR="00064072" w:rsidRPr="00F462D0">
        <w:rPr>
          <w:color w:val="000000" w:themeColor="text1"/>
        </w:rPr>
        <w:t xml:space="preserve"> the study included “for major adverse side effects”.</w:t>
      </w:r>
    </w:p>
    <w:p w:rsidR="00A717EC" w:rsidRPr="006303AE" w:rsidRDefault="00A717EC" w:rsidP="00D849EA">
      <w:pPr>
        <w:pStyle w:val="ListParagraph"/>
        <w:widowControl/>
        <w:rPr>
          <w:szCs w:val="22"/>
        </w:rPr>
      </w:pPr>
    </w:p>
    <w:p w:rsidR="00734933" w:rsidRPr="006303AE" w:rsidRDefault="00734933" w:rsidP="00E66A39">
      <w:pPr>
        <w:pStyle w:val="ListParagraph"/>
        <w:widowControl/>
        <w:numPr>
          <w:ilvl w:val="1"/>
          <w:numId w:val="2"/>
        </w:numPr>
        <w:rPr>
          <w:szCs w:val="22"/>
        </w:rPr>
      </w:pPr>
      <w:r w:rsidRPr="006303AE">
        <w:rPr>
          <w:color w:val="000000" w:themeColor="text1"/>
        </w:rPr>
        <w:t xml:space="preserve">The July 2011 </w:t>
      </w:r>
      <w:r w:rsidR="00014970" w:rsidRPr="006303AE">
        <w:rPr>
          <w:color w:val="000000" w:themeColor="text1"/>
        </w:rPr>
        <w:t>resubmission</w:t>
      </w:r>
      <w:r w:rsidRPr="006303AE">
        <w:rPr>
          <w:color w:val="000000" w:themeColor="text1"/>
        </w:rPr>
        <w:t xml:space="preserve"> based on 39 RCTs, stated that </w:t>
      </w:r>
      <w:proofErr w:type="spellStart"/>
      <w:r w:rsidRPr="006303AE">
        <w:rPr>
          <w:color w:val="000000" w:themeColor="text1"/>
        </w:rPr>
        <w:t>somatropin</w:t>
      </w:r>
      <w:proofErr w:type="spellEnd"/>
      <w:r w:rsidRPr="006303AE">
        <w:rPr>
          <w:color w:val="000000" w:themeColor="text1"/>
        </w:rPr>
        <w:t xml:space="preserve"> appeared to be associated with more adverse events than placebo treatment (</w:t>
      </w:r>
      <w:r w:rsidRPr="006303AE">
        <w:t xml:space="preserve">PSD, PBAC July 2011, </w:t>
      </w:r>
      <w:proofErr w:type="spellStart"/>
      <w:r w:rsidRPr="006303AE">
        <w:t>Somatropin</w:t>
      </w:r>
      <w:proofErr w:type="spellEnd"/>
      <w:r w:rsidRPr="006303AE">
        <w:t>, p7, paragraph 8).</w:t>
      </w:r>
      <w:r w:rsidRPr="006303AE">
        <w:rPr>
          <w:color w:val="000000" w:themeColor="text1"/>
        </w:rPr>
        <w:t xml:space="preserve"> The weight of evidence therefore suggests that </w:t>
      </w:r>
      <w:proofErr w:type="spellStart"/>
      <w:r w:rsidRPr="006303AE">
        <w:rPr>
          <w:color w:val="000000" w:themeColor="text1"/>
        </w:rPr>
        <w:t>somatropin</w:t>
      </w:r>
      <w:proofErr w:type="spellEnd"/>
      <w:r w:rsidRPr="006303AE">
        <w:rPr>
          <w:color w:val="000000" w:themeColor="text1"/>
        </w:rPr>
        <w:t xml:space="preserve"> is associated with more adverse events than placebo.</w:t>
      </w:r>
    </w:p>
    <w:p w:rsidR="00620DE8" w:rsidRDefault="00620DE8" w:rsidP="00620DE8">
      <w:bookmarkStart w:id="10" w:name="_Toc461555463"/>
    </w:p>
    <w:p w:rsidR="00734933" w:rsidRPr="006303AE" w:rsidRDefault="00734933" w:rsidP="00D849EA">
      <w:pPr>
        <w:pStyle w:val="Heading2"/>
        <w:widowControl/>
        <w:rPr>
          <w:i/>
          <w:szCs w:val="22"/>
        </w:rPr>
      </w:pPr>
      <w:r w:rsidRPr="006303AE">
        <w:rPr>
          <w:i/>
        </w:rPr>
        <w:t>Benefits/harms</w:t>
      </w:r>
      <w:bookmarkEnd w:id="10"/>
    </w:p>
    <w:p w:rsidR="00734933" w:rsidRPr="006303AE" w:rsidRDefault="00734933" w:rsidP="00D849EA">
      <w:pPr>
        <w:pStyle w:val="ListParagraph"/>
        <w:widowControl/>
        <w:ind w:left="0"/>
        <w:rPr>
          <w:szCs w:val="22"/>
        </w:rPr>
      </w:pPr>
    </w:p>
    <w:p w:rsidR="00734933" w:rsidRPr="006303AE" w:rsidRDefault="00734933" w:rsidP="00E66A39">
      <w:pPr>
        <w:pStyle w:val="ListParagraph"/>
        <w:widowControl/>
        <w:numPr>
          <w:ilvl w:val="1"/>
          <w:numId w:val="2"/>
        </w:numPr>
      </w:pPr>
      <w:r w:rsidRPr="006303AE">
        <w:rPr>
          <w:color w:val="000000" w:themeColor="text1"/>
        </w:rPr>
        <w:t xml:space="preserve">On the basis of a single arm, non-comparative study presented by the </w:t>
      </w:r>
      <w:r w:rsidR="00014970" w:rsidRPr="006303AE">
        <w:rPr>
          <w:color w:val="000000" w:themeColor="text1"/>
        </w:rPr>
        <w:t>resubmission</w:t>
      </w:r>
      <w:r w:rsidRPr="006303AE">
        <w:rPr>
          <w:color w:val="000000" w:themeColor="text1"/>
        </w:rPr>
        <w:t xml:space="preserve">, treatment with </w:t>
      </w:r>
      <w:proofErr w:type="spellStart"/>
      <w:r w:rsidRPr="006303AE">
        <w:rPr>
          <w:color w:val="000000" w:themeColor="text1"/>
        </w:rPr>
        <w:t>somatropin</w:t>
      </w:r>
      <w:proofErr w:type="spellEnd"/>
      <w:r w:rsidRPr="006303AE">
        <w:rPr>
          <w:color w:val="000000" w:themeColor="text1"/>
        </w:rPr>
        <w:t xml:space="preserve"> resulted in</w:t>
      </w:r>
      <w:r w:rsidR="00C2329B">
        <w:rPr>
          <w:color w:val="000000" w:themeColor="text1"/>
        </w:rPr>
        <w:t xml:space="preserve"> </w:t>
      </w:r>
      <w:r w:rsidR="0026575B">
        <w:t>a</w:t>
      </w:r>
      <w:r w:rsidRPr="006303AE">
        <w:t xml:space="preserve">pproximately 14 points improvement from baseline in </w:t>
      </w:r>
      <w:proofErr w:type="spellStart"/>
      <w:r w:rsidRPr="006303AE">
        <w:t>QoL</w:t>
      </w:r>
      <w:proofErr w:type="spellEnd"/>
      <w:r w:rsidRPr="006303AE">
        <w:t>-AGHDA score for 157 (83%) of patients who remained on treatment at 33 months of follow up.</w:t>
      </w:r>
    </w:p>
    <w:p w:rsidR="00734933" w:rsidRPr="00882085" w:rsidRDefault="00734933" w:rsidP="00D849EA">
      <w:pPr>
        <w:widowControl/>
      </w:pPr>
    </w:p>
    <w:p w:rsidR="00734933" w:rsidRPr="00497F10" w:rsidRDefault="00734933" w:rsidP="00D849EA">
      <w:pPr>
        <w:pStyle w:val="Heading2"/>
        <w:widowControl/>
        <w:rPr>
          <w:i/>
        </w:rPr>
      </w:pPr>
      <w:bookmarkStart w:id="11" w:name="_Toc461555464"/>
      <w:r w:rsidRPr="00497F10">
        <w:rPr>
          <w:i/>
        </w:rPr>
        <w:t>Clinical claim</w:t>
      </w:r>
      <w:bookmarkEnd w:id="11"/>
    </w:p>
    <w:p w:rsidR="00734933" w:rsidRPr="006303AE" w:rsidRDefault="00734933" w:rsidP="00D849EA">
      <w:pPr>
        <w:pStyle w:val="BodyText"/>
        <w:widowControl/>
      </w:pPr>
    </w:p>
    <w:p w:rsidR="004442A8" w:rsidRDefault="00734933" w:rsidP="00E66A39">
      <w:pPr>
        <w:pStyle w:val="ListParagraph"/>
        <w:widowControl/>
        <w:numPr>
          <w:ilvl w:val="1"/>
          <w:numId w:val="2"/>
        </w:numPr>
      </w:pPr>
      <w:r w:rsidRPr="006303AE">
        <w:t xml:space="preserve">The </w:t>
      </w:r>
      <w:r w:rsidR="00014970" w:rsidRPr="006303AE">
        <w:t>resubmission</w:t>
      </w:r>
      <w:r w:rsidRPr="006303AE">
        <w:t xml:space="preserve"> described </w:t>
      </w:r>
      <w:proofErr w:type="spellStart"/>
      <w:r w:rsidRPr="006303AE">
        <w:t>somatropin</w:t>
      </w:r>
      <w:proofErr w:type="spellEnd"/>
      <w:r w:rsidRPr="006303AE">
        <w:t xml:space="preserve"> as superior in terms of comparative effectiveness with respect to </w:t>
      </w:r>
      <w:proofErr w:type="spellStart"/>
      <w:r w:rsidRPr="006303AE">
        <w:t>QoL</w:t>
      </w:r>
      <w:proofErr w:type="spellEnd"/>
      <w:r w:rsidRPr="006303AE">
        <w:t xml:space="preserve"> and non-inferior in terms of comparative safety over standard care.</w:t>
      </w:r>
    </w:p>
    <w:p w:rsidR="004442A8" w:rsidRDefault="004442A8" w:rsidP="004442A8">
      <w:pPr>
        <w:pStyle w:val="ListParagraph"/>
        <w:widowControl/>
      </w:pPr>
    </w:p>
    <w:p w:rsidR="00734933" w:rsidRDefault="004442A8" w:rsidP="00E66A39">
      <w:pPr>
        <w:pStyle w:val="ListParagraph"/>
        <w:widowControl/>
        <w:numPr>
          <w:ilvl w:val="1"/>
          <w:numId w:val="2"/>
        </w:numPr>
      </w:pPr>
      <w:r w:rsidRPr="00042A4D">
        <w:t xml:space="preserve">The ESC noted that </w:t>
      </w:r>
      <w:r w:rsidR="00734933" w:rsidRPr="00042A4D">
        <w:t xml:space="preserve">the change from baseline in </w:t>
      </w:r>
      <w:proofErr w:type="spellStart"/>
      <w:r w:rsidR="00734933" w:rsidRPr="00042A4D">
        <w:t>QoL</w:t>
      </w:r>
      <w:proofErr w:type="spellEnd"/>
      <w:r w:rsidR="00734933" w:rsidRPr="00042A4D">
        <w:t>-AGHDA score exceeded the MCID of</w:t>
      </w:r>
      <w:r w:rsidR="00CE4CA6" w:rsidRPr="00042A4D">
        <w:t xml:space="preserve"> </w:t>
      </w:r>
      <w:r w:rsidR="00734933" w:rsidRPr="00042A4D">
        <w:t>4.61 reduction in the mean score at 12 months (</w:t>
      </w:r>
      <w:proofErr w:type="spellStart"/>
      <w:r w:rsidR="00734933" w:rsidRPr="00042A4D">
        <w:t>Wiid</w:t>
      </w:r>
      <w:proofErr w:type="spellEnd"/>
      <w:r w:rsidR="00734933" w:rsidRPr="00042A4D">
        <w:t xml:space="preserve"> et al., 2013)</w:t>
      </w:r>
      <w:r w:rsidR="00231EBE" w:rsidRPr="00042A4D">
        <w:t xml:space="preserve">, and that a </w:t>
      </w:r>
      <w:r w:rsidR="00C97731" w:rsidRPr="00042A4D">
        <w:t xml:space="preserve">statistically significant </w:t>
      </w:r>
      <w:r w:rsidR="00734933" w:rsidRPr="00042A4D">
        <w:t xml:space="preserve">change </w:t>
      </w:r>
      <w:r w:rsidR="00231EBE" w:rsidRPr="00042A4D">
        <w:t xml:space="preserve">was </w:t>
      </w:r>
      <w:r w:rsidR="00734933" w:rsidRPr="00042A4D">
        <w:t>achieved and maintained in the serum IGF-I.</w:t>
      </w:r>
      <w:r w:rsidR="00CE4CA6" w:rsidRPr="00042A4D">
        <w:t xml:space="preserve"> </w:t>
      </w:r>
      <w:r w:rsidR="00231EBE" w:rsidRPr="00042A4D">
        <w:t xml:space="preserve"> However, noting </w:t>
      </w:r>
      <w:r w:rsidR="00CE4CA6" w:rsidRPr="00042A4D">
        <w:t>the lack of comparative evidence, the ESC did not view the clinical claim as reasonable.</w:t>
      </w:r>
      <w:r w:rsidR="00231EBE" w:rsidRPr="00042A4D">
        <w:t xml:space="preserve"> The ESC also noted that t</w:t>
      </w:r>
      <w:r w:rsidR="00734933" w:rsidRPr="00042A4D">
        <w:t>he claim of superiority</w:t>
      </w:r>
      <w:r w:rsidR="00D14B03" w:rsidRPr="00042A4D">
        <w:t xml:space="preserve"> in terms of comparative effectiveness</w:t>
      </w:r>
      <w:r w:rsidR="00231EBE" w:rsidRPr="00042A4D">
        <w:t xml:space="preserve"> would </w:t>
      </w:r>
      <w:r w:rsidR="00734933" w:rsidRPr="00042A4D">
        <w:t xml:space="preserve">only </w:t>
      </w:r>
      <w:r w:rsidR="00231EBE" w:rsidRPr="00042A4D">
        <w:t xml:space="preserve">be </w:t>
      </w:r>
      <w:r w:rsidR="00734933" w:rsidRPr="00042A4D">
        <w:t>reasonable if it is accepted that, in the absence of active therapy, patients with GHD would not ex</w:t>
      </w:r>
      <w:r w:rsidR="00905A66">
        <w:t xml:space="preserve">perience an improvement in </w:t>
      </w:r>
      <w:proofErr w:type="spellStart"/>
      <w:r w:rsidR="00905A66">
        <w:t>QoL</w:t>
      </w:r>
      <w:proofErr w:type="spellEnd"/>
      <w:r w:rsidR="00905A66">
        <w:t>.</w:t>
      </w:r>
    </w:p>
    <w:p w:rsidR="00F74ADD" w:rsidRDefault="00F74ADD" w:rsidP="00F74ADD">
      <w:pPr>
        <w:pStyle w:val="ListParagraph"/>
      </w:pPr>
    </w:p>
    <w:p w:rsidR="00F74ADD" w:rsidRPr="00042A4D" w:rsidRDefault="0051572E" w:rsidP="00220C59">
      <w:pPr>
        <w:pStyle w:val="ListParagraph"/>
        <w:widowControl/>
        <w:numPr>
          <w:ilvl w:val="1"/>
          <w:numId w:val="2"/>
        </w:numPr>
      </w:pPr>
      <w:r>
        <w:t xml:space="preserve">The </w:t>
      </w:r>
      <w:r w:rsidR="00F74ADD">
        <w:t>Pre-P</w:t>
      </w:r>
      <w:r>
        <w:t>BAC Response (p1) argued that p</w:t>
      </w:r>
      <w:r w:rsidR="00F74ADD">
        <w:rPr>
          <w:szCs w:val="22"/>
        </w:rPr>
        <w:t xml:space="preserve">oor health due to hormone deficiency, for example hypothyroidism, </w:t>
      </w:r>
      <w:proofErr w:type="spellStart"/>
      <w:r w:rsidR="00F74ADD">
        <w:rPr>
          <w:szCs w:val="22"/>
        </w:rPr>
        <w:t>hypoadrenalism</w:t>
      </w:r>
      <w:proofErr w:type="spellEnd"/>
      <w:r w:rsidR="00F74ADD">
        <w:rPr>
          <w:szCs w:val="22"/>
        </w:rPr>
        <w:t xml:space="preserve"> or hypogonadism, does not improve spontaneously. </w:t>
      </w:r>
      <w:r w:rsidR="00220C59">
        <w:rPr>
          <w:szCs w:val="22"/>
        </w:rPr>
        <w:t>The Response cited a</w:t>
      </w:r>
      <w:r w:rsidR="00F74ADD" w:rsidRPr="00220C59">
        <w:rPr>
          <w:szCs w:val="22"/>
        </w:rPr>
        <w:t xml:space="preserve"> Spanish study in over 350 adult GHD patients, </w:t>
      </w:r>
      <w:r w:rsidR="00220C59">
        <w:rPr>
          <w:szCs w:val="22"/>
        </w:rPr>
        <w:t>where</w:t>
      </w:r>
      <w:r w:rsidR="00F74ADD" w:rsidRPr="00220C59">
        <w:rPr>
          <w:szCs w:val="22"/>
        </w:rPr>
        <w:t xml:space="preserve"> the </w:t>
      </w:r>
      <w:r w:rsidR="00220C59">
        <w:rPr>
          <w:szCs w:val="22"/>
        </w:rPr>
        <w:t xml:space="preserve">reported </w:t>
      </w:r>
      <w:proofErr w:type="spellStart"/>
      <w:r w:rsidR="00F74ADD" w:rsidRPr="00220C59">
        <w:rPr>
          <w:szCs w:val="22"/>
        </w:rPr>
        <w:t>QoL</w:t>
      </w:r>
      <w:proofErr w:type="spellEnd"/>
      <w:r w:rsidR="00F74ADD" w:rsidRPr="00220C59">
        <w:rPr>
          <w:szCs w:val="22"/>
        </w:rPr>
        <w:t xml:space="preserve"> was significantly impaired compared to a control population and did n</w:t>
      </w:r>
      <w:r w:rsidR="00220C59">
        <w:rPr>
          <w:szCs w:val="22"/>
        </w:rPr>
        <w:t>ot change over 12 months (</w:t>
      </w:r>
      <w:proofErr w:type="spellStart"/>
      <w:r w:rsidR="00220C59">
        <w:rPr>
          <w:szCs w:val="22"/>
        </w:rPr>
        <w:t>Badia</w:t>
      </w:r>
      <w:proofErr w:type="spellEnd"/>
      <w:r w:rsidR="00220C59">
        <w:rPr>
          <w:szCs w:val="22"/>
        </w:rPr>
        <w:t>, 1998</w:t>
      </w:r>
      <w:r w:rsidR="00F74ADD" w:rsidRPr="00220C59">
        <w:rPr>
          <w:szCs w:val="22"/>
        </w:rPr>
        <w:t xml:space="preserve">). In a UK study, </w:t>
      </w:r>
      <w:proofErr w:type="spellStart"/>
      <w:r w:rsidR="00F74ADD" w:rsidRPr="00220C59">
        <w:rPr>
          <w:szCs w:val="22"/>
        </w:rPr>
        <w:t>QoL</w:t>
      </w:r>
      <w:proofErr w:type="spellEnd"/>
      <w:r w:rsidR="00F74ADD" w:rsidRPr="00220C59">
        <w:rPr>
          <w:szCs w:val="22"/>
        </w:rPr>
        <w:t xml:space="preserve"> declined in untreated GHD patients over 9 years follow-up (Gilchrist et al.</w:t>
      </w:r>
      <w:r w:rsidR="00220C59">
        <w:rPr>
          <w:szCs w:val="22"/>
        </w:rPr>
        <w:t>,</w:t>
      </w:r>
      <w:r w:rsidR="00F74ADD" w:rsidRPr="00220C59">
        <w:rPr>
          <w:szCs w:val="22"/>
        </w:rPr>
        <w:t xml:space="preserve"> 2002). Although not captured in the current submission, </w:t>
      </w:r>
      <w:r w:rsidR="00220C59">
        <w:rPr>
          <w:szCs w:val="22"/>
        </w:rPr>
        <w:t xml:space="preserve">the Pre-PBAC Response outlined that </w:t>
      </w:r>
      <w:r w:rsidR="00F74ADD" w:rsidRPr="00220C59">
        <w:rPr>
          <w:szCs w:val="22"/>
        </w:rPr>
        <w:t xml:space="preserve">the natural history of severe GHD in adults includes decreased bone mineral density, muscle strength, exercise capacity, cognitive function, as well as </w:t>
      </w:r>
      <w:proofErr w:type="spellStart"/>
      <w:r w:rsidR="00F74ADD" w:rsidRPr="00220C59">
        <w:rPr>
          <w:szCs w:val="22"/>
        </w:rPr>
        <w:t>QoL</w:t>
      </w:r>
      <w:proofErr w:type="spellEnd"/>
      <w:r w:rsidR="00F74ADD" w:rsidRPr="00220C59">
        <w:rPr>
          <w:szCs w:val="22"/>
        </w:rPr>
        <w:t xml:space="preserve"> (De Boer et al.</w:t>
      </w:r>
      <w:r w:rsidR="00220C59">
        <w:rPr>
          <w:szCs w:val="22"/>
        </w:rPr>
        <w:t>,</w:t>
      </w:r>
      <w:r w:rsidR="00F74ADD" w:rsidRPr="00220C59">
        <w:rPr>
          <w:szCs w:val="22"/>
        </w:rPr>
        <w:t xml:space="preserve"> </w:t>
      </w:r>
      <w:r w:rsidR="00220C59">
        <w:rPr>
          <w:szCs w:val="22"/>
        </w:rPr>
        <w:t>1995</w:t>
      </w:r>
      <w:r w:rsidR="00F74ADD" w:rsidRPr="00220C59">
        <w:rPr>
          <w:szCs w:val="22"/>
        </w:rPr>
        <w:t>).</w:t>
      </w:r>
    </w:p>
    <w:p w:rsidR="00734933" w:rsidRPr="00042A4D" w:rsidRDefault="00734933" w:rsidP="00D849EA">
      <w:pPr>
        <w:widowControl/>
        <w:ind w:left="709"/>
      </w:pPr>
    </w:p>
    <w:p w:rsidR="00734933" w:rsidRPr="00042A4D" w:rsidRDefault="00734933" w:rsidP="00E66A39">
      <w:pPr>
        <w:pStyle w:val="ListParagraph"/>
        <w:widowControl/>
        <w:numPr>
          <w:ilvl w:val="1"/>
          <w:numId w:val="2"/>
        </w:numPr>
      </w:pPr>
      <w:r w:rsidRPr="00042A4D">
        <w:t xml:space="preserve">In the July 2011 </w:t>
      </w:r>
      <w:r w:rsidR="00014970" w:rsidRPr="00042A4D">
        <w:t>resubmission</w:t>
      </w:r>
      <w:r w:rsidRPr="00042A4D">
        <w:t xml:space="preserve">, based on RCT data, the PBAC concluded that the evidence did not support a claim of superiority for </w:t>
      </w:r>
      <w:proofErr w:type="spellStart"/>
      <w:r w:rsidRPr="00042A4D">
        <w:t>somatropin</w:t>
      </w:r>
      <w:proofErr w:type="spellEnd"/>
      <w:r w:rsidRPr="00042A4D">
        <w:t xml:space="preserve"> over placebo in affecting an improvement in </w:t>
      </w:r>
      <w:proofErr w:type="spellStart"/>
      <w:r w:rsidRPr="00042A4D">
        <w:t>QoL</w:t>
      </w:r>
      <w:proofErr w:type="spellEnd"/>
      <w:r w:rsidRPr="00042A4D">
        <w:t>.</w:t>
      </w:r>
    </w:p>
    <w:p w:rsidR="00734933" w:rsidRPr="00042A4D" w:rsidRDefault="00734933" w:rsidP="00D849EA">
      <w:pPr>
        <w:widowControl/>
      </w:pPr>
    </w:p>
    <w:p w:rsidR="00734933" w:rsidRPr="00042A4D" w:rsidRDefault="00734933" w:rsidP="00E66A39">
      <w:pPr>
        <w:pStyle w:val="ListParagraph"/>
        <w:widowControl/>
        <w:numPr>
          <w:ilvl w:val="1"/>
          <w:numId w:val="2"/>
        </w:numPr>
      </w:pPr>
      <w:r w:rsidRPr="00042A4D">
        <w:t xml:space="preserve">The safety claim </w:t>
      </w:r>
      <w:r w:rsidR="00871205">
        <w:t xml:space="preserve">in this submission </w:t>
      </w:r>
      <w:r w:rsidR="00D02887" w:rsidRPr="00042A4D">
        <w:t xml:space="preserve">was </w:t>
      </w:r>
      <w:r w:rsidRPr="00042A4D">
        <w:t xml:space="preserve">not adequately supported. </w:t>
      </w:r>
      <w:r w:rsidR="00C20E2E" w:rsidRPr="00042A4D">
        <w:t>The ESC viewed that</w:t>
      </w:r>
      <w:r w:rsidRPr="00042A4D">
        <w:t xml:space="preserve"> that the lack of detailed data regarding the reasons for discontinuing treatment during the 33 months of study follow-up introduces uncertainty into the assessment of safety for </w:t>
      </w:r>
      <w:proofErr w:type="spellStart"/>
      <w:r w:rsidRPr="00042A4D">
        <w:t>somatr</w:t>
      </w:r>
      <w:r w:rsidR="00CA54B8">
        <w:t>opin</w:t>
      </w:r>
      <w:proofErr w:type="spellEnd"/>
      <w:r w:rsidR="00CA54B8">
        <w:t xml:space="preserve"> compared to standard care.</w:t>
      </w:r>
    </w:p>
    <w:p w:rsidR="00734933" w:rsidRPr="006303AE" w:rsidRDefault="00734933" w:rsidP="00D849EA">
      <w:pPr>
        <w:widowControl/>
        <w:ind w:left="709"/>
      </w:pPr>
    </w:p>
    <w:p w:rsidR="00734933" w:rsidRDefault="00734933" w:rsidP="00E66A39">
      <w:pPr>
        <w:pStyle w:val="ListParagraph"/>
        <w:widowControl/>
        <w:numPr>
          <w:ilvl w:val="1"/>
          <w:numId w:val="2"/>
        </w:numPr>
      </w:pPr>
      <w:r w:rsidRPr="006303AE">
        <w:t xml:space="preserve">The July 2011 submission claimed that </w:t>
      </w:r>
      <w:proofErr w:type="spellStart"/>
      <w:r w:rsidRPr="006303AE">
        <w:t>somatropin</w:t>
      </w:r>
      <w:proofErr w:type="spellEnd"/>
      <w:r w:rsidRPr="006303AE">
        <w:t xml:space="preserve"> was inferior in terms of short-term safety to placebo. The PBAC accepted this claim </w:t>
      </w:r>
      <w:r w:rsidR="00D14B03">
        <w:t>but</w:t>
      </w:r>
      <w:r w:rsidR="00D14B03" w:rsidRPr="006303AE">
        <w:t xml:space="preserve"> </w:t>
      </w:r>
      <w:r w:rsidRPr="006303AE">
        <w:t xml:space="preserve">considered that the long-term safety of </w:t>
      </w:r>
      <w:proofErr w:type="spellStart"/>
      <w:r w:rsidRPr="006303AE">
        <w:t>somatropin</w:t>
      </w:r>
      <w:proofErr w:type="spellEnd"/>
      <w:r w:rsidRPr="006303AE">
        <w:t xml:space="preserve"> was uncertain (PSD, PBA</w:t>
      </w:r>
      <w:r w:rsidR="00D3347A">
        <w:t>C July 2011, p.8, paragraph 9).</w:t>
      </w:r>
    </w:p>
    <w:p w:rsidR="009E0A08" w:rsidRDefault="009E0A08" w:rsidP="009E0A08">
      <w:pPr>
        <w:pStyle w:val="ListParagraph"/>
      </w:pPr>
    </w:p>
    <w:p w:rsidR="00C922FD" w:rsidRPr="00C922FD" w:rsidRDefault="00C922FD" w:rsidP="00C922FD">
      <w:pPr>
        <w:pStyle w:val="ListParagraph"/>
        <w:widowControl/>
        <w:numPr>
          <w:ilvl w:val="1"/>
          <w:numId w:val="2"/>
        </w:numPr>
        <w:rPr>
          <w:bCs/>
        </w:rPr>
      </w:pPr>
      <w:r w:rsidRPr="00C922FD">
        <w:rPr>
          <w:bCs/>
          <w:szCs w:val="22"/>
        </w:rPr>
        <w:t xml:space="preserve">The PBAC </w:t>
      </w:r>
      <w:r w:rsidRPr="0060610C">
        <w:rPr>
          <w:bCs/>
          <w:szCs w:val="22"/>
        </w:rPr>
        <w:t xml:space="preserve">considered that the claim of superior comparative effectiveness, in terms of </w:t>
      </w:r>
      <w:proofErr w:type="spellStart"/>
      <w:r w:rsidRPr="0060610C">
        <w:rPr>
          <w:bCs/>
          <w:szCs w:val="22"/>
        </w:rPr>
        <w:t>QoL</w:t>
      </w:r>
      <w:proofErr w:type="spellEnd"/>
      <w:r w:rsidRPr="0060610C">
        <w:rPr>
          <w:bCs/>
          <w:szCs w:val="22"/>
        </w:rPr>
        <w:t xml:space="preserve"> improvement, against standard care was not adequately supported by the data. The clinical benefit was uncertain, and the PBAC, noting the ESC’s concerns, agreed it was likely overestimated. The PBAC viewed that a presentation of comparative clinical evidence on the range of physiological effects of </w:t>
      </w:r>
      <w:proofErr w:type="spellStart"/>
      <w:r w:rsidRPr="0060610C">
        <w:rPr>
          <w:bCs/>
          <w:szCs w:val="22"/>
        </w:rPr>
        <w:t>somatropin</w:t>
      </w:r>
      <w:proofErr w:type="spellEnd"/>
      <w:r w:rsidRPr="0060610C">
        <w:rPr>
          <w:bCs/>
          <w:szCs w:val="22"/>
        </w:rPr>
        <w:t xml:space="preserve"> treatment would</w:t>
      </w:r>
      <w:r w:rsidRPr="00C922FD">
        <w:rPr>
          <w:bCs/>
          <w:szCs w:val="22"/>
        </w:rPr>
        <w:t xml:space="preserve"> have provided additional context for interpreting the magnitude of the clinical benefit.</w:t>
      </w:r>
    </w:p>
    <w:p w:rsidR="00C922FD" w:rsidRPr="00C922FD" w:rsidRDefault="00C922FD" w:rsidP="00C922FD">
      <w:pPr>
        <w:pStyle w:val="ListParagraph"/>
        <w:rPr>
          <w:bCs/>
          <w:szCs w:val="22"/>
        </w:rPr>
      </w:pPr>
    </w:p>
    <w:p w:rsidR="00C922FD" w:rsidRPr="00C922FD" w:rsidRDefault="00C922FD" w:rsidP="00C922FD">
      <w:pPr>
        <w:pStyle w:val="ListParagraph"/>
        <w:widowControl/>
        <w:numPr>
          <w:ilvl w:val="1"/>
          <w:numId w:val="2"/>
        </w:numPr>
      </w:pPr>
      <w:r w:rsidRPr="00C922FD">
        <w:rPr>
          <w:szCs w:val="22"/>
        </w:rPr>
        <w:t xml:space="preserve">The PBAC considered that the claim of non-inferior comparative safety </w:t>
      </w:r>
      <w:r w:rsidR="00FB65A9">
        <w:rPr>
          <w:szCs w:val="22"/>
        </w:rPr>
        <w:t>compared with</w:t>
      </w:r>
      <w:r w:rsidRPr="00C922FD">
        <w:rPr>
          <w:szCs w:val="22"/>
        </w:rPr>
        <w:t xml:space="preserve"> standard care was not sufficiently supported by presentation of the non-comparative </w:t>
      </w:r>
      <w:proofErr w:type="spellStart"/>
      <w:r w:rsidRPr="00C922FD">
        <w:rPr>
          <w:szCs w:val="22"/>
        </w:rPr>
        <w:t>Holdaway</w:t>
      </w:r>
      <w:proofErr w:type="spellEnd"/>
      <w:r w:rsidRPr="00C922FD">
        <w:rPr>
          <w:szCs w:val="22"/>
        </w:rPr>
        <w:t xml:space="preserve"> et al. 2015 data, especially in view of the lack of details regarding the reasons that patients discontinued treatment during the 33 months study follow-up. The PBAC recalled it previous advice that </w:t>
      </w:r>
      <w:proofErr w:type="spellStart"/>
      <w:r w:rsidRPr="00C922FD">
        <w:rPr>
          <w:szCs w:val="22"/>
        </w:rPr>
        <w:t>somatropin</w:t>
      </w:r>
      <w:proofErr w:type="spellEnd"/>
      <w:r w:rsidRPr="00C922FD">
        <w:rPr>
          <w:szCs w:val="22"/>
        </w:rPr>
        <w:t xml:space="preserve"> was inferior in terms of short-term safety compared to placebo, but </w:t>
      </w:r>
      <w:r w:rsidR="0060610C">
        <w:rPr>
          <w:szCs w:val="22"/>
        </w:rPr>
        <w:t>noted</w:t>
      </w:r>
      <w:r w:rsidR="0060610C" w:rsidRPr="00C922FD">
        <w:rPr>
          <w:szCs w:val="22"/>
        </w:rPr>
        <w:t xml:space="preserve"> </w:t>
      </w:r>
      <w:r w:rsidR="005E5F12">
        <w:rPr>
          <w:szCs w:val="22"/>
        </w:rPr>
        <w:t xml:space="preserve">the possibility </w:t>
      </w:r>
      <w:r w:rsidRPr="00C922FD">
        <w:rPr>
          <w:szCs w:val="22"/>
        </w:rPr>
        <w:t xml:space="preserve">that </w:t>
      </w:r>
      <w:r w:rsidR="005E5F12">
        <w:rPr>
          <w:szCs w:val="22"/>
        </w:rPr>
        <w:t xml:space="preserve">higher </w:t>
      </w:r>
      <w:r w:rsidRPr="00C922FD">
        <w:rPr>
          <w:szCs w:val="22"/>
        </w:rPr>
        <w:t>treatment doses in earlier studies</w:t>
      </w:r>
      <w:r w:rsidR="005E5F12">
        <w:rPr>
          <w:szCs w:val="22"/>
        </w:rPr>
        <w:t xml:space="preserve"> had influenced this result</w:t>
      </w:r>
      <w:r w:rsidRPr="00C922FD">
        <w:rPr>
          <w:szCs w:val="22"/>
        </w:rPr>
        <w:t>.</w:t>
      </w:r>
    </w:p>
    <w:p w:rsidR="0058231A" w:rsidRDefault="0058231A" w:rsidP="0058231A">
      <w:pPr>
        <w:widowControl/>
      </w:pPr>
    </w:p>
    <w:p w:rsidR="00734933" w:rsidRPr="00497F10" w:rsidRDefault="00734933" w:rsidP="00D849EA">
      <w:pPr>
        <w:pStyle w:val="Heading2"/>
        <w:widowControl/>
        <w:rPr>
          <w:i/>
        </w:rPr>
      </w:pPr>
      <w:bookmarkStart w:id="12" w:name="_Toc461555465"/>
      <w:r w:rsidRPr="00497F10">
        <w:rPr>
          <w:i/>
        </w:rPr>
        <w:t>Economic analysis</w:t>
      </w:r>
      <w:bookmarkEnd w:id="12"/>
      <w:r w:rsidRPr="00497F10">
        <w:rPr>
          <w:i/>
        </w:rPr>
        <w:t xml:space="preserve"> </w:t>
      </w:r>
    </w:p>
    <w:p w:rsidR="00734933" w:rsidRPr="00882085" w:rsidRDefault="00734933" w:rsidP="00D849EA">
      <w:pPr>
        <w:widowControl/>
        <w:ind w:left="720" w:hanging="720"/>
        <w:rPr>
          <w:szCs w:val="22"/>
        </w:rPr>
      </w:pPr>
    </w:p>
    <w:p w:rsidR="00734933" w:rsidRPr="00A160CC" w:rsidRDefault="00734933" w:rsidP="00E66A39">
      <w:pPr>
        <w:pStyle w:val="ListParagraph"/>
        <w:widowControl/>
        <w:numPr>
          <w:ilvl w:val="1"/>
          <w:numId w:val="2"/>
        </w:numPr>
        <w:rPr>
          <w:szCs w:val="22"/>
        </w:rPr>
      </w:pPr>
      <w:r w:rsidRPr="00A160CC">
        <w:t>The economic evaluation i</w:t>
      </w:r>
      <w:r>
        <w:t xml:space="preserve">s a stepped </w:t>
      </w:r>
      <w:r w:rsidRPr="00A160CC">
        <w:t>cost-utility</w:t>
      </w:r>
      <w:r>
        <w:t xml:space="preserve"> analysis using a Markov model comparing </w:t>
      </w:r>
      <w:proofErr w:type="spellStart"/>
      <w:r>
        <w:t>soma</w:t>
      </w:r>
      <w:r w:rsidR="00D3347A">
        <w:t>tropin</w:t>
      </w:r>
      <w:proofErr w:type="spellEnd"/>
      <w:r w:rsidR="00D3347A">
        <w:t xml:space="preserve"> with standard care (SC).</w:t>
      </w:r>
    </w:p>
    <w:p w:rsidR="00734933" w:rsidRPr="00A160CC" w:rsidRDefault="00734933" w:rsidP="00D849EA">
      <w:pPr>
        <w:pStyle w:val="ListParagraph"/>
        <w:widowControl/>
        <w:rPr>
          <w:szCs w:val="22"/>
        </w:rPr>
      </w:pPr>
    </w:p>
    <w:p w:rsidR="00734933" w:rsidRDefault="00734933" w:rsidP="00D849EA">
      <w:pPr>
        <w:widowControl/>
        <w:ind w:firstLine="720"/>
        <w:rPr>
          <w:rStyle w:val="CommentReference"/>
        </w:rPr>
      </w:pPr>
      <w:r w:rsidRPr="00A56B6A">
        <w:rPr>
          <w:rStyle w:val="CommentReference"/>
        </w:rPr>
        <w:t xml:space="preserve">Table </w:t>
      </w:r>
      <w:r w:rsidR="006B13D0">
        <w:rPr>
          <w:rStyle w:val="CommentReference"/>
        </w:rPr>
        <w:t>5</w:t>
      </w:r>
      <w:r w:rsidRPr="00A56B6A">
        <w:rPr>
          <w:rStyle w:val="CommentReference"/>
        </w:rPr>
        <w:t>: Summary of model structure and rationale</w:t>
      </w:r>
    </w:p>
    <w:tbl>
      <w:tblPr>
        <w:tblW w:w="834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9"/>
        <w:gridCol w:w="3544"/>
        <w:gridCol w:w="3242"/>
      </w:tblGrid>
      <w:tr w:rsidR="00734933" w:rsidRPr="004E2ADC" w:rsidTr="00734933">
        <w:trPr>
          <w:trHeight w:val="240"/>
        </w:trPr>
        <w:tc>
          <w:tcPr>
            <w:tcW w:w="1559" w:type="dxa"/>
            <w:shd w:val="clear" w:color="auto" w:fill="auto"/>
          </w:tcPr>
          <w:p w:rsidR="00734933" w:rsidRPr="004E2ADC" w:rsidRDefault="00734933" w:rsidP="00D849EA">
            <w:pPr>
              <w:widowControl/>
              <w:rPr>
                <w:rFonts w:ascii="Arial Narrow" w:hAnsi="Arial Narrow"/>
                <w:sz w:val="20"/>
              </w:rPr>
            </w:pPr>
          </w:p>
        </w:tc>
        <w:tc>
          <w:tcPr>
            <w:tcW w:w="3544" w:type="dxa"/>
          </w:tcPr>
          <w:p w:rsidR="00734933" w:rsidRPr="00BB082F" w:rsidRDefault="00734933" w:rsidP="00D849EA">
            <w:pPr>
              <w:widowControl/>
              <w:jc w:val="center"/>
              <w:rPr>
                <w:rFonts w:ascii="Arial Narrow" w:hAnsi="Arial Narrow"/>
                <w:b/>
                <w:sz w:val="20"/>
              </w:rPr>
            </w:pPr>
            <w:r w:rsidRPr="00BB082F">
              <w:rPr>
                <w:rFonts w:ascii="Arial Narrow" w:hAnsi="Arial Narrow"/>
                <w:b/>
                <w:sz w:val="20"/>
              </w:rPr>
              <w:t>July 2011</w:t>
            </w:r>
          </w:p>
        </w:tc>
        <w:tc>
          <w:tcPr>
            <w:tcW w:w="3242" w:type="dxa"/>
            <w:shd w:val="clear" w:color="auto" w:fill="auto"/>
          </w:tcPr>
          <w:p w:rsidR="00734933" w:rsidRPr="00BB082F" w:rsidRDefault="00014970" w:rsidP="00D849EA">
            <w:pPr>
              <w:widowControl/>
              <w:jc w:val="center"/>
              <w:rPr>
                <w:rFonts w:ascii="Arial Narrow" w:hAnsi="Arial Narrow"/>
                <w:b/>
                <w:sz w:val="20"/>
              </w:rPr>
            </w:pPr>
            <w:r>
              <w:rPr>
                <w:rFonts w:ascii="Arial Narrow" w:hAnsi="Arial Narrow"/>
                <w:b/>
                <w:sz w:val="20"/>
              </w:rPr>
              <w:t>Resubmission</w:t>
            </w:r>
          </w:p>
        </w:tc>
      </w:tr>
      <w:tr w:rsidR="00734933" w:rsidRPr="004E2ADC" w:rsidTr="00734933">
        <w:trPr>
          <w:trHeight w:val="240"/>
        </w:trPr>
        <w:tc>
          <w:tcPr>
            <w:tcW w:w="1559" w:type="dxa"/>
            <w:shd w:val="clear" w:color="auto" w:fill="auto"/>
          </w:tcPr>
          <w:p w:rsidR="00734933" w:rsidRPr="004E2ADC" w:rsidRDefault="00734933" w:rsidP="00D849EA">
            <w:pPr>
              <w:widowControl/>
              <w:rPr>
                <w:rFonts w:ascii="Arial Narrow" w:hAnsi="Arial Narrow"/>
                <w:sz w:val="20"/>
              </w:rPr>
            </w:pPr>
            <w:r w:rsidRPr="004E2ADC">
              <w:rPr>
                <w:rFonts w:ascii="Arial Narrow" w:hAnsi="Arial Narrow"/>
                <w:sz w:val="20"/>
              </w:rPr>
              <w:t>Time horizon</w:t>
            </w:r>
          </w:p>
        </w:tc>
        <w:tc>
          <w:tcPr>
            <w:tcW w:w="3544" w:type="dxa"/>
          </w:tcPr>
          <w:p w:rsidR="00734933" w:rsidRPr="00BB082F" w:rsidRDefault="00734933" w:rsidP="00D849EA">
            <w:pPr>
              <w:widowControl/>
              <w:rPr>
                <w:rFonts w:ascii="Arial Narrow" w:hAnsi="Arial Narrow"/>
                <w:sz w:val="20"/>
              </w:rPr>
            </w:pPr>
            <w:r>
              <w:rPr>
                <w:rFonts w:ascii="Arial Narrow" w:hAnsi="Arial Narrow"/>
                <w:sz w:val="20"/>
              </w:rPr>
              <w:t xml:space="preserve">5 year (base case) model based on the data from </w:t>
            </w:r>
            <w:proofErr w:type="gramStart"/>
            <w:r w:rsidRPr="00977137">
              <w:rPr>
                <w:rFonts w:ascii="Arial Narrow" w:hAnsi="Arial Narrow"/>
                <w:sz w:val="20"/>
              </w:rPr>
              <w:t>KIMS</w:t>
            </w:r>
            <w:proofErr w:type="gramEnd"/>
            <w:r w:rsidRPr="00977137">
              <w:rPr>
                <w:rFonts w:ascii="Arial Narrow" w:hAnsi="Arial Narrow"/>
                <w:sz w:val="20"/>
              </w:rPr>
              <w:t xml:space="preserve"> dataset</w:t>
            </w:r>
            <w:r>
              <w:rPr>
                <w:rFonts w:ascii="Arial Narrow" w:hAnsi="Arial Narrow"/>
                <w:sz w:val="20"/>
              </w:rPr>
              <w:t>.</w:t>
            </w:r>
          </w:p>
        </w:tc>
        <w:tc>
          <w:tcPr>
            <w:tcW w:w="3242" w:type="dxa"/>
            <w:shd w:val="clear" w:color="auto" w:fill="auto"/>
          </w:tcPr>
          <w:p w:rsidR="00734933" w:rsidRPr="00BB082F" w:rsidRDefault="00734933" w:rsidP="00D849EA">
            <w:pPr>
              <w:widowControl/>
              <w:rPr>
                <w:rFonts w:ascii="Arial Narrow" w:hAnsi="Arial Narrow"/>
                <w:sz w:val="20"/>
              </w:rPr>
            </w:pPr>
            <w:r w:rsidRPr="00BB082F">
              <w:rPr>
                <w:rFonts w:ascii="Arial Narrow" w:hAnsi="Arial Narrow"/>
                <w:sz w:val="20"/>
              </w:rPr>
              <w:t>Lifetime</w:t>
            </w:r>
            <w:r>
              <w:rPr>
                <w:rFonts w:ascii="Arial Narrow" w:hAnsi="Arial Narrow"/>
                <w:sz w:val="20"/>
              </w:rPr>
              <w:t xml:space="preserve"> (60 years) (base case; Step 3).</w:t>
            </w:r>
          </w:p>
        </w:tc>
      </w:tr>
      <w:tr w:rsidR="00734933" w:rsidRPr="004E2ADC" w:rsidTr="00734933">
        <w:trPr>
          <w:trHeight w:val="430"/>
        </w:trPr>
        <w:tc>
          <w:tcPr>
            <w:tcW w:w="1559" w:type="dxa"/>
            <w:shd w:val="clear" w:color="auto" w:fill="auto"/>
          </w:tcPr>
          <w:p w:rsidR="00734933" w:rsidRPr="004E2ADC" w:rsidRDefault="00734933" w:rsidP="00D849EA">
            <w:pPr>
              <w:widowControl/>
              <w:rPr>
                <w:rFonts w:ascii="Arial Narrow" w:hAnsi="Arial Narrow"/>
                <w:sz w:val="20"/>
              </w:rPr>
            </w:pPr>
            <w:r w:rsidRPr="004E2ADC">
              <w:rPr>
                <w:rFonts w:ascii="Arial Narrow" w:hAnsi="Arial Narrow"/>
                <w:sz w:val="20"/>
              </w:rPr>
              <w:t>Outcomes</w:t>
            </w:r>
          </w:p>
        </w:tc>
        <w:tc>
          <w:tcPr>
            <w:tcW w:w="3544" w:type="dxa"/>
          </w:tcPr>
          <w:p w:rsidR="00734933" w:rsidRDefault="00734933" w:rsidP="00D849EA">
            <w:pPr>
              <w:widowControl/>
              <w:rPr>
                <w:rFonts w:ascii="Arial Narrow" w:hAnsi="Arial Narrow"/>
                <w:sz w:val="20"/>
              </w:rPr>
            </w:pPr>
            <w:r w:rsidRPr="005D55BC">
              <w:rPr>
                <w:rFonts w:ascii="Arial Narrow" w:hAnsi="Arial Narrow"/>
                <w:sz w:val="20"/>
              </w:rPr>
              <w:t xml:space="preserve">Improvement in </w:t>
            </w:r>
            <w:proofErr w:type="spellStart"/>
            <w:r w:rsidRPr="005D55BC">
              <w:rPr>
                <w:rFonts w:ascii="Arial Narrow" w:hAnsi="Arial Narrow"/>
                <w:sz w:val="20"/>
              </w:rPr>
              <w:t>QoL</w:t>
            </w:r>
            <w:proofErr w:type="spellEnd"/>
            <w:r w:rsidRPr="005D55BC">
              <w:rPr>
                <w:rFonts w:ascii="Arial Narrow" w:hAnsi="Arial Narrow"/>
                <w:sz w:val="20"/>
              </w:rPr>
              <w:t>-AGHDA points</w:t>
            </w:r>
            <w:r>
              <w:rPr>
                <w:rFonts w:ascii="Arial Narrow" w:hAnsi="Arial Narrow"/>
                <w:sz w:val="20"/>
              </w:rPr>
              <w:t xml:space="preserve">, translated into a utility gain to estimate </w:t>
            </w:r>
            <w:r w:rsidRPr="005D55BC">
              <w:rPr>
                <w:rFonts w:ascii="Arial Narrow" w:hAnsi="Arial Narrow"/>
                <w:sz w:val="20"/>
              </w:rPr>
              <w:t>QALYs</w:t>
            </w:r>
            <w:r>
              <w:rPr>
                <w:rFonts w:ascii="Arial Narrow" w:hAnsi="Arial Narrow"/>
                <w:sz w:val="20"/>
              </w:rPr>
              <w:t>.</w:t>
            </w:r>
          </w:p>
        </w:tc>
        <w:tc>
          <w:tcPr>
            <w:tcW w:w="3242" w:type="dxa"/>
            <w:shd w:val="clear" w:color="auto" w:fill="auto"/>
          </w:tcPr>
          <w:p w:rsidR="00734933" w:rsidRPr="00BB082F" w:rsidRDefault="00734933" w:rsidP="00D849EA">
            <w:pPr>
              <w:widowControl/>
              <w:rPr>
                <w:rFonts w:ascii="Arial Narrow" w:hAnsi="Arial Narrow"/>
                <w:sz w:val="20"/>
              </w:rPr>
            </w:pPr>
            <w:r>
              <w:rPr>
                <w:rFonts w:ascii="Arial Narrow" w:hAnsi="Arial Narrow"/>
                <w:sz w:val="20"/>
              </w:rPr>
              <w:t>This is unchanged.</w:t>
            </w:r>
          </w:p>
        </w:tc>
      </w:tr>
      <w:tr w:rsidR="00734933" w:rsidRPr="004E2ADC" w:rsidTr="00734933">
        <w:trPr>
          <w:trHeight w:val="479"/>
        </w:trPr>
        <w:tc>
          <w:tcPr>
            <w:tcW w:w="1559" w:type="dxa"/>
            <w:shd w:val="clear" w:color="auto" w:fill="auto"/>
          </w:tcPr>
          <w:p w:rsidR="00734933" w:rsidRPr="004E2ADC" w:rsidRDefault="00734933" w:rsidP="00D849EA">
            <w:pPr>
              <w:widowControl/>
              <w:rPr>
                <w:rFonts w:ascii="Arial Narrow" w:hAnsi="Arial Narrow"/>
                <w:sz w:val="20"/>
              </w:rPr>
            </w:pPr>
            <w:r w:rsidRPr="004E2ADC">
              <w:rPr>
                <w:rFonts w:ascii="Arial Narrow" w:hAnsi="Arial Narrow"/>
                <w:sz w:val="20"/>
              </w:rPr>
              <w:t>Methods used to generate results</w:t>
            </w:r>
          </w:p>
        </w:tc>
        <w:tc>
          <w:tcPr>
            <w:tcW w:w="3544" w:type="dxa"/>
          </w:tcPr>
          <w:p w:rsidR="00734933" w:rsidRPr="00BB082F" w:rsidRDefault="00734933" w:rsidP="00D849EA">
            <w:pPr>
              <w:widowControl/>
              <w:rPr>
                <w:rFonts w:ascii="Arial Narrow" w:hAnsi="Arial Narrow"/>
                <w:sz w:val="20"/>
              </w:rPr>
            </w:pPr>
            <w:r>
              <w:rPr>
                <w:rFonts w:ascii="Arial Narrow" w:hAnsi="Arial Narrow"/>
                <w:sz w:val="20"/>
              </w:rPr>
              <w:t xml:space="preserve">Semi-Markov cohort model based on subgroup of patients from </w:t>
            </w:r>
            <w:proofErr w:type="gramStart"/>
            <w:r>
              <w:rPr>
                <w:rFonts w:ascii="Arial Narrow" w:hAnsi="Arial Narrow"/>
                <w:sz w:val="20"/>
              </w:rPr>
              <w:t>KIMS</w:t>
            </w:r>
            <w:proofErr w:type="gramEnd"/>
            <w:r>
              <w:rPr>
                <w:rFonts w:ascii="Arial Narrow" w:hAnsi="Arial Narrow"/>
                <w:sz w:val="20"/>
              </w:rPr>
              <w:t xml:space="preserve"> database.</w:t>
            </w:r>
          </w:p>
        </w:tc>
        <w:tc>
          <w:tcPr>
            <w:tcW w:w="3242" w:type="dxa"/>
            <w:shd w:val="clear" w:color="auto" w:fill="auto"/>
          </w:tcPr>
          <w:p w:rsidR="00734933" w:rsidRPr="00BB082F" w:rsidRDefault="00734933" w:rsidP="00D849EA">
            <w:pPr>
              <w:widowControl/>
              <w:rPr>
                <w:rFonts w:ascii="Arial Narrow" w:hAnsi="Arial Narrow"/>
                <w:sz w:val="20"/>
              </w:rPr>
            </w:pPr>
            <w:r>
              <w:rPr>
                <w:rFonts w:ascii="Arial Narrow" w:hAnsi="Arial Narrow"/>
                <w:sz w:val="20"/>
              </w:rPr>
              <w:t xml:space="preserve">Markov model based on patients data from </w:t>
            </w:r>
            <w:proofErr w:type="spellStart"/>
            <w:r>
              <w:rPr>
                <w:rFonts w:ascii="Arial Narrow" w:hAnsi="Arial Narrow"/>
                <w:sz w:val="20"/>
              </w:rPr>
              <w:t>Holdaway</w:t>
            </w:r>
            <w:proofErr w:type="spellEnd"/>
            <w:r>
              <w:rPr>
                <w:rFonts w:ascii="Arial Narrow" w:hAnsi="Arial Narrow"/>
                <w:sz w:val="20"/>
              </w:rPr>
              <w:t xml:space="preserve"> et al. (2015).</w:t>
            </w:r>
          </w:p>
        </w:tc>
      </w:tr>
      <w:tr w:rsidR="00734933" w:rsidRPr="004E2ADC" w:rsidTr="00734933">
        <w:trPr>
          <w:trHeight w:val="225"/>
        </w:trPr>
        <w:tc>
          <w:tcPr>
            <w:tcW w:w="1559" w:type="dxa"/>
            <w:shd w:val="clear" w:color="auto" w:fill="auto"/>
          </w:tcPr>
          <w:p w:rsidR="00734933" w:rsidRPr="004E2ADC" w:rsidRDefault="00734933" w:rsidP="00D849EA">
            <w:pPr>
              <w:widowControl/>
              <w:rPr>
                <w:rFonts w:ascii="Arial Narrow" w:hAnsi="Arial Narrow"/>
                <w:sz w:val="20"/>
              </w:rPr>
            </w:pPr>
            <w:r w:rsidRPr="004E2ADC">
              <w:rPr>
                <w:rFonts w:ascii="Arial Narrow" w:hAnsi="Arial Narrow"/>
                <w:sz w:val="20"/>
              </w:rPr>
              <w:t>Cycle length</w:t>
            </w:r>
          </w:p>
        </w:tc>
        <w:tc>
          <w:tcPr>
            <w:tcW w:w="3544" w:type="dxa"/>
          </w:tcPr>
          <w:p w:rsidR="00734933" w:rsidRPr="00BB082F" w:rsidRDefault="00734933" w:rsidP="00D849EA">
            <w:pPr>
              <w:widowControl/>
              <w:rPr>
                <w:rFonts w:ascii="Arial Narrow" w:hAnsi="Arial Narrow"/>
                <w:sz w:val="20"/>
              </w:rPr>
            </w:pPr>
            <w:r>
              <w:rPr>
                <w:rFonts w:ascii="Arial Narrow" w:hAnsi="Arial Narrow"/>
                <w:sz w:val="20"/>
              </w:rPr>
              <w:t>1 month (half cycle correction applied)</w:t>
            </w:r>
          </w:p>
        </w:tc>
        <w:tc>
          <w:tcPr>
            <w:tcW w:w="3242" w:type="dxa"/>
            <w:shd w:val="clear" w:color="auto" w:fill="auto"/>
          </w:tcPr>
          <w:p w:rsidR="00734933" w:rsidRPr="00BB082F" w:rsidRDefault="00734933" w:rsidP="00D849EA">
            <w:pPr>
              <w:widowControl/>
              <w:rPr>
                <w:rFonts w:ascii="Arial Narrow" w:hAnsi="Arial Narrow"/>
                <w:sz w:val="20"/>
              </w:rPr>
            </w:pPr>
            <w:r>
              <w:rPr>
                <w:rFonts w:ascii="Arial Narrow" w:hAnsi="Arial Narrow"/>
                <w:sz w:val="20"/>
              </w:rPr>
              <w:t>This is unchanged.</w:t>
            </w:r>
          </w:p>
        </w:tc>
      </w:tr>
      <w:tr w:rsidR="00734933" w:rsidRPr="004E2ADC" w:rsidTr="00734933">
        <w:trPr>
          <w:trHeight w:val="240"/>
        </w:trPr>
        <w:tc>
          <w:tcPr>
            <w:tcW w:w="1559" w:type="dxa"/>
            <w:shd w:val="clear" w:color="auto" w:fill="auto"/>
          </w:tcPr>
          <w:p w:rsidR="00734933" w:rsidRPr="004E2ADC" w:rsidRDefault="00734933" w:rsidP="00D849EA">
            <w:pPr>
              <w:widowControl/>
              <w:rPr>
                <w:rFonts w:ascii="Arial Narrow" w:hAnsi="Arial Narrow"/>
                <w:sz w:val="20"/>
              </w:rPr>
            </w:pPr>
            <w:r w:rsidRPr="004E2ADC">
              <w:rPr>
                <w:rFonts w:ascii="Arial Narrow" w:hAnsi="Arial Narrow"/>
                <w:sz w:val="20"/>
              </w:rPr>
              <w:t>Discount rate</w:t>
            </w:r>
          </w:p>
        </w:tc>
        <w:tc>
          <w:tcPr>
            <w:tcW w:w="3544" w:type="dxa"/>
          </w:tcPr>
          <w:p w:rsidR="00734933" w:rsidRPr="00BB082F" w:rsidRDefault="00734933" w:rsidP="00D849EA">
            <w:pPr>
              <w:widowControl/>
              <w:rPr>
                <w:rFonts w:ascii="Arial Narrow" w:hAnsi="Arial Narrow"/>
                <w:sz w:val="20"/>
              </w:rPr>
            </w:pPr>
            <w:r>
              <w:rPr>
                <w:rFonts w:ascii="Arial Narrow" w:hAnsi="Arial Narrow"/>
                <w:sz w:val="20"/>
              </w:rPr>
              <w:t>5% of costs and benefits</w:t>
            </w:r>
          </w:p>
        </w:tc>
        <w:tc>
          <w:tcPr>
            <w:tcW w:w="3242" w:type="dxa"/>
            <w:shd w:val="clear" w:color="auto" w:fill="auto"/>
          </w:tcPr>
          <w:p w:rsidR="00734933" w:rsidRPr="00BB082F" w:rsidRDefault="00734933" w:rsidP="00D849EA">
            <w:pPr>
              <w:widowControl/>
              <w:rPr>
                <w:rFonts w:ascii="Arial Narrow" w:hAnsi="Arial Narrow"/>
                <w:sz w:val="20"/>
              </w:rPr>
            </w:pPr>
            <w:r>
              <w:rPr>
                <w:rFonts w:ascii="Arial Narrow" w:hAnsi="Arial Narrow"/>
                <w:sz w:val="20"/>
              </w:rPr>
              <w:t>This is unchanged.</w:t>
            </w:r>
          </w:p>
        </w:tc>
      </w:tr>
      <w:tr w:rsidR="00734933" w:rsidRPr="004E2ADC" w:rsidTr="00734933">
        <w:trPr>
          <w:trHeight w:val="225"/>
        </w:trPr>
        <w:tc>
          <w:tcPr>
            <w:tcW w:w="1559" w:type="dxa"/>
            <w:shd w:val="clear" w:color="auto" w:fill="auto"/>
          </w:tcPr>
          <w:p w:rsidR="00734933" w:rsidRPr="004E2ADC" w:rsidRDefault="00734933" w:rsidP="00D849EA">
            <w:pPr>
              <w:widowControl/>
              <w:rPr>
                <w:rFonts w:ascii="Arial Narrow" w:hAnsi="Arial Narrow"/>
                <w:sz w:val="20"/>
              </w:rPr>
            </w:pPr>
            <w:r w:rsidRPr="004E2ADC">
              <w:rPr>
                <w:rFonts w:ascii="Arial Narrow" w:hAnsi="Arial Narrow"/>
                <w:sz w:val="20"/>
              </w:rPr>
              <w:t>Software package</w:t>
            </w:r>
          </w:p>
        </w:tc>
        <w:tc>
          <w:tcPr>
            <w:tcW w:w="3544" w:type="dxa"/>
          </w:tcPr>
          <w:p w:rsidR="00734933" w:rsidRPr="00BB082F" w:rsidRDefault="00734933" w:rsidP="00D849EA">
            <w:pPr>
              <w:widowControl/>
              <w:rPr>
                <w:rFonts w:ascii="Arial Narrow" w:hAnsi="Arial Narrow"/>
                <w:sz w:val="20"/>
              </w:rPr>
            </w:pPr>
            <w:proofErr w:type="spellStart"/>
            <w:r>
              <w:rPr>
                <w:rFonts w:ascii="Arial Narrow" w:hAnsi="Arial Narrow"/>
                <w:sz w:val="20"/>
              </w:rPr>
              <w:t>TreeAge</w:t>
            </w:r>
            <w:proofErr w:type="spellEnd"/>
            <w:r>
              <w:rPr>
                <w:rFonts w:ascii="Arial Narrow" w:hAnsi="Arial Narrow"/>
                <w:sz w:val="20"/>
              </w:rPr>
              <w:t xml:space="preserve"> Pro 2009</w:t>
            </w:r>
          </w:p>
        </w:tc>
        <w:tc>
          <w:tcPr>
            <w:tcW w:w="3242" w:type="dxa"/>
            <w:shd w:val="clear" w:color="auto" w:fill="auto"/>
          </w:tcPr>
          <w:p w:rsidR="00734933" w:rsidRPr="00BB082F" w:rsidRDefault="00734933" w:rsidP="00D849EA">
            <w:pPr>
              <w:widowControl/>
              <w:rPr>
                <w:rFonts w:ascii="Arial Narrow" w:hAnsi="Arial Narrow"/>
                <w:sz w:val="20"/>
              </w:rPr>
            </w:pPr>
            <w:proofErr w:type="spellStart"/>
            <w:r w:rsidRPr="00BB082F">
              <w:rPr>
                <w:rFonts w:ascii="Arial Narrow" w:hAnsi="Arial Narrow"/>
                <w:sz w:val="20"/>
              </w:rPr>
              <w:t>TreeAge</w:t>
            </w:r>
            <w:proofErr w:type="spellEnd"/>
            <w:r w:rsidRPr="00BB082F">
              <w:rPr>
                <w:rFonts w:ascii="Arial Narrow" w:hAnsi="Arial Narrow"/>
                <w:sz w:val="20"/>
              </w:rPr>
              <w:t xml:space="preserve"> 2013</w:t>
            </w:r>
          </w:p>
        </w:tc>
      </w:tr>
    </w:tbl>
    <w:p w:rsidR="00734933" w:rsidRPr="000848C6" w:rsidRDefault="00734933" w:rsidP="00D849EA">
      <w:pPr>
        <w:pStyle w:val="TableFooter"/>
        <w:widowControl/>
        <w:ind w:left="720"/>
      </w:pPr>
      <w:r w:rsidRPr="000848C6">
        <w:t xml:space="preserve">Source: compiled during the evaluation. KIMS= Pfizer International Metabolic Database, QALY = quality adjusted life years; </w:t>
      </w:r>
      <w:proofErr w:type="spellStart"/>
      <w:r w:rsidRPr="000848C6">
        <w:t>QoL</w:t>
      </w:r>
      <w:proofErr w:type="spellEnd"/>
      <w:r w:rsidRPr="000848C6">
        <w:t xml:space="preserve"> = quality of life; </w:t>
      </w:r>
      <w:proofErr w:type="spellStart"/>
      <w:r w:rsidRPr="000848C6">
        <w:t>QoL</w:t>
      </w:r>
      <w:proofErr w:type="spellEnd"/>
      <w:r w:rsidRPr="000848C6">
        <w:t xml:space="preserve">-AGHDA = </w:t>
      </w:r>
      <w:r w:rsidRPr="000848C6">
        <w:rPr>
          <w:rFonts w:eastAsia="Calibri" w:cs="Calibri"/>
          <w:snapToGrid/>
        </w:rPr>
        <w:t>quality of life assessment of growth hormone deficiency in adults.</w:t>
      </w:r>
    </w:p>
    <w:p w:rsidR="00734933" w:rsidRPr="00275C5A" w:rsidRDefault="00734933" w:rsidP="00D849EA">
      <w:pPr>
        <w:widowControl/>
        <w:rPr>
          <w:szCs w:val="22"/>
        </w:rPr>
      </w:pPr>
    </w:p>
    <w:p w:rsidR="00734933" w:rsidRPr="006303AE" w:rsidRDefault="00734933" w:rsidP="00E66A39">
      <w:pPr>
        <w:pStyle w:val="ListParagraph"/>
        <w:widowControl/>
        <w:numPr>
          <w:ilvl w:val="1"/>
          <w:numId w:val="2"/>
        </w:numPr>
        <w:rPr>
          <w:szCs w:val="22"/>
        </w:rPr>
      </w:pPr>
      <w:r w:rsidRPr="006303AE">
        <w:rPr>
          <w:szCs w:val="22"/>
        </w:rPr>
        <w:t xml:space="preserve">The economic evaluation included in the July 2011 submission was a stepped cost-utility analysis based on a subgroup analysis of the Pfizer International Metabolic Database (KIMS) observational study in adult GHD patients. A Markov model was presented comparing </w:t>
      </w:r>
      <w:proofErr w:type="spellStart"/>
      <w:r w:rsidRPr="006303AE">
        <w:rPr>
          <w:szCs w:val="22"/>
        </w:rPr>
        <w:t>somatropin</w:t>
      </w:r>
      <w:proofErr w:type="spellEnd"/>
      <w:r w:rsidRPr="006303AE">
        <w:rPr>
          <w:szCs w:val="22"/>
        </w:rPr>
        <w:t xml:space="preserve"> with standard care, with a five year time horizon. The model presented in the current </w:t>
      </w:r>
      <w:r w:rsidR="00014970" w:rsidRPr="006303AE">
        <w:rPr>
          <w:szCs w:val="22"/>
        </w:rPr>
        <w:t>resubmission</w:t>
      </w:r>
      <w:r w:rsidRPr="006303AE">
        <w:rPr>
          <w:szCs w:val="22"/>
        </w:rPr>
        <w:t xml:space="preserve"> uses the same structure as that presented in July 2011, with the following differences: the current model uses the </w:t>
      </w:r>
      <w:proofErr w:type="spellStart"/>
      <w:r w:rsidRPr="006303AE">
        <w:rPr>
          <w:szCs w:val="22"/>
        </w:rPr>
        <w:t>Holdaway</w:t>
      </w:r>
      <w:proofErr w:type="spellEnd"/>
      <w:r w:rsidRPr="006303AE">
        <w:rPr>
          <w:szCs w:val="22"/>
        </w:rPr>
        <w:t xml:space="preserve"> et al. (2015) rather than the KIMS dataset; patients entering the model </w:t>
      </w:r>
      <w:r w:rsidRPr="006303AE">
        <w:rPr>
          <w:szCs w:val="22"/>
        </w:rPr>
        <w:lastRenderedPageBreak/>
        <w:t xml:space="preserve">have a minimal </w:t>
      </w:r>
      <w:proofErr w:type="spellStart"/>
      <w:r w:rsidRPr="006303AE">
        <w:rPr>
          <w:szCs w:val="22"/>
        </w:rPr>
        <w:t>QoL</w:t>
      </w:r>
      <w:proofErr w:type="spellEnd"/>
      <w:r w:rsidRPr="006303AE">
        <w:rPr>
          <w:szCs w:val="22"/>
        </w:rPr>
        <w:t>-AGHDA score of 16 rather than 15; the time horizon in Steps 1 and 2 of the model is 3 years as compared with 1; and the overall model uses a life-time horizon (6</w:t>
      </w:r>
      <w:r w:rsidR="00C00975">
        <w:rPr>
          <w:szCs w:val="22"/>
        </w:rPr>
        <w:t>0 years) as opposed to 5 years.</w:t>
      </w:r>
    </w:p>
    <w:p w:rsidR="00734933" w:rsidRPr="006303AE" w:rsidRDefault="00734933" w:rsidP="00D849EA">
      <w:pPr>
        <w:pStyle w:val="ListParagraph"/>
        <w:widowControl/>
        <w:rPr>
          <w:szCs w:val="22"/>
        </w:rPr>
      </w:pPr>
    </w:p>
    <w:p w:rsidR="00734933" w:rsidRPr="006303AE" w:rsidRDefault="00734933" w:rsidP="00E66A39">
      <w:pPr>
        <w:pStyle w:val="ListParagraph"/>
        <w:widowControl/>
        <w:numPr>
          <w:ilvl w:val="1"/>
          <w:numId w:val="2"/>
        </w:numPr>
        <w:rPr>
          <w:szCs w:val="22"/>
        </w:rPr>
      </w:pPr>
      <w:r w:rsidRPr="006303AE">
        <w:rPr>
          <w:szCs w:val="22"/>
        </w:rPr>
        <w:t>The PBAC previously noted that:</w:t>
      </w:r>
    </w:p>
    <w:p w:rsidR="00734933" w:rsidRPr="006303AE" w:rsidRDefault="00734933" w:rsidP="006119BA">
      <w:pPr>
        <w:pStyle w:val="ListParagraph"/>
        <w:widowControl/>
        <w:numPr>
          <w:ilvl w:val="0"/>
          <w:numId w:val="1"/>
        </w:numPr>
        <w:ind w:left="1134" w:hanging="425"/>
        <w:rPr>
          <w:szCs w:val="22"/>
        </w:rPr>
      </w:pPr>
      <w:r w:rsidRPr="006303AE">
        <w:rPr>
          <w:szCs w:val="22"/>
        </w:rPr>
        <w:t xml:space="preserve">KIMS is an observational database which contains few untreated patients, hence PBAC considered the data non-comparative and likely to be highly selective of patients successfully treated with </w:t>
      </w:r>
      <w:proofErr w:type="spellStart"/>
      <w:r w:rsidRPr="006303AE">
        <w:rPr>
          <w:szCs w:val="22"/>
        </w:rPr>
        <w:t>somatropin</w:t>
      </w:r>
      <w:proofErr w:type="spellEnd"/>
      <w:r w:rsidRPr="006303AE">
        <w:rPr>
          <w:szCs w:val="22"/>
        </w:rPr>
        <w:t>;</w:t>
      </w:r>
    </w:p>
    <w:p w:rsidR="00734933" w:rsidRPr="006303AE" w:rsidRDefault="00C00975" w:rsidP="006119BA">
      <w:pPr>
        <w:pStyle w:val="ListParagraph"/>
        <w:widowControl/>
        <w:numPr>
          <w:ilvl w:val="0"/>
          <w:numId w:val="1"/>
        </w:numPr>
        <w:ind w:left="1134" w:hanging="425"/>
        <w:rPr>
          <w:szCs w:val="22"/>
        </w:rPr>
      </w:pPr>
      <w:r>
        <w:rPr>
          <w:szCs w:val="22"/>
        </w:rPr>
        <w:t>T</w:t>
      </w:r>
      <w:r w:rsidR="00734933" w:rsidRPr="006303AE">
        <w:rPr>
          <w:szCs w:val="22"/>
        </w:rPr>
        <w:t xml:space="preserve">he clinical reasons for selecting the baseline </w:t>
      </w:r>
      <w:proofErr w:type="spellStart"/>
      <w:r w:rsidR="00734933" w:rsidRPr="006303AE">
        <w:rPr>
          <w:szCs w:val="22"/>
        </w:rPr>
        <w:t>QoL</w:t>
      </w:r>
      <w:proofErr w:type="spellEnd"/>
      <w:r w:rsidR="00734933" w:rsidRPr="006303AE">
        <w:rPr>
          <w:szCs w:val="22"/>
        </w:rPr>
        <w:t>-AGHDA score</w:t>
      </w:r>
      <w:r w:rsidR="00D02887" w:rsidRPr="006303AE">
        <w:rPr>
          <w:szCs w:val="22"/>
        </w:rPr>
        <w:t xml:space="preserve"> were unclear</w:t>
      </w:r>
      <w:r w:rsidR="00734933" w:rsidRPr="006303AE">
        <w:rPr>
          <w:szCs w:val="22"/>
        </w:rPr>
        <w:t>;</w:t>
      </w:r>
    </w:p>
    <w:p w:rsidR="00734933" w:rsidRPr="006303AE" w:rsidRDefault="00734933" w:rsidP="006119BA">
      <w:pPr>
        <w:pStyle w:val="ListParagraph"/>
        <w:widowControl/>
        <w:numPr>
          <w:ilvl w:val="0"/>
          <w:numId w:val="1"/>
        </w:numPr>
        <w:ind w:left="1134" w:hanging="425"/>
        <w:rPr>
          <w:szCs w:val="22"/>
        </w:rPr>
      </w:pPr>
      <w:r w:rsidRPr="006303AE">
        <w:rPr>
          <w:szCs w:val="22"/>
        </w:rPr>
        <w:t xml:space="preserve">The patients who did not have follow-up at each point were excluded from the analysis, with 390 patients with a </w:t>
      </w:r>
      <w:proofErr w:type="spellStart"/>
      <w:r w:rsidRPr="006303AE">
        <w:rPr>
          <w:szCs w:val="22"/>
        </w:rPr>
        <w:t>QoL</w:t>
      </w:r>
      <w:proofErr w:type="spellEnd"/>
      <w:r w:rsidRPr="006303AE">
        <w:rPr>
          <w:szCs w:val="22"/>
        </w:rPr>
        <w:t xml:space="preserve">-AGHDA of 15 or greater at baseline reducing to 17 patients at year 5; the PBAC considered this exclusion a source of bias in favour of </w:t>
      </w:r>
      <w:proofErr w:type="spellStart"/>
      <w:r w:rsidRPr="006303AE">
        <w:rPr>
          <w:szCs w:val="22"/>
        </w:rPr>
        <w:t>somatropin</w:t>
      </w:r>
      <w:proofErr w:type="spellEnd"/>
      <w:r w:rsidRPr="006303AE">
        <w:rPr>
          <w:szCs w:val="22"/>
        </w:rPr>
        <w:t xml:space="preserve"> in that the patients who continued were the most likely to be responding to treatment as those with lack of efficacy and adverse effects were more likely to discontinue treatment (P</w:t>
      </w:r>
      <w:r w:rsidR="00A717EC" w:rsidRPr="006303AE">
        <w:rPr>
          <w:szCs w:val="22"/>
        </w:rPr>
        <w:t>SD</w:t>
      </w:r>
      <w:r w:rsidR="00CB0925">
        <w:rPr>
          <w:szCs w:val="22"/>
        </w:rPr>
        <w:t xml:space="preserve">, July 2011, </w:t>
      </w:r>
      <w:proofErr w:type="spellStart"/>
      <w:r w:rsidR="00CB0925">
        <w:rPr>
          <w:szCs w:val="22"/>
        </w:rPr>
        <w:t>somatropin</w:t>
      </w:r>
      <w:proofErr w:type="spellEnd"/>
      <w:r w:rsidR="00CB0925">
        <w:rPr>
          <w:szCs w:val="22"/>
        </w:rPr>
        <w:t>, p</w:t>
      </w:r>
      <w:r w:rsidRPr="006303AE">
        <w:rPr>
          <w:szCs w:val="22"/>
        </w:rPr>
        <w:t>.10-11, paragraph 12).</w:t>
      </w:r>
    </w:p>
    <w:p w:rsidR="00734933" w:rsidRPr="006303AE" w:rsidRDefault="00734933" w:rsidP="00D849EA">
      <w:pPr>
        <w:pStyle w:val="ListParagraph"/>
        <w:widowControl/>
        <w:rPr>
          <w:szCs w:val="22"/>
        </w:rPr>
      </w:pPr>
    </w:p>
    <w:p w:rsidR="00734933" w:rsidRDefault="00734933" w:rsidP="00E66A39">
      <w:pPr>
        <w:pStyle w:val="ListParagraph"/>
        <w:widowControl/>
        <w:numPr>
          <w:ilvl w:val="1"/>
          <w:numId w:val="2"/>
        </w:numPr>
        <w:rPr>
          <w:szCs w:val="22"/>
        </w:rPr>
      </w:pPr>
      <w:r w:rsidRPr="006303AE">
        <w:rPr>
          <w:szCs w:val="22"/>
        </w:rPr>
        <w:t xml:space="preserve">The use of the </w:t>
      </w:r>
      <w:proofErr w:type="spellStart"/>
      <w:r w:rsidRPr="006303AE">
        <w:rPr>
          <w:szCs w:val="22"/>
        </w:rPr>
        <w:t>Holdaway</w:t>
      </w:r>
      <w:proofErr w:type="spellEnd"/>
      <w:r w:rsidRPr="006303AE">
        <w:rPr>
          <w:szCs w:val="22"/>
        </w:rPr>
        <w:t xml:space="preserve"> et al. (2015) data in the economic evaluation in this </w:t>
      </w:r>
      <w:r w:rsidR="00014970" w:rsidRPr="006303AE">
        <w:rPr>
          <w:szCs w:val="22"/>
        </w:rPr>
        <w:t>resubmission</w:t>
      </w:r>
      <w:r w:rsidRPr="006303AE">
        <w:rPr>
          <w:szCs w:val="22"/>
        </w:rPr>
        <w:t xml:space="preserve"> </w:t>
      </w:r>
      <w:r w:rsidR="00DA3590" w:rsidRPr="006303AE">
        <w:rPr>
          <w:szCs w:val="22"/>
        </w:rPr>
        <w:t xml:space="preserve">did </w:t>
      </w:r>
      <w:r w:rsidRPr="006303AE">
        <w:rPr>
          <w:szCs w:val="22"/>
        </w:rPr>
        <w:t xml:space="preserve">not advance these issues given that it is also an observational database which contains no untreated patients, and a convincing clinical rationale for the choice of a baseline score of 16 as defining GHD warranting treatment </w:t>
      </w:r>
      <w:r w:rsidR="00DA3590" w:rsidRPr="006303AE">
        <w:rPr>
          <w:szCs w:val="22"/>
        </w:rPr>
        <w:t xml:space="preserve">was </w:t>
      </w:r>
      <w:r w:rsidRPr="006303AE">
        <w:rPr>
          <w:szCs w:val="22"/>
        </w:rPr>
        <w:t>not provided.</w:t>
      </w:r>
    </w:p>
    <w:p w:rsidR="004565D9" w:rsidRPr="006303AE" w:rsidRDefault="004565D9" w:rsidP="004565D9">
      <w:pPr>
        <w:pStyle w:val="ListParagraph"/>
        <w:widowControl/>
        <w:rPr>
          <w:szCs w:val="22"/>
        </w:rPr>
      </w:pPr>
    </w:p>
    <w:p w:rsidR="00714E23" w:rsidRPr="00CA54B8" w:rsidRDefault="005450DF" w:rsidP="00E66A39">
      <w:pPr>
        <w:pStyle w:val="ListParagraph"/>
        <w:widowControl/>
        <w:numPr>
          <w:ilvl w:val="1"/>
          <w:numId w:val="2"/>
        </w:numPr>
        <w:rPr>
          <w:szCs w:val="22"/>
        </w:rPr>
      </w:pPr>
      <w:r w:rsidRPr="00CA54B8">
        <w:rPr>
          <w:szCs w:val="22"/>
        </w:rPr>
        <w:t xml:space="preserve">The ESC noted that </w:t>
      </w:r>
      <w:r w:rsidR="00BE6231" w:rsidRPr="00CA54B8">
        <w:rPr>
          <w:szCs w:val="22"/>
        </w:rPr>
        <w:t xml:space="preserve">17% </w:t>
      </w:r>
      <w:r w:rsidRPr="00CA54B8">
        <w:rPr>
          <w:szCs w:val="22"/>
        </w:rPr>
        <w:t xml:space="preserve">of </w:t>
      </w:r>
      <w:r w:rsidR="00BE6231" w:rsidRPr="00CA54B8">
        <w:rPr>
          <w:szCs w:val="22"/>
        </w:rPr>
        <w:t xml:space="preserve">patients </w:t>
      </w:r>
      <w:r w:rsidRPr="00CA54B8">
        <w:rPr>
          <w:szCs w:val="22"/>
        </w:rPr>
        <w:t>withdrew from the study</w:t>
      </w:r>
      <w:r w:rsidR="00BE6231" w:rsidRPr="00CA54B8">
        <w:rPr>
          <w:szCs w:val="22"/>
        </w:rPr>
        <w:t xml:space="preserve">. </w:t>
      </w:r>
      <w:proofErr w:type="spellStart"/>
      <w:r w:rsidR="00BE6231" w:rsidRPr="00CA54B8">
        <w:rPr>
          <w:szCs w:val="22"/>
        </w:rPr>
        <w:t>Holdaway</w:t>
      </w:r>
      <w:proofErr w:type="spellEnd"/>
      <w:r w:rsidRPr="00CA54B8">
        <w:rPr>
          <w:szCs w:val="22"/>
        </w:rPr>
        <w:t xml:space="preserve"> et al. (2015) stated</w:t>
      </w:r>
      <w:r w:rsidR="00BE6231" w:rsidRPr="00CA54B8">
        <w:rPr>
          <w:szCs w:val="22"/>
        </w:rPr>
        <w:t xml:space="preserve"> t</w:t>
      </w:r>
      <w:r w:rsidRPr="00CA54B8">
        <w:rPr>
          <w:szCs w:val="22"/>
        </w:rPr>
        <w:t>hat “in a minority of patients”, this w</w:t>
      </w:r>
      <w:r w:rsidR="00BE6231" w:rsidRPr="00CA54B8">
        <w:rPr>
          <w:szCs w:val="22"/>
        </w:rPr>
        <w:t xml:space="preserve">as due to “treatment failing to achieve appropriate improvement in </w:t>
      </w:r>
      <w:proofErr w:type="spellStart"/>
      <w:r w:rsidR="00BE6231" w:rsidRPr="00CA54B8">
        <w:rPr>
          <w:szCs w:val="22"/>
        </w:rPr>
        <w:t>QoL</w:t>
      </w:r>
      <w:proofErr w:type="spellEnd"/>
      <w:r w:rsidR="00BE6231" w:rsidRPr="00CA54B8">
        <w:rPr>
          <w:szCs w:val="22"/>
        </w:rPr>
        <w:t>-AGHDA</w:t>
      </w:r>
      <w:r w:rsidRPr="00CA54B8">
        <w:rPr>
          <w:rFonts w:ascii="AdvMINION-R" w:hAnsi="AdvMINION-R" w:cs="AdvMINION-R"/>
          <w:snapToGrid/>
          <w:sz w:val="18"/>
          <w:szCs w:val="18"/>
          <w:lang w:eastAsia="en-AU"/>
        </w:rPr>
        <w:t xml:space="preserve"> </w:t>
      </w:r>
      <w:r w:rsidR="00B26F1C" w:rsidRPr="00CA54B8">
        <w:rPr>
          <w:szCs w:val="22"/>
        </w:rPr>
        <w:t xml:space="preserve">or IGF-I SD score” (p88). </w:t>
      </w:r>
      <w:r w:rsidRPr="00CA54B8">
        <w:rPr>
          <w:szCs w:val="22"/>
        </w:rPr>
        <w:t xml:space="preserve">The ESC </w:t>
      </w:r>
      <w:r w:rsidR="001F15AF" w:rsidRPr="00CA54B8">
        <w:rPr>
          <w:szCs w:val="22"/>
        </w:rPr>
        <w:t xml:space="preserve">considered </w:t>
      </w:r>
      <w:r w:rsidRPr="00CA54B8">
        <w:rPr>
          <w:szCs w:val="22"/>
        </w:rPr>
        <w:t xml:space="preserve">that a </w:t>
      </w:r>
      <w:r w:rsidR="00BE6231" w:rsidRPr="00CA54B8">
        <w:rPr>
          <w:szCs w:val="22"/>
        </w:rPr>
        <w:t xml:space="preserve">treatment effect based on 83% </w:t>
      </w:r>
      <w:r w:rsidRPr="00CA54B8">
        <w:rPr>
          <w:szCs w:val="22"/>
        </w:rPr>
        <w:t>of participants</w:t>
      </w:r>
      <w:r w:rsidR="00BE6231" w:rsidRPr="00CA54B8">
        <w:rPr>
          <w:szCs w:val="22"/>
        </w:rPr>
        <w:t xml:space="preserve"> </w:t>
      </w:r>
      <w:r w:rsidRPr="00CA54B8">
        <w:rPr>
          <w:szCs w:val="22"/>
        </w:rPr>
        <w:t>overestimated</w:t>
      </w:r>
      <w:r w:rsidR="00BE6231" w:rsidRPr="00CA54B8">
        <w:rPr>
          <w:szCs w:val="22"/>
        </w:rPr>
        <w:t xml:space="preserve"> the expected </w:t>
      </w:r>
      <w:r w:rsidR="00B26F1C" w:rsidRPr="00CA54B8">
        <w:rPr>
          <w:szCs w:val="22"/>
        </w:rPr>
        <w:t xml:space="preserve">effect on </w:t>
      </w:r>
      <w:proofErr w:type="spellStart"/>
      <w:r w:rsidR="00B26F1C" w:rsidRPr="00CA54B8">
        <w:rPr>
          <w:szCs w:val="22"/>
        </w:rPr>
        <w:t>QoL</w:t>
      </w:r>
      <w:proofErr w:type="spellEnd"/>
      <w:r w:rsidR="00B26F1C" w:rsidRPr="00CA54B8">
        <w:rPr>
          <w:szCs w:val="22"/>
        </w:rPr>
        <w:t>-AGHDA.</w:t>
      </w:r>
      <w:r w:rsidR="001F15AF" w:rsidRPr="00CA54B8">
        <w:rPr>
          <w:szCs w:val="22"/>
        </w:rPr>
        <w:t xml:space="preserve"> </w:t>
      </w:r>
      <w:r w:rsidRPr="00CA54B8">
        <w:rPr>
          <w:szCs w:val="22"/>
        </w:rPr>
        <w:t xml:space="preserve">At the same time, the model assumed that patients </w:t>
      </w:r>
      <w:r w:rsidR="00BE6231" w:rsidRPr="00CA54B8">
        <w:rPr>
          <w:szCs w:val="22"/>
        </w:rPr>
        <w:t>discontinuing GH</w:t>
      </w:r>
      <w:r w:rsidRPr="00CA54B8">
        <w:rPr>
          <w:szCs w:val="22"/>
        </w:rPr>
        <w:t xml:space="preserve"> therapy return to baseline</w:t>
      </w:r>
      <w:r w:rsidR="00BE6231" w:rsidRPr="00CA54B8">
        <w:rPr>
          <w:szCs w:val="22"/>
        </w:rPr>
        <w:t xml:space="preserve"> </w:t>
      </w:r>
      <w:proofErr w:type="spellStart"/>
      <w:r w:rsidR="00BE6231" w:rsidRPr="00CA54B8">
        <w:rPr>
          <w:szCs w:val="22"/>
        </w:rPr>
        <w:t>QoL</w:t>
      </w:r>
      <w:proofErr w:type="spellEnd"/>
      <w:r w:rsidR="00BE6231" w:rsidRPr="00CA54B8">
        <w:rPr>
          <w:szCs w:val="22"/>
        </w:rPr>
        <w:t>-AGHDA</w:t>
      </w:r>
      <w:r w:rsidRPr="00CA54B8">
        <w:rPr>
          <w:szCs w:val="22"/>
        </w:rPr>
        <w:t xml:space="preserve"> score,</w:t>
      </w:r>
      <w:r w:rsidR="00BE6231" w:rsidRPr="00CA54B8">
        <w:rPr>
          <w:szCs w:val="22"/>
        </w:rPr>
        <w:t xml:space="preserve"> </w:t>
      </w:r>
      <w:r w:rsidR="001F15AF" w:rsidRPr="00CA54B8">
        <w:rPr>
          <w:szCs w:val="22"/>
        </w:rPr>
        <w:t>which could potentially</w:t>
      </w:r>
      <w:r w:rsidR="00C00975">
        <w:rPr>
          <w:szCs w:val="22"/>
        </w:rPr>
        <w:t xml:space="preserve"> be an</w:t>
      </w:r>
      <w:r w:rsidR="001F15AF" w:rsidRPr="00CA54B8">
        <w:rPr>
          <w:szCs w:val="22"/>
        </w:rPr>
        <w:t xml:space="preserve"> underestimate</w:t>
      </w:r>
      <w:r w:rsidR="00FE5721">
        <w:rPr>
          <w:szCs w:val="22"/>
        </w:rPr>
        <w:t>.</w:t>
      </w:r>
    </w:p>
    <w:p w:rsidR="00714E23" w:rsidRPr="00CA54B8" w:rsidRDefault="00714E23" w:rsidP="00714E23">
      <w:pPr>
        <w:pStyle w:val="ListParagraph"/>
        <w:rPr>
          <w:szCs w:val="22"/>
        </w:rPr>
      </w:pPr>
    </w:p>
    <w:p w:rsidR="0083296B" w:rsidRPr="00CA54B8" w:rsidRDefault="0083296B" w:rsidP="00E66A39">
      <w:pPr>
        <w:pStyle w:val="ListParagraph"/>
        <w:widowControl/>
        <w:numPr>
          <w:ilvl w:val="1"/>
          <w:numId w:val="2"/>
        </w:numPr>
        <w:rPr>
          <w:szCs w:val="22"/>
        </w:rPr>
      </w:pPr>
      <w:r w:rsidRPr="00CA54B8">
        <w:rPr>
          <w:szCs w:val="22"/>
        </w:rPr>
        <w:t xml:space="preserve">The </w:t>
      </w:r>
      <w:proofErr w:type="spellStart"/>
      <w:r w:rsidRPr="00CA54B8">
        <w:rPr>
          <w:szCs w:val="22"/>
        </w:rPr>
        <w:t>QoL</w:t>
      </w:r>
      <w:proofErr w:type="spellEnd"/>
      <w:r w:rsidRPr="00CA54B8">
        <w:rPr>
          <w:szCs w:val="22"/>
        </w:rPr>
        <w:t xml:space="preserve">-AGHDA instrument comprises 25 binary questions. The </w:t>
      </w:r>
      <w:proofErr w:type="spellStart"/>
      <w:r w:rsidRPr="00CA54B8">
        <w:rPr>
          <w:szCs w:val="22"/>
        </w:rPr>
        <w:t>Holdaway</w:t>
      </w:r>
      <w:proofErr w:type="spellEnd"/>
      <w:r w:rsidRPr="00CA54B8">
        <w:rPr>
          <w:szCs w:val="22"/>
        </w:rPr>
        <w:t xml:space="preserve"> data (reflecting PHARMAC criteria), included a requirement of </w:t>
      </w:r>
      <w:proofErr w:type="spellStart"/>
      <w:r w:rsidRPr="00CA54B8">
        <w:rPr>
          <w:szCs w:val="22"/>
        </w:rPr>
        <w:t>QoL</w:t>
      </w:r>
      <w:proofErr w:type="spellEnd"/>
      <w:r w:rsidRPr="00CA54B8">
        <w:rPr>
          <w:szCs w:val="22"/>
        </w:rPr>
        <w:t xml:space="preserve">-AGHDA ≥16 for commencing treatment; </w:t>
      </w:r>
      <w:proofErr w:type="spellStart"/>
      <w:r w:rsidRPr="00CA54B8">
        <w:rPr>
          <w:szCs w:val="22"/>
        </w:rPr>
        <w:t>QoL</w:t>
      </w:r>
      <w:proofErr w:type="spellEnd"/>
      <w:r w:rsidRPr="00CA54B8">
        <w:rPr>
          <w:szCs w:val="22"/>
        </w:rPr>
        <w:t xml:space="preserve">-AGHDA improvement ≥ 7 for continuing treatment. The ESC </w:t>
      </w:r>
      <w:r w:rsidR="00097ED7" w:rsidRPr="00CA54B8">
        <w:rPr>
          <w:szCs w:val="22"/>
        </w:rPr>
        <w:t xml:space="preserve">considered </w:t>
      </w:r>
      <w:r w:rsidRPr="00CA54B8">
        <w:rPr>
          <w:szCs w:val="22"/>
        </w:rPr>
        <w:t xml:space="preserve">that there was a risk that patients may have provided responses to the </w:t>
      </w:r>
      <w:proofErr w:type="spellStart"/>
      <w:r w:rsidRPr="00CA54B8">
        <w:rPr>
          <w:szCs w:val="22"/>
        </w:rPr>
        <w:t>QoL</w:t>
      </w:r>
      <w:proofErr w:type="spellEnd"/>
      <w:r w:rsidRPr="00CA54B8">
        <w:rPr>
          <w:szCs w:val="22"/>
        </w:rPr>
        <w:t>-AGHDA questions that would enable access to subsidised treatment. Consequently, there was a risk that the observed t</w:t>
      </w:r>
      <w:r w:rsidR="00D37CC8">
        <w:rPr>
          <w:szCs w:val="22"/>
        </w:rPr>
        <w:t>reatment effect was overstated.</w:t>
      </w:r>
    </w:p>
    <w:p w:rsidR="00CE591C" w:rsidRPr="00CA54B8" w:rsidRDefault="00CE591C" w:rsidP="00CE591C">
      <w:pPr>
        <w:pStyle w:val="ListParagraph"/>
        <w:rPr>
          <w:szCs w:val="22"/>
        </w:rPr>
      </w:pPr>
    </w:p>
    <w:p w:rsidR="00CE591C" w:rsidRDefault="00CE591C" w:rsidP="00E66A39">
      <w:pPr>
        <w:pStyle w:val="ListParagraph"/>
        <w:widowControl/>
        <w:numPr>
          <w:ilvl w:val="1"/>
          <w:numId w:val="2"/>
        </w:numPr>
        <w:rPr>
          <w:szCs w:val="22"/>
        </w:rPr>
      </w:pPr>
      <w:r w:rsidRPr="00CA54B8">
        <w:rPr>
          <w:szCs w:val="22"/>
        </w:rPr>
        <w:t>The model assumed a constant treatment effect after 18 months of treatment</w:t>
      </w:r>
      <w:r w:rsidR="00B26F1C" w:rsidRPr="00CA54B8">
        <w:rPr>
          <w:szCs w:val="22"/>
        </w:rPr>
        <w:t>,</w:t>
      </w:r>
      <w:r w:rsidRPr="00CA54B8">
        <w:rPr>
          <w:szCs w:val="22"/>
        </w:rPr>
        <w:t xml:space="preserve"> based on data from 33-months of non-comparative study</w:t>
      </w:r>
      <w:r w:rsidR="00B26F1C" w:rsidRPr="00CA54B8">
        <w:rPr>
          <w:szCs w:val="22"/>
        </w:rPr>
        <w:t xml:space="preserve">; this </w:t>
      </w:r>
      <w:r w:rsidRPr="00CA54B8">
        <w:rPr>
          <w:szCs w:val="22"/>
        </w:rPr>
        <w:t>favour</w:t>
      </w:r>
      <w:r w:rsidR="00B26F1C" w:rsidRPr="00CA54B8">
        <w:rPr>
          <w:szCs w:val="22"/>
        </w:rPr>
        <w:t>ed</w:t>
      </w:r>
      <w:r w:rsidRPr="00CA54B8">
        <w:rPr>
          <w:szCs w:val="22"/>
        </w:rPr>
        <w:t xml:space="preserve"> </w:t>
      </w:r>
      <w:proofErr w:type="spellStart"/>
      <w:r w:rsidRPr="00CA54B8">
        <w:rPr>
          <w:szCs w:val="22"/>
        </w:rPr>
        <w:t>somatropin</w:t>
      </w:r>
      <w:proofErr w:type="spellEnd"/>
      <w:r w:rsidRPr="00CA54B8">
        <w:rPr>
          <w:szCs w:val="22"/>
        </w:rPr>
        <w:t xml:space="preserve">. The PSCR (p3) stated that there is no evidence in the published literature regarding a waning </w:t>
      </w:r>
      <w:r w:rsidR="00B26F1C" w:rsidRPr="00CA54B8">
        <w:rPr>
          <w:szCs w:val="22"/>
        </w:rPr>
        <w:t xml:space="preserve">in the </w:t>
      </w:r>
      <w:r w:rsidRPr="00CA54B8">
        <w:rPr>
          <w:szCs w:val="22"/>
        </w:rPr>
        <w:t xml:space="preserve">treatment effect for </w:t>
      </w:r>
      <w:proofErr w:type="spellStart"/>
      <w:r w:rsidRPr="00CA54B8">
        <w:rPr>
          <w:szCs w:val="22"/>
        </w:rPr>
        <w:t>somatropin</w:t>
      </w:r>
      <w:proofErr w:type="spellEnd"/>
      <w:r w:rsidR="00B26F1C" w:rsidRPr="00CA54B8">
        <w:rPr>
          <w:szCs w:val="22"/>
        </w:rPr>
        <w:t>;</w:t>
      </w:r>
      <w:r w:rsidRPr="00CA54B8">
        <w:rPr>
          <w:szCs w:val="22"/>
        </w:rPr>
        <w:t xml:space="preserve"> rather, the evidence demonstrates that improvements in </w:t>
      </w:r>
      <w:proofErr w:type="spellStart"/>
      <w:r w:rsidRPr="00CA54B8">
        <w:rPr>
          <w:szCs w:val="22"/>
        </w:rPr>
        <w:t>QoL</w:t>
      </w:r>
      <w:proofErr w:type="spellEnd"/>
      <w:r w:rsidRPr="00CA54B8">
        <w:rPr>
          <w:szCs w:val="22"/>
        </w:rPr>
        <w:t xml:space="preserve"> are sustained while patients are on GH replacement therapy.</w:t>
      </w:r>
      <w:r w:rsidR="00E839BF" w:rsidRPr="00CA54B8">
        <w:rPr>
          <w:szCs w:val="22"/>
        </w:rPr>
        <w:t xml:space="preserve"> The PSCR (p3) argued that this was a conservative assumption</w:t>
      </w:r>
      <w:r w:rsidR="00952C73">
        <w:rPr>
          <w:szCs w:val="22"/>
        </w:rPr>
        <w:t xml:space="preserve">. It suggested that </w:t>
      </w:r>
      <w:r w:rsidR="00E839BF" w:rsidRPr="00CA54B8">
        <w:rPr>
          <w:szCs w:val="22"/>
        </w:rPr>
        <w:t xml:space="preserve"> patients who remained on treatment in </w:t>
      </w:r>
      <w:proofErr w:type="spellStart"/>
      <w:r w:rsidR="00E839BF" w:rsidRPr="00CA54B8">
        <w:rPr>
          <w:szCs w:val="22"/>
        </w:rPr>
        <w:t>Holdaway</w:t>
      </w:r>
      <w:proofErr w:type="spellEnd"/>
      <w:r w:rsidR="00E839BF" w:rsidRPr="00CA54B8">
        <w:rPr>
          <w:szCs w:val="22"/>
        </w:rPr>
        <w:t xml:space="preserve"> et al. (2015) actually had a larger improvement in </w:t>
      </w:r>
      <w:proofErr w:type="spellStart"/>
      <w:r w:rsidR="00E839BF" w:rsidRPr="00CA54B8">
        <w:rPr>
          <w:szCs w:val="22"/>
        </w:rPr>
        <w:t>QoL</w:t>
      </w:r>
      <w:proofErr w:type="spellEnd"/>
      <w:r w:rsidR="00E839BF" w:rsidRPr="00CA54B8">
        <w:rPr>
          <w:szCs w:val="22"/>
        </w:rPr>
        <w:t xml:space="preserve"> over 33 months (an average of 5 points on the </w:t>
      </w:r>
      <w:proofErr w:type="spellStart"/>
      <w:r w:rsidR="00E839BF" w:rsidRPr="00CA54B8">
        <w:rPr>
          <w:szCs w:val="22"/>
        </w:rPr>
        <w:t>QoL</w:t>
      </w:r>
      <w:proofErr w:type="spellEnd"/>
      <w:r w:rsidR="00E839BF" w:rsidRPr="00CA54B8">
        <w:rPr>
          <w:szCs w:val="22"/>
        </w:rPr>
        <w:t xml:space="preserve">-AGHDA score), than was modelled – that is, the average </w:t>
      </w:r>
      <w:proofErr w:type="spellStart"/>
      <w:r w:rsidR="00E839BF" w:rsidRPr="00CA54B8">
        <w:rPr>
          <w:szCs w:val="22"/>
        </w:rPr>
        <w:t>QoL</w:t>
      </w:r>
      <w:proofErr w:type="spellEnd"/>
      <w:r w:rsidR="00E839BF" w:rsidRPr="00CA54B8">
        <w:rPr>
          <w:szCs w:val="22"/>
        </w:rPr>
        <w:t xml:space="preserve">-AGHDA score did not drop below 6 points after 18-months of treatment. The ESC considered </w:t>
      </w:r>
      <w:r w:rsidR="00343479" w:rsidRPr="00CA54B8">
        <w:rPr>
          <w:szCs w:val="22"/>
        </w:rPr>
        <w:t>this claim did not account for the impact of patients leaving the study after 18 months</w:t>
      </w:r>
      <w:r w:rsidR="00F16D61" w:rsidRPr="00CA54B8">
        <w:rPr>
          <w:szCs w:val="22"/>
        </w:rPr>
        <w:t>, and concluded that the possibility of waning treatment effect had not been excluded by the resubmission</w:t>
      </w:r>
      <w:r w:rsidR="00343479" w:rsidRPr="00CA54B8">
        <w:rPr>
          <w:szCs w:val="22"/>
        </w:rPr>
        <w:t>.</w:t>
      </w:r>
    </w:p>
    <w:p w:rsidR="0062211E" w:rsidRPr="0062211E" w:rsidRDefault="0062211E" w:rsidP="0062211E">
      <w:pPr>
        <w:pStyle w:val="ListParagraph"/>
        <w:rPr>
          <w:szCs w:val="22"/>
        </w:rPr>
      </w:pPr>
    </w:p>
    <w:p w:rsidR="0083296B" w:rsidRDefault="006A3D93" w:rsidP="003E79DB">
      <w:pPr>
        <w:pStyle w:val="ListParagraph"/>
        <w:widowControl/>
        <w:numPr>
          <w:ilvl w:val="1"/>
          <w:numId w:val="2"/>
        </w:numPr>
        <w:rPr>
          <w:szCs w:val="22"/>
        </w:rPr>
      </w:pPr>
      <w:r w:rsidRPr="007C1B86">
        <w:rPr>
          <w:szCs w:val="22"/>
        </w:rPr>
        <w:t>The Pre-PBAC Response (p3) reiterated its claim that</w:t>
      </w:r>
      <w:r w:rsidR="0062211E" w:rsidRPr="007C1B86">
        <w:rPr>
          <w:szCs w:val="22"/>
        </w:rPr>
        <w:t xml:space="preserve"> the effects of ho</w:t>
      </w:r>
      <w:r w:rsidRPr="007C1B86">
        <w:rPr>
          <w:szCs w:val="22"/>
        </w:rPr>
        <w:t>rmone replacement do not wane. It argued that t</w:t>
      </w:r>
      <w:r w:rsidR="0062211E" w:rsidRPr="007C1B86">
        <w:rPr>
          <w:szCs w:val="22"/>
        </w:rPr>
        <w:t xml:space="preserve">he clinical evidence demonstrates that improvements in </w:t>
      </w:r>
      <w:proofErr w:type="spellStart"/>
      <w:r w:rsidR="0062211E" w:rsidRPr="007C1B86">
        <w:rPr>
          <w:szCs w:val="22"/>
        </w:rPr>
        <w:t>QoL</w:t>
      </w:r>
      <w:proofErr w:type="spellEnd"/>
      <w:r w:rsidR="0062211E" w:rsidRPr="007C1B86">
        <w:rPr>
          <w:szCs w:val="22"/>
        </w:rPr>
        <w:t xml:space="preserve"> are sustained while patients are on GH replacement the</w:t>
      </w:r>
      <w:r w:rsidRPr="007C1B86">
        <w:rPr>
          <w:szCs w:val="22"/>
        </w:rPr>
        <w:t>rapy (</w:t>
      </w:r>
      <w:proofErr w:type="spellStart"/>
      <w:r w:rsidRPr="007C1B86">
        <w:rPr>
          <w:szCs w:val="22"/>
        </w:rPr>
        <w:t>Appelman-Dijkstra</w:t>
      </w:r>
      <w:proofErr w:type="spellEnd"/>
      <w:r w:rsidRPr="007C1B86">
        <w:rPr>
          <w:szCs w:val="22"/>
        </w:rPr>
        <w:t xml:space="preserve"> et al., 2013, Gilchrist et al., 2002</w:t>
      </w:r>
      <w:r w:rsidR="0062211E" w:rsidRPr="007C1B86">
        <w:rPr>
          <w:szCs w:val="22"/>
        </w:rPr>
        <w:t xml:space="preserve">, </w:t>
      </w:r>
      <w:proofErr w:type="spellStart"/>
      <w:r w:rsidR="0062211E" w:rsidRPr="007C1B86">
        <w:rPr>
          <w:szCs w:val="22"/>
        </w:rPr>
        <w:t>K</w:t>
      </w:r>
      <w:r w:rsidRPr="007C1B86">
        <w:rPr>
          <w:szCs w:val="22"/>
        </w:rPr>
        <w:t>ołtowska-Häggström</w:t>
      </w:r>
      <w:proofErr w:type="spellEnd"/>
      <w:r w:rsidRPr="007C1B86">
        <w:rPr>
          <w:szCs w:val="22"/>
        </w:rPr>
        <w:t xml:space="preserve"> et al., 2006</w:t>
      </w:r>
      <w:r w:rsidR="007C1B86">
        <w:rPr>
          <w:szCs w:val="22"/>
        </w:rPr>
        <w:t>).</w:t>
      </w:r>
    </w:p>
    <w:p w:rsidR="003E79DB" w:rsidRPr="007C1B86" w:rsidRDefault="003E79DB" w:rsidP="0083296B">
      <w:pPr>
        <w:widowControl/>
        <w:rPr>
          <w:szCs w:val="22"/>
        </w:rPr>
      </w:pPr>
    </w:p>
    <w:p w:rsidR="004565D9" w:rsidRDefault="0083296B" w:rsidP="003E79DB">
      <w:pPr>
        <w:pStyle w:val="ListParagraph"/>
        <w:widowControl/>
        <w:numPr>
          <w:ilvl w:val="1"/>
          <w:numId w:val="2"/>
        </w:numPr>
        <w:rPr>
          <w:szCs w:val="22"/>
        </w:rPr>
      </w:pPr>
      <w:r w:rsidRPr="00695EBD">
        <w:rPr>
          <w:szCs w:val="22"/>
        </w:rPr>
        <w:t xml:space="preserve">In the absence of GH treatment, the model assumed constant </w:t>
      </w:r>
      <w:proofErr w:type="spellStart"/>
      <w:r w:rsidRPr="00695EBD">
        <w:rPr>
          <w:szCs w:val="22"/>
        </w:rPr>
        <w:t>QoL</w:t>
      </w:r>
      <w:proofErr w:type="spellEnd"/>
      <w:r w:rsidRPr="00695EBD">
        <w:rPr>
          <w:szCs w:val="22"/>
        </w:rPr>
        <w:t>-AGHDA scores ≥16. This did not appear to reflect patient experience in the RCT data presented in the previous resubmission.</w:t>
      </w:r>
      <w:r w:rsidR="00364B96" w:rsidRPr="00695EBD">
        <w:rPr>
          <w:szCs w:val="22"/>
        </w:rPr>
        <w:t xml:space="preserve"> </w:t>
      </w:r>
      <w:r w:rsidR="00695EBD" w:rsidRPr="00695EBD">
        <w:rPr>
          <w:szCs w:val="22"/>
        </w:rPr>
        <w:t xml:space="preserve">The </w:t>
      </w:r>
      <w:r w:rsidR="00364B96" w:rsidRPr="00695EBD">
        <w:rPr>
          <w:szCs w:val="22"/>
        </w:rPr>
        <w:t>Pre-PBAC</w:t>
      </w:r>
      <w:r w:rsidR="00695EBD" w:rsidRPr="00695EBD">
        <w:rPr>
          <w:szCs w:val="22"/>
        </w:rPr>
        <w:t xml:space="preserve"> Response</w:t>
      </w:r>
      <w:r w:rsidR="00F555AD">
        <w:rPr>
          <w:szCs w:val="22"/>
        </w:rPr>
        <w:t xml:space="preserve"> (p</w:t>
      </w:r>
      <w:r w:rsidR="00364B96" w:rsidRPr="00695EBD">
        <w:rPr>
          <w:szCs w:val="22"/>
        </w:rPr>
        <w:t>2-3)</w:t>
      </w:r>
      <w:r w:rsidR="00695EBD" w:rsidRPr="00695EBD">
        <w:rPr>
          <w:szCs w:val="22"/>
        </w:rPr>
        <w:t xml:space="preserve"> argued that </w:t>
      </w:r>
      <w:r w:rsidR="00695EBD">
        <w:rPr>
          <w:szCs w:val="22"/>
        </w:rPr>
        <w:t xml:space="preserve">RCT evidence previously presented is not applicable to the proposed PBS population in the current submission. </w:t>
      </w:r>
      <w:r w:rsidR="00F032BB">
        <w:rPr>
          <w:szCs w:val="22"/>
        </w:rPr>
        <w:t>It was stated that t</w:t>
      </w:r>
      <w:r w:rsidR="00695EBD">
        <w:rPr>
          <w:szCs w:val="22"/>
        </w:rPr>
        <w:t>he RCT data likely included patients with mild GHD or possibly without GHD because of the use of non-validated diagnostic tests.</w:t>
      </w:r>
    </w:p>
    <w:p w:rsidR="003E79DB" w:rsidRPr="00695EBD" w:rsidRDefault="003E79DB" w:rsidP="004565D9">
      <w:pPr>
        <w:widowControl/>
        <w:rPr>
          <w:szCs w:val="22"/>
        </w:rPr>
      </w:pPr>
    </w:p>
    <w:p w:rsidR="00734933" w:rsidRPr="006303AE" w:rsidRDefault="00734933" w:rsidP="00E66A39">
      <w:pPr>
        <w:pStyle w:val="ListParagraph"/>
        <w:widowControl/>
        <w:numPr>
          <w:ilvl w:val="1"/>
          <w:numId w:val="2"/>
        </w:numPr>
        <w:rPr>
          <w:szCs w:val="22"/>
        </w:rPr>
      </w:pPr>
      <w:r w:rsidRPr="006303AE">
        <w:rPr>
          <w:szCs w:val="22"/>
        </w:rPr>
        <w:t xml:space="preserve">The representativeness of the </w:t>
      </w:r>
      <w:proofErr w:type="spellStart"/>
      <w:r w:rsidRPr="006303AE">
        <w:rPr>
          <w:szCs w:val="22"/>
        </w:rPr>
        <w:t>Holdaway</w:t>
      </w:r>
      <w:proofErr w:type="spellEnd"/>
      <w:r w:rsidRPr="006303AE">
        <w:rPr>
          <w:szCs w:val="22"/>
        </w:rPr>
        <w:t xml:space="preserve"> et al. (2015) study for the PBS population </w:t>
      </w:r>
      <w:r w:rsidR="001776B4" w:rsidRPr="006303AE">
        <w:rPr>
          <w:szCs w:val="22"/>
        </w:rPr>
        <w:t>was</w:t>
      </w:r>
      <w:r w:rsidRPr="006303AE">
        <w:rPr>
          <w:szCs w:val="22"/>
        </w:rPr>
        <w:t xml:space="preserve"> unclear, due to a higher proportion of female patients in the study at baseline who also have a higher mean dose of </w:t>
      </w:r>
      <w:proofErr w:type="spellStart"/>
      <w:r w:rsidRPr="006303AE">
        <w:rPr>
          <w:szCs w:val="22"/>
        </w:rPr>
        <w:t>somatropin</w:t>
      </w:r>
      <w:proofErr w:type="spellEnd"/>
      <w:r w:rsidRPr="006303AE">
        <w:rPr>
          <w:szCs w:val="22"/>
        </w:rPr>
        <w:t xml:space="preserve">; and the varied ethnic background of the participants in the study, </w:t>
      </w:r>
      <w:r w:rsidR="001776B4" w:rsidRPr="006303AE">
        <w:rPr>
          <w:szCs w:val="22"/>
        </w:rPr>
        <w:t xml:space="preserve">which </w:t>
      </w:r>
      <w:r w:rsidRPr="006303AE">
        <w:rPr>
          <w:szCs w:val="22"/>
        </w:rPr>
        <w:t>would differ from the Australian population</w:t>
      </w:r>
      <w:r w:rsidR="00E41A18">
        <w:rPr>
          <w:szCs w:val="22"/>
        </w:rPr>
        <w:t>; t</w:t>
      </w:r>
      <w:r w:rsidRPr="006303AE">
        <w:rPr>
          <w:szCs w:val="22"/>
        </w:rPr>
        <w:t xml:space="preserve">he </w:t>
      </w:r>
      <w:r w:rsidR="00014970" w:rsidRPr="006303AE">
        <w:rPr>
          <w:szCs w:val="22"/>
        </w:rPr>
        <w:t>resubmission</w:t>
      </w:r>
      <w:r w:rsidRPr="006303AE">
        <w:rPr>
          <w:szCs w:val="22"/>
        </w:rPr>
        <w:t xml:space="preserve"> did not provide an assessment of t</w:t>
      </w:r>
      <w:r w:rsidR="000066D2">
        <w:rPr>
          <w:szCs w:val="22"/>
        </w:rPr>
        <w:t>he extent of these differences.</w:t>
      </w:r>
    </w:p>
    <w:p w:rsidR="00734933" w:rsidRPr="006303AE" w:rsidRDefault="00734933" w:rsidP="00D849EA">
      <w:pPr>
        <w:pStyle w:val="ListParagraph"/>
        <w:widowControl/>
        <w:rPr>
          <w:szCs w:val="22"/>
        </w:rPr>
      </w:pPr>
    </w:p>
    <w:p w:rsidR="00734933" w:rsidRPr="00CA54B8" w:rsidRDefault="00734933" w:rsidP="00E66A39">
      <w:pPr>
        <w:pStyle w:val="ListParagraph"/>
        <w:widowControl/>
        <w:numPr>
          <w:ilvl w:val="1"/>
          <w:numId w:val="2"/>
        </w:numPr>
        <w:rPr>
          <w:szCs w:val="22"/>
        </w:rPr>
      </w:pPr>
      <w:r w:rsidRPr="00CA54B8">
        <w:rPr>
          <w:szCs w:val="22"/>
        </w:rPr>
        <w:t xml:space="preserve">The </w:t>
      </w:r>
      <w:r w:rsidR="00014970" w:rsidRPr="00CA54B8">
        <w:rPr>
          <w:szCs w:val="22"/>
        </w:rPr>
        <w:t>resubmission</w:t>
      </w:r>
      <w:r w:rsidRPr="00CA54B8">
        <w:rPr>
          <w:szCs w:val="22"/>
        </w:rPr>
        <w:t xml:space="preserve"> used </w:t>
      </w:r>
      <w:r w:rsidR="008E2357" w:rsidRPr="00CA54B8">
        <w:rPr>
          <w:szCs w:val="22"/>
        </w:rPr>
        <w:t>EQ-5D based</w:t>
      </w:r>
      <w:r w:rsidRPr="00CA54B8">
        <w:rPr>
          <w:szCs w:val="22"/>
        </w:rPr>
        <w:t xml:space="preserve"> utility scores in the economic model</w:t>
      </w:r>
      <w:r w:rsidR="008E2357" w:rsidRPr="00CA54B8">
        <w:rPr>
          <w:szCs w:val="22"/>
        </w:rPr>
        <w:t xml:space="preserve">, </w:t>
      </w:r>
      <w:r w:rsidRPr="00CA54B8">
        <w:rPr>
          <w:szCs w:val="22"/>
        </w:rPr>
        <w:t xml:space="preserve">produced by mapping from the </w:t>
      </w:r>
      <w:proofErr w:type="spellStart"/>
      <w:r w:rsidRPr="00CA54B8">
        <w:rPr>
          <w:szCs w:val="22"/>
        </w:rPr>
        <w:t>QoL</w:t>
      </w:r>
      <w:proofErr w:type="spellEnd"/>
      <w:r w:rsidRPr="00CA54B8">
        <w:rPr>
          <w:szCs w:val="22"/>
        </w:rPr>
        <w:t xml:space="preserve">-AGHDA values using the same </w:t>
      </w:r>
      <w:r w:rsidR="008E2357" w:rsidRPr="00CA54B8">
        <w:rPr>
          <w:szCs w:val="22"/>
        </w:rPr>
        <w:t xml:space="preserve">mapping formula </w:t>
      </w:r>
      <w:r w:rsidRPr="00CA54B8">
        <w:rPr>
          <w:szCs w:val="22"/>
        </w:rPr>
        <w:t xml:space="preserve">as in the July 2011 </w:t>
      </w:r>
      <w:r w:rsidR="00014970" w:rsidRPr="00CA54B8">
        <w:rPr>
          <w:szCs w:val="22"/>
        </w:rPr>
        <w:t>resubmission</w:t>
      </w:r>
      <w:r w:rsidRPr="00CA54B8">
        <w:rPr>
          <w:szCs w:val="22"/>
        </w:rPr>
        <w:t xml:space="preserve">. The </w:t>
      </w:r>
      <w:r w:rsidR="008E2357" w:rsidRPr="00CA54B8">
        <w:rPr>
          <w:szCs w:val="22"/>
        </w:rPr>
        <w:t xml:space="preserve">mapping formula </w:t>
      </w:r>
      <w:r w:rsidRPr="00CA54B8">
        <w:rPr>
          <w:szCs w:val="22"/>
        </w:rPr>
        <w:t xml:space="preserve">is based on mapping from </w:t>
      </w:r>
      <w:proofErr w:type="spellStart"/>
      <w:r w:rsidRPr="00CA54B8">
        <w:rPr>
          <w:szCs w:val="22"/>
        </w:rPr>
        <w:t>QoL</w:t>
      </w:r>
      <w:proofErr w:type="spellEnd"/>
      <w:r w:rsidRPr="00CA54B8">
        <w:rPr>
          <w:szCs w:val="22"/>
        </w:rPr>
        <w:t>-AGHDA to EQ-5D of a large Swedish general population sample and assume</w:t>
      </w:r>
      <w:r w:rsidR="00B26F1C" w:rsidRPr="00CA54B8">
        <w:rPr>
          <w:szCs w:val="22"/>
        </w:rPr>
        <w:t>d</w:t>
      </w:r>
      <w:r w:rsidRPr="00CA54B8">
        <w:rPr>
          <w:szCs w:val="22"/>
        </w:rPr>
        <w:t xml:space="preserve"> 100% correlation between these instruments. The PBAC has previously considered this increased the uncertainty of the mapping results (PSD, PBAC July 2011, p. 11, paragraph 12).</w:t>
      </w:r>
    </w:p>
    <w:p w:rsidR="0001107E" w:rsidRPr="0001107E" w:rsidRDefault="0001107E" w:rsidP="0001107E">
      <w:pPr>
        <w:pStyle w:val="ListParagraph"/>
        <w:rPr>
          <w:szCs w:val="22"/>
        </w:rPr>
      </w:pPr>
    </w:p>
    <w:p w:rsidR="00810841" w:rsidRPr="00CA54B8" w:rsidRDefault="00BE6231" w:rsidP="00E66A39">
      <w:pPr>
        <w:pStyle w:val="ListParagraph"/>
        <w:widowControl/>
        <w:numPr>
          <w:ilvl w:val="1"/>
          <w:numId w:val="2"/>
        </w:numPr>
        <w:rPr>
          <w:szCs w:val="22"/>
        </w:rPr>
      </w:pPr>
      <w:r w:rsidRPr="00CA54B8">
        <w:rPr>
          <w:szCs w:val="22"/>
        </w:rPr>
        <w:t>The aggregate mapping formula applie</w:t>
      </w:r>
      <w:r w:rsidR="00810841" w:rsidRPr="00CA54B8">
        <w:rPr>
          <w:szCs w:val="22"/>
        </w:rPr>
        <w:t>d</w:t>
      </w:r>
      <w:r w:rsidRPr="00CA54B8">
        <w:rPr>
          <w:szCs w:val="22"/>
        </w:rPr>
        <w:t xml:space="preserve"> a </w:t>
      </w:r>
      <w:r w:rsidR="00810841" w:rsidRPr="00CA54B8">
        <w:rPr>
          <w:szCs w:val="22"/>
        </w:rPr>
        <w:t xml:space="preserve">constant </w:t>
      </w:r>
      <w:r w:rsidRPr="00CA54B8">
        <w:rPr>
          <w:szCs w:val="22"/>
        </w:rPr>
        <w:t xml:space="preserve">utility decrement of 0.0189 for </w:t>
      </w:r>
      <w:r w:rsidR="00810841" w:rsidRPr="00CA54B8">
        <w:rPr>
          <w:szCs w:val="22"/>
        </w:rPr>
        <w:t>each of the</w:t>
      </w:r>
      <w:r w:rsidRPr="00CA54B8">
        <w:rPr>
          <w:szCs w:val="22"/>
        </w:rPr>
        <w:t xml:space="preserve"> 25 binary items</w:t>
      </w:r>
      <w:r w:rsidR="00810841" w:rsidRPr="00CA54B8">
        <w:rPr>
          <w:szCs w:val="22"/>
        </w:rPr>
        <w:t xml:space="preserve"> in the </w:t>
      </w:r>
      <w:proofErr w:type="spellStart"/>
      <w:r w:rsidR="00810841" w:rsidRPr="00CA54B8">
        <w:rPr>
          <w:szCs w:val="22"/>
        </w:rPr>
        <w:t>QoL</w:t>
      </w:r>
      <w:proofErr w:type="spellEnd"/>
      <w:r w:rsidR="00810841" w:rsidRPr="00CA54B8">
        <w:rPr>
          <w:szCs w:val="22"/>
        </w:rPr>
        <w:t>-AGHDA instrument</w:t>
      </w:r>
      <w:r w:rsidRPr="00CA54B8">
        <w:rPr>
          <w:szCs w:val="22"/>
        </w:rPr>
        <w:t xml:space="preserve">. </w:t>
      </w:r>
      <w:r w:rsidR="00810841" w:rsidRPr="00CA54B8">
        <w:rPr>
          <w:szCs w:val="22"/>
        </w:rPr>
        <w:t>A more</w:t>
      </w:r>
      <w:r w:rsidRPr="00CA54B8">
        <w:rPr>
          <w:szCs w:val="22"/>
        </w:rPr>
        <w:t xml:space="preserve"> recent mapping paper </w:t>
      </w:r>
      <w:r w:rsidR="00810841" w:rsidRPr="00CA54B8">
        <w:rPr>
          <w:szCs w:val="22"/>
        </w:rPr>
        <w:t>showed large variation in utility effects across the 25 items (</w:t>
      </w:r>
      <w:proofErr w:type="spellStart"/>
      <w:r w:rsidR="00810841" w:rsidRPr="00CA54B8">
        <w:rPr>
          <w:szCs w:val="22"/>
        </w:rPr>
        <w:t>Busschbach</w:t>
      </w:r>
      <w:proofErr w:type="spellEnd"/>
      <w:r w:rsidR="00810841" w:rsidRPr="00CA54B8">
        <w:rPr>
          <w:szCs w:val="22"/>
        </w:rPr>
        <w:t xml:space="preserve"> et al., 2011). Individual </w:t>
      </w:r>
      <w:r w:rsidRPr="00CA54B8">
        <w:rPr>
          <w:szCs w:val="22"/>
        </w:rPr>
        <w:t>co</w:t>
      </w:r>
      <w:r w:rsidR="00885F06" w:rsidRPr="00CA54B8">
        <w:rPr>
          <w:szCs w:val="22"/>
        </w:rPr>
        <w:t>efficients</w:t>
      </w:r>
      <w:r w:rsidRPr="00CA54B8">
        <w:rPr>
          <w:szCs w:val="22"/>
        </w:rPr>
        <w:t xml:space="preserve"> for each binary item</w:t>
      </w:r>
      <w:r w:rsidR="00810841" w:rsidRPr="00CA54B8">
        <w:rPr>
          <w:szCs w:val="22"/>
        </w:rPr>
        <w:t xml:space="preserve"> were reported,</w:t>
      </w:r>
      <w:r w:rsidRPr="00CA54B8">
        <w:rPr>
          <w:szCs w:val="22"/>
        </w:rPr>
        <w:t xml:space="preserve"> which include</w:t>
      </w:r>
      <w:r w:rsidR="00E455E0" w:rsidRPr="00CA54B8">
        <w:rPr>
          <w:szCs w:val="22"/>
        </w:rPr>
        <w:t>d</w:t>
      </w:r>
      <w:r w:rsidR="00810841" w:rsidRPr="00CA54B8">
        <w:rPr>
          <w:szCs w:val="22"/>
        </w:rPr>
        <w:t>:</w:t>
      </w:r>
    </w:p>
    <w:p w:rsidR="00810841" w:rsidRPr="00CA54B8" w:rsidRDefault="00E455E0" w:rsidP="00E66A39">
      <w:pPr>
        <w:pStyle w:val="ListParagraph"/>
        <w:widowControl/>
        <w:numPr>
          <w:ilvl w:val="0"/>
          <w:numId w:val="12"/>
        </w:numPr>
        <w:rPr>
          <w:szCs w:val="22"/>
        </w:rPr>
      </w:pPr>
      <w:r w:rsidRPr="00CA54B8">
        <w:rPr>
          <w:szCs w:val="22"/>
        </w:rPr>
        <w:t xml:space="preserve">In the Belgian cohort: </w:t>
      </w:r>
      <w:r w:rsidR="00BE6231" w:rsidRPr="00CA54B8">
        <w:rPr>
          <w:szCs w:val="22"/>
        </w:rPr>
        <w:t xml:space="preserve">5 </w:t>
      </w:r>
      <w:r w:rsidR="00810841" w:rsidRPr="00CA54B8">
        <w:rPr>
          <w:szCs w:val="22"/>
        </w:rPr>
        <w:t>items</w:t>
      </w:r>
      <w:r w:rsidR="00BE6231" w:rsidRPr="00CA54B8">
        <w:rPr>
          <w:szCs w:val="22"/>
        </w:rPr>
        <w:t xml:space="preserve"> with positive utility effects,</w:t>
      </w:r>
      <w:r w:rsidR="00810841" w:rsidRPr="00CA54B8">
        <w:rPr>
          <w:szCs w:val="22"/>
        </w:rPr>
        <w:t xml:space="preserve"> and </w:t>
      </w:r>
      <w:r w:rsidR="00BE6231" w:rsidRPr="00CA54B8">
        <w:rPr>
          <w:szCs w:val="22"/>
        </w:rPr>
        <w:t xml:space="preserve">5 </w:t>
      </w:r>
      <w:r w:rsidR="00810841" w:rsidRPr="00CA54B8">
        <w:rPr>
          <w:szCs w:val="22"/>
        </w:rPr>
        <w:t>items</w:t>
      </w:r>
      <w:r w:rsidR="00BE6231" w:rsidRPr="00CA54B8">
        <w:rPr>
          <w:szCs w:val="22"/>
        </w:rPr>
        <w:t xml:space="preserve"> with a utility decrement greater than 0.03 and maximum utility decr</w:t>
      </w:r>
      <w:r w:rsidRPr="00CA54B8">
        <w:rPr>
          <w:szCs w:val="22"/>
        </w:rPr>
        <w:t>ement of 0.094.</w:t>
      </w:r>
    </w:p>
    <w:p w:rsidR="00BE6231" w:rsidRPr="00CA54B8" w:rsidRDefault="00E455E0" w:rsidP="00E66A39">
      <w:pPr>
        <w:pStyle w:val="ListParagraph"/>
        <w:widowControl/>
        <w:numPr>
          <w:ilvl w:val="0"/>
          <w:numId w:val="12"/>
        </w:numPr>
        <w:rPr>
          <w:szCs w:val="22"/>
        </w:rPr>
      </w:pPr>
      <w:r w:rsidRPr="00CA54B8">
        <w:rPr>
          <w:szCs w:val="22"/>
        </w:rPr>
        <w:t xml:space="preserve">In the Dutch cohort: </w:t>
      </w:r>
      <w:r w:rsidR="00BE6231" w:rsidRPr="00CA54B8">
        <w:rPr>
          <w:szCs w:val="22"/>
        </w:rPr>
        <w:t xml:space="preserve">6 </w:t>
      </w:r>
      <w:r w:rsidR="00810841" w:rsidRPr="00CA54B8">
        <w:rPr>
          <w:szCs w:val="22"/>
        </w:rPr>
        <w:t>items with positive utility effects, and 7 items</w:t>
      </w:r>
      <w:r w:rsidR="00BE6231" w:rsidRPr="00CA54B8">
        <w:rPr>
          <w:szCs w:val="22"/>
        </w:rPr>
        <w:t xml:space="preserve"> with a utility decrement greater than 0.03 and ma</w:t>
      </w:r>
      <w:r w:rsidRPr="00CA54B8">
        <w:rPr>
          <w:szCs w:val="22"/>
        </w:rPr>
        <w:t>ximum utility decrement of 0.17.</w:t>
      </w:r>
    </w:p>
    <w:p w:rsidR="00734933" w:rsidRPr="00CA54B8" w:rsidRDefault="00BF34E7" w:rsidP="00B8396D">
      <w:pPr>
        <w:widowControl/>
        <w:ind w:left="720"/>
        <w:rPr>
          <w:szCs w:val="22"/>
        </w:rPr>
      </w:pPr>
      <w:r w:rsidRPr="00CA54B8">
        <w:rPr>
          <w:szCs w:val="22"/>
        </w:rPr>
        <w:t xml:space="preserve">The ESC </w:t>
      </w:r>
      <w:r w:rsidR="00350CF6" w:rsidRPr="00CA54B8">
        <w:rPr>
          <w:szCs w:val="22"/>
        </w:rPr>
        <w:t xml:space="preserve">considered </w:t>
      </w:r>
      <w:r w:rsidRPr="00CA54B8">
        <w:rPr>
          <w:szCs w:val="22"/>
        </w:rPr>
        <w:t xml:space="preserve">that this more recent mapping paper showed </w:t>
      </w:r>
      <w:r w:rsidR="00DE780E" w:rsidRPr="00CA54B8">
        <w:rPr>
          <w:szCs w:val="22"/>
        </w:rPr>
        <w:t xml:space="preserve">that particular </w:t>
      </w:r>
      <w:r w:rsidR="008E2357" w:rsidRPr="00CA54B8">
        <w:rPr>
          <w:szCs w:val="22"/>
        </w:rPr>
        <w:t xml:space="preserve">items </w:t>
      </w:r>
      <w:r w:rsidR="00DE780E" w:rsidRPr="00CA54B8">
        <w:rPr>
          <w:szCs w:val="22"/>
        </w:rPr>
        <w:t xml:space="preserve">were </w:t>
      </w:r>
      <w:r w:rsidR="00BE6231" w:rsidRPr="00CA54B8">
        <w:rPr>
          <w:szCs w:val="22"/>
        </w:rPr>
        <w:t>driv</w:t>
      </w:r>
      <w:r w:rsidRPr="00CA54B8">
        <w:rPr>
          <w:szCs w:val="22"/>
        </w:rPr>
        <w:t>ing</w:t>
      </w:r>
      <w:r w:rsidR="00BE6231" w:rsidRPr="00CA54B8">
        <w:rPr>
          <w:szCs w:val="22"/>
        </w:rPr>
        <w:t xml:space="preserve"> EQ</w:t>
      </w:r>
      <w:r w:rsidRPr="00CA54B8">
        <w:rPr>
          <w:szCs w:val="22"/>
        </w:rPr>
        <w:t>-</w:t>
      </w:r>
      <w:r w:rsidR="00BE6231" w:rsidRPr="00CA54B8">
        <w:rPr>
          <w:szCs w:val="22"/>
        </w:rPr>
        <w:t xml:space="preserve">5D values. Across the two cohorts, the </w:t>
      </w:r>
      <w:r w:rsidR="00901EBA" w:rsidRPr="00CA54B8">
        <w:rPr>
          <w:szCs w:val="22"/>
        </w:rPr>
        <w:t>items with the largest coefficients when mapping to the EQ-5D were:</w:t>
      </w:r>
      <w:r w:rsidRPr="00CA54B8">
        <w:rPr>
          <w:szCs w:val="22"/>
        </w:rPr>
        <w:t xml:space="preserve"> “i</w:t>
      </w:r>
      <w:r w:rsidR="00BE6231" w:rsidRPr="00CA54B8">
        <w:rPr>
          <w:szCs w:val="22"/>
        </w:rPr>
        <w:t>t takes a lot of effort for me to do simple tasks</w:t>
      </w:r>
      <w:r w:rsidRPr="00CA54B8">
        <w:rPr>
          <w:szCs w:val="22"/>
        </w:rPr>
        <w:t>”</w:t>
      </w:r>
      <w:r w:rsidR="00BE6231" w:rsidRPr="00CA54B8">
        <w:rPr>
          <w:szCs w:val="22"/>
        </w:rPr>
        <w:t>,</w:t>
      </w:r>
      <w:r w:rsidRPr="00CA54B8">
        <w:rPr>
          <w:szCs w:val="22"/>
        </w:rPr>
        <w:t xml:space="preserve"> “</w:t>
      </w:r>
      <w:r w:rsidR="00BE6231" w:rsidRPr="00CA54B8">
        <w:rPr>
          <w:szCs w:val="22"/>
        </w:rPr>
        <w:t>I feel as if I’m a burden to people</w:t>
      </w:r>
      <w:r w:rsidRPr="00CA54B8">
        <w:rPr>
          <w:szCs w:val="22"/>
        </w:rPr>
        <w:t>”</w:t>
      </w:r>
      <w:r w:rsidR="00BE6231" w:rsidRPr="00CA54B8">
        <w:rPr>
          <w:szCs w:val="22"/>
        </w:rPr>
        <w:t xml:space="preserve">, </w:t>
      </w:r>
      <w:r w:rsidRPr="00CA54B8">
        <w:rPr>
          <w:szCs w:val="22"/>
        </w:rPr>
        <w:t>“</w:t>
      </w:r>
      <w:r w:rsidR="00BE6231" w:rsidRPr="00CA54B8">
        <w:rPr>
          <w:szCs w:val="22"/>
        </w:rPr>
        <w:t>I feel worn out e</w:t>
      </w:r>
      <w:r w:rsidRPr="00CA54B8">
        <w:rPr>
          <w:szCs w:val="22"/>
        </w:rPr>
        <w:t>ven when I’ve not done anything” and “I often feel very tense”</w:t>
      </w:r>
      <w:r w:rsidR="00BE6231" w:rsidRPr="00CA54B8">
        <w:rPr>
          <w:szCs w:val="22"/>
        </w:rPr>
        <w:t>.</w:t>
      </w:r>
      <w:r w:rsidR="00AF32D8" w:rsidRPr="00CA54B8">
        <w:rPr>
          <w:szCs w:val="22"/>
        </w:rPr>
        <w:t xml:space="preserve"> The </w:t>
      </w:r>
      <w:r w:rsidR="00350CF6" w:rsidRPr="00CA54B8">
        <w:rPr>
          <w:szCs w:val="22"/>
        </w:rPr>
        <w:t xml:space="preserve">ESC therefore considered that the </w:t>
      </w:r>
      <w:r w:rsidR="00AF32D8" w:rsidRPr="00CA54B8">
        <w:rPr>
          <w:szCs w:val="22"/>
        </w:rPr>
        <w:t xml:space="preserve">assumption of a constant utility decrement across the 25 binary items in </w:t>
      </w:r>
      <w:proofErr w:type="spellStart"/>
      <w:r w:rsidR="00AF32D8" w:rsidRPr="00CA54B8">
        <w:rPr>
          <w:szCs w:val="22"/>
        </w:rPr>
        <w:t>QoL</w:t>
      </w:r>
      <w:proofErr w:type="spellEnd"/>
      <w:r w:rsidR="00AF32D8" w:rsidRPr="00CA54B8">
        <w:rPr>
          <w:szCs w:val="22"/>
        </w:rPr>
        <w:t>-AGDHA instrument was inappropriate.</w:t>
      </w:r>
    </w:p>
    <w:p w:rsidR="0001107E" w:rsidRPr="0001107E" w:rsidRDefault="0001107E" w:rsidP="0001107E">
      <w:pPr>
        <w:widowControl/>
        <w:rPr>
          <w:i/>
          <w:szCs w:val="22"/>
        </w:rPr>
      </w:pPr>
    </w:p>
    <w:p w:rsidR="00734933" w:rsidRDefault="00734933" w:rsidP="00E66A39">
      <w:pPr>
        <w:pStyle w:val="ListParagraph"/>
        <w:widowControl/>
        <w:numPr>
          <w:ilvl w:val="1"/>
          <w:numId w:val="2"/>
        </w:numPr>
        <w:rPr>
          <w:szCs w:val="22"/>
        </w:rPr>
      </w:pPr>
      <w:r w:rsidRPr="006303AE">
        <w:rPr>
          <w:szCs w:val="22"/>
        </w:rPr>
        <w:t xml:space="preserve">The transformation was applied on a cohort basis using mean </w:t>
      </w:r>
      <w:proofErr w:type="spellStart"/>
      <w:r w:rsidRPr="006303AE">
        <w:rPr>
          <w:szCs w:val="22"/>
        </w:rPr>
        <w:t>QoL</w:t>
      </w:r>
      <w:proofErr w:type="spellEnd"/>
      <w:r w:rsidRPr="006303AE">
        <w:rPr>
          <w:szCs w:val="22"/>
        </w:rPr>
        <w:t>-AGHDA values and proportions for gender, rather than on an individual patient basis as intended by the developers of the mapping function.</w:t>
      </w:r>
    </w:p>
    <w:p w:rsidR="00EA7DCE" w:rsidRPr="00EA7DCE" w:rsidRDefault="00EA7DCE" w:rsidP="00EA7DCE">
      <w:pPr>
        <w:pStyle w:val="ListParagraph"/>
        <w:rPr>
          <w:szCs w:val="22"/>
        </w:rPr>
      </w:pPr>
    </w:p>
    <w:p w:rsidR="00734933" w:rsidRPr="006303AE" w:rsidRDefault="00734933" w:rsidP="00E66A39">
      <w:pPr>
        <w:pStyle w:val="ListParagraph"/>
        <w:widowControl/>
        <w:numPr>
          <w:ilvl w:val="1"/>
          <w:numId w:val="2"/>
        </w:numPr>
        <w:rPr>
          <w:szCs w:val="22"/>
        </w:rPr>
      </w:pPr>
      <w:r w:rsidRPr="006303AE">
        <w:t xml:space="preserve">The key model drivers are summarised in Table </w:t>
      </w:r>
      <w:r w:rsidR="006B13D0" w:rsidRPr="006303AE">
        <w:t>6</w:t>
      </w:r>
      <w:r w:rsidRPr="006303AE">
        <w:t>.</w:t>
      </w:r>
      <w:r w:rsidRPr="006303AE">
        <w:rPr>
          <w:color w:val="3366FF"/>
        </w:rPr>
        <w:t xml:space="preserve"> </w:t>
      </w:r>
    </w:p>
    <w:p w:rsidR="00734933" w:rsidRPr="00A160CC" w:rsidRDefault="00734933" w:rsidP="00D849EA">
      <w:pPr>
        <w:pStyle w:val="ListParagraph"/>
        <w:widowControl/>
        <w:rPr>
          <w:szCs w:val="22"/>
        </w:rPr>
      </w:pPr>
    </w:p>
    <w:p w:rsidR="00734933" w:rsidRDefault="00734933" w:rsidP="00D849EA">
      <w:pPr>
        <w:widowControl/>
        <w:ind w:firstLine="720"/>
        <w:rPr>
          <w:rStyle w:val="CommentReference"/>
        </w:rPr>
      </w:pPr>
      <w:r w:rsidRPr="00A56B6A">
        <w:rPr>
          <w:rStyle w:val="CommentReference"/>
        </w:rPr>
        <w:lastRenderedPageBreak/>
        <w:t xml:space="preserve">Table </w:t>
      </w:r>
      <w:r w:rsidR="006B13D0">
        <w:rPr>
          <w:rStyle w:val="CommentReference"/>
        </w:rPr>
        <w:t>6</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734933" w:rsidRPr="00E2771E" w:rsidTr="00734933">
        <w:trPr>
          <w:tblHeader/>
        </w:trPr>
        <w:tc>
          <w:tcPr>
            <w:tcW w:w="1529" w:type="pct"/>
            <w:shd w:val="clear" w:color="auto" w:fill="auto"/>
            <w:vAlign w:val="center"/>
          </w:tcPr>
          <w:p w:rsidR="00734933" w:rsidRPr="007455B2" w:rsidRDefault="00734933" w:rsidP="00D849EA">
            <w:pPr>
              <w:widowControl/>
              <w:jc w:val="left"/>
              <w:rPr>
                <w:rFonts w:ascii="Arial Narrow" w:hAnsi="Arial Narrow"/>
                <w:b/>
                <w:sz w:val="20"/>
                <w:lang w:val="en-US"/>
              </w:rPr>
            </w:pPr>
            <w:r w:rsidRPr="007455B2">
              <w:rPr>
                <w:rFonts w:ascii="Arial Narrow" w:hAnsi="Arial Narrow"/>
                <w:b/>
                <w:sz w:val="20"/>
                <w:lang w:val="en-US"/>
              </w:rPr>
              <w:t>Description</w:t>
            </w:r>
          </w:p>
        </w:tc>
        <w:tc>
          <w:tcPr>
            <w:tcW w:w="2123" w:type="pct"/>
            <w:shd w:val="clear" w:color="auto" w:fill="auto"/>
            <w:vAlign w:val="center"/>
          </w:tcPr>
          <w:p w:rsidR="00734933" w:rsidRPr="007455B2" w:rsidRDefault="00734933" w:rsidP="00D849EA">
            <w:pPr>
              <w:widowControl/>
              <w:jc w:val="center"/>
              <w:rPr>
                <w:rFonts w:ascii="Arial Narrow" w:hAnsi="Arial Narrow"/>
                <w:b/>
                <w:sz w:val="20"/>
                <w:lang w:val="en-US"/>
              </w:rPr>
            </w:pPr>
            <w:r w:rsidRPr="007455B2">
              <w:rPr>
                <w:rFonts w:ascii="Arial Narrow" w:hAnsi="Arial Narrow"/>
                <w:b/>
                <w:sz w:val="20"/>
                <w:lang w:val="en-US"/>
              </w:rPr>
              <w:t>Method/Value</w:t>
            </w:r>
          </w:p>
        </w:tc>
        <w:tc>
          <w:tcPr>
            <w:tcW w:w="1348" w:type="pct"/>
            <w:shd w:val="clear" w:color="auto" w:fill="auto"/>
            <w:vAlign w:val="center"/>
          </w:tcPr>
          <w:p w:rsidR="00734933" w:rsidRPr="007455B2" w:rsidRDefault="00734933" w:rsidP="00D849EA">
            <w:pPr>
              <w:widowControl/>
              <w:jc w:val="center"/>
              <w:rPr>
                <w:rFonts w:ascii="Arial Narrow" w:hAnsi="Arial Narrow"/>
                <w:b/>
                <w:sz w:val="20"/>
                <w:lang w:val="en-US"/>
              </w:rPr>
            </w:pPr>
            <w:r w:rsidRPr="007455B2">
              <w:rPr>
                <w:rFonts w:ascii="Arial Narrow" w:hAnsi="Arial Narrow"/>
                <w:b/>
                <w:sz w:val="20"/>
                <w:lang w:val="en-US"/>
              </w:rPr>
              <w:t>Impact</w:t>
            </w:r>
          </w:p>
        </w:tc>
      </w:tr>
      <w:tr w:rsidR="00734933" w:rsidRPr="00E2771E" w:rsidTr="004F62F0">
        <w:tc>
          <w:tcPr>
            <w:tcW w:w="1529" w:type="pct"/>
            <w:shd w:val="clear" w:color="auto" w:fill="auto"/>
            <w:vAlign w:val="center"/>
          </w:tcPr>
          <w:p w:rsidR="00BE6231" w:rsidRPr="007455B2" w:rsidRDefault="00BE6231" w:rsidP="004F62F0">
            <w:pPr>
              <w:widowControl/>
              <w:jc w:val="left"/>
              <w:rPr>
                <w:rFonts w:ascii="Arial Narrow" w:hAnsi="Arial Narrow"/>
                <w:sz w:val="20"/>
                <w:lang w:val="en-US"/>
              </w:rPr>
            </w:pPr>
            <w:r w:rsidRPr="007455B2">
              <w:rPr>
                <w:rFonts w:ascii="Arial Narrow" w:hAnsi="Arial Narrow"/>
                <w:sz w:val="20"/>
                <w:lang w:val="en-US"/>
              </w:rPr>
              <w:t xml:space="preserve">Extrapolation </w:t>
            </w:r>
          </w:p>
        </w:tc>
        <w:tc>
          <w:tcPr>
            <w:tcW w:w="2123" w:type="pct"/>
            <w:shd w:val="clear" w:color="auto" w:fill="auto"/>
            <w:vAlign w:val="center"/>
          </w:tcPr>
          <w:p w:rsidR="00734933" w:rsidRPr="007455B2" w:rsidRDefault="00734933" w:rsidP="00D849EA">
            <w:pPr>
              <w:widowControl/>
              <w:jc w:val="left"/>
              <w:rPr>
                <w:rFonts w:ascii="Arial Narrow" w:hAnsi="Arial Narrow"/>
                <w:sz w:val="20"/>
                <w:lang w:val="en-US"/>
              </w:rPr>
            </w:pPr>
            <w:r w:rsidRPr="007455B2">
              <w:rPr>
                <w:rFonts w:ascii="Arial Narrow" w:hAnsi="Arial Narrow"/>
                <w:sz w:val="20"/>
                <w:lang w:val="en-US"/>
              </w:rPr>
              <w:t>60 years; assumed</w:t>
            </w:r>
            <w:r w:rsidR="005A2288" w:rsidRPr="007455B2">
              <w:rPr>
                <w:rFonts w:ascii="Arial Narrow" w:hAnsi="Arial Narrow"/>
                <w:sz w:val="20"/>
                <w:lang w:val="en-US"/>
              </w:rPr>
              <w:t xml:space="preserve"> estimated effect is maintained</w:t>
            </w:r>
            <w:r w:rsidRPr="007455B2">
              <w:rPr>
                <w:rFonts w:ascii="Arial Narrow" w:hAnsi="Arial Narrow"/>
                <w:sz w:val="20"/>
                <w:lang w:val="en-US"/>
              </w:rPr>
              <w:t xml:space="preserve"> from 33 months trial duration.</w:t>
            </w:r>
          </w:p>
        </w:tc>
        <w:tc>
          <w:tcPr>
            <w:tcW w:w="1348" w:type="pct"/>
            <w:shd w:val="clear" w:color="auto" w:fill="auto"/>
            <w:vAlign w:val="center"/>
          </w:tcPr>
          <w:p w:rsidR="00734933" w:rsidRPr="007455B2" w:rsidRDefault="00734933" w:rsidP="00D849EA">
            <w:pPr>
              <w:widowControl/>
              <w:jc w:val="left"/>
              <w:rPr>
                <w:rFonts w:ascii="Arial Narrow" w:hAnsi="Arial Narrow"/>
                <w:sz w:val="20"/>
                <w:lang w:val="en-US"/>
              </w:rPr>
            </w:pPr>
            <w:r w:rsidRPr="007455B2">
              <w:rPr>
                <w:rFonts w:ascii="Arial Narrow" w:hAnsi="Arial Narrow"/>
                <w:sz w:val="20"/>
                <w:lang w:val="en-US"/>
              </w:rPr>
              <w:t xml:space="preserve">Moderate, </w:t>
            </w:r>
            <w:proofErr w:type="spellStart"/>
            <w:r w:rsidRPr="007455B2">
              <w:rPr>
                <w:rFonts w:ascii="Arial Narrow" w:hAnsi="Arial Narrow"/>
                <w:sz w:val="20"/>
                <w:lang w:val="en-US"/>
              </w:rPr>
              <w:t>favours</w:t>
            </w:r>
            <w:proofErr w:type="spellEnd"/>
            <w:r w:rsidRPr="007455B2">
              <w:rPr>
                <w:rFonts w:ascii="Arial Narrow" w:hAnsi="Arial Narrow"/>
                <w:sz w:val="20"/>
                <w:lang w:val="en-US"/>
              </w:rPr>
              <w:t xml:space="preserve"> </w:t>
            </w:r>
            <w:proofErr w:type="spellStart"/>
            <w:r w:rsidRPr="007455B2">
              <w:rPr>
                <w:rFonts w:ascii="Arial Narrow" w:hAnsi="Arial Narrow"/>
                <w:sz w:val="20"/>
                <w:lang w:val="en-US"/>
              </w:rPr>
              <w:t>somatropin</w:t>
            </w:r>
            <w:proofErr w:type="spellEnd"/>
            <w:r w:rsidRPr="007455B2">
              <w:rPr>
                <w:rFonts w:ascii="Arial Narrow" w:hAnsi="Arial Narrow"/>
                <w:sz w:val="20"/>
                <w:lang w:val="en-US"/>
              </w:rPr>
              <w:t>.</w:t>
            </w:r>
          </w:p>
        </w:tc>
      </w:tr>
      <w:tr w:rsidR="00734933" w:rsidRPr="00E2771E" w:rsidTr="00734933">
        <w:tc>
          <w:tcPr>
            <w:tcW w:w="1529" w:type="pct"/>
            <w:shd w:val="clear" w:color="auto" w:fill="auto"/>
            <w:vAlign w:val="center"/>
          </w:tcPr>
          <w:p w:rsidR="00734933" w:rsidRPr="007455B2" w:rsidRDefault="00734933" w:rsidP="00D849EA">
            <w:pPr>
              <w:widowControl/>
              <w:jc w:val="left"/>
              <w:rPr>
                <w:rFonts w:ascii="Arial Narrow" w:hAnsi="Arial Narrow"/>
                <w:sz w:val="20"/>
                <w:lang w:val="en-US"/>
              </w:rPr>
            </w:pPr>
            <w:r w:rsidRPr="007455B2">
              <w:rPr>
                <w:rFonts w:ascii="Arial Narrow" w:hAnsi="Arial Narrow"/>
                <w:sz w:val="20"/>
                <w:lang w:val="en-US"/>
              </w:rPr>
              <w:t xml:space="preserve">Assumed </w:t>
            </w:r>
            <w:proofErr w:type="spellStart"/>
            <w:r w:rsidRPr="007455B2">
              <w:rPr>
                <w:rFonts w:ascii="Arial Narrow" w:hAnsi="Arial Narrow"/>
                <w:sz w:val="20"/>
                <w:lang w:val="en-US"/>
              </w:rPr>
              <w:t>QoL</w:t>
            </w:r>
            <w:proofErr w:type="spellEnd"/>
            <w:r w:rsidRPr="007455B2">
              <w:rPr>
                <w:rFonts w:ascii="Arial Narrow" w:hAnsi="Arial Narrow"/>
                <w:sz w:val="20"/>
                <w:lang w:val="en-US"/>
              </w:rPr>
              <w:t>-AGHDA points improvement</w:t>
            </w:r>
          </w:p>
        </w:tc>
        <w:tc>
          <w:tcPr>
            <w:tcW w:w="2123" w:type="pct"/>
            <w:shd w:val="clear" w:color="auto" w:fill="auto"/>
            <w:vAlign w:val="center"/>
          </w:tcPr>
          <w:p w:rsidR="00734933" w:rsidRPr="007455B2" w:rsidRDefault="00734933" w:rsidP="00906AB0">
            <w:pPr>
              <w:widowControl/>
              <w:jc w:val="left"/>
              <w:rPr>
                <w:rFonts w:ascii="Arial Narrow" w:hAnsi="Arial Narrow"/>
                <w:sz w:val="20"/>
                <w:lang w:val="en-US"/>
              </w:rPr>
            </w:pPr>
            <w:r w:rsidRPr="007455B2">
              <w:rPr>
                <w:rFonts w:ascii="Arial Narrow" w:hAnsi="Arial Narrow"/>
                <w:sz w:val="20"/>
                <w:lang w:val="en-US"/>
              </w:rPr>
              <w:t xml:space="preserve">13 points, based </w:t>
            </w:r>
            <w:r w:rsidR="005A2288" w:rsidRPr="007455B2">
              <w:rPr>
                <w:rFonts w:ascii="Arial Narrow" w:hAnsi="Arial Narrow"/>
                <w:sz w:val="20"/>
                <w:lang w:val="en-US"/>
              </w:rPr>
              <w:t xml:space="preserve">on single arm study with </w:t>
            </w:r>
            <w:r w:rsidR="00631110" w:rsidRPr="007455B2">
              <w:rPr>
                <w:rFonts w:ascii="Arial Narrow" w:hAnsi="Arial Narrow"/>
                <w:sz w:val="20"/>
                <w:lang w:val="en-US"/>
              </w:rPr>
              <w:t>measurement</w:t>
            </w:r>
            <w:r w:rsidR="005A2288" w:rsidRPr="007455B2">
              <w:rPr>
                <w:rFonts w:ascii="Arial Narrow" w:hAnsi="Arial Narrow"/>
                <w:sz w:val="20"/>
                <w:lang w:val="en-US"/>
              </w:rPr>
              <w:t xml:space="preserve"> issues and 17% </w:t>
            </w:r>
            <w:r w:rsidR="00631110" w:rsidRPr="007455B2">
              <w:rPr>
                <w:rFonts w:ascii="Arial Narrow" w:hAnsi="Arial Narrow"/>
                <w:sz w:val="20"/>
                <w:lang w:val="en-US"/>
              </w:rPr>
              <w:t>dropout rate</w:t>
            </w:r>
            <w:r w:rsidR="00906AB0">
              <w:rPr>
                <w:rFonts w:ascii="Arial Narrow" w:hAnsi="Arial Narrow"/>
                <w:sz w:val="20"/>
                <w:lang w:val="en-US"/>
              </w:rPr>
              <w:t>.</w:t>
            </w:r>
          </w:p>
        </w:tc>
        <w:tc>
          <w:tcPr>
            <w:tcW w:w="1348" w:type="pct"/>
            <w:shd w:val="clear" w:color="auto" w:fill="auto"/>
            <w:vAlign w:val="center"/>
          </w:tcPr>
          <w:p w:rsidR="00734933" w:rsidRPr="007455B2" w:rsidRDefault="00734933" w:rsidP="00D849EA">
            <w:pPr>
              <w:widowControl/>
              <w:jc w:val="left"/>
              <w:rPr>
                <w:rFonts w:ascii="Arial Narrow" w:hAnsi="Arial Narrow"/>
                <w:sz w:val="20"/>
                <w:lang w:val="en-US"/>
              </w:rPr>
            </w:pPr>
            <w:r w:rsidRPr="007455B2">
              <w:rPr>
                <w:rFonts w:ascii="Arial Narrow" w:hAnsi="Arial Narrow"/>
                <w:sz w:val="20"/>
                <w:lang w:val="en-US"/>
              </w:rPr>
              <w:t xml:space="preserve">High, </w:t>
            </w:r>
            <w:proofErr w:type="spellStart"/>
            <w:r w:rsidRPr="007455B2">
              <w:rPr>
                <w:rFonts w:ascii="Arial Narrow" w:hAnsi="Arial Narrow"/>
                <w:sz w:val="20"/>
                <w:lang w:val="en-US"/>
              </w:rPr>
              <w:t>favours</w:t>
            </w:r>
            <w:proofErr w:type="spellEnd"/>
            <w:r w:rsidRPr="007455B2">
              <w:rPr>
                <w:rFonts w:ascii="Arial Narrow" w:hAnsi="Arial Narrow"/>
                <w:sz w:val="20"/>
                <w:lang w:val="en-US"/>
              </w:rPr>
              <w:t xml:space="preserve"> </w:t>
            </w:r>
            <w:proofErr w:type="spellStart"/>
            <w:r w:rsidRPr="007455B2">
              <w:rPr>
                <w:rFonts w:ascii="Arial Narrow" w:hAnsi="Arial Narrow"/>
                <w:sz w:val="20"/>
                <w:lang w:val="en-US"/>
              </w:rPr>
              <w:t>somatropin</w:t>
            </w:r>
            <w:proofErr w:type="spellEnd"/>
            <w:r w:rsidRPr="007455B2">
              <w:rPr>
                <w:rFonts w:ascii="Arial Narrow" w:hAnsi="Arial Narrow"/>
                <w:sz w:val="20"/>
                <w:lang w:val="en-US"/>
              </w:rPr>
              <w:t>.</w:t>
            </w:r>
          </w:p>
        </w:tc>
      </w:tr>
      <w:tr w:rsidR="00734933" w:rsidRPr="00E2771E" w:rsidTr="00734933">
        <w:tc>
          <w:tcPr>
            <w:tcW w:w="1529" w:type="pct"/>
            <w:shd w:val="clear" w:color="auto" w:fill="auto"/>
            <w:vAlign w:val="center"/>
          </w:tcPr>
          <w:p w:rsidR="00734933" w:rsidRPr="007455B2" w:rsidRDefault="00734933" w:rsidP="00D849EA">
            <w:pPr>
              <w:widowControl/>
              <w:jc w:val="left"/>
              <w:rPr>
                <w:rFonts w:ascii="Arial Narrow" w:hAnsi="Arial Narrow"/>
                <w:sz w:val="20"/>
                <w:lang w:val="en-US"/>
              </w:rPr>
            </w:pPr>
            <w:r w:rsidRPr="007455B2">
              <w:rPr>
                <w:rFonts w:ascii="Arial Narrow" w:hAnsi="Arial Narrow"/>
                <w:sz w:val="20"/>
                <w:lang w:val="en-US"/>
              </w:rPr>
              <w:t>Proportion of gender in the cohort</w:t>
            </w:r>
          </w:p>
        </w:tc>
        <w:tc>
          <w:tcPr>
            <w:tcW w:w="2123" w:type="pct"/>
            <w:shd w:val="clear" w:color="auto" w:fill="auto"/>
            <w:vAlign w:val="center"/>
          </w:tcPr>
          <w:p w:rsidR="00734933" w:rsidRPr="007455B2" w:rsidRDefault="00734933" w:rsidP="00D849EA">
            <w:pPr>
              <w:widowControl/>
              <w:jc w:val="left"/>
              <w:rPr>
                <w:rFonts w:ascii="Arial Narrow" w:hAnsi="Arial Narrow"/>
                <w:sz w:val="20"/>
                <w:lang w:val="en-US"/>
              </w:rPr>
            </w:pPr>
            <w:r w:rsidRPr="007455B2">
              <w:rPr>
                <w:rFonts w:ascii="Arial Narrow" w:hAnsi="Arial Narrow"/>
                <w:sz w:val="20"/>
                <w:lang w:val="en-US"/>
              </w:rPr>
              <w:t xml:space="preserve">58% female from the </w:t>
            </w:r>
            <w:proofErr w:type="spellStart"/>
            <w:r w:rsidRPr="007455B2">
              <w:rPr>
                <w:rFonts w:ascii="Arial Narrow" w:hAnsi="Arial Narrow"/>
                <w:sz w:val="20"/>
                <w:lang w:val="en-US"/>
              </w:rPr>
              <w:t>Holdaway</w:t>
            </w:r>
            <w:proofErr w:type="spellEnd"/>
            <w:r w:rsidRPr="007455B2">
              <w:rPr>
                <w:rFonts w:ascii="Arial Narrow" w:hAnsi="Arial Narrow"/>
                <w:sz w:val="20"/>
                <w:lang w:val="en-US"/>
              </w:rPr>
              <w:t xml:space="preserve"> et al. (2015) study</w:t>
            </w:r>
            <w:r w:rsidR="00906AB0">
              <w:rPr>
                <w:rFonts w:ascii="Arial Narrow" w:hAnsi="Arial Narrow"/>
                <w:sz w:val="20"/>
                <w:lang w:val="en-US"/>
              </w:rPr>
              <w:t>.</w:t>
            </w:r>
          </w:p>
        </w:tc>
        <w:tc>
          <w:tcPr>
            <w:tcW w:w="1348" w:type="pct"/>
            <w:shd w:val="clear" w:color="auto" w:fill="auto"/>
            <w:vAlign w:val="center"/>
          </w:tcPr>
          <w:p w:rsidR="00734933" w:rsidRPr="007455B2" w:rsidRDefault="00734933" w:rsidP="00D849EA">
            <w:pPr>
              <w:widowControl/>
              <w:jc w:val="left"/>
              <w:rPr>
                <w:rFonts w:ascii="Arial Narrow" w:hAnsi="Arial Narrow"/>
                <w:sz w:val="20"/>
                <w:lang w:val="en-US"/>
              </w:rPr>
            </w:pPr>
            <w:r w:rsidRPr="007455B2">
              <w:rPr>
                <w:rFonts w:ascii="Arial Narrow" w:hAnsi="Arial Narrow"/>
                <w:sz w:val="20"/>
                <w:lang w:val="en-US"/>
              </w:rPr>
              <w:t xml:space="preserve">Low, </w:t>
            </w:r>
            <w:proofErr w:type="spellStart"/>
            <w:r w:rsidRPr="007455B2">
              <w:rPr>
                <w:rFonts w:ascii="Arial Narrow" w:hAnsi="Arial Narrow"/>
                <w:sz w:val="20"/>
                <w:lang w:val="en-US"/>
              </w:rPr>
              <w:t>favours</w:t>
            </w:r>
            <w:proofErr w:type="spellEnd"/>
            <w:r w:rsidRPr="007455B2">
              <w:rPr>
                <w:rFonts w:ascii="Arial Narrow" w:hAnsi="Arial Narrow"/>
                <w:sz w:val="20"/>
                <w:lang w:val="en-US"/>
              </w:rPr>
              <w:t xml:space="preserve"> SC.</w:t>
            </w:r>
          </w:p>
        </w:tc>
      </w:tr>
      <w:tr w:rsidR="00734933" w:rsidRPr="00E2771E" w:rsidTr="00734933">
        <w:tc>
          <w:tcPr>
            <w:tcW w:w="1529" w:type="pct"/>
            <w:shd w:val="clear" w:color="auto" w:fill="auto"/>
            <w:vAlign w:val="center"/>
          </w:tcPr>
          <w:p w:rsidR="00734933" w:rsidRPr="007455B2" w:rsidRDefault="00734933" w:rsidP="00D849EA">
            <w:pPr>
              <w:widowControl/>
              <w:jc w:val="left"/>
              <w:rPr>
                <w:rFonts w:ascii="Arial Narrow" w:hAnsi="Arial Narrow"/>
                <w:sz w:val="20"/>
                <w:lang w:val="en-US"/>
              </w:rPr>
            </w:pPr>
            <w:r w:rsidRPr="007455B2">
              <w:rPr>
                <w:rFonts w:ascii="Arial Narrow" w:hAnsi="Arial Narrow"/>
                <w:sz w:val="20"/>
                <w:lang w:val="en-US"/>
              </w:rPr>
              <w:t>Utility coefficient</w:t>
            </w:r>
          </w:p>
        </w:tc>
        <w:tc>
          <w:tcPr>
            <w:tcW w:w="2123" w:type="pct"/>
            <w:shd w:val="clear" w:color="auto" w:fill="auto"/>
            <w:vAlign w:val="center"/>
          </w:tcPr>
          <w:p w:rsidR="00734933" w:rsidRPr="007455B2" w:rsidRDefault="00536753" w:rsidP="00857A4E">
            <w:pPr>
              <w:widowControl/>
              <w:jc w:val="left"/>
              <w:rPr>
                <w:rFonts w:ascii="Arial Narrow" w:hAnsi="Arial Narrow"/>
                <w:sz w:val="20"/>
                <w:lang w:val="en-US"/>
              </w:rPr>
            </w:pPr>
            <w:r w:rsidRPr="007455B2">
              <w:rPr>
                <w:rFonts w:ascii="Arial Narrow" w:hAnsi="Arial Narrow"/>
                <w:sz w:val="20"/>
                <w:lang w:val="en-US"/>
              </w:rPr>
              <w:t>Appl</w:t>
            </w:r>
            <w:r w:rsidR="0033774D" w:rsidRPr="007455B2">
              <w:rPr>
                <w:rFonts w:ascii="Arial Narrow" w:hAnsi="Arial Narrow"/>
                <w:sz w:val="20"/>
                <w:lang w:val="en-US"/>
              </w:rPr>
              <w:t>ied</w:t>
            </w:r>
            <w:r w:rsidRPr="007455B2">
              <w:rPr>
                <w:rFonts w:ascii="Arial Narrow" w:hAnsi="Arial Narrow"/>
                <w:sz w:val="20"/>
                <w:lang w:val="en-US"/>
              </w:rPr>
              <w:t xml:space="preserve"> </w:t>
            </w:r>
            <w:r w:rsidR="007D0D5C" w:rsidRPr="007455B2">
              <w:rPr>
                <w:rFonts w:ascii="Arial Narrow" w:hAnsi="Arial Narrow"/>
                <w:sz w:val="20"/>
                <w:lang w:val="en-US"/>
              </w:rPr>
              <w:t>a constant utili</w:t>
            </w:r>
            <w:r w:rsidR="001458D9" w:rsidRPr="007455B2">
              <w:rPr>
                <w:rFonts w:ascii="Arial Narrow" w:hAnsi="Arial Narrow"/>
                <w:sz w:val="20"/>
                <w:lang w:val="en-US"/>
              </w:rPr>
              <w:t xml:space="preserve">ty decrement per </w:t>
            </w:r>
            <w:proofErr w:type="spellStart"/>
            <w:r w:rsidR="001458D9" w:rsidRPr="007455B2">
              <w:rPr>
                <w:rFonts w:ascii="Arial Narrow" w:hAnsi="Arial Narrow"/>
                <w:sz w:val="20"/>
                <w:lang w:val="en-US"/>
              </w:rPr>
              <w:t>QoL</w:t>
            </w:r>
            <w:proofErr w:type="spellEnd"/>
            <w:r w:rsidR="001458D9" w:rsidRPr="007455B2">
              <w:rPr>
                <w:rFonts w:ascii="Arial Narrow" w:hAnsi="Arial Narrow"/>
                <w:sz w:val="20"/>
                <w:lang w:val="en-US"/>
              </w:rPr>
              <w:t xml:space="preserve">-AGHDA item. The ESC noted that this ignored evidence of variation </w:t>
            </w:r>
            <w:r w:rsidR="00857A4E" w:rsidRPr="007455B2">
              <w:rPr>
                <w:rFonts w:ascii="Arial Narrow" w:hAnsi="Arial Narrow"/>
                <w:sz w:val="20"/>
                <w:lang w:val="en-US"/>
              </w:rPr>
              <w:t xml:space="preserve">and that </w:t>
            </w:r>
            <w:r w:rsidR="001458D9" w:rsidRPr="007455B2">
              <w:rPr>
                <w:rFonts w:ascii="Arial Narrow" w:hAnsi="Arial Narrow"/>
                <w:sz w:val="20"/>
                <w:lang w:val="en-US"/>
              </w:rPr>
              <w:t>utility effects</w:t>
            </w:r>
            <w:r w:rsidR="00857A4E" w:rsidRPr="007455B2">
              <w:rPr>
                <w:rFonts w:ascii="Arial Narrow" w:hAnsi="Arial Narrow"/>
                <w:sz w:val="20"/>
                <w:lang w:val="en-US"/>
              </w:rPr>
              <w:t xml:space="preserve"> were </w:t>
            </w:r>
            <w:r w:rsidR="001458D9" w:rsidRPr="007455B2">
              <w:rPr>
                <w:rFonts w:ascii="Arial Narrow" w:hAnsi="Arial Narrow"/>
                <w:sz w:val="20"/>
                <w:lang w:val="en-US"/>
              </w:rPr>
              <w:t>driven by a small number of items</w:t>
            </w:r>
            <w:r w:rsidR="00821D3F" w:rsidRPr="007455B2">
              <w:rPr>
                <w:rFonts w:ascii="Arial Narrow" w:hAnsi="Arial Narrow"/>
                <w:sz w:val="20"/>
                <w:lang w:val="en-US"/>
              </w:rPr>
              <w:t>.</w:t>
            </w:r>
            <w:r w:rsidR="001458D9" w:rsidRPr="007455B2" w:rsidDel="001458D9">
              <w:rPr>
                <w:rFonts w:ascii="Arial Narrow" w:hAnsi="Arial Narrow"/>
                <w:sz w:val="20"/>
                <w:lang w:val="en-US"/>
              </w:rPr>
              <w:t xml:space="preserve"> </w:t>
            </w:r>
          </w:p>
        </w:tc>
        <w:tc>
          <w:tcPr>
            <w:tcW w:w="1348" w:type="pct"/>
            <w:shd w:val="clear" w:color="auto" w:fill="auto"/>
            <w:vAlign w:val="center"/>
          </w:tcPr>
          <w:p w:rsidR="00536753" w:rsidRPr="007455B2" w:rsidRDefault="007D0D5C" w:rsidP="007D0D5C">
            <w:pPr>
              <w:widowControl/>
              <w:jc w:val="left"/>
              <w:rPr>
                <w:rFonts w:ascii="Arial Narrow" w:hAnsi="Arial Narrow"/>
                <w:sz w:val="20"/>
                <w:lang w:val="en-US"/>
              </w:rPr>
            </w:pPr>
            <w:r w:rsidRPr="007455B2">
              <w:rPr>
                <w:rFonts w:ascii="Arial Narrow" w:hAnsi="Arial Narrow"/>
                <w:sz w:val="20"/>
                <w:lang w:val="en-US"/>
              </w:rPr>
              <w:t>Unclear, but likely to be m</w:t>
            </w:r>
            <w:r w:rsidR="005A2288" w:rsidRPr="007455B2">
              <w:rPr>
                <w:rFonts w:ascii="Arial Narrow" w:hAnsi="Arial Narrow"/>
                <w:sz w:val="20"/>
                <w:lang w:val="en-US"/>
              </w:rPr>
              <w:t>oderate</w:t>
            </w:r>
            <w:r w:rsidRPr="007455B2">
              <w:rPr>
                <w:rFonts w:ascii="Arial Narrow" w:hAnsi="Arial Narrow"/>
                <w:sz w:val="20"/>
                <w:lang w:val="en-US"/>
              </w:rPr>
              <w:t xml:space="preserve"> to high </w:t>
            </w:r>
            <w:r w:rsidR="00B35AD3" w:rsidRPr="007455B2">
              <w:rPr>
                <w:rFonts w:ascii="Arial Narrow" w:hAnsi="Arial Narrow"/>
                <w:sz w:val="20"/>
                <w:lang w:val="en-US"/>
              </w:rPr>
              <w:t>and to</w:t>
            </w:r>
            <w:r w:rsidR="005A2288" w:rsidRPr="007455B2">
              <w:rPr>
                <w:rFonts w:ascii="Arial Narrow" w:hAnsi="Arial Narrow"/>
                <w:sz w:val="20"/>
                <w:lang w:val="en-US"/>
              </w:rPr>
              <w:t xml:space="preserve"> </w:t>
            </w:r>
            <w:proofErr w:type="spellStart"/>
            <w:r w:rsidR="005A2288" w:rsidRPr="007455B2">
              <w:rPr>
                <w:rFonts w:ascii="Arial Narrow" w:hAnsi="Arial Narrow"/>
                <w:sz w:val="20"/>
                <w:lang w:val="en-US"/>
              </w:rPr>
              <w:t>favour</w:t>
            </w:r>
            <w:proofErr w:type="spellEnd"/>
            <w:r w:rsidR="005A2288" w:rsidRPr="007455B2">
              <w:rPr>
                <w:rFonts w:ascii="Arial Narrow" w:hAnsi="Arial Narrow"/>
                <w:sz w:val="20"/>
                <w:lang w:val="en-US"/>
              </w:rPr>
              <w:t xml:space="preserve"> </w:t>
            </w:r>
            <w:proofErr w:type="spellStart"/>
            <w:r w:rsidR="005A2288" w:rsidRPr="007455B2">
              <w:rPr>
                <w:rFonts w:ascii="Arial Narrow" w:hAnsi="Arial Narrow"/>
                <w:sz w:val="20"/>
                <w:lang w:val="en-US"/>
              </w:rPr>
              <w:t>somatropin</w:t>
            </w:r>
            <w:proofErr w:type="spellEnd"/>
            <w:r w:rsidR="005A2288" w:rsidRPr="007455B2">
              <w:rPr>
                <w:rFonts w:ascii="Arial Narrow" w:hAnsi="Arial Narrow"/>
                <w:sz w:val="20"/>
                <w:lang w:val="en-US"/>
              </w:rPr>
              <w:t xml:space="preserve">. </w:t>
            </w:r>
          </w:p>
        </w:tc>
      </w:tr>
    </w:tbl>
    <w:p w:rsidR="00734933" w:rsidRPr="00D110BD" w:rsidRDefault="00734933" w:rsidP="00D849EA">
      <w:pPr>
        <w:pStyle w:val="TableFooter"/>
        <w:widowControl/>
        <w:ind w:left="720"/>
      </w:pPr>
      <w:r w:rsidRPr="00D110BD">
        <w:t>Source: compiled during the evaluation</w:t>
      </w:r>
      <w:r>
        <w:t xml:space="preserve">. </w:t>
      </w:r>
      <w:proofErr w:type="spellStart"/>
      <w:r>
        <w:t>QoL</w:t>
      </w:r>
      <w:proofErr w:type="spellEnd"/>
      <w:r>
        <w:t xml:space="preserve">-AGHDA = </w:t>
      </w:r>
      <w:r w:rsidRPr="00DA19B0">
        <w:t>quality of life assessment of growth hormone deficiency</w:t>
      </w:r>
      <w:r>
        <w:t xml:space="preserve"> in adults, SC = standard care; SEM = standard error of the mean,</w:t>
      </w:r>
      <w:r w:rsidRPr="001102D5">
        <w:t xml:space="preserve"> </w:t>
      </w:r>
      <w:proofErr w:type="spellStart"/>
      <w:r>
        <w:t>QoL</w:t>
      </w:r>
      <w:proofErr w:type="spellEnd"/>
      <w:r>
        <w:t xml:space="preserve">-AGHDA = </w:t>
      </w:r>
      <w:r w:rsidRPr="00A56D6A">
        <w:rPr>
          <w:rFonts w:eastAsia="Calibri" w:cs="Calibri"/>
          <w:snapToGrid/>
          <w:sz w:val="20"/>
        </w:rPr>
        <w:t>quality of life assessme</w:t>
      </w:r>
      <w:r>
        <w:rPr>
          <w:rFonts w:eastAsia="Calibri" w:cs="Calibri"/>
          <w:snapToGrid/>
          <w:sz w:val="20"/>
        </w:rPr>
        <w:t xml:space="preserve">nt of growth hormone deficiency </w:t>
      </w:r>
      <w:r w:rsidRPr="00A56D6A">
        <w:rPr>
          <w:rFonts w:eastAsia="Calibri" w:cs="Calibri"/>
          <w:snapToGrid/>
          <w:sz w:val="20"/>
        </w:rPr>
        <w:t>in adults</w:t>
      </w:r>
      <w:r>
        <w:rPr>
          <w:rFonts w:eastAsia="Calibri" w:cs="Calibri"/>
          <w:snapToGrid/>
          <w:sz w:val="20"/>
        </w:rPr>
        <w:t>.</w:t>
      </w:r>
    </w:p>
    <w:p w:rsidR="00734933" w:rsidRDefault="00734933" w:rsidP="00D849EA">
      <w:pPr>
        <w:widowControl/>
        <w:rPr>
          <w:szCs w:val="22"/>
        </w:rPr>
      </w:pPr>
      <w:r>
        <w:rPr>
          <w:szCs w:val="22"/>
        </w:rPr>
        <w:tab/>
      </w:r>
    </w:p>
    <w:p w:rsidR="00717991" w:rsidRPr="0075017A" w:rsidRDefault="00734933" w:rsidP="00E66A39">
      <w:pPr>
        <w:pStyle w:val="ListParagraph"/>
        <w:widowControl/>
        <w:numPr>
          <w:ilvl w:val="1"/>
          <w:numId w:val="2"/>
        </w:numPr>
        <w:rPr>
          <w:szCs w:val="22"/>
        </w:rPr>
      </w:pPr>
      <w:r>
        <w:rPr>
          <w:szCs w:val="22"/>
        </w:rPr>
        <w:t xml:space="preserve">The </w:t>
      </w:r>
      <w:r w:rsidR="00014970">
        <w:rPr>
          <w:szCs w:val="22"/>
        </w:rPr>
        <w:t>resubmission</w:t>
      </w:r>
      <w:r>
        <w:rPr>
          <w:szCs w:val="22"/>
        </w:rPr>
        <w:t xml:space="preserve"> assumed that each patient remaining on treatment after 18 months experienced a fall in </w:t>
      </w:r>
      <w:proofErr w:type="spellStart"/>
      <w:r>
        <w:rPr>
          <w:szCs w:val="22"/>
        </w:rPr>
        <w:t>QoL</w:t>
      </w:r>
      <w:proofErr w:type="spellEnd"/>
      <w:r>
        <w:rPr>
          <w:szCs w:val="22"/>
        </w:rPr>
        <w:t xml:space="preserve">-AGHDA score to a mean of 6 points from baseline (19 points). The basis of this assumption was not presented in the </w:t>
      </w:r>
      <w:r w:rsidR="00014970">
        <w:rPr>
          <w:szCs w:val="22"/>
        </w:rPr>
        <w:t>resubmission</w:t>
      </w:r>
      <w:r w:rsidR="00717991">
        <w:rPr>
          <w:szCs w:val="22"/>
        </w:rPr>
        <w:t xml:space="preserve">. </w:t>
      </w:r>
      <w:r w:rsidR="00717991" w:rsidRPr="0075017A">
        <w:rPr>
          <w:szCs w:val="22"/>
        </w:rPr>
        <w:t xml:space="preserve">The ESC considered this assumption was inadequately supported, noting that the two trials that assessed </w:t>
      </w:r>
      <w:proofErr w:type="spellStart"/>
      <w:r w:rsidR="00717991" w:rsidRPr="0075017A">
        <w:rPr>
          <w:szCs w:val="22"/>
        </w:rPr>
        <w:t>QoL</w:t>
      </w:r>
      <w:proofErr w:type="spellEnd"/>
      <w:r w:rsidR="00717991" w:rsidRPr="0075017A">
        <w:rPr>
          <w:szCs w:val="22"/>
        </w:rPr>
        <w:t xml:space="preserve"> using the </w:t>
      </w:r>
      <w:proofErr w:type="spellStart"/>
      <w:r w:rsidR="00717991" w:rsidRPr="0075017A">
        <w:rPr>
          <w:szCs w:val="22"/>
        </w:rPr>
        <w:t>QoL</w:t>
      </w:r>
      <w:proofErr w:type="spellEnd"/>
      <w:r w:rsidR="00717991" w:rsidRPr="0075017A">
        <w:rPr>
          <w:szCs w:val="22"/>
        </w:rPr>
        <w:t>-AGHDA (</w:t>
      </w:r>
      <w:proofErr w:type="spellStart"/>
      <w:r w:rsidR="00717991" w:rsidRPr="0075017A">
        <w:rPr>
          <w:szCs w:val="22"/>
        </w:rPr>
        <w:t>Chihara</w:t>
      </w:r>
      <w:proofErr w:type="spellEnd"/>
      <w:r w:rsidR="00717991" w:rsidRPr="0075017A">
        <w:rPr>
          <w:szCs w:val="22"/>
        </w:rPr>
        <w:t xml:space="preserve"> 2006 and Mesa 2003) in the July 2011 submission reported no significant effect of treatment with </w:t>
      </w:r>
      <w:proofErr w:type="spellStart"/>
      <w:r w:rsidR="00717991" w:rsidRPr="0075017A">
        <w:rPr>
          <w:szCs w:val="22"/>
        </w:rPr>
        <w:t>somatropin</w:t>
      </w:r>
      <w:proofErr w:type="spellEnd"/>
      <w:r w:rsidR="00717991" w:rsidRPr="0075017A">
        <w:rPr>
          <w:szCs w:val="22"/>
        </w:rPr>
        <w:t>.</w:t>
      </w:r>
    </w:p>
    <w:p w:rsidR="00734933" w:rsidRDefault="00734933" w:rsidP="00D849EA">
      <w:pPr>
        <w:widowControl/>
        <w:ind w:left="720"/>
        <w:rPr>
          <w:szCs w:val="22"/>
        </w:rPr>
      </w:pPr>
    </w:p>
    <w:p w:rsidR="00D60F4A" w:rsidRDefault="00734933" w:rsidP="00E66A39">
      <w:pPr>
        <w:pStyle w:val="ListParagraph"/>
        <w:widowControl/>
        <w:numPr>
          <w:ilvl w:val="1"/>
          <w:numId w:val="2"/>
        </w:numPr>
        <w:rPr>
          <w:szCs w:val="22"/>
        </w:rPr>
      </w:pPr>
      <w:r w:rsidRPr="006303AE">
        <w:rPr>
          <w:szCs w:val="22"/>
        </w:rPr>
        <w:t xml:space="preserve">The </w:t>
      </w:r>
      <w:r w:rsidR="00014970" w:rsidRPr="006303AE">
        <w:rPr>
          <w:szCs w:val="22"/>
        </w:rPr>
        <w:t>resubmission</w:t>
      </w:r>
      <w:r w:rsidRPr="006303AE">
        <w:rPr>
          <w:szCs w:val="22"/>
        </w:rPr>
        <w:t xml:space="preserve"> excluded the costs of thyroid function and glucose tolerance tests for monitoring dose and efficacy. It also did not include costs and effects associated with </w:t>
      </w:r>
      <w:proofErr w:type="spellStart"/>
      <w:r w:rsidRPr="006303AE">
        <w:rPr>
          <w:szCs w:val="22"/>
        </w:rPr>
        <w:t>somatropin</w:t>
      </w:r>
      <w:proofErr w:type="spellEnd"/>
      <w:r w:rsidR="00912389" w:rsidRPr="006303AE">
        <w:rPr>
          <w:szCs w:val="22"/>
        </w:rPr>
        <w:t>-</w:t>
      </w:r>
      <w:r w:rsidRPr="006303AE">
        <w:rPr>
          <w:szCs w:val="22"/>
        </w:rPr>
        <w:t xml:space="preserve">related adverse events. These costs and effects would result from treatment with </w:t>
      </w:r>
      <w:proofErr w:type="spellStart"/>
      <w:r w:rsidRPr="006303AE">
        <w:rPr>
          <w:szCs w:val="22"/>
        </w:rPr>
        <w:t>somatropin</w:t>
      </w:r>
      <w:proofErr w:type="spellEnd"/>
      <w:r w:rsidRPr="006303AE">
        <w:rPr>
          <w:szCs w:val="22"/>
        </w:rPr>
        <w:t>, thus their exclusion impacts the estimated ICER, po</w:t>
      </w:r>
      <w:r w:rsidR="00D3347A">
        <w:rPr>
          <w:szCs w:val="22"/>
        </w:rPr>
        <w:t xml:space="preserve">ssibly in favour of </w:t>
      </w:r>
      <w:proofErr w:type="spellStart"/>
      <w:r w:rsidR="00D3347A">
        <w:rPr>
          <w:szCs w:val="22"/>
        </w:rPr>
        <w:t>somatropin</w:t>
      </w:r>
      <w:proofErr w:type="spellEnd"/>
      <w:r w:rsidR="00D3347A">
        <w:rPr>
          <w:szCs w:val="22"/>
        </w:rPr>
        <w:t>.</w:t>
      </w:r>
    </w:p>
    <w:p w:rsidR="00D60F4A" w:rsidRPr="00D60F4A" w:rsidRDefault="00D60F4A" w:rsidP="00D60F4A">
      <w:pPr>
        <w:pStyle w:val="ListParagraph"/>
        <w:rPr>
          <w:szCs w:val="22"/>
        </w:rPr>
      </w:pPr>
    </w:p>
    <w:p w:rsidR="00734933" w:rsidRPr="006303AE" w:rsidRDefault="00F269A4" w:rsidP="00E66A39">
      <w:pPr>
        <w:pStyle w:val="ListParagraph"/>
        <w:widowControl/>
        <w:numPr>
          <w:ilvl w:val="1"/>
          <w:numId w:val="2"/>
        </w:numPr>
        <w:rPr>
          <w:szCs w:val="22"/>
        </w:rPr>
      </w:pPr>
      <w:r>
        <w:rPr>
          <w:szCs w:val="22"/>
        </w:rPr>
        <w:t xml:space="preserve">The </w:t>
      </w:r>
      <w:r w:rsidR="00D60F4A">
        <w:rPr>
          <w:szCs w:val="22"/>
        </w:rPr>
        <w:t>Pre-PBAC</w:t>
      </w:r>
      <w:r>
        <w:rPr>
          <w:szCs w:val="22"/>
        </w:rPr>
        <w:t xml:space="preserve"> Response</w:t>
      </w:r>
      <w:r w:rsidR="00D60F4A">
        <w:rPr>
          <w:szCs w:val="22"/>
        </w:rPr>
        <w:t xml:space="preserve"> (p3)</w:t>
      </w:r>
      <w:r>
        <w:rPr>
          <w:szCs w:val="22"/>
        </w:rPr>
        <w:t xml:space="preserve"> argued that</w:t>
      </w:r>
      <w:r w:rsidR="00D60F4A">
        <w:rPr>
          <w:szCs w:val="22"/>
        </w:rPr>
        <w:t xml:space="preserve"> </w:t>
      </w:r>
      <w:r w:rsidR="00D60F4A" w:rsidRPr="00D60F4A">
        <w:rPr>
          <w:szCs w:val="22"/>
        </w:rPr>
        <w:t xml:space="preserve">the costs and </w:t>
      </w:r>
      <w:proofErr w:type="spellStart"/>
      <w:r w:rsidR="00D60F4A" w:rsidRPr="00D60F4A">
        <w:rPr>
          <w:szCs w:val="22"/>
        </w:rPr>
        <w:t>QoL</w:t>
      </w:r>
      <w:proofErr w:type="spellEnd"/>
      <w:r w:rsidR="00D60F4A" w:rsidRPr="00D60F4A">
        <w:rPr>
          <w:szCs w:val="22"/>
        </w:rPr>
        <w:t xml:space="preserve"> effects associated with </w:t>
      </w:r>
      <w:proofErr w:type="spellStart"/>
      <w:r w:rsidR="00D60F4A" w:rsidRPr="00D60F4A">
        <w:rPr>
          <w:szCs w:val="22"/>
        </w:rPr>
        <w:t>somatropin</w:t>
      </w:r>
      <w:proofErr w:type="spellEnd"/>
      <w:r w:rsidR="00D60F4A" w:rsidRPr="00D60F4A">
        <w:rPr>
          <w:szCs w:val="22"/>
        </w:rPr>
        <w:t xml:space="preserve"> adverse events were negligible and therefore not incorporated in the economic mode</w:t>
      </w:r>
      <w:r>
        <w:rPr>
          <w:szCs w:val="22"/>
        </w:rPr>
        <w:t xml:space="preserve">l. It </w:t>
      </w:r>
      <w:r w:rsidR="00D60F4A" w:rsidRPr="00D60F4A">
        <w:rPr>
          <w:szCs w:val="22"/>
        </w:rPr>
        <w:t xml:space="preserve">considered that the </w:t>
      </w:r>
      <w:proofErr w:type="spellStart"/>
      <w:r w:rsidR="00D60F4A" w:rsidRPr="00D60F4A">
        <w:rPr>
          <w:szCs w:val="22"/>
        </w:rPr>
        <w:t>QoL</w:t>
      </w:r>
      <w:proofErr w:type="spellEnd"/>
      <w:r w:rsidR="00D60F4A" w:rsidRPr="00D60F4A">
        <w:rPr>
          <w:szCs w:val="22"/>
        </w:rPr>
        <w:t>-AGHDA capture</w:t>
      </w:r>
      <w:r>
        <w:rPr>
          <w:szCs w:val="22"/>
        </w:rPr>
        <w:t xml:space="preserve">d </w:t>
      </w:r>
      <w:r w:rsidR="00D60F4A" w:rsidRPr="00D60F4A">
        <w:rPr>
          <w:szCs w:val="22"/>
        </w:rPr>
        <w:t>signifi</w:t>
      </w:r>
      <w:r>
        <w:rPr>
          <w:szCs w:val="22"/>
        </w:rPr>
        <w:t>cant adverse events in patients; i</w:t>
      </w:r>
      <w:r w:rsidR="00D60F4A" w:rsidRPr="00D60F4A">
        <w:rPr>
          <w:szCs w:val="22"/>
        </w:rPr>
        <w:t xml:space="preserve">f patients have significant adverse events, they </w:t>
      </w:r>
      <w:r>
        <w:rPr>
          <w:szCs w:val="22"/>
        </w:rPr>
        <w:t>would</w:t>
      </w:r>
      <w:r w:rsidR="00D60F4A" w:rsidRPr="00D60F4A">
        <w:rPr>
          <w:szCs w:val="22"/>
        </w:rPr>
        <w:t xml:space="preserve"> discontinue treatment with </w:t>
      </w:r>
      <w:proofErr w:type="spellStart"/>
      <w:r w:rsidR="00D60F4A" w:rsidRPr="00D60F4A">
        <w:rPr>
          <w:szCs w:val="22"/>
        </w:rPr>
        <w:t>somatropin</w:t>
      </w:r>
      <w:proofErr w:type="spellEnd"/>
      <w:r w:rsidR="00D60F4A" w:rsidRPr="00D60F4A">
        <w:rPr>
          <w:szCs w:val="22"/>
        </w:rPr>
        <w:t>.</w:t>
      </w:r>
    </w:p>
    <w:p w:rsidR="00734933" w:rsidRPr="006303AE" w:rsidRDefault="00734933" w:rsidP="00D849EA">
      <w:pPr>
        <w:widowControl/>
        <w:ind w:left="720"/>
        <w:rPr>
          <w:szCs w:val="22"/>
        </w:rPr>
      </w:pPr>
    </w:p>
    <w:p w:rsidR="00912389" w:rsidRPr="006303AE" w:rsidRDefault="00912389" w:rsidP="00E66A39">
      <w:pPr>
        <w:pStyle w:val="ListParagraph"/>
        <w:widowControl/>
        <w:numPr>
          <w:ilvl w:val="1"/>
          <w:numId w:val="2"/>
        </w:numPr>
        <w:rPr>
          <w:szCs w:val="22"/>
        </w:rPr>
      </w:pPr>
      <w:r w:rsidRPr="006303AE">
        <w:rPr>
          <w:szCs w:val="22"/>
        </w:rPr>
        <w:t>The requested PBS criteria include re-treatment, but the costs and benefits associated with re-treatment were excluded from the economic model and financial e</w:t>
      </w:r>
      <w:r w:rsidR="00307A42" w:rsidRPr="006303AE">
        <w:rPr>
          <w:szCs w:val="22"/>
        </w:rPr>
        <w:t>stimates in the re</w:t>
      </w:r>
      <w:r w:rsidRPr="006303AE">
        <w:rPr>
          <w:szCs w:val="22"/>
        </w:rPr>
        <w:t>submission.</w:t>
      </w:r>
    </w:p>
    <w:p w:rsidR="00912389" w:rsidRPr="006303AE" w:rsidRDefault="00912389" w:rsidP="00D849EA">
      <w:pPr>
        <w:pStyle w:val="ListParagraph"/>
        <w:widowControl/>
        <w:rPr>
          <w:szCs w:val="22"/>
        </w:rPr>
      </w:pPr>
    </w:p>
    <w:p w:rsidR="00734933" w:rsidRDefault="00307A42" w:rsidP="00E66A39">
      <w:pPr>
        <w:pStyle w:val="ListParagraph"/>
        <w:widowControl/>
        <w:numPr>
          <w:ilvl w:val="1"/>
          <w:numId w:val="2"/>
        </w:numPr>
        <w:rPr>
          <w:szCs w:val="22"/>
        </w:rPr>
      </w:pPr>
      <w:r w:rsidRPr="006303AE">
        <w:rPr>
          <w:szCs w:val="22"/>
        </w:rPr>
        <w:t>Additionally, the re</w:t>
      </w:r>
      <w:r w:rsidR="00734933" w:rsidRPr="006303AE">
        <w:rPr>
          <w:szCs w:val="22"/>
        </w:rPr>
        <w:t xml:space="preserve">submission did not provide an explanation for the selection of the fees for medical costs. </w:t>
      </w:r>
      <w:r w:rsidR="000B5CCF" w:rsidRPr="0075017A">
        <w:rPr>
          <w:szCs w:val="22"/>
        </w:rPr>
        <w:t>However, the ESC noted that</w:t>
      </w:r>
      <w:r w:rsidR="000B5CCF">
        <w:rPr>
          <w:szCs w:val="22"/>
        </w:rPr>
        <w:t xml:space="preserve"> t</w:t>
      </w:r>
      <w:r w:rsidR="00734933" w:rsidRPr="006303AE">
        <w:rPr>
          <w:szCs w:val="22"/>
        </w:rPr>
        <w:t>he choice of MBS Item numbers with higher fees did not h</w:t>
      </w:r>
      <w:r w:rsidR="00D3347A">
        <w:rPr>
          <w:szCs w:val="22"/>
        </w:rPr>
        <w:t>ave a large impact on the ICER.</w:t>
      </w:r>
    </w:p>
    <w:p w:rsidR="00C50C31" w:rsidRPr="00C50C31" w:rsidRDefault="00C50C31" w:rsidP="00C50C31">
      <w:pPr>
        <w:pStyle w:val="ListParagraph"/>
        <w:rPr>
          <w:szCs w:val="22"/>
        </w:rPr>
      </w:pPr>
    </w:p>
    <w:p w:rsidR="00734933" w:rsidRPr="00021D2B" w:rsidRDefault="00734933" w:rsidP="00E66A39">
      <w:pPr>
        <w:pStyle w:val="ListParagraph"/>
        <w:widowControl/>
        <w:numPr>
          <w:ilvl w:val="1"/>
          <w:numId w:val="2"/>
        </w:numPr>
        <w:rPr>
          <w:szCs w:val="22"/>
        </w:rPr>
      </w:pPr>
      <w:r w:rsidRPr="00021D2B">
        <w:t>The results of the stepped</w:t>
      </w:r>
      <w:r w:rsidR="00307A42">
        <w:t xml:space="preserve"> economic evaluation for the re</w:t>
      </w:r>
      <w:r w:rsidRPr="00021D2B">
        <w:t>sub</w:t>
      </w:r>
      <w:r w:rsidR="006B13D0">
        <w:t>mission are presented in Table 7</w:t>
      </w:r>
      <w:r w:rsidRPr="00021D2B">
        <w:t>.</w:t>
      </w:r>
    </w:p>
    <w:p w:rsidR="00AF6B10" w:rsidRDefault="00AF6B10">
      <w:pPr>
        <w:widowControl/>
        <w:jc w:val="left"/>
        <w:rPr>
          <w:rStyle w:val="CommentReference"/>
        </w:rPr>
      </w:pPr>
      <w:r>
        <w:rPr>
          <w:rStyle w:val="CommentReference"/>
        </w:rPr>
        <w:br w:type="page"/>
      </w:r>
    </w:p>
    <w:p w:rsidR="00734933" w:rsidRDefault="006B13D0" w:rsidP="00D849EA">
      <w:pPr>
        <w:widowControl/>
        <w:ind w:firstLine="720"/>
        <w:rPr>
          <w:rStyle w:val="CommentReference"/>
        </w:rPr>
      </w:pPr>
      <w:r>
        <w:rPr>
          <w:rStyle w:val="CommentReference"/>
        </w:rPr>
        <w:lastRenderedPageBreak/>
        <w:t>Table 7</w:t>
      </w:r>
      <w:r w:rsidR="00734933" w:rsidRPr="001222FC">
        <w:rPr>
          <w:rStyle w:val="CommentReference"/>
        </w:rPr>
        <w:t>: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734933" w:rsidRPr="004E2ADC" w:rsidTr="00734933">
        <w:tc>
          <w:tcPr>
            <w:tcW w:w="1529" w:type="pct"/>
            <w:vAlign w:val="center"/>
          </w:tcPr>
          <w:p w:rsidR="00734933" w:rsidRPr="004E2ADC" w:rsidRDefault="00734933" w:rsidP="00D849EA">
            <w:pPr>
              <w:widowControl/>
              <w:jc w:val="left"/>
              <w:rPr>
                <w:rFonts w:ascii="Arial Narrow" w:hAnsi="Arial Narrow" w:cs="Times New Roman"/>
                <w:b/>
                <w:sz w:val="20"/>
              </w:rPr>
            </w:pPr>
            <w:r w:rsidRPr="004E2ADC">
              <w:rPr>
                <w:rFonts w:ascii="Arial Narrow" w:hAnsi="Arial Narrow" w:cs="Times New Roman"/>
                <w:b/>
                <w:sz w:val="20"/>
              </w:rPr>
              <w:t>Step and component</w:t>
            </w:r>
          </w:p>
        </w:tc>
        <w:tc>
          <w:tcPr>
            <w:tcW w:w="1359" w:type="pct"/>
          </w:tcPr>
          <w:p w:rsidR="00734933" w:rsidRPr="004E2ADC" w:rsidRDefault="00734933" w:rsidP="00D849EA">
            <w:pPr>
              <w:widowControl/>
              <w:jc w:val="center"/>
              <w:rPr>
                <w:rFonts w:ascii="Arial Narrow" w:hAnsi="Arial Narrow" w:cs="Times New Roman"/>
                <w:b/>
                <w:sz w:val="20"/>
              </w:rPr>
            </w:pPr>
            <w:proofErr w:type="spellStart"/>
            <w:r>
              <w:rPr>
                <w:rFonts w:ascii="Arial Narrow" w:hAnsi="Arial Narrow" w:cs="Times New Roman"/>
                <w:b/>
                <w:sz w:val="20"/>
              </w:rPr>
              <w:t>Somatropin</w:t>
            </w:r>
            <w:proofErr w:type="spellEnd"/>
          </w:p>
        </w:tc>
        <w:tc>
          <w:tcPr>
            <w:tcW w:w="1274" w:type="pct"/>
            <w:vAlign w:val="center"/>
          </w:tcPr>
          <w:p w:rsidR="00734933" w:rsidRPr="004E2ADC" w:rsidRDefault="00734933" w:rsidP="00D849EA">
            <w:pPr>
              <w:widowControl/>
              <w:jc w:val="center"/>
              <w:rPr>
                <w:rFonts w:ascii="Arial Narrow" w:hAnsi="Arial Narrow" w:cs="Times New Roman"/>
                <w:b/>
                <w:sz w:val="20"/>
              </w:rPr>
            </w:pPr>
            <w:r>
              <w:rPr>
                <w:rFonts w:ascii="Arial Narrow" w:hAnsi="Arial Narrow" w:cs="Times New Roman"/>
                <w:b/>
                <w:sz w:val="20"/>
              </w:rPr>
              <w:t>Standard care</w:t>
            </w:r>
          </w:p>
        </w:tc>
        <w:tc>
          <w:tcPr>
            <w:tcW w:w="838" w:type="pct"/>
          </w:tcPr>
          <w:p w:rsidR="00734933" w:rsidRPr="004E2ADC" w:rsidRDefault="00734933" w:rsidP="00D849EA">
            <w:pPr>
              <w:widowControl/>
              <w:jc w:val="center"/>
              <w:rPr>
                <w:rFonts w:ascii="Arial Narrow" w:hAnsi="Arial Narrow" w:cs="Times New Roman"/>
                <w:b/>
                <w:sz w:val="20"/>
              </w:rPr>
            </w:pPr>
            <w:r w:rsidRPr="004E2ADC">
              <w:rPr>
                <w:rFonts w:ascii="Arial Narrow" w:hAnsi="Arial Narrow" w:cs="Times New Roman"/>
                <w:b/>
                <w:sz w:val="20"/>
              </w:rPr>
              <w:t>Increment</w:t>
            </w:r>
          </w:p>
        </w:tc>
      </w:tr>
      <w:tr w:rsidR="00734933" w:rsidRPr="004E2ADC" w:rsidTr="00734933">
        <w:tc>
          <w:tcPr>
            <w:tcW w:w="5000" w:type="pct"/>
            <w:gridSpan w:val="4"/>
            <w:vAlign w:val="center"/>
          </w:tcPr>
          <w:p w:rsidR="00734933" w:rsidRPr="004E2ADC" w:rsidRDefault="00734933" w:rsidP="00D849EA">
            <w:pPr>
              <w:keepNext/>
              <w:widowControl/>
              <w:jc w:val="left"/>
              <w:rPr>
                <w:rFonts w:ascii="Arial Narrow" w:hAnsi="Arial Narrow" w:cs="Arial Narrow"/>
                <w:b/>
                <w:bCs/>
                <w:sz w:val="20"/>
              </w:rPr>
            </w:pPr>
            <w:r w:rsidRPr="004E2ADC">
              <w:rPr>
                <w:rFonts w:ascii="Arial Narrow" w:hAnsi="Arial Narrow" w:cs="Arial Narrow"/>
                <w:b/>
                <w:bCs/>
                <w:sz w:val="20"/>
              </w:rPr>
              <w:t xml:space="preserve">Step 1: </w:t>
            </w:r>
            <w:proofErr w:type="spellStart"/>
            <w:r>
              <w:rPr>
                <w:rFonts w:ascii="Arial Narrow" w:hAnsi="Arial Narrow" w:cs="Arial Narrow"/>
                <w:b/>
                <w:bCs/>
                <w:sz w:val="20"/>
              </w:rPr>
              <w:t>Holdaway</w:t>
            </w:r>
            <w:proofErr w:type="spellEnd"/>
            <w:r>
              <w:rPr>
                <w:rFonts w:ascii="Arial Narrow" w:hAnsi="Arial Narrow" w:cs="Arial Narrow"/>
                <w:b/>
                <w:bCs/>
                <w:sz w:val="20"/>
              </w:rPr>
              <w:t xml:space="preserve"> et al. (2015) study</w:t>
            </w:r>
            <w:r w:rsidRPr="004E2ADC">
              <w:rPr>
                <w:rFonts w:ascii="Arial Narrow" w:hAnsi="Arial Narrow" w:cs="Arial Narrow"/>
                <w:b/>
                <w:bCs/>
                <w:sz w:val="20"/>
              </w:rPr>
              <w:t>-based</w:t>
            </w:r>
            <w:r>
              <w:rPr>
                <w:rFonts w:ascii="Arial Narrow" w:hAnsi="Arial Narrow" w:cs="Arial Narrow"/>
                <w:b/>
                <w:bCs/>
                <w:sz w:val="20"/>
              </w:rPr>
              <w:t xml:space="preserve"> (3 years)</w:t>
            </w:r>
            <w:r w:rsidRPr="004E2ADC">
              <w:rPr>
                <w:rFonts w:ascii="Arial Narrow" w:hAnsi="Arial Narrow" w:cs="Arial Narrow"/>
                <w:b/>
                <w:bCs/>
                <w:sz w:val="20"/>
              </w:rPr>
              <w:t xml:space="preserve"> costs and outcomes</w:t>
            </w:r>
            <w:r>
              <w:rPr>
                <w:rFonts w:ascii="Arial Narrow" w:hAnsi="Arial Narrow" w:cs="Arial Narrow"/>
                <w:b/>
                <w:bCs/>
                <w:sz w:val="20"/>
              </w:rPr>
              <w:t xml:space="preserve"> (undiscounted)</w:t>
            </w:r>
          </w:p>
        </w:tc>
      </w:tr>
      <w:tr w:rsidR="00734933" w:rsidRPr="004E2ADC" w:rsidTr="00734933">
        <w:tc>
          <w:tcPr>
            <w:tcW w:w="1529" w:type="pct"/>
            <w:vAlign w:val="center"/>
          </w:tcPr>
          <w:p w:rsidR="00734933" w:rsidRPr="004E2ADC" w:rsidRDefault="00734933" w:rsidP="00D849EA">
            <w:pPr>
              <w:widowControl/>
              <w:jc w:val="left"/>
              <w:rPr>
                <w:rFonts w:ascii="Arial Narrow" w:hAnsi="Arial Narrow" w:cs="Times New Roman"/>
                <w:sz w:val="20"/>
              </w:rPr>
            </w:pPr>
            <w:r w:rsidRPr="004E2ADC">
              <w:rPr>
                <w:rFonts w:ascii="Arial Narrow" w:hAnsi="Arial Narrow" w:cs="Times New Roman"/>
                <w:sz w:val="20"/>
              </w:rPr>
              <w:t>Costs</w:t>
            </w:r>
          </w:p>
        </w:tc>
        <w:tc>
          <w:tcPr>
            <w:tcW w:w="1359" w:type="pct"/>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w:t>
            </w:r>
            <w:r w:rsidR="00647AE3">
              <w:rPr>
                <w:rFonts w:ascii="Arial Narrow" w:hAnsi="Arial Narrow" w:cs="Times New Roman"/>
                <w:noProof/>
                <w:color w:val="000000"/>
                <w:sz w:val="20"/>
                <w:highlight w:val="black"/>
              </w:rPr>
              <w:t>'''''''''''''''''</w:t>
            </w:r>
          </w:p>
        </w:tc>
        <w:tc>
          <w:tcPr>
            <w:tcW w:w="1274" w:type="pct"/>
            <w:vAlign w:val="center"/>
          </w:tcPr>
          <w:p w:rsidR="00734933" w:rsidRPr="004E2ADC" w:rsidRDefault="00734933" w:rsidP="00D849EA">
            <w:pPr>
              <w:widowControl/>
              <w:jc w:val="center"/>
              <w:rPr>
                <w:rFonts w:ascii="Arial Narrow" w:hAnsi="Arial Narrow" w:cs="Times New Roman"/>
                <w:sz w:val="20"/>
              </w:rPr>
            </w:pPr>
            <w:r w:rsidRPr="004E2ADC">
              <w:rPr>
                <w:rFonts w:ascii="Arial Narrow" w:hAnsi="Arial Narrow" w:cs="Times New Roman"/>
                <w:sz w:val="20"/>
              </w:rPr>
              <w:t>$</w:t>
            </w:r>
            <w:r>
              <w:rPr>
                <w:rFonts w:ascii="Arial Narrow" w:hAnsi="Arial Narrow" w:cs="Times New Roman"/>
                <w:sz w:val="20"/>
              </w:rPr>
              <w:t>0</w:t>
            </w:r>
          </w:p>
        </w:tc>
        <w:tc>
          <w:tcPr>
            <w:tcW w:w="838" w:type="pct"/>
          </w:tcPr>
          <w:p w:rsidR="00734933" w:rsidRPr="004E2ADC" w:rsidRDefault="00734933" w:rsidP="00D849EA">
            <w:pPr>
              <w:widowControl/>
              <w:jc w:val="center"/>
              <w:rPr>
                <w:rFonts w:ascii="Arial Narrow" w:hAnsi="Arial Narrow" w:cs="Times New Roman"/>
                <w:sz w:val="20"/>
              </w:rPr>
            </w:pPr>
            <w:r w:rsidRPr="004E2ADC">
              <w:rPr>
                <w:rFonts w:ascii="Arial Narrow" w:hAnsi="Arial Narrow" w:cs="Times New Roman"/>
                <w:sz w:val="20"/>
              </w:rPr>
              <w:t>$</w:t>
            </w:r>
            <w:r w:rsidR="00647AE3">
              <w:rPr>
                <w:rFonts w:ascii="Arial Narrow" w:hAnsi="Arial Narrow" w:cs="Times New Roman"/>
                <w:noProof/>
                <w:color w:val="000000"/>
                <w:sz w:val="20"/>
                <w:highlight w:val="black"/>
              </w:rPr>
              <w:t>'''''''''''''''''</w:t>
            </w:r>
          </w:p>
        </w:tc>
      </w:tr>
      <w:tr w:rsidR="00734933" w:rsidRPr="004E2ADC" w:rsidTr="00734933">
        <w:tc>
          <w:tcPr>
            <w:tcW w:w="1529" w:type="pct"/>
            <w:vAlign w:val="center"/>
          </w:tcPr>
          <w:p w:rsidR="00734933" w:rsidRPr="004E2ADC" w:rsidRDefault="00734933" w:rsidP="00D849EA">
            <w:pPr>
              <w:widowControl/>
              <w:jc w:val="left"/>
              <w:rPr>
                <w:rFonts w:ascii="Arial Narrow" w:hAnsi="Arial Narrow" w:cs="Times New Roman"/>
                <w:sz w:val="20"/>
              </w:rPr>
            </w:pPr>
            <w:r>
              <w:rPr>
                <w:rFonts w:ascii="Arial Narrow" w:hAnsi="Arial Narrow" w:cs="Times New Roman"/>
                <w:sz w:val="20"/>
              </w:rPr>
              <w:t xml:space="preserve">Outcome: </w:t>
            </w:r>
            <w:proofErr w:type="spellStart"/>
            <w:r>
              <w:rPr>
                <w:rFonts w:ascii="Arial Narrow" w:hAnsi="Arial Narrow" w:cs="Times New Roman"/>
                <w:sz w:val="20"/>
              </w:rPr>
              <w:t>QoL</w:t>
            </w:r>
            <w:proofErr w:type="spellEnd"/>
            <w:r>
              <w:rPr>
                <w:rFonts w:ascii="Arial Narrow" w:hAnsi="Arial Narrow" w:cs="Times New Roman"/>
                <w:sz w:val="20"/>
              </w:rPr>
              <w:t>-AGHDA score improvement</w:t>
            </w:r>
          </w:p>
        </w:tc>
        <w:tc>
          <w:tcPr>
            <w:tcW w:w="1359" w:type="pct"/>
            <w:vAlign w:val="center"/>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13 points</w:t>
            </w:r>
          </w:p>
        </w:tc>
        <w:tc>
          <w:tcPr>
            <w:tcW w:w="1274" w:type="pct"/>
            <w:vAlign w:val="center"/>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0 points</w:t>
            </w:r>
          </w:p>
        </w:tc>
        <w:tc>
          <w:tcPr>
            <w:tcW w:w="838" w:type="pct"/>
            <w:vAlign w:val="center"/>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 xml:space="preserve">13 points  improvement in </w:t>
            </w:r>
            <w:proofErr w:type="spellStart"/>
            <w:r>
              <w:rPr>
                <w:rFonts w:ascii="Arial Narrow" w:hAnsi="Arial Narrow" w:cs="Times New Roman"/>
                <w:sz w:val="20"/>
              </w:rPr>
              <w:t>QoL</w:t>
            </w:r>
            <w:proofErr w:type="spellEnd"/>
            <w:r>
              <w:rPr>
                <w:rFonts w:ascii="Arial Narrow" w:hAnsi="Arial Narrow" w:cs="Times New Roman"/>
                <w:sz w:val="20"/>
              </w:rPr>
              <w:t>-AGHDA</w:t>
            </w:r>
          </w:p>
        </w:tc>
      </w:tr>
      <w:tr w:rsidR="00734933" w:rsidRPr="004E2ADC" w:rsidTr="00734933">
        <w:tc>
          <w:tcPr>
            <w:tcW w:w="4162" w:type="pct"/>
            <w:gridSpan w:val="3"/>
            <w:vAlign w:val="center"/>
          </w:tcPr>
          <w:p w:rsidR="00734933" w:rsidRPr="004E2ADC" w:rsidRDefault="00734933" w:rsidP="00D849EA">
            <w:pPr>
              <w:widowControl/>
              <w:jc w:val="left"/>
              <w:rPr>
                <w:rFonts w:ascii="Arial Narrow" w:hAnsi="Arial Narrow" w:cs="Times New Roman"/>
                <w:sz w:val="20"/>
              </w:rPr>
            </w:pPr>
            <w:r>
              <w:rPr>
                <w:rFonts w:ascii="Arial Narrow" w:hAnsi="Arial Narrow" w:cs="Times New Roman"/>
                <w:b/>
                <w:snapToGrid/>
                <w:sz w:val="20"/>
              </w:rPr>
              <w:t xml:space="preserve">ICER per 1 point of improvement in </w:t>
            </w:r>
            <w:proofErr w:type="spellStart"/>
            <w:r>
              <w:rPr>
                <w:rFonts w:ascii="Arial Narrow" w:hAnsi="Arial Narrow" w:cs="Times New Roman"/>
                <w:b/>
                <w:snapToGrid/>
                <w:sz w:val="20"/>
              </w:rPr>
              <w:t>QoL</w:t>
            </w:r>
            <w:proofErr w:type="spellEnd"/>
            <w:r>
              <w:rPr>
                <w:rFonts w:ascii="Arial Narrow" w:hAnsi="Arial Narrow" w:cs="Times New Roman"/>
                <w:b/>
                <w:snapToGrid/>
                <w:sz w:val="20"/>
              </w:rPr>
              <w:t>-AGHDA</w:t>
            </w:r>
            <w:r w:rsidRPr="004E2ADC">
              <w:rPr>
                <w:rFonts w:ascii="Arial Narrow" w:hAnsi="Arial Narrow" w:cs="Times New Roman"/>
                <w:b/>
                <w:snapToGrid/>
                <w:sz w:val="20"/>
              </w:rPr>
              <w:t xml:space="preserve"> gained</w:t>
            </w:r>
          </w:p>
        </w:tc>
        <w:tc>
          <w:tcPr>
            <w:tcW w:w="838" w:type="pct"/>
          </w:tcPr>
          <w:p w:rsidR="00734933" w:rsidRPr="004E2ADC" w:rsidRDefault="00734933" w:rsidP="00D849EA">
            <w:pPr>
              <w:widowControl/>
              <w:jc w:val="center"/>
              <w:rPr>
                <w:rFonts w:ascii="Arial Narrow" w:hAnsi="Arial Narrow" w:cs="Times New Roman"/>
                <w:sz w:val="20"/>
              </w:rPr>
            </w:pPr>
            <w:r w:rsidRPr="004E2ADC">
              <w:rPr>
                <w:rFonts w:ascii="Arial Narrow" w:hAnsi="Arial Narrow" w:cs="Times New Roman"/>
                <w:b/>
                <w:sz w:val="20"/>
              </w:rPr>
              <w:t>$</w:t>
            </w:r>
            <w:r w:rsidR="00647AE3">
              <w:rPr>
                <w:rFonts w:ascii="Arial Narrow" w:hAnsi="Arial Narrow" w:cs="Times New Roman"/>
                <w:b/>
                <w:noProof/>
                <w:color w:val="000000"/>
                <w:sz w:val="20"/>
                <w:highlight w:val="black"/>
              </w:rPr>
              <w:t>'''''''''''</w:t>
            </w:r>
          </w:p>
        </w:tc>
      </w:tr>
      <w:tr w:rsidR="00734933" w:rsidRPr="004E2ADC" w:rsidTr="00734933">
        <w:tc>
          <w:tcPr>
            <w:tcW w:w="5000" w:type="pct"/>
            <w:gridSpan w:val="4"/>
            <w:vAlign w:val="center"/>
          </w:tcPr>
          <w:p w:rsidR="00734933" w:rsidRPr="004E2ADC" w:rsidRDefault="00734933" w:rsidP="00D3347A">
            <w:pPr>
              <w:keepNext/>
              <w:widowControl/>
              <w:jc w:val="left"/>
              <w:rPr>
                <w:rFonts w:ascii="Arial Narrow" w:hAnsi="Arial Narrow" w:cs="Arial Narrow"/>
                <w:b/>
                <w:bCs/>
                <w:sz w:val="20"/>
              </w:rPr>
            </w:pPr>
            <w:r w:rsidRPr="004E2ADC">
              <w:rPr>
                <w:rFonts w:ascii="Arial Narrow" w:hAnsi="Arial Narrow" w:cs="Arial Narrow"/>
                <w:b/>
                <w:bCs/>
                <w:sz w:val="20"/>
              </w:rPr>
              <w:t xml:space="preserve">Step 2: </w:t>
            </w:r>
            <w:proofErr w:type="spellStart"/>
            <w:r>
              <w:rPr>
                <w:rFonts w:ascii="Arial Narrow" w:hAnsi="Arial Narrow" w:cs="Arial Narrow"/>
                <w:b/>
                <w:bCs/>
                <w:sz w:val="20"/>
              </w:rPr>
              <w:t>Holdaway</w:t>
            </w:r>
            <w:proofErr w:type="spellEnd"/>
            <w:r>
              <w:rPr>
                <w:rFonts w:ascii="Arial Narrow" w:hAnsi="Arial Narrow" w:cs="Arial Narrow"/>
                <w:b/>
                <w:bCs/>
                <w:sz w:val="20"/>
              </w:rPr>
              <w:t xml:space="preserve"> et al. (2015) study</w:t>
            </w:r>
            <w:r w:rsidRPr="004E2ADC">
              <w:rPr>
                <w:rFonts w:ascii="Arial Narrow" w:hAnsi="Arial Narrow" w:cs="Arial Narrow"/>
                <w:b/>
                <w:bCs/>
                <w:sz w:val="20"/>
              </w:rPr>
              <w:t>-based</w:t>
            </w:r>
            <w:r>
              <w:rPr>
                <w:rFonts w:ascii="Arial Narrow" w:hAnsi="Arial Narrow" w:cs="Arial Narrow"/>
                <w:b/>
                <w:bCs/>
                <w:sz w:val="20"/>
              </w:rPr>
              <w:t xml:space="preserve"> (3 years) </w:t>
            </w:r>
            <w:r w:rsidRPr="004E2ADC">
              <w:rPr>
                <w:rFonts w:ascii="Arial Narrow" w:hAnsi="Arial Narrow" w:cs="Arial Narrow"/>
                <w:b/>
                <w:bCs/>
                <w:sz w:val="20"/>
              </w:rPr>
              <w:t>costs and outcomes</w:t>
            </w:r>
            <w:r>
              <w:rPr>
                <w:rFonts w:ascii="Arial Narrow" w:hAnsi="Arial Narrow" w:cs="Arial Narrow"/>
                <w:b/>
                <w:bCs/>
                <w:sz w:val="20"/>
              </w:rPr>
              <w:t xml:space="preserve"> (</w:t>
            </w:r>
            <w:proofErr w:type="spellStart"/>
            <w:r w:rsidR="00D3347A">
              <w:rPr>
                <w:rFonts w:ascii="Arial Narrow" w:hAnsi="Arial Narrow" w:cs="Arial Narrow"/>
                <w:b/>
                <w:bCs/>
                <w:sz w:val="20"/>
              </w:rPr>
              <w:t>QALY</w:t>
            </w:r>
            <w:r>
              <w:rPr>
                <w:rFonts w:ascii="Arial Narrow" w:hAnsi="Arial Narrow" w:cs="Arial Narrow"/>
                <w:b/>
                <w:bCs/>
                <w:sz w:val="20"/>
              </w:rPr>
              <w:t>ed</w:t>
            </w:r>
            <w:proofErr w:type="spellEnd"/>
            <w:r>
              <w:rPr>
                <w:rFonts w:ascii="Arial Narrow" w:hAnsi="Arial Narrow" w:cs="Arial Narrow"/>
                <w:b/>
                <w:bCs/>
                <w:sz w:val="20"/>
              </w:rPr>
              <w:t>)</w:t>
            </w:r>
          </w:p>
        </w:tc>
      </w:tr>
      <w:tr w:rsidR="00734933" w:rsidRPr="00CD2E49" w:rsidTr="00734933">
        <w:tc>
          <w:tcPr>
            <w:tcW w:w="1529" w:type="pct"/>
            <w:vAlign w:val="center"/>
          </w:tcPr>
          <w:p w:rsidR="00734933" w:rsidRPr="004E2ADC" w:rsidRDefault="00734933" w:rsidP="00D849EA">
            <w:pPr>
              <w:widowControl/>
              <w:jc w:val="left"/>
              <w:rPr>
                <w:rFonts w:ascii="Arial Narrow" w:hAnsi="Arial Narrow" w:cs="Times New Roman"/>
                <w:sz w:val="20"/>
              </w:rPr>
            </w:pPr>
            <w:r w:rsidRPr="004E2ADC">
              <w:rPr>
                <w:rFonts w:ascii="Arial Narrow" w:hAnsi="Arial Narrow" w:cs="Times New Roman"/>
                <w:sz w:val="20"/>
              </w:rPr>
              <w:t>Costs</w:t>
            </w:r>
          </w:p>
        </w:tc>
        <w:tc>
          <w:tcPr>
            <w:tcW w:w="1359" w:type="pct"/>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w:t>
            </w:r>
            <w:r w:rsidR="00647AE3">
              <w:rPr>
                <w:rFonts w:ascii="Arial Narrow" w:hAnsi="Arial Narrow" w:cs="Times New Roman"/>
                <w:noProof/>
                <w:color w:val="000000"/>
                <w:sz w:val="20"/>
                <w:highlight w:val="black"/>
              </w:rPr>
              <w:t>'''''''''''''''</w:t>
            </w:r>
          </w:p>
        </w:tc>
        <w:tc>
          <w:tcPr>
            <w:tcW w:w="1274" w:type="pct"/>
            <w:vAlign w:val="center"/>
          </w:tcPr>
          <w:p w:rsidR="00734933" w:rsidRPr="004E2ADC" w:rsidRDefault="00734933" w:rsidP="00D849EA">
            <w:pPr>
              <w:widowControl/>
              <w:jc w:val="center"/>
              <w:rPr>
                <w:rFonts w:ascii="Arial Narrow" w:hAnsi="Arial Narrow" w:cs="Times New Roman"/>
                <w:sz w:val="20"/>
              </w:rPr>
            </w:pPr>
            <w:r w:rsidRPr="004E2ADC">
              <w:rPr>
                <w:rFonts w:ascii="Arial Narrow" w:hAnsi="Arial Narrow" w:cs="Times New Roman"/>
                <w:sz w:val="20"/>
              </w:rPr>
              <w:t>$</w:t>
            </w:r>
            <w:r>
              <w:rPr>
                <w:rFonts w:ascii="Arial Narrow" w:hAnsi="Arial Narrow" w:cs="Times New Roman"/>
                <w:sz w:val="20"/>
              </w:rPr>
              <w:t>438</w:t>
            </w:r>
          </w:p>
        </w:tc>
        <w:tc>
          <w:tcPr>
            <w:tcW w:w="838" w:type="pct"/>
          </w:tcPr>
          <w:p w:rsidR="00734933" w:rsidRPr="00CD2E49" w:rsidRDefault="00734933" w:rsidP="00D849EA">
            <w:pPr>
              <w:widowControl/>
              <w:jc w:val="center"/>
              <w:rPr>
                <w:rFonts w:ascii="Arial Narrow" w:hAnsi="Arial Narrow" w:cs="Times New Roman"/>
                <w:sz w:val="20"/>
              </w:rPr>
            </w:pPr>
            <w:r w:rsidRPr="00CD2E49">
              <w:rPr>
                <w:rFonts w:ascii="Arial Narrow" w:hAnsi="Arial Narrow" w:cs="Times New Roman"/>
                <w:sz w:val="20"/>
              </w:rPr>
              <w:t>$</w:t>
            </w:r>
            <w:r w:rsidR="00647AE3">
              <w:rPr>
                <w:rFonts w:ascii="Arial Narrow" w:hAnsi="Arial Narrow" w:cs="Times New Roman"/>
                <w:noProof/>
                <w:color w:val="000000"/>
                <w:sz w:val="20"/>
                <w:highlight w:val="black"/>
              </w:rPr>
              <w:t>''''''''''''''''</w:t>
            </w:r>
          </w:p>
        </w:tc>
      </w:tr>
      <w:tr w:rsidR="00734933" w:rsidRPr="00CD2E49" w:rsidTr="00734933">
        <w:tc>
          <w:tcPr>
            <w:tcW w:w="1529" w:type="pct"/>
            <w:vAlign w:val="center"/>
          </w:tcPr>
          <w:p w:rsidR="00734933" w:rsidRPr="004E2ADC" w:rsidRDefault="00734933" w:rsidP="00D849EA">
            <w:pPr>
              <w:widowControl/>
              <w:jc w:val="left"/>
              <w:rPr>
                <w:rFonts w:ascii="Arial Narrow" w:hAnsi="Arial Narrow" w:cs="Times New Roman"/>
                <w:sz w:val="20"/>
              </w:rPr>
            </w:pPr>
            <w:r>
              <w:rPr>
                <w:rFonts w:ascii="Arial Narrow" w:hAnsi="Arial Narrow" w:cs="Times New Roman"/>
                <w:sz w:val="20"/>
              </w:rPr>
              <w:t>QALY gained</w:t>
            </w:r>
          </w:p>
        </w:tc>
        <w:tc>
          <w:tcPr>
            <w:tcW w:w="1359" w:type="pct"/>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2.03</w:t>
            </w:r>
          </w:p>
        </w:tc>
        <w:tc>
          <w:tcPr>
            <w:tcW w:w="1274" w:type="pct"/>
            <w:vAlign w:val="center"/>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1.57</w:t>
            </w:r>
          </w:p>
        </w:tc>
        <w:tc>
          <w:tcPr>
            <w:tcW w:w="838" w:type="pct"/>
          </w:tcPr>
          <w:p w:rsidR="00734933" w:rsidRPr="00CD2E49" w:rsidRDefault="00734933" w:rsidP="00D849EA">
            <w:pPr>
              <w:widowControl/>
              <w:jc w:val="center"/>
              <w:rPr>
                <w:rFonts w:ascii="Arial Narrow" w:hAnsi="Arial Narrow" w:cs="Times New Roman"/>
                <w:sz w:val="20"/>
              </w:rPr>
            </w:pPr>
            <w:r w:rsidRPr="00CD2E49">
              <w:rPr>
                <w:rFonts w:ascii="Arial Narrow" w:hAnsi="Arial Narrow" w:cs="Times New Roman"/>
                <w:sz w:val="20"/>
              </w:rPr>
              <w:t>0.46</w:t>
            </w:r>
          </w:p>
        </w:tc>
      </w:tr>
      <w:tr w:rsidR="00734933" w:rsidRPr="00CD2E49" w:rsidTr="00734933">
        <w:trPr>
          <w:trHeight w:val="70"/>
        </w:trPr>
        <w:tc>
          <w:tcPr>
            <w:tcW w:w="4162" w:type="pct"/>
            <w:gridSpan w:val="3"/>
            <w:shd w:val="clear" w:color="auto" w:fill="auto"/>
            <w:vAlign w:val="center"/>
          </w:tcPr>
          <w:p w:rsidR="00734933" w:rsidRPr="002F6DB3" w:rsidRDefault="00734933" w:rsidP="00D849EA">
            <w:pPr>
              <w:widowControl/>
              <w:jc w:val="left"/>
              <w:rPr>
                <w:rFonts w:ascii="Arial Narrow" w:hAnsi="Arial Narrow" w:cs="Times New Roman"/>
                <w:sz w:val="20"/>
              </w:rPr>
            </w:pPr>
            <w:r w:rsidRPr="002F6DB3">
              <w:rPr>
                <w:rFonts w:ascii="Arial Narrow" w:hAnsi="Arial Narrow" w:cs="Times New Roman"/>
                <w:b/>
                <w:snapToGrid/>
                <w:sz w:val="20"/>
              </w:rPr>
              <w:t>Incremental cost/ QALY gained</w:t>
            </w:r>
          </w:p>
        </w:tc>
        <w:tc>
          <w:tcPr>
            <w:tcW w:w="838" w:type="pct"/>
          </w:tcPr>
          <w:p w:rsidR="00734933" w:rsidRPr="00CD2E49" w:rsidRDefault="00734933" w:rsidP="00D849EA">
            <w:pPr>
              <w:widowControl/>
              <w:jc w:val="center"/>
              <w:rPr>
                <w:rFonts w:ascii="Arial Narrow" w:hAnsi="Arial Narrow" w:cs="Times New Roman"/>
                <w:sz w:val="20"/>
              </w:rPr>
            </w:pPr>
            <w:r w:rsidRPr="00CD2E49">
              <w:rPr>
                <w:rFonts w:ascii="Arial Narrow" w:hAnsi="Arial Narrow" w:cs="Times New Roman"/>
                <w:b/>
                <w:sz w:val="20"/>
              </w:rPr>
              <w:t>$</w:t>
            </w:r>
            <w:r w:rsidR="00647AE3">
              <w:rPr>
                <w:rFonts w:ascii="Arial Narrow" w:hAnsi="Arial Narrow" w:cs="Times New Roman"/>
                <w:b/>
                <w:noProof/>
                <w:color w:val="000000"/>
                <w:sz w:val="20"/>
                <w:highlight w:val="black"/>
              </w:rPr>
              <w:t>''''''''''''</w:t>
            </w:r>
          </w:p>
        </w:tc>
      </w:tr>
      <w:tr w:rsidR="00734933" w:rsidRPr="00CD2E49" w:rsidTr="00734933">
        <w:tc>
          <w:tcPr>
            <w:tcW w:w="5000" w:type="pct"/>
            <w:gridSpan w:val="4"/>
            <w:vAlign w:val="center"/>
          </w:tcPr>
          <w:p w:rsidR="00734933" w:rsidRPr="00CD2E49" w:rsidRDefault="00734933" w:rsidP="00D849EA">
            <w:pPr>
              <w:keepNext/>
              <w:widowControl/>
              <w:jc w:val="left"/>
              <w:rPr>
                <w:rFonts w:ascii="Arial Narrow" w:hAnsi="Arial Narrow" w:cs="Arial Narrow"/>
                <w:b/>
                <w:bCs/>
                <w:sz w:val="20"/>
              </w:rPr>
            </w:pPr>
            <w:r w:rsidRPr="00CD2E49">
              <w:rPr>
                <w:rFonts w:ascii="Arial Narrow" w:hAnsi="Arial Narrow" w:cs="Arial Narrow"/>
                <w:b/>
                <w:bCs/>
                <w:sz w:val="20"/>
              </w:rPr>
              <w:t>Step 3: Lifetime model, discounted (base case)</w:t>
            </w:r>
          </w:p>
        </w:tc>
      </w:tr>
      <w:tr w:rsidR="00734933" w:rsidRPr="004E2ADC" w:rsidTr="00734933">
        <w:tc>
          <w:tcPr>
            <w:tcW w:w="1529" w:type="pct"/>
            <w:vAlign w:val="center"/>
          </w:tcPr>
          <w:p w:rsidR="00734933" w:rsidRPr="004E2ADC" w:rsidRDefault="00734933" w:rsidP="00D849EA">
            <w:pPr>
              <w:widowControl/>
              <w:jc w:val="left"/>
              <w:rPr>
                <w:rFonts w:ascii="Arial Narrow" w:hAnsi="Arial Narrow" w:cs="Times New Roman"/>
                <w:sz w:val="20"/>
              </w:rPr>
            </w:pPr>
            <w:r w:rsidRPr="004E2ADC">
              <w:rPr>
                <w:rFonts w:ascii="Arial Narrow" w:hAnsi="Arial Narrow" w:cs="Times New Roman"/>
                <w:sz w:val="20"/>
              </w:rPr>
              <w:t>Costs</w:t>
            </w:r>
          </w:p>
        </w:tc>
        <w:tc>
          <w:tcPr>
            <w:tcW w:w="1359" w:type="pct"/>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w:t>
            </w:r>
            <w:r w:rsidR="00647AE3">
              <w:rPr>
                <w:rFonts w:ascii="Arial Narrow" w:hAnsi="Arial Narrow" w:cs="Times New Roman"/>
                <w:noProof/>
                <w:color w:val="000000"/>
                <w:sz w:val="20"/>
                <w:highlight w:val="black"/>
              </w:rPr>
              <w:t>'''''''''''''''''</w:t>
            </w:r>
          </w:p>
        </w:tc>
        <w:tc>
          <w:tcPr>
            <w:tcW w:w="1274" w:type="pct"/>
            <w:vAlign w:val="center"/>
          </w:tcPr>
          <w:p w:rsidR="00734933" w:rsidRPr="004E2ADC" w:rsidRDefault="00734933" w:rsidP="00D849EA">
            <w:pPr>
              <w:widowControl/>
              <w:jc w:val="center"/>
              <w:rPr>
                <w:rFonts w:ascii="Arial Narrow" w:hAnsi="Arial Narrow" w:cs="Times New Roman"/>
                <w:sz w:val="20"/>
              </w:rPr>
            </w:pPr>
            <w:r w:rsidRPr="004E2ADC">
              <w:rPr>
                <w:rFonts w:ascii="Arial Narrow" w:hAnsi="Arial Narrow" w:cs="Times New Roman"/>
                <w:sz w:val="20"/>
              </w:rPr>
              <w:t>$</w:t>
            </w:r>
            <w:r>
              <w:rPr>
                <w:rFonts w:ascii="Arial Narrow" w:hAnsi="Arial Narrow" w:cs="Times New Roman"/>
                <w:sz w:val="20"/>
              </w:rPr>
              <w:t>2,573</w:t>
            </w:r>
          </w:p>
        </w:tc>
        <w:tc>
          <w:tcPr>
            <w:tcW w:w="838" w:type="pct"/>
          </w:tcPr>
          <w:p w:rsidR="00734933" w:rsidRPr="004E2ADC" w:rsidRDefault="00734933" w:rsidP="00D849EA">
            <w:pPr>
              <w:widowControl/>
              <w:jc w:val="center"/>
              <w:rPr>
                <w:rFonts w:ascii="Arial Narrow" w:hAnsi="Arial Narrow" w:cs="Times New Roman"/>
                <w:sz w:val="20"/>
              </w:rPr>
            </w:pPr>
            <w:r w:rsidRPr="004E2ADC">
              <w:rPr>
                <w:rFonts w:ascii="Arial Narrow" w:hAnsi="Arial Narrow" w:cs="Times New Roman"/>
                <w:sz w:val="20"/>
              </w:rPr>
              <w:t>$</w:t>
            </w:r>
            <w:r w:rsidR="00647AE3">
              <w:rPr>
                <w:rFonts w:ascii="Arial Narrow" w:hAnsi="Arial Narrow" w:cs="Times New Roman"/>
                <w:noProof/>
                <w:color w:val="000000"/>
                <w:sz w:val="20"/>
                <w:highlight w:val="black"/>
              </w:rPr>
              <w:t>''''''''''''''''</w:t>
            </w:r>
          </w:p>
        </w:tc>
      </w:tr>
      <w:tr w:rsidR="00734933" w:rsidRPr="004E2ADC" w:rsidTr="00734933">
        <w:tc>
          <w:tcPr>
            <w:tcW w:w="1529" w:type="pct"/>
            <w:vAlign w:val="center"/>
          </w:tcPr>
          <w:p w:rsidR="00734933" w:rsidRPr="004E2ADC" w:rsidRDefault="00734933" w:rsidP="00D849EA">
            <w:pPr>
              <w:widowControl/>
              <w:jc w:val="left"/>
              <w:rPr>
                <w:rFonts w:ascii="Arial Narrow" w:hAnsi="Arial Narrow" w:cs="Times New Roman"/>
                <w:sz w:val="20"/>
              </w:rPr>
            </w:pPr>
            <w:r>
              <w:rPr>
                <w:rFonts w:ascii="Arial Narrow" w:hAnsi="Arial Narrow" w:cs="Times New Roman"/>
                <w:sz w:val="20"/>
              </w:rPr>
              <w:t>QALY gained</w:t>
            </w:r>
          </w:p>
        </w:tc>
        <w:tc>
          <w:tcPr>
            <w:tcW w:w="1359" w:type="pct"/>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10.75</w:t>
            </w:r>
          </w:p>
        </w:tc>
        <w:tc>
          <w:tcPr>
            <w:tcW w:w="1274" w:type="pct"/>
            <w:vAlign w:val="center"/>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8.80</w:t>
            </w:r>
          </w:p>
        </w:tc>
        <w:tc>
          <w:tcPr>
            <w:tcW w:w="838" w:type="pct"/>
          </w:tcPr>
          <w:p w:rsidR="00734933" w:rsidRPr="004E2ADC" w:rsidRDefault="00734933" w:rsidP="00D849EA">
            <w:pPr>
              <w:widowControl/>
              <w:jc w:val="center"/>
              <w:rPr>
                <w:rFonts w:ascii="Arial Narrow" w:hAnsi="Arial Narrow" w:cs="Times New Roman"/>
                <w:sz w:val="20"/>
              </w:rPr>
            </w:pPr>
            <w:r>
              <w:rPr>
                <w:rFonts w:ascii="Arial Narrow" w:hAnsi="Arial Narrow" w:cs="Times New Roman"/>
                <w:sz w:val="20"/>
              </w:rPr>
              <w:t>1.95</w:t>
            </w:r>
          </w:p>
        </w:tc>
      </w:tr>
      <w:tr w:rsidR="00734933" w:rsidRPr="004E2ADC" w:rsidTr="00734933">
        <w:tc>
          <w:tcPr>
            <w:tcW w:w="4162" w:type="pct"/>
            <w:gridSpan w:val="3"/>
            <w:vAlign w:val="center"/>
          </w:tcPr>
          <w:p w:rsidR="00734933" w:rsidRPr="004E2ADC" w:rsidRDefault="00734933" w:rsidP="00D849EA">
            <w:pPr>
              <w:widowControl/>
              <w:jc w:val="left"/>
              <w:rPr>
                <w:rFonts w:ascii="Arial Narrow" w:hAnsi="Arial Narrow" w:cs="Times New Roman"/>
                <w:b/>
                <w:sz w:val="20"/>
              </w:rPr>
            </w:pPr>
            <w:r>
              <w:rPr>
                <w:rFonts w:ascii="Arial Narrow" w:hAnsi="Arial Narrow" w:cs="Times New Roman"/>
                <w:b/>
                <w:sz w:val="20"/>
              </w:rPr>
              <w:t>Incremental cost/ QALY</w:t>
            </w:r>
            <w:r w:rsidRPr="004E2ADC">
              <w:rPr>
                <w:rFonts w:ascii="Arial Narrow" w:hAnsi="Arial Narrow" w:cs="Times New Roman"/>
                <w:b/>
                <w:sz w:val="20"/>
              </w:rPr>
              <w:t xml:space="preserve"> gained</w:t>
            </w:r>
          </w:p>
        </w:tc>
        <w:tc>
          <w:tcPr>
            <w:tcW w:w="838" w:type="pct"/>
          </w:tcPr>
          <w:p w:rsidR="00734933" w:rsidRPr="004E2ADC" w:rsidRDefault="00734933" w:rsidP="00D849EA">
            <w:pPr>
              <w:widowControl/>
              <w:jc w:val="center"/>
              <w:rPr>
                <w:rFonts w:ascii="Arial Narrow" w:hAnsi="Arial Narrow" w:cs="Times New Roman"/>
                <w:b/>
                <w:sz w:val="20"/>
              </w:rPr>
            </w:pPr>
            <w:r w:rsidRPr="004E2ADC">
              <w:rPr>
                <w:rFonts w:ascii="Arial Narrow" w:hAnsi="Arial Narrow" w:cs="Times New Roman"/>
                <w:b/>
                <w:sz w:val="20"/>
              </w:rPr>
              <w:t>$</w:t>
            </w:r>
            <w:r w:rsidR="00647AE3">
              <w:rPr>
                <w:rFonts w:ascii="Arial Narrow" w:hAnsi="Arial Narrow" w:cs="Times New Roman"/>
                <w:b/>
                <w:noProof/>
                <w:color w:val="000000"/>
                <w:sz w:val="20"/>
                <w:highlight w:val="black"/>
              </w:rPr>
              <w:t>'''''''''''''</w:t>
            </w:r>
          </w:p>
        </w:tc>
      </w:tr>
    </w:tbl>
    <w:p w:rsidR="00734933" w:rsidRPr="006119BA" w:rsidRDefault="00734933" w:rsidP="00D849EA">
      <w:pPr>
        <w:pStyle w:val="TableFooter"/>
        <w:widowControl/>
        <w:ind w:left="720"/>
        <w:rPr>
          <w:szCs w:val="18"/>
        </w:rPr>
      </w:pPr>
      <w:r w:rsidRPr="006119BA">
        <w:rPr>
          <w:szCs w:val="18"/>
        </w:rPr>
        <w:t xml:space="preserve">Source: </w:t>
      </w:r>
      <w:r w:rsidR="00912389" w:rsidRPr="006119BA">
        <w:rPr>
          <w:szCs w:val="18"/>
        </w:rPr>
        <w:t xml:space="preserve">Table 44, p.68, of the </w:t>
      </w:r>
      <w:r w:rsidR="00014970" w:rsidRPr="006119BA">
        <w:rPr>
          <w:szCs w:val="18"/>
        </w:rPr>
        <w:t>resubmission</w:t>
      </w:r>
      <w:r w:rsidRPr="006119BA">
        <w:rPr>
          <w:szCs w:val="18"/>
        </w:rPr>
        <w:t xml:space="preserve">. Abbreviations: </w:t>
      </w:r>
      <w:proofErr w:type="spellStart"/>
      <w:r w:rsidRPr="006119BA">
        <w:rPr>
          <w:szCs w:val="18"/>
        </w:rPr>
        <w:t>QoL</w:t>
      </w:r>
      <w:proofErr w:type="spellEnd"/>
      <w:r w:rsidRPr="006119BA">
        <w:rPr>
          <w:szCs w:val="18"/>
        </w:rPr>
        <w:t xml:space="preserve">-AGHDA = </w:t>
      </w:r>
      <w:r w:rsidRPr="006119BA">
        <w:rPr>
          <w:rFonts w:eastAsia="Calibri" w:cs="Calibri"/>
          <w:snapToGrid/>
          <w:szCs w:val="18"/>
        </w:rPr>
        <w:t xml:space="preserve">quality of life assessment of growth hormone deficiency in adults, </w:t>
      </w:r>
      <w:r w:rsidRPr="006119BA">
        <w:rPr>
          <w:szCs w:val="18"/>
        </w:rPr>
        <w:t>QALY = quality adjusted life years.</w:t>
      </w:r>
    </w:p>
    <w:p w:rsidR="00734933" w:rsidRPr="00D110BD" w:rsidRDefault="00734933" w:rsidP="00D849EA">
      <w:pPr>
        <w:pStyle w:val="TableFooter"/>
        <w:widowControl/>
        <w:ind w:left="720"/>
        <w:rPr>
          <w:szCs w:val="22"/>
        </w:rPr>
      </w:pPr>
    </w:p>
    <w:p w:rsidR="00E250D3" w:rsidRPr="00E250D3" w:rsidRDefault="00734933" w:rsidP="00E66A39">
      <w:pPr>
        <w:pStyle w:val="ListParagraph"/>
        <w:widowControl/>
        <w:numPr>
          <w:ilvl w:val="1"/>
          <w:numId w:val="2"/>
        </w:numPr>
        <w:rPr>
          <w:szCs w:val="22"/>
        </w:rPr>
      </w:pPr>
      <w:r w:rsidRPr="006303AE">
        <w:t xml:space="preserve">The estimated ICER presented in the July 2011 submission was </w:t>
      </w:r>
      <w:r w:rsidR="00AF6B10">
        <w:t>$45,000 - $75,000 per QALY</w:t>
      </w:r>
      <w:r w:rsidRPr="006303AE">
        <w:t xml:space="preserve"> based on </w:t>
      </w:r>
      <w:proofErr w:type="gramStart"/>
      <w:r w:rsidR="00912389" w:rsidRPr="006303AE">
        <w:t>a five</w:t>
      </w:r>
      <w:proofErr w:type="gramEnd"/>
      <w:r w:rsidRPr="006303AE">
        <w:t xml:space="preserve"> year model duration. A sensitivity analysis was conducted in the </w:t>
      </w:r>
      <w:r w:rsidR="00014970" w:rsidRPr="006303AE">
        <w:t>resubmission</w:t>
      </w:r>
      <w:r w:rsidRPr="006303AE">
        <w:t xml:space="preserve"> using a </w:t>
      </w:r>
      <w:r w:rsidR="00413F36">
        <w:t>five</w:t>
      </w:r>
      <w:r w:rsidRPr="006303AE">
        <w:t xml:space="preserve"> year time horizon, resulting in an estimated ICER of </w:t>
      </w:r>
      <w:r w:rsidR="00AF6B10">
        <w:t>$15,000 - $45,000</w:t>
      </w:r>
      <w:r w:rsidRPr="006303AE">
        <w:t xml:space="preserve">. The </w:t>
      </w:r>
      <w:r w:rsidR="00014970" w:rsidRPr="006303AE">
        <w:t>resubmission</w:t>
      </w:r>
      <w:r w:rsidRPr="006303AE">
        <w:t xml:space="preserve"> presented univariate and multivariate sensitivity analyses. The changes in parameters resulted in</w:t>
      </w:r>
      <w:r w:rsidR="00D3347A">
        <w:t xml:space="preserve"> a moderate impact on the ICER.</w:t>
      </w:r>
    </w:p>
    <w:p w:rsidR="00E250D3" w:rsidRDefault="00E250D3" w:rsidP="00E250D3">
      <w:pPr>
        <w:pStyle w:val="ListParagraph"/>
        <w:widowControl/>
        <w:rPr>
          <w:color w:val="0070C0"/>
        </w:rPr>
      </w:pPr>
    </w:p>
    <w:p w:rsidR="00E250D3" w:rsidRPr="00A86D2B" w:rsidRDefault="00E250D3" w:rsidP="00E250D3">
      <w:pPr>
        <w:pStyle w:val="ListParagraph"/>
        <w:widowControl/>
        <w:numPr>
          <w:ilvl w:val="1"/>
          <w:numId w:val="2"/>
        </w:numPr>
      </w:pPr>
      <w:r w:rsidRPr="00A86D2B">
        <w:t xml:space="preserve">The ICER is most sensitive to the assumption of a 13-point improvement in </w:t>
      </w:r>
      <w:proofErr w:type="spellStart"/>
      <w:r w:rsidRPr="00A86D2B">
        <w:t>QoL</w:t>
      </w:r>
      <w:proofErr w:type="spellEnd"/>
      <w:r w:rsidRPr="00A86D2B">
        <w:t xml:space="preserve">-AGHDA scores in </w:t>
      </w:r>
      <w:proofErr w:type="spellStart"/>
      <w:r w:rsidRPr="00A86D2B">
        <w:t>somatropin</w:t>
      </w:r>
      <w:proofErr w:type="spellEnd"/>
      <w:r w:rsidRPr="00A86D2B">
        <w:t xml:space="preserve"> treated patients. Reducing the change in severity score to that in the proposed PBS restriction (≥8 points within the first year of treatment, ≥6 points thereafter) more than doubled the ICER from </w:t>
      </w:r>
      <w:r w:rsidR="00AC2906">
        <w:t>$15,000 - $45,000</w:t>
      </w:r>
      <w:r w:rsidRPr="00A86D2B">
        <w:t xml:space="preserve"> per QALY gained to </w:t>
      </w:r>
      <w:r w:rsidR="00AC2906">
        <w:t>$45,000 - $75,000</w:t>
      </w:r>
      <w:r w:rsidRPr="00A86D2B">
        <w:t> per QALY gained.</w:t>
      </w:r>
    </w:p>
    <w:p w:rsidR="00315B2D" w:rsidRPr="00A86D2B" w:rsidRDefault="00315B2D" w:rsidP="00315B2D">
      <w:pPr>
        <w:pStyle w:val="ListParagraph"/>
      </w:pPr>
    </w:p>
    <w:p w:rsidR="00315B2D" w:rsidRPr="00A86D2B" w:rsidRDefault="0042570D" w:rsidP="00E250D3">
      <w:pPr>
        <w:pStyle w:val="ListParagraph"/>
        <w:widowControl/>
        <w:numPr>
          <w:ilvl w:val="1"/>
          <w:numId w:val="2"/>
        </w:numPr>
      </w:pPr>
      <w:r w:rsidRPr="00A86D2B">
        <w:t>The Pre-PBAC Response (p2) argued that t</w:t>
      </w:r>
      <w:r w:rsidR="00315B2D" w:rsidRPr="00A86D2B">
        <w:t xml:space="preserve">he reported base case ICER of </w:t>
      </w:r>
      <w:r w:rsidR="00AC2906">
        <w:t>$15,000 - $45,000</w:t>
      </w:r>
      <w:r w:rsidR="00315B2D" w:rsidRPr="00A86D2B">
        <w:t xml:space="preserve"> per QALY is appropriately based on the average 13-point improvement in the </w:t>
      </w:r>
      <w:proofErr w:type="spellStart"/>
      <w:r w:rsidR="00315B2D" w:rsidRPr="00A86D2B">
        <w:t>QoL</w:t>
      </w:r>
      <w:proofErr w:type="spellEnd"/>
      <w:r w:rsidR="00315B2D" w:rsidRPr="00A86D2B">
        <w:t xml:space="preserve">-AGHDA score reported by </w:t>
      </w:r>
      <w:proofErr w:type="spellStart"/>
      <w:r w:rsidR="00315B2D" w:rsidRPr="00A86D2B">
        <w:t>Holdaway</w:t>
      </w:r>
      <w:proofErr w:type="spellEnd"/>
      <w:r w:rsidR="00315B2D" w:rsidRPr="00A86D2B">
        <w:t xml:space="preserve"> et al. (2015) for a patient group with the same eligibility criteria used in this submission. The</w:t>
      </w:r>
      <w:r w:rsidRPr="00A86D2B">
        <w:t xml:space="preserve"> applicant asserted </w:t>
      </w:r>
      <w:r w:rsidR="00315B2D" w:rsidRPr="00A86D2B">
        <w:t>that it is inappropriate to base the economic modelling on the minimum change in severity score as proposed in the PBS restriction. It acknowledged</w:t>
      </w:r>
      <w:r w:rsidRPr="00A86D2B">
        <w:t xml:space="preserve"> that</w:t>
      </w:r>
      <w:r w:rsidR="00315B2D" w:rsidRPr="00A86D2B">
        <w:t xml:space="preserve"> the ICER for patients who met the minimum initiation and continuation criteria is </w:t>
      </w:r>
      <w:r w:rsidR="00AC2906">
        <w:t>$45,000 - $75,000</w:t>
      </w:r>
      <w:r w:rsidRPr="00A86D2B">
        <w:t>,</w:t>
      </w:r>
      <w:r w:rsidR="00315B2D" w:rsidRPr="00A86D2B">
        <w:t xml:space="preserve"> tested in sensitivity analysis. However, there were also patients who received a greater than 13 point improvement in </w:t>
      </w:r>
      <w:proofErr w:type="spellStart"/>
      <w:r w:rsidR="00315B2D" w:rsidRPr="00A86D2B">
        <w:t>QoL</w:t>
      </w:r>
      <w:proofErr w:type="spellEnd"/>
      <w:r w:rsidR="00315B2D" w:rsidRPr="00A86D2B">
        <w:t xml:space="preserve">-AGHDA score and the ICER for these patients was substantially less than </w:t>
      </w:r>
      <w:r w:rsidR="00AC2906">
        <w:t>$15,000 - $45,000</w:t>
      </w:r>
      <w:r w:rsidR="00315B2D" w:rsidRPr="00A86D2B">
        <w:t>.</w:t>
      </w:r>
    </w:p>
    <w:p w:rsidR="00E250D3" w:rsidRPr="00E250D3" w:rsidRDefault="00E250D3" w:rsidP="00E250D3">
      <w:pPr>
        <w:pStyle w:val="ListParagraph"/>
        <w:widowControl/>
        <w:rPr>
          <w:szCs w:val="22"/>
        </w:rPr>
      </w:pPr>
    </w:p>
    <w:p w:rsidR="00734933" w:rsidRPr="007518B7" w:rsidRDefault="005314C5" w:rsidP="00E66A39">
      <w:pPr>
        <w:pStyle w:val="ListParagraph"/>
        <w:widowControl/>
        <w:numPr>
          <w:ilvl w:val="1"/>
          <w:numId w:val="2"/>
        </w:numPr>
        <w:rPr>
          <w:szCs w:val="22"/>
        </w:rPr>
      </w:pPr>
      <w:r>
        <w:t>Overall</w:t>
      </w:r>
      <w:r w:rsidR="00734933" w:rsidRPr="006303AE">
        <w:t xml:space="preserve">, the cost-effectiveness of </w:t>
      </w:r>
      <w:proofErr w:type="spellStart"/>
      <w:r w:rsidR="00734933" w:rsidRPr="006303AE">
        <w:t>somatropin</w:t>
      </w:r>
      <w:proofErr w:type="spellEnd"/>
      <w:r w:rsidR="00734933" w:rsidRPr="006303AE">
        <w:t xml:space="preserve"> remains uncertain due to the non-comparative nature of the source data, the transformation applied to estimate utility values, the exclusion of the costs and benefits associated with re-treatment, and the exclusion of costs and </w:t>
      </w:r>
      <w:proofErr w:type="spellStart"/>
      <w:r w:rsidR="009D62A9">
        <w:t>QoL</w:t>
      </w:r>
      <w:proofErr w:type="spellEnd"/>
      <w:r w:rsidR="009D62A9">
        <w:t xml:space="preserve"> </w:t>
      </w:r>
      <w:r w:rsidR="00734933" w:rsidRPr="006303AE">
        <w:t xml:space="preserve">effects associated with </w:t>
      </w:r>
      <w:proofErr w:type="spellStart"/>
      <w:r w:rsidR="00734933" w:rsidRPr="006303AE">
        <w:t>somatropin</w:t>
      </w:r>
      <w:proofErr w:type="spellEnd"/>
      <w:r w:rsidR="00912389" w:rsidRPr="006303AE">
        <w:t>-</w:t>
      </w:r>
      <w:r w:rsidR="00422806">
        <w:t>related adverse effects.</w:t>
      </w:r>
    </w:p>
    <w:p w:rsidR="007518B7" w:rsidRPr="00E725A1" w:rsidRDefault="007518B7" w:rsidP="007518B7">
      <w:pPr>
        <w:pStyle w:val="ListParagraph"/>
        <w:widowControl/>
        <w:rPr>
          <w:szCs w:val="22"/>
        </w:rPr>
      </w:pPr>
    </w:p>
    <w:p w:rsidR="006119BA" w:rsidRDefault="006119BA">
      <w:pPr>
        <w:widowControl/>
        <w:jc w:val="left"/>
        <w:rPr>
          <w:b/>
          <w:i/>
        </w:rPr>
      </w:pPr>
      <w:bookmarkStart w:id="13" w:name="_Toc461555466"/>
      <w:r>
        <w:rPr>
          <w:i/>
        </w:rPr>
        <w:br w:type="page"/>
      </w:r>
    </w:p>
    <w:p w:rsidR="00734933" w:rsidRPr="002A438E" w:rsidRDefault="00734933" w:rsidP="00D849EA">
      <w:pPr>
        <w:pStyle w:val="Heading2"/>
        <w:widowControl/>
        <w:rPr>
          <w:i/>
        </w:rPr>
      </w:pPr>
      <w:r w:rsidRPr="00497F10">
        <w:rPr>
          <w:i/>
        </w:rPr>
        <w:lastRenderedPageBreak/>
        <w:t>Drug cost/patient/</w:t>
      </w:r>
      <w:r>
        <w:rPr>
          <w:i/>
        </w:rPr>
        <w:t>year</w:t>
      </w:r>
      <w:r w:rsidRPr="00497F10">
        <w:rPr>
          <w:i/>
        </w:rPr>
        <w:t>: $</w:t>
      </w:r>
      <w:r>
        <w:rPr>
          <w:i/>
        </w:rPr>
        <w:t>7,243.43 for females and $4,989.92 for males.</w:t>
      </w:r>
      <w:bookmarkEnd w:id="13"/>
    </w:p>
    <w:p w:rsidR="00734933" w:rsidRPr="002A438E" w:rsidRDefault="00734933" w:rsidP="00D849EA">
      <w:pPr>
        <w:widowControl/>
        <w:rPr>
          <w:b/>
          <w:i/>
        </w:rPr>
      </w:pPr>
    </w:p>
    <w:p w:rsidR="00734933" w:rsidRDefault="00734933" w:rsidP="00E66A39">
      <w:pPr>
        <w:pStyle w:val="ListParagraph"/>
        <w:widowControl/>
        <w:numPr>
          <w:ilvl w:val="1"/>
          <w:numId w:val="2"/>
        </w:numPr>
        <w:snapToGrid w:val="0"/>
        <w:rPr>
          <w:szCs w:val="22"/>
        </w:rPr>
      </w:pPr>
      <w:r w:rsidRPr="006303AE">
        <w:rPr>
          <w:szCs w:val="22"/>
        </w:rPr>
        <w:t xml:space="preserve">The dispensed cost per milligram for </w:t>
      </w:r>
      <w:proofErr w:type="spellStart"/>
      <w:r w:rsidRPr="006303AE">
        <w:rPr>
          <w:szCs w:val="22"/>
        </w:rPr>
        <w:t>somatropin</w:t>
      </w:r>
      <w:proofErr w:type="spellEnd"/>
      <w:r w:rsidRPr="006303AE">
        <w:rPr>
          <w:szCs w:val="22"/>
        </w:rPr>
        <w:t xml:space="preserve"> is $44.10. The mean dose for females is 0.45 mg/day, and for males is 0.31 mg/day. The annual treatment cost for females is [(0.45mg*365)*$44.10], and for males is [(0.31mg*365)*$44.10]. Treatment is administered daily, on an ongoing basis. For patien</w:t>
      </w:r>
      <w:r w:rsidR="0060610C">
        <w:rPr>
          <w:szCs w:val="22"/>
        </w:rPr>
        <w:t xml:space="preserve">ts who discontinue treatment, </w:t>
      </w:r>
      <w:proofErr w:type="gramStart"/>
      <w:r w:rsidR="0060610C">
        <w:rPr>
          <w:szCs w:val="22"/>
        </w:rPr>
        <w:t xml:space="preserve">a </w:t>
      </w:r>
      <w:r w:rsidR="003F174E">
        <w:rPr>
          <w:szCs w:val="22"/>
        </w:rPr>
        <w:t>six</w:t>
      </w:r>
      <w:proofErr w:type="gramEnd"/>
      <w:r w:rsidR="0060610C">
        <w:rPr>
          <w:szCs w:val="22"/>
        </w:rPr>
        <w:t xml:space="preserve"> </w:t>
      </w:r>
      <w:r w:rsidRPr="006303AE">
        <w:rPr>
          <w:szCs w:val="22"/>
        </w:rPr>
        <w:t xml:space="preserve">month treatment duration was assumed. Based on the discontinuation rate from </w:t>
      </w:r>
      <w:proofErr w:type="spellStart"/>
      <w:r w:rsidRPr="006303AE">
        <w:rPr>
          <w:szCs w:val="22"/>
        </w:rPr>
        <w:t>Holdaway</w:t>
      </w:r>
      <w:proofErr w:type="spellEnd"/>
      <w:r w:rsidRPr="006303AE">
        <w:rPr>
          <w:szCs w:val="22"/>
        </w:rPr>
        <w:t xml:space="preserve"> et al. (2015), 50% of patients will have discontinued </w:t>
      </w:r>
      <w:proofErr w:type="spellStart"/>
      <w:r w:rsidRPr="006303AE">
        <w:rPr>
          <w:szCs w:val="22"/>
        </w:rPr>
        <w:t>somatropin</w:t>
      </w:r>
      <w:proofErr w:type="spellEnd"/>
      <w:r w:rsidRPr="006303AE">
        <w:rPr>
          <w:szCs w:val="22"/>
        </w:rPr>
        <w:t xml:space="preserve"> at 10 years. However, the requested PBS criteria </w:t>
      </w:r>
      <w:r w:rsidR="00327500" w:rsidRPr="006303AE">
        <w:rPr>
          <w:szCs w:val="22"/>
        </w:rPr>
        <w:t xml:space="preserve">include </w:t>
      </w:r>
      <w:r w:rsidRPr="006303AE">
        <w:rPr>
          <w:szCs w:val="22"/>
        </w:rPr>
        <w:t xml:space="preserve">re-treatment, which was excluded from the economic model and financial estimates in the </w:t>
      </w:r>
      <w:r w:rsidR="00014970" w:rsidRPr="006303AE">
        <w:rPr>
          <w:szCs w:val="22"/>
        </w:rPr>
        <w:t>resubmission</w:t>
      </w:r>
      <w:r w:rsidRPr="006303AE">
        <w:rPr>
          <w:szCs w:val="22"/>
        </w:rPr>
        <w:t>.</w:t>
      </w:r>
    </w:p>
    <w:p w:rsidR="00734933" w:rsidRPr="00882085" w:rsidRDefault="00734933" w:rsidP="00D849EA">
      <w:pPr>
        <w:widowControl/>
        <w:rPr>
          <w:szCs w:val="22"/>
        </w:rPr>
      </w:pPr>
    </w:p>
    <w:p w:rsidR="00734933" w:rsidRPr="00497F10" w:rsidRDefault="00734933" w:rsidP="006D269A">
      <w:pPr>
        <w:pStyle w:val="Heading2"/>
        <w:keepNext/>
        <w:widowControl/>
        <w:rPr>
          <w:i/>
        </w:rPr>
      </w:pPr>
      <w:bookmarkStart w:id="14" w:name="_Toc461555467"/>
      <w:r w:rsidRPr="00497F10">
        <w:rPr>
          <w:i/>
        </w:rPr>
        <w:t>Estimated PBS usage &amp; financial implications</w:t>
      </w:r>
      <w:bookmarkEnd w:id="14"/>
    </w:p>
    <w:p w:rsidR="00734933" w:rsidRPr="00882085" w:rsidRDefault="00734933" w:rsidP="006D269A">
      <w:pPr>
        <w:keepNext/>
        <w:widowControl/>
      </w:pPr>
    </w:p>
    <w:p w:rsidR="009E0A08" w:rsidRPr="00B32469" w:rsidRDefault="009E0A08" w:rsidP="00E66A39">
      <w:pPr>
        <w:pStyle w:val="ListParagraph"/>
        <w:widowControl/>
        <w:numPr>
          <w:ilvl w:val="1"/>
          <w:numId w:val="2"/>
        </w:numPr>
        <w:rPr>
          <w:szCs w:val="22"/>
        </w:rPr>
      </w:pPr>
      <w:bookmarkStart w:id="15" w:name="_Toc461555469"/>
      <w:r w:rsidRPr="00B32469">
        <w:t xml:space="preserve">This resubmission </w:t>
      </w:r>
      <w:r w:rsidR="006A661E" w:rsidRPr="00B32469">
        <w:t>was</w:t>
      </w:r>
      <w:r w:rsidRPr="00B32469">
        <w:t xml:space="preserve"> considered by DUSC. The resubmission used an epidemiological approach to estimate the net financial impact of including </w:t>
      </w:r>
      <w:proofErr w:type="spellStart"/>
      <w:r w:rsidRPr="00B32469">
        <w:t>somatropin</w:t>
      </w:r>
      <w:proofErr w:type="spellEnd"/>
      <w:r w:rsidRPr="00B32469">
        <w:t xml:space="preserve"> on the PBS. The cost to the PBS was calculated based on the estimated proportion of adults with severe GHD (25% with </w:t>
      </w:r>
      <w:proofErr w:type="spellStart"/>
      <w:r w:rsidRPr="00B32469">
        <w:t>QoL</w:t>
      </w:r>
      <w:proofErr w:type="spellEnd"/>
      <w:r w:rsidRPr="00B32469">
        <w:t>-AGHDA ≥16, vers</w:t>
      </w:r>
      <w:r w:rsidR="00B32469" w:rsidRPr="00B32469">
        <w:t xml:space="preserve">us 33% for </w:t>
      </w:r>
      <w:proofErr w:type="spellStart"/>
      <w:r w:rsidR="00B32469" w:rsidRPr="00B32469">
        <w:t>QoL</w:t>
      </w:r>
      <w:proofErr w:type="spellEnd"/>
      <w:r w:rsidR="00B32469" w:rsidRPr="00B32469">
        <w:t>-AGHDA ≥</w:t>
      </w:r>
      <w:r w:rsidRPr="00B32469">
        <w:t xml:space="preserve">15 from July 2011 submission), the assumed uptake of </w:t>
      </w:r>
      <w:proofErr w:type="spellStart"/>
      <w:r w:rsidRPr="00B32469">
        <w:t>somatropin</w:t>
      </w:r>
      <w:proofErr w:type="spellEnd"/>
      <w:r w:rsidRPr="00B32469">
        <w:t xml:space="preserve"> (35% in Year 1 reaching 90% in year 5) and a discontinuation rate of 6.02% per</w:t>
      </w:r>
      <w:r w:rsidR="00D3347A">
        <w:t xml:space="preserve"> year (</w:t>
      </w:r>
      <w:proofErr w:type="spellStart"/>
      <w:r w:rsidR="00D3347A">
        <w:t>Holdaway</w:t>
      </w:r>
      <w:proofErr w:type="spellEnd"/>
      <w:r w:rsidR="00D3347A">
        <w:t xml:space="preserve"> et al. (2015)).</w:t>
      </w:r>
    </w:p>
    <w:p w:rsidR="009E0A08" w:rsidRPr="009E0A08" w:rsidRDefault="009E0A08" w:rsidP="009E0A08">
      <w:pPr>
        <w:pStyle w:val="ListParagraph"/>
        <w:widowControl/>
        <w:rPr>
          <w:szCs w:val="22"/>
          <w:highlight w:val="yellow"/>
        </w:rPr>
      </w:pPr>
    </w:p>
    <w:p w:rsidR="009E0A08" w:rsidRPr="009948F0" w:rsidRDefault="009E0A08" w:rsidP="009E0A08">
      <w:pPr>
        <w:widowControl/>
        <w:ind w:firstLine="709"/>
        <w:rPr>
          <w:rStyle w:val="CommentReference"/>
        </w:rPr>
      </w:pPr>
      <w:r w:rsidRPr="009948F0">
        <w:rPr>
          <w:rStyle w:val="CommentReference"/>
        </w:rPr>
        <w:t>Table 8: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1140"/>
        <w:gridCol w:w="1133"/>
        <w:gridCol w:w="1133"/>
        <w:gridCol w:w="1135"/>
        <w:gridCol w:w="1252"/>
      </w:tblGrid>
      <w:tr w:rsidR="009E0A08" w:rsidRPr="009948F0" w:rsidTr="001C7887">
        <w:trPr>
          <w:tblHeader/>
        </w:trPr>
        <w:tc>
          <w:tcPr>
            <w:tcW w:w="1529" w:type="pct"/>
            <w:shd w:val="clear" w:color="auto" w:fill="auto"/>
            <w:vAlign w:val="center"/>
          </w:tcPr>
          <w:p w:rsidR="009E0A08" w:rsidRPr="009948F0" w:rsidRDefault="009E0A08" w:rsidP="001C7887">
            <w:pPr>
              <w:widowControl/>
              <w:tabs>
                <w:tab w:val="left" w:pos="142"/>
              </w:tabs>
              <w:ind w:right="93"/>
              <w:jc w:val="left"/>
              <w:rPr>
                <w:rFonts w:ascii="Arial Narrow" w:hAnsi="Arial Narrow"/>
                <w:b/>
                <w:sz w:val="20"/>
              </w:rPr>
            </w:pPr>
          </w:p>
        </w:tc>
        <w:tc>
          <w:tcPr>
            <w:tcW w:w="683" w:type="pct"/>
            <w:shd w:val="clear" w:color="auto" w:fill="auto"/>
            <w:vAlign w:val="center"/>
          </w:tcPr>
          <w:p w:rsidR="009E0A08" w:rsidRPr="009948F0" w:rsidRDefault="009E0A08" w:rsidP="001C7887">
            <w:pPr>
              <w:widowControl/>
              <w:ind w:right="93"/>
              <w:jc w:val="center"/>
              <w:rPr>
                <w:rFonts w:ascii="Arial Narrow" w:hAnsi="Arial Narrow"/>
                <w:b/>
                <w:sz w:val="20"/>
              </w:rPr>
            </w:pPr>
            <w:r w:rsidRPr="009948F0">
              <w:rPr>
                <w:rFonts w:ascii="Arial Narrow" w:hAnsi="Arial Narrow"/>
                <w:b/>
                <w:sz w:val="20"/>
              </w:rPr>
              <w:t>Year 1</w:t>
            </w:r>
          </w:p>
        </w:tc>
        <w:tc>
          <w:tcPr>
            <w:tcW w:w="679" w:type="pct"/>
            <w:shd w:val="clear" w:color="auto" w:fill="auto"/>
            <w:vAlign w:val="center"/>
          </w:tcPr>
          <w:p w:rsidR="009E0A08" w:rsidRPr="009948F0" w:rsidRDefault="009E0A08" w:rsidP="001C7887">
            <w:pPr>
              <w:widowControl/>
              <w:ind w:right="93"/>
              <w:jc w:val="center"/>
              <w:rPr>
                <w:rFonts w:ascii="Arial Narrow" w:hAnsi="Arial Narrow"/>
                <w:b/>
                <w:sz w:val="20"/>
              </w:rPr>
            </w:pPr>
            <w:r w:rsidRPr="009948F0">
              <w:rPr>
                <w:rFonts w:ascii="Arial Narrow" w:hAnsi="Arial Narrow"/>
                <w:b/>
                <w:sz w:val="20"/>
              </w:rPr>
              <w:t>Year 2</w:t>
            </w:r>
          </w:p>
        </w:tc>
        <w:tc>
          <w:tcPr>
            <w:tcW w:w="679" w:type="pct"/>
            <w:shd w:val="clear" w:color="auto" w:fill="auto"/>
            <w:vAlign w:val="center"/>
          </w:tcPr>
          <w:p w:rsidR="009E0A08" w:rsidRPr="009948F0" w:rsidRDefault="009E0A08" w:rsidP="001C7887">
            <w:pPr>
              <w:widowControl/>
              <w:ind w:right="93"/>
              <w:jc w:val="center"/>
              <w:rPr>
                <w:rFonts w:ascii="Arial Narrow" w:hAnsi="Arial Narrow"/>
                <w:b/>
                <w:sz w:val="20"/>
              </w:rPr>
            </w:pPr>
            <w:r w:rsidRPr="009948F0">
              <w:rPr>
                <w:rFonts w:ascii="Arial Narrow" w:hAnsi="Arial Narrow"/>
                <w:b/>
                <w:sz w:val="20"/>
              </w:rPr>
              <w:t>Year 3</w:t>
            </w:r>
          </w:p>
        </w:tc>
        <w:tc>
          <w:tcPr>
            <w:tcW w:w="680" w:type="pct"/>
            <w:shd w:val="clear" w:color="auto" w:fill="auto"/>
            <w:vAlign w:val="center"/>
          </w:tcPr>
          <w:p w:rsidR="009E0A08" w:rsidRPr="009948F0" w:rsidRDefault="009E0A08" w:rsidP="001C7887">
            <w:pPr>
              <w:widowControl/>
              <w:ind w:right="93"/>
              <w:jc w:val="center"/>
              <w:rPr>
                <w:rFonts w:ascii="Arial Narrow" w:hAnsi="Arial Narrow"/>
                <w:b/>
                <w:sz w:val="20"/>
              </w:rPr>
            </w:pPr>
            <w:r w:rsidRPr="009948F0">
              <w:rPr>
                <w:rFonts w:ascii="Arial Narrow" w:hAnsi="Arial Narrow"/>
                <w:b/>
                <w:sz w:val="20"/>
              </w:rPr>
              <w:t>Year 4</w:t>
            </w:r>
          </w:p>
        </w:tc>
        <w:tc>
          <w:tcPr>
            <w:tcW w:w="750" w:type="pct"/>
            <w:shd w:val="clear" w:color="auto" w:fill="auto"/>
            <w:vAlign w:val="center"/>
          </w:tcPr>
          <w:p w:rsidR="009E0A08" w:rsidRPr="009948F0" w:rsidRDefault="009E0A08" w:rsidP="001C7887">
            <w:pPr>
              <w:widowControl/>
              <w:ind w:right="93"/>
              <w:jc w:val="center"/>
              <w:rPr>
                <w:rFonts w:ascii="Arial Narrow" w:hAnsi="Arial Narrow"/>
                <w:b/>
                <w:sz w:val="20"/>
              </w:rPr>
            </w:pPr>
            <w:r w:rsidRPr="009948F0">
              <w:rPr>
                <w:rFonts w:ascii="Arial Narrow" w:hAnsi="Arial Narrow"/>
                <w:b/>
                <w:sz w:val="20"/>
              </w:rPr>
              <w:t>Year 5</w:t>
            </w:r>
          </w:p>
        </w:tc>
      </w:tr>
      <w:tr w:rsidR="009E0A08" w:rsidRPr="009948F0" w:rsidTr="001C7887">
        <w:tc>
          <w:tcPr>
            <w:tcW w:w="5000" w:type="pct"/>
            <w:gridSpan w:val="6"/>
            <w:shd w:val="clear" w:color="auto" w:fill="auto"/>
            <w:vAlign w:val="center"/>
          </w:tcPr>
          <w:p w:rsidR="009E0A08" w:rsidRPr="009948F0" w:rsidRDefault="009E0A08" w:rsidP="001C7887">
            <w:pPr>
              <w:widowControl/>
              <w:ind w:right="93"/>
              <w:jc w:val="left"/>
              <w:rPr>
                <w:rFonts w:ascii="Arial Narrow" w:hAnsi="Arial Narrow"/>
                <w:b/>
                <w:bCs/>
                <w:color w:val="000000"/>
                <w:sz w:val="20"/>
              </w:rPr>
            </w:pPr>
            <w:r w:rsidRPr="009948F0">
              <w:rPr>
                <w:rFonts w:ascii="Arial Narrow" w:hAnsi="Arial Narrow"/>
                <w:b/>
                <w:bCs/>
                <w:color w:val="000000"/>
                <w:sz w:val="20"/>
              </w:rPr>
              <w:t>Estimated extent of use</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sz w:val="20"/>
              </w:rPr>
            </w:pPr>
            <w:r w:rsidRPr="00AD34D9">
              <w:rPr>
                <w:rFonts w:ascii="Arial Narrow" w:hAnsi="Arial Narrow"/>
                <w:sz w:val="20"/>
              </w:rPr>
              <w:t xml:space="preserve">Number of treated patients </w:t>
            </w:r>
          </w:p>
        </w:tc>
        <w:tc>
          <w:tcPr>
            <w:tcW w:w="683" w:type="pct"/>
            <w:shd w:val="clear" w:color="auto" w:fill="auto"/>
            <w:vAlign w:val="bottom"/>
          </w:tcPr>
          <w:p w:rsidR="009E0A08" w:rsidRPr="00647AE3" w:rsidRDefault="00647AE3" w:rsidP="001C7887">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9E0A08" w:rsidRPr="00647AE3" w:rsidRDefault="00647AE3" w:rsidP="001C7887">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9E0A08" w:rsidRPr="00647AE3" w:rsidRDefault="00647AE3" w:rsidP="001C7887">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vAlign w:val="bottom"/>
          </w:tcPr>
          <w:p w:rsidR="009E0A08" w:rsidRPr="00647AE3" w:rsidRDefault="00647AE3" w:rsidP="001C7887">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vAlign w:val="bottom"/>
          </w:tcPr>
          <w:p w:rsidR="009E0A08" w:rsidRPr="00647AE3" w:rsidRDefault="00647AE3" w:rsidP="001C7887">
            <w:pPr>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color w:val="FF0000"/>
                <w:sz w:val="20"/>
              </w:rPr>
            </w:pPr>
            <w:r w:rsidRPr="00AD34D9">
              <w:rPr>
                <w:rFonts w:ascii="Arial Narrow" w:hAnsi="Arial Narrow"/>
                <w:sz w:val="20"/>
              </w:rPr>
              <w:t>Number of treated patients from July 2011</w:t>
            </w:r>
          </w:p>
        </w:tc>
        <w:tc>
          <w:tcPr>
            <w:tcW w:w="683" w:type="pct"/>
            <w:shd w:val="clear" w:color="auto" w:fill="auto"/>
            <w:vAlign w:val="bottom"/>
          </w:tcPr>
          <w:p w:rsidR="009E0A08" w:rsidRPr="00647AE3" w:rsidRDefault="00647AE3" w:rsidP="005B5A32">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9E0A08" w:rsidRPr="00647AE3" w:rsidRDefault="00647AE3" w:rsidP="005B5A32">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9E0A08" w:rsidRPr="00647AE3" w:rsidRDefault="00647AE3" w:rsidP="005B5A32">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vAlign w:val="bottom"/>
          </w:tcPr>
          <w:p w:rsidR="009E0A08" w:rsidRPr="00647AE3" w:rsidRDefault="00647AE3" w:rsidP="005B5A32">
            <w:pPr>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vAlign w:val="bottom"/>
          </w:tcPr>
          <w:p w:rsidR="009E0A08" w:rsidRPr="00647AE3" w:rsidRDefault="00647AE3" w:rsidP="005B5A32">
            <w:pPr>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sz w:val="20"/>
              </w:rPr>
            </w:pPr>
            <w:r w:rsidRPr="00AD34D9">
              <w:rPr>
                <w:rFonts w:ascii="Arial Narrow" w:hAnsi="Arial Narrow"/>
                <w:sz w:val="20"/>
              </w:rPr>
              <w:t>Uptake rate</w:t>
            </w:r>
          </w:p>
        </w:tc>
        <w:tc>
          <w:tcPr>
            <w:tcW w:w="683"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c>
          <w:tcPr>
            <w:tcW w:w="679"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c>
          <w:tcPr>
            <w:tcW w:w="679"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c>
          <w:tcPr>
            <w:tcW w:w="680"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c>
          <w:tcPr>
            <w:tcW w:w="750"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sz w:val="20"/>
              </w:rPr>
            </w:pPr>
            <w:r w:rsidRPr="00AD34D9">
              <w:rPr>
                <w:rFonts w:ascii="Arial Narrow" w:hAnsi="Arial Narrow"/>
                <w:sz w:val="20"/>
              </w:rPr>
              <w:t>Uptake rate July 2011</w:t>
            </w:r>
          </w:p>
        </w:tc>
        <w:tc>
          <w:tcPr>
            <w:tcW w:w="683"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c>
          <w:tcPr>
            <w:tcW w:w="679"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c>
          <w:tcPr>
            <w:tcW w:w="679"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c>
          <w:tcPr>
            <w:tcW w:w="680"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c>
          <w:tcPr>
            <w:tcW w:w="750" w:type="pct"/>
            <w:shd w:val="clear" w:color="auto" w:fill="auto"/>
            <w:vAlign w:val="center"/>
          </w:tcPr>
          <w:p w:rsidR="009E0A08" w:rsidRPr="00AD34D9" w:rsidRDefault="00647AE3" w:rsidP="001C7887">
            <w:pPr>
              <w:widowControl/>
              <w:ind w:right="93"/>
              <w:jc w:val="center"/>
              <w:rPr>
                <w:rFonts w:ascii="Arial Narrow" w:hAnsi="Arial Narrow"/>
                <w:sz w:val="20"/>
              </w:rPr>
            </w:pPr>
            <w:r>
              <w:rPr>
                <w:rFonts w:ascii="Arial Narrow" w:hAnsi="Arial Narrow"/>
                <w:noProof/>
                <w:color w:val="000000"/>
                <w:sz w:val="20"/>
                <w:highlight w:val="black"/>
              </w:rPr>
              <w:t>''''''</w:t>
            </w:r>
            <w:r w:rsidR="009E0A08" w:rsidRPr="00AD34D9">
              <w:rPr>
                <w:rFonts w:ascii="Arial Narrow" w:hAnsi="Arial Narrow"/>
                <w:sz w:val="20"/>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sz w:val="20"/>
              </w:rPr>
            </w:pPr>
            <w:r w:rsidRPr="00AD34D9">
              <w:rPr>
                <w:rFonts w:ascii="Arial Narrow" w:hAnsi="Arial Narrow"/>
                <w:sz w:val="20"/>
              </w:rPr>
              <w:t xml:space="preserve">Total number of prescriptions/packs per </w:t>
            </w:r>
            <w:proofErr w:type="spellStart"/>
            <w:r w:rsidRPr="00AD34D9">
              <w:rPr>
                <w:rFonts w:ascii="Arial Narrow" w:hAnsi="Arial Narrow"/>
                <w:sz w:val="20"/>
              </w:rPr>
              <w:t>year</w:t>
            </w:r>
            <w:r w:rsidRPr="00AD34D9">
              <w:rPr>
                <w:rFonts w:ascii="Arial Narrow" w:hAnsi="Arial Narrow"/>
                <w:sz w:val="20"/>
                <w:vertAlign w:val="superscript"/>
              </w:rPr>
              <w:t>a</w:t>
            </w:r>
            <w:proofErr w:type="spellEnd"/>
          </w:p>
        </w:tc>
        <w:tc>
          <w:tcPr>
            <w:tcW w:w="683" w:type="pct"/>
            <w:shd w:val="clear" w:color="auto" w:fill="auto"/>
            <w:vAlign w:val="center"/>
          </w:tcPr>
          <w:p w:rsidR="009E0A08" w:rsidRPr="00647AE3" w:rsidRDefault="00647AE3" w:rsidP="001C7887">
            <w:pPr>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9E0A08" w:rsidRPr="00647AE3" w:rsidRDefault="00647AE3" w:rsidP="001C7887">
            <w:pPr>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9E0A08" w:rsidRPr="00647AE3" w:rsidRDefault="00647AE3" w:rsidP="001C7887">
            <w:pPr>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80" w:type="pct"/>
            <w:shd w:val="clear" w:color="auto" w:fill="auto"/>
            <w:vAlign w:val="center"/>
          </w:tcPr>
          <w:p w:rsidR="009E0A08" w:rsidRPr="00647AE3" w:rsidRDefault="00647AE3" w:rsidP="001C7887">
            <w:pPr>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9E0A08" w:rsidRPr="00647AE3" w:rsidRDefault="00647AE3" w:rsidP="001C7887">
            <w:pPr>
              <w:widowControl/>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color w:val="FF0000"/>
                <w:sz w:val="20"/>
              </w:rPr>
            </w:pPr>
            <w:r w:rsidRPr="00AD34D9">
              <w:rPr>
                <w:rFonts w:ascii="Arial Narrow" w:hAnsi="Arial Narrow"/>
                <w:sz w:val="20"/>
              </w:rPr>
              <w:t>Total number of prescriptions/packs per year from July 2011 submission</w:t>
            </w:r>
          </w:p>
        </w:tc>
        <w:tc>
          <w:tcPr>
            <w:tcW w:w="683" w:type="pct"/>
            <w:shd w:val="clear" w:color="auto" w:fill="auto"/>
            <w:vAlign w:val="center"/>
          </w:tcPr>
          <w:p w:rsidR="009E0A08" w:rsidRPr="00647AE3" w:rsidRDefault="00647AE3" w:rsidP="001C7887">
            <w:pPr>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9E0A08" w:rsidRPr="00647AE3" w:rsidRDefault="00647AE3" w:rsidP="001C7887">
            <w:pPr>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9E0A08" w:rsidRPr="00647AE3" w:rsidRDefault="00647AE3" w:rsidP="001C7887">
            <w:pPr>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680" w:type="pct"/>
            <w:shd w:val="clear" w:color="auto" w:fill="auto"/>
            <w:vAlign w:val="center"/>
          </w:tcPr>
          <w:p w:rsidR="009E0A08" w:rsidRPr="00647AE3" w:rsidRDefault="00647AE3" w:rsidP="001C7887">
            <w:pPr>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9E0A08" w:rsidRPr="00647AE3" w:rsidRDefault="00647AE3" w:rsidP="001C7887">
            <w:pPr>
              <w:widowControl/>
              <w:ind w:right="93"/>
              <w:jc w:val="center"/>
              <w:rPr>
                <w:rFonts w:ascii="Arial Narrow" w:hAnsi="Arial Narrow"/>
                <w:bCs/>
                <w:color w:val="FF0000"/>
                <w:sz w:val="20"/>
                <w:highlight w:val="black"/>
              </w:rPr>
            </w:pPr>
            <w:r>
              <w:rPr>
                <w:rFonts w:ascii="Arial Narrow" w:hAnsi="Arial Narrow"/>
                <w:noProof/>
                <w:color w:val="000000"/>
                <w:sz w:val="20"/>
                <w:highlight w:val="black"/>
              </w:rPr>
              <w:t>''''''''''''''''''</w:t>
            </w:r>
          </w:p>
        </w:tc>
      </w:tr>
      <w:tr w:rsidR="009E0A08" w:rsidRPr="00AD34D9" w:rsidTr="001C7887">
        <w:tc>
          <w:tcPr>
            <w:tcW w:w="5000" w:type="pct"/>
            <w:gridSpan w:val="6"/>
            <w:shd w:val="clear" w:color="auto" w:fill="auto"/>
            <w:vAlign w:val="center"/>
          </w:tcPr>
          <w:p w:rsidR="009E0A08" w:rsidRPr="00AD34D9" w:rsidRDefault="009E0A08" w:rsidP="001C7887">
            <w:pPr>
              <w:widowControl/>
              <w:ind w:right="93"/>
              <w:jc w:val="left"/>
              <w:rPr>
                <w:rFonts w:ascii="Arial Narrow" w:hAnsi="Arial Narrow"/>
                <w:b/>
                <w:bCs/>
                <w:color w:val="000000"/>
                <w:sz w:val="20"/>
              </w:rPr>
            </w:pPr>
            <w:r w:rsidRPr="00AD34D9">
              <w:rPr>
                <w:rFonts w:ascii="Arial Narrow" w:hAnsi="Arial Narrow"/>
                <w:b/>
                <w:bCs/>
                <w:color w:val="000000"/>
                <w:sz w:val="20"/>
              </w:rPr>
              <w:t>Estimated net cost to PBS/MBS</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sz w:val="20"/>
              </w:rPr>
            </w:pPr>
            <w:r w:rsidRPr="00AD34D9">
              <w:rPr>
                <w:rFonts w:ascii="Arial Narrow" w:hAnsi="Arial Narrow"/>
                <w:sz w:val="20"/>
              </w:rPr>
              <w:t>Net cost to PBS (including co-payment)</w:t>
            </w:r>
          </w:p>
        </w:tc>
        <w:tc>
          <w:tcPr>
            <w:tcW w:w="683" w:type="pct"/>
            <w:shd w:val="clear" w:color="auto" w:fill="auto"/>
            <w:vAlign w:val="center"/>
          </w:tcPr>
          <w:p w:rsidR="009E0A08" w:rsidRPr="00AD34D9" w:rsidRDefault="009E0A08" w:rsidP="001C7887">
            <w:pPr>
              <w:widowControl/>
              <w:ind w:right="93"/>
              <w:jc w:val="center"/>
              <w:rPr>
                <w:rFonts w:ascii="Arial Narrow" w:hAnsi="Arial Narrow"/>
                <w:bCs/>
                <w:color w:val="000000"/>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color w:val="000000"/>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color w:val="000000"/>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80" w:type="pct"/>
            <w:shd w:val="clear" w:color="auto" w:fill="auto"/>
            <w:vAlign w:val="center"/>
          </w:tcPr>
          <w:p w:rsidR="009E0A08" w:rsidRPr="00AD34D9" w:rsidRDefault="009E0A08" w:rsidP="001C7887">
            <w:pPr>
              <w:widowControl/>
              <w:ind w:right="93"/>
              <w:jc w:val="center"/>
              <w:rPr>
                <w:rFonts w:ascii="Arial Narrow" w:hAnsi="Arial Narrow"/>
                <w:bCs/>
                <w:color w:val="000000"/>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750" w:type="pct"/>
            <w:shd w:val="clear" w:color="auto" w:fill="auto"/>
            <w:vAlign w:val="center"/>
          </w:tcPr>
          <w:p w:rsidR="009E0A08" w:rsidRPr="00AD34D9" w:rsidRDefault="009E0A08" w:rsidP="001C7887">
            <w:pPr>
              <w:widowControl/>
              <w:ind w:right="93"/>
              <w:jc w:val="center"/>
              <w:rPr>
                <w:rFonts w:ascii="Arial Narrow" w:hAnsi="Arial Narrow"/>
                <w:bCs/>
                <w:color w:val="000000"/>
                <w:sz w:val="20"/>
              </w:rPr>
            </w:pPr>
            <w:r w:rsidRPr="00AD34D9">
              <w:rPr>
                <w:rFonts w:ascii="Arial Narrow" w:hAnsi="Arial Narrow"/>
                <w:bCs/>
                <w:sz w:val="20"/>
              </w:rPr>
              <w:t>$</w:t>
            </w:r>
            <w:r w:rsidR="00647AE3">
              <w:rPr>
                <w:rFonts w:ascii="Arial Narrow" w:hAnsi="Arial Narrow"/>
                <w:bCs/>
                <w:noProof/>
                <w:color w:val="000000"/>
                <w:sz w:val="20"/>
                <w:highlight w:val="black"/>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color w:val="FF0000"/>
                <w:sz w:val="20"/>
              </w:rPr>
            </w:pPr>
            <w:r w:rsidRPr="00AD34D9">
              <w:rPr>
                <w:rFonts w:ascii="Arial Narrow" w:hAnsi="Arial Narrow"/>
                <w:sz w:val="20"/>
              </w:rPr>
              <w:t>Net cost to PBS July 2011 (excluding co-payment)</w:t>
            </w:r>
          </w:p>
        </w:tc>
        <w:tc>
          <w:tcPr>
            <w:tcW w:w="683" w:type="pct"/>
            <w:shd w:val="clear" w:color="auto" w:fill="auto"/>
            <w:vAlign w:val="center"/>
          </w:tcPr>
          <w:p w:rsidR="009E0A08" w:rsidRPr="00AD34D9" w:rsidRDefault="009E0A08" w:rsidP="001C7887">
            <w:pPr>
              <w:widowControl/>
              <w:ind w:right="93"/>
              <w:jc w:val="center"/>
              <w:rPr>
                <w:rFonts w:ascii="Arial Narrow" w:hAnsi="Arial Narrow"/>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c>
          <w:tcPr>
            <w:tcW w:w="680" w:type="pct"/>
            <w:shd w:val="clear" w:color="auto" w:fill="auto"/>
            <w:vAlign w:val="center"/>
          </w:tcPr>
          <w:p w:rsidR="009E0A08" w:rsidRPr="00AD34D9" w:rsidRDefault="009E0A08" w:rsidP="001C7887">
            <w:pPr>
              <w:widowControl/>
              <w:ind w:right="93"/>
              <w:jc w:val="center"/>
              <w:rPr>
                <w:rFonts w:ascii="Arial Narrow" w:hAnsi="Arial Narrow"/>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c>
          <w:tcPr>
            <w:tcW w:w="750" w:type="pct"/>
            <w:shd w:val="clear" w:color="auto" w:fill="auto"/>
            <w:vAlign w:val="center"/>
          </w:tcPr>
          <w:p w:rsidR="009E0A08" w:rsidRPr="00AD34D9" w:rsidRDefault="009E0A08" w:rsidP="001C7887">
            <w:pPr>
              <w:widowControl/>
              <w:ind w:right="93"/>
              <w:jc w:val="center"/>
              <w:rPr>
                <w:rFonts w:ascii="Arial Narrow" w:hAnsi="Arial Narrow"/>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bCs/>
                <w:sz w:val="20"/>
              </w:rPr>
            </w:pPr>
            <w:r w:rsidRPr="00AD34D9">
              <w:rPr>
                <w:rFonts w:ascii="Arial Narrow" w:hAnsi="Arial Narrow"/>
                <w:bCs/>
                <w:sz w:val="20"/>
              </w:rPr>
              <w:t xml:space="preserve">Net cost to MBS </w:t>
            </w:r>
          </w:p>
        </w:tc>
        <w:tc>
          <w:tcPr>
            <w:tcW w:w="683"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80"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750"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bCs/>
                <w:sz w:val="20"/>
              </w:rPr>
            </w:pPr>
            <w:r w:rsidRPr="00AD34D9">
              <w:rPr>
                <w:rFonts w:ascii="Arial Narrow" w:hAnsi="Arial Narrow"/>
                <w:bCs/>
                <w:sz w:val="20"/>
              </w:rPr>
              <w:t>Net cost to MBS from July 2011</w:t>
            </w:r>
          </w:p>
        </w:tc>
        <w:tc>
          <w:tcPr>
            <w:tcW w:w="683"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80"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750"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r>
      <w:tr w:rsidR="009E0A08" w:rsidRPr="00AD34D9" w:rsidTr="001C7887">
        <w:tc>
          <w:tcPr>
            <w:tcW w:w="5000" w:type="pct"/>
            <w:gridSpan w:val="6"/>
            <w:shd w:val="clear" w:color="auto" w:fill="auto"/>
            <w:vAlign w:val="center"/>
          </w:tcPr>
          <w:p w:rsidR="009E0A08" w:rsidRPr="00AD34D9" w:rsidRDefault="009E0A08" w:rsidP="001C7887">
            <w:pPr>
              <w:widowControl/>
              <w:ind w:right="93"/>
              <w:jc w:val="left"/>
              <w:rPr>
                <w:rFonts w:ascii="Arial Narrow" w:hAnsi="Arial Narrow"/>
                <w:b/>
                <w:color w:val="000000"/>
                <w:sz w:val="20"/>
              </w:rPr>
            </w:pPr>
            <w:r w:rsidRPr="00AD34D9">
              <w:rPr>
                <w:rFonts w:ascii="Arial Narrow" w:hAnsi="Arial Narrow"/>
                <w:b/>
                <w:color w:val="000000"/>
                <w:sz w:val="20"/>
              </w:rPr>
              <w:t>Estimated total net cost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sz w:val="20"/>
              </w:rPr>
            </w:pPr>
            <w:r w:rsidRPr="00AD34D9">
              <w:rPr>
                <w:rFonts w:ascii="Arial Narrow" w:hAnsi="Arial Narrow"/>
                <w:bCs/>
                <w:color w:val="000000"/>
                <w:sz w:val="20"/>
              </w:rPr>
              <w:t>Net cost PBS/MBS</w:t>
            </w:r>
            <w:r w:rsidR="00AD34D9" w:rsidRPr="00AD34D9">
              <w:rPr>
                <w:rFonts w:ascii="Arial Narrow" w:hAnsi="Arial Narrow"/>
                <w:bCs/>
                <w:color w:val="000000"/>
                <w:sz w:val="20"/>
              </w:rPr>
              <w:t xml:space="preserve"> (including co-payment)</w:t>
            </w:r>
          </w:p>
        </w:tc>
        <w:tc>
          <w:tcPr>
            <w:tcW w:w="683"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680"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c>
          <w:tcPr>
            <w:tcW w:w="750" w:type="pct"/>
            <w:shd w:val="clear" w:color="auto" w:fill="auto"/>
            <w:vAlign w:val="center"/>
          </w:tcPr>
          <w:p w:rsidR="009E0A08" w:rsidRPr="00AD34D9" w:rsidRDefault="009E0A08" w:rsidP="001C7887">
            <w:pPr>
              <w:widowControl/>
              <w:ind w:right="93"/>
              <w:jc w:val="center"/>
              <w:rPr>
                <w:rFonts w:ascii="Arial Narrow" w:hAnsi="Arial Narrow"/>
                <w:bCs/>
                <w:sz w:val="20"/>
              </w:rPr>
            </w:pPr>
            <w:r w:rsidRPr="00AD34D9">
              <w:rPr>
                <w:rFonts w:ascii="Arial Narrow" w:hAnsi="Arial Narrow"/>
                <w:bCs/>
                <w:sz w:val="20"/>
              </w:rPr>
              <w:t>$</w:t>
            </w:r>
            <w:r w:rsidR="00647AE3">
              <w:rPr>
                <w:rFonts w:ascii="Arial Narrow" w:hAnsi="Arial Narrow"/>
                <w:bCs/>
                <w:noProof/>
                <w:color w:val="000000"/>
                <w:sz w:val="20"/>
                <w:highlight w:val="black"/>
              </w:rPr>
              <w:t>''''''''''''''''''''''''</w:t>
            </w:r>
          </w:p>
        </w:tc>
      </w:tr>
      <w:tr w:rsidR="009E0A08" w:rsidRPr="00AD34D9" w:rsidTr="001C7887">
        <w:tc>
          <w:tcPr>
            <w:tcW w:w="1529" w:type="pct"/>
            <w:shd w:val="clear" w:color="auto" w:fill="auto"/>
            <w:vAlign w:val="center"/>
          </w:tcPr>
          <w:p w:rsidR="009E0A08" w:rsidRPr="00AD34D9" w:rsidRDefault="009E0A08" w:rsidP="001C7887">
            <w:pPr>
              <w:widowControl/>
              <w:tabs>
                <w:tab w:val="left" w:pos="142"/>
              </w:tabs>
              <w:ind w:right="93"/>
              <w:jc w:val="left"/>
              <w:rPr>
                <w:rFonts w:ascii="Arial Narrow" w:hAnsi="Arial Narrow"/>
                <w:color w:val="FF0000"/>
                <w:sz w:val="20"/>
              </w:rPr>
            </w:pPr>
            <w:r w:rsidRPr="00AD34D9">
              <w:rPr>
                <w:rFonts w:ascii="Arial Narrow" w:hAnsi="Arial Narrow"/>
                <w:bCs/>
                <w:sz w:val="20"/>
              </w:rPr>
              <w:t>Net cost PBS/MBS July 2011</w:t>
            </w:r>
            <w:r w:rsidR="00AD34D9" w:rsidRPr="00AD34D9">
              <w:rPr>
                <w:rFonts w:ascii="Arial Narrow" w:hAnsi="Arial Narrow"/>
                <w:bCs/>
                <w:sz w:val="20"/>
              </w:rPr>
              <w:t xml:space="preserve"> </w:t>
            </w:r>
            <w:r w:rsidR="00AD34D9" w:rsidRPr="00AD34D9">
              <w:rPr>
                <w:rFonts w:ascii="Arial Narrow" w:hAnsi="Arial Narrow"/>
                <w:sz w:val="20"/>
              </w:rPr>
              <w:t>(excluding co-payment)</w:t>
            </w:r>
          </w:p>
        </w:tc>
        <w:tc>
          <w:tcPr>
            <w:tcW w:w="683" w:type="pct"/>
            <w:shd w:val="clear" w:color="auto" w:fill="auto"/>
            <w:vAlign w:val="center"/>
          </w:tcPr>
          <w:p w:rsidR="009E0A08" w:rsidRPr="00AD34D9" w:rsidRDefault="009E0A08" w:rsidP="001C7887">
            <w:pPr>
              <w:widowControl/>
              <w:ind w:right="93"/>
              <w:jc w:val="center"/>
              <w:rPr>
                <w:rFonts w:ascii="Arial Narrow" w:hAnsi="Arial Narrow"/>
                <w:bCs/>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c>
          <w:tcPr>
            <w:tcW w:w="679" w:type="pct"/>
            <w:shd w:val="clear" w:color="auto" w:fill="auto"/>
            <w:vAlign w:val="center"/>
          </w:tcPr>
          <w:p w:rsidR="009E0A08" w:rsidRPr="00AD34D9" w:rsidRDefault="009E0A08" w:rsidP="001C7887">
            <w:pPr>
              <w:widowControl/>
              <w:ind w:right="93"/>
              <w:jc w:val="center"/>
              <w:rPr>
                <w:rFonts w:ascii="Arial Narrow" w:hAnsi="Arial Narrow"/>
                <w:bCs/>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c>
          <w:tcPr>
            <w:tcW w:w="680" w:type="pct"/>
            <w:shd w:val="clear" w:color="auto" w:fill="auto"/>
            <w:vAlign w:val="center"/>
          </w:tcPr>
          <w:p w:rsidR="009E0A08" w:rsidRPr="00AD34D9" w:rsidRDefault="009E0A08" w:rsidP="001C7887">
            <w:pPr>
              <w:widowControl/>
              <w:ind w:right="93"/>
              <w:jc w:val="center"/>
              <w:rPr>
                <w:rFonts w:ascii="Arial Narrow" w:hAnsi="Arial Narrow"/>
                <w:bCs/>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c>
          <w:tcPr>
            <w:tcW w:w="750" w:type="pct"/>
            <w:shd w:val="clear" w:color="auto" w:fill="auto"/>
            <w:vAlign w:val="center"/>
          </w:tcPr>
          <w:p w:rsidR="009E0A08" w:rsidRPr="00AD34D9" w:rsidRDefault="009E0A08" w:rsidP="001C7887">
            <w:pPr>
              <w:widowControl/>
              <w:ind w:right="93"/>
              <w:jc w:val="center"/>
              <w:rPr>
                <w:rFonts w:ascii="Arial Narrow" w:hAnsi="Arial Narrow"/>
                <w:bCs/>
                <w:color w:val="FF0000"/>
                <w:sz w:val="20"/>
              </w:rPr>
            </w:pPr>
            <w:r w:rsidRPr="00AD34D9">
              <w:rPr>
                <w:rFonts w:ascii="Arial Narrow" w:hAnsi="Arial Narrow"/>
                <w:sz w:val="20"/>
              </w:rPr>
              <w:t>$</w:t>
            </w:r>
            <w:r w:rsidR="00647AE3">
              <w:rPr>
                <w:rFonts w:ascii="Arial Narrow" w:hAnsi="Arial Narrow"/>
                <w:noProof/>
                <w:color w:val="000000"/>
                <w:sz w:val="20"/>
                <w:highlight w:val="black"/>
              </w:rPr>
              <w:t>'''''''''''''''''''''''</w:t>
            </w:r>
          </w:p>
        </w:tc>
      </w:tr>
    </w:tbl>
    <w:p w:rsidR="009E0A08" w:rsidRPr="009948F0" w:rsidRDefault="009E0A08" w:rsidP="009E0A08">
      <w:pPr>
        <w:pStyle w:val="TableFooter"/>
        <w:widowControl/>
        <w:ind w:left="709"/>
        <w:rPr>
          <w:szCs w:val="22"/>
        </w:rPr>
      </w:pPr>
      <w:r w:rsidRPr="009948F0">
        <w:t>Source: Compiled during the evaluation. Tables E.2, E.3 E.5.1 of the commentary. Note: a = 20 estimated average number of packs per patient per year, based on mean dose for males and females and a 50/50 utilization of 5mg and 12 mg packs. Abbreviations: PBS = pharmaceutical benefits scheme, MBS = Medicare benefits scheme.</w:t>
      </w:r>
    </w:p>
    <w:p w:rsidR="009E0A08" w:rsidRPr="009E0A08" w:rsidRDefault="009E0A08" w:rsidP="009E0A08">
      <w:pPr>
        <w:widowControl/>
        <w:rPr>
          <w:szCs w:val="22"/>
          <w:highlight w:val="yellow"/>
        </w:rPr>
      </w:pPr>
    </w:p>
    <w:p w:rsidR="00FB783C" w:rsidRDefault="009E0A08" w:rsidP="00E66A39">
      <w:pPr>
        <w:pStyle w:val="ListParagraph"/>
        <w:widowControl/>
        <w:numPr>
          <w:ilvl w:val="1"/>
          <w:numId w:val="2"/>
        </w:numPr>
        <w:rPr>
          <w:szCs w:val="22"/>
        </w:rPr>
      </w:pPr>
      <w:r w:rsidRPr="00AF3E9D">
        <w:t xml:space="preserve">The resubmission estimated that the net cost to the government will be </w:t>
      </w:r>
      <w:r w:rsidR="003E7934">
        <w:t>less than $10 million</w:t>
      </w:r>
      <w:r w:rsidRPr="00AF3E9D">
        <w:t xml:space="preserve"> in the first year and </w:t>
      </w:r>
      <w:r w:rsidR="003E7934">
        <w:t>less than $10 million</w:t>
      </w:r>
      <w:r w:rsidRPr="00AF3E9D">
        <w:t xml:space="preserve"> in the fifth year and </w:t>
      </w:r>
      <w:r w:rsidR="003E7934">
        <w:t>$10 - $20</w:t>
      </w:r>
      <w:r w:rsidRPr="00AF3E9D">
        <w:t xml:space="preserve"> million </w:t>
      </w:r>
      <w:r w:rsidRPr="00AF3E9D">
        <w:lastRenderedPageBreak/>
        <w:t xml:space="preserve">over the first five years of being listed. The resubmission assumed that patients who access </w:t>
      </w:r>
      <w:proofErr w:type="spellStart"/>
      <w:r w:rsidRPr="00AF3E9D">
        <w:t>somatropin</w:t>
      </w:r>
      <w:proofErr w:type="spellEnd"/>
      <w:r w:rsidRPr="00AF3E9D">
        <w:t xml:space="preserve"> on the PBS would not be charged a co-payment. As of September 2015 this is no longer the case. The net cost to the PBS will thus be reduced by the payment of patient co-payments on a per-supply basis.</w:t>
      </w:r>
      <w:r w:rsidR="00FB783C">
        <w:t xml:space="preserve"> </w:t>
      </w:r>
      <w:r w:rsidRPr="00FB783C">
        <w:rPr>
          <w:szCs w:val="22"/>
        </w:rPr>
        <w:t xml:space="preserve">Including co-payment, the estimated net cost to the government health budget associated with listing </w:t>
      </w:r>
      <w:proofErr w:type="spellStart"/>
      <w:r w:rsidRPr="00FB783C">
        <w:rPr>
          <w:szCs w:val="22"/>
        </w:rPr>
        <w:t>somatropin</w:t>
      </w:r>
      <w:proofErr w:type="spellEnd"/>
      <w:r w:rsidRPr="00FB783C">
        <w:rPr>
          <w:szCs w:val="22"/>
        </w:rPr>
        <w:t xml:space="preserve"> on the PBS for the treatment of severe GHD adult patients with substantially impaired quality of life is </w:t>
      </w:r>
      <w:r w:rsidR="003E7934">
        <w:rPr>
          <w:szCs w:val="22"/>
        </w:rPr>
        <w:t>less than $10 million</w:t>
      </w:r>
      <w:r w:rsidRPr="00FB783C">
        <w:rPr>
          <w:szCs w:val="22"/>
        </w:rPr>
        <w:t xml:space="preserve"> in the first year, increasing to </w:t>
      </w:r>
      <w:r w:rsidR="003E7934">
        <w:rPr>
          <w:szCs w:val="22"/>
        </w:rPr>
        <w:t>less than $10 million</w:t>
      </w:r>
      <w:r w:rsidRPr="00FB783C">
        <w:rPr>
          <w:szCs w:val="22"/>
        </w:rPr>
        <w:t xml:space="preserve"> in the fifth year, with a total of </w:t>
      </w:r>
      <w:r w:rsidR="003E7934">
        <w:t>$10 - $20</w:t>
      </w:r>
      <w:r w:rsidR="00D3347A">
        <w:rPr>
          <w:szCs w:val="22"/>
        </w:rPr>
        <w:t xml:space="preserve"> million over five years.</w:t>
      </w:r>
    </w:p>
    <w:p w:rsidR="00FB783C" w:rsidRDefault="00FB783C" w:rsidP="00FB783C">
      <w:pPr>
        <w:pStyle w:val="ListParagraph"/>
        <w:widowControl/>
        <w:rPr>
          <w:szCs w:val="22"/>
        </w:rPr>
      </w:pPr>
    </w:p>
    <w:p w:rsidR="009E0A08" w:rsidRDefault="009E0A08" w:rsidP="00E66A39">
      <w:pPr>
        <w:pStyle w:val="ListParagraph"/>
        <w:widowControl/>
        <w:numPr>
          <w:ilvl w:val="1"/>
          <w:numId w:val="2"/>
        </w:numPr>
        <w:rPr>
          <w:szCs w:val="22"/>
        </w:rPr>
      </w:pPr>
      <w:r w:rsidRPr="00FB783C">
        <w:rPr>
          <w:szCs w:val="22"/>
        </w:rPr>
        <w:t>However, t</w:t>
      </w:r>
      <w:r w:rsidRPr="00AF3E9D">
        <w:t>here is a potential for the number of prescriptions to be greater than estimated due to more patients meeting the proposed criteria for severe GHD.</w:t>
      </w:r>
      <w:r w:rsidRPr="00FB783C">
        <w:rPr>
          <w:i/>
        </w:rPr>
        <w:t xml:space="preserve"> </w:t>
      </w:r>
      <w:r w:rsidRPr="00AF3E9D">
        <w:t xml:space="preserve">If the proportion of patients with </w:t>
      </w:r>
      <w:proofErr w:type="spellStart"/>
      <w:r w:rsidRPr="00AF3E9D">
        <w:t>QoL</w:t>
      </w:r>
      <w:proofErr w:type="spellEnd"/>
      <w:r w:rsidRPr="00AF3E9D">
        <w:t>-AGHDA ≥16 is 35%, as presented in the sensitivity analysis, then the net cost to the government will be</w:t>
      </w:r>
      <w:r w:rsidR="00AF3E9D" w:rsidRPr="00FB783C">
        <w:rPr>
          <w:szCs w:val="22"/>
        </w:rPr>
        <w:t xml:space="preserve"> </w:t>
      </w:r>
      <w:r w:rsidR="00767A88">
        <w:rPr>
          <w:szCs w:val="22"/>
        </w:rPr>
        <w:t>less than $10 million</w:t>
      </w:r>
      <w:r w:rsidR="00767A88" w:rsidRPr="00FB783C">
        <w:rPr>
          <w:szCs w:val="22"/>
        </w:rPr>
        <w:t xml:space="preserve"> </w:t>
      </w:r>
      <w:r w:rsidR="00AF3E9D" w:rsidRPr="00FB783C">
        <w:rPr>
          <w:szCs w:val="22"/>
        </w:rPr>
        <w:t xml:space="preserve"> in </w:t>
      </w:r>
      <w:r w:rsidRPr="00FB783C">
        <w:rPr>
          <w:szCs w:val="22"/>
        </w:rPr>
        <w:t xml:space="preserve">the first year, </w:t>
      </w:r>
      <w:r w:rsidR="00767A88">
        <w:rPr>
          <w:szCs w:val="22"/>
        </w:rPr>
        <w:t>less than $10 million</w:t>
      </w:r>
      <w:r w:rsidRPr="00FB783C">
        <w:rPr>
          <w:szCs w:val="22"/>
        </w:rPr>
        <w:t xml:space="preserve"> in the fifth year, and a total of </w:t>
      </w:r>
      <w:r w:rsidR="00767A88">
        <w:t>$10 - $20</w:t>
      </w:r>
      <w:r w:rsidRPr="00FB783C">
        <w:rPr>
          <w:szCs w:val="22"/>
        </w:rPr>
        <w:t xml:space="preserve"> million over five years.</w:t>
      </w:r>
    </w:p>
    <w:p w:rsidR="00FB783C" w:rsidRPr="00FB783C" w:rsidRDefault="00FB783C" w:rsidP="00FB783C">
      <w:pPr>
        <w:pStyle w:val="ListParagraph"/>
        <w:rPr>
          <w:szCs w:val="22"/>
        </w:rPr>
      </w:pPr>
    </w:p>
    <w:p w:rsidR="00BD60F0" w:rsidRDefault="00FB783C" w:rsidP="005163C7">
      <w:pPr>
        <w:pStyle w:val="ListParagraph"/>
        <w:numPr>
          <w:ilvl w:val="1"/>
          <w:numId w:val="2"/>
        </w:numPr>
        <w:rPr>
          <w:szCs w:val="22"/>
        </w:rPr>
      </w:pPr>
      <w:r w:rsidRPr="008F598B">
        <w:rPr>
          <w:szCs w:val="22"/>
        </w:rPr>
        <w:t xml:space="preserve">Overall, the DUSC considered that the estimates presented in the resubmission were </w:t>
      </w:r>
      <w:r w:rsidRPr="005163C7">
        <w:rPr>
          <w:szCs w:val="22"/>
        </w:rPr>
        <w:t xml:space="preserve">likely to be underestimated. </w:t>
      </w:r>
      <w:r w:rsidR="00BD60F0" w:rsidRPr="005163C7">
        <w:rPr>
          <w:szCs w:val="22"/>
        </w:rPr>
        <w:t>The DUSC viewed that the main issues were:</w:t>
      </w:r>
    </w:p>
    <w:p w:rsidR="0004561F" w:rsidRPr="005163C7" w:rsidRDefault="0004561F" w:rsidP="0004561F">
      <w:pPr>
        <w:pStyle w:val="ListParagraph"/>
        <w:numPr>
          <w:ilvl w:val="0"/>
          <w:numId w:val="19"/>
        </w:numPr>
        <w:ind w:left="1134" w:hanging="425"/>
      </w:pPr>
      <w:r w:rsidRPr="005163C7">
        <w:t xml:space="preserve">The number of eligible patients with severe GHD and a </w:t>
      </w:r>
      <w:proofErr w:type="spellStart"/>
      <w:r w:rsidRPr="005163C7">
        <w:t>QoL</w:t>
      </w:r>
      <w:proofErr w:type="spellEnd"/>
      <w:r w:rsidRPr="005163C7">
        <w:t xml:space="preserve">-AGHDA score ≥ 16 is likely to be underestimated as the </w:t>
      </w:r>
      <w:proofErr w:type="spellStart"/>
      <w:r w:rsidRPr="005163C7">
        <w:t>QoL</w:t>
      </w:r>
      <w:proofErr w:type="spellEnd"/>
      <w:r w:rsidRPr="005163C7">
        <w:t xml:space="preserve"> instrument is self-assessed and subjective. There is potential for more patients</w:t>
      </w:r>
      <w:r w:rsidR="00D3347A">
        <w:t xml:space="preserve"> to meet the severity criteria.</w:t>
      </w:r>
    </w:p>
    <w:p w:rsidR="0004561F" w:rsidRPr="005163C7" w:rsidRDefault="0004561F" w:rsidP="0004561F">
      <w:pPr>
        <w:pStyle w:val="ListParagraph"/>
        <w:numPr>
          <w:ilvl w:val="0"/>
          <w:numId w:val="19"/>
        </w:numPr>
        <w:ind w:left="1134" w:hanging="425"/>
      </w:pPr>
      <w:r w:rsidRPr="005163C7">
        <w:t>The estimated number of eligible patients was uncertain as it was based on the opinion of one clinician.</w:t>
      </w:r>
    </w:p>
    <w:p w:rsidR="0004561F" w:rsidRPr="005163C7" w:rsidRDefault="0004561F" w:rsidP="0004561F">
      <w:pPr>
        <w:pStyle w:val="ListParagraph"/>
        <w:numPr>
          <w:ilvl w:val="0"/>
          <w:numId w:val="19"/>
        </w:numPr>
        <w:ind w:left="1134" w:hanging="425"/>
      </w:pPr>
      <w:r w:rsidRPr="005163C7">
        <w:t xml:space="preserve">It was inappropriate to convert the discontinuations after three years from the </w:t>
      </w:r>
      <w:proofErr w:type="spellStart"/>
      <w:r w:rsidRPr="005163C7">
        <w:t>Holdaway</w:t>
      </w:r>
      <w:proofErr w:type="spellEnd"/>
      <w:r w:rsidRPr="005163C7">
        <w:t xml:space="preserve"> et al (2015) study into an annual discontinuation rate, as most patients were treated for less than three years. The proportion of patients discontinuing treatment was underestimated.</w:t>
      </w:r>
    </w:p>
    <w:p w:rsidR="0004561F" w:rsidRPr="0032793B" w:rsidRDefault="0004561F" w:rsidP="0004561F">
      <w:pPr>
        <w:pStyle w:val="ListParagraph"/>
        <w:numPr>
          <w:ilvl w:val="0"/>
          <w:numId w:val="19"/>
        </w:numPr>
        <w:ind w:left="1134" w:hanging="425"/>
        <w:rPr>
          <w:szCs w:val="22"/>
        </w:rPr>
      </w:pPr>
      <w:r w:rsidRPr="005163C7">
        <w:t>The submission’s approach to the financial estimates was inconsistent and unclear. The submission inappropriately combined both prevalence and incidence approaches resulting in a number</w:t>
      </w:r>
      <w:r w:rsidR="00D3347A">
        <w:t xml:space="preserve"> of uncertainties.</w:t>
      </w:r>
    </w:p>
    <w:p w:rsidR="0086403E" w:rsidRPr="0086403E" w:rsidRDefault="0086403E" w:rsidP="0086403E">
      <w:pPr>
        <w:pStyle w:val="ListParagraph"/>
        <w:rPr>
          <w:color w:val="FF0000"/>
          <w:szCs w:val="22"/>
        </w:rPr>
      </w:pPr>
    </w:p>
    <w:p w:rsidR="008D33D8" w:rsidRPr="008D33D8" w:rsidRDefault="0086403E" w:rsidP="008D33D8">
      <w:pPr>
        <w:pStyle w:val="ListParagraph"/>
        <w:widowControl/>
        <w:numPr>
          <w:ilvl w:val="1"/>
          <w:numId w:val="2"/>
        </w:numPr>
        <w:rPr>
          <w:i/>
          <w:szCs w:val="22"/>
        </w:rPr>
      </w:pPr>
      <w:r w:rsidRPr="00430D2A">
        <w:rPr>
          <w:szCs w:val="22"/>
        </w:rPr>
        <w:t xml:space="preserve">The number of patients eligible for </w:t>
      </w:r>
      <w:proofErr w:type="spellStart"/>
      <w:r w:rsidRPr="00430D2A">
        <w:rPr>
          <w:szCs w:val="22"/>
        </w:rPr>
        <w:t>somatropin</w:t>
      </w:r>
      <w:proofErr w:type="spellEnd"/>
      <w:r w:rsidRPr="00430D2A">
        <w:rPr>
          <w:szCs w:val="22"/>
        </w:rPr>
        <w:t xml:space="preserve"> on the PBS was estimated by assuming that 25% of adult GHD patients have a </w:t>
      </w:r>
      <w:proofErr w:type="spellStart"/>
      <w:r w:rsidRPr="00430D2A">
        <w:rPr>
          <w:szCs w:val="22"/>
        </w:rPr>
        <w:t>QoL</w:t>
      </w:r>
      <w:proofErr w:type="spellEnd"/>
      <w:r w:rsidRPr="00430D2A">
        <w:rPr>
          <w:szCs w:val="22"/>
        </w:rPr>
        <w:t>-AGHDA score</w:t>
      </w:r>
      <w:r>
        <w:rPr>
          <w:szCs w:val="22"/>
        </w:rPr>
        <w:t> </w:t>
      </w:r>
      <w:r w:rsidR="00EF2914">
        <w:rPr>
          <w:szCs w:val="22"/>
        </w:rPr>
        <w:t>≥</w:t>
      </w:r>
      <w:r w:rsidRPr="00430D2A">
        <w:rPr>
          <w:szCs w:val="22"/>
        </w:rPr>
        <w:t>16.</w:t>
      </w:r>
      <w:r>
        <w:rPr>
          <w:szCs w:val="22"/>
        </w:rPr>
        <w:t xml:space="preserve"> This was uncertain as it was based on personal communication with one clinician.</w:t>
      </w:r>
      <w:r w:rsidR="00EF2914">
        <w:rPr>
          <w:szCs w:val="22"/>
        </w:rPr>
        <w:t xml:space="preserve"> </w:t>
      </w:r>
      <w:r w:rsidR="00EF2914" w:rsidRPr="00EF2914">
        <w:rPr>
          <w:szCs w:val="22"/>
        </w:rPr>
        <w:t xml:space="preserve">The PSCR (p3) stated that due to the lower than globally-accepted insulin tolerance test threshold for GHD diagnosis that has been applied in the resubmission, 25% is an overestimate. </w:t>
      </w:r>
      <w:r w:rsidR="00F93767">
        <w:rPr>
          <w:szCs w:val="22"/>
        </w:rPr>
        <w:t xml:space="preserve">The </w:t>
      </w:r>
      <w:r w:rsidR="00EF2914" w:rsidRPr="00EF2914">
        <w:rPr>
          <w:szCs w:val="22"/>
        </w:rPr>
        <w:t>DUSC noted that meeting the insulin tolerance test threshold is not necessary to qualify for the requested restriction, as patients may instead qualify based on results of an arginine infusion test or a glucagon provocation test, thus the applicant’s comment is not broadly applicable to the total eligible population. A sensitivity analysis (PSCR</w:t>
      </w:r>
      <w:r w:rsidR="00053D4E">
        <w:rPr>
          <w:szCs w:val="22"/>
        </w:rPr>
        <w:t>,</w:t>
      </w:r>
      <w:r w:rsidR="00EF2914" w:rsidRPr="00EF2914">
        <w:rPr>
          <w:szCs w:val="22"/>
        </w:rPr>
        <w:t xml:space="preserve"> p4) showed that if the proportion of patients with </w:t>
      </w:r>
      <w:proofErr w:type="spellStart"/>
      <w:r w:rsidR="00EF2914" w:rsidRPr="00EF2914">
        <w:rPr>
          <w:szCs w:val="22"/>
        </w:rPr>
        <w:t>QoL</w:t>
      </w:r>
      <w:proofErr w:type="spellEnd"/>
      <w:r w:rsidR="00EF2914" w:rsidRPr="00EF2914">
        <w:rPr>
          <w:szCs w:val="22"/>
        </w:rPr>
        <w:t xml:space="preserve">-AGHDA ≥16 is increased to 35%, then the net cost to the government </w:t>
      </w:r>
      <w:r w:rsidR="00F93767">
        <w:rPr>
          <w:szCs w:val="22"/>
        </w:rPr>
        <w:t>would</w:t>
      </w:r>
      <w:r w:rsidR="00EF2914" w:rsidRPr="00EF2914">
        <w:rPr>
          <w:szCs w:val="22"/>
        </w:rPr>
        <w:t xml:space="preserve"> be a total of </w:t>
      </w:r>
      <w:r w:rsidR="00433EC9">
        <w:rPr>
          <w:szCs w:val="22"/>
        </w:rPr>
        <w:t>$20 - $30</w:t>
      </w:r>
      <w:r w:rsidR="00EF2914" w:rsidRPr="00EF2914">
        <w:rPr>
          <w:szCs w:val="22"/>
        </w:rPr>
        <w:t xml:space="preserve"> million over five years compared to </w:t>
      </w:r>
      <w:r w:rsidR="00433EC9">
        <w:rPr>
          <w:szCs w:val="22"/>
        </w:rPr>
        <w:t>$10 - $20</w:t>
      </w:r>
      <w:r w:rsidR="00EF2914" w:rsidRPr="00EF2914">
        <w:rPr>
          <w:szCs w:val="22"/>
        </w:rPr>
        <w:t xml:space="preserve"> million when a 25% rate was used (includes calculation of co-payments). </w:t>
      </w:r>
      <w:r w:rsidR="00F93767">
        <w:rPr>
          <w:szCs w:val="22"/>
        </w:rPr>
        <w:t xml:space="preserve">The </w:t>
      </w:r>
      <w:r w:rsidR="00EF2914" w:rsidRPr="00EF2914">
        <w:rPr>
          <w:szCs w:val="22"/>
        </w:rPr>
        <w:t xml:space="preserve">DUSC reiterated that the </w:t>
      </w:r>
      <w:proofErr w:type="spellStart"/>
      <w:r w:rsidR="00EF2914" w:rsidRPr="00EF2914">
        <w:rPr>
          <w:szCs w:val="22"/>
        </w:rPr>
        <w:t>QoL</w:t>
      </w:r>
      <w:proofErr w:type="spellEnd"/>
      <w:r w:rsidR="00EF2914" w:rsidRPr="00EF2914">
        <w:rPr>
          <w:szCs w:val="22"/>
        </w:rPr>
        <w:t>-AGHDA instrument is based on a questionnaire that is self-reported and is highly subjective</w:t>
      </w:r>
      <w:r w:rsidR="00F93767">
        <w:rPr>
          <w:szCs w:val="22"/>
        </w:rPr>
        <w:t xml:space="preserve"> and</w:t>
      </w:r>
      <w:r w:rsidR="00EF2914" w:rsidRPr="00EF2914">
        <w:rPr>
          <w:szCs w:val="22"/>
        </w:rPr>
        <w:t xml:space="preserve"> that the number of eligible </w:t>
      </w:r>
      <w:r w:rsidR="00D3347A">
        <w:rPr>
          <w:szCs w:val="22"/>
        </w:rPr>
        <w:t>patients may be underestimated.</w:t>
      </w:r>
    </w:p>
    <w:p w:rsidR="008D33D8" w:rsidRPr="008D33D8" w:rsidRDefault="008D33D8" w:rsidP="008D33D8">
      <w:pPr>
        <w:pStyle w:val="ListParagraph"/>
        <w:widowControl/>
        <w:rPr>
          <w:i/>
          <w:szCs w:val="22"/>
        </w:rPr>
      </w:pPr>
    </w:p>
    <w:p w:rsidR="008D33D8" w:rsidRPr="00937856" w:rsidRDefault="00937856" w:rsidP="008D33D8">
      <w:pPr>
        <w:pStyle w:val="ListParagraph"/>
        <w:widowControl/>
        <w:numPr>
          <w:ilvl w:val="1"/>
          <w:numId w:val="2"/>
        </w:numPr>
        <w:rPr>
          <w:szCs w:val="22"/>
        </w:rPr>
      </w:pPr>
      <w:r>
        <w:rPr>
          <w:szCs w:val="22"/>
        </w:rPr>
        <w:t xml:space="preserve">As noted above, the DUSC viewed that the </w:t>
      </w:r>
      <w:r w:rsidR="00BD60F0" w:rsidRPr="00937856">
        <w:rPr>
          <w:szCs w:val="22"/>
        </w:rPr>
        <w:t>estimated number of eligible patients was uncertain as it was based on the opinion of one clinician.</w:t>
      </w:r>
      <w:r>
        <w:rPr>
          <w:szCs w:val="22"/>
        </w:rPr>
        <w:t xml:space="preserve"> The </w:t>
      </w:r>
      <w:r w:rsidR="008D33D8" w:rsidRPr="00937856">
        <w:rPr>
          <w:szCs w:val="22"/>
        </w:rPr>
        <w:t xml:space="preserve">Pre-PBAC </w:t>
      </w:r>
      <w:r>
        <w:rPr>
          <w:szCs w:val="22"/>
        </w:rPr>
        <w:t>R</w:t>
      </w:r>
      <w:r w:rsidR="008D33D8" w:rsidRPr="00937856">
        <w:rPr>
          <w:szCs w:val="22"/>
        </w:rPr>
        <w:t>esponse</w:t>
      </w:r>
      <w:r>
        <w:rPr>
          <w:szCs w:val="22"/>
        </w:rPr>
        <w:t xml:space="preserve"> </w:t>
      </w:r>
      <w:r w:rsidR="008D33D8" w:rsidRPr="00937856">
        <w:rPr>
          <w:szCs w:val="22"/>
        </w:rPr>
        <w:t>(p3)</w:t>
      </w:r>
      <w:r>
        <w:rPr>
          <w:szCs w:val="22"/>
        </w:rPr>
        <w:t xml:space="preserve"> argued that this</w:t>
      </w:r>
      <w:r w:rsidR="008D33D8" w:rsidRPr="00937856">
        <w:rPr>
          <w:szCs w:val="22"/>
        </w:rPr>
        <w:t xml:space="preserve"> opinion </w:t>
      </w:r>
      <w:r>
        <w:rPr>
          <w:szCs w:val="22"/>
        </w:rPr>
        <w:t>“</w:t>
      </w:r>
      <w:r w:rsidR="008D33D8" w:rsidRPr="00937856">
        <w:rPr>
          <w:szCs w:val="22"/>
        </w:rPr>
        <w:t>is evidence-based using data from prevalence studies.</w:t>
      </w:r>
      <w:r>
        <w:rPr>
          <w:szCs w:val="22"/>
        </w:rPr>
        <w:t>”</w:t>
      </w:r>
      <w:r w:rsidR="008D33D8" w:rsidRPr="00937856">
        <w:rPr>
          <w:szCs w:val="22"/>
        </w:rPr>
        <w:t xml:space="preserve"> </w:t>
      </w:r>
      <w:r w:rsidR="008D33D8" w:rsidRPr="00937856">
        <w:rPr>
          <w:szCs w:val="22"/>
        </w:rPr>
        <w:lastRenderedPageBreak/>
        <w:t>The UK prevalence rate of 0.02% (Bryant et al., 2002) was chosen for the base-case, as it was considered the most applicable source for the Australian population. A range of prevalence estimates were tested in a sensitivity analysis; 0.015% at the lower range and 0.023% at the upper range as this was the most recent data (Fernandez-Rodriguez et al., 2013). The proportion of patients meeting the restriction criteria proposed in this resubmission is estimated to be 25% of all patients with GHD. This 25% estimate is consistent with the New Zealand experience (</w:t>
      </w:r>
      <w:proofErr w:type="spellStart"/>
      <w:r w:rsidR="008D33D8" w:rsidRPr="00937856">
        <w:rPr>
          <w:szCs w:val="22"/>
        </w:rPr>
        <w:t>Holdaway</w:t>
      </w:r>
      <w:proofErr w:type="spellEnd"/>
      <w:r w:rsidR="008D33D8" w:rsidRPr="00937856">
        <w:rPr>
          <w:szCs w:val="22"/>
        </w:rPr>
        <w:t xml:space="preserve"> et al. 2015), where the number of eligible patients with severe GHD and substantially impaired </w:t>
      </w:r>
      <w:proofErr w:type="spellStart"/>
      <w:r w:rsidR="008D33D8" w:rsidRPr="00937856">
        <w:rPr>
          <w:szCs w:val="22"/>
        </w:rPr>
        <w:t>QoL</w:t>
      </w:r>
      <w:proofErr w:type="spellEnd"/>
      <w:r w:rsidR="008D33D8" w:rsidRPr="00937856">
        <w:rPr>
          <w:szCs w:val="22"/>
        </w:rPr>
        <w:t xml:space="preserve"> accessing funded treatment in the initial 3 years of their program was 191, from an expected 400-600 patients with GHD (of varying severity) given the NZ population of approximately 4.4 million (</w:t>
      </w:r>
      <w:r>
        <w:rPr>
          <w:szCs w:val="22"/>
        </w:rPr>
        <w:t>estimated from Schneider et al., 2007</w:t>
      </w:r>
      <w:r w:rsidR="008D33D8" w:rsidRPr="00937856">
        <w:rPr>
          <w:szCs w:val="22"/>
        </w:rPr>
        <w:t>).</w:t>
      </w:r>
    </w:p>
    <w:p w:rsidR="000C300C" w:rsidRDefault="000C300C" w:rsidP="006E5469"/>
    <w:p w:rsidR="00734933" w:rsidRPr="00420A91" w:rsidRDefault="00734933" w:rsidP="00D849EA">
      <w:pPr>
        <w:pStyle w:val="Heading2"/>
        <w:keepNext/>
        <w:widowControl/>
        <w:rPr>
          <w:i/>
          <w:szCs w:val="22"/>
        </w:rPr>
      </w:pPr>
      <w:r w:rsidRPr="00420A91">
        <w:rPr>
          <w:i/>
        </w:rPr>
        <w:t>Financial Management – Risk Sharing Arrangements</w:t>
      </w:r>
      <w:bookmarkEnd w:id="15"/>
    </w:p>
    <w:p w:rsidR="00734933" w:rsidRPr="00420A91" w:rsidRDefault="00734933" w:rsidP="00D849EA">
      <w:pPr>
        <w:keepNext/>
        <w:widowControl/>
        <w:rPr>
          <w:szCs w:val="22"/>
        </w:rPr>
      </w:pPr>
    </w:p>
    <w:p w:rsidR="00734933" w:rsidRPr="00E35B23" w:rsidRDefault="00912389" w:rsidP="00E66A39">
      <w:pPr>
        <w:pStyle w:val="ListParagraph"/>
        <w:widowControl/>
        <w:numPr>
          <w:ilvl w:val="1"/>
          <w:numId w:val="2"/>
        </w:numPr>
        <w:rPr>
          <w:szCs w:val="22"/>
        </w:rPr>
      </w:pPr>
      <w:r>
        <w:t xml:space="preserve">The resubmission did not propose any Risk </w:t>
      </w:r>
      <w:r w:rsidR="002E3C20">
        <w:t>Sharing Arrangement</w:t>
      </w:r>
      <w:r>
        <w:t xml:space="preserve">, although </w:t>
      </w:r>
      <w:r w:rsidR="00CB66F9">
        <w:t>the PBAC</w:t>
      </w:r>
      <w:r w:rsidR="00780B91">
        <w:t xml:space="preserve"> noted that such proposals would likely be beyond the scope of a submission not lodged by a sponsor.</w:t>
      </w:r>
    </w:p>
    <w:p w:rsidR="00E35B23" w:rsidRDefault="00E35B23" w:rsidP="00E35B23">
      <w:pPr>
        <w:rPr>
          <w:highlight w:val="yellow"/>
        </w:rPr>
      </w:pPr>
    </w:p>
    <w:p w:rsidR="00E35B23" w:rsidRPr="00E35B23" w:rsidRDefault="00E35B23" w:rsidP="003344CD">
      <w:pPr>
        <w:ind w:firstLine="720"/>
        <w:rPr>
          <w:i/>
        </w:rPr>
      </w:pPr>
      <w:r w:rsidRPr="006506F5">
        <w:rPr>
          <w:i/>
        </w:rPr>
        <w:t>For more detail on PBAC’s view, see section 7 “PBAC outcome”</w:t>
      </w:r>
      <w:r w:rsidR="006119BA">
        <w:rPr>
          <w:i/>
        </w:rPr>
        <w:t>.</w:t>
      </w:r>
    </w:p>
    <w:p w:rsidR="002B6C0E" w:rsidRDefault="002B6C0E" w:rsidP="009E5249"/>
    <w:p w:rsidR="00C91E69" w:rsidRDefault="00C91E69" w:rsidP="009E5249"/>
    <w:p w:rsidR="00DE4411" w:rsidRPr="00864933" w:rsidRDefault="00DE4411" w:rsidP="00E66A39">
      <w:pPr>
        <w:pStyle w:val="PBACHeading10"/>
        <w:numPr>
          <w:ilvl w:val="0"/>
          <w:numId w:val="2"/>
        </w:numPr>
        <w:rPr>
          <w:b w:val="0"/>
          <w:bCs/>
        </w:rPr>
      </w:pPr>
      <w:r w:rsidRPr="00864933">
        <w:rPr>
          <w:bCs/>
        </w:rPr>
        <w:t>PBAC Outcome</w:t>
      </w:r>
    </w:p>
    <w:p w:rsidR="00692BFC" w:rsidRPr="000D5CDB" w:rsidRDefault="00692BFC" w:rsidP="000D018E">
      <w:pPr>
        <w:rPr>
          <w:highlight w:val="yellow"/>
        </w:rPr>
      </w:pPr>
    </w:p>
    <w:p w:rsidR="00C91677" w:rsidRPr="00C91677" w:rsidRDefault="00DE4411" w:rsidP="00E66A39">
      <w:pPr>
        <w:numPr>
          <w:ilvl w:val="1"/>
          <w:numId w:val="2"/>
        </w:numPr>
        <w:contextualSpacing/>
        <w:rPr>
          <w:bCs/>
          <w:szCs w:val="22"/>
          <w:lang w:val="en-GB"/>
        </w:rPr>
      </w:pPr>
      <w:r w:rsidRPr="005636B6">
        <w:rPr>
          <w:bCs/>
          <w:szCs w:val="22"/>
          <w:lang w:val="en-GB"/>
        </w:rPr>
        <w:t>The PBAC</w:t>
      </w:r>
      <w:r w:rsidR="00B1272A">
        <w:rPr>
          <w:bCs/>
          <w:szCs w:val="22"/>
          <w:lang w:val="en-GB"/>
        </w:rPr>
        <w:t xml:space="preserve"> decided to</w:t>
      </w:r>
      <w:r w:rsidRPr="005636B6">
        <w:rPr>
          <w:bCs/>
          <w:szCs w:val="22"/>
          <w:lang w:val="en-GB"/>
        </w:rPr>
        <w:t xml:space="preserve"> </w:t>
      </w:r>
      <w:r w:rsidR="00A8034C" w:rsidRPr="005636B6">
        <w:rPr>
          <w:bCs/>
          <w:szCs w:val="22"/>
          <w:lang w:val="en-GB"/>
        </w:rPr>
        <w:t xml:space="preserve">defer making </w:t>
      </w:r>
      <w:r w:rsidR="00B1272A">
        <w:rPr>
          <w:bCs/>
          <w:szCs w:val="22"/>
          <w:lang w:val="en-GB"/>
        </w:rPr>
        <w:t xml:space="preserve">its decision </w:t>
      </w:r>
      <w:r w:rsidR="005636B6" w:rsidRPr="005636B6">
        <w:rPr>
          <w:bCs/>
          <w:szCs w:val="22"/>
          <w:lang w:val="en-GB"/>
        </w:rPr>
        <w:t xml:space="preserve">on whether to list </w:t>
      </w:r>
      <w:proofErr w:type="spellStart"/>
      <w:r w:rsidR="005636B6" w:rsidRPr="005636B6">
        <w:rPr>
          <w:bCs/>
          <w:szCs w:val="22"/>
          <w:lang w:val="en-GB"/>
        </w:rPr>
        <w:t>somatropin</w:t>
      </w:r>
      <w:proofErr w:type="spellEnd"/>
      <w:r w:rsidR="005636B6" w:rsidRPr="005636B6">
        <w:rPr>
          <w:bCs/>
          <w:szCs w:val="22"/>
          <w:lang w:val="en-GB"/>
        </w:rPr>
        <w:t xml:space="preserve"> </w:t>
      </w:r>
      <w:r w:rsidR="00B1272A">
        <w:rPr>
          <w:bCs/>
          <w:szCs w:val="22"/>
          <w:lang w:val="en-GB"/>
        </w:rPr>
        <w:t xml:space="preserve">on the PBS </w:t>
      </w:r>
      <w:r w:rsidR="00AA200D" w:rsidRPr="006303AE">
        <w:t xml:space="preserve">for </w:t>
      </w:r>
      <w:r w:rsidR="00B1272A">
        <w:t xml:space="preserve">the </w:t>
      </w:r>
      <w:r w:rsidR="00AA200D" w:rsidRPr="006303AE">
        <w:t>treatment of adults with severe growth hormone deficiency (GHD)</w:t>
      </w:r>
      <w:r w:rsidR="00F11A14">
        <w:t xml:space="preserve"> </w:t>
      </w:r>
      <w:r w:rsidR="00F11A14" w:rsidRPr="006303AE">
        <w:t>and substantially impaired quality of life (</w:t>
      </w:r>
      <w:proofErr w:type="spellStart"/>
      <w:r w:rsidR="00F11A14" w:rsidRPr="006303AE">
        <w:t>QoL</w:t>
      </w:r>
      <w:proofErr w:type="spellEnd"/>
      <w:r w:rsidR="00F11A14" w:rsidRPr="006303AE">
        <w:t>) at baseline.</w:t>
      </w:r>
      <w:r w:rsidR="00EA6279">
        <w:t xml:space="preserve"> In making this decision, the PBAC </w:t>
      </w:r>
      <w:r w:rsidR="000753E0">
        <w:t>viewed that although</w:t>
      </w:r>
      <w:r w:rsidR="00E1763F">
        <w:t xml:space="preserve"> there was a place for this drug in therapy for adults with </w:t>
      </w:r>
      <w:r w:rsidR="00870836">
        <w:t xml:space="preserve">severe </w:t>
      </w:r>
      <w:r w:rsidR="00E1763F">
        <w:t xml:space="preserve">GHD, the clinical benefit in terms of </w:t>
      </w:r>
      <w:proofErr w:type="spellStart"/>
      <w:r w:rsidR="00E1763F">
        <w:t>QoL</w:t>
      </w:r>
      <w:proofErr w:type="spellEnd"/>
      <w:r w:rsidR="00E1763F">
        <w:t xml:space="preserve"> was uncertain and </w:t>
      </w:r>
      <w:r w:rsidR="00103DC7">
        <w:t xml:space="preserve">the magnitude was </w:t>
      </w:r>
      <w:r w:rsidR="00E1763F">
        <w:t>likely overestimate</w:t>
      </w:r>
      <w:r w:rsidR="00722D8A">
        <w:t>d</w:t>
      </w:r>
      <w:r w:rsidR="00E1763F">
        <w:t xml:space="preserve">, and consequently the PBAC was uncertain as to the cost-effectiveness of the drug </w:t>
      </w:r>
      <w:r w:rsidR="00082D5C">
        <w:t>for this indication</w:t>
      </w:r>
      <w:r w:rsidR="00E1763F">
        <w:t>. The PBAC deferred its decision to seek further compar</w:t>
      </w:r>
      <w:r w:rsidR="00103DC7">
        <w:t xml:space="preserve">ative analysis on the range </w:t>
      </w:r>
      <w:r w:rsidR="00E1763F">
        <w:t xml:space="preserve">of clinical benefits provided by </w:t>
      </w:r>
      <w:proofErr w:type="spellStart"/>
      <w:r w:rsidR="00E1763F">
        <w:t>somatropin</w:t>
      </w:r>
      <w:proofErr w:type="spellEnd"/>
      <w:r w:rsidR="00E1763F">
        <w:t xml:space="preserve">, </w:t>
      </w:r>
      <w:r w:rsidR="009F672C">
        <w:t xml:space="preserve">to clarify the proposed PBS restriction, </w:t>
      </w:r>
      <w:r w:rsidR="00E1763F">
        <w:t xml:space="preserve">and to </w:t>
      </w:r>
      <w:r w:rsidR="0027789D">
        <w:t>allow the Department to discuss</w:t>
      </w:r>
      <w:r w:rsidR="00E1763F">
        <w:t xml:space="preserve"> </w:t>
      </w:r>
      <w:r w:rsidR="003D7E68">
        <w:t xml:space="preserve">appropriate </w:t>
      </w:r>
      <w:r w:rsidR="00E1763F">
        <w:t xml:space="preserve">pricing </w:t>
      </w:r>
      <w:r w:rsidR="00082D5C">
        <w:t xml:space="preserve">in this setting </w:t>
      </w:r>
      <w:r w:rsidR="0060610C">
        <w:t>with</w:t>
      </w:r>
      <w:r w:rsidR="00E1763F">
        <w:t xml:space="preserve"> sponsors of </w:t>
      </w:r>
      <w:proofErr w:type="spellStart"/>
      <w:r w:rsidR="00E1763F">
        <w:t>somatropin</w:t>
      </w:r>
      <w:proofErr w:type="spellEnd"/>
      <w:r w:rsidR="00E1763F">
        <w:t xml:space="preserve"> products registered </w:t>
      </w:r>
      <w:r w:rsidR="00462BFC">
        <w:t>for use in adults</w:t>
      </w:r>
      <w:r w:rsidR="00E1763F">
        <w:t>.</w:t>
      </w:r>
    </w:p>
    <w:p w:rsidR="00C91677" w:rsidRDefault="00C91677" w:rsidP="00C91677">
      <w:pPr>
        <w:ind w:left="720"/>
        <w:contextualSpacing/>
        <w:rPr>
          <w:bCs/>
          <w:szCs w:val="22"/>
          <w:lang w:val="en-GB"/>
        </w:rPr>
      </w:pPr>
    </w:p>
    <w:p w:rsidR="00870836" w:rsidRPr="00870836" w:rsidRDefault="00375261" w:rsidP="00E66A39">
      <w:pPr>
        <w:numPr>
          <w:ilvl w:val="1"/>
          <w:numId w:val="2"/>
        </w:numPr>
        <w:contextualSpacing/>
        <w:rPr>
          <w:bCs/>
          <w:szCs w:val="22"/>
          <w:lang w:val="en-GB"/>
        </w:rPr>
      </w:pPr>
      <w:r w:rsidRPr="00C91677">
        <w:rPr>
          <w:szCs w:val="22"/>
        </w:rPr>
        <w:t xml:space="preserve">The PBAC considered that the consumer comments received in relation to the </w:t>
      </w:r>
      <w:r w:rsidR="000753E0" w:rsidRPr="00C91677">
        <w:rPr>
          <w:szCs w:val="22"/>
        </w:rPr>
        <w:t>re</w:t>
      </w:r>
      <w:r w:rsidRPr="00C91677">
        <w:rPr>
          <w:szCs w:val="22"/>
        </w:rPr>
        <w:t xml:space="preserve">submission, both from people living with the </w:t>
      </w:r>
      <w:r w:rsidR="000753E0" w:rsidRPr="00C91677">
        <w:rPr>
          <w:szCs w:val="22"/>
        </w:rPr>
        <w:t>GH deficiency</w:t>
      </w:r>
      <w:r w:rsidRPr="00C91677">
        <w:rPr>
          <w:szCs w:val="22"/>
        </w:rPr>
        <w:t xml:space="preserve"> and on behalf of patients, were informative in providing a clinical perspective on this condition</w:t>
      </w:r>
      <w:r w:rsidR="00AB3C7D">
        <w:rPr>
          <w:szCs w:val="22"/>
        </w:rPr>
        <w:t>, particular</w:t>
      </w:r>
      <w:r w:rsidR="000A46FB">
        <w:rPr>
          <w:szCs w:val="22"/>
        </w:rPr>
        <w:t xml:space="preserve">ly in terms of </w:t>
      </w:r>
      <w:r w:rsidR="0038326A">
        <w:rPr>
          <w:szCs w:val="22"/>
        </w:rPr>
        <w:t xml:space="preserve">quality of life </w:t>
      </w:r>
      <w:r w:rsidR="000A46FB">
        <w:rPr>
          <w:szCs w:val="22"/>
        </w:rPr>
        <w:t>improvements.</w:t>
      </w:r>
    </w:p>
    <w:p w:rsidR="00870836" w:rsidRDefault="00870836" w:rsidP="00870836">
      <w:pPr>
        <w:pStyle w:val="ListParagraph"/>
        <w:rPr>
          <w:szCs w:val="22"/>
        </w:rPr>
      </w:pPr>
    </w:p>
    <w:p w:rsidR="00AB3C7D" w:rsidRPr="00132B96" w:rsidRDefault="00870836" w:rsidP="00E66A39">
      <w:pPr>
        <w:numPr>
          <w:ilvl w:val="1"/>
          <w:numId w:val="2"/>
        </w:numPr>
        <w:contextualSpacing/>
        <w:rPr>
          <w:bCs/>
          <w:szCs w:val="22"/>
          <w:lang w:val="en-GB"/>
        </w:rPr>
      </w:pPr>
      <w:r>
        <w:rPr>
          <w:szCs w:val="22"/>
        </w:rPr>
        <w:t xml:space="preserve">In terms of the place in clinical therapy, the PBAC acknowledged that there was a place for </w:t>
      </w:r>
      <w:proofErr w:type="spellStart"/>
      <w:r>
        <w:rPr>
          <w:szCs w:val="22"/>
        </w:rPr>
        <w:t>somatropin</w:t>
      </w:r>
      <w:proofErr w:type="spellEnd"/>
      <w:r>
        <w:rPr>
          <w:szCs w:val="22"/>
        </w:rPr>
        <w:t xml:space="preserve"> in the treatment of a</w:t>
      </w:r>
      <w:r w:rsidR="009F672C">
        <w:rPr>
          <w:szCs w:val="22"/>
        </w:rPr>
        <w:t>dults with severe GHD.</w:t>
      </w:r>
      <w:r w:rsidR="00132B96">
        <w:rPr>
          <w:szCs w:val="22"/>
        </w:rPr>
        <w:t xml:space="preserve"> However, the PBAC noted that the resubmission only presented evidence addressing the </w:t>
      </w:r>
      <w:proofErr w:type="spellStart"/>
      <w:r w:rsidR="00132B96">
        <w:rPr>
          <w:szCs w:val="22"/>
        </w:rPr>
        <w:t>QoL</w:t>
      </w:r>
      <w:proofErr w:type="spellEnd"/>
      <w:r w:rsidR="00132B96">
        <w:rPr>
          <w:szCs w:val="22"/>
        </w:rPr>
        <w:t xml:space="preserve"> impairments of GHD – for which the benefit of </w:t>
      </w:r>
      <w:proofErr w:type="spellStart"/>
      <w:r w:rsidR="00132B96">
        <w:rPr>
          <w:szCs w:val="22"/>
        </w:rPr>
        <w:t>somatropin</w:t>
      </w:r>
      <w:proofErr w:type="spellEnd"/>
      <w:r w:rsidR="00132B96">
        <w:rPr>
          <w:szCs w:val="22"/>
        </w:rPr>
        <w:t xml:space="preserve"> treatment </w:t>
      </w:r>
      <w:r w:rsidR="00681C4D">
        <w:rPr>
          <w:szCs w:val="22"/>
        </w:rPr>
        <w:t>remained</w:t>
      </w:r>
      <w:r w:rsidR="00132B96">
        <w:rPr>
          <w:szCs w:val="22"/>
        </w:rPr>
        <w:t xml:space="preserve"> uncertain – and not the range of physiological impacts including adverse metabolic effects and reduced bone density. </w:t>
      </w:r>
      <w:r w:rsidR="00B038F8">
        <w:rPr>
          <w:szCs w:val="22"/>
        </w:rPr>
        <w:t xml:space="preserve">The PBAC viewed that </w:t>
      </w:r>
      <w:proofErr w:type="spellStart"/>
      <w:r w:rsidR="00B038F8">
        <w:rPr>
          <w:szCs w:val="22"/>
        </w:rPr>
        <w:t>somatropin</w:t>
      </w:r>
      <w:proofErr w:type="spellEnd"/>
      <w:r w:rsidR="00B038F8">
        <w:rPr>
          <w:szCs w:val="22"/>
        </w:rPr>
        <w:t xml:space="preserve"> had a role to play in treating these aspects of the disease, and that the presentation of relevant comparative clinical evidence </w:t>
      </w:r>
      <w:r w:rsidR="000A3A79">
        <w:rPr>
          <w:szCs w:val="22"/>
        </w:rPr>
        <w:t xml:space="preserve">would have provided a stronger basis for PBAC’s assessment of the clinical need </w:t>
      </w:r>
      <w:r w:rsidR="006D1F4E" w:rsidRPr="007E2B0E">
        <w:rPr>
          <w:szCs w:val="22"/>
        </w:rPr>
        <w:t>and benefit</w:t>
      </w:r>
      <w:r w:rsidR="006D1F4E">
        <w:rPr>
          <w:szCs w:val="22"/>
        </w:rPr>
        <w:t xml:space="preserve"> </w:t>
      </w:r>
      <w:r w:rsidR="001B757B">
        <w:rPr>
          <w:szCs w:val="22"/>
        </w:rPr>
        <w:t>of</w:t>
      </w:r>
      <w:r w:rsidR="000A3A79">
        <w:rPr>
          <w:szCs w:val="22"/>
        </w:rPr>
        <w:t xml:space="preserve"> this therapy.</w:t>
      </w:r>
    </w:p>
    <w:p w:rsidR="00AB3C7D" w:rsidRDefault="00AB3C7D" w:rsidP="00AB3C7D">
      <w:pPr>
        <w:pStyle w:val="ListParagraph"/>
        <w:rPr>
          <w:szCs w:val="22"/>
        </w:rPr>
      </w:pPr>
    </w:p>
    <w:p w:rsidR="00D861D4" w:rsidRPr="00D861D4" w:rsidRDefault="00D861D4" w:rsidP="00E66A39">
      <w:pPr>
        <w:numPr>
          <w:ilvl w:val="1"/>
          <w:numId w:val="2"/>
        </w:numPr>
        <w:contextualSpacing/>
        <w:rPr>
          <w:bCs/>
          <w:szCs w:val="22"/>
          <w:lang w:val="en-GB"/>
        </w:rPr>
      </w:pPr>
      <w:r>
        <w:rPr>
          <w:bCs/>
          <w:szCs w:val="22"/>
          <w:lang w:val="en-GB"/>
        </w:rPr>
        <w:t xml:space="preserve">In its consideration of the </w:t>
      </w:r>
      <w:r w:rsidR="009B2409">
        <w:rPr>
          <w:bCs/>
          <w:szCs w:val="22"/>
          <w:lang w:val="en-GB"/>
        </w:rPr>
        <w:t>requested</w:t>
      </w:r>
      <w:r>
        <w:rPr>
          <w:bCs/>
          <w:szCs w:val="22"/>
          <w:lang w:val="en-GB"/>
        </w:rPr>
        <w:t xml:space="preserve"> PBS restriction</w:t>
      </w:r>
      <w:r w:rsidR="009B2409">
        <w:rPr>
          <w:bCs/>
          <w:szCs w:val="22"/>
          <w:lang w:val="en-GB"/>
        </w:rPr>
        <w:t xml:space="preserve">, the PBAC agreed with the </w:t>
      </w:r>
      <w:r w:rsidR="009B2409">
        <w:rPr>
          <w:bCs/>
          <w:szCs w:val="22"/>
          <w:lang w:val="en-GB"/>
        </w:rPr>
        <w:lastRenderedPageBreak/>
        <w:t xml:space="preserve">ESC’s concerns (paragraphs 2.3-2.5 and 6.9), and considered that the applicant would need to refine the requested listing to address these </w:t>
      </w:r>
      <w:r w:rsidR="00E301D0">
        <w:rPr>
          <w:bCs/>
          <w:szCs w:val="22"/>
          <w:lang w:val="en-GB"/>
        </w:rPr>
        <w:t>issues</w:t>
      </w:r>
      <w:r w:rsidR="009B2409">
        <w:rPr>
          <w:bCs/>
          <w:szCs w:val="22"/>
          <w:lang w:val="en-GB"/>
        </w:rPr>
        <w:t xml:space="preserve"> – in particular </w:t>
      </w:r>
      <w:r w:rsidR="00E301D0">
        <w:rPr>
          <w:bCs/>
          <w:szCs w:val="22"/>
          <w:lang w:val="en-GB"/>
        </w:rPr>
        <w:t xml:space="preserve">adequate </w:t>
      </w:r>
      <w:r w:rsidR="009B2409">
        <w:rPr>
          <w:bCs/>
          <w:szCs w:val="22"/>
          <w:lang w:val="en-GB"/>
        </w:rPr>
        <w:t>justif</w:t>
      </w:r>
      <w:r w:rsidR="00E301D0">
        <w:rPr>
          <w:bCs/>
          <w:szCs w:val="22"/>
          <w:lang w:val="en-GB"/>
        </w:rPr>
        <w:t>ication of</w:t>
      </w:r>
      <w:r w:rsidR="009B2409">
        <w:rPr>
          <w:bCs/>
          <w:szCs w:val="22"/>
          <w:lang w:val="en-GB"/>
        </w:rPr>
        <w:t xml:space="preserve"> the choice of </w:t>
      </w:r>
      <w:proofErr w:type="spellStart"/>
      <w:r w:rsidR="009B2409" w:rsidRPr="007A1867">
        <w:rPr>
          <w:szCs w:val="22"/>
        </w:rPr>
        <w:t>QoL</w:t>
      </w:r>
      <w:proofErr w:type="spellEnd"/>
      <w:r w:rsidR="009B2409" w:rsidRPr="007A1867">
        <w:rPr>
          <w:szCs w:val="22"/>
        </w:rPr>
        <w:t xml:space="preserve">-AGHDA </w:t>
      </w:r>
      <w:r w:rsidR="009B2409">
        <w:rPr>
          <w:szCs w:val="22"/>
        </w:rPr>
        <w:t xml:space="preserve">score </w:t>
      </w:r>
      <w:r w:rsidR="009B2409">
        <w:rPr>
          <w:bCs/>
          <w:szCs w:val="22"/>
          <w:lang w:val="en-GB"/>
        </w:rPr>
        <w:t xml:space="preserve">cut-off values for initiation, continuation and recommencement. Additionally to the ESC advice, the PBAC also noted that the initiation criteria did not require IGF-1 to be documented at </w:t>
      </w:r>
      <w:r w:rsidR="00E301D0">
        <w:rPr>
          <w:bCs/>
          <w:szCs w:val="22"/>
          <w:lang w:val="en-GB"/>
        </w:rPr>
        <w:t>initiation of treatment and considered that this would be useful to ascertain GH deficiency, and provide a baseline for ongoing assessment.</w:t>
      </w:r>
    </w:p>
    <w:p w:rsidR="009D62A5" w:rsidRPr="0060610C" w:rsidRDefault="009D62A5" w:rsidP="0060610C">
      <w:pPr>
        <w:widowControl/>
        <w:rPr>
          <w:bCs/>
          <w:szCs w:val="22"/>
          <w:lang w:val="en-GB"/>
        </w:rPr>
      </w:pPr>
    </w:p>
    <w:p w:rsidR="00DE4411" w:rsidRPr="00617507" w:rsidRDefault="00FB354E" w:rsidP="00E66A39">
      <w:pPr>
        <w:numPr>
          <w:ilvl w:val="1"/>
          <w:numId w:val="2"/>
        </w:numPr>
        <w:contextualSpacing/>
        <w:rPr>
          <w:bCs/>
          <w:color w:val="00863D"/>
          <w:szCs w:val="22"/>
          <w:lang w:val="en-GB"/>
        </w:rPr>
      </w:pPr>
      <w:r>
        <w:rPr>
          <w:bCs/>
          <w:szCs w:val="22"/>
          <w:lang w:val="en-GB"/>
        </w:rPr>
        <w:t xml:space="preserve">The </w:t>
      </w:r>
      <w:r w:rsidR="00B84E0F">
        <w:rPr>
          <w:bCs/>
          <w:szCs w:val="22"/>
          <w:lang w:val="en-GB"/>
        </w:rPr>
        <w:t xml:space="preserve">PBAC </w:t>
      </w:r>
      <w:r w:rsidR="008E59E3">
        <w:rPr>
          <w:bCs/>
          <w:szCs w:val="22"/>
          <w:lang w:val="en-GB"/>
        </w:rPr>
        <w:t xml:space="preserve">noted </w:t>
      </w:r>
      <w:r w:rsidR="00B84E0F">
        <w:rPr>
          <w:bCs/>
          <w:szCs w:val="22"/>
          <w:lang w:val="en-GB"/>
        </w:rPr>
        <w:t>that the resubmission nominated</w:t>
      </w:r>
      <w:r>
        <w:rPr>
          <w:bCs/>
          <w:szCs w:val="22"/>
          <w:lang w:val="en-GB"/>
        </w:rPr>
        <w:t xml:space="preserve"> </w:t>
      </w:r>
      <w:r w:rsidR="00617507" w:rsidRPr="006303AE">
        <w:t>standard care</w:t>
      </w:r>
      <w:r w:rsidR="00B84E0F">
        <w:t xml:space="preserve"> as the comparator</w:t>
      </w:r>
      <w:r w:rsidR="008E59E3">
        <w:t>, and considered this to be appropriate.</w:t>
      </w:r>
    </w:p>
    <w:p w:rsidR="00DE4411" w:rsidRPr="00920067" w:rsidRDefault="00DE4411" w:rsidP="00DE4411">
      <w:pPr>
        <w:ind w:left="720"/>
        <w:contextualSpacing/>
        <w:rPr>
          <w:bCs/>
          <w:color w:val="00863D"/>
          <w:szCs w:val="22"/>
          <w:lang w:val="en-GB"/>
        </w:rPr>
      </w:pPr>
    </w:p>
    <w:p w:rsidR="00C62124" w:rsidRDefault="000C1EB2" w:rsidP="0088242B">
      <w:pPr>
        <w:pStyle w:val="ListParagraph"/>
        <w:numPr>
          <w:ilvl w:val="1"/>
          <w:numId w:val="2"/>
        </w:numPr>
        <w:rPr>
          <w:bCs/>
          <w:szCs w:val="22"/>
        </w:rPr>
      </w:pPr>
      <w:r w:rsidRPr="00833D03">
        <w:rPr>
          <w:bCs/>
          <w:szCs w:val="22"/>
          <w:lang w:val="en-GB"/>
        </w:rPr>
        <w:t xml:space="preserve">The PBAC noted that the key clinical evidence presented </w:t>
      </w:r>
      <w:r w:rsidRPr="00833D03">
        <w:rPr>
          <w:bCs/>
          <w:szCs w:val="22"/>
        </w:rPr>
        <w:t xml:space="preserve">was one non-randomised, single arm observational study of New Zealand patients with severe GHD receiving </w:t>
      </w:r>
      <w:proofErr w:type="spellStart"/>
      <w:r w:rsidRPr="00833D03">
        <w:rPr>
          <w:bCs/>
          <w:szCs w:val="22"/>
        </w:rPr>
        <w:t>somatropin</w:t>
      </w:r>
      <w:proofErr w:type="spellEnd"/>
      <w:r w:rsidRPr="00833D03">
        <w:rPr>
          <w:bCs/>
          <w:szCs w:val="22"/>
        </w:rPr>
        <w:t xml:space="preserve"> under the auspices of the PHARMAC program for subsidised access to </w:t>
      </w:r>
      <w:proofErr w:type="spellStart"/>
      <w:r w:rsidRPr="00833D03">
        <w:rPr>
          <w:bCs/>
          <w:szCs w:val="22"/>
        </w:rPr>
        <w:t>somatropin</w:t>
      </w:r>
      <w:proofErr w:type="spellEnd"/>
      <w:r w:rsidRPr="00833D03">
        <w:rPr>
          <w:bCs/>
          <w:szCs w:val="22"/>
        </w:rPr>
        <w:t xml:space="preserve"> du</w:t>
      </w:r>
      <w:r w:rsidR="00F75779">
        <w:rPr>
          <w:bCs/>
          <w:szCs w:val="22"/>
        </w:rPr>
        <w:t xml:space="preserve">ring </w:t>
      </w:r>
      <w:proofErr w:type="spellStart"/>
      <w:r w:rsidR="00F75779">
        <w:rPr>
          <w:bCs/>
          <w:szCs w:val="22"/>
        </w:rPr>
        <w:t>Holdaway</w:t>
      </w:r>
      <w:proofErr w:type="spellEnd"/>
      <w:r w:rsidR="00F75779">
        <w:rPr>
          <w:bCs/>
          <w:szCs w:val="22"/>
        </w:rPr>
        <w:t xml:space="preserve"> et al. (2015). The PBAC considered that the lack of comparative evidence on the range of physiological effects of treatment limited the interpretability of the claimed clinical benefit.</w:t>
      </w:r>
    </w:p>
    <w:p w:rsidR="00C62124" w:rsidRPr="00C62124" w:rsidRDefault="00C62124" w:rsidP="00C62124">
      <w:pPr>
        <w:pStyle w:val="ListParagraph"/>
        <w:rPr>
          <w:bCs/>
          <w:szCs w:val="22"/>
          <w:lang w:val="en-GB"/>
        </w:rPr>
      </w:pPr>
    </w:p>
    <w:p w:rsidR="00E66A39" w:rsidRPr="00D205D2" w:rsidRDefault="00722D8A" w:rsidP="0088242B">
      <w:pPr>
        <w:pStyle w:val="ListParagraph"/>
        <w:widowControl/>
        <w:numPr>
          <w:ilvl w:val="1"/>
          <w:numId w:val="2"/>
        </w:numPr>
        <w:rPr>
          <w:bCs/>
        </w:rPr>
      </w:pPr>
      <w:r w:rsidRPr="00C62124">
        <w:rPr>
          <w:bCs/>
          <w:szCs w:val="22"/>
          <w:lang w:val="en-GB"/>
        </w:rPr>
        <w:t>In the absence of comparative data,</w:t>
      </w:r>
      <w:r w:rsidR="000A0F2A" w:rsidRPr="00C62124">
        <w:rPr>
          <w:bCs/>
          <w:szCs w:val="22"/>
          <w:lang w:val="en-GB"/>
        </w:rPr>
        <w:t xml:space="preserve"> </w:t>
      </w:r>
      <w:r w:rsidR="00360395" w:rsidRPr="00B263B7">
        <w:t xml:space="preserve">the PBAC </w:t>
      </w:r>
      <w:r w:rsidR="008E59E3">
        <w:t xml:space="preserve">considered that </w:t>
      </w:r>
      <w:r w:rsidR="00360395" w:rsidRPr="00B263B7">
        <w:t xml:space="preserve">the comparative effectiveness </w:t>
      </w:r>
      <w:r w:rsidR="00E045FF">
        <w:t xml:space="preserve">over standard care, </w:t>
      </w:r>
      <w:r w:rsidR="00E045FF" w:rsidRPr="00B263B7">
        <w:t xml:space="preserve">in terms of </w:t>
      </w:r>
      <w:proofErr w:type="spellStart"/>
      <w:r w:rsidR="00E045FF" w:rsidRPr="00B263B7">
        <w:t>QoL</w:t>
      </w:r>
      <w:proofErr w:type="spellEnd"/>
      <w:r w:rsidR="00E045FF" w:rsidRPr="00B263B7">
        <w:t xml:space="preserve"> improvement</w:t>
      </w:r>
      <w:r w:rsidR="008E59E3">
        <w:t>, was difficult to quantify</w:t>
      </w:r>
      <w:r w:rsidR="00E045FF">
        <w:t>.</w:t>
      </w:r>
      <w:r w:rsidR="00360395" w:rsidRPr="00B263B7">
        <w:t xml:space="preserve"> </w:t>
      </w:r>
      <w:r w:rsidR="00CD1493">
        <w:t xml:space="preserve">The PBAC noted the arguments raised by the PSCR, the ESC advice and the Pre-PBAC Response (paragraphs 6.13-6.16), and agreed with the ESC that </w:t>
      </w:r>
      <w:r w:rsidR="00A333A4">
        <w:t xml:space="preserve">the claimed clinical benefit was </w:t>
      </w:r>
      <w:r w:rsidR="00E46B7D">
        <w:t>likely</w:t>
      </w:r>
      <w:r w:rsidR="00A271B1">
        <w:t xml:space="preserve"> overestimated</w:t>
      </w:r>
      <w:r w:rsidR="003022BD">
        <w:t xml:space="preserve">. </w:t>
      </w:r>
      <w:r w:rsidR="00D205D2" w:rsidRPr="00C922FD">
        <w:rPr>
          <w:bCs/>
          <w:szCs w:val="22"/>
        </w:rPr>
        <w:t xml:space="preserve">The PBAC </w:t>
      </w:r>
      <w:r w:rsidR="0060610C">
        <w:rPr>
          <w:bCs/>
          <w:szCs w:val="22"/>
        </w:rPr>
        <w:t>considered</w:t>
      </w:r>
      <w:r w:rsidR="00D205D2" w:rsidRPr="00C922FD">
        <w:rPr>
          <w:bCs/>
          <w:szCs w:val="22"/>
        </w:rPr>
        <w:t xml:space="preserve"> that a presentation of comparative clinical evidence on the range of physiological effects of </w:t>
      </w:r>
      <w:proofErr w:type="spellStart"/>
      <w:r w:rsidR="00D205D2" w:rsidRPr="00C922FD">
        <w:rPr>
          <w:bCs/>
          <w:szCs w:val="22"/>
        </w:rPr>
        <w:t>somatropin</w:t>
      </w:r>
      <w:proofErr w:type="spellEnd"/>
      <w:r w:rsidR="00D205D2" w:rsidRPr="00C922FD">
        <w:rPr>
          <w:bCs/>
          <w:szCs w:val="22"/>
        </w:rPr>
        <w:t xml:space="preserve"> treatment would have provided additional context for interpreting the magnitude of the clinical benefit.</w:t>
      </w:r>
    </w:p>
    <w:p w:rsidR="00E66A39" w:rsidRPr="00E66A39" w:rsidRDefault="00E66A39" w:rsidP="00E66A39">
      <w:pPr>
        <w:pStyle w:val="ListParagraph"/>
        <w:rPr>
          <w:szCs w:val="22"/>
          <w:highlight w:val="yellow"/>
        </w:rPr>
      </w:pPr>
    </w:p>
    <w:p w:rsidR="00E66A39" w:rsidRPr="009B67F7" w:rsidRDefault="00E66A39" w:rsidP="00E66A39">
      <w:pPr>
        <w:pStyle w:val="ListParagraph"/>
        <w:widowControl/>
        <w:numPr>
          <w:ilvl w:val="1"/>
          <w:numId w:val="2"/>
        </w:numPr>
        <w:rPr>
          <w:bCs/>
          <w:szCs w:val="22"/>
        </w:rPr>
      </w:pPr>
      <w:r w:rsidRPr="009B67F7">
        <w:rPr>
          <w:szCs w:val="22"/>
        </w:rPr>
        <w:t xml:space="preserve">The PBAC considered that the claim of non-inferior comparative safety over standard care was not sufficiently supported by presentation of the non-comparative </w:t>
      </w:r>
      <w:proofErr w:type="spellStart"/>
      <w:r w:rsidRPr="009B67F7">
        <w:rPr>
          <w:szCs w:val="22"/>
        </w:rPr>
        <w:t>Holdaway</w:t>
      </w:r>
      <w:proofErr w:type="spellEnd"/>
      <w:r w:rsidRPr="009B67F7">
        <w:rPr>
          <w:szCs w:val="22"/>
        </w:rPr>
        <w:t xml:space="preserve"> et al. 2015 data, especially in view of the lack of details regarding the reasons that patients discontinued treatment during the 33 months study follow-up. The PBAC recalled it previous advice that </w:t>
      </w:r>
      <w:proofErr w:type="spellStart"/>
      <w:r w:rsidRPr="009B67F7">
        <w:rPr>
          <w:szCs w:val="22"/>
        </w:rPr>
        <w:t>somatropin</w:t>
      </w:r>
      <w:proofErr w:type="spellEnd"/>
      <w:r w:rsidRPr="009B67F7">
        <w:rPr>
          <w:szCs w:val="22"/>
        </w:rPr>
        <w:t xml:space="preserve"> was inferior in terms of short-term safety compared to placebo, </w:t>
      </w:r>
      <w:r w:rsidR="009B67F7" w:rsidRPr="009B67F7">
        <w:rPr>
          <w:szCs w:val="22"/>
        </w:rPr>
        <w:t>but acknowledged the possibility that higher treatment doses in earlier stud</w:t>
      </w:r>
      <w:r w:rsidR="001C296D">
        <w:rPr>
          <w:szCs w:val="22"/>
        </w:rPr>
        <w:t>ies had influenced this result.</w:t>
      </w:r>
    </w:p>
    <w:p w:rsidR="00360395" w:rsidRDefault="00360395" w:rsidP="00360395">
      <w:pPr>
        <w:pStyle w:val="ListParagraph"/>
        <w:rPr>
          <w:bCs/>
          <w:color w:val="00863D"/>
          <w:szCs w:val="22"/>
          <w:lang w:val="en-GB"/>
        </w:rPr>
      </w:pPr>
    </w:p>
    <w:p w:rsidR="00E4158F" w:rsidRPr="009F483D" w:rsidRDefault="00CC4CC7" w:rsidP="009F483D">
      <w:pPr>
        <w:pStyle w:val="ListParagraph"/>
        <w:widowControl/>
        <w:numPr>
          <w:ilvl w:val="1"/>
          <w:numId w:val="2"/>
        </w:numPr>
      </w:pPr>
      <w:r w:rsidRPr="0080571F">
        <w:rPr>
          <w:szCs w:val="22"/>
          <w:lang w:val="en-GB"/>
        </w:rPr>
        <w:t>In its consideration of the economic analysis presented in</w:t>
      </w:r>
      <w:r w:rsidR="002C30D8" w:rsidRPr="0080571F">
        <w:rPr>
          <w:szCs w:val="22"/>
          <w:lang w:val="en-GB"/>
        </w:rPr>
        <w:t xml:space="preserve"> the submission, the PBAC noted several issues with the model inputs, which introduced uncert</w:t>
      </w:r>
      <w:r w:rsidR="00090CD4" w:rsidRPr="0080571F">
        <w:rPr>
          <w:szCs w:val="22"/>
          <w:lang w:val="en-GB"/>
        </w:rPr>
        <w:t>ainty to the ICER calculations.</w:t>
      </w:r>
      <w:r w:rsidR="00090CD4" w:rsidRPr="00B016A0">
        <w:rPr>
          <w:i/>
          <w:szCs w:val="22"/>
          <w:lang w:val="en-GB"/>
        </w:rPr>
        <w:t xml:space="preserve"> </w:t>
      </w:r>
      <w:r w:rsidR="00090CD4" w:rsidRPr="0080571F">
        <w:rPr>
          <w:szCs w:val="22"/>
          <w:lang w:val="en-GB"/>
        </w:rPr>
        <w:t xml:space="preserve">The main concern was the use of </w:t>
      </w:r>
      <w:proofErr w:type="spellStart"/>
      <w:r w:rsidR="00090CD4" w:rsidRPr="0080571F">
        <w:rPr>
          <w:szCs w:val="22"/>
          <w:lang w:val="en-GB"/>
        </w:rPr>
        <w:t>Holdaway</w:t>
      </w:r>
      <w:proofErr w:type="spellEnd"/>
      <w:r w:rsidR="00090CD4" w:rsidRPr="0080571F">
        <w:rPr>
          <w:szCs w:val="22"/>
          <w:lang w:val="en-GB"/>
        </w:rPr>
        <w:t xml:space="preserve"> et al. (2015) data, which c</w:t>
      </w:r>
      <w:r w:rsidR="007B2CC6" w:rsidRPr="0080571F">
        <w:rPr>
          <w:szCs w:val="22"/>
          <w:lang w:val="en-GB"/>
        </w:rPr>
        <w:t xml:space="preserve">ontained no untreated patients and was thus likely to be highly selective of patients successfully treated with </w:t>
      </w:r>
      <w:proofErr w:type="spellStart"/>
      <w:r w:rsidR="007B2CC6" w:rsidRPr="0080571F">
        <w:rPr>
          <w:szCs w:val="22"/>
          <w:lang w:val="en-GB"/>
        </w:rPr>
        <w:t>somatropin</w:t>
      </w:r>
      <w:proofErr w:type="spellEnd"/>
      <w:r w:rsidR="007B2CC6" w:rsidRPr="0080571F">
        <w:rPr>
          <w:szCs w:val="22"/>
          <w:lang w:val="en-GB"/>
        </w:rPr>
        <w:t xml:space="preserve">. </w:t>
      </w:r>
      <w:r w:rsidR="009F483D">
        <w:rPr>
          <w:szCs w:val="22"/>
          <w:lang w:val="en-GB"/>
        </w:rPr>
        <w:t xml:space="preserve">The PBAC shared the </w:t>
      </w:r>
      <w:r w:rsidR="0080571F">
        <w:rPr>
          <w:szCs w:val="22"/>
          <w:lang w:val="en-GB"/>
        </w:rPr>
        <w:t xml:space="preserve">concerns </w:t>
      </w:r>
      <w:r w:rsidR="009F483D">
        <w:rPr>
          <w:szCs w:val="22"/>
          <w:lang w:val="en-GB"/>
        </w:rPr>
        <w:t xml:space="preserve">raised during the evaluation (see 6.31-6.50), and </w:t>
      </w:r>
      <w:r w:rsidR="00E4158F" w:rsidRPr="009F483D">
        <w:t xml:space="preserve">considered that, given the high uncertainty in quantifying the clinical benefit of </w:t>
      </w:r>
      <w:proofErr w:type="spellStart"/>
      <w:r w:rsidR="00E4158F" w:rsidRPr="009F483D">
        <w:t>somatropin</w:t>
      </w:r>
      <w:proofErr w:type="spellEnd"/>
      <w:r w:rsidR="00E4158F" w:rsidRPr="009F483D">
        <w:t xml:space="preserve"> treatment, a reduction in drug cost </w:t>
      </w:r>
      <w:r w:rsidR="0060610C">
        <w:t xml:space="preserve">would improve the </w:t>
      </w:r>
      <w:r w:rsidR="00E4158F" w:rsidRPr="009F483D">
        <w:t xml:space="preserve">cost-effectiveness </w:t>
      </w:r>
      <w:r w:rsidR="0060610C">
        <w:t xml:space="preserve">of </w:t>
      </w:r>
      <w:proofErr w:type="spellStart"/>
      <w:r w:rsidR="0060610C">
        <w:t>somatropin</w:t>
      </w:r>
      <w:proofErr w:type="spellEnd"/>
      <w:r w:rsidR="0060610C">
        <w:t xml:space="preserve"> </w:t>
      </w:r>
      <w:r w:rsidR="00E4158F" w:rsidRPr="009F483D">
        <w:t>in this setting.</w:t>
      </w:r>
    </w:p>
    <w:p w:rsidR="00C051B3" w:rsidRPr="00962F8D" w:rsidRDefault="00C051B3" w:rsidP="00C051B3">
      <w:pPr>
        <w:pStyle w:val="ListParagraph"/>
        <w:rPr>
          <w:szCs w:val="22"/>
        </w:rPr>
      </w:pPr>
    </w:p>
    <w:p w:rsidR="00D93E81" w:rsidRPr="00BE0585" w:rsidRDefault="00D93E81" w:rsidP="003D4683">
      <w:pPr>
        <w:pStyle w:val="ListParagraph"/>
        <w:widowControl/>
        <w:numPr>
          <w:ilvl w:val="1"/>
          <w:numId w:val="2"/>
        </w:numPr>
        <w:rPr>
          <w:bCs/>
          <w:szCs w:val="22"/>
          <w:lang w:val="en-GB"/>
        </w:rPr>
      </w:pPr>
      <w:r w:rsidRPr="00BE0585">
        <w:rPr>
          <w:bCs/>
          <w:szCs w:val="22"/>
          <w:lang w:val="en-GB"/>
        </w:rPr>
        <w:t xml:space="preserve">The PBAC </w:t>
      </w:r>
      <w:r w:rsidR="0060610C">
        <w:rPr>
          <w:bCs/>
          <w:szCs w:val="22"/>
          <w:lang w:val="en-GB"/>
        </w:rPr>
        <w:t>considered</w:t>
      </w:r>
      <w:r w:rsidRPr="00BE0585">
        <w:rPr>
          <w:bCs/>
          <w:szCs w:val="22"/>
          <w:lang w:val="en-GB"/>
        </w:rPr>
        <w:t xml:space="preserve"> that the </w:t>
      </w:r>
      <w:r w:rsidR="003D4683" w:rsidRPr="00BE0585">
        <w:rPr>
          <w:bCs/>
          <w:szCs w:val="22"/>
          <w:lang w:val="en-GB"/>
        </w:rPr>
        <w:t>utilisation</w:t>
      </w:r>
      <w:r w:rsidRPr="00BE0585">
        <w:rPr>
          <w:bCs/>
          <w:szCs w:val="22"/>
          <w:lang w:val="en-GB"/>
        </w:rPr>
        <w:t xml:space="preserve"> and financial impact estimates were </w:t>
      </w:r>
      <w:r w:rsidR="003D4683" w:rsidRPr="00BE0585">
        <w:rPr>
          <w:bCs/>
          <w:szCs w:val="22"/>
          <w:lang w:val="en-GB"/>
        </w:rPr>
        <w:t xml:space="preserve">likely </w:t>
      </w:r>
      <w:r w:rsidRPr="00BE0585">
        <w:rPr>
          <w:bCs/>
          <w:szCs w:val="22"/>
          <w:lang w:val="en-GB"/>
        </w:rPr>
        <w:t xml:space="preserve">underestimated, </w:t>
      </w:r>
      <w:r w:rsidR="0060610C">
        <w:rPr>
          <w:bCs/>
          <w:szCs w:val="22"/>
          <w:lang w:val="en-GB"/>
        </w:rPr>
        <w:t>noting the subjective self-assessment inherent in the</w:t>
      </w:r>
      <w:r w:rsidR="003D4683" w:rsidRPr="00BE0585">
        <w:rPr>
          <w:bCs/>
          <w:szCs w:val="22"/>
          <w:lang w:val="en-GB"/>
        </w:rPr>
        <w:t xml:space="preserve"> </w:t>
      </w:r>
      <w:proofErr w:type="spellStart"/>
      <w:r w:rsidRPr="00BE0585">
        <w:rPr>
          <w:bCs/>
          <w:szCs w:val="22"/>
          <w:lang w:val="en-GB"/>
        </w:rPr>
        <w:t>QoL</w:t>
      </w:r>
      <w:proofErr w:type="spellEnd"/>
      <w:r w:rsidRPr="00BE0585">
        <w:rPr>
          <w:bCs/>
          <w:szCs w:val="22"/>
          <w:lang w:val="en-GB"/>
        </w:rPr>
        <w:t>-AGHDA</w:t>
      </w:r>
      <w:r w:rsidR="0060610C">
        <w:rPr>
          <w:bCs/>
          <w:szCs w:val="22"/>
          <w:lang w:val="en-GB"/>
        </w:rPr>
        <w:t xml:space="preserve">.  </w:t>
      </w:r>
      <w:r w:rsidRPr="00BE0585">
        <w:rPr>
          <w:bCs/>
          <w:szCs w:val="22"/>
          <w:lang w:val="en-GB"/>
        </w:rPr>
        <w:t xml:space="preserve"> </w:t>
      </w:r>
      <w:r w:rsidR="0060610C">
        <w:rPr>
          <w:bCs/>
          <w:szCs w:val="22"/>
          <w:lang w:val="en-GB"/>
        </w:rPr>
        <w:t>The PBAC also noted that</w:t>
      </w:r>
      <w:r w:rsidRPr="00BE0585">
        <w:rPr>
          <w:bCs/>
          <w:szCs w:val="22"/>
          <w:lang w:val="en-GB"/>
        </w:rPr>
        <w:t xml:space="preserve"> the assumed number of eligible patients (25%) was based on personal communication</w:t>
      </w:r>
      <w:r w:rsidR="003D4683" w:rsidRPr="00BE0585">
        <w:rPr>
          <w:bCs/>
          <w:szCs w:val="22"/>
          <w:lang w:val="en-GB"/>
        </w:rPr>
        <w:t xml:space="preserve"> with one clinician. The PBAC </w:t>
      </w:r>
      <w:r w:rsidR="00DE0E3C" w:rsidRPr="00BE0585">
        <w:rPr>
          <w:bCs/>
          <w:szCs w:val="22"/>
          <w:lang w:val="en-GB"/>
        </w:rPr>
        <w:t>agreed with</w:t>
      </w:r>
      <w:r w:rsidR="003D4683" w:rsidRPr="00BE0585">
        <w:rPr>
          <w:bCs/>
          <w:szCs w:val="22"/>
          <w:lang w:val="en-GB"/>
        </w:rPr>
        <w:t xml:space="preserve"> the DUSC that the </w:t>
      </w:r>
      <w:r w:rsidR="001C1304" w:rsidRPr="00BE0585">
        <w:rPr>
          <w:bCs/>
          <w:szCs w:val="22"/>
          <w:lang w:val="en-GB"/>
        </w:rPr>
        <w:t xml:space="preserve">approach to the financial estimates </w:t>
      </w:r>
      <w:r w:rsidR="00DE0E3C" w:rsidRPr="00BE0585">
        <w:rPr>
          <w:bCs/>
          <w:szCs w:val="22"/>
          <w:lang w:val="en-GB"/>
        </w:rPr>
        <w:t>was</w:t>
      </w:r>
      <w:r w:rsidR="001C1304" w:rsidRPr="00BE0585">
        <w:rPr>
          <w:bCs/>
          <w:szCs w:val="22"/>
          <w:lang w:val="en-GB"/>
        </w:rPr>
        <w:t xml:space="preserve"> inconsistent and unclear, resulting in a number of </w:t>
      </w:r>
      <w:r w:rsidR="00DE0E3C" w:rsidRPr="00BE0585">
        <w:rPr>
          <w:bCs/>
          <w:szCs w:val="22"/>
          <w:lang w:val="en-GB"/>
        </w:rPr>
        <w:t>uncertainties.</w:t>
      </w:r>
      <w:r w:rsidR="00B912C0">
        <w:rPr>
          <w:bCs/>
          <w:szCs w:val="22"/>
          <w:lang w:val="en-GB"/>
        </w:rPr>
        <w:t xml:space="preserve"> The PBAC considered that addressing the aforementioned </w:t>
      </w:r>
      <w:r w:rsidR="00B912C0">
        <w:rPr>
          <w:bCs/>
          <w:szCs w:val="22"/>
          <w:lang w:val="en-GB"/>
        </w:rPr>
        <w:lastRenderedPageBreak/>
        <w:t>issues with the PBS restriction criteria may reduce some of the uncertainty of these estimates.</w:t>
      </w:r>
    </w:p>
    <w:p w:rsidR="00DE4411" w:rsidRPr="00920067" w:rsidRDefault="00DE4411" w:rsidP="00DE4411">
      <w:pPr>
        <w:ind w:left="720"/>
        <w:contextualSpacing/>
        <w:rPr>
          <w:bCs/>
          <w:color w:val="00863D"/>
          <w:szCs w:val="22"/>
          <w:lang w:val="en-GB"/>
        </w:rPr>
      </w:pPr>
    </w:p>
    <w:p w:rsidR="00120DF3" w:rsidRPr="00120DF3" w:rsidRDefault="00E468E9" w:rsidP="000235DB">
      <w:pPr>
        <w:numPr>
          <w:ilvl w:val="1"/>
          <w:numId w:val="2"/>
        </w:numPr>
        <w:contextualSpacing/>
        <w:rPr>
          <w:bCs/>
          <w:szCs w:val="22"/>
          <w:lang w:val="en-GB"/>
        </w:rPr>
      </w:pPr>
      <w:r w:rsidRPr="00F85E84">
        <w:rPr>
          <w:bCs/>
          <w:szCs w:val="22"/>
          <w:lang w:val="en-GB"/>
        </w:rPr>
        <w:t xml:space="preserve">In deferring making its decision on whether to list </w:t>
      </w:r>
      <w:proofErr w:type="spellStart"/>
      <w:r w:rsidRPr="00F85E84">
        <w:rPr>
          <w:bCs/>
          <w:szCs w:val="22"/>
          <w:lang w:val="en-GB"/>
        </w:rPr>
        <w:t>somatropin</w:t>
      </w:r>
      <w:proofErr w:type="spellEnd"/>
      <w:r w:rsidRPr="00F85E84">
        <w:rPr>
          <w:bCs/>
          <w:szCs w:val="22"/>
          <w:lang w:val="en-GB"/>
        </w:rPr>
        <w:t xml:space="preserve"> on the PBS for treatment of adults with GHD, </w:t>
      </w:r>
      <w:r w:rsidR="000235DB" w:rsidRPr="00F85E84">
        <w:rPr>
          <w:bCs/>
          <w:szCs w:val="22"/>
          <w:lang w:val="en-GB"/>
        </w:rPr>
        <w:t xml:space="preserve">the PBAC considered that in order to quantify the clinical benefit and introduce additional certainty to the assessment of cost-effectiveness in this setting, it required the applicant to provide </w:t>
      </w:r>
      <w:r w:rsidR="000235DB" w:rsidRPr="00F85E84">
        <w:t xml:space="preserve">further comparative analysis on the range of clinical benefits provided by </w:t>
      </w:r>
      <w:proofErr w:type="spellStart"/>
      <w:r w:rsidR="000235DB" w:rsidRPr="00F85E84">
        <w:t>somatropin</w:t>
      </w:r>
      <w:proofErr w:type="spellEnd"/>
      <w:r w:rsidR="000235DB" w:rsidRPr="00F85E84">
        <w:t xml:space="preserve"> and apply refinements t</w:t>
      </w:r>
      <w:r w:rsidR="001C296D">
        <w:t>o the proposed PBS restriction.</w:t>
      </w:r>
      <w:bookmarkStart w:id="16" w:name="_GoBack"/>
      <w:bookmarkEnd w:id="16"/>
    </w:p>
    <w:p w:rsidR="00120DF3" w:rsidRDefault="00120DF3" w:rsidP="00120DF3">
      <w:pPr>
        <w:pStyle w:val="ListParagraph"/>
      </w:pPr>
    </w:p>
    <w:p w:rsidR="000235DB" w:rsidRPr="00F85E84" w:rsidRDefault="00462906" w:rsidP="000235DB">
      <w:pPr>
        <w:numPr>
          <w:ilvl w:val="1"/>
          <w:numId w:val="2"/>
        </w:numPr>
        <w:contextualSpacing/>
        <w:rPr>
          <w:bCs/>
          <w:szCs w:val="22"/>
          <w:lang w:val="en-GB"/>
        </w:rPr>
      </w:pPr>
      <w:r w:rsidRPr="00F85E84">
        <w:t xml:space="preserve">The Committee </w:t>
      </w:r>
      <w:r w:rsidR="00F248B3">
        <w:t xml:space="preserve">requested that the Department </w:t>
      </w:r>
      <w:r w:rsidR="00120DF3">
        <w:t>d</w:t>
      </w:r>
      <w:r w:rsidR="00575251">
        <w:t xml:space="preserve">iscuss </w:t>
      </w:r>
      <w:r w:rsidR="0060610C">
        <w:t xml:space="preserve">the cost of </w:t>
      </w:r>
      <w:proofErr w:type="spellStart"/>
      <w:r w:rsidR="0060610C">
        <w:t>somatropin</w:t>
      </w:r>
      <w:proofErr w:type="spellEnd"/>
      <w:r w:rsidR="00F248B3" w:rsidRPr="00F248B3">
        <w:t xml:space="preserve"> in this setting </w:t>
      </w:r>
      <w:r w:rsidR="0060610C">
        <w:t>with affected</w:t>
      </w:r>
      <w:r w:rsidR="00F248B3" w:rsidRPr="00F248B3">
        <w:t xml:space="preserve"> sponsors</w:t>
      </w:r>
      <w:r w:rsidR="00F248B3">
        <w:t>.</w:t>
      </w:r>
    </w:p>
    <w:p w:rsidR="000911C7" w:rsidRDefault="000911C7" w:rsidP="000911C7">
      <w:pPr>
        <w:contextualSpacing/>
        <w:rPr>
          <w:b/>
          <w:bCs/>
          <w:szCs w:val="22"/>
          <w:highlight w:val="yellow"/>
          <w:lang w:val="en-GB"/>
        </w:rPr>
      </w:pPr>
    </w:p>
    <w:p w:rsidR="00DE4411" w:rsidRPr="00127EF3" w:rsidRDefault="00DE4411" w:rsidP="00DE4411">
      <w:pPr>
        <w:rPr>
          <w:b/>
          <w:bCs/>
          <w:szCs w:val="22"/>
          <w:lang w:val="en-GB"/>
        </w:rPr>
      </w:pPr>
      <w:r w:rsidRPr="00127EF3">
        <w:rPr>
          <w:b/>
          <w:bCs/>
          <w:szCs w:val="22"/>
          <w:lang w:val="en-GB"/>
        </w:rPr>
        <w:t>Outcome:</w:t>
      </w:r>
    </w:p>
    <w:p w:rsidR="009B6E0A" w:rsidRDefault="00DE4411" w:rsidP="005E23F0">
      <w:pPr>
        <w:rPr>
          <w:bCs/>
          <w:szCs w:val="22"/>
          <w:lang w:val="en-GB"/>
        </w:rPr>
      </w:pPr>
      <w:r w:rsidRPr="00127EF3">
        <w:rPr>
          <w:bCs/>
          <w:szCs w:val="22"/>
          <w:lang w:val="en-GB"/>
        </w:rPr>
        <w:t>Deferred</w:t>
      </w:r>
    </w:p>
    <w:p w:rsidR="0071233A" w:rsidRDefault="0071233A" w:rsidP="005E23F0">
      <w:pPr>
        <w:rPr>
          <w:bCs/>
          <w:szCs w:val="22"/>
          <w:lang w:val="en-GB"/>
        </w:rPr>
      </w:pPr>
    </w:p>
    <w:p w:rsidR="0071233A" w:rsidRDefault="0071233A" w:rsidP="005E23F0">
      <w:pPr>
        <w:rPr>
          <w:bCs/>
          <w:szCs w:val="22"/>
          <w:lang w:val="en-GB"/>
        </w:rPr>
      </w:pPr>
    </w:p>
    <w:p w:rsidR="0071233A" w:rsidRPr="0071233A" w:rsidRDefault="0071233A" w:rsidP="0071233A">
      <w:pPr>
        <w:pStyle w:val="PBACHeading10"/>
        <w:numPr>
          <w:ilvl w:val="0"/>
          <w:numId w:val="2"/>
        </w:numPr>
        <w:rPr>
          <w:bCs/>
        </w:rPr>
      </w:pPr>
      <w:r w:rsidRPr="0071233A">
        <w:rPr>
          <w:bCs/>
        </w:rPr>
        <w:t>Context for Decision</w:t>
      </w:r>
    </w:p>
    <w:p w:rsidR="0071233A" w:rsidRDefault="0071233A" w:rsidP="0071233A">
      <w:pPr>
        <w:ind w:left="426"/>
      </w:pPr>
    </w:p>
    <w:p w:rsidR="0071233A" w:rsidRDefault="0071233A" w:rsidP="0071233A">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1233A" w:rsidRDefault="0071233A" w:rsidP="0071233A">
      <w:pPr>
        <w:ind w:left="426"/>
      </w:pPr>
    </w:p>
    <w:p w:rsidR="0071233A" w:rsidRPr="0071233A" w:rsidRDefault="0071233A" w:rsidP="0071233A">
      <w:pPr>
        <w:pStyle w:val="PBACHeading10"/>
        <w:numPr>
          <w:ilvl w:val="0"/>
          <w:numId w:val="2"/>
        </w:numPr>
        <w:rPr>
          <w:bCs/>
        </w:rPr>
      </w:pPr>
      <w:r w:rsidRPr="0071233A">
        <w:rPr>
          <w:bCs/>
        </w:rPr>
        <w:t>Sponsor’s Comment</w:t>
      </w:r>
    </w:p>
    <w:p w:rsidR="0071233A" w:rsidRDefault="0071233A" w:rsidP="0071233A">
      <w:pPr>
        <w:ind w:left="426"/>
        <w:rPr>
          <w:bCs/>
          <w:highlight w:val="yellow"/>
          <w:lang w:val="en-GB"/>
        </w:rPr>
      </w:pPr>
    </w:p>
    <w:p w:rsidR="00285B6A" w:rsidRPr="00285B6A" w:rsidRDefault="00285B6A" w:rsidP="00285B6A">
      <w:pPr>
        <w:spacing w:after="120"/>
        <w:ind w:left="709"/>
        <w:rPr>
          <w:bCs/>
          <w:lang w:val="en-GB"/>
        </w:rPr>
      </w:pPr>
      <w:r w:rsidRPr="00285B6A">
        <w:rPr>
          <w:bCs/>
          <w:lang w:val="en-GB"/>
        </w:rPr>
        <w:t xml:space="preserve">The ESA and APEG will continue to work with the PBAC and the Department to ensure </w:t>
      </w:r>
      <w:proofErr w:type="spellStart"/>
      <w:r w:rsidRPr="00285B6A">
        <w:rPr>
          <w:bCs/>
          <w:lang w:val="en-GB"/>
        </w:rPr>
        <w:t>somatropin</w:t>
      </w:r>
      <w:proofErr w:type="spellEnd"/>
      <w:r w:rsidRPr="00285B6A">
        <w:rPr>
          <w:bCs/>
          <w:lang w:val="en-GB"/>
        </w:rPr>
        <w:t xml:space="preserve"> is available to adults with severe growth hormone deficiency.</w:t>
      </w:r>
    </w:p>
    <w:p w:rsidR="0071233A" w:rsidRPr="005E23F0" w:rsidRDefault="00285B6A" w:rsidP="005E23F0">
      <w:pPr>
        <w:rPr>
          <w:bCs/>
          <w:szCs w:val="22"/>
          <w:lang w:val="en-GB"/>
        </w:rPr>
      </w:pPr>
      <w:r w:rsidRPr="00285B6A">
        <w:rPr>
          <w:bCs/>
          <w:lang w:val="en-GB"/>
        </w:rPr>
        <w:t xml:space="preserve"> </w:t>
      </w:r>
    </w:p>
    <w:sectPr w:rsidR="0071233A" w:rsidRPr="005E23F0" w:rsidSect="004746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D9B1AA" w15:done="0"/>
  <w15:commentEx w15:paraId="40EE510E" w15:done="0"/>
  <w15:commentEx w15:paraId="6AF2D625" w15:done="0"/>
  <w15:commentEx w15:paraId="27BFD149" w15:done="0"/>
  <w15:commentEx w15:paraId="04CCAC33" w15:done="0"/>
  <w15:commentEx w15:paraId="3A0DB152" w15:done="0"/>
  <w15:commentEx w15:paraId="3AF6C9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7A" w:rsidRDefault="00D3347A" w:rsidP="00124A51">
      <w:r>
        <w:separator/>
      </w:r>
    </w:p>
  </w:endnote>
  <w:endnote w:type="continuationSeparator" w:id="0">
    <w:p w:rsidR="00D3347A" w:rsidRDefault="00D3347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vMINION-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7A" w:rsidRDefault="00D33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7A" w:rsidRPr="00D13A3E" w:rsidRDefault="00D3347A" w:rsidP="00015886">
    <w:pPr>
      <w:ind w:right="360"/>
      <w:jc w:val="center"/>
      <w:rPr>
        <w:b/>
        <w:sz w:val="20"/>
      </w:rPr>
    </w:pPr>
  </w:p>
  <w:p w:rsidR="00D3347A" w:rsidRPr="00C91E69" w:rsidRDefault="00D3347A" w:rsidP="00C91E69">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1C296D">
      <w:rPr>
        <w:noProof/>
        <w:sz w:val="20"/>
      </w:rPr>
      <w:t>21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7A" w:rsidRDefault="00D33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7A" w:rsidRDefault="00D3347A" w:rsidP="00124A51">
      <w:r>
        <w:separator/>
      </w:r>
    </w:p>
  </w:footnote>
  <w:footnote w:type="continuationSeparator" w:id="0">
    <w:p w:rsidR="00D3347A" w:rsidRDefault="00D3347A" w:rsidP="00124A51">
      <w:r>
        <w:continuationSeparator/>
      </w:r>
    </w:p>
  </w:footnote>
  <w:footnote w:id="1">
    <w:p w:rsidR="00D3347A" w:rsidRPr="003E79DB" w:rsidRDefault="00D3347A">
      <w:pPr>
        <w:pStyle w:val="FootnoteText"/>
      </w:pPr>
      <w:r>
        <w:rPr>
          <w:rStyle w:val="FootnoteReference"/>
        </w:rPr>
        <w:footnoteRef/>
      </w:r>
      <w:r>
        <w:t xml:space="preserve"> </w:t>
      </w:r>
      <w:proofErr w:type="spellStart"/>
      <w:r w:rsidRPr="005525EE">
        <w:t>Hazem</w:t>
      </w:r>
      <w:proofErr w:type="spellEnd"/>
      <w:r w:rsidRPr="005525EE">
        <w:t xml:space="preserve"> </w:t>
      </w:r>
      <w:r w:rsidRPr="0095288C">
        <w:t>et al</w:t>
      </w:r>
      <w:r>
        <w:t xml:space="preserve">, (2012), </w:t>
      </w:r>
      <w:r w:rsidRPr="005525EE">
        <w:t>“Body composition and quality of life in adults treated with GH therapy: a systematic review and meta-analysis”</w:t>
      </w:r>
      <w:r>
        <w:t xml:space="preserve">, </w:t>
      </w:r>
      <w:proofErr w:type="spellStart"/>
      <w:r w:rsidRPr="0057010D">
        <w:rPr>
          <w:i/>
        </w:rPr>
        <w:t>Eur</w:t>
      </w:r>
      <w:proofErr w:type="spellEnd"/>
      <w:r w:rsidRPr="0057010D">
        <w:rPr>
          <w:i/>
        </w:rPr>
        <w:t xml:space="preserve"> J </w:t>
      </w:r>
      <w:proofErr w:type="spellStart"/>
      <w:r w:rsidRPr="0057010D">
        <w:rPr>
          <w:i/>
        </w:rPr>
        <w:t>Endocrinol</w:t>
      </w:r>
      <w:proofErr w:type="spellEnd"/>
      <w:r>
        <w:rPr>
          <w:i/>
        </w:rPr>
        <w:t xml:space="preserve"> </w:t>
      </w:r>
      <w:r>
        <w:t xml:space="preserve">166(1):13-20. </w:t>
      </w:r>
      <w:proofErr w:type="spellStart"/>
      <w:proofErr w:type="gramStart"/>
      <w:r w:rsidRPr="003E79DB">
        <w:t>doi</w:t>
      </w:r>
      <w:proofErr w:type="spellEnd"/>
      <w:proofErr w:type="gramEnd"/>
      <w:r w:rsidRPr="003E79DB">
        <w:t>: 10.1530/EJE-11-0558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7A" w:rsidRDefault="00D334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7A" w:rsidRPr="00DF217D" w:rsidRDefault="00D3347A" w:rsidP="00C91E69">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D3347A" w:rsidRPr="008C7ECB" w:rsidRDefault="00D334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7A" w:rsidRDefault="00D33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3BF"/>
    <w:multiLevelType w:val="hybridMultilevel"/>
    <w:tmpl w:val="B8A4E01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nsid w:val="178157D8"/>
    <w:multiLevelType w:val="multilevel"/>
    <w:tmpl w:val="97C2597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9D00942"/>
    <w:multiLevelType w:val="hybridMultilevel"/>
    <w:tmpl w:val="D95AF37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E050B9"/>
    <w:multiLevelType w:val="hybridMultilevel"/>
    <w:tmpl w:val="2BCA2E3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BD56A97"/>
    <w:multiLevelType w:val="hybridMultilevel"/>
    <w:tmpl w:val="F1109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C64BDA"/>
    <w:multiLevelType w:val="hybridMultilevel"/>
    <w:tmpl w:val="EBBC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55F4A5B"/>
    <w:multiLevelType w:val="multilevel"/>
    <w:tmpl w:val="36B0904A"/>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7921AA3"/>
    <w:multiLevelType w:val="multilevel"/>
    <w:tmpl w:val="502AADA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9053977"/>
    <w:multiLevelType w:val="hybridMultilevel"/>
    <w:tmpl w:val="8C1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C34E2"/>
    <w:multiLevelType w:val="hybridMultilevel"/>
    <w:tmpl w:val="6B889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83E8003A">
      <w:start w:val="13"/>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A97C4C"/>
    <w:multiLevelType w:val="hybridMultilevel"/>
    <w:tmpl w:val="C3C28F38"/>
    <w:lvl w:ilvl="0" w:tplc="F7EC9B20">
      <w:start w:val="1"/>
      <w:numFmt w:val="decimal"/>
      <w:lvlText w:val="%1."/>
      <w:lvlJc w:val="left"/>
      <w:pPr>
        <w:ind w:left="720" w:hanging="360"/>
      </w:pPr>
      <w:rPr>
        <w:b w:val="0"/>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E1A7767"/>
    <w:multiLevelType w:val="hybridMultilevel"/>
    <w:tmpl w:val="41E670CE"/>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2">
    <w:nsid w:val="546332AF"/>
    <w:multiLevelType w:val="hybridMultilevel"/>
    <w:tmpl w:val="47285D50"/>
    <w:lvl w:ilvl="0" w:tplc="1A52FD5C">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6BD6B30"/>
    <w:multiLevelType w:val="multilevel"/>
    <w:tmpl w:val="502AADA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8D04739"/>
    <w:multiLevelType w:val="hybridMultilevel"/>
    <w:tmpl w:val="329633F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37653FF"/>
    <w:multiLevelType w:val="hybridMultilevel"/>
    <w:tmpl w:val="2FE610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784D033C"/>
    <w:multiLevelType w:val="multilevel"/>
    <w:tmpl w:val="65D8AA4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DB67C63"/>
    <w:multiLevelType w:val="hybridMultilevel"/>
    <w:tmpl w:val="6FC2F672"/>
    <w:lvl w:ilvl="0" w:tplc="FD22B85A">
      <w:start w:val="1"/>
      <w:numFmt w:val="bullet"/>
      <w:pStyle w:val="Tabledash"/>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6"/>
  </w:num>
  <w:num w:numId="4">
    <w:abstractNumId w:val="11"/>
  </w:num>
  <w:num w:numId="5">
    <w:abstractNumId w:val="12"/>
  </w:num>
  <w:num w:numId="6">
    <w:abstractNumId w:val="19"/>
  </w:num>
  <w:num w:numId="7">
    <w:abstractNumId w:val="8"/>
  </w:num>
  <w:num w:numId="8">
    <w:abstractNumId w:val="16"/>
  </w:num>
  <w:num w:numId="9">
    <w:abstractNumId w:val="5"/>
  </w:num>
  <w:num w:numId="10">
    <w:abstractNumId w:val="0"/>
  </w:num>
  <w:num w:numId="11">
    <w:abstractNumId w:val="2"/>
  </w:num>
  <w:num w:numId="12">
    <w:abstractNumId w:val="17"/>
  </w:num>
  <w:num w:numId="13">
    <w:abstractNumId w:val="13"/>
  </w:num>
  <w:num w:numId="14">
    <w:abstractNumId w:val="4"/>
  </w:num>
  <w:num w:numId="15">
    <w:abstractNumId w:val="3"/>
  </w:num>
  <w:num w:numId="16">
    <w:abstractNumId w:val="15"/>
  </w:num>
  <w:num w:numId="17">
    <w:abstractNumId w:val="7"/>
  </w:num>
  <w:num w:numId="18">
    <w:abstractNumId w:val="14"/>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sha Wood">
    <w15:presenceInfo w15:providerId="Windows Live" w15:userId="0b238766e7c0a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3CC"/>
    <w:rsid w:val="00002452"/>
    <w:rsid w:val="00002781"/>
    <w:rsid w:val="00002D90"/>
    <w:rsid w:val="000066D2"/>
    <w:rsid w:val="00007D03"/>
    <w:rsid w:val="00010DFB"/>
    <w:rsid w:val="0001107E"/>
    <w:rsid w:val="00012680"/>
    <w:rsid w:val="00012B2A"/>
    <w:rsid w:val="00013247"/>
    <w:rsid w:val="00014970"/>
    <w:rsid w:val="000149EE"/>
    <w:rsid w:val="00015886"/>
    <w:rsid w:val="000162EF"/>
    <w:rsid w:val="00016D2C"/>
    <w:rsid w:val="00020D46"/>
    <w:rsid w:val="000216CA"/>
    <w:rsid w:val="00021D2B"/>
    <w:rsid w:val="0002225F"/>
    <w:rsid w:val="000226CD"/>
    <w:rsid w:val="000235DB"/>
    <w:rsid w:val="00023763"/>
    <w:rsid w:val="000241D9"/>
    <w:rsid w:val="000251DB"/>
    <w:rsid w:val="0002593B"/>
    <w:rsid w:val="00026313"/>
    <w:rsid w:val="0002648C"/>
    <w:rsid w:val="00031315"/>
    <w:rsid w:val="00035F80"/>
    <w:rsid w:val="00040895"/>
    <w:rsid w:val="0004130E"/>
    <w:rsid w:val="0004135E"/>
    <w:rsid w:val="00041847"/>
    <w:rsid w:val="00041EF8"/>
    <w:rsid w:val="0004231D"/>
    <w:rsid w:val="00042A4D"/>
    <w:rsid w:val="00043C37"/>
    <w:rsid w:val="00044017"/>
    <w:rsid w:val="00044EA5"/>
    <w:rsid w:val="0004561F"/>
    <w:rsid w:val="00045829"/>
    <w:rsid w:val="00047DA2"/>
    <w:rsid w:val="00053D4E"/>
    <w:rsid w:val="000546D7"/>
    <w:rsid w:val="00054739"/>
    <w:rsid w:val="00060FB9"/>
    <w:rsid w:val="00061582"/>
    <w:rsid w:val="0006392B"/>
    <w:rsid w:val="00064072"/>
    <w:rsid w:val="00065E21"/>
    <w:rsid w:val="00065EF8"/>
    <w:rsid w:val="00066B5E"/>
    <w:rsid w:val="00071248"/>
    <w:rsid w:val="00071A0E"/>
    <w:rsid w:val="000720B9"/>
    <w:rsid w:val="00073AFF"/>
    <w:rsid w:val="00074216"/>
    <w:rsid w:val="00074B3F"/>
    <w:rsid w:val="000753E0"/>
    <w:rsid w:val="000812CA"/>
    <w:rsid w:val="00081558"/>
    <w:rsid w:val="000815CC"/>
    <w:rsid w:val="00082D5C"/>
    <w:rsid w:val="00083FE4"/>
    <w:rsid w:val="00084268"/>
    <w:rsid w:val="000848C6"/>
    <w:rsid w:val="00085880"/>
    <w:rsid w:val="00086014"/>
    <w:rsid w:val="0008652C"/>
    <w:rsid w:val="0008718A"/>
    <w:rsid w:val="0008757F"/>
    <w:rsid w:val="00090C7E"/>
    <w:rsid w:val="00090CD4"/>
    <w:rsid w:val="000911C7"/>
    <w:rsid w:val="000914F5"/>
    <w:rsid w:val="00091F83"/>
    <w:rsid w:val="00094B8A"/>
    <w:rsid w:val="00096AB8"/>
    <w:rsid w:val="00096CBA"/>
    <w:rsid w:val="00097ED7"/>
    <w:rsid w:val="000A0F2A"/>
    <w:rsid w:val="000A1D8A"/>
    <w:rsid w:val="000A2FDF"/>
    <w:rsid w:val="000A3A79"/>
    <w:rsid w:val="000A46FB"/>
    <w:rsid w:val="000A4898"/>
    <w:rsid w:val="000A5DD6"/>
    <w:rsid w:val="000A6ACF"/>
    <w:rsid w:val="000B2F96"/>
    <w:rsid w:val="000B3AE5"/>
    <w:rsid w:val="000B4B18"/>
    <w:rsid w:val="000B5CCF"/>
    <w:rsid w:val="000B7125"/>
    <w:rsid w:val="000C0A13"/>
    <w:rsid w:val="000C1EB2"/>
    <w:rsid w:val="000C2B9F"/>
    <w:rsid w:val="000C300C"/>
    <w:rsid w:val="000C6403"/>
    <w:rsid w:val="000D013C"/>
    <w:rsid w:val="000D018E"/>
    <w:rsid w:val="000D0E56"/>
    <w:rsid w:val="000D1BFC"/>
    <w:rsid w:val="000D26E2"/>
    <w:rsid w:val="000D5CDB"/>
    <w:rsid w:val="000D77E3"/>
    <w:rsid w:val="000E13A3"/>
    <w:rsid w:val="000E15DA"/>
    <w:rsid w:val="000E1AE0"/>
    <w:rsid w:val="000E1DDC"/>
    <w:rsid w:val="000E2E6E"/>
    <w:rsid w:val="000E777B"/>
    <w:rsid w:val="000F0B36"/>
    <w:rsid w:val="000F2592"/>
    <w:rsid w:val="000F3AA0"/>
    <w:rsid w:val="000F4209"/>
    <w:rsid w:val="000F46CC"/>
    <w:rsid w:val="000F5FB0"/>
    <w:rsid w:val="000F6412"/>
    <w:rsid w:val="0010076B"/>
    <w:rsid w:val="001009D0"/>
    <w:rsid w:val="00100F8A"/>
    <w:rsid w:val="0010292D"/>
    <w:rsid w:val="00102E78"/>
    <w:rsid w:val="00103DC7"/>
    <w:rsid w:val="00106596"/>
    <w:rsid w:val="001067E3"/>
    <w:rsid w:val="00107C50"/>
    <w:rsid w:val="001102D5"/>
    <w:rsid w:val="0011032E"/>
    <w:rsid w:val="00115070"/>
    <w:rsid w:val="00115A16"/>
    <w:rsid w:val="00120591"/>
    <w:rsid w:val="00120DF3"/>
    <w:rsid w:val="00121799"/>
    <w:rsid w:val="001222FC"/>
    <w:rsid w:val="001225B1"/>
    <w:rsid w:val="00123010"/>
    <w:rsid w:val="001247EF"/>
    <w:rsid w:val="00124A51"/>
    <w:rsid w:val="00126621"/>
    <w:rsid w:val="0012778F"/>
    <w:rsid w:val="00127EF3"/>
    <w:rsid w:val="001301E9"/>
    <w:rsid w:val="001317EF"/>
    <w:rsid w:val="00131BBD"/>
    <w:rsid w:val="00132B96"/>
    <w:rsid w:val="001357FB"/>
    <w:rsid w:val="00136966"/>
    <w:rsid w:val="00137645"/>
    <w:rsid w:val="0014015A"/>
    <w:rsid w:val="00140E99"/>
    <w:rsid w:val="0014225D"/>
    <w:rsid w:val="001444B2"/>
    <w:rsid w:val="001456B0"/>
    <w:rsid w:val="001458D9"/>
    <w:rsid w:val="00145B52"/>
    <w:rsid w:val="001469B9"/>
    <w:rsid w:val="00150717"/>
    <w:rsid w:val="00152F61"/>
    <w:rsid w:val="00154B1A"/>
    <w:rsid w:val="00157130"/>
    <w:rsid w:val="00157CB5"/>
    <w:rsid w:val="00160891"/>
    <w:rsid w:val="0016089D"/>
    <w:rsid w:val="00162913"/>
    <w:rsid w:val="00163A34"/>
    <w:rsid w:val="00163EFF"/>
    <w:rsid w:val="001658D3"/>
    <w:rsid w:val="00165ED3"/>
    <w:rsid w:val="001661FB"/>
    <w:rsid w:val="00170EC3"/>
    <w:rsid w:val="00171A88"/>
    <w:rsid w:val="00171C78"/>
    <w:rsid w:val="00171CC9"/>
    <w:rsid w:val="00172619"/>
    <w:rsid w:val="00173B8D"/>
    <w:rsid w:val="00174135"/>
    <w:rsid w:val="001750F3"/>
    <w:rsid w:val="00175B95"/>
    <w:rsid w:val="0017628C"/>
    <w:rsid w:val="001776B4"/>
    <w:rsid w:val="0017782A"/>
    <w:rsid w:val="00180997"/>
    <w:rsid w:val="001910A6"/>
    <w:rsid w:val="00191E02"/>
    <w:rsid w:val="001950FA"/>
    <w:rsid w:val="00195222"/>
    <w:rsid w:val="0019668C"/>
    <w:rsid w:val="001971A6"/>
    <w:rsid w:val="001975D8"/>
    <w:rsid w:val="001A10BA"/>
    <w:rsid w:val="001A1858"/>
    <w:rsid w:val="001A1E5B"/>
    <w:rsid w:val="001A408E"/>
    <w:rsid w:val="001A44F9"/>
    <w:rsid w:val="001A5F85"/>
    <w:rsid w:val="001A67CC"/>
    <w:rsid w:val="001A7E4F"/>
    <w:rsid w:val="001B08CC"/>
    <w:rsid w:val="001B203C"/>
    <w:rsid w:val="001B2D68"/>
    <w:rsid w:val="001B3443"/>
    <w:rsid w:val="001B4968"/>
    <w:rsid w:val="001B4DB7"/>
    <w:rsid w:val="001B508D"/>
    <w:rsid w:val="001B5C6C"/>
    <w:rsid w:val="001B5FD9"/>
    <w:rsid w:val="001B6188"/>
    <w:rsid w:val="001B6F75"/>
    <w:rsid w:val="001B757B"/>
    <w:rsid w:val="001B797A"/>
    <w:rsid w:val="001B7D9C"/>
    <w:rsid w:val="001C0BC4"/>
    <w:rsid w:val="001C1030"/>
    <w:rsid w:val="001C1304"/>
    <w:rsid w:val="001C18FF"/>
    <w:rsid w:val="001C22C9"/>
    <w:rsid w:val="001C290F"/>
    <w:rsid w:val="001C296D"/>
    <w:rsid w:val="001C429F"/>
    <w:rsid w:val="001C51C9"/>
    <w:rsid w:val="001C6324"/>
    <w:rsid w:val="001C65FD"/>
    <w:rsid w:val="001C6E66"/>
    <w:rsid w:val="001C7887"/>
    <w:rsid w:val="001D112E"/>
    <w:rsid w:val="001D2A08"/>
    <w:rsid w:val="001D4E33"/>
    <w:rsid w:val="001D6FDD"/>
    <w:rsid w:val="001D7F82"/>
    <w:rsid w:val="001E02CD"/>
    <w:rsid w:val="001E1608"/>
    <w:rsid w:val="001E1D02"/>
    <w:rsid w:val="001E238E"/>
    <w:rsid w:val="001E244C"/>
    <w:rsid w:val="001E52EB"/>
    <w:rsid w:val="001E6E17"/>
    <w:rsid w:val="001E715D"/>
    <w:rsid w:val="001E7387"/>
    <w:rsid w:val="001E740C"/>
    <w:rsid w:val="001E7954"/>
    <w:rsid w:val="001F00F6"/>
    <w:rsid w:val="001F1235"/>
    <w:rsid w:val="001F15AF"/>
    <w:rsid w:val="001F1A6E"/>
    <w:rsid w:val="001F1CB3"/>
    <w:rsid w:val="001F57BC"/>
    <w:rsid w:val="001F6584"/>
    <w:rsid w:val="001F67BE"/>
    <w:rsid w:val="001F7361"/>
    <w:rsid w:val="00201465"/>
    <w:rsid w:val="002025FE"/>
    <w:rsid w:val="0020464B"/>
    <w:rsid w:val="00205443"/>
    <w:rsid w:val="002105C1"/>
    <w:rsid w:val="00212094"/>
    <w:rsid w:val="002134D0"/>
    <w:rsid w:val="00213710"/>
    <w:rsid w:val="002151A2"/>
    <w:rsid w:val="00217354"/>
    <w:rsid w:val="00217EF5"/>
    <w:rsid w:val="00220C59"/>
    <w:rsid w:val="0022116D"/>
    <w:rsid w:val="0022155B"/>
    <w:rsid w:val="00223B49"/>
    <w:rsid w:val="00224DD4"/>
    <w:rsid w:val="002252C2"/>
    <w:rsid w:val="00225654"/>
    <w:rsid w:val="002309CC"/>
    <w:rsid w:val="00231EBE"/>
    <w:rsid w:val="002327B5"/>
    <w:rsid w:val="0023339D"/>
    <w:rsid w:val="0023358E"/>
    <w:rsid w:val="00234434"/>
    <w:rsid w:val="002351AC"/>
    <w:rsid w:val="002353F2"/>
    <w:rsid w:val="00236267"/>
    <w:rsid w:val="00236499"/>
    <w:rsid w:val="00240E05"/>
    <w:rsid w:val="00241928"/>
    <w:rsid w:val="00241A59"/>
    <w:rsid w:val="00242011"/>
    <w:rsid w:val="00242BBE"/>
    <w:rsid w:val="002446D8"/>
    <w:rsid w:val="00253C7E"/>
    <w:rsid w:val="0025534B"/>
    <w:rsid w:val="00255BB7"/>
    <w:rsid w:val="00256634"/>
    <w:rsid w:val="00256DD3"/>
    <w:rsid w:val="002570C5"/>
    <w:rsid w:val="00257A1E"/>
    <w:rsid w:val="0026121F"/>
    <w:rsid w:val="00261565"/>
    <w:rsid w:val="00261C6F"/>
    <w:rsid w:val="00262A87"/>
    <w:rsid w:val="00263B50"/>
    <w:rsid w:val="002647EA"/>
    <w:rsid w:val="0026575B"/>
    <w:rsid w:val="00266704"/>
    <w:rsid w:val="002671CF"/>
    <w:rsid w:val="0026778B"/>
    <w:rsid w:val="0027066E"/>
    <w:rsid w:val="00271D79"/>
    <w:rsid w:val="00274B60"/>
    <w:rsid w:val="00275C5A"/>
    <w:rsid w:val="00275FCD"/>
    <w:rsid w:val="002771CF"/>
    <w:rsid w:val="0027789D"/>
    <w:rsid w:val="00277D05"/>
    <w:rsid w:val="00280CE8"/>
    <w:rsid w:val="002832B1"/>
    <w:rsid w:val="00285B6A"/>
    <w:rsid w:val="0028614A"/>
    <w:rsid w:val="0028711D"/>
    <w:rsid w:val="00291C70"/>
    <w:rsid w:val="00292989"/>
    <w:rsid w:val="0029544F"/>
    <w:rsid w:val="0029556A"/>
    <w:rsid w:val="00297CC5"/>
    <w:rsid w:val="00297DE4"/>
    <w:rsid w:val="002A1018"/>
    <w:rsid w:val="002A14AB"/>
    <w:rsid w:val="002A16E2"/>
    <w:rsid w:val="002A198F"/>
    <w:rsid w:val="002A1CE7"/>
    <w:rsid w:val="002A438E"/>
    <w:rsid w:val="002A46AA"/>
    <w:rsid w:val="002A4907"/>
    <w:rsid w:val="002A515C"/>
    <w:rsid w:val="002A75BA"/>
    <w:rsid w:val="002B1C1F"/>
    <w:rsid w:val="002B2868"/>
    <w:rsid w:val="002B432F"/>
    <w:rsid w:val="002B6C0E"/>
    <w:rsid w:val="002B6CCE"/>
    <w:rsid w:val="002B775A"/>
    <w:rsid w:val="002C13E9"/>
    <w:rsid w:val="002C1735"/>
    <w:rsid w:val="002C1899"/>
    <w:rsid w:val="002C27C1"/>
    <w:rsid w:val="002C30D8"/>
    <w:rsid w:val="002C5286"/>
    <w:rsid w:val="002C6704"/>
    <w:rsid w:val="002D343A"/>
    <w:rsid w:val="002D57CF"/>
    <w:rsid w:val="002D703D"/>
    <w:rsid w:val="002D7AB9"/>
    <w:rsid w:val="002E0300"/>
    <w:rsid w:val="002E05C7"/>
    <w:rsid w:val="002E18C6"/>
    <w:rsid w:val="002E2D0C"/>
    <w:rsid w:val="002E3C20"/>
    <w:rsid w:val="002E4483"/>
    <w:rsid w:val="002E4FE7"/>
    <w:rsid w:val="002E5C12"/>
    <w:rsid w:val="002E5EE2"/>
    <w:rsid w:val="002E7016"/>
    <w:rsid w:val="002E7B6A"/>
    <w:rsid w:val="002F132B"/>
    <w:rsid w:val="002F3374"/>
    <w:rsid w:val="002F4D83"/>
    <w:rsid w:val="002F6934"/>
    <w:rsid w:val="003003DD"/>
    <w:rsid w:val="00301017"/>
    <w:rsid w:val="003022BD"/>
    <w:rsid w:val="003033A9"/>
    <w:rsid w:val="00305162"/>
    <w:rsid w:val="00305954"/>
    <w:rsid w:val="003072F9"/>
    <w:rsid w:val="0030786C"/>
    <w:rsid w:val="00307A42"/>
    <w:rsid w:val="00307E51"/>
    <w:rsid w:val="0031031A"/>
    <w:rsid w:val="003105C0"/>
    <w:rsid w:val="00312BA4"/>
    <w:rsid w:val="00314B09"/>
    <w:rsid w:val="00315498"/>
    <w:rsid w:val="00315B2D"/>
    <w:rsid w:val="00322E99"/>
    <w:rsid w:val="003247A8"/>
    <w:rsid w:val="003247FD"/>
    <w:rsid w:val="00327500"/>
    <w:rsid w:val="0032793B"/>
    <w:rsid w:val="003344CD"/>
    <w:rsid w:val="00334CE5"/>
    <w:rsid w:val="00335F2A"/>
    <w:rsid w:val="0033643F"/>
    <w:rsid w:val="003366C9"/>
    <w:rsid w:val="00336FDC"/>
    <w:rsid w:val="0033774D"/>
    <w:rsid w:val="00343479"/>
    <w:rsid w:val="00344B79"/>
    <w:rsid w:val="003457A2"/>
    <w:rsid w:val="00346576"/>
    <w:rsid w:val="00346802"/>
    <w:rsid w:val="003476BA"/>
    <w:rsid w:val="00350CF6"/>
    <w:rsid w:val="003526AA"/>
    <w:rsid w:val="0035302D"/>
    <w:rsid w:val="00354953"/>
    <w:rsid w:val="00355A78"/>
    <w:rsid w:val="00356178"/>
    <w:rsid w:val="0035620E"/>
    <w:rsid w:val="00357816"/>
    <w:rsid w:val="00360395"/>
    <w:rsid w:val="003621A5"/>
    <w:rsid w:val="00362490"/>
    <w:rsid w:val="00363728"/>
    <w:rsid w:val="00363896"/>
    <w:rsid w:val="00363B2F"/>
    <w:rsid w:val="00363E04"/>
    <w:rsid w:val="003641A1"/>
    <w:rsid w:val="00364592"/>
    <w:rsid w:val="00364757"/>
    <w:rsid w:val="00364B96"/>
    <w:rsid w:val="003704A7"/>
    <w:rsid w:val="0037409A"/>
    <w:rsid w:val="00375261"/>
    <w:rsid w:val="003759D5"/>
    <w:rsid w:val="00375EA7"/>
    <w:rsid w:val="00381335"/>
    <w:rsid w:val="003821E1"/>
    <w:rsid w:val="0038326A"/>
    <w:rsid w:val="0038365C"/>
    <w:rsid w:val="00386080"/>
    <w:rsid w:val="003860C8"/>
    <w:rsid w:val="003869AB"/>
    <w:rsid w:val="00387665"/>
    <w:rsid w:val="00393BA8"/>
    <w:rsid w:val="00393F75"/>
    <w:rsid w:val="00394245"/>
    <w:rsid w:val="00396B16"/>
    <w:rsid w:val="00396FD0"/>
    <w:rsid w:val="003A0075"/>
    <w:rsid w:val="003A17E0"/>
    <w:rsid w:val="003A1A7A"/>
    <w:rsid w:val="003A1B84"/>
    <w:rsid w:val="003A23E3"/>
    <w:rsid w:val="003A2C74"/>
    <w:rsid w:val="003A61DB"/>
    <w:rsid w:val="003A6304"/>
    <w:rsid w:val="003A69ED"/>
    <w:rsid w:val="003A6D78"/>
    <w:rsid w:val="003A7139"/>
    <w:rsid w:val="003B076F"/>
    <w:rsid w:val="003B3675"/>
    <w:rsid w:val="003B3F73"/>
    <w:rsid w:val="003B6319"/>
    <w:rsid w:val="003B6FBE"/>
    <w:rsid w:val="003B7D67"/>
    <w:rsid w:val="003C60F5"/>
    <w:rsid w:val="003D00BC"/>
    <w:rsid w:val="003D1828"/>
    <w:rsid w:val="003D2422"/>
    <w:rsid w:val="003D34D8"/>
    <w:rsid w:val="003D4683"/>
    <w:rsid w:val="003D7161"/>
    <w:rsid w:val="003D7E68"/>
    <w:rsid w:val="003E4A5D"/>
    <w:rsid w:val="003E6A10"/>
    <w:rsid w:val="003E7174"/>
    <w:rsid w:val="003E7934"/>
    <w:rsid w:val="003E79DB"/>
    <w:rsid w:val="003F0CD1"/>
    <w:rsid w:val="003F174E"/>
    <w:rsid w:val="003F2EB4"/>
    <w:rsid w:val="003F38C2"/>
    <w:rsid w:val="003F4156"/>
    <w:rsid w:val="003F4B3D"/>
    <w:rsid w:val="003F6965"/>
    <w:rsid w:val="003F78EF"/>
    <w:rsid w:val="004005A2"/>
    <w:rsid w:val="004036BE"/>
    <w:rsid w:val="00404FBD"/>
    <w:rsid w:val="00406586"/>
    <w:rsid w:val="00407FC8"/>
    <w:rsid w:val="004102AF"/>
    <w:rsid w:val="00410EC7"/>
    <w:rsid w:val="00411020"/>
    <w:rsid w:val="00412123"/>
    <w:rsid w:val="00413958"/>
    <w:rsid w:val="00413CC0"/>
    <w:rsid w:val="00413F36"/>
    <w:rsid w:val="0041412A"/>
    <w:rsid w:val="00414476"/>
    <w:rsid w:val="00415AA3"/>
    <w:rsid w:val="004163AC"/>
    <w:rsid w:val="004167E1"/>
    <w:rsid w:val="0041707E"/>
    <w:rsid w:val="004177C0"/>
    <w:rsid w:val="004206B1"/>
    <w:rsid w:val="00420A91"/>
    <w:rsid w:val="00420B9F"/>
    <w:rsid w:val="00422806"/>
    <w:rsid w:val="0042570D"/>
    <w:rsid w:val="00425CB2"/>
    <w:rsid w:val="004274C5"/>
    <w:rsid w:val="00431516"/>
    <w:rsid w:val="004319F8"/>
    <w:rsid w:val="00432245"/>
    <w:rsid w:val="00432E55"/>
    <w:rsid w:val="00433EC9"/>
    <w:rsid w:val="004340BA"/>
    <w:rsid w:val="004363C4"/>
    <w:rsid w:val="0044035A"/>
    <w:rsid w:val="00440C72"/>
    <w:rsid w:val="0044152A"/>
    <w:rsid w:val="004442A8"/>
    <w:rsid w:val="004443A7"/>
    <w:rsid w:val="004464EB"/>
    <w:rsid w:val="004466BB"/>
    <w:rsid w:val="00446F05"/>
    <w:rsid w:val="004470AB"/>
    <w:rsid w:val="0045081B"/>
    <w:rsid w:val="0045224E"/>
    <w:rsid w:val="004531D8"/>
    <w:rsid w:val="0045515C"/>
    <w:rsid w:val="00455D45"/>
    <w:rsid w:val="00456557"/>
    <w:rsid w:val="004565D9"/>
    <w:rsid w:val="00457311"/>
    <w:rsid w:val="00457FA1"/>
    <w:rsid w:val="00460D91"/>
    <w:rsid w:val="004615BF"/>
    <w:rsid w:val="00462906"/>
    <w:rsid w:val="00462BFC"/>
    <w:rsid w:val="0046340F"/>
    <w:rsid w:val="00464595"/>
    <w:rsid w:val="004651A5"/>
    <w:rsid w:val="00472359"/>
    <w:rsid w:val="00472C4F"/>
    <w:rsid w:val="004732D6"/>
    <w:rsid w:val="00473CC4"/>
    <w:rsid w:val="0047456A"/>
    <w:rsid w:val="00474621"/>
    <w:rsid w:val="00474A3A"/>
    <w:rsid w:val="004822B3"/>
    <w:rsid w:val="004834CC"/>
    <w:rsid w:val="00485A7C"/>
    <w:rsid w:val="004867E2"/>
    <w:rsid w:val="004868DA"/>
    <w:rsid w:val="00486B2B"/>
    <w:rsid w:val="00487813"/>
    <w:rsid w:val="00490925"/>
    <w:rsid w:val="00490FC4"/>
    <w:rsid w:val="00491898"/>
    <w:rsid w:val="00491B3A"/>
    <w:rsid w:val="00494099"/>
    <w:rsid w:val="00495F6D"/>
    <w:rsid w:val="0049709E"/>
    <w:rsid w:val="00497F10"/>
    <w:rsid w:val="004A0DA1"/>
    <w:rsid w:val="004A163C"/>
    <w:rsid w:val="004A1F19"/>
    <w:rsid w:val="004A2164"/>
    <w:rsid w:val="004A2E0A"/>
    <w:rsid w:val="004A3CAC"/>
    <w:rsid w:val="004A441C"/>
    <w:rsid w:val="004A58A7"/>
    <w:rsid w:val="004A5C4C"/>
    <w:rsid w:val="004A6597"/>
    <w:rsid w:val="004A6A35"/>
    <w:rsid w:val="004A7338"/>
    <w:rsid w:val="004A7CBE"/>
    <w:rsid w:val="004B05EF"/>
    <w:rsid w:val="004B2387"/>
    <w:rsid w:val="004B2F18"/>
    <w:rsid w:val="004B3669"/>
    <w:rsid w:val="004B3DDB"/>
    <w:rsid w:val="004B44FD"/>
    <w:rsid w:val="004B4801"/>
    <w:rsid w:val="004B5CFC"/>
    <w:rsid w:val="004C26E6"/>
    <w:rsid w:val="004C4AED"/>
    <w:rsid w:val="004C4E5F"/>
    <w:rsid w:val="004C750E"/>
    <w:rsid w:val="004C7C39"/>
    <w:rsid w:val="004D1729"/>
    <w:rsid w:val="004D1767"/>
    <w:rsid w:val="004D34C4"/>
    <w:rsid w:val="004D353A"/>
    <w:rsid w:val="004D4DFB"/>
    <w:rsid w:val="004D5163"/>
    <w:rsid w:val="004E0EB8"/>
    <w:rsid w:val="004E2ADC"/>
    <w:rsid w:val="004E3759"/>
    <w:rsid w:val="004E376C"/>
    <w:rsid w:val="004E3AB5"/>
    <w:rsid w:val="004E4E64"/>
    <w:rsid w:val="004E5BE3"/>
    <w:rsid w:val="004E6F49"/>
    <w:rsid w:val="004E77F4"/>
    <w:rsid w:val="004E7DF9"/>
    <w:rsid w:val="004F0164"/>
    <w:rsid w:val="004F0E41"/>
    <w:rsid w:val="004F117F"/>
    <w:rsid w:val="004F1666"/>
    <w:rsid w:val="004F1D02"/>
    <w:rsid w:val="004F2679"/>
    <w:rsid w:val="004F3F43"/>
    <w:rsid w:val="004F62F0"/>
    <w:rsid w:val="0050071A"/>
    <w:rsid w:val="00500901"/>
    <w:rsid w:val="00504101"/>
    <w:rsid w:val="00505CA7"/>
    <w:rsid w:val="00506E16"/>
    <w:rsid w:val="005116C1"/>
    <w:rsid w:val="00511899"/>
    <w:rsid w:val="00512966"/>
    <w:rsid w:val="005130FE"/>
    <w:rsid w:val="005150AF"/>
    <w:rsid w:val="005150F6"/>
    <w:rsid w:val="005152B5"/>
    <w:rsid w:val="005155D4"/>
    <w:rsid w:val="0051572E"/>
    <w:rsid w:val="005163C7"/>
    <w:rsid w:val="005174F0"/>
    <w:rsid w:val="00517557"/>
    <w:rsid w:val="00521319"/>
    <w:rsid w:val="005214B9"/>
    <w:rsid w:val="00521568"/>
    <w:rsid w:val="005225AB"/>
    <w:rsid w:val="00522F9A"/>
    <w:rsid w:val="00523C28"/>
    <w:rsid w:val="00524C83"/>
    <w:rsid w:val="00524CD8"/>
    <w:rsid w:val="00526C80"/>
    <w:rsid w:val="00526E05"/>
    <w:rsid w:val="00530041"/>
    <w:rsid w:val="00530171"/>
    <w:rsid w:val="00530724"/>
    <w:rsid w:val="005314C5"/>
    <w:rsid w:val="00532602"/>
    <w:rsid w:val="00534162"/>
    <w:rsid w:val="005351F5"/>
    <w:rsid w:val="005356D7"/>
    <w:rsid w:val="00536753"/>
    <w:rsid w:val="00541748"/>
    <w:rsid w:val="00542CA1"/>
    <w:rsid w:val="005447F5"/>
    <w:rsid w:val="005450DF"/>
    <w:rsid w:val="005469FC"/>
    <w:rsid w:val="0055037B"/>
    <w:rsid w:val="00551449"/>
    <w:rsid w:val="005525EE"/>
    <w:rsid w:val="0055324D"/>
    <w:rsid w:val="00554821"/>
    <w:rsid w:val="00555109"/>
    <w:rsid w:val="005567F2"/>
    <w:rsid w:val="00557D33"/>
    <w:rsid w:val="0056276A"/>
    <w:rsid w:val="005636B6"/>
    <w:rsid w:val="005639B7"/>
    <w:rsid w:val="00563C93"/>
    <w:rsid w:val="00563CA5"/>
    <w:rsid w:val="0056696F"/>
    <w:rsid w:val="005669BD"/>
    <w:rsid w:val="0057010D"/>
    <w:rsid w:val="00570183"/>
    <w:rsid w:val="00570B9C"/>
    <w:rsid w:val="00571B4F"/>
    <w:rsid w:val="0057221C"/>
    <w:rsid w:val="005746AE"/>
    <w:rsid w:val="005747A9"/>
    <w:rsid w:val="00574A35"/>
    <w:rsid w:val="00575251"/>
    <w:rsid w:val="00575BDE"/>
    <w:rsid w:val="00576972"/>
    <w:rsid w:val="005769AB"/>
    <w:rsid w:val="00576D24"/>
    <w:rsid w:val="00577285"/>
    <w:rsid w:val="00577311"/>
    <w:rsid w:val="00577717"/>
    <w:rsid w:val="00577C40"/>
    <w:rsid w:val="005801E9"/>
    <w:rsid w:val="0058195C"/>
    <w:rsid w:val="0058231A"/>
    <w:rsid w:val="0058366A"/>
    <w:rsid w:val="00583699"/>
    <w:rsid w:val="005850B4"/>
    <w:rsid w:val="00586396"/>
    <w:rsid w:val="00586FA9"/>
    <w:rsid w:val="0059157A"/>
    <w:rsid w:val="0059348F"/>
    <w:rsid w:val="0059414D"/>
    <w:rsid w:val="00594160"/>
    <w:rsid w:val="00595DF2"/>
    <w:rsid w:val="0059698B"/>
    <w:rsid w:val="00597179"/>
    <w:rsid w:val="005A0853"/>
    <w:rsid w:val="005A1115"/>
    <w:rsid w:val="005A2288"/>
    <w:rsid w:val="005A5AB3"/>
    <w:rsid w:val="005A6110"/>
    <w:rsid w:val="005A61A9"/>
    <w:rsid w:val="005B1828"/>
    <w:rsid w:val="005B3914"/>
    <w:rsid w:val="005B4EBF"/>
    <w:rsid w:val="005B53B4"/>
    <w:rsid w:val="005B5857"/>
    <w:rsid w:val="005B5A32"/>
    <w:rsid w:val="005C0884"/>
    <w:rsid w:val="005C0A25"/>
    <w:rsid w:val="005C1B83"/>
    <w:rsid w:val="005C1D9A"/>
    <w:rsid w:val="005C346B"/>
    <w:rsid w:val="005C4BEC"/>
    <w:rsid w:val="005C65EA"/>
    <w:rsid w:val="005C78C0"/>
    <w:rsid w:val="005C79CC"/>
    <w:rsid w:val="005D055B"/>
    <w:rsid w:val="005D0DBB"/>
    <w:rsid w:val="005D109A"/>
    <w:rsid w:val="005D18AD"/>
    <w:rsid w:val="005D27BA"/>
    <w:rsid w:val="005D46D0"/>
    <w:rsid w:val="005D4CDD"/>
    <w:rsid w:val="005D5A08"/>
    <w:rsid w:val="005D6360"/>
    <w:rsid w:val="005D641C"/>
    <w:rsid w:val="005D738B"/>
    <w:rsid w:val="005D7E3E"/>
    <w:rsid w:val="005E23F0"/>
    <w:rsid w:val="005E29B5"/>
    <w:rsid w:val="005E40C3"/>
    <w:rsid w:val="005E5356"/>
    <w:rsid w:val="005E56FA"/>
    <w:rsid w:val="005E5F12"/>
    <w:rsid w:val="005E60BF"/>
    <w:rsid w:val="005F2706"/>
    <w:rsid w:val="005F4038"/>
    <w:rsid w:val="005F5F57"/>
    <w:rsid w:val="005F6A8F"/>
    <w:rsid w:val="00602B78"/>
    <w:rsid w:val="00602FD8"/>
    <w:rsid w:val="0060344B"/>
    <w:rsid w:val="0060610C"/>
    <w:rsid w:val="0060614B"/>
    <w:rsid w:val="00606A2A"/>
    <w:rsid w:val="00606ED4"/>
    <w:rsid w:val="00607669"/>
    <w:rsid w:val="006101C9"/>
    <w:rsid w:val="00611026"/>
    <w:rsid w:val="006119BA"/>
    <w:rsid w:val="00612751"/>
    <w:rsid w:val="006127DF"/>
    <w:rsid w:val="00612F97"/>
    <w:rsid w:val="006141F9"/>
    <w:rsid w:val="00616802"/>
    <w:rsid w:val="00616A3F"/>
    <w:rsid w:val="00616FCC"/>
    <w:rsid w:val="00617507"/>
    <w:rsid w:val="0061799D"/>
    <w:rsid w:val="00617E12"/>
    <w:rsid w:val="00620DE8"/>
    <w:rsid w:val="00621477"/>
    <w:rsid w:val="006216B8"/>
    <w:rsid w:val="0062211E"/>
    <w:rsid w:val="00623F84"/>
    <w:rsid w:val="00624087"/>
    <w:rsid w:val="006303AE"/>
    <w:rsid w:val="00631110"/>
    <w:rsid w:val="00631D6B"/>
    <w:rsid w:val="00632F99"/>
    <w:rsid w:val="00633E7E"/>
    <w:rsid w:val="006341F8"/>
    <w:rsid w:val="0063479F"/>
    <w:rsid w:val="006364A1"/>
    <w:rsid w:val="006366B7"/>
    <w:rsid w:val="00637BFD"/>
    <w:rsid w:val="00637F60"/>
    <w:rsid w:val="00640579"/>
    <w:rsid w:val="00640791"/>
    <w:rsid w:val="00641014"/>
    <w:rsid w:val="00641731"/>
    <w:rsid w:val="0064279A"/>
    <w:rsid w:val="006446C1"/>
    <w:rsid w:val="006471CC"/>
    <w:rsid w:val="00647AE3"/>
    <w:rsid w:val="006506F5"/>
    <w:rsid w:val="0065079F"/>
    <w:rsid w:val="00651B9A"/>
    <w:rsid w:val="00654C91"/>
    <w:rsid w:val="00656F55"/>
    <w:rsid w:val="00657E7E"/>
    <w:rsid w:val="00657E8C"/>
    <w:rsid w:val="006601D3"/>
    <w:rsid w:val="0066233A"/>
    <w:rsid w:val="0066314B"/>
    <w:rsid w:val="006661B3"/>
    <w:rsid w:val="0066665A"/>
    <w:rsid w:val="00667A2B"/>
    <w:rsid w:val="00672E0B"/>
    <w:rsid w:val="00674E42"/>
    <w:rsid w:val="006803F0"/>
    <w:rsid w:val="006805BE"/>
    <w:rsid w:val="00680919"/>
    <w:rsid w:val="006810B6"/>
    <w:rsid w:val="00681C4D"/>
    <w:rsid w:val="00681CB1"/>
    <w:rsid w:val="00681D68"/>
    <w:rsid w:val="00682112"/>
    <w:rsid w:val="00684B22"/>
    <w:rsid w:val="006865C7"/>
    <w:rsid w:val="00687604"/>
    <w:rsid w:val="00690BA0"/>
    <w:rsid w:val="0069110D"/>
    <w:rsid w:val="00692BF6"/>
    <w:rsid w:val="00692BFC"/>
    <w:rsid w:val="00694424"/>
    <w:rsid w:val="00694F44"/>
    <w:rsid w:val="00695EBD"/>
    <w:rsid w:val="00696DCC"/>
    <w:rsid w:val="006A3473"/>
    <w:rsid w:val="006A3D93"/>
    <w:rsid w:val="006A42B4"/>
    <w:rsid w:val="006A47C5"/>
    <w:rsid w:val="006A59A3"/>
    <w:rsid w:val="006A661E"/>
    <w:rsid w:val="006A67B8"/>
    <w:rsid w:val="006B0916"/>
    <w:rsid w:val="006B13D0"/>
    <w:rsid w:val="006B4607"/>
    <w:rsid w:val="006B492F"/>
    <w:rsid w:val="006B5C78"/>
    <w:rsid w:val="006C1316"/>
    <w:rsid w:val="006C1C6B"/>
    <w:rsid w:val="006C2A8E"/>
    <w:rsid w:val="006C3F11"/>
    <w:rsid w:val="006C4E8B"/>
    <w:rsid w:val="006D1D62"/>
    <w:rsid w:val="006D1F4E"/>
    <w:rsid w:val="006D269A"/>
    <w:rsid w:val="006D3C7D"/>
    <w:rsid w:val="006D4FE2"/>
    <w:rsid w:val="006D67AD"/>
    <w:rsid w:val="006D7736"/>
    <w:rsid w:val="006E02B9"/>
    <w:rsid w:val="006E1BE3"/>
    <w:rsid w:val="006E252E"/>
    <w:rsid w:val="006E5469"/>
    <w:rsid w:val="006E6087"/>
    <w:rsid w:val="006E7842"/>
    <w:rsid w:val="006F0D35"/>
    <w:rsid w:val="006F1200"/>
    <w:rsid w:val="006F2415"/>
    <w:rsid w:val="006F385F"/>
    <w:rsid w:val="006F4954"/>
    <w:rsid w:val="006F63A5"/>
    <w:rsid w:val="006F779E"/>
    <w:rsid w:val="00701D80"/>
    <w:rsid w:val="0070276E"/>
    <w:rsid w:val="007044C1"/>
    <w:rsid w:val="0071150F"/>
    <w:rsid w:val="00711A36"/>
    <w:rsid w:val="0071233A"/>
    <w:rsid w:val="00712920"/>
    <w:rsid w:val="00712EDE"/>
    <w:rsid w:val="00714BB5"/>
    <w:rsid w:val="00714E23"/>
    <w:rsid w:val="00716B69"/>
    <w:rsid w:val="00716C84"/>
    <w:rsid w:val="00716DED"/>
    <w:rsid w:val="007172AD"/>
    <w:rsid w:val="00717991"/>
    <w:rsid w:val="007204C1"/>
    <w:rsid w:val="007208A5"/>
    <w:rsid w:val="00720A6D"/>
    <w:rsid w:val="00722BB8"/>
    <w:rsid w:val="00722D8A"/>
    <w:rsid w:val="007265FB"/>
    <w:rsid w:val="007268BD"/>
    <w:rsid w:val="00730592"/>
    <w:rsid w:val="00730E6A"/>
    <w:rsid w:val="0073191B"/>
    <w:rsid w:val="007324E9"/>
    <w:rsid w:val="00732C6F"/>
    <w:rsid w:val="00732FA4"/>
    <w:rsid w:val="007338AB"/>
    <w:rsid w:val="00733B75"/>
    <w:rsid w:val="007340C1"/>
    <w:rsid w:val="00734933"/>
    <w:rsid w:val="007350E6"/>
    <w:rsid w:val="00735328"/>
    <w:rsid w:val="0073685B"/>
    <w:rsid w:val="00737DAC"/>
    <w:rsid w:val="00737F11"/>
    <w:rsid w:val="00740BF7"/>
    <w:rsid w:val="00740D9A"/>
    <w:rsid w:val="00741B4C"/>
    <w:rsid w:val="007429B5"/>
    <w:rsid w:val="007434A2"/>
    <w:rsid w:val="007455B2"/>
    <w:rsid w:val="007474AD"/>
    <w:rsid w:val="0075017A"/>
    <w:rsid w:val="007518B7"/>
    <w:rsid w:val="0075235D"/>
    <w:rsid w:val="00752BAA"/>
    <w:rsid w:val="0075326C"/>
    <w:rsid w:val="0075462B"/>
    <w:rsid w:val="0075579D"/>
    <w:rsid w:val="0076147E"/>
    <w:rsid w:val="00761701"/>
    <w:rsid w:val="00765102"/>
    <w:rsid w:val="00767A88"/>
    <w:rsid w:val="00767D09"/>
    <w:rsid w:val="00771275"/>
    <w:rsid w:val="00776EEE"/>
    <w:rsid w:val="007776BB"/>
    <w:rsid w:val="007806F1"/>
    <w:rsid w:val="00780B91"/>
    <w:rsid w:val="00784C07"/>
    <w:rsid w:val="00785420"/>
    <w:rsid w:val="0079071B"/>
    <w:rsid w:val="0079369F"/>
    <w:rsid w:val="00795CF3"/>
    <w:rsid w:val="00796209"/>
    <w:rsid w:val="00797C0D"/>
    <w:rsid w:val="007A049E"/>
    <w:rsid w:val="007A0995"/>
    <w:rsid w:val="007A1867"/>
    <w:rsid w:val="007A21EB"/>
    <w:rsid w:val="007A3072"/>
    <w:rsid w:val="007A30D5"/>
    <w:rsid w:val="007A58C4"/>
    <w:rsid w:val="007A5EDB"/>
    <w:rsid w:val="007A7363"/>
    <w:rsid w:val="007B04B9"/>
    <w:rsid w:val="007B0F1E"/>
    <w:rsid w:val="007B251D"/>
    <w:rsid w:val="007B2C6D"/>
    <w:rsid w:val="007B2CC6"/>
    <w:rsid w:val="007B3EFC"/>
    <w:rsid w:val="007B414A"/>
    <w:rsid w:val="007B5098"/>
    <w:rsid w:val="007B7029"/>
    <w:rsid w:val="007B77D1"/>
    <w:rsid w:val="007C06A2"/>
    <w:rsid w:val="007C1B86"/>
    <w:rsid w:val="007C221E"/>
    <w:rsid w:val="007C4DA6"/>
    <w:rsid w:val="007D0190"/>
    <w:rsid w:val="007D094A"/>
    <w:rsid w:val="007D0B38"/>
    <w:rsid w:val="007D0D5C"/>
    <w:rsid w:val="007D40D0"/>
    <w:rsid w:val="007D4E21"/>
    <w:rsid w:val="007D6647"/>
    <w:rsid w:val="007D6C8A"/>
    <w:rsid w:val="007D7770"/>
    <w:rsid w:val="007E1883"/>
    <w:rsid w:val="007E2360"/>
    <w:rsid w:val="007E2953"/>
    <w:rsid w:val="007E2B0E"/>
    <w:rsid w:val="007E3F31"/>
    <w:rsid w:val="007E578B"/>
    <w:rsid w:val="007F1017"/>
    <w:rsid w:val="007F1D9E"/>
    <w:rsid w:val="007F3CE9"/>
    <w:rsid w:val="007F40BA"/>
    <w:rsid w:val="007F4A3F"/>
    <w:rsid w:val="007F603C"/>
    <w:rsid w:val="00800243"/>
    <w:rsid w:val="008019CF"/>
    <w:rsid w:val="00802041"/>
    <w:rsid w:val="00805142"/>
    <w:rsid w:val="0080571F"/>
    <w:rsid w:val="00805CE9"/>
    <w:rsid w:val="0080677C"/>
    <w:rsid w:val="00807A8B"/>
    <w:rsid w:val="0081057C"/>
    <w:rsid w:val="0081069A"/>
    <w:rsid w:val="00810841"/>
    <w:rsid w:val="00811D0D"/>
    <w:rsid w:val="00812149"/>
    <w:rsid w:val="0081224D"/>
    <w:rsid w:val="0081335F"/>
    <w:rsid w:val="00814223"/>
    <w:rsid w:val="00814C40"/>
    <w:rsid w:val="008166EF"/>
    <w:rsid w:val="00821D3F"/>
    <w:rsid w:val="0082228B"/>
    <w:rsid w:val="00822898"/>
    <w:rsid w:val="00825355"/>
    <w:rsid w:val="008255FB"/>
    <w:rsid w:val="008264EB"/>
    <w:rsid w:val="0083296B"/>
    <w:rsid w:val="00833D03"/>
    <w:rsid w:val="0083551F"/>
    <w:rsid w:val="00835BB3"/>
    <w:rsid w:val="00835DEF"/>
    <w:rsid w:val="00840CA2"/>
    <w:rsid w:val="00841B87"/>
    <w:rsid w:val="008440BA"/>
    <w:rsid w:val="00844E1E"/>
    <w:rsid w:val="00846CB6"/>
    <w:rsid w:val="0085075C"/>
    <w:rsid w:val="008520B7"/>
    <w:rsid w:val="00852EC8"/>
    <w:rsid w:val="00853844"/>
    <w:rsid w:val="00854465"/>
    <w:rsid w:val="00856E9A"/>
    <w:rsid w:val="00857A4E"/>
    <w:rsid w:val="008622DD"/>
    <w:rsid w:val="00863748"/>
    <w:rsid w:val="0086403E"/>
    <w:rsid w:val="008643A9"/>
    <w:rsid w:val="00864902"/>
    <w:rsid w:val="00864933"/>
    <w:rsid w:val="00864FD0"/>
    <w:rsid w:val="0086646F"/>
    <w:rsid w:val="00867BC3"/>
    <w:rsid w:val="00870836"/>
    <w:rsid w:val="00871205"/>
    <w:rsid w:val="0087278C"/>
    <w:rsid w:val="0088213D"/>
    <w:rsid w:val="0088242B"/>
    <w:rsid w:val="00882780"/>
    <w:rsid w:val="00882874"/>
    <w:rsid w:val="00883787"/>
    <w:rsid w:val="00885F06"/>
    <w:rsid w:val="00886BA2"/>
    <w:rsid w:val="00892429"/>
    <w:rsid w:val="00894542"/>
    <w:rsid w:val="00895103"/>
    <w:rsid w:val="008955E7"/>
    <w:rsid w:val="008958C0"/>
    <w:rsid w:val="00895E52"/>
    <w:rsid w:val="008963A5"/>
    <w:rsid w:val="00896AC8"/>
    <w:rsid w:val="00896B3F"/>
    <w:rsid w:val="008A020E"/>
    <w:rsid w:val="008A041C"/>
    <w:rsid w:val="008A062B"/>
    <w:rsid w:val="008A1579"/>
    <w:rsid w:val="008A1E42"/>
    <w:rsid w:val="008A36E2"/>
    <w:rsid w:val="008A3C3E"/>
    <w:rsid w:val="008A4BFB"/>
    <w:rsid w:val="008A6CCC"/>
    <w:rsid w:val="008A79DE"/>
    <w:rsid w:val="008B21B3"/>
    <w:rsid w:val="008B3DC7"/>
    <w:rsid w:val="008B662E"/>
    <w:rsid w:val="008B6CD0"/>
    <w:rsid w:val="008B724A"/>
    <w:rsid w:val="008B7D7E"/>
    <w:rsid w:val="008C0418"/>
    <w:rsid w:val="008C2457"/>
    <w:rsid w:val="008C2C09"/>
    <w:rsid w:val="008C4079"/>
    <w:rsid w:val="008C5A74"/>
    <w:rsid w:val="008C5E3F"/>
    <w:rsid w:val="008C6225"/>
    <w:rsid w:val="008C6AE9"/>
    <w:rsid w:val="008C6DA6"/>
    <w:rsid w:val="008C7E9D"/>
    <w:rsid w:val="008C7ECB"/>
    <w:rsid w:val="008D2C23"/>
    <w:rsid w:val="008D2D48"/>
    <w:rsid w:val="008D33D8"/>
    <w:rsid w:val="008D5BF4"/>
    <w:rsid w:val="008D5C3D"/>
    <w:rsid w:val="008E0D1A"/>
    <w:rsid w:val="008E1B9E"/>
    <w:rsid w:val="008E2357"/>
    <w:rsid w:val="008E4166"/>
    <w:rsid w:val="008E4D70"/>
    <w:rsid w:val="008E59E3"/>
    <w:rsid w:val="008E5B9B"/>
    <w:rsid w:val="008E5BF0"/>
    <w:rsid w:val="008E6386"/>
    <w:rsid w:val="008F0C29"/>
    <w:rsid w:val="008F0C89"/>
    <w:rsid w:val="008F1084"/>
    <w:rsid w:val="008F48EB"/>
    <w:rsid w:val="008F4F0B"/>
    <w:rsid w:val="008F598B"/>
    <w:rsid w:val="008F656B"/>
    <w:rsid w:val="008F69E1"/>
    <w:rsid w:val="008F71B9"/>
    <w:rsid w:val="00900640"/>
    <w:rsid w:val="009009AB"/>
    <w:rsid w:val="00900D56"/>
    <w:rsid w:val="00901EBA"/>
    <w:rsid w:val="009021A1"/>
    <w:rsid w:val="00902B99"/>
    <w:rsid w:val="0090444C"/>
    <w:rsid w:val="00904CBA"/>
    <w:rsid w:val="00905A66"/>
    <w:rsid w:val="009062A5"/>
    <w:rsid w:val="00906AB0"/>
    <w:rsid w:val="00906FEA"/>
    <w:rsid w:val="00911272"/>
    <w:rsid w:val="00912389"/>
    <w:rsid w:val="00913CBD"/>
    <w:rsid w:val="00913CFA"/>
    <w:rsid w:val="00920067"/>
    <w:rsid w:val="00920180"/>
    <w:rsid w:val="00920677"/>
    <w:rsid w:val="009228D1"/>
    <w:rsid w:val="00924F2C"/>
    <w:rsid w:val="00926C48"/>
    <w:rsid w:val="00930DCD"/>
    <w:rsid w:val="009316A3"/>
    <w:rsid w:val="00932174"/>
    <w:rsid w:val="0093328F"/>
    <w:rsid w:val="00934D17"/>
    <w:rsid w:val="009359C1"/>
    <w:rsid w:val="00935DD3"/>
    <w:rsid w:val="0093725B"/>
    <w:rsid w:val="00937856"/>
    <w:rsid w:val="00937FFC"/>
    <w:rsid w:val="00940038"/>
    <w:rsid w:val="00940FB6"/>
    <w:rsid w:val="00942BFC"/>
    <w:rsid w:val="009434A8"/>
    <w:rsid w:val="0094421F"/>
    <w:rsid w:val="0094516A"/>
    <w:rsid w:val="00945D6A"/>
    <w:rsid w:val="00950236"/>
    <w:rsid w:val="0095288C"/>
    <w:rsid w:val="00952BCF"/>
    <w:rsid w:val="00952C73"/>
    <w:rsid w:val="00953947"/>
    <w:rsid w:val="009574FC"/>
    <w:rsid w:val="00957527"/>
    <w:rsid w:val="009604BD"/>
    <w:rsid w:val="009613B4"/>
    <w:rsid w:val="009617F2"/>
    <w:rsid w:val="00961AF9"/>
    <w:rsid w:val="00962CB9"/>
    <w:rsid w:val="00962D03"/>
    <w:rsid w:val="00962F8D"/>
    <w:rsid w:val="00964312"/>
    <w:rsid w:val="00964DE6"/>
    <w:rsid w:val="009712F3"/>
    <w:rsid w:val="00973324"/>
    <w:rsid w:val="009750D8"/>
    <w:rsid w:val="0098002F"/>
    <w:rsid w:val="009819C8"/>
    <w:rsid w:val="00983E57"/>
    <w:rsid w:val="00986D51"/>
    <w:rsid w:val="00986F90"/>
    <w:rsid w:val="009917D3"/>
    <w:rsid w:val="009948F0"/>
    <w:rsid w:val="00996746"/>
    <w:rsid w:val="00996B1A"/>
    <w:rsid w:val="00996E0E"/>
    <w:rsid w:val="009A2414"/>
    <w:rsid w:val="009A28BB"/>
    <w:rsid w:val="009A2EB4"/>
    <w:rsid w:val="009B056A"/>
    <w:rsid w:val="009B234E"/>
    <w:rsid w:val="009B23A4"/>
    <w:rsid w:val="009B2409"/>
    <w:rsid w:val="009B3D36"/>
    <w:rsid w:val="009B3E26"/>
    <w:rsid w:val="009B476B"/>
    <w:rsid w:val="009B67F7"/>
    <w:rsid w:val="009B6E0A"/>
    <w:rsid w:val="009B7CF6"/>
    <w:rsid w:val="009C4829"/>
    <w:rsid w:val="009C4F8F"/>
    <w:rsid w:val="009C5091"/>
    <w:rsid w:val="009C5849"/>
    <w:rsid w:val="009C61E9"/>
    <w:rsid w:val="009C657A"/>
    <w:rsid w:val="009C7BC5"/>
    <w:rsid w:val="009D0041"/>
    <w:rsid w:val="009D19B3"/>
    <w:rsid w:val="009D2434"/>
    <w:rsid w:val="009D3298"/>
    <w:rsid w:val="009D5363"/>
    <w:rsid w:val="009D5B91"/>
    <w:rsid w:val="009D62A5"/>
    <w:rsid w:val="009D62A9"/>
    <w:rsid w:val="009D640F"/>
    <w:rsid w:val="009D7C1A"/>
    <w:rsid w:val="009E0A08"/>
    <w:rsid w:val="009E207B"/>
    <w:rsid w:val="009E4B02"/>
    <w:rsid w:val="009E4C07"/>
    <w:rsid w:val="009E5249"/>
    <w:rsid w:val="009E5D2C"/>
    <w:rsid w:val="009E6A81"/>
    <w:rsid w:val="009F048B"/>
    <w:rsid w:val="009F0B96"/>
    <w:rsid w:val="009F0D0D"/>
    <w:rsid w:val="009F125D"/>
    <w:rsid w:val="009F2D58"/>
    <w:rsid w:val="009F483D"/>
    <w:rsid w:val="009F4CD1"/>
    <w:rsid w:val="009F672C"/>
    <w:rsid w:val="009F6AB1"/>
    <w:rsid w:val="00A00F91"/>
    <w:rsid w:val="00A02C04"/>
    <w:rsid w:val="00A03D43"/>
    <w:rsid w:val="00A04380"/>
    <w:rsid w:val="00A05E68"/>
    <w:rsid w:val="00A10B7E"/>
    <w:rsid w:val="00A115D0"/>
    <w:rsid w:val="00A13948"/>
    <w:rsid w:val="00A13B80"/>
    <w:rsid w:val="00A158D6"/>
    <w:rsid w:val="00A16027"/>
    <w:rsid w:val="00A160CC"/>
    <w:rsid w:val="00A16145"/>
    <w:rsid w:val="00A17065"/>
    <w:rsid w:val="00A1720F"/>
    <w:rsid w:val="00A1761B"/>
    <w:rsid w:val="00A17A74"/>
    <w:rsid w:val="00A17DCF"/>
    <w:rsid w:val="00A21D87"/>
    <w:rsid w:val="00A21E76"/>
    <w:rsid w:val="00A22DF5"/>
    <w:rsid w:val="00A23E5C"/>
    <w:rsid w:val="00A252C2"/>
    <w:rsid w:val="00A26229"/>
    <w:rsid w:val="00A271B1"/>
    <w:rsid w:val="00A27AEC"/>
    <w:rsid w:val="00A30615"/>
    <w:rsid w:val="00A31707"/>
    <w:rsid w:val="00A31EAE"/>
    <w:rsid w:val="00A333A4"/>
    <w:rsid w:val="00A35D16"/>
    <w:rsid w:val="00A430F9"/>
    <w:rsid w:val="00A43C59"/>
    <w:rsid w:val="00A4447F"/>
    <w:rsid w:val="00A449EE"/>
    <w:rsid w:val="00A45921"/>
    <w:rsid w:val="00A46F3F"/>
    <w:rsid w:val="00A50ECD"/>
    <w:rsid w:val="00A52729"/>
    <w:rsid w:val="00A53675"/>
    <w:rsid w:val="00A54079"/>
    <w:rsid w:val="00A54E0A"/>
    <w:rsid w:val="00A56B6A"/>
    <w:rsid w:val="00A56D6A"/>
    <w:rsid w:val="00A578DC"/>
    <w:rsid w:val="00A602DD"/>
    <w:rsid w:val="00A603F4"/>
    <w:rsid w:val="00A62049"/>
    <w:rsid w:val="00A624C5"/>
    <w:rsid w:val="00A62A2C"/>
    <w:rsid w:val="00A63B6A"/>
    <w:rsid w:val="00A63D53"/>
    <w:rsid w:val="00A63EE8"/>
    <w:rsid w:val="00A658CA"/>
    <w:rsid w:val="00A65F47"/>
    <w:rsid w:val="00A6614B"/>
    <w:rsid w:val="00A66310"/>
    <w:rsid w:val="00A66477"/>
    <w:rsid w:val="00A66F05"/>
    <w:rsid w:val="00A6725B"/>
    <w:rsid w:val="00A67966"/>
    <w:rsid w:val="00A67F24"/>
    <w:rsid w:val="00A717EC"/>
    <w:rsid w:val="00A71C1F"/>
    <w:rsid w:val="00A72D3A"/>
    <w:rsid w:val="00A741FC"/>
    <w:rsid w:val="00A77C3D"/>
    <w:rsid w:val="00A8034C"/>
    <w:rsid w:val="00A848DF"/>
    <w:rsid w:val="00A85107"/>
    <w:rsid w:val="00A86D2B"/>
    <w:rsid w:val="00A86E8B"/>
    <w:rsid w:val="00A8719C"/>
    <w:rsid w:val="00A90DC4"/>
    <w:rsid w:val="00A91920"/>
    <w:rsid w:val="00A93072"/>
    <w:rsid w:val="00A967FA"/>
    <w:rsid w:val="00A9742E"/>
    <w:rsid w:val="00AA04CE"/>
    <w:rsid w:val="00AA0A07"/>
    <w:rsid w:val="00AA0F49"/>
    <w:rsid w:val="00AA200D"/>
    <w:rsid w:val="00AA3B7E"/>
    <w:rsid w:val="00AA53D2"/>
    <w:rsid w:val="00AA554D"/>
    <w:rsid w:val="00AB042A"/>
    <w:rsid w:val="00AB3430"/>
    <w:rsid w:val="00AB3C7D"/>
    <w:rsid w:val="00AB411E"/>
    <w:rsid w:val="00AB4524"/>
    <w:rsid w:val="00AB4FA2"/>
    <w:rsid w:val="00AB4FF0"/>
    <w:rsid w:val="00AB5192"/>
    <w:rsid w:val="00AB66FE"/>
    <w:rsid w:val="00AB7CFA"/>
    <w:rsid w:val="00AC2906"/>
    <w:rsid w:val="00AC72D9"/>
    <w:rsid w:val="00AD0F16"/>
    <w:rsid w:val="00AD1012"/>
    <w:rsid w:val="00AD10C5"/>
    <w:rsid w:val="00AD34D9"/>
    <w:rsid w:val="00AD52CB"/>
    <w:rsid w:val="00AD6242"/>
    <w:rsid w:val="00AD6B63"/>
    <w:rsid w:val="00AD725F"/>
    <w:rsid w:val="00AE0FE9"/>
    <w:rsid w:val="00AE1241"/>
    <w:rsid w:val="00AE2E07"/>
    <w:rsid w:val="00AE4C5B"/>
    <w:rsid w:val="00AE4F85"/>
    <w:rsid w:val="00AE5336"/>
    <w:rsid w:val="00AE6BCD"/>
    <w:rsid w:val="00AE7104"/>
    <w:rsid w:val="00AF0DDF"/>
    <w:rsid w:val="00AF2120"/>
    <w:rsid w:val="00AF32D8"/>
    <w:rsid w:val="00AF3E9D"/>
    <w:rsid w:val="00AF3FFC"/>
    <w:rsid w:val="00AF4BD6"/>
    <w:rsid w:val="00AF6B10"/>
    <w:rsid w:val="00AF764C"/>
    <w:rsid w:val="00B016A0"/>
    <w:rsid w:val="00B03155"/>
    <w:rsid w:val="00B038F8"/>
    <w:rsid w:val="00B07C2C"/>
    <w:rsid w:val="00B11552"/>
    <w:rsid w:val="00B12388"/>
    <w:rsid w:val="00B1272A"/>
    <w:rsid w:val="00B12E60"/>
    <w:rsid w:val="00B161C5"/>
    <w:rsid w:val="00B16E44"/>
    <w:rsid w:val="00B24599"/>
    <w:rsid w:val="00B24973"/>
    <w:rsid w:val="00B2633C"/>
    <w:rsid w:val="00B263B7"/>
    <w:rsid w:val="00B26B7A"/>
    <w:rsid w:val="00B26F1C"/>
    <w:rsid w:val="00B273C8"/>
    <w:rsid w:val="00B278AF"/>
    <w:rsid w:val="00B27AB6"/>
    <w:rsid w:val="00B310E7"/>
    <w:rsid w:val="00B31EF3"/>
    <w:rsid w:val="00B32105"/>
    <w:rsid w:val="00B32469"/>
    <w:rsid w:val="00B324E2"/>
    <w:rsid w:val="00B34105"/>
    <w:rsid w:val="00B35AD3"/>
    <w:rsid w:val="00B35B59"/>
    <w:rsid w:val="00B35C43"/>
    <w:rsid w:val="00B40564"/>
    <w:rsid w:val="00B42851"/>
    <w:rsid w:val="00B444D5"/>
    <w:rsid w:val="00B4462B"/>
    <w:rsid w:val="00B45553"/>
    <w:rsid w:val="00B4737C"/>
    <w:rsid w:val="00B47A6E"/>
    <w:rsid w:val="00B521A6"/>
    <w:rsid w:val="00B5222A"/>
    <w:rsid w:val="00B52BDE"/>
    <w:rsid w:val="00B54A27"/>
    <w:rsid w:val="00B54B5B"/>
    <w:rsid w:val="00B55038"/>
    <w:rsid w:val="00B5562E"/>
    <w:rsid w:val="00B56812"/>
    <w:rsid w:val="00B5695C"/>
    <w:rsid w:val="00B56A9F"/>
    <w:rsid w:val="00B56E8C"/>
    <w:rsid w:val="00B57000"/>
    <w:rsid w:val="00B57464"/>
    <w:rsid w:val="00B57DAD"/>
    <w:rsid w:val="00B608CF"/>
    <w:rsid w:val="00B6090D"/>
    <w:rsid w:val="00B60939"/>
    <w:rsid w:val="00B60AFD"/>
    <w:rsid w:val="00B62715"/>
    <w:rsid w:val="00B638F6"/>
    <w:rsid w:val="00B6488E"/>
    <w:rsid w:val="00B65465"/>
    <w:rsid w:val="00B659F8"/>
    <w:rsid w:val="00B65D4F"/>
    <w:rsid w:val="00B66D94"/>
    <w:rsid w:val="00B6798F"/>
    <w:rsid w:val="00B679B8"/>
    <w:rsid w:val="00B7406C"/>
    <w:rsid w:val="00B75E02"/>
    <w:rsid w:val="00B762EA"/>
    <w:rsid w:val="00B77A3A"/>
    <w:rsid w:val="00B80B66"/>
    <w:rsid w:val="00B818A4"/>
    <w:rsid w:val="00B82A76"/>
    <w:rsid w:val="00B837BF"/>
    <w:rsid w:val="00B8396D"/>
    <w:rsid w:val="00B84E0F"/>
    <w:rsid w:val="00B85343"/>
    <w:rsid w:val="00B8649C"/>
    <w:rsid w:val="00B912C0"/>
    <w:rsid w:val="00B9222F"/>
    <w:rsid w:val="00B92D0B"/>
    <w:rsid w:val="00B93FBC"/>
    <w:rsid w:val="00B94945"/>
    <w:rsid w:val="00B94983"/>
    <w:rsid w:val="00B95445"/>
    <w:rsid w:val="00B95D4E"/>
    <w:rsid w:val="00B96291"/>
    <w:rsid w:val="00B97E9A"/>
    <w:rsid w:val="00BA0E22"/>
    <w:rsid w:val="00BA16D8"/>
    <w:rsid w:val="00BA3797"/>
    <w:rsid w:val="00BA512C"/>
    <w:rsid w:val="00BA5265"/>
    <w:rsid w:val="00BB0347"/>
    <w:rsid w:val="00BB03D9"/>
    <w:rsid w:val="00BB0704"/>
    <w:rsid w:val="00BB200F"/>
    <w:rsid w:val="00BB2256"/>
    <w:rsid w:val="00BB413A"/>
    <w:rsid w:val="00BB731D"/>
    <w:rsid w:val="00BC188E"/>
    <w:rsid w:val="00BC3291"/>
    <w:rsid w:val="00BC4A7D"/>
    <w:rsid w:val="00BC59AF"/>
    <w:rsid w:val="00BD0EAF"/>
    <w:rsid w:val="00BD120A"/>
    <w:rsid w:val="00BD1861"/>
    <w:rsid w:val="00BD2BE0"/>
    <w:rsid w:val="00BD4AD1"/>
    <w:rsid w:val="00BD5066"/>
    <w:rsid w:val="00BD5183"/>
    <w:rsid w:val="00BD60F0"/>
    <w:rsid w:val="00BE0585"/>
    <w:rsid w:val="00BE2180"/>
    <w:rsid w:val="00BE39FE"/>
    <w:rsid w:val="00BE3A8D"/>
    <w:rsid w:val="00BE3CF1"/>
    <w:rsid w:val="00BE4275"/>
    <w:rsid w:val="00BE4A17"/>
    <w:rsid w:val="00BE4BE6"/>
    <w:rsid w:val="00BE6231"/>
    <w:rsid w:val="00BE6A05"/>
    <w:rsid w:val="00BE7A25"/>
    <w:rsid w:val="00BF23ED"/>
    <w:rsid w:val="00BF2433"/>
    <w:rsid w:val="00BF2D02"/>
    <w:rsid w:val="00BF30DD"/>
    <w:rsid w:val="00BF34E7"/>
    <w:rsid w:val="00BF4595"/>
    <w:rsid w:val="00BF4D4D"/>
    <w:rsid w:val="00BF51DC"/>
    <w:rsid w:val="00BF5323"/>
    <w:rsid w:val="00BF5645"/>
    <w:rsid w:val="00BF61C9"/>
    <w:rsid w:val="00BF67D9"/>
    <w:rsid w:val="00BF7473"/>
    <w:rsid w:val="00C00975"/>
    <w:rsid w:val="00C01646"/>
    <w:rsid w:val="00C02B1D"/>
    <w:rsid w:val="00C02DDC"/>
    <w:rsid w:val="00C030E7"/>
    <w:rsid w:val="00C03234"/>
    <w:rsid w:val="00C03512"/>
    <w:rsid w:val="00C04B23"/>
    <w:rsid w:val="00C051B3"/>
    <w:rsid w:val="00C105D9"/>
    <w:rsid w:val="00C10991"/>
    <w:rsid w:val="00C10DF9"/>
    <w:rsid w:val="00C15A2A"/>
    <w:rsid w:val="00C15A30"/>
    <w:rsid w:val="00C206CD"/>
    <w:rsid w:val="00C20E2E"/>
    <w:rsid w:val="00C230BA"/>
    <w:rsid w:val="00C2329B"/>
    <w:rsid w:val="00C240B8"/>
    <w:rsid w:val="00C25418"/>
    <w:rsid w:val="00C25D9C"/>
    <w:rsid w:val="00C31141"/>
    <w:rsid w:val="00C31649"/>
    <w:rsid w:val="00C31994"/>
    <w:rsid w:val="00C31B6E"/>
    <w:rsid w:val="00C34E85"/>
    <w:rsid w:val="00C40385"/>
    <w:rsid w:val="00C419BF"/>
    <w:rsid w:val="00C4511B"/>
    <w:rsid w:val="00C45DCE"/>
    <w:rsid w:val="00C50C31"/>
    <w:rsid w:val="00C515E1"/>
    <w:rsid w:val="00C52AFA"/>
    <w:rsid w:val="00C56D8C"/>
    <w:rsid w:val="00C57651"/>
    <w:rsid w:val="00C617F1"/>
    <w:rsid w:val="00C62124"/>
    <w:rsid w:val="00C64887"/>
    <w:rsid w:val="00C65576"/>
    <w:rsid w:val="00C66165"/>
    <w:rsid w:val="00C70A20"/>
    <w:rsid w:val="00C71675"/>
    <w:rsid w:val="00C71D52"/>
    <w:rsid w:val="00C71D85"/>
    <w:rsid w:val="00C73CC8"/>
    <w:rsid w:val="00C74736"/>
    <w:rsid w:val="00C75BB7"/>
    <w:rsid w:val="00C7660E"/>
    <w:rsid w:val="00C80AA2"/>
    <w:rsid w:val="00C8213F"/>
    <w:rsid w:val="00C82BE1"/>
    <w:rsid w:val="00C8328B"/>
    <w:rsid w:val="00C83EF9"/>
    <w:rsid w:val="00C85441"/>
    <w:rsid w:val="00C8797A"/>
    <w:rsid w:val="00C91677"/>
    <w:rsid w:val="00C91E69"/>
    <w:rsid w:val="00C922FD"/>
    <w:rsid w:val="00C92B53"/>
    <w:rsid w:val="00C938CF"/>
    <w:rsid w:val="00C94780"/>
    <w:rsid w:val="00C96BEF"/>
    <w:rsid w:val="00C97731"/>
    <w:rsid w:val="00C97E88"/>
    <w:rsid w:val="00CA0034"/>
    <w:rsid w:val="00CA1051"/>
    <w:rsid w:val="00CA504B"/>
    <w:rsid w:val="00CA5245"/>
    <w:rsid w:val="00CA5340"/>
    <w:rsid w:val="00CA54B8"/>
    <w:rsid w:val="00CA7215"/>
    <w:rsid w:val="00CA7B09"/>
    <w:rsid w:val="00CB0925"/>
    <w:rsid w:val="00CB0C9B"/>
    <w:rsid w:val="00CB14C2"/>
    <w:rsid w:val="00CB1541"/>
    <w:rsid w:val="00CB3423"/>
    <w:rsid w:val="00CB4090"/>
    <w:rsid w:val="00CB5B1A"/>
    <w:rsid w:val="00CB62C0"/>
    <w:rsid w:val="00CB66F9"/>
    <w:rsid w:val="00CC238E"/>
    <w:rsid w:val="00CC469E"/>
    <w:rsid w:val="00CC46CC"/>
    <w:rsid w:val="00CC4CC7"/>
    <w:rsid w:val="00CC5185"/>
    <w:rsid w:val="00CD0B61"/>
    <w:rsid w:val="00CD1493"/>
    <w:rsid w:val="00CD14F2"/>
    <w:rsid w:val="00CD1A3D"/>
    <w:rsid w:val="00CD44BC"/>
    <w:rsid w:val="00CD6005"/>
    <w:rsid w:val="00CD6ADC"/>
    <w:rsid w:val="00CE0A29"/>
    <w:rsid w:val="00CE4CA6"/>
    <w:rsid w:val="00CE579B"/>
    <w:rsid w:val="00CE591C"/>
    <w:rsid w:val="00CE6274"/>
    <w:rsid w:val="00CE7CA6"/>
    <w:rsid w:val="00CF3163"/>
    <w:rsid w:val="00CF434E"/>
    <w:rsid w:val="00CF456B"/>
    <w:rsid w:val="00CF4596"/>
    <w:rsid w:val="00CF5610"/>
    <w:rsid w:val="00CF5A22"/>
    <w:rsid w:val="00CF7264"/>
    <w:rsid w:val="00CF757A"/>
    <w:rsid w:val="00CF7CA5"/>
    <w:rsid w:val="00D00100"/>
    <w:rsid w:val="00D0132F"/>
    <w:rsid w:val="00D0262E"/>
    <w:rsid w:val="00D027A5"/>
    <w:rsid w:val="00D02887"/>
    <w:rsid w:val="00D046A5"/>
    <w:rsid w:val="00D04C42"/>
    <w:rsid w:val="00D061C5"/>
    <w:rsid w:val="00D06FD4"/>
    <w:rsid w:val="00D06FF4"/>
    <w:rsid w:val="00D102D0"/>
    <w:rsid w:val="00D110BD"/>
    <w:rsid w:val="00D11DE6"/>
    <w:rsid w:val="00D12AF5"/>
    <w:rsid w:val="00D13C09"/>
    <w:rsid w:val="00D14B03"/>
    <w:rsid w:val="00D1713F"/>
    <w:rsid w:val="00D17D6C"/>
    <w:rsid w:val="00D205D2"/>
    <w:rsid w:val="00D20BEE"/>
    <w:rsid w:val="00D24BE6"/>
    <w:rsid w:val="00D24D31"/>
    <w:rsid w:val="00D312E1"/>
    <w:rsid w:val="00D3347A"/>
    <w:rsid w:val="00D37CC8"/>
    <w:rsid w:val="00D41C4E"/>
    <w:rsid w:val="00D463FC"/>
    <w:rsid w:val="00D50850"/>
    <w:rsid w:val="00D536C8"/>
    <w:rsid w:val="00D55436"/>
    <w:rsid w:val="00D56B97"/>
    <w:rsid w:val="00D602B1"/>
    <w:rsid w:val="00D60F4A"/>
    <w:rsid w:val="00D62427"/>
    <w:rsid w:val="00D63CD9"/>
    <w:rsid w:val="00D6431D"/>
    <w:rsid w:val="00D657C6"/>
    <w:rsid w:val="00D65F3E"/>
    <w:rsid w:val="00D66D22"/>
    <w:rsid w:val="00D70328"/>
    <w:rsid w:val="00D7418C"/>
    <w:rsid w:val="00D74430"/>
    <w:rsid w:val="00D76A44"/>
    <w:rsid w:val="00D76DD8"/>
    <w:rsid w:val="00D83DCC"/>
    <w:rsid w:val="00D84643"/>
    <w:rsid w:val="00D849EA"/>
    <w:rsid w:val="00D85140"/>
    <w:rsid w:val="00D861D4"/>
    <w:rsid w:val="00D865C8"/>
    <w:rsid w:val="00D87FE7"/>
    <w:rsid w:val="00D90EFD"/>
    <w:rsid w:val="00D911BC"/>
    <w:rsid w:val="00D93753"/>
    <w:rsid w:val="00D939B2"/>
    <w:rsid w:val="00D93E03"/>
    <w:rsid w:val="00D93E81"/>
    <w:rsid w:val="00DA0C3F"/>
    <w:rsid w:val="00DA19B0"/>
    <w:rsid w:val="00DA2493"/>
    <w:rsid w:val="00DA29B6"/>
    <w:rsid w:val="00DA30EA"/>
    <w:rsid w:val="00DA3590"/>
    <w:rsid w:val="00DA4D48"/>
    <w:rsid w:val="00DA6329"/>
    <w:rsid w:val="00DA6E61"/>
    <w:rsid w:val="00DA77A5"/>
    <w:rsid w:val="00DB331D"/>
    <w:rsid w:val="00DB3DDF"/>
    <w:rsid w:val="00DB4F61"/>
    <w:rsid w:val="00DB5B1B"/>
    <w:rsid w:val="00DB7BCF"/>
    <w:rsid w:val="00DC0182"/>
    <w:rsid w:val="00DC30CE"/>
    <w:rsid w:val="00DC365B"/>
    <w:rsid w:val="00DC3AD9"/>
    <w:rsid w:val="00DC4B0E"/>
    <w:rsid w:val="00DC4BD3"/>
    <w:rsid w:val="00DC5501"/>
    <w:rsid w:val="00DC7658"/>
    <w:rsid w:val="00DD052B"/>
    <w:rsid w:val="00DD0CAE"/>
    <w:rsid w:val="00DD2072"/>
    <w:rsid w:val="00DD338D"/>
    <w:rsid w:val="00DD376A"/>
    <w:rsid w:val="00DD3F28"/>
    <w:rsid w:val="00DD4537"/>
    <w:rsid w:val="00DD4E15"/>
    <w:rsid w:val="00DD5204"/>
    <w:rsid w:val="00DD6FF9"/>
    <w:rsid w:val="00DD710E"/>
    <w:rsid w:val="00DD7A0E"/>
    <w:rsid w:val="00DE08D5"/>
    <w:rsid w:val="00DE0E3C"/>
    <w:rsid w:val="00DE283B"/>
    <w:rsid w:val="00DE4411"/>
    <w:rsid w:val="00DE48EB"/>
    <w:rsid w:val="00DE4FCB"/>
    <w:rsid w:val="00DE5ECD"/>
    <w:rsid w:val="00DE780E"/>
    <w:rsid w:val="00DF0C21"/>
    <w:rsid w:val="00DF1711"/>
    <w:rsid w:val="00DF3C0C"/>
    <w:rsid w:val="00DF73B2"/>
    <w:rsid w:val="00E00BB1"/>
    <w:rsid w:val="00E0135B"/>
    <w:rsid w:val="00E01E4B"/>
    <w:rsid w:val="00E045FF"/>
    <w:rsid w:val="00E04D65"/>
    <w:rsid w:val="00E05803"/>
    <w:rsid w:val="00E10149"/>
    <w:rsid w:val="00E11026"/>
    <w:rsid w:val="00E117FE"/>
    <w:rsid w:val="00E12B0A"/>
    <w:rsid w:val="00E1379A"/>
    <w:rsid w:val="00E14AAB"/>
    <w:rsid w:val="00E15990"/>
    <w:rsid w:val="00E16372"/>
    <w:rsid w:val="00E16FA0"/>
    <w:rsid w:val="00E171A7"/>
    <w:rsid w:val="00E172B0"/>
    <w:rsid w:val="00E1763F"/>
    <w:rsid w:val="00E2015D"/>
    <w:rsid w:val="00E20DAE"/>
    <w:rsid w:val="00E20ED6"/>
    <w:rsid w:val="00E21358"/>
    <w:rsid w:val="00E2246A"/>
    <w:rsid w:val="00E2249B"/>
    <w:rsid w:val="00E250D3"/>
    <w:rsid w:val="00E26EBA"/>
    <w:rsid w:val="00E2771E"/>
    <w:rsid w:val="00E301D0"/>
    <w:rsid w:val="00E3078B"/>
    <w:rsid w:val="00E3396C"/>
    <w:rsid w:val="00E3539E"/>
    <w:rsid w:val="00E357C8"/>
    <w:rsid w:val="00E35A61"/>
    <w:rsid w:val="00E35B23"/>
    <w:rsid w:val="00E35D56"/>
    <w:rsid w:val="00E3600D"/>
    <w:rsid w:val="00E370D4"/>
    <w:rsid w:val="00E37569"/>
    <w:rsid w:val="00E402ED"/>
    <w:rsid w:val="00E4158F"/>
    <w:rsid w:val="00E41A18"/>
    <w:rsid w:val="00E41DFC"/>
    <w:rsid w:val="00E41E30"/>
    <w:rsid w:val="00E420F0"/>
    <w:rsid w:val="00E44493"/>
    <w:rsid w:val="00E44974"/>
    <w:rsid w:val="00E44FBE"/>
    <w:rsid w:val="00E455E0"/>
    <w:rsid w:val="00E4684B"/>
    <w:rsid w:val="00E468E9"/>
    <w:rsid w:val="00E469F4"/>
    <w:rsid w:val="00E46B7D"/>
    <w:rsid w:val="00E47B2C"/>
    <w:rsid w:val="00E55208"/>
    <w:rsid w:val="00E55424"/>
    <w:rsid w:val="00E56CA2"/>
    <w:rsid w:val="00E5741B"/>
    <w:rsid w:val="00E57C9E"/>
    <w:rsid w:val="00E604FE"/>
    <w:rsid w:val="00E6074A"/>
    <w:rsid w:val="00E61A63"/>
    <w:rsid w:val="00E62D6B"/>
    <w:rsid w:val="00E63978"/>
    <w:rsid w:val="00E65DE4"/>
    <w:rsid w:val="00E65E79"/>
    <w:rsid w:val="00E66230"/>
    <w:rsid w:val="00E66A39"/>
    <w:rsid w:val="00E67416"/>
    <w:rsid w:val="00E70F89"/>
    <w:rsid w:val="00E718B6"/>
    <w:rsid w:val="00E725A1"/>
    <w:rsid w:val="00E72FC0"/>
    <w:rsid w:val="00E72FF5"/>
    <w:rsid w:val="00E73581"/>
    <w:rsid w:val="00E73F8E"/>
    <w:rsid w:val="00E7510F"/>
    <w:rsid w:val="00E76071"/>
    <w:rsid w:val="00E767CD"/>
    <w:rsid w:val="00E82527"/>
    <w:rsid w:val="00E8284B"/>
    <w:rsid w:val="00E839BF"/>
    <w:rsid w:val="00E83BDF"/>
    <w:rsid w:val="00E87715"/>
    <w:rsid w:val="00E90097"/>
    <w:rsid w:val="00E907F1"/>
    <w:rsid w:val="00E92EFD"/>
    <w:rsid w:val="00E94833"/>
    <w:rsid w:val="00E954F1"/>
    <w:rsid w:val="00E95B71"/>
    <w:rsid w:val="00E96BD7"/>
    <w:rsid w:val="00EA1695"/>
    <w:rsid w:val="00EA3864"/>
    <w:rsid w:val="00EA6279"/>
    <w:rsid w:val="00EA69C6"/>
    <w:rsid w:val="00EA7A83"/>
    <w:rsid w:val="00EA7DCE"/>
    <w:rsid w:val="00EB3CE7"/>
    <w:rsid w:val="00EB57B2"/>
    <w:rsid w:val="00EB690D"/>
    <w:rsid w:val="00EB75B2"/>
    <w:rsid w:val="00EC00C9"/>
    <w:rsid w:val="00EC3434"/>
    <w:rsid w:val="00EC54F9"/>
    <w:rsid w:val="00EC5DD0"/>
    <w:rsid w:val="00EC7213"/>
    <w:rsid w:val="00EC7232"/>
    <w:rsid w:val="00EC764C"/>
    <w:rsid w:val="00ED1872"/>
    <w:rsid w:val="00ED2650"/>
    <w:rsid w:val="00ED5165"/>
    <w:rsid w:val="00ED5DAA"/>
    <w:rsid w:val="00ED77D0"/>
    <w:rsid w:val="00EE06DC"/>
    <w:rsid w:val="00EE07D3"/>
    <w:rsid w:val="00EE136E"/>
    <w:rsid w:val="00EE180D"/>
    <w:rsid w:val="00EE2297"/>
    <w:rsid w:val="00EE519E"/>
    <w:rsid w:val="00EE73F5"/>
    <w:rsid w:val="00EF05F6"/>
    <w:rsid w:val="00EF2914"/>
    <w:rsid w:val="00EF2A59"/>
    <w:rsid w:val="00EF3493"/>
    <w:rsid w:val="00F02B1A"/>
    <w:rsid w:val="00F03039"/>
    <w:rsid w:val="00F032BB"/>
    <w:rsid w:val="00F056A2"/>
    <w:rsid w:val="00F058C9"/>
    <w:rsid w:val="00F059D6"/>
    <w:rsid w:val="00F063E5"/>
    <w:rsid w:val="00F067A2"/>
    <w:rsid w:val="00F069FC"/>
    <w:rsid w:val="00F06C6E"/>
    <w:rsid w:val="00F07F0D"/>
    <w:rsid w:val="00F101FC"/>
    <w:rsid w:val="00F11A14"/>
    <w:rsid w:val="00F14AEF"/>
    <w:rsid w:val="00F16D61"/>
    <w:rsid w:val="00F20D2C"/>
    <w:rsid w:val="00F23ADD"/>
    <w:rsid w:val="00F24837"/>
    <w:rsid w:val="00F24853"/>
    <w:rsid w:val="00F248B3"/>
    <w:rsid w:val="00F2575F"/>
    <w:rsid w:val="00F25BDF"/>
    <w:rsid w:val="00F269A4"/>
    <w:rsid w:val="00F30B3E"/>
    <w:rsid w:val="00F32BD3"/>
    <w:rsid w:val="00F338FF"/>
    <w:rsid w:val="00F33DE9"/>
    <w:rsid w:val="00F33E33"/>
    <w:rsid w:val="00F34A1D"/>
    <w:rsid w:val="00F35CD8"/>
    <w:rsid w:val="00F3619A"/>
    <w:rsid w:val="00F41350"/>
    <w:rsid w:val="00F41685"/>
    <w:rsid w:val="00F42483"/>
    <w:rsid w:val="00F42C00"/>
    <w:rsid w:val="00F42E26"/>
    <w:rsid w:val="00F4492E"/>
    <w:rsid w:val="00F44DC5"/>
    <w:rsid w:val="00F45506"/>
    <w:rsid w:val="00F461E1"/>
    <w:rsid w:val="00F462D0"/>
    <w:rsid w:val="00F46CB6"/>
    <w:rsid w:val="00F47232"/>
    <w:rsid w:val="00F52042"/>
    <w:rsid w:val="00F53823"/>
    <w:rsid w:val="00F54287"/>
    <w:rsid w:val="00F555AD"/>
    <w:rsid w:val="00F55E73"/>
    <w:rsid w:val="00F612A1"/>
    <w:rsid w:val="00F6188A"/>
    <w:rsid w:val="00F63546"/>
    <w:rsid w:val="00F64CAC"/>
    <w:rsid w:val="00F65006"/>
    <w:rsid w:val="00F675D8"/>
    <w:rsid w:val="00F67C67"/>
    <w:rsid w:val="00F70DDA"/>
    <w:rsid w:val="00F737EF"/>
    <w:rsid w:val="00F74772"/>
    <w:rsid w:val="00F74AA6"/>
    <w:rsid w:val="00F74ADD"/>
    <w:rsid w:val="00F75779"/>
    <w:rsid w:val="00F805D5"/>
    <w:rsid w:val="00F80E5D"/>
    <w:rsid w:val="00F83A42"/>
    <w:rsid w:val="00F851CE"/>
    <w:rsid w:val="00F85E84"/>
    <w:rsid w:val="00F90430"/>
    <w:rsid w:val="00F9147B"/>
    <w:rsid w:val="00F92ABF"/>
    <w:rsid w:val="00F93767"/>
    <w:rsid w:val="00F93E21"/>
    <w:rsid w:val="00F94F72"/>
    <w:rsid w:val="00F97A78"/>
    <w:rsid w:val="00FA07BB"/>
    <w:rsid w:val="00FA16D7"/>
    <w:rsid w:val="00FA48BE"/>
    <w:rsid w:val="00FA68EE"/>
    <w:rsid w:val="00FA7899"/>
    <w:rsid w:val="00FA7D42"/>
    <w:rsid w:val="00FB034E"/>
    <w:rsid w:val="00FB0376"/>
    <w:rsid w:val="00FB108D"/>
    <w:rsid w:val="00FB1762"/>
    <w:rsid w:val="00FB2FCB"/>
    <w:rsid w:val="00FB354E"/>
    <w:rsid w:val="00FB41D1"/>
    <w:rsid w:val="00FB45B7"/>
    <w:rsid w:val="00FB61D2"/>
    <w:rsid w:val="00FB65A9"/>
    <w:rsid w:val="00FB783C"/>
    <w:rsid w:val="00FC1074"/>
    <w:rsid w:val="00FC1884"/>
    <w:rsid w:val="00FC39A1"/>
    <w:rsid w:val="00FC3DF0"/>
    <w:rsid w:val="00FC7B89"/>
    <w:rsid w:val="00FD2100"/>
    <w:rsid w:val="00FD446D"/>
    <w:rsid w:val="00FE05A0"/>
    <w:rsid w:val="00FE0644"/>
    <w:rsid w:val="00FE2784"/>
    <w:rsid w:val="00FE2A82"/>
    <w:rsid w:val="00FE4B8D"/>
    <w:rsid w:val="00FE5339"/>
    <w:rsid w:val="00FE5721"/>
    <w:rsid w:val="00FE6E8F"/>
    <w:rsid w:val="00FE70B2"/>
    <w:rsid w:val="00FF1CFC"/>
    <w:rsid w:val="00FF3DCF"/>
    <w:rsid w:val="00FF49B1"/>
    <w:rsid w:val="00FF5A37"/>
    <w:rsid w:val="00FF5AA3"/>
    <w:rsid w:val="00FF70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60CC"/>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e"/>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new styl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uiPriority w:val="4"/>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4"/>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6E5469"/>
    <w:pPr>
      <w:numPr>
        <w:numId w:val="2"/>
      </w:numPr>
      <w:outlineLvl w:val="0"/>
    </w:pPr>
    <w:rPr>
      <w:rFonts w:ascii="Arial" w:hAnsi="Arial" w:cs="Arial"/>
      <w:snapToGrid w:val="0"/>
      <w:sz w:val="22"/>
      <w:szCs w:val="22"/>
      <w:lang w:eastAsia="en-US"/>
    </w:rPr>
  </w:style>
  <w:style w:type="paragraph" w:customStyle="1" w:styleId="Tablebullet">
    <w:name w:val="Table bullet"/>
    <w:uiPriority w:val="4"/>
    <w:rsid w:val="004470AB"/>
    <w:pPr>
      <w:numPr>
        <w:numId w:val="5"/>
      </w:numPr>
      <w:spacing w:before="40" w:after="60"/>
      <w:ind w:left="426" w:hanging="357"/>
    </w:pPr>
    <w:rPr>
      <w:rFonts w:ascii="Calibri" w:hAnsi="Calibri" w:cs="Calibri"/>
      <w:bCs/>
      <w:color w:val="000000"/>
      <w:sz w:val="16"/>
      <w:szCs w:val="26"/>
      <w:lang w:eastAsia="en-US"/>
    </w:rPr>
  </w:style>
  <w:style w:type="paragraph" w:customStyle="1" w:styleId="TableH1">
    <w:name w:val="Table H1"/>
    <w:basedOn w:val="BodyText"/>
    <w:uiPriority w:val="4"/>
    <w:qFormat/>
    <w:rsid w:val="004470AB"/>
    <w:pPr>
      <w:keepNext/>
      <w:widowControl/>
      <w:spacing w:after="20"/>
      <w:ind w:left="113" w:right="113"/>
    </w:pPr>
    <w:rPr>
      <w:rFonts w:ascii="Calibri" w:eastAsia="Calibri" w:hAnsi="Calibri" w:cs="Calibri"/>
      <w:b/>
      <w:snapToGrid/>
      <w:sz w:val="18"/>
      <w:szCs w:val="16"/>
      <w:lang w:val="en-US"/>
    </w:rPr>
  </w:style>
  <w:style w:type="paragraph" w:customStyle="1" w:styleId="StyleTablebulletBodyCalibri">
    <w:name w:val="Style Table bullet + +Body (Calibri)"/>
    <w:basedOn w:val="Tablebullet"/>
    <w:rsid w:val="004470AB"/>
    <w:pPr>
      <w:numPr>
        <w:numId w:val="0"/>
      </w:numPr>
    </w:pPr>
    <w:rPr>
      <w:rFonts w:asciiTheme="minorHAnsi" w:hAnsiTheme="minorHAnsi"/>
      <w:bCs w:val="0"/>
    </w:rPr>
  </w:style>
  <w:style w:type="paragraph" w:customStyle="1" w:styleId="StyleTablebullet9pt">
    <w:name w:val="Style Table bullet + 9 pt"/>
    <w:basedOn w:val="Tablebullet"/>
    <w:rsid w:val="004470AB"/>
    <w:pPr>
      <w:ind w:left="227" w:hanging="227"/>
    </w:pPr>
    <w:rPr>
      <w:bCs w:val="0"/>
      <w:sz w:val="18"/>
    </w:rPr>
  </w:style>
  <w:style w:type="paragraph" w:customStyle="1" w:styleId="TableH1Centered1beforeandafter">
    <w:name w:val="Table H1 + Centered 1 before and after"/>
    <w:basedOn w:val="Normal"/>
    <w:rsid w:val="00086014"/>
    <w:pPr>
      <w:keepNext/>
      <w:widowControl/>
      <w:spacing w:before="20" w:after="20"/>
      <w:jc w:val="center"/>
    </w:pPr>
    <w:rPr>
      <w:rFonts w:ascii="Calibri" w:hAnsi="Calibri" w:cs="Times New Roman"/>
      <w:bCs/>
      <w:snapToGrid/>
      <w:sz w:val="18"/>
      <w:lang w:val="en-US"/>
    </w:rPr>
  </w:style>
  <w:style w:type="paragraph" w:customStyle="1" w:styleId="StyleTabletextCentered">
    <w:name w:val="Style Table text + Centered"/>
    <w:basedOn w:val="Tabletext"/>
    <w:rsid w:val="00A16145"/>
    <w:pPr>
      <w:keepNext/>
      <w:spacing w:after="20"/>
      <w:ind w:left="113" w:right="113"/>
      <w:jc w:val="center"/>
    </w:pPr>
    <w:rPr>
      <w:rFonts w:ascii="Calibri" w:hAnsi="Calibri"/>
      <w:sz w:val="18"/>
    </w:rPr>
  </w:style>
  <w:style w:type="paragraph" w:customStyle="1" w:styleId="Tabledash">
    <w:name w:val="Table dash"/>
    <w:basedOn w:val="BodyText"/>
    <w:uiPriority w:val="4"/>
    <w:qFormat/>
    <w:rsid w:val="0057221C"/>
    <w:pPr>
      <w:keepNext/>
      <w:widowControl/>
      <w:numPr>
        <w:numId w:val="6"/>
      </w:numPr>
      <w:tabs>
        <w:tab w:val="left" w:pos="170"/>
      </w:tabs>
      <w:spacing w:before="20" w:after="20"/>
      <w:ind w:left="714" w:right="113" w:hanging="288"/>
    </w:pPr>
    <w:rPr>
      <w:rFonts w:ascii="Calibri" w:hAnsi="Calibri" w:cs="Calibri"/>
      <w:bCs/>
      <w:snapToGrid/>
      <w:color w:val="000000"/>
      <w:sz w:val="16"/>
      <w:szCs w:val="26"/>
    </w:rPr>
  </w:style>
  <w:style w:type="paragraph" w:customStyle="1" w:styleId="TabletextBold">
    <w:name w:val="Table text +Bold"/>
    <w:basedOn w:val="Tabletext"/>
    <w:link w:val="TabletextBoldChar"/>
    <w:qFormat/>
    <w:rsid w:val="00E41DFC"/>
    <w:pPr>
      <w:keepNext/>
      <w:spacing w:after="20"/>
      <w:ind w:left="113" w:right="113"/>
    </w:pPr>
    <w:rPr>
      <w:rFonts w:ascii="Calibri" w:eastAsia="Calibri" w:hAnsi="Calibri" w:cs="Calibri"/>
      <w:b/>
      <w:sz w:val="18"/>
      <w:szCs w:val="16"/>
    </w:rPr>
  </w:style>
  <w:style w:type="character" w:customStyle="1" w:styleId="TabletextBoldChar">
    <w:name w:val="Table text +Bold Char"/>
    <w:basedOn w:val="TabletextChar"/>
    <w:link w:val="TabletextBold"/>
    <w:rsid w:val="00E41DFC"/>
    <w:rPr>
      <w:rFonts w:ascii="Calibri" w:eastAsia="Calibri" w:hAnsi="Calibri" w:cs="Calibri"/>
      <w:b/>
      <w:sz w:val="18"/>
      <w:szCs w:val="16"/>
      <w:lang w:eastAsia="en-US"/>
    </w:rPr>
  </w:style>
  <w:style w:type="paragraph" w:customStyle="1" w:styleId="TabletextCentered">
    <w:name w:val="Table text + Centered"/>
    <w:basedOn w:val="Tabletext"/>
    <w:rsid w:val="00D1713F"/>
    <w:pPr>
      <w:keepNext/>
      <w:spacing w:after="20"/>
      <w:ind w:left="113" w:right="113"/>
      <w:jc w:val="center"/>
    </w:pPr>
    <w:rPr>
      <w:rFonts w:asciiTheme="minorHAnsi" w:hAnsiTheme="minorHAnsi"/>
      <w:sz w:val="18"/>
    </w:rPr>
  </w:style>
  <w:style w:type="character" w:customStyle="1" w:styleId="ListParagraphChar">
    <w:name w:val="List Paragraph Char"/>
    <w:aliases w:val="BulletPoints Char"/>
    <w:basedOn w:val="DefaultParagraphFont"/>
    <w:link w:val="ListParagraph"/>
    <w:uiPriority w:val="34"/>
    <w:locked/>
    <w:rsid w:val="00D1713F"/>
    <w:rPr>
      <w:rFonts w:ascii="Arial" w:hAnsi="Arial" w:cs="Arial"/>
      <w:snapToGrid w:val="0"/>
      <w:sz w:val="22"/>
      <w:lang w:eastAsia="en-US"/>
    </w:rPr>
  </w:style>
  <w:style w:type="paragraph" w:customStyle="1" w:styleId="Footnote">
    <w:name w:val="Footnote"/>
    <w:basedOn w:val="FootnoteText"/>
    <w:uiPriority w:val="99"/>
    <w:rsid w:val="00D1713F"/>
    <w:pPr>
      <w:widowControl/>
      <w:spacing w:line="276" w:lineRule="auto"/>
      <w:ind w:left="284" w:hanging="284"/>
      <w:jc w:val="left"/>
    </w:pPr>
    <w:rPr>
      <w:rFonts w:ascii="Calibri" w:eastAsia="Calibri" w:hAnsi="Calibri" w:cs="Calibri"/>
      <w:snapToGrid/>
      <w:sz w:val="18"/>
    </w:rPr>
  </w:style>
  <w:style w:type="paragraph" w:styleId="FootnoteText">
    <w:name w:val="footnote text"/>
    <w:basedOn w:val="Normal"/>
    <w:link w:val="FootnoteTextChar"/>
    <w:semiHidden/>
    <w:unhideWhenUsed/>
    <w:rsid w:val="00D1713F"/>
    <w:rPr>
      <w:sz w:val="20"/>
    </w:rPr>
  </w:style>
  <w:style w:type="character" w:customStyle="1" w:styleId="FootnoteTextChar">
    <w:name w:val="Footnote Text Char"/>
    <w:basedOn w:val="DefaultParagraphFont"/>
    <w:link w:val="FootnoteText"/>
    <w:semiHidden/>
    <w:rsid w:val="00D1713F"/>
    <w:rPr>
      <w:rFonts w:ascii="Arial" w:hAnsi="Arial" w:cs="Arial"/>
      <w:snapToGrid w:val="0"/>
      <w:lang w:eastAsia="en-US"/>
    </w:rPr>
  </w:style>
  <w:style w:type="paragraph" w:customStyle="1" w:styleId="TableFigNotes6">
    <w:name w:val="TableFigNotes+6"/>
    <w:basedOn w:val="Normal"/>
    <w:uiPriority w:val="4"/>
    <w:rsid w:val="00D1713F"/>
    <w:pPr>
      <w:keepNext/>
      <w:widowControl/>
      <w:spacing w:after="120"/>
      <w:jc w:val="left"/>
    </w:pPr>
    <w:rPr>
      <w:rFonts w:ascii="Calibri" w:eastAsia="Calibri" w:hAnsi="Calibri" w:cs="Calibri"/>
      <w:snapToGrid/>
      <w:sz w:val="16"/>
    </w:rPr>
  </w:style>
  <w:style w:type="character" w:customStyle="1" w:styleId="TableTextChar0">
    <w:name w:val="Table Text Char"/>
    <w:basedOn w:val="DefaultParagraphFont"/>
    <w:link w:val="TableText1"/>
    <w:locked/>
    <w:rsid w:val="00D1713F"/>
    <w:rPr>
      <w:rFonts w:ascii="Arial" w:eastAsia="Arial" w:hAnsi="Arial" w:cs="Arial"/>
      <w:szCs w:val="22"/>
    </w:rPr>
  </w:style>
  <w:style w:type="paragraph" w:customStyle="1" w:styleId="TableText1">
    <w:name w:val="Table Text"/>
    <w:basedOn w:val="Normal"/>
    <w:link w:val="TableTextChar0"/>
    <w:qFormat/>
    <w:rsid w:val="00D1713F"/>
    <w:pPr>
      <w:widowControl/>
      <w:jc w:val="left"/>
    </w:pPr>
    <w:rPr>
      <w:rFonts w:eastAsia="Arial"/>
      <w:snapToGrid/>
      <w:sz w:val="20"/>
      <w:szCs w:val="22"/>
      <w:lang w:eastAsia="en-AU"/>
    </w:rPr>
  </w:style>
  <w:style w:type="paragraph" w:customStyle="1" w:styleId="RJWNormal">
    <w:name w:val="RJW Normal"/>
    <w:basedOn w:val="Normal"/>
    <w:uiPriority w:val="99"/>
    <w:qFormat/>
    <w:rsid w:val="00D1713F"/>
    <w:pPr>
      <w:widowControl/>
      <w:spacing w:after="120" w:line="276" w:lineRule="auto"/>
      <w:jc w:val="left"/>
    </w:pPr>
    <w:rPr>
      <w:rFonts w:asciiTheme="minorHAnsi" w:eastAsiaTheme="minorEastAsia" w:hAnsiTheme="minorHAnsi" w:cstheme="minorBidi"/>
      <w:snapToGrid/>
      <w:szCs w:val="22"/>
      <w:lang w:val="en-GB"/>
    </w:rPr>
  </w:style>
  <w:style w:type="table" w:customStyle="1" w:styleId="TableStyle3">
    <w:name w:val="Table Style3"/>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table" w:customStyle="1" w:styleId="TableStyle4">
    <w:name w:val="Table Style4"/>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paragraph" w:customStyle="1" w:styleId="StyleTableH1Centered1beforeandafterBodyCalibriBol">
    <w:name w:val="Style Table H1 + Centered 1 before and after + +Body (Calibri) Bol..."/>
    <w:basedOn w:val="TableH1Centered1beforeandafter"/>
    <w:rsid w:val="00D1713F"/>
    <w:pPr>
      <w:jc w:val="left"/>
    </w:pPr>
    <w:rPr>
      <w:rFonts w:asciiTheme="minorHAnsi" w:hAnsiTheme="minorHAnsi"/>
      <w:b/>
    </w:rPr>
  </w:style>
  <w:style w:type="paragraph" w:customStyle="1" w:styleId="TabletextBoldcentered">
    <w:name w:val="Table text +Bold centered"/>
    <w:basedOn w:val="TabletextBold"/>
    <w:rsid w:val="00D1713F"/>
    <w:pPr>
      <w:jc w:val="center"/>
    </w:pPr>
    <w:rPr>
      <w:rFonts w:asciiTheme="minorHAnsi" w:hAnsiTheme="minorHAnsi"/>
      <w:bCs/>
    </w:rPr>
  </w:style>
  <w:style w:type="table" w:customStyle="1" w:styleId="TableStyle10">
    <w:name w:val="Table Style10"/>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paragraph" w:customStyle="1" w:styleId="StyleTableH1CenteredBefore6pt">
    <w:name w:val="Style Table H1 + Centered Before:  6 pt"/>
    <w:basedOn w:val="TableH1"/>
    <w:rsid w:val="00D1713F"/>
    <w:pPr>
      <w:spacing w:before="20"/>
      <w:ind w:left="0" w:right="0"/>
      <w:jc w:val="center"/>
    </w:pPr>
    <w:rPr>
      <w:rFonts w:eastAsia="Times New Roman" w:cs="Times New Roman"/>
      <w:bCs/>
      <w:szCs w:val="20"/>
    </w:rPr>
  </w:style>
  <w:style w:type="paragraph" w:customStyle="1" w:styleId="Bodytextitalicindent">
    <w:name w:val="Body text +italic indent"/>
    <w:basedOn w:val="BodyText"/>
    <w:link w:val="BodytextitalicindentChar"/>
    <w:qFormat/>
    <w:rsid w:val="00D1713F"/>
    <w:pPr>
      <w:widowControl/>
      <w:spacing w:after="120" w:line="276" w:lineRule="auto"/>
      <w:ind w:left="1134" w:right="1190"/>
    </w:pPr>
    <w:rPr>
      <w:rFonts w:ascii="Calibri" w:hAnsi="Calibri" w:cstheme="minorHAnsi"/>
      <w:i/>
      <w:snapToGrid/>
    </w:rPr>
  </w:style>
  <w:style w:type="table" w:customStyle="1" w:styleId="TableStyle7">
    <w:name w:val="Table Style7"/>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character" w:customStyle="1" w:styleId="BodytextitalicindentChar">
    <w:name w:val="Body text +italic indent Char"/>
    <w:basedOn w:val="BodyTextChar"/>
    <w:link w:val="Bodytextitalicindent"/>
    <w:rsid w:val="00D1713F"/>
    <w:rPr>
      <w:rFonts w:ascii="Calibri" w:hAnsi="Calibri" w:cstheme="minorHAnsi"/>
      <w:i/>
      <w:snapToGrid/>
      <w:sz w:val="22"/>
      <w:lang w:eastAsia="en-US"/>
    </w:rPr>
  </w:style>
  <w:style w:type="table" w:customStyle="1" w:styleId="TableStyle8">
    <w:name w:val="Table Style8"/>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table" w:customStyle="1" w:styleId="TableStyle9">
    <w:name w:val="Table Style9"/>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table" w:customStyle="1" w:styleId="TableStyle6">
    <w:name w:val="Table Style6"/>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character" w:styleId="FootnoteReference">
    <w:name w:val="footnote reference"/>
    <w:basedOn w:val="DefaultParagraphFont"/>
    <w:semiHidden/>
    <w:unhideWhenUsed/>
    <w:rsid w:val="00835DEF"/>
    <w:rPr>
      <w:vertAlign w:val="superscript"/>
    </w:rPr>
  </w:style>
  <w:style w:type="paragraph" w:customStyle="1" w:styleId="TabletextUnderline">
    <w:name w:val="Table text + Underline"/>
    <w:basedOn w:val="Tabletext"/>
    <w:rsid w:val="00606A2A"/>
    <w:pPr>
      <w:keepNext/>
      <w:spacing w:after="20"/>
      <w:ind w:left="113" w:right="113"/>
    </w:pPr>
    <w:rPr>
      <w:rFonts w:ascii="Calibri" w:eastAsia="Calibri" w:hAnsi="Calibri" w:cs="Calibri"/>
      <w:sz w:val="18"/>
      <w:szCs w:val="16"/>
      <w:u w:val="single"/>
    </w:rPr>
  </w:style>
  <w:style w:type="character" w:customStyle="1" w:styleId="Heading1Char">
    <w:name w:val="Heading 1 Char"/>
    <w:basedOn w:val="DefaultParagraphFont"/>
    <w:link w:val="Heading1"/>
    <w:rsid w:val="00071A0E"/>
    <w:rPr>
      <w:rFonts w:ascii="Arial Bold" w:hAnsi="Arial Bold" w:cs="Arial"/>
      <w:b/>
      <w:caps/>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14BB5"/>
    <w:pPr>
      <w:widowControl/>
      <w:spacing w:after="160" w:line="240" w:lineRule="exact"/>
      <w:jc w:val="left"/>
    </w:pPr>
    <w:rPr>
      <w:rFonts w:ascii="Verdana" w:eastAsia="MS Mincho" w:hAnsi="Verdana" w:cs="Verdana"/>
      <w:snapToGrid/>
      <w:sz w:val="20"/>
      <w:lang w:val="en-US"/>
    </w:rPr>
  </w:style>
  <w:style w:type="character" w:customStyle="1" w:styleId="st1">
    <w:name w:val="st1"/>
    <w:basedOn w:val="DefaultParagraphFont"/>
    <w:rsid w:val="00205443"/>
  </w:style>
  <w:style w:type="character" w:styleId="FollowedHyperlink">
    <w:name w:val="FollowedHyperlink"/>
    <w:basedOn w:val="DefaultParagraphFont"/>
    <w:semiHidden/>
    <w:unhideWhenUsed/>
    <w:rsid w:val="005174F0"/>
    <w:rPr>
      <w:color w:val="800080" w:themeColor="followedHyperlink"/>
      <w:u w:val="single"/>
    </w:rPr>
  </w:style>
  <w:style w:type="paragraph" w:customStyle="1" w:styleId="PBACHeading10">
    <w:name w:val="PBAC Heading 1"/>
    <w:qFormat/>
    <w:rsid w:val="00C91E69"/>
    <w:pPr>
      <w:ind w:left="720" w:hanging="720"/>
      <w:outlineLvl w:val="0"/>
    </w:pPr>
    <w:rPr>
      <w:rFonts w:ascii="Arial" w:hAnsi="Arial" w:cs="Arial"/>
      <w:b/>
      <w:snapToGrid w:val="0"/>
      <w:sz w:val="22"/>
      <w:szCs w:val="22"/>
      <w:lang w:eastAsia="en-US"/>
    </w:rPr>
  </w:style>
  <w:style w:type="paragraph" w:customStyle="1" w:styleId="Default">
    <w:name w:val="Default"/>
    <w:rsid w:val="00F74ADD"/>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60CC"/>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e"/>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new styl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uiPriority w:val="4"/>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4"/>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6E5469"/>
    <w:pPr>
      <w:numPr>
        <w:numId w:val="2"/>
      </w:numPr>
      <w:outlineLvl w:val="0"/>
    </w:pPr>
    <w:rPr>
      <w:rFonts w:ascii="Arial" w:hAnsi="Arial" w:cs="Arial"/>
      <w:snapToGrid w:val="0"/>
      <w:sz w:val="22"/>
      <w:szCs w:val="22"/>
      <w:lang w:eastAsia="en-US"/>
    </w:rPr>
  </w:style>
  <w:style w:type="paragraph" w:customStyle="1" w:styleId="Tablebullet">
    <w:name w:val="Table bullet"/>
    <w:uiPriority w:val="4"/>
    <w:rsid w:val="004470AB"/>
    <w:pPr>
      <w:numPr>
        <w:numId w:val="5"/>
      </w:numPr>
      <w:spacing w:before="40" w:after="60"/>
      <w:ind w:left="426" w:hanging="357"/>
    </w:pPr>
    <w:rPr>
      <w:rFonts w:ascii="Calibri" w:hAnsi="Calibri" w:cs="Calibri"/>
      <w:bCs/>
      <w:color w:val="000000"/>
      <w:sz w:val="16"/>
      <w:szCs w:val="26"/>
      <w:lang w:eastAsia="en-US"/>
    </w:rPr>
  </w:style>
  <w:style w:type="paragraph" w:customStyle="1" w:styleId="TableH1">
    <w:name w:val="Table H1"/>
    <w:basedOn w:val="BodyText"/>
    <w:uiPriority w:val="4"/>
    <w:qFormat/>
    <w:rsid w:val="004470AB"/>
    <w:pPr>
      <w:keepNext/>
      <w:widowControl/>
      <w:spacing w:after="20"/>
      <w:ind w:left="113" w:right="113"/>
    </w:pPr>
    <w:rPr>
      <w:rFonts w:ascii="Calibri" w:eastAsia="Calibri" w:hAnsi="Calibri" w:cs="Calibri"/>
      <w:b/>
      <w:snapToGrid/>
      <w:sz w:val="18"/>
      <w:szCs w:val="16"/>
      <w:lang w:val="en-US"/>
    </w:rPr>
  </w:style>
  <w:style w:type="paragraph" w:customStyle="1" w:styleId="StyleTablebulletBodyCalibri">
    <w:name w:val="Style Table bullet + +Body (Calibri)"/>
    <w:basedOn w:val="Tablebullet"/>
    <w:rsid w:val="004470AB"/>
    <w:pPr>
      <w:numPr>
        <w:numId w:val="0"/>
      </w:numPr>
    </w:pPr>
    <w:rPr>
      <w:rFonts w:asciiTheme="minorHAnsi" w:hAnsiTheme="minorHAnsi"/>
      <w:bCs w:val="0"/>
    </w:rPr>
  </w:style>
  <w:style w:type="paragraph" w:customStyle="1" w:styleId="StyleTablebullet9pt">
    <w:name w:val="Style Table bullet + 9 pt"/>
    <w:basedOn w:val="Tablebullet"/>
    <w:rsid w:val="004470AB"/>
    <w:pPr>
      <w:ind w:left="227" w:hanging="227"/>
    </w:pPr>
    <w:rPr>
      <w:bCs w:val="0"/>
      <w:sz w:val="18"/>
    </w:rPr>
  </w:style>
  <w:style w:type="paragraph" w:customStyle="1" w:styleId="TableH1Centered1beforeandafter">
    <w:name w:val="Table H1 + Centered 1 before and after"/>
    <w:basedOn w:val="Normal"/>
    <w:rsid w:val="00086014"/>
    <w:pPr>
      <w:keepNext/>
      <w:widowControl/>
      <w:spacing w:before="20" w:after="20"/>
      <w:jc w:val="center"/>
    </w:pPr>
    <w:rPr>
      <w:rFonts w:ascii="Calibri" w:hAnsi="Calibri" w:cs="Times New Roman"/>
      <w:bCs/>
      <w:snapToGrid/>
      <w:sz w:val="18"/>
      <w:lang w:val="en-US"/>
    </w:rPr>
  </w:style>
  <w:style w:type="paragraph" w:customStyle="1" w:styleId="StyleTabletextCentered">
    <w:name w:val="Style Table text + Centered"/>
    <w:basedOn w:val="Tabletext"/>
    <w:rsid w:val="00A16145"/>
    <w:pPr>
      <w:keepNext/>
      <w:spacing w:after="20"/>
      <w:ind w:left="113" w:right="113"/>
      <w:jc w:val="center"/>
    </w:pPr>
    <w:rPr>
      <w:rFonts w:ascii="Calibri" w:hAnsi="Calibri"/>
      <w:sz w:val="18"/>
    </w:rPr>
  </w:style>
  <w:style w:type="paragraph" w:customStyle="1" w:styleId="Tabledash">
    <w:name w:val="Table dash"/>
    <w:basedOn w:val="BodyText"/>
    <w:uiPriority w:val="4"/>
    <w:qFormat/>
    <w:rsid w:val="0057221C"/>
    <w:pPr>
      <w:keepNext/>
      <w:widowControl/>
      <w:numPr>
        <w:numId w:val="6"/>
      </w:numPr>
      <w:tabs>
        <w:tab w:val="left" w:pos="170"/>
      </w:tabs>
      <w:spacing w:before="20" w:after="20"/>
      <w:ind w:left="714" w:right="113" w:hanging="288"/>
    </w:pPr>
    <w:rPr>
      <w:rFonts w:ascii="Calibri" w:hAnsi="Calibri" w:cs="Calibri"/>
      <w:bCs/>
      <w:snapToGrid/>
      <w:color w:val="000000"/>
      <w:sz w:val="16"/>
      <w:szCs w:val="26"/>
    </w:rPr>
  </w:style>
  <w:style w:type="paragraph" w:customStyle="1" w:styleId="TabletextBold">
    <w:name w:val="Table text +Bold"/>
    <w:basedOn w:val="Tabletext"/>
    <w:link w:val="TabletextBoldChar"/>
    <w:qFormat/>
    <w:rsid w:val="00E41DFC"/>
    <w:pPr>
      <w:keepNext/>
      <w:spacing w:after="20"/>
      <w:ind w:left="113" w:right="113"/>
    </w:pPr>
    <w:rPr>
      <w:rFonts w:ascii="Calibri" w:eastAsia="Calibri" w:hAnsi="Calibri" w:cs="Calibri"/>
      <w:b/>
      <w:sz w:val="18"/>
      <w:szCs w:val="16"/>
    </w:rPr>
  </w:style>
  <w:style w:type="character" w:customStyle="1" w:styleId="TabletextBoldChar">
    <w:name w:val="Table text +Bold Char"/>
    <w:basedOn w:val="TabletextChar"/>
    <w:link w:val="TabletextBold"/>
    <w:rsid w:val="00E41DFC"/>
    <w:rPr>
      <w:rFonts w:ascii="Calibri" w:eastAsia="Calibri" w:hAnsi="Calibri" w:cs="Calibri"/>
      <w:b/>
      <w:sz w:val="18"/>
      <w:szCs w:val="16"/>
      <w:lang w:eastAsia="en-US"/>
    </w:rPr>
  </w:style>
  <w:style w:type="paragraph" w:customStyle="1" w:styleId="TabletextCentered">
    <w:name w:val="Table text + Centered"/>
    <w:basedOn w:val="Tabletext"/>
    <w:rsid w:val="00D1713F"/>
    <w:pPr>
      <w:keepNext/>
      <w:spacing w:after="20"/>
      <w:ind w:left="113" w:right="113"/>
      <w:jc w:val="center"/>
    </w:pPr>
    <w:rPr>
      <w:rFonts w:asciiTheme="minorHAnsi" w:hAnsiTheme="minorHAnsi"/>
      <w:sz w:val="18"/>
    </w:rPr>
  </w:style>
  <w:style w:type="character" w:customStyle="1" w:styleId="ListParagraphChar">
    <w:name w:val="List Paragraph Char"/>
    <w:aliases w:val="BulletPoints Char"/>
    <w:basedOn w:val="DefaultParagraphFont"/>
    <w:link w:val="ListParagraph"/>
    <w:uiPriority w:val="34"/>
    <w:locked/>
    <w:rsid w:val="00D1713F"/>
    <w:rPr>
      <w:rFonts w:ascii="Arial" w:hAnsi="Arial" w:cs="Arial"/>
      <w:snapToGrid w:val="0"/>
      <w:sz w:val="22"/>
      <w:lang w:eastAsia="en-US"/>
    </w:rPr>
  </w:style>
  <w:style w:type="paragraph" w:customStyle="1" w:styleId="Footnote">
    <w:name w:val="Footnote"/>
    <w:basedOn w:val="FootnoteText"/>
    <w:uiPriority w:val="99"/>
    <w:rsid w:val="00D1713F"/>
    <w:pPr>
      <w:widowControl/>
      <w:spacing w:line="276" w:lineRule="auto"/>
      <w:ind w:left="284" w:hanging="284"/>
      <w:jc w:val="left"/>
    </w:pPr>
    <w:rPr>
      <w:rFonts w:ascii="Calibri" w:eastAsia="Calibri" w:hAnsi="Calibri" w:cs="Calibri"/>
      <w:snapToGrid/>
      <w:sz w:val="18"/>
    </w:rPr>
  </w:style>
  <w:style w:type="paragraph" w:styleId="FootnoteText">
    <w:name w:val="footnote text"/>
    <w:basedOn w:val="Normal"/>
    <w:link w:val="FootnoteTextChar"/>
    <w:semiHidden/>
    <w:unhideWhenUsed/>
    <w:rsid w:val="00D1713F"/>
    <w:rPr>
      <w:sz w:val="20"/>
    </w:rPr>
  </w:style>
  <w:style w:type="character" w:customStyle="1" w:styleId="FootnoteTextChar">
    <w:name w:val="Footnote Text Char"/>
    <w:basedOn w:val="DefaultParagraphFont"/>
    <w:link w:val="FootnoteText"/>
    <w:semiHidden/>
    <w:rsid w:val="00D1713F"/>
    <w:rPr>
      <w:rFonts w:ascii="Arial" w:hAnsi="Arial" w:cs="Arial"/>
      <w:snapToGrid w:val="0"/>
      <w:lang w:eastAsia="en-US"/>
    </w:rPr>
  </w:style>
  <w:style w:type="paragraph" w:customStyle="1" w:styleId="TableFigNotes6">
    <w:name w:val="TableFigNotes+6"/>
    <w:basedOn w:val="Normal"/>
    <w:uiPriority w:val="4"/>
    <w:rsid w:val="00D1713F"/>
    <w:pPr>
      <w:keepNext/>
      <w:widowControl/>
      <w:spacing w:after="120"/>
      <w:jc w:val="left"/>
    </w:pPr>
    <w:rPr>
      <w:rFonts w:ascii="Calibri" w:eastAsia="Calibri" w:hAnsi="Calibri" w:cs="Calibri"/>
      <w:snapToGrid/>
      <w:sz w:val="16"/>
    </w:rPr>
  </w:style>
  <w:style w:type="character" w:customStyle="1" w:styleId="TableTextChar0">
    <w:name w:val="Table Text Char"/>
    <w:basedOn w:val="DefaultParagraphFont"/>
    <w:link w:val="TableText1"/>
    <w:locked/>
    <w:rsid w:val="00D1713F"/>
    <w:rPr>
      <w:rFonts w:ascii="Arial" w:eastAsia="Arial" w:hAnsi="Arial" w:cs="Arial"/>
      <w:szCs w:val="22"/>
    </w:rPr>
  </w:style>
  <w:style w:type="paragraph" w:customStyle="1" w:styleId="TableText1">
    <w:name w:val="Table Text"/>
    <w:basedOn w:val="Normal"/>
    <w:link w:val="TableTextChar0"/>
    <w:qFormat/>
    <w:rsid w:val="00D1713F"/>
    <w:pPr>
      <w:widowControl/>
      <w:jc w:val="left"/>
    </w:pPr>
    <w:rPr>
      <w:rFonts w:eastAsia="Arial"/>
      <w:snapToGrid/>
      <w:sz w:val="20"/>
      <w:szCs w:val="22"/>
      <w:lang w:eastAsia="en-AU"/>
    </w:rPr>
  </w:style>
  <w:style w:type="paragraph" w:customStyle="1" w:styleId="RJWNormal">
    <w:name w:val="RJW Normal"/>
    <w:basedOn w:val="Normal"/>
    <w:uiPriority w:val="99"/>
    <w:qFormat/>
    <w:rsid w:val="00D1713F"/>
    <w:pPr>
      <w:widowControl/>
      <w:spacing w:after="120" w:line="276" w:lineRule="auto"/>
      <w:jc w:val="left"/>
    </w:pPr>
    <w:rPr>
      <w:rFonts w:asciiTheme="minorHAnsi" w:eastAsiaTheme="minorEastAsia" w:hAnsiTheme="minorHAnsi" w:cstheme="minorBidi"/>
      <w:snapToGrid/>
      <w:szCs w:val="22"/>
      <w:lang w:val="en-GB"/>
    </w:rPr>
  </w:style>
  <w:style w:type="table" w:customStyle="1" w:styleId="TableStyle3">
    <w:name w:val="Table Style3"/>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table" w:customStyle="1" w:styleId="TableStyle4">
    <w:name w:val="Table Style4"/>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paragraph" w:customStyle="1" w:styleId="StyleTableH1Centered1beforeandafterBodyCalibriBol">
    <w:name w:val="Style Table H1 + Centered 1 before and after + +Body (Calibri) Bol..."/>
    <w:basedOn w:val="TableH1Centered1beforeandafter"/>
    <w:rsid w:val="00D1713F"/>
    <w:pPr>
      <w:jc w:val="left"/>
    </w:pPr>
    <w:rPr>
      <w:rFonts w:asciiTheme="minorHAnsi" w:hAnsiTheme="minorHAnsi"/>
      <w:b/>
    </w:rPr>
  </w:style>
  <w:style w:type="paragraph" w:customStyle="1" w:styleId="TabletextBoldcentered">
    <w:name w:val="Table text +Bold centered"/>
    <w:basedOn w:val="TabletextBold"/>
    <w:rsid w:val="00D1713F"/>
    <w:pPr>
      <w:jc w:val="center"/>
    </w:pPr>
    <w:rPr>
      <w:rFonts w:asciiTheme="minorHAnsi" w:hAnsiTheme="minorHAnsi"/>
      <w:bCs/>
    </w:rPr>
  </w:style>
  <w:style w:type="table" w:customStyle="1" w:styleId="TableStyle10">
    <w:name w:val="Table Style10"/>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paragraph" w:customStyle="1" w:styleId="StyleTableH1CenteredBefore6pt">
    <w:name w:val="Style Table H1 + Centered Before:  6 pt"/>
    <w:basedOn w:val="TableH1"/>
    <w:rsid w:val="00D1713F"/>
    <w:pPr>
      <w:spacing w:before="20"/>
      <w:ind w:left="0" w:right="0"/>
      <w:jc w:val="center"/>
    </w:pPr>
    <w:rPr>
      <w:rFonts w:eastAsia="Times New Roman" w:cs="Times New Roman"/>
      <w:bCs/>
      <w:szCs w:val="20"/>
    </w:rPr>
  </w:style>
  <w:style w:type="paragraph" w:customStyle="1" w:styleId="Bodytextitalicindent">
    <w:name w:val="Body text +italic indent"/>
    <w:basedOn w:val="BodyText"/>
    <w:link w:val="BodytextitalicindentChar"/>
    <w:qFormat/>
    <w:rsid w:val="00D1713F"/>
    <w:pPr>
      <w:widowControl/>
      <w:spacing w:after="120" w:line="276" w:lineRule="auto"/>
      <w:ind w:left="1134" w:right="1190"/>
    </w:pPr>
    <w:rPr>
      <w:rFonts w:ascii="Calibri" w:hAnsi="Calibri" w:cstheme="minorHAnsi"/>
      <w:i/>
      <w:snapToGrid/>
    </w:rPr>
  </w:style>
  <w:style w:type="table" w:customStyle="1" w:styleId="TableStyle7">
    <w:name w:val="Table Style7"/>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character" w:customStyle="1" w:styleId="BodytextitalicindentChar">
    <w:name w:val="Body text +italic indent Char"/>
    <w:basedOn w:val="BodyTextChar"/>
    <w:link w:val="Bodytextitalicindent"/>
    <w:rsid w:val="00D1713F"/>
    <w:rPr>
      <w:rFonts w:ascii="Calibri" w:hAnsi="Calibri" w:cstheme="minorHAnsi"/>
      <w:i/>
      <w:snapToGrid/>
      <w:sz w:val="22"/>
      <w:lang w:eastAsia="en-US"/>
    </w:rPr>
  </w:style>
  <w:style w:type="table" w:customStyle="1" w:styleId="TableStyle8">
    <w:name w:val="Table Style8"/>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table" w:customStyle="1" w:styleId="TableStyle9">
    <w:name w:val="Table Style9"/>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table" w:customStyle="1" w:styleId="TableStyle6">
    <w:name w:val="Table Style6"/>
    <w:basedOn w:val="TableNormal"/>
    <w:rsid w:val="00D1713F"/>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rPr>
        <w:cantSplit/>
        <w:tblHeader/>
      </w:trPr>
      <w:tcPr>
        <w:shd w:val="clear" w:color="auto" w:fill="D9D9D9"/>
        <w:vAlign w:val="top"/>
      </w:tcPr>
    </w:tblStylePr>
  </w:style>
  <w:style w:type="character" w:styleId="FootnoteReference">
    <w:name w:val="footnote reference"/>
    <w:basedOn w:val="DefaultParagraphFont"/>
    <w:semiHidden/>
    <w:unhideWhenUsed/>
    <w:rsid w:val="00835DEF"/>
    <w:rPr>
      <w:vertAlign w:val="superscript"/>
    </w:rPr>
  </w:style>
  <w:style w:type="paragraph" w:customStyle="1" w:styleId="TabletextUnderline">
    <w:name w:val="Table text + Underline"/>
    <w:basedOn w:val="Tabletext"/>
    <w:rsid w:val="00606A2A"/>
    <w:pPr>
      <w:keepNext/>
      <w:spacing w:after="20"/>
      <w:ind w:left="113" w:right="113"/>
    </w:pPr>
    <w:rPr>
      <w:rFonts w:ascii="Calibri" w:eastAsia="Calibri" w:hAnsi="Calibri" w:cs="Calibri"/>
      <w:sz w:val="18"/>
      <w:szCs w:val="16"/>
      <w:u w:val="single"/>
    </w:rPr>
  </w:style>
  <w:style w:type="character" w:customStyle="1" w:styleId="Heading1Char">
    <w:name w:val="Heading 1 Char"/>
    <w:basedOn w:val="DefaultParagraphFont"/>
    <w:link w:val="Heading1"/>
    <w:rsid w:val="00071A0E"/>
    <w:rPr>
      <w:rFonts w:ascii="Arial Bold" w:hAnsi="Arial Bold" w:cs="Arial"/>
      <w:b/>
      <w:caps/>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14BB5"/>
    <w:pPr>
      <w:widowControl/>
      <w:spacing w:after="160" w:line="240" w:lineRule="exact"/>
      <w:jc w:val="left"/>
    </w:pPr>
    <w:rPr>
      <w:rFonts w:ascii="Verdana" w:eastAsia="MS Mincho" w:hAnsi="Verdana" w:cs="Verdana"/>
      <w:snapToGrid/>
      <w:sz w:val="20"/>
      <w:lang w:val="en-US"/>
    </w:rPr>
  </w:style>
  <w:style w:type="character" w:customStyle="1" w:styleId="st1">
    <w:name w:val="st1"/>
    <w:basedOn w:val="DefaultParagraphFont"/>
    <w:rsid w:val="00205443"/>
  </w:style>
  <w:style w:type="character" w:styleId="FollowedHyperlink">
    <w:name w:val="FollowedHyperlink"/>
    <w:basedOn w:val="DefaultParagraphFont"/>
    <w:semiHidden/>
    <w:unhideWhenUsed/>
    <w:rsid w:val="005174F0"/>
    <w:rPr>
      <w:color w:val="800080" w:themeColor="followedHyperlink"/>
      <w:u w:val="single"/>
    </w:rPr>
  </w:style>
  <w:style w:type="paragraph" w:customStyle="1" w:styleId="PBACHeading10">
    <w:name w:val="PBAC Heading 1"/>
    <w:qFormat/>
    <w:rsid w:val="00C91E69"/>
    <w:pPr>
      <w:ind w:left="720" w:hanging="720"/>
      <w:outlineLvl w:val="0"/>
    </w:pPr>
    <w:rPr>
      <w:rFonts w:ascii="Arial" w:hAnsi="Arial" w:cs="Arial"/>
      <w:b/>
      <w:snapToGrid w:val="0"/>
      <w:sz w:val="22"/>
      <w:szCs w:val="22"/>
      <w:lang w:eastAsia="en-US"/>
    </w:rPr>
  </w:style>
  <w:style w:type="paragraph" w:customStyle="1" w:styleId="Default">
    <w:name w:val="Default"/>
    <w:rsid w:val="00F74AD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771878">
      <w:bodyDiv w:val="1"/>
      <w:marLeft w:val="0"/>
      <w:marRight w:val="0"/>
      <w:marTop w:val="0"/>
      <w:marBottom w:val="0"/>
      <w:divBdr>
        <w:top w:val="none" w:sz="0" w:space="0" w:color="auto"/>
        <w:left w:val="none" w:sz="0" w:space="0" w:color="auto"/>
        <w:bottom w:val="none" w:sz="0" w:space="0" w:color="auto"/>
        <w:right w:val="none" w:sz="0" w:space="0" w:color="auto"/>
      </w:divBdr>
    </w:div>
    <w:div w:id="1730565911">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559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E686-319B-4FFC-AC93-070A2401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9315</Words>
  <Characters>51362</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2017-02-06T03:00:00Z</dcterms:created>
  <dcterms:modified xsi:type="dcterms:W3CDTF">2017-02-17T04:12:00Z</dcterms:modified>
</cp:coreProperties>
</file>