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C7483" w:rsidRDefault="004C11FD" w:rsidP="002C7483">
      <w:pPr>
        <w:pStyle w:val="Heading1"/>
        <w:widowControl/>
        <w:jc w:val="left"/>
        <w:rPr>
          <w:caps w:val="0"/>
          <w:sz w:val="28"/>
          <w:szCs w:val="20"/>
        </w:rPr>
      </w:pPr>
      <w:bookmarkStart w:id="0" w:name="_Toc461547419"/>
      <w:bookmarkStart w:id="1" w:name="_GoBack"/>
      <w:bookmarkEnd w:id="1"/>
      <w:r>
        <w:rPr>
          <w:sz w:val="28"/>
        </w:rPr>
        <w:t>7.09</w:t>
      </w:r>
      <w:r w:rsidR="00B60939" w:rsidRPr="00577717">
        <w:rPr>
          <w:sz w:val="28"/>
        </w:rPr>
        <w:tab/>
      </w:r>
      <w:r>
        <w:rPr>
          <w:sz w:val="28"/>
        </w:rPr>
        <w:t>PIRFENIDONE</w:t>
      </w:r>
      <w:r w:rsidR="00917D95">
        <w:rPr>
          <w:sz w:val="28"/>
        </w:rPr>
        <w:t>,</w:t>
      </w:r>
      <w:r w:rsidR="008D58CC">
        <w:rPr>
          <w:sz w:val="28"/>
        </w:rPr>
        <w:br/>
      </w:r>
      <w:r w:rsidRPr="002C7483">
        <w:rPr>
          <w:caps w:val="0"/>
          <w:sz w:val="28"/>
          <w:szCs w:val="20"/>
        </w:rPr>
        <w:t>267</w:t>
      </w:r>
      <w:r w:rsidR="002C7483">
        <w:rPr>
          <w:caps w:val="0"/>
          <w:sz w:val="28"/>
          <w:szCs w:val="20"/>
        </w:rPr>
        <w:t xml:space="preserve"> mg Capsule</w:t>
      </w:r>
      <w:r w:rsidR="00917D95">
        <w:rPr>
          <w:caps w:val="0"/>
          <w:sz w:val="28"/>
          <w:szCs w:val="20"/>
        </w:rPr>
        <w:t>, 270,</w:t>
      </w:r>
      <w:r w:rsidR="008D58CC" w:rsidRPr="002C7483">
        <w:rPr>
          <w:caps w:val="0"/>
          <w:sz w:val="28"/>
          <w:szCs w:val="20"/>
        </w:rPr>
        <w:br/>
      </w:r>
      <w:r w:rsidRPr="002C7483">
        <w:rPr>
          <w:caps w:val="0"/>
          <w:sz w:val="28"/>
          <w:szCs w:val="20"/>
        </w:rPr>
        <w:t>E</w:t>
      </w:r>
      <w:r w:rsidR="002C7483">
        <w:rPr>
          <w:caps w:val="0"/>
          <w:sz w:val="28"/>
          <w:szCs w:val="20"/>
        </w:rPr>
        <w:t>sbriet</w:t>
      </w:r>
      <w:r w:rsidRPr="002C7483">
        <w:rPr>
          <w:caps w:val="0"/>
          <w:sz w:val="28"/>
          <w:szCs w:val="20"/>
          <w:vertAlign w:val="superscript"/>
        </w:rPr>
        <w:t>®</w:t>
      </w:r>
      <w:r w:rsidR="00917D95">
        <w:rPr>
          <w:caps w:val="0"/>
          <w:sz w:val="28"/>
          <w:szCs w:val="20"/>
        </w:rPr>
        <w:t>,</w:t>
      </w:r>
      <w:r w:rsidR="002C7483">
        <w:rPr>
          <w:caps w:val="0"/>
          <w:sz w:val="28"/>
          <w:szCs w:val="20"/>
        </w:rPr>
        <w:br/>
      </w:r>
      <w:r w:rsidRPr="002C7483">
        <w:rPr>
          <w:caps w:val="0"/>
          <w:sz w:val="28"/>
          <w:szCs w:val="20"/>
        </w:rPr>
        <w:t>R</w:t>
      </w:r>
      <w:r w:rsidR="002C7483">
        <w:rPr>
          <w:caps w:val="0"/>
          <w:sz w:val="28"/>
          <w:szCs w:val="20"/>
        </w:rPr>
        <w:t>oche</w:t>
      </w:r>
      <w:r w:rsidRPr="002C7483">
        <w:rPr>
          <w:caps w:val="0"/>
          <w:sz w:val="28"/>
          <w:szCs w:val="20"/>
        </w:rPr>
        <w:t xml:space="preserve"> P</w:t>
      </w:r>
      <w:r w:rsidR="002C7483">
        <w:rPr>
          <w:caps w:val="0"/>
          <w:sz w:val="28"/>
          <w:szCs w:val="20"/>
        </w:rPr>
        <w:t>roducts</w:t>
      </w:r>
      <w:r w:rsidRPr="002C7483">
        <w:rPr>
          <w:caps w:val="0"/>
          <w:sz w:val="28"/>
          <w:szCs w:val="20"/>
        </w:rPr>
        <w:t xml:space="preserve"> P</w:t>
      </w:r>
      <w:r w:rsidR="002C7483">
        <w:rPr>
          <w:caps w:val="0"/>
          <w:sz w:val="28"/>
          <w:szCs w:val="20"/>
        </w:rPr>
        <w:t>ty</w:t>
      </w:r>
      <w:r w:rsidRPr="002C7483">
        <w:rPr>
          <w:caps w:val="0"/>
          <w:sz w:val="28"/>
          <w:szCs w:val="20"/>
        </w:rPr>
        <w:t xml:space="preserve"> L</w:t>
      </w:r>
      <w:bookmarkEnd w:id="0"/>
      <w:r w:rsidR="002C7483">
        <w:rPr>
          <w:caps w:val="0"/>
          <w:sz w:val="28"/>
          <w:szCs w:val="20"/>
        </w:rPr>
        <w:t>td.</w:t>
      </w:r>
    </w:p>
    <w:p w:rsidR="00F338FF" w:rsidRDefault="00F338FF" w:rsidP="002F6883">
      <w:pPr>
        <w:widowControl/>
      </w:pPr>
    </w:p>
    <w:p w:rsidR="008D58CC" w:rsidRPr="006D6EC7" w:rsidRDefault="008D58CC" w:rsidP="002F6883">
      <w:pPr>
        <w:widowControl/>
      </w:pPr>
    </w:p>
    <w:p w:rsidR="00F338FF" w:rsidRPr="00407F2D" w:rsidRDefault="00F338FF" w:rsidP="002F6883">
      <w:pPr>
        <w:pStyle w:val="PBACheading1"/>
        <w:rPr>
          <w:b/>
        </w:rPr>
      </w:pPr>
      <w:bookmarkStart w:id="2" w:name="_Toc461547421"/>
      <w:r w:rsidRPr="00407F2D">
        <w:rPr>
          <w:b/>
        </w:rPr>
        <w:t>Purpose of Application</w:t>
      </w:r>
      <w:bookmarkEnd w:id="2"/>
    </w:p>
    <w:p w:rsidR="00B60939" w:rsidRPr="00882085" w:rsidRDefault="00B60939" w:rsidP="002F6883">
      <w:pPr>
        <w:widowControl/>
        <w:rPr>
          <w:szCs w:val="22"/>
        </w:rPr>
      </w:pPr>
    </w:p>
    <w:p w:rsidR="00D96DB0" w:rsidRDefault="00C459AD" w:rsidP="002F6883">
      <w:pPr>
        <w:pStyle w:val="ListParagraph"/>
        <w:widowControl/>
        <w:numPr>
          <w:ilvl w:val="1"/>
          <w:numId w:val="2"/>
        </w:numPr>
      </w:pPr>
      <w:r>
        <w:t>Resubmission t</w:t>
      </w:r>
      <w:r w:rsidR="000873AF">
        <w:t>o request S</w:t>
      </w:r>
      <w:r w:rsidR="00D96DB0">
        <w:t xml:space="preserve">ection 100 </w:t>
      </w:r>
      <w:r w:rsidR="000873AF">
        <w:t xml:space="preserve">(Highly Specialised Drugs </w:t>
      </w:r>
      <w:r w:rsidR="005D05AF">
        <w:t xml:space="preserve">(HSD) </w:t>
      </w:r>
      <w:r w:rsidR="000873AF">
        <w:t xml:space="preserve">Program) Authority Required listing </w:t>
      </w:r>
      <w:r w:rsidR="00D96DB0">
        <w:t>for treatment</w:t>
      </w:r>
      <w:r w:rsidR="000C14E9">
        <w:t xml:space="preserve"> of idiopathic pulmonary fibrosis (IPF)</w:t>
      </w:r>
      <w:r w:rsidR="007C13C1">
        <w:t>.</w:t>
      </w:r>
    </w:p>
    <w:p w:rsidR="001B6188" w:rsidRDefault="001B6188" w:rsidP="002F6883">
      <w:pPr>
        <w:widowControl/>
      </w:pPr>
    </w:p>
    <w:p w:rsidR="00040999" w:rsidRDefault="00040999" w:rsidP="002F6883">
      <w:pPr>
        <w:widowControl/>
      </w:pPr>
    </w:p>
    <w:p w:rsidR="00F338FF" w:rsidRDefault="00F338FF" w:rsidP="002F6883">
      <w:pPr>
        <w:pStyle w:val="PBACheading1"/>
        <w:keepNext/>
        <w:rPr>
          <w:b/>
        </w:rPr>
      </w:pPr>
      <w:bookmarkStart w:id="3" w:name="_Toc461547422"/>
      <w:r w:rsidRPr="00407F2D">
        <w:rPr>
          <w:b/>
        </w:rPr>
        <w:t>Requested listing</w:t>
      </w:r>
      <w:bookmarkEnd w:id="3"/>
    </w:p>
    <w:p w:rsidR="00531F91" w:rsidRDefault="00531F91" w:rsidP="002F6883">
      <w:pPr>
        <w:widowControl/>
      </w:pPr>
    </w:p>
    <w:p w:rsidR="00606B8F" w:rsidRPr="00C355C9" w:rsidRDefault="00895245" w:rsidP="002F6883">
      <w:pPr>
        <w:pStyle w:val="ListParagraph"/>
        <w:widowControl/>
        <w:numPr>
          <w:ilvl w:val="1"/>
          <w:numId w:val="2"/>
        </w:numPr>
      </w:pPr>
      <w:r w:rsidRPr="00C355C9">
        <w:t xml:space="preserve">An abbreviated version of the requested restriction is below. </w:t>
      </w:r>
      <w:r w:rsidR="00531F91" w:rsidRPr="00C355C9">
        <w:t>Suggestions and additions proposed by the Secretariat are added in italics and suggested deletions are crossed out with strikethrough</w:t>
      </w:r>
      <w:r w:rsidR="00606B8F" w:rsidRPr="00C355C9">
        <w:t xml:space="preserve"> </w:t>
      </w:r>
      <w:r w:rsidR="008D58CC">
        <w:t>in</w:t>
      </w:r>
      <w:r w:rsidR="00606B8F" w:rsidRPr="00C355C9">
        <w:t xml:space="preserve"> the following abbreviated version</w:t>
      </w:r>
      <w:r w:rsidR="00531F91" w:rsidRPr="00C355C9">
        <w:t>.</w:t>
      </w:r>
    </w:p>
    <w:p w:rsidR="00531F91" w:rsidRDefault="00531F91" w:rsidP="002F6883">
      <w:pPr>
        <w:widowControl/>
      </w:pPr>
    </w:p>
    <w:tbl>
      <w:tblPr>
        <w:tblW w:w="8363" w:type="dxa"/>
        <w:tblInd w:w="817" w:type="dxa"/>
        <w:tblLayout w:type="fixed"/>
        <w:tblLook w:val="0000" w:firstRow="0" w:lastRow="0" w:firstColumn="0" w:lastColumn="0" w:noHBand="0" w:noVBand="0"/>
      </w:tblPr>
      <w:tblGrid>
        <w:gridCol w:w="1985"/>
        <w:gridCol w:w="141"/>
        <w:gridCol w:w="426"/>
        <w:gridCol w:w="567"/>
        <w:gridCol w:w="2409"/>
        <w:gridCol w:w="1559"/>
        <w:gridCol w:w="1276"/>
      </w:tblGrid>
      <w:tr w:rsidR="00606B8F" w:rsidRPr="00260CE3" w:rsidTr="00606B8F">
        <w:trPr>
          <w:cantSplit/>
          <w:trHeight w:val="471"/>
        </w:trPr>
        <w:tc>
          <w:tcPr>
            <w:tcW w:w="1985" w:type="dxa"/>
            <w:tcBorders>
              <w:bottom w:val="single" w:sz="4" w:space="0" w:color="auto"/>
            </w:tcBorders>
          </w:tcPr>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Name, Restriction,</w:t>
            </w:r>
          </w:p>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Manner of administration and form</w:t>
            </w:r>
          </w:p>
        </w:tc>
        <w:tc>
          <w:tcPr>
            <w:tcW w:w="567" w:type="dxa"/>
            <w:gridSpan w:val="2"/>
            <w:tcBorders>
              <w:bottom w:val="single" w:sz="4" w:space="0" w:color="auto"/>
            </w:tcBorders>
          </w:tcPr>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Max.</w:t>
            </w:r>
          </w:p>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Qty</w:t>
            </w:r>
          </w:p>
        </w:tc>
        <w:tc>
          <w:tcPr>
            <w:tcW w:w="567" w:type="dxa"/>
            <w:tcBorders>
              <w:bottom w:val="single" w:sz="4" w:space="0" w:color="auto"/>
            </w:tcBorders>
          </w:tcPr>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№.of</w:t>
            </w:r>
          </w:p>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Rpts</w:t>
            </w:r>
          </w:p>
        </w:tc>
        <w:tc>
          <w:tcPr>
            <w:tcW w:w="2409" w:type="dxa"/>
            <w:tcBorders>
              <w:bottom w:val="single" w:sz="4" w:space="0" w:color="auto"/>
            </w:tcBorders>
          </w:tcPr>
          <w:p w:rsidR="00606B8F" w:rsidRPr="00260CE3" w:rsidRDefault="00606B8F" w:rsidP="002F6883">
            <w:pPr>
              <w:keepNext/>
              <w:widowControl/>
              <w:ind w:left="-108"/>
              <w:rPr>
                <w:rFonts w:ascii="Arial Narrow" w:hAnsi="Arial Narrow"/>
                <w:sz w:val="20"/>
                <w:szCs w:val="20"/>
              </w:rPr>
            </w:pPr>
            <w:r w:rsidRPr="00260CE3">
              <w:rPr>
                <w:rFonts w:ascii="Arial Narrow" w:hAnsi="Arial Narrow"/>
                <w:sz w:val="20"/>
                <w:szCs w:val="20"/>
              </w:rPr>
              <w:t>Dispensed Price for Max. Qty</w:t>
            </w:r>
          </w:p>
        </w:tc>
        <w:tc>
          <w:tcPr>
            <w:tcW w:w="2835" w:type="dxa"/>
            <w:gridSpan w:val="2"/>
            <w:tcBorders>
              <w:bottom w:val="single" w:sz="4" w:space="0" w:color="auto"/>
            </w:tcBorders>
          </w:tcPr>
          <w:p w:rsidR="00606B8F" w:rsidRPr="00260CE3" w:rsidRDefault="00606B8F" w:rsidP="002F6883">
            <w:pPr>
              <w:keepNext/>
              <w:widowControl/>
              <w:rPr>
                <w:rFonts w:ascii="Arial Narrow" w:hAnsi="Arial Narrow"/>
                <w:sz w:val="20"/>
                <w:szCs w:val="20"/>
                <w:lang w:val="fr-FR"/>
              </w:rPr>
            </w:pPr>
            <w:r w:rsidRPr="00260CE3">
              <w:rPr>
                <w:rFonts w:ascii="Arial Narrow" w:hAnsi="Arial Narrow"/>
                <w:sz w:val="20"/>
                <w:szCs w:val="20"/>
              </w:rPr>
              <w:t>Proprietary Name and Manufacturer</w:t>
            </w:r>
          </w:p>
        </w:tc>
      </w:tr>
      <w:tr w:rsidR="00606B8F" w:rsidRPr="00260CE3" w:rsidTr="00606B8F">
        <w:trPr>
          <w:cantSplit/>
          <w:trHeight w:val="577"/>
        </w:trPr>
        <w:tc>
          <w:tcPr>
            <w:tcW w:w="1985" w:type="dxa"/>
          </w:tcPr>
          <w:p w:rsidR="00606B8F" w:rsidRPr="00260CE3" w:rsidRDefault="00606B8F" w:rsidP="002F6883">
            <w:pPr>
              <w:keepNext/>
              <w:widowControl/>
              <w:ind w:left="-108"/>
              <w:rPr>
                <w:rFonts w:ascii="Arial Narrow" w:hAnsi="Arial Narrow"/>
                <w:sz w:val="20"/>
                <w:szCs w:val="20"/>
              </w:rPr>
            </w:pPr>
            <w:r>
              <w:rPr>
                <w:rFonts w:ascii="Arial Narrow" w:hAnsi="Arial Narrow"/>
                <w:smallCaps/>
                <w:sz w:val="20"/>
                <w:szCs w:val="20"/>
              </w:rPr>
              <w:t>PIRFENIDONE</w:t>
            </w:r>
          </w:p>
          <w:p w:rsidR="00606B8F" w:rsidRPr="00260CE3" w:rsidRDefault="00606B8F" w:rsidP="002F6883">
            <w:pPr>
              <w:keepNext/>
              <w:widowControl/>
              <w:ind w:left="-108"/>
              <w:rPr>
                <w:rFonts w:ascii="Arial Narrow" w:hAnsi="Arial Narrow"/>
                <w:sz w:val="20"/>
                <w:szCs w:val="20"/>
              </w:rPr>
            </w:pPr>
            <w:r>
              <w:rPr>
                <w:rFonts w:ascii="Arial Narrow" w:hAnsi="Arial Narrow"/>
                <w:sz w:val="20"/>
                <w:szCs w:val="20"/>
              </w:rPr>
              <w:t>Capsules 267</w:t>
            </w:r>
            <w:r w:rsidR="007C13C1">
              <w:rPr>
                <w:rFonts w:ascii="Arial Narrow" w:hAnsi="Arial Narrow"/>
                <w:sz w:val="20"/>
                <w:szCs w:val="20"/>
              </w:rPr>
              <w:t> </w:t>
            </w:r>
            <w:r>
              <w:rPr>
                <w:rFonts w:ascii="Arial Narrow" w:hAnsi="Arial Narrow"/>
                <w:sz w:val="20"/>
                <w:szCs w:val="20"/>
              </w:rPr>
              <w:t>mg, 270</w:t>
            </w:r>
          </w:p>
        </w:tc>
        <w:tc>
          <w:tcPr>
            <w:tcW w:w="567" w:type="dxa"/>
            <w:gridSpan w:val="2"/>
          </w:tcPr>
          <w:p w:rsidR="00606B8F" w:rsidRPr="00260CE3" w:rsidRDefault="00606B8F" w:rsidP="002F6883">
            <w:pPr>
              <w:keepNext/>
              <w:widowControl/>
              <w:ind w:left="-108"/>
              <w:rPr>
                <w:rFonts w:ascii="Arial Narrow" w:hAnsi="Arial Narrow"/>
                <w:sz w:val="20"/>
                <w:szCs w:val="20"/>
              </w:rPr>
            </w:pPr>
          </w:p>
          <w:p w:rsidR="00606B8F" w:rsidRPr="00260CE3" w:rsidRDefault="00606B8F" w:rsidP="002F6883">
            <w:pPr>
              <w:keepNext/>
              <w:widowControl/>
              <w:ind w:left="-108"/>
              <w:rPr>
                <w:rFonts w:ascii="Arial Narrow" w:hAnsi="Arial Narrow"/>
                <w:sz w:val="20"/>
                <w:szCs w:val="20"/>
              </w:rPr>
            </w:pPr>
            <w:r>
              <w:rPr>
                <w:rFonts w:ascii="Arial Narrow" w:hAnsi="Arial Narrow"/>
                <w:sz w:val="20"/>
                <w:szCs w:val="20"/>
              </w:rPr>
              <w:t>1</w:t>
            </w:r>
          </w:p>
        </w:tc>
        <w:tc>
          <w:tcPr>
            <w:tcW w:w="567" w:type="dxa"/>
          </w:tcPr>
          <w:p w:rsidR="00606B8F" w:rsidRPr="00260CE3" w:rsidRDefault="00606B8F" w:rsidP="002F6883">
            <w:pPr>
              <w:keepNext/>
              <w:widowControl/>
              <w:ind w:left="-108"/>
              <w:rPr>
                <w:rFonts w:ascii="Arial Narrow" w:hAnsi="Arial Narrow"/>
                <w:sz w:val="20"/>
                <w:szCs w:val="20"/>
              </w:rPr>
            </w:pPr>
          </w:p>
          <w:p w:rsidR="00606B8F" w:rsidRPr="00260CE3" w:rsidRDefault="00606B8F" w:rsidP="002F6883">
            <w:pPr>
              <w:keepNext/>
              <w:widowControl/>
              <w:ind w:left="-108"/>
              <w:rPr>
                <w:rFonts w:ascii="Arial Narrow" w:hAnsi="Arial Narrow"/>
                <w:sz w:val="20"/>
                <w:szCs w:val="20"/>
              </w:rPr>
            </w:pPr>
            <w:r>
              <w:rPr>
                <w:rFonts w:ascii="Arial Narrow" w:hAnsi="Arial Narrow"/>
                <w:sz w:val="20"/>
                <w:szCs w:val="20"/>
              </w:rPr>
              <w:t>5</w:t>
            </w:r>
          </w:p>
        </w:tc>
        <w:tc>
          <w:tcPr>
            <w:tcW w:w="2409" w:type="dxa"/>
          </w:tcPr>
          <w:p w:rsidR="00606B8F" w:rsidRPr="00DF50AA" w:rsidRDefault="00606B8F" w:rsidP="002F6883">
            <w:pPr>
              <w:widowControl/>
              <w:rPr>
                <w:rFonts w:ascii="Arial Narrow" w:hAnsi="Arial Narrow"/>
                <w:sz w:val="20"/>
              </w:rPr>
            </w:pPr>
            <w:r>
              <w:rPr>
                <w:rFonts w:ascii="Arial Narrow" w:hAnsi="Arial Narrow"/>
                <w:sz w:val="20"/>
              </w:rPr>
              <w:t xml:space="preserve">Public hospital: </w:t>
            </w:r>
            <w:r w:rsidRPr="00DF50AA">
              <w:rPr>
                <w:rFonts w:ascii="Arial Narrow" w:hAnsi="Arial Narrow"/>
                <w:sz w:val="20"/>
              </w:rPr>
              <w:t>$</w:t>
            </w:r>
            <w:r w:rsidR="00F60B7B">
              <w:rPr>
                <w:rFonts w:ascii="Arial Narrow" w:hAnsi="Arial Narrow"/>
                <w:noProof/>
                <w:color w:val="000000"/>
                <w:sz w:val="20"/>
                <w:highlight w:val="black"/>
              </w:rPr>
              <w:t>'''''''''''''''''''''''</w:t>
            </w:r>
          </w:p>
          <w:p w:rsidR="00606B8F" w:rsidRDefault="00606B8F" w:rsidP="002F6883">
            <w:pPr>
              <w:keepNext/>
              <w:widowControl/>
              <w:rPr>
                <w:rFonts w:ascii="Arial Narrow" w:hAnsi="Arial Narrow"/>
                <w:sz w:val="20"/>
              </w:rPr>
            </w:pPr>
            <w:r w:rsidRPr="00DF50AA">
              <w:rPr>
                <w:rFonts w:ascii="Arial Narrow" w:hAnsi="Arial Narrow"/>
                <w:sz w:val="20"/>
              </w:rPr>
              <w:t>(effective price: $</w:t>
            </w:r>
            <w:r w:rsidR="00F60B7B">
              <w:rPr>
                <w:rFonts w:ascii="Arial Narrow" w:hAnsi="Arial Narrow"/>
                <w:noProof/>
                <w:color w:val="000000"/>
                <w:sz w:val="20"/>
                <w:highlight w:val="black"/>
              </w:rPr>
              <w:t>'''''''''''''''''''''</w:t>
            </w:r>
            <w:r w:rsidRPr="00DF50AA">
              <w:rPr>
                <w:rFonts w:ascii="Arial Narrow" w:hAnsi="Arial Narrow"/>
                <w:sz w:val="20"/>
              </w:rPr>
              <w:t>)</w:t>
            </w:r>
          </w:p>
          <w:p w:rsidR="00606B8F" w:rsidRPr="00DF50AA" w:rsidRDefault="00606B8F" w:rsidP="002F6883">
            <w:pPr>
              <w:widowControl/>
              <w:rPr>
                <w:rFonts w:ascii="Arial Narrow" w:hAnsi="Arial Narrow"/>
                <w:sz w:val="20"/>
              </w:rPr>
            </w:pPr>
            <w:r>
              <w:rPr>
                <w:rFonts w:ascii="Arial Narrow" w:hAnsi="Arial Narrow"/>
                <w:sz w:val="20"/>
              </w:rPr>
              <w:t xml:space="preserve">Private hospital: </w:t>
            </w:r>
            <w:r w:rsidRPr="00DF50AA">
              <w:rPr>
                <w:rFonts w:ascii="Arial Narrow" w:hAnsi="Arial Narrow"/>
                <w:sz w:val="20"/>
              </w:rPr>
              <w:t>$</w:t>
            </w:r>
            <w:r w:rsidR="00F60B7B">
              <w:rPr>
                <w:rFonts w:ascii="Arial Narrow" w:hAnsi="Arial Narrow"/>
                <w:noProof/>
                <w:color w:val="000000"/>
                <w:sz w:val="20"/>
                <w:highlight w:val="black"/>
              </w:rPr>
              <w:t>''''''''''''''''''''</w:t>
            </w:r>
          </w:p>
          <w:p w:rsidR="00606B8F" w:rsidRPr="005C689D" w:rsidRDefault="00606B8F" w:rsidP="002F6883">
            <w:pPr>
              <w:keepNext/>
              <w:widowControl/>
              <w:ind w:right="-108"/>
              <w:rPr>
                <w:rFonts w:ascii="Arial Narrow" w:hAnsi="Arial Narrow"/>
                <w:sz w:val="20"/>
              </w:rPr>
            </w:pPr>
            <w:r w:rsidRPr="00DF50AA">
              <w:rPr>
                <w:rFonts w:ascii="Arial Narrow" w:hAnsi="Arial Narrow"/>
                <w:sz w:val="20"/>
              </w:rPr>
              <w:t>(effective price:</w:t>
            </w:r>
            <w:r>
              <w:rPr>
                <w:rFonts w:ascii="Arial Narrow" w:hAnsi="Arial Narrow"/>
                <w:sz w:val="20"/>
              </w:rPr>
              <w:t xml:space="preserve"> </w:t>
            </w:r>
            <w:r w:rsidRPr="00DF50AA">
              <w:rPr>
                <w:rFonts w:ascii="Arial Narrow" w:hAnsi="Arial Narrow"/>
                <w:sz w:val="20"/>
              </w:rPr>
              <w:t>$</w:t>
            </w:r>
            <w:r w:rsidR="00F60B7B">
              <w:rPr>
                <w:rFonts w:ascii="Arial Narrow" w:hAnsi="Arial Narrow"/>
                <w:noProof/>
                <w:color w:val="000000"/>
                <w:sz w:val="20"/>
                <w:highlight w:val="black"/>
              </w:rPr>
              <w:t>'''''''''''''''''''''</w:t>
            </w:r>
            <w:r>
              <w:rPr>
                <w:rFonts w:ascii="Arial Narrow" w:hAnsi="Arial Narrow"/>
                <w:sz w:val="20"/>
              </w:rPr>
              <w:t>)</w:t>
            </w:r>
          </w:p>
        </w:tc>
        <w:tc>
          <w:tcPr>
            <w:tcW w:w="1559" w:type="dxa"/>
          </w:tcPr>
          <w:p w:rsidR="00606B8F" w:rsidRPr="005C689D" w:rsidRDefault="00606B8F" w:rsidP="002F6883">
            <w:pPr>
              <w:keepNext/>
              <w:widowControl/>
              <w:rPr>
                <w:rFonts w:ascii="Arial Narrow" w:hAnsi="Arial Narrow"/>
                <w:sz w:val="20"/>
              </w:rPr>
            </w:pPr>
            <w:r w:rsidRPr="005C689D">
              <w:rPr>
                <w:rFonts w:ascii="Arial Narrow" w:hAnsi="Arial Narrow"/>
                <w:sz w:val="20"/>
              </w:rPr>
              <w:t>Esbriet®</w:t>
            </w:r>
          </w:p>
        </w:tc>
        <w:tc>
          <w:tcPr>
            <w:tcW w:w="1276" w:type="dxa"/>
          </w:tcPr>
          <w:p w:rsidR="00606B8F" w:rsidRDefault="00606B8F" w:rsidP="002F6883">
            <w:pPr>
              <w:keepNext/>
              <w:widowControl/>
              <w:rPr>
                <w:rFonts w:ascii="Arial Narrow" w:hAnsi="Arial Narrow"/>
                <w:sz w:val="20"/>
                <w:szCs w:val="20"/>
              </w:rPr>
            </w:pPr>
            <w:r>
              <w:rPr>
                <w:rFonts w:ascii="Arial Narrow" w:hAnsi="Arial Narrow"/>
                <w:sz w:val="20"/>
                <w:szCs w:val="20"/>
              </w:rPr>
              <w:t>Roche</w:t>
            </w:r>
          </w:p>
          <w:p w:rsidR="00606B8F" w:rsidRDefault="00606B8F" w:rsidP="002F6883">
            <w:pPr>
              <w:keepNext/>
              <w:widowControl/>
              <w:rPr>
                <w:rFonts w:ascii="Arial Narrow" w:hAnsi="Arial Narrow"/>
                <w:sz w:val="20"/>
                <w:szCs w:val="20"/>
              </w:rPr>
            </w:pPr>
            <w:r>
              <w:rPr>
                <w:rFonts w:ascii="Arial Narrow" w:hAnsi="Arial Narrow"/>
                <w:sz w:val="20"/>
                <w:szCs w:val="20"/>
              </w:rPr>
              <w:t>Products Pty</w:t>
            </w:r>
          </w:p>
          <w:p w:rsidR="00606B8F" w:rsidRPr="00260CE3" w:rsidRDefault="00606B8F" w:rsidP="002F6883">
            <w:pPr>
              <w:keepNext/>
              <w:widowControl/>
              <w:rPr>
                <w:rFonts w:ascii="Arial Narrow" w:hAnsi="Arial Narrow"/>
                <w:sz w:val="20"/>
                <w:szCs w:val="20"/>
              </w:rPr>
            </w:pPr>
            <w:r>
              <w:rPr>
                <w:rFonts w:ascii="Arial Narrow" w:hAnsi="Arial Narrow"/>
                <w:sz w:val="20"/>
                <w:szCs w:val="20"/>
              </w:rPr>
              <w:t>Ltd</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b/>
                <w:sz w:val="20"/>
                <w:szCs w:val="20"/>
              </w:rPr>
            </w:pPr>
            <w:r w:rsidRPr="00260CE3">
              <w:rPr>
                <w:rFonts w:ascii="Arial Narrow" w:hAnsi="Arial Narrow"/>
                <w:b/>
                <w:sz w:val="20"/>
                <w:szCs w:val="20"/>
              </w:rPr>
              <w:t>Category / Program</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sidRPr="00260CE3">
              <w:rPr>
                <w:rFonts w:ascii="Arial Narrow" w:hAnsi="Arial Narrow"/>
                <w:sz w:val="20"/>
                <w:szCs w:val="20"/>
              </w:rPr>
              <w:t>Section 100 – Highly Specialised Drugs Program</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b/>
                <w:sz w:val="20"/>
                <w:szCs w:val="20"/>
              </w:rPr>
            </w:pPr>
            <w:r w:rsidRPr="00260CE3">
              <w:rPr>
                <w:rFonts w:ascii="Arial Narrow" w:hAnsi="Arial Narrow"/>
                <w:b/>
                <w:sz w:val="20"/>
                <w:szCs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Pr="00260CE3">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Pr>
                <w:rFonts w:ascii="Arial Narrow" w:hAnsi="Arial Narrow"/>
                <w:sz w:val="20"/>
                <w:szCs w:val="20"/>
              </w:rPr>
              <w:fldChar w:fldCharType="end"/>
            </w:r>
            <w:r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Pr="00260CE3">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Pr="00260CE3">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Optometrists</w:t>
            </w:r>
          </w:p>
          <w:p w:rsidR="00606B8F" w:rsidRPr="00260CE3" w:rsidRDefault="00606B8F" w:rsidP="002F6883">
            <w:pPr>
              <w:widowControl/>
              <w:rPr>
                <w:rFonts w:ascii="Arial Narrow" w:hAnsi="Arial Narrow"/>
                <w:sz w:val="20"/>
                <w:szCs w:val="20"/>
              </w:rPr>
            </w:pPr>
            <w:r w:rsidRPr="00260CE3">
              <w:rPr>
                <w:rFonts w:ascii="Arial Narrow" w:hAnsi="Arial Narrow"/>
                <w:sz w:val="20"/>
                <w:szCs w:val="20"/>
              </w:rPr>
              <w:fldChar w:fldCharType="begin">
                <w:ffData>
                  <w:name w:val="Check5"/>
                  <w:enabled/>
                  <w:calcOnExit w:val="0"/>
                  <w:checkBox>
                    <w:sizeAuto/>
                    <w:default w:val="0"/>
                  </w:checkBox>
                </w:ffData>
              </w:fldChar>
            </w:r>
            <w:r w:rsidRPr="00260CE3">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Midwives</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b/>
                <w:sz w:val="20"/>
                <w:szCs w:val="20"/>
              </w:rPr>
            </w:pPr>
            <w:r w:rsidRPr="00260CE3">
              <w:rPr>
                <w:rFonts w:ascii="Arial Narrow" w:hAnsi="Arial Narrow"/>
                <w:b/>
                <w:sz w:val="20"/>
                <w:szCs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Pr>
                <w:rFonts w:ascii="Arial Narrow" w:hAnsi="Arial Narrow"/>
                <w:sz w:val="20"/>
                <w:szCs w:val="20"/>
              </w:rPr>
              <w:t>Idiopathic pulmonary fibrosis</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Pr>
                <w:rFonts w:ascii="Arial Narrow" w:hAnsi="Arial Narrow"/>
                <w:sz w:val="20"/>
                <w:szCs w:val="20"/>
              </w:rPr>
              <w:t>Idiopathic pulmonary fibrosis</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jc w:val="left"/>
              <w:rPr>
                <w:rFonts w:ascii="Arial Narrow" w:hAnsi="Arial Narrow"/>
                <w:b/>
                <w:sz w:val="20"/>
                <w:szCs w:val="20"/>
              </w:rPr>
            </w:pPr>
            <w:r w:rsidRPr="00260CE3">
              <w:rPr>
                <w:rFonts w:ascii="Arial Narrow" w:hAnsi="Arial Narrow"/>
                <w:b/>
                <w:sz w:val="20"/>
                <w:szCs w:val="20"/>
              </w:rPr>
              <w:t>Restriction</w:t>
            </w:r>
            <w:r>
              <w:rPr>
                <w:rFonts w:ascii="Arial Narrow" w:hAnsi="Arial Narrow"/>
                <w:b/>
                <w:sz w:val="20"/>
                <w:szCs w:val="20"/>
              </w:rPr>
              <w:t xml:space="preserve"> Level / Method</w:t>
            </w:r>
            <w:r w:rsidRPr="00260CE3">
              <w:rPr>
                <w:rFonts w:ascii="Arial Narrow" w:hAnsi="Arial Narrow"/>
                <w:b/>
                <w:sz w:val="20"/>
                <w:szCs w:val="20"/>
              </w:rPr>
              <w:t>:</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106BCF" w:rsidRDefault="00606B8F" w:rsidP="002F6883">
            <w:pPr>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Pr>
                <w:rFonts w:ascii="Arial Narrow" w:hAnsi="Arial Narrow"/>
                <w:sz w:val="20"/>
                <w:szCs w:val="20"/>
              </w:rPr>
              <w:fldChar w:fldCharType="end"/>
            </w:r>
            <w:r w:rsidRPr="00106BCF">
              <w:rPr>
                <w:rFonts w:ascii="Arial Narrow" w:hAnsi="Arial Narrow"/>
                <w:sz w:val="20"/>
                <w:szCs w:val="20"/>
              </w:rPr>
              <w:t>Authority Required - In Writing</w:t>
            </w:r>
          </w:p>
          <w:p w:rsidR="00606B8F" w:rsidRDefault="00606B8F" w:rsidP="002F6883">
            <w:pPr>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D56F3">
              <w:rPr>
                <w:rFonts w:ascii="Arial Narrow" w:hAnsi="Arial Narrow"/>
                <w:sz w:val="20"/>
                <w:szCs w:val="20"/>
              </w:rPr>
            </w:r>
            <w:r w:rsidR="001D56F3">
              <w:rPr>
                <w:rFonts w:ascii="Arial Narrow" w:hAnsi="Arial Narrow"/>
                <w:sz w:val="20"/>
                <w:szCs w:val="20"/>
              </w:rPr>
              <w:fldChar w:fldCharType="separate"/>
            </w:r>
            <w:r>
              <w:rPr>
                <w:rFonts w:ascii="Arial Narrow" w:hAnsi="Arial Narrow"/>
                <w:sz w:val="20"/>
                <w:szCs w:val="20"/>
              </w:rPr>
              <w:fldChar w:fldCharType="end"/>
            </w:r>
            <w:r w:rsidRPr="00106BCF">
              <w:rPr>
                <w:rFonts w:ascii="Arial Narrow" w:hAnsi="Arial Narrow"/>
                <w:sz w:val="20"/>
                <w:szCs w:val="20"/>
              </w:rPr>
              <w:t xml:space="preserve">Authority Required </w:t>
            </w:r>
            <w:r w:rsidR="00C459AD">
              <w:rPr>
                <w:rFonts w:ascii="Arial Narrow" w:hAnsi="Arial Narrow"/>
                <w:sz w:val="20"/>
                <w:szCs w:val="20"/>
              </w:rPr>
              <w:t>–</w:t>
            </w:r>
            <w:r w:rsidRPr="00106BCF">
              <w:rPr>
                <w:rFonts w:ascii="Arial Narrow" w:hAnsi="Arial Narrow"/>
                <w:sz w:val="20"/>
                <w:szCs w:val="20"/>
              </w:rPr>
              <w:t xml:space="preserve"> Telephone</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Pr>
                <w:rFonts w:ascii="Arial Narrow" w:hAnsi="Arial Narrow"/>
                <w:sz w:val="20"/>
                <w:szCs w:val="20"/>
              </w:rPr>
              <w:t>Initial treatment</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260CE3" w:rsidRDefault="00606B8F" w:rsidP="007C13C1">
            <w:pPr>
              <w:widowControl/>
              <w:rPr>
                <w:rFonts w:ascii="Arial Narrow" w:hAnsi="Arial Narrow"/>
                <w:sz w:val="20"/>
                <w:szCs w:val="20"/>
              </w:rPr>
            </w:pPr>
            <w:r w:rsidRPr="00260CE3">
              <w:rPr>
                <w:rFonts w:ascii="Arial Narrow" w:hAnsi="Arial Narrow"/>
                <w:b/>
                <w:sz w:val="20"/>
                <w:szCs w:val="20"/>
              </w:rPr>
              <w:t>Treatment criteria:</w:t>
            </w:r>
          </w:p>
        </w:tc>
        <w:tc>
          <w:tcPr>
            <w:tcW w:w="6237" w:type="dxa"/>
            <w:gridSpan w:val="5"/>
            <w:tcBorders>
              <w:top w:val="single" w:sz="4" w:space="0" w:color="auto"/>
              <w:left w:val="single" w:sz="4" w:space="0" w:color="auto"/>
              <w:bottom w:val="single" w:sz="4" w:space="0" w:color="auto"/>
              <w:right w:val="single" w:sz="4" w:space="0" w:color="auto"/>
            </w:tcBorders>
          </w:tcPr>
          <w:p w:rsidR="00127A17" w:rsidRDefault="00606B8F" w:rsidP="002F6883">
            <w:pPr>
              <w:widowControl/>
              <w:rPr>
                <w:rFonts w:ascii="Arial Narrow" w:hAnsi="Arial Narrow"/>
                <w:i/>
                <w:sz w:val="20"/>
                <w:szCs w:val="20"/>
              </w:rPr>
            </w:pPr>
            <w:r w:rsidRPr="009B38CC">
              <w:rPr>
                <w:rFonts w:ascii="Arial Narrow" w:hAnsi="Arial Narrow"/>
                <w:strike/>
                <w:sz w:val="20"/>
                <w:szCs w:val="20"/>
              </w:rPr>
              <w:t xml:space="preserve">Patient </w:t>
            </w:r>
            <w:r>
              <w:rPr>
                <w:rFonts w:ascii="Arial Narrow" w:hAnsi="Arial Narrow"/>
                <w:sz w:val="20"/>
                <w:szCs w:val="20"/>
              </w:rPr>
              <w:t xml:space="preserve">Must be treated by a respiratory physician or specialist physician </w:t>
            </w:r>
            <w:r w:rsidRPr="00127A17">
              <w:rPr>
                <w:rFonts w:ascii="Arial Narrow" w:hAnsi="Arial Narrow"/>
                <w:strike/>
                <w:sz w:val="20"/>
                <w:szCs w:val="20"/>
              </w:rPr>
              <w:t>experienced</w:t>
            </w:r>
            <w:r>
              <w:rPr>
                <w:rFonts w:ascii="Arial Narrow" w:hAnsi="Arial Narrow"/>
                <w:sz w:val="20"/>
                <w:szCs w:val="20"/>
              </w:rPr>
              <w:t xml:space="preserve"> </w:t>
            </w:r>
            <w:r w:rsidR="00127A17" w:rsidRPr="00127A17">
              <w:rPr>
                <w:rFonts w:ascii="Arial Narrow" w:hAnsi="Arial Narrow"/>
                <w:i/>
                <w:sz w:val="20"/>
                <w:szCs w:val="20"/>
              </w:rPr>
              <w:t>with expertise</w:t>
            </w:r>
            <w:r w:rsidR="00127A17">
              <w:rPr>
                <w:rFonts w:ascii="Arial Narrow" w:hAnsi="Arial Narrow"/>
                <w:sz w:val="20"/>
                <w:szCs w:val="20"/>
              </w:rPr>
              <w:t xml:space="preserve"> </w:t>
            </w:r>
            <w:r>
              <w:rPr>
                <w:rFonts w:ascii="Arial Narrow" w:hAnsi="Arial Narrow"/>
                <w:sz w:val="20"/>
                <w:szCs w:val="20"/>
              </w:rPr>
              <w:t xml:space="preserve">in the management of </w:t>
            </w:r>
            <w:r w:rsidRPr="00127A17">
              <w:rPr>
                <w:rFonts w:ascii="Arial Narrow" w:hAnsi="Arial Narrow"/>
                <w:strike/>
                <w:sz w:val="20"/>
                <w:szCs w:val="20"/>
              </w:rPr>
              <w:t>patients with</w:t>
            </w:r>
            <w:r w:rsidR="00127A17">
              <w:rPr>
                <w:rFonts w:ascii="Arial Narrow" w:hAnsi="Arial Narrow"/>
                <w:sz w:val="20"/>
                <w:szCs w:val="20"/>
              </w:rPr>
              <w:t xml:space="preserve"> idiopathic pulmonary fibrosis, </w:t>
            </w:r>
            <w:r w:rsidR="00127A17">
              <w:rPr>
                <w:rFonts w:ascii="Arial Narrow" w:hAnsi="Arial Narrow"/>
                <w:i/>
                <w:sz w:val="20"/>
                <w:szCs w:val="20"/>
              </w:rPr>
              <w:t>OR</w:t>
            </w:r>
          </w:p>
          <w:p w:rsidR="00127A17" w:rsidRPr="002C18CD" w:rsidRDefault="00127A17" w:rsidP="002F6883">
            <w:pPr>
              <w:widowControl/>
              <w:rPr>
                <w:rFonts w:ascii="Arial Narrow" w:hAnsi="Arial Narrow"/>
                <w:i/>
                <w:sz w:val="20"/>
                <w:szCs w:val="20"/>
              </w:rPr>
            </w:pPr>
            <w:r>
              <w:rPr>
                <w:rFonts w:ascii="Arial Narrow" w:hAnsi="Arial Narrow"/>
                <w:i/>
                <w:sz w:val="20"/>
                <w:szCs w:val="20"/>
              </w:rPr>
              <w:t>Must be treated by a specialist physician with expertise in the management of idiopathic pulmonary fibrosis</w:t>
            </w:r>
          </w:p>
          <w:p w:rsidR="00127A17" w:rsidRDefault="00127A17" w:rsidP="002F6883">
            <w:pPr>
              <w:widowControl/>
              <w:rPr>
                <w:rFonts w:ascii="Arial Narrow" w:hAnsi="Arial Narrow"/>
                <w:i/>
                <w:sz w:val="20"/>
                <w:szCs w:val="20"/>
              </w:rPr>
            </w:pPr>
            <w:r>
              <w:rPr>
                <w:rFonts w:ascii="Arial Narrow" w:hAnsi="Arial Narrow"/>
                <w:i/>
                <w:sz w:val="20"/>
                <w:szCs w:val="20"/>
              </w:rPr>
              <w:t>AND</w:t>
            </w:r>
          </w:p>
          <w:p w:rsidR="00127A17" w:rsidRDefault="00127A17" w:rsidP="002F6883">
            <w:pPr>
              <w:widowControl/>
              <w:rPr>
                <w:rFonts w:ascii="Arial Narrow" w:hAnsi="Arial Narrow"/>
                <w:i/>
                <w:sz w:val="20"/>
                <w:szCs w:val="20"/>
              </w:rPr>
            </w:pPr>
            <w:r>
              <w:rPr>
                <w:rFonts w:ascii="Arial Narrow" w:hAnsi="Arial Narrow"/>
                <w:i/>
                <w:sz w:val="20"/>
                <w:szCs w:val="20"/>
              </w:rPr>
              <w:t>Must be treated in a centre with expertise in idiopathic pulmonary fibrosis, OR</w:t>
            </w:r>
          </w:p>
          <w:p w:rsidR="00606B8F" w:rsidRPr="00260CE3" w:rsidRDefault="00127A17" w:rsidP="002F6883">
            <w:pPr>
              <w:widowControl/>
              <w:rPr>
                <w:rFonts w:ascii="Arial Narrow" w:hAnsi="Arial Narrow"/>
                <w:sz w:val="20"/>
                <w:szCs w:val="20"/>
              </w:rPr>
            </w:pPr>
            <w:r>
              <w:rPr>
                <w:rFonts w:ascii="Arial Narrow" w:hAnsi="Arial Narrow"/>
                <w:i/>
                <w:sz w:val="20"/>
                <w:szCs w:val="20"/>
              </w:rPr>
              <w:t>Must be treated in consultation with a centre with expertise in idiopathic pulmonary fibrosis if attendance is not possible due to geographic isolation.</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lastRenderedPageBreak/>
              <w:t>Clinical criteria:</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B204EF" w:rsidRDefault="00606B8F" w:rsidP="002F6883">
            <w:pPr>
              <w:widowControl/>
              <w:rPr>
                <w:rFonts w:ascii="Arial Narrow" w:hAnsi="Arial Narrow"/>
                <w:i/>
                <w:strike/>
                <w:sz w:val="20"/>
                <w:szCs w:val="20"/>
              </w:rPr>
            </w:pPr>
            <w:r w:rsidRPr="00B204EF">
              <w:rPr>
                <w:rFonts w:ascii="Arial Narrow" w:hAnsi="Arial Narrow"/>
                <w:strike/>
                <w:sz w:val="20"/>
                <w:szCs w:val="20"/>
              </w:rPr>
              <w:t>Patient must have confirmed</w:t>
            </w:r>
            <w:r w:rsidRPr="00B204EF">
              <w:rPr>
                <w:rFonts w:ascii="Arial Narrow" w:hAnsi="Arial Narrow"/>
                <w:i/>
                <w:strike/>
                <w:sz w:val="20"/>
                <w:szCs w:val="20"/>
              </w:rPr>
              <w:t xml:space="preserve"> </w:t>
            </w:r>
            <w:r w:rsidRPr="00B204EF">
              <w:rPr>
                <w:rFonts w:ascii="Arial Narrow" w:hAnsi="Arial Narrow"/>
                <w:strike/>
                <w:sz w:val="20"/>
                <w:szCs w:val="20"/>
              </w:rPr>
              <w:t>diagnosis of idiopathic pulmonary fibrosis</w:t>
            </w:r>
            <w:r w:rsidRPr="00B204EF">
              <w:rPr>
                <w:rFonts w:ascii="Arial Narrow" w:hAnsi="Arial Narrow"/>
                <w:i/>
                <w:strike/>
                <w:sz w:val="20"/>
                <w:szCs w:val="20"/>
              </w:rPr>
              <w:t>.</w:t>
            </w:r>
          </w:p>
          <w:p w:rsidR="00606B8F" w:rsidRPr="00B204EF" w:rsidRDefault="00606B8F" w:rsidP="002F6883">
            <w:pPr>
              <w:widowControl/>
              <w:rPr>
                <w:rFonts w:ascii="Arial Narrow" w:hAnsi="Arial Narrow"/>
                <w:strike/>
                <w:sz w:val="20"/>
                <w:szCs w:val="20"/>
              </w:rPr>
            </w:pPr>
            <w:r w:rsidRPr="00B204EF">
              <w:rPr>
                <w:rFonts w:ascii="Arial Narrow" w:hAnsi="Arial Narrow"/>
                <w:strike/>
                <w:sz w:val="20"/>
                <w:szCs w:val="20"/>
              </w:rPr>
              <w:t>AND</w:t>
            </w:r>
          </w:p>
          <w:p w:rsidR="00606B8F" w:rsidRPr="00606B8F" w:rsidRDefault="00606B8F" w:rsidP="002F6883">
            <w:pPr>
              <w:widowControl/>
              <w:rPr>
                <w:rFonts w:ascii="Arial Narrow" w:hAnsi="Arial Narrow"/>
                <w:strike/>
                <w:sz w:val="20"/>
                <w:szCs w:val="20"/>
              </w:rPr>
            </w:pPr>
            <w:r>
              <w:rPr>
                <w:rFonts w:ascii="Arial Narrow" w:hAnsi="Arial Narrow"/>
                <w:sz w:val="20"/>
                <w:szCs w:val="20"/>
              </w:rPr>
              <w:t xml:space="preserve">Patient must have chest high resolution computed tomography (HRCT) </w:t>
            </w:r>
            <w:r w:rsidRPr="00606B8F">
              <w:rPr>
                <w:rFonts w:ascii="Arial Narrow" w:hAnsi="Arial Narrow"/>
                <w:strike/>
                <w:sz w:val="20"/>
                <w:szCs w:val="20"/>
              </w:rPr>
              <w:t>with surgical lung biopsy consistent with the diagnosis of idiopathic pulmonary fibrosis, OR</w:t>
            </w:r>
          </w:p>
          <w:p w:rsidR="00606B8F" w:rsidRDefault="00606B8F" w:rsidP="002F6883">
            <w:pPr>
              <w:widowControl/>
              <w:rPr>
                <w:rFonts w:ascii="Arial Narrow" w:hAnsi="Arial Narrow"/>
                <w:sz w:val="20"/>
                <w:szCs w:val="20"/>
              </w:rPr>
            </w:pPr>
            <w:r w:rsidRPr="00606B8F">
              <w:rPr>
                <w:rFonts w:ascii="Arial Narrow" w:hAnsi="Arial Narrow"/>
                <w:strike/>
                <w:sz w:val="20"/>
                <w:szCs w:val="20"/>
              </w:rPr>
              <w:t xml:space="preserve">Patient must have chest high resolution computed tomography (HRCT) without  surgical lung biopsy </w:t>
            </w:r>
            <w:r w:rsidRPr="00B77F52">
              <w:rPr>
                <w:rFonts w:ascii="Arial Narrow" w:hAnsi="Arial Narrow"/>
                <w:sz w:val="20"/>
                <w:szCs w:val="20"/>
              </w:rPr>
              <w:t>consistent with the diagnosis of idiopathic pulmonary fibrosis</w:t>
            </w:r>
            <w:r>
              <w:rPr>
                <w:rFonts w:ascii="Arial Narrow" w:hAnsi="Arial Narrow"/>
                <w:sz w:val="20"/>
                <w:szCs w:val="20"/>
              </w:rPr>
              <w:t>,</w:t>
            </w:r>
          </w:p>
          <w:p w:rsidR="00606B8F" w:rsidRDefault="00606B8F" w:rsidP="002F6883">
            <w:pPr>
              <w:widowControl/>
              <w:rPr>
                <w:rFonts w:ascii="Arial Narrow" w:hAnsi="Arial Narrow"/>
                <w:sz w:val="20"/>
                <w:szCs w:val="20"/>
              </w:rPr>
            </w:pPr>
            <w:r>
              <w:rPr>
                <w:rFonts w:ascii="Arial Narrow" w:hAnsi="Arial Narrow"/>
                <w:sz w:val="20"/>
                <w:szCs w:val="20"/>
              </w:rPr>
              <w:t>AND</w:t>
            </w:r>
          </w:p>
          <w:p w:rsidR="00606B8F" w:rsidRDefault="00606B8F" w:rsidP="002F6883">
            <w:pPr>
              <w:widowControl/>
              <w:rPr>
                <w:rFonts w:ascii="Arial Narrow" w:hAnsi="Arial Narrow"/>
                <w:sz w:val="20"/>
                <w:szCs w:val="20"/>
              </w:rPr>
            </w:pPr>
            <w:r>
              <w:rPr>
                <w:rFonts w:ascii="Arial Narrow" w:hAnsi="Arial Narrow"/>
                <w:sz w:val="20"/>
                <w:szCs w:val="20"/>
              </w:rPr>
              <w:t xml:space="preserve">Patient must have percent predicted forced vital capacity (FVC) equal </w:t>
            </w:r>
            <w:r>
              <w:rPr>
                <w:rFonts w:ascii="Arial Narrow" w:hAnsi="Arial Narrow"/>
                <w:i/>
                <w:sz w:val="20"/>
                <w:szCs w:val="20"/>
              </w:rPr>
              <w:t xml:space="preserve">to </w:t>
            </w:r>
            <w:r>
              <w:rPr>
                <w:rFonts w:ascii="Arial Narrow" w:hAnsi="Arial Narrow"/>
                <w:sz w:val="20"/>
                <w:szCs w:val="20"/>
              </w:rPr>
              <w:t xml:space="preserve">or greater than 50% </w:t>
            </w:r>
            <w:r w:rsidRPr="00B204EF">
              <w:rPr>
                <w:rFonts w:ascii="Arial Narrow" w:hAnsi="Arial Narrow"/>
                <w:i/>
                <w:sz w:val="20"/>
                <w:szCs w:val="20"/>
              </w:rPr>
              <w:t xml:space="preserve">for age, gender and </w:t>
            </w:r>
            <w:r w:rsidR="003E703C">
              <w:rPr>
                <w:rFonts w:ascii="Arial Narrow" w:hAnsi="Arial Narrow"/>
                <w:i/>
                <w:sz w:val="20"/>
                <w:szCs w:val="20"/>
              </w:rPr>
              <w:t xml:space="preserve">height </w:t>
            </w:r>
            <w:r w:rsidRPr="003E703C">
              <w:rPr>
                <w:rFonts w:ascii="Arial Narrow" w:hAnsi="Arial Narrow"/>
                <w:i/>
                <w:strike/>
                <w:sz w:val="20"/>
                <w:szCs w:val="20"/>
              </w:rPr>
              <w:t>weight</w:t>
            </w:r>
            <w:r w:rsidRPr="00B204EF">
              <w:rPr>
                <w:rFonts w:ascii="Arial Narrow" w:hAnsi="Arial Narrow"/>
                <w:i/>
                <w:sz w:val="20"/>
                <w:szCs w:val="20"/>
              </w:rPr>
              <w:t>, and forced expiratory volume in 1 second (FEV1)/FVC ratio greater than 0.7,</w:t>
            </w:r>
          </w:p>
          <w:p w:rsidR="00606B8F" w:rsidRDefault="00606B8F" w:rsidP="002F6883">
            <w:pPr>
              <w:widowControl/>
              <w:rPr>
                <w:rFonts w:ascii="Arial Narrow" w:hAnsi="Arial Narrow"/>
                <w:sz w:val="20"/>
                <w:szCs w:val="20"/>
              </w:rPr>
            </w:pPr>
            <w:r>
              <w:rPr>
                <w:rFonts w:ascii="Arial Narrow" w:hAnsi="Arial Narrow"/>
                <w:sz w:val="20"/>
                <w:szCs w:val="20"/>
              </w:rPr>
              <w:t>AND</w:t>
            </w:r>
          </w:p>
          <w:p w:rsidR="00606B8F" w:rsidRDefault="00606B8F" w:rsidP="002F6883">
            <w:pPr>
              <w:widowControl/>
              <w:rPr>
                <w:rFonts w:ascii="Arial Narrow" w:hAnsi="Arial Narrow"/>
                <w:sz w:val="20"/>
                <w:szCs w:val="20"/>
              </w:rPr>
            </w:pPr>
            <w:r>
              <w:rPr>
                <w:rFonts w:ascii="Arial Narrow" w:hAnsi="Arial Narrow"/>
                <w:sz w:val="20"/>
                <w:szCs w:val="20"/>
              </w:rPr>
              <w:t xml:space="preserve">Patient must have </w:t>
            </w:r>
            <w:r w:rsidRPr="00B204EF">
              <w:rPr>
                <w:rFonts w:ascii="Arial Narrow" w:hAnsi="Arial Narrow"/>
                <w:i/>
                <w:sz w:val="20"/>
                <w:szCs w:val="20"/>
              </w:rPr>
              <w:t>diffusing capacity of the lungs for</w:t>
            </w:r>
            <w:r>
              <w:rPr>
                <w:rFonts w:ascii="Arial Narrow" w:hAnsi="Arial Narrow"/>
                <w:sz w:val="20"/>
                <w:szCs w:val="20"/>
              </w:rPr>
              <w:t xml:space="preserve"> </w:t>
            </w:r>
            <w:r w:rsidRPr="00B204EF">
              <w:rPr>
                <w:rFonts w:ascii="Arial Narrow" w:hAnsi="Arial Narrow"/>
                <w:strike/>
                <w:sz w:val="20"/>
                <w:szCs w:val="20"/>
              </w:rPr>
              <w:t>percent predicted</w:t>
            </w:r>
            <w:r>
              <w:rPr>
                <w:rFonts w:ascii="Arial Narrow" w:hAnsi="Arial Narrow"/>
                <w:sz w:val="20"/>
                <w:szCs w:val="20"/>
              </w:rPr>
              <w:t xml:space="preserve"> </w:t>
            </w:r>
            <w:r w:rsidRPr="00B204EF">
              <w:rPr>
                <w:rFonts w:ascii="Arial Narrow" w:hAnsi="Arial Narrow"/>
                <w:sz w:val="20"/>
                <w:szCs w:val="20"/>
              </w:rPr>
              <w:t xml:space="preserve">carbon monoxide </w:t>
            </w:r>
            <w:r w:rsidRPr="00C40562">
              <w:rPr>
                <w:rFonts w:ascii="Arial Narrow" w:hAnsi="Arial Narrow"/>
                <w:strike/>
                <w:sz w:val="20"/>
                <w:szCs w:val="20"/>
              </w:rPr>
              <w:t>diffusing capacity</w:t>
            </w:r>
            <w:r w:rsidRPr="00B204EF">
              <w:rPr>
                <w:rFonts w:ascii="Arial Narrow" w:hAnsi="Arial Narrow"/>
                <w:sz w:val="20"/>
                <w:szCs w:val="20"/>
              </w:rPr>
              <w:t xml:space="preserve"> (DLCO</w:t>
            </w:r>
            <w:r w:rsidRPr="00D71450">
              <w:rPr>
                <w:rFonts w:ascii="Arial Narrow" w:hAnsi="Arial Narrow"/>
                <w:sz w:val="20"/>
                <w:szCs w:val="20"/>
              </w:rPr>
              <w:t xml:space="preserve">) </w:t>
            </w:r>
            <w:r w:rsidRPr="00B204EF">
              <w:rPr>
                <w:rFonts w:ascii="Arial Narrow" w:hAnsi="Arial Narrow"/>
                <w:i/>
                <w:sz w:val="20"/>
                <w:szCs w:val="20"/>
              </w:rPr>
              <w:t>corrected for haemoglobin</w:t>
            </w:r>
            <w:r w:rsidDel="00D71450">
              <w:rPr>
                <w:rFonts w:ascii="Arial Narrow" w:hAnsi="Arial Narrow"/>
                <w:i/>
                <w:sz w:val="20"/>
                <w:szCs w:val="20"/>
              </w:rPr>
              <w:t xml:space="preserve"> </w:t>
            </w:r>
            <w:r>
              <w:rPr>
                <w:rFonts w:ascii="Arial Narrow" w:hAnsi="Arial Narrow"/>
                <w:sz w:val="20"/>
                <w:szCs w:val="20"/>
              </w:rPr>
              <w:t>equal to or greater than 30%.</w:t>
            </w:r>
          </w:p>
          <w:p w:rsidR="00127A17" w:rsidRPr="00A97ED0" w:rsidRDefault="00127A17" w:rsidP="002F6883">
            <w:pPr>
              <w:widowControl/>
              <w:rPr>
                <w:rFonts w:ascii="Arial Narrow" w:hAnsi="Arial Narrow"/>
                <w:i/>
                <w:sz w:val="20"/>
              </w:rPr>
            </w:pPr>
            <w:r>
              <w:rPr>
                <w:rFonts w:ascii="Arial Narrow" w:hAnsi="Arial Narrow"/>
                <w:i/>
                <w:sz w:val="20"/>
              </w:rPr>
              <w:t>AND</w:t>
            </w:r>
          </w:p>
          <w:p w:rsidR="00127A17" w:rsidRPr="00260CE3" w:rsidRDefault="00127A17" w:rsidP="002F6883">
            <w:pPr>
              <w:widowControl/>
              <w:rPr>
                <w:rFonts w:ascii="Arial Narrow" w:hAnsi="Arial Narrow"/>
                <w:sz w:val="20"/>
                <w:szCs w:val="20"/>
              </w:rPr>
            </w:pPr>
            <w:r>
              <w:rPr>
                <w:rFonts w:ascii="Arial Narrow" w:hAnsi="Arial Narrow"/>
                <w:i/>
                <w:sz w:val="20"/>
              </w:rPr>
              <w:t xml:space="preserve">The treatment must not be in combination with </w:t>
            </w:r>
            <w:r w:rsidR="00B9662C">
              <w:rPr>
                <w:rFonts w:ascii="Arial Narrow" w:hAnsi="Arial Narrow"/>
                <w:i/>
                <w:sz w:val="20"/>
              </w:rPr>
              <w:t xml:space="preserve">PBS-subsidised </w:t>
            </w:r>
            <w:r>
              <w:rPr>
                <w:rFonts w:ascii="Arial Narrow" w:hAnsi="Arial Narrow"/>
                <w:i/>
                <w:sz w:val="20"/>
              </w:rPr>
              <w:t>nintedanib.</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Population criteria:</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Pr>
                <w:rFonts w:ascii="Arial Narrow" w:hAnsi="Arial Narrow"/>
                <w:sz w:val="20"/>
                <w:szCs w:val="20"/>
              </w:rPr>
              <w:t>Patient must be aged 40 years or older.</w:t>
            </w:r>
          </w:p>
        </w:tc>
      </w:tr>
      <w:tr w:rsidR="00606B8F" w:rsidRPr="00260CE3" w:rsidTr="00606B8F">
        <w:trPr>
          <w:cantSplit/>
          <w:trHeight w:val="360"/>
        </w:trPr>
        <w:tc>
          <w:tcPr>
            <w:tcW w:w="2126" w:type="dxa"/>
            <w:gridSpan w:val="2"/>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Prescriber Instructions</w:t>
            </w:r>
          </w:p>
        </w:tc>
        <w:tc>
          <w:tcPr>
            <w:tcW w:w="6237" w:type="dxa"/>
            <w:gridSpan w:val="5"/>
            <w:tcBorders>
              <w:top w:val="single" w:sz="4" w:space="0" w:color="auto"/>
              <w:left w:val="single" w:sz="4" w:space="0" w:color="auto"/>
              <w:bottom w:val="single" w:sz="4" w:space="0" w:color="auto"/>
              <w:right w:val="single" w:sz="4" w:space="0" w:color="auto"/>
            </w:tcBorders>
          </w:tcPr>
          <w:p w:rsidR="00606B8F" w:rsidRPr="00B204EF" w:rsidRDefault="00606B8F" w:rsidP="002F6883">
            <w:pPr>
              <w:pStyle w:val="TableText0"/>
              <w:rPr>
                <w:rFonts w:cs="Arial"/>
                <w:bCs/>
                <w:strike/>
                <w:lang w:eastAsia="en-AU"/>
              </w:rPr>
            </w:pPr>
            <w:r w:rsidRPr="00B204EF">
              <w:rPr>
                <w:rFonts w:cs="Arial"/>
                <w:bCs/>
                <w:strike/>
                <w:lang w:eastAsia="en-AU"/>
              </w:rPr>
              <w:t>Consultation with a multidisciplinary team is necessary in the diagnosis of idiopathic pulmonary fibrosis (IPF). The multidisciplinary team may comprise of at least a pulmonologist, radiologist and where required, pathologist.</w:t>
            </w:r>
          </w:p>
          <w:p w:rsidR="00606B8F" w:rsidRPr="00B77F52" w:rsidRDefault="00606B8F" w:rsidP="002F6883">
            <w:pPr>
              <w:widowControl/>
              <w:rPr>
                <w:rFonts w:ascii="Arial Narrow" w:hAnsi="Arial Narrow"/>
                <w:sz w:val="20"/>
                <w:szCs w:val="20"/>
              </w:rPr>
            </w:pPr>
            <w:r w:rsidRPr="00B77F52">
              <w:rPr>
                <w:rFonts w:ascii="Arial Narrow" w:hAnsi="Arial Narrow"/>
                <w:sz w:val="20"/>
                <w:szCs w:val="20"/>
              </w:rPr>
              <w:t>Authority applications for initial treatment must be made in writing and must include:</w:t>
            </w:r>
          </w:p>
          <w:p w:rsidR="00606B8F" w:rsidRPr="00B77F52" w:rsidRDefault="00606B8F" w:rsidP="002F6883">
            <w:pPr>
              <w:widowControl/>
              <w:rPr>
                <w:rFonts w:ascii="Arial Narrow" w:hAnsi="Arial Narrow"/>
                <w:sz w:val="20"/>
                <w:szCs w:val="20"/>
              </w:rPr>
            </w:pPr>
            <w:r w:rsidRPr="00B77F52">
              <w:rPr>
                <w:rFonts w:ascii="Arial Narrow" w:hAnsi="Arial Narrow"/>
                <w:sz w:val="20"/>
                <w:szCs w:val="20"/>
              </w:rPr>
              <w:t>(a) a completed authority prescription form; and</w:t>
            </w:r>
          </w:p>
          <w:p w:rsidR="00606B8F" w:rsidRPr="00B77F52" w:rsidRDefault="00606B8F" w:rsidP="002F6883">
            <w:pPr>
              <w:widowControl/>
              <w:rPr>
                <w:rFonts w:ascii="Arial Narrow" w:hAnsi="Arial Narrow"/>
                <w:sz w:val="20"/>
                <w:szCs w:val="20"/>
              </w:rPr>
            </w:pPr>
            <w:r w:rsidRPr="00B77F52">
              <w:rPr>
                <w:rFonts w:ascii="Arial Narrow" w:hAnsi="Arial Narrow"/>
                <w:sz w:val="20"/>
                <w:szCs w:val="20"/>
              </w:rPr>
              <w:t>(b) a completed IPF Initial PBS authority application form which includes:</w:t>
            </w:r>
          </w:p>
          <w:p w:rsidR="00606B8F" w:rsidRPr="00B77F52" w:rsidRDefault="00606B8F" w:rsidP="002F6883">
            <w:pPr>
              <w:widowControl/>
              <w:rPr>
                <w:rFonts w:ascii="Arial Narrow" w:hAnsi="Arial Narrow"/>
                <w:sz w:val="20"/>
                <w:szCs w:val="20"/>
              </w:rPr>
            </w:pPr>
            <w:r w:rsidRPr="00B77F52">
              <w:rPr>
                <w:rFonts w:ascii="Arial Narrow" w:hAnsi="Arial Narrow"/>
                <w:sz w:val="20"/>
                <w:szCs w:val="20"/>
              </w:rPr>
              <w:t xml:space="preserve">(i) a copy of the high-resolution computed tomographic scan results </w:t>
            </w:r>
            <w:r w:rsidRPr="00127A17">
              <w:rPr>
                <w:rFonts w:ascii="Arial Narrow" w:hAnsi="Arial Narrow"/>
                <w:strike/>
                <w:sz w:val="20"/>
                <w:szCs w:val="20"/>
              </w:rPr>
              <w:t>with or without surgical lung biopsy results</w:t>
            </w:r>
            <w:r w:rsidRPr="00B77F52">
              <w:rPr>
                <w:rFonts w:ascii="Arial Narrow" w:hAnsi="Arial Narrow"/>
                <w:sz w:val="20"/>
                <w:szCs w:val="20"/>
              </w:rPr>
              <w:t xml:space="preserve"> confirming the diagnosis of IPF</w:t>
            </w:r>
          </w:p>
          <w:p w:rsidR="00606B8F" w:rsidRPr="00B77F52" w:rsidRDefault="00606B8F" w:rsidP="002F6883">
            <w:pPr>
              <w:widowControl/>
              <w:rPr>
                <w:rFonts w:ascii="Arial Narrow" w:hAnsi="Arial Narrow"/>
                <w:sz w:val="20"/>
                <w:szCs w:val="20"/>
              </w:rPr>
            </w:pPr>
            <w:r w:rsidRPr="00B77F52">
              <w:rPr>
                <w:rFonts w:ascii="Arial Narrow" w:hAnsi="Arial Narrow"/>
                <w:sz w:val="20"/>
                <w:szCs w:val="20"/>
              </w:rPr>
              <w:t>(ii) a copy of the respiratory function test results showing Forced Vital Capacity (FVC) equal to or greater than 50%</w:t>
            </w:r>
          </w:p>
          <w:p w:rsidR="00606B8F" w:rsidRPr="00B77F52" w:rsidRDefault="00606B8F" w:rsidP="002F6883">
            <w:pPr>
              <w:widowControl/>
              <w:rPr>
                <w:rFonts w:ascii="Arial Narrow" w:hAnsi="Arial Narrow"/>
                <w:sz w:val="20"/>
                <w:szCs w:val="20"/>
              </w:rPr>
            </w:pPr>
            <w:r w:rsidRPr="00B77F52">
              <w:rPr>
                <w:rFonts w:ascii="Arial Narrow" w:hAnsi="Arial Narrow"/>
                <w:sz w:val="20"/>
                <w:szCs w:val="20"/>
              </w:rPr>
              <w:t>AND</w:t>
            </w:r>
          </w:p>
          <w:p w:rsidR="00606B8F" w:rsidRDefault="00606B8F" w:rsidP="002F6883">
            <w:pPr>
              <w:widowControl/>
              <w:rPr>
                <w:rFonts w:ascii="Arial Narrow" w:hAnsi="Arial Narrow"/>
                <w:sz w:val="20"/>
                <w:szCs w:val="20"/>
              </w:rPr>
            </w:pPr>
            <w:r w:rsidRPr="00B77F52">
              <w:rPr>
                <w:rFonts w:ascii="Arial Narrow" w:hAnsi="Arial Narrow"/>
                <w:sz w:val="20"/>
                <w:szCs w:val="20"/>
              </w:rPr>
              <w:t xml:space="preserve">(iii) a copy of the </w:t>
            </w:r>
            <w:r w:rsidRPr="00127A17">
              <w:rPr>
                <w:rFonts w:ascii="Arial Narrow" w:hAnsi="Arial Narrow"/>
                <w:strike/>
                <w:sz w:val="20"/>
                <w:szCs w:val="20"/>
              </w:rPr>
              <w:t>percent predicted</w:t>
            </w:r>
            <w:r w:rsidRPr="00B77F52">
              <w:rPr>
                <w:rFonts w:ascii="Arial Narrow" w:hAnsi="Arial Narrow"/>
                <w:sz w:val="20"/>
                <w:szCs w:val="20"/>
              </w:rPr>
              <w:t xml:space="preserve"> </w:t>
            </w:r>
            <w:r w:rsidR="00127A17" w:rsidRPr="00127A17">
              <w:rPr>
                <w:rFonts w:ascii="Arial Narrow" w:hAnsi="Arial Narrow"/>
                <w:i/>
                <w:sz w:val="20"/>
                <w:szCs w:val="20"/>
              </w:rPr>
              <w:t>diffusing capacity of the lungs for</w:t>
            </w:r>
            <w:r w:rsidR="00127A17">
              <w:rPr>
                <w:rFonts w:ascii="Arial Narrow" w:hAnsi="Arial Narrow"/>
                <w:sz w:val="20"/>
                <w:szCs w:val="20"/>
              </w:rPr>
              <w:t xml:space="preserve"> </w:t>
            </w:r>
            <w:r w:rsidRPr="00B77F52">
              <w:rPr>
                <w:rFonts w:ascii="Arial Narrow" w:hAnsi="Arial Narrow"/>
                <w:sz w:val="20"/>
                <w:szCs w:val="20"/>
              </w:rPr>
              <w:t xml:space="preserve">carbon monoxide </w:t>
            </w:r>
            <w:r w:rsidRPr="00127A17">
              <w:rPr>
                <w:rFonts w:ascii="Arial Narrow" w:hAnsi="Arial Narrow"/>
                <w:strike/>
                <w:sz w:val="20"/>
                <w:szCs w:val="20"/>
              </w:rPr>
              <w:t>diffusing capacity</w:t>
            </w:r>
            <w:r w:rsidRPr="00B77F52">
              <w:rPr>
                <w:rFonts w:ascii="Arial Narrow" w:hAnsi="Arial Narrow"/>
                <w:sz w:val="20"/>
                <w:szCs w:val="20"/>
              </w:rPr>
              <w:t xml:space="preserve"> (DLCO)</w:t>
            </w:r>
            <w:r w:rsidR="00127A17">
              <w:rPr>
                <w:rFonts w:ascii="Arial Narrow" w:hAnsi="Arial Narrow"/>
                <w:sz w:val="20"/>
                <w:szCs w:val="20"/>
              </w:rPr>
              <w:t xml:space="preserve"> </w:t>
            </w:r>
            <w:r w:rsidR="00127A17" w:rsidRPr="00127A17">
              <w:rPr>
                <w:rFonts w:ascii="Arial Narrow" w:hAnsi="Arial Narrow"/>
                <w:i/>
                <w:sz w:val="20"/>
                <w:szCs w:val="20"/>
              </w:rPr>
              <w:t>corrected for haemoglobin</w:t>
            </w:r>
            <w:r w:rsidRPr="00B77F52">
              <w:rPr>
                <w:rFonts w:ascii="Arial Narrow" w:hAnsi="Arial Narrow"/>
                <w:sz w:val="20"/>
                <w:szCs w:val="20"/>
              </w:rPr>
              <w:t xml:space="preserve"> equal or greater than 30%</w:t>
            </w:r>
            <w:r w:rsidR="00127A17">
              <w:rPr>
                <w:rFonts w:ascii="Arial Narrow" w:hAnsi="Arial Narrow"/>
                <w:sz w:val="20"/>
                <w:szCs w:val="20"/>
              </w:rPr>
              <w:t xml:space="preserve">, </w:t>
            </w:r>
            <w:r w:rsidR="00127A17" w:rsidRPr="00127A17">
              <w:rPr>
                <w:rFonts w:ascii="Arial Narrow" w:hAnsi="Arial Narrow"/>
                <w:i/>
                <w:sz w:val="20"/>
                <w:szCs w:val="20"/>
              </w:rPr>
              <w:t>and</w:t>
            </w:r>
            <w:r w:rsidR="00127A17">
              <w:rPr>
                <w:rFonts w:ascii="Arial Narrow" w:hAnsi="Arial Narrow"/>
                <w:sz w:val="20"/>
                <w:szCs w:val="20"/>
              </w:rPr>
              <w:t xml:space="preserve"> </w:t>
            </w:r>
          </w:p>
          <w:p w:rsidR="00127A17" w:rsidRPr="00127A17" w:rsidRDefault="00127A17" w:rsidP="002F6883">
            <w:pPr>
              <w:widowControl/>
              <w:rPr>
                <w:rFonts w:ascii="Arial Narrow" w:hAnsi="Arial Narrow"/>
                <w:i/>
                <w:sz w:val="20"/>
              </w:rPr>
            </w:pPr>
            <w:r>
              <w:rPr>
                <w:rFonts w:ascii="Arial Narrow" w:hAnsi="Arial Narrow"/>
                <w:i/>
                <w:sz w:val="20"/>
                <w:szCs w:val="20"/>
              </w:rPr>
              <w:t xml:space="preserve">(c) </w:t>
            </w:r>
            <w:r w:rsidRPr="00E33FD6">
              <w:rPr>
                <w:rFonts w:ascii="Arial Narrow" w:hAnsi="Arial Narrow"/>
                <w:i/>
                <w:sz w:val="20"/>
              </w:rPr>
              <w:t>a signed patient acknowledgement;</w:t>
            </w:r>
          </w:p>
          <w:p w:rsidR="00606B8F" w:rsidRPr="00B55C77" w:rsidRDefault="00606B8F" w:rsidP="002F6883">
            <w:pPr>
              <w:widowControl/>
              <w:rPr>
                <w:rFonts w:ascii="Arial Narrow" w:hAnsi="Arial Narrow"/>
                <w:i/>
                <w:sz w:val="20"/>
                <w:szCs w:val="20"/>
              </w:rPr>
            </w:pPr>
          </w:p>
        </w:tc>
      </w:tr>
    </w:tbl>
    <w:p w:rsidR="00606B8F" w:rsidRDefault="00606B8F" w:rsidP="002F6883">
      <w:pPr>
        <w:widowControl/>
        <w:rPr>
          <w:szCs w:val="22"/>
        </w:rPr>
      </w:pPr>
    </w:p>
    <w:p w:rsidR="00C91E12" w:rsidRDefault="00C91E12" w:rsidP="002F6883">
      <w:pPr>
        <w:widowControl/>
        <w:rPr>
          <w:szCs w:val="22"/>
        </w:rPr>
      </w:pPr>
    </w:p>
    <w:p w:rsidR="00330E86" w:rsidRDefault="00330E86" w:rsidP="002F6883">
      <w:pPr>
        <w:widowControl/>
        <w:rPr>
          <w:szCs w:val="22"/>
        </w:rPr>
      </w:pPr>
    </w:p>
    <w:p w:rsidR="00330E86" w:rsidRDefault="00330E86" w:rsidP="002F6883">
      <w:pPr>
        <w:widowControl/>
        <w:rPr>
          <w:szCs w:val="22"/>
        </w:rPr>
      </w:pPr>
    </w:p>
    <w:p w:rsidR="00330E86" w:rsidRDefault="00330E86" w:rsidP="002F6883">
      <w:pPr>
        <w:widowControl/>
        <w:rPr>
          <w:szCs w:val="22"/>
        </w:rPr>
      </w:pPr>
    </w:p>
    <w:p w:rsidR="00330E86" w:rsidRDefault="00330E86" w:rsidP="002F6883">
      <w:pPr>
        <w:widowControl/>
        <w:rPr>
          <w:szCs w:val="22"/>
        </w:rPr>
      </w:pPr>
    </w:p>
    <w:p w:rsidR="00330E86" w:rsidRPr="00552722" w:rsidRDefault="00330E86" w:rsidP="002F6883">
      <w:pPr>
        <w:widowControl/>
        <w:rPr>
          <w:szCs w:val="22"/>
        </w:rPr>
      </w:pPr>
    </w:p>
    <w:tbl>
      <w:tblPr>
        <w:tblW w:w="8363" w:type="dxa"/>
        <w:tblInd w:w="817" w:type="dxa"/>
        <w:tblLayout w:type="fixed"/>
        <w:tblLook w:val="0000" w:firstRow="0" w:lastRow="0" w:firstColumn="0" w:lastColumn="0" w:noHBand="0" w:noVBand="0"/>
      </w:tblPr>
      <w:tblGrid>
        <w:gridCol w:w="2126"/>
        <w:gridCol w:w="6237"/>
      </w:tblGrid>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keepNext/>
              <w:widowControl/>
              <w:rPr>
                <w:rFonts w:ascii="Arial Narrow" w:hAnsi="Arial Narrow"/>
                <w:b/>
                <w:sz w:val="20"/>
                <w:szCs w:val="20"/>
              </w:rPr>
            </w:pPr>
            <w:r w:rsidRPr="00260CE3">
              <w:rPr>
                <w:rFonts w:ascii="Arial Narrow" w:hAnsi="Arial Narrow"/>
                <w:b/>
                <w:sz w:val="20"/>
                <w:szCs w:val="20"/>
              </w:rPr>
              <w:t>Treatment phase:</w:t>
            </w:r>
          </w:p>
        </w:tc>
        <w:tc>
          <w:tcPr>
            <w:tcW w:w="6237"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keepNext/>
              <w:widowControl/>
              <w:rPr>
                <w:rFonts w:ascii="Arial Narrow" w:hAnsi="Arial Narrow"/>
                <w:sz w:val="20"/>
                <w:szCs w:val="20"/>
              </w:rPr>
            </w:pPr>
            <w:r w:rsidRPr="00FE3671">
              <w:rPr>
                <w:rFonts w:ascii="Arial Narrow" w:hAnsi="Arial Narrow"/>
                <w:sz w:val="20"/>
                <w:szCs w:val="20"/>
              </w:rPr>
              <w:t>Continuing treatment</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7C13C1">
            <w:pPr>
              <w:keepNext/>
              <w:widowControl/>
              <w:rPr>
                <w:rFonts w:ascii="Arial Narrow" w:hAnsi="Arial Narrow"/>
                <w:b/>
                <w:sz w:val="20"/>
                <w:szCs w:val="20"/>
              </w:rPr>
            </w:pPr>
            <w:r w:rsidRPr="00260CE3">
              <w:rPr>
                <w:rFonts w:ascii="Arial Narrow" w:hAnsi="Arial Narrow"/>
                <w:b/>
                <w:sz w:val="20"/>
                <w:szCs w:val="20"/>
              </w:rPr>
              <w:t>Category / Program</w:t>
            </w:r>
          </w:p>
        </w:tc>
        <w:tc>
          <w:tcPr>
            <w:tcW w:w="6237" w:type="dxa"/>
            <w:tcBorders>
              <w:top w:val="single" w:sz="4" w:space="0" w:color="auto"/>
              <w:left w:val="single" w:sz="4" w:space="0" w:color="auto"/>
              <w:bottom w:val="single" w:sz="4" w:space="0" w:color="auto"/>
              <w:right w:val="single" w:sz="4" w:space="0" w:color="auto"/>
            </w:tcBorders>
          </w:tcPr>
          <w:p w:rsidR="00606B8F" w:rsidRPr="00260CE3" w:rsidRDefault="00606B8F" w:rsidP="007C13C1">
            <w:pPr>
              <w:keepNext/>
              <w:widowControl/>
              <w:rPr>
                <w:rFonts w:ascii="Arial Narrow" w:hAnsi="Arial Narrow"/>
                <w:sz w:val="20"/>
                <w:szCs w:val="20"/>
              </w:rPr>
            </w:pPr>
            <w:r w:rsidRPr="00260CE3">
              <w:rPr>
                <w:rFonts w:ascii="Arial Narrow" w:hAnsi="Arial Narrow"/>
                <w:sz w:val="20"/>
                <w:szCs w:val="20"/>
              </w:rPr>
              <w:t>Section 100 – Highly Specialised Drugs Program</w:t>
            </w:r>
            <w:r>
              <w:rPr>
                <w:rFonts w:ascii="Arial Narrow" w:hAnsi="Arial Narrow"/>
                <w:sz w:val="20"/>
                <w:szCs w:val="20"/>
              </w:rPr>
              <w:t xml:space="preserve"> (Community Access)</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sidRPr="00260CE3">
              <w:rPr>
                <w:rFonts w:ascii="Arial Narrow" w:hAnsi="Arial Narrow"/>
                <w:b/>
                <w:sz w:val="20"/>
                <w:szCs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606B8F" w:rsidRPr="00127A17" w:rsidRDefault="00127A17" w:rsidP="002F6883">
            <w:pPr>
              <w:widowControl/>
              <w:rPr>
                <w:rFonts w:ascii="Arial Narrow" w:hAnsi="Arial Narrow"/>
                <w:i/>
                <w:sz w:val="20"/>
                <w:szCs w:val="20"/>
              </w:rPr>
            </w:pPr>
            <w:r w:rsidRPr="00127A17">
              <w:rPr>
                <w:rFonts w:ascii="Arial Narrow" w:hAnsi="Arial Narrow"/>
                <w:i/>
                <w:sz w:val="20"/>
                <w:szCs w:val="20"/>
              </w:rPr>
              <w:t>&lt;As per initial treatment&gt;</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7C13C1">
            <w:pPr>
              <w:widowControl/>
              <w:rPr>
                <w:rFonts w:ascii="Arial Narrow" w:hAnsi="Arial Narrow"/>
                <w:sz w:val="20"/>
                <w:szCs w:val="20"/>
              </w:rPr>
            </w:pPr>
            <w:r w:rsidRPr="00260CE3">
              <w:rPr>
                <w:rFonts w:ascii="Arial Narrow" w:hAnsi="Arial Narrow"/>
                <w:b/>
                <w:sz w:val="20"/>
                <w:szCs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606B8F" w:rsidRDefault="00606B8F" w:rsidP="002F6883">
            <w:pPr>
              <w:widowControl/>
              <w:rPr>
                <w:rFonts w:ascii="Arial Narrow" w:hAnsi="Arial Narrow"/>
                <w:i/>
                <w:sz w:val="20"/>
                <w:szCs w:val="20"/>
              </w:rPr>
            </w:pPr>
            <w:r w:rsidRPr="00FE3671">
              <w:rPr>
                <w:rFonts w:ascii="Arial Narrow" w:hAnsi="Arial Narrow"/>
                <w:sz w:val="20"/>
                <w:szCs w:val="20"/>
              </w:rPr>
              <w:t xml:space="preserve">Patient must have previously received PBS subsidised treatment with </w:t>
            </w:r>
            <w:r w:rsidRPr="00B204EF">
              <w:rPr>
                <w:rFonts w:ascii="Arial Narrow" w:hAnsi="Arial Narrow"/>
                <w:sz w:val="20"/>
                <w:szCs w:val="20"/>
              </w:rPr>
              <w:t>this drug</w:t>
            </w:r>
            <w:r w:rsidRPr="00B204EF">
              <w:rPr>
                <w:rFonts w:ascii="Arial Narrow" w:hAnsi="Arial Narrow"/>
                <w:i/>
                <w:sz w:val="20"/>
                <w:szCs w:val="20"/>
              </w:rPr>
              <w:t xml:space="preserve"> for this condition</w:t>
            </w:r>
            <w:r>
              <w:rPr>
                <w:rFonts w:ascii="Arial Narrow" w:hAnsi="Arial Narrow"/>
                <w:i/>
                <w:sz w:val="20"/>
                <w:szCs w:val="20"/>
              </w:rPr>
              <w:t>.</w:t>
            </w:r>
          </w:p>
          <w:p w:rsidR="00127A17" w:rsidRPr="00A97ED0" w:rsidRDefault="00127A17" w:rsidP="002F6883">
            <w:pPr>
              <w:widowControl/>
              <w:rPr>
                <w:rFonts w:ascii="Arial Narrow" w:hAnsi="Arial Narrow"/>
                <w:i/>
                <w:sz w:val="20"/>
              </w:rPr>
            </w:pPr>
            <w:r>
              <w:rPr>
                <w:rFonts w:ascii="Arial Narrow" w:hAnsi="Arial Narrow"/>
                <w:i/>
                <w:sz w:val="20"/>
              </w:rPr>
              <w:t>AND</w:t>
            </w:r>
          </w:p>
          <w:p w:rsidR="00127A17" w:rsidRPr="00260CE3" w:rsidRDefault="00127A17" w:rsidP="002F6883">
            <w:pPr>
              <w:widowControl/>
              <w:rPr>
                <w:rFonts w:ascii="Arial Narrow" w:hAnsi="Arial Narrow"/>
                <w:sz w:val="20"/>
                <w:szCs w:val="20"/>
              </w:rPr>
            </w:pPr>
            <w:r>
              <w:rPr>
                <w:rFonts w:ascii="Arial Narrow" w:hAnsi="Arial Narrow"/>
                <w:i/>
                <w:sz w:val="20"/>
              </w:rPr>
              <w:t>The treatment must not be in combination with</w:t>
            </w:r>
            <w:r w:rsidR="00B9662C">
              <w:rPr>
                <w:rFonts w:ascii="Arial Narrow" w:hAnsi="Arial Narrow"/>
                <w:i/>
                <w:sz w:val="20"/>
              </w:rPr>
              <w:t xml:space="preserve"> PBS-subsidised</w:t>
            </w:r>
            <w:r>
              <w:rPr>
                <w:rFonts w:ascii="Arial Narrow" w:hAnsi="Arial Narrow"/>
                <w:i/>
                <w:sz w:val="20"/>
              </w:rPr>
              <w:t xml:space="preserve"> nintedanib.</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sidRPr="00260CE3">
              <w:rPr>
                <w:rFonts w:ascii="Arial Narrow" w:hAnsi="Arial Narrow"/>
                <w:b/>
                <w:sz w:val="20"/>
                <w:szCs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127A17" w:rsidRPr="00260CE3" w:rsidRDefault="00606B8F" w:rsidP="002F6883">
            <w:pPr>
              <w:widowControl/>
              <w:rPr>
                <w:rFonts w:ascii="Arial Narrow" w:hAnsi="Arial Narrow"/>
                <w:sz w:val="20"/>
                <w:szCs w:val="20"/>
              </w:rPr>
            </w:pPr>
            <w:r>
              <w:rPr>
                <w:rFonts w:ascii="Arial Narrow" w:hAnsi="Arial Narrow"/>
                <w:sz w:val="20"/>
                <w:szCs w:val="20"/>
              </w:rPr>
              <w:t>Patient must be aged 40 years or older.</w:t>
            </w:r>
          </w:p>
        </w:tc>
      </w:tr>
    </w:tbl>
    <w:p w:rsidR="00606B8F" w:rsidRPr="00552722" w:rsidRDefault="00606B8F" w:rsidP="002F6883">
      <w:pPr>
        <w:widowControl/>
        <w:rPr>
          <w:szCs w:val="22"/>
        </w:rPr>
      </w:pPr>
    </w:p>
    <w:tbl>
      <w:tblPr>
        <w:tblW w:w="8363" w:type="dxa"/>
        <w:tblInd w:w="817" w:type="dxa"/>
        <w:tblLayout w:type="fixed"/>
        <w:tblLook w:val="0000" w:firstRow="0" w:lastRow="0" w:firstColumn="0" w:lastColumn="0" w:noHBand="0" w:noVBand="0"/>
      </w:tblPr>
      <w:tblGrid>
        <w:gridCol w:w="2126"/>
        <w:gridCol w:w="6237"/>
      </w:tblGrid>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b/>
                <w:sz w:val="20"/>
                <w:szCs w:val="20"/>
              </w:rPr>
            </w:pPr>
            <w:r w:rsidRPr="00260CE3">
              <w:rPr>
                <w:rFonts w:ascii="Arial Narrow" w:hAnsi="Arial Narrow"/>
                <w:b/>
                <w:sz w:val="20"/>
                <w:szCs w:val="20"/>
              </w:rPr>
              <w:lastRenderedPageBreak/>
              <w:t>Treatment phase:</w:t>
            </w:r>
          </w:p>
        </w:tc>
        <w:tc>
          <w:tcPr>
            <w:tcW w:w="6237"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sidRPr="00302ED0">
              <w:rPr>
                <w:rFonts w:ascii="Arial Narrow" w:hAnsi="Arial Narrow"/>
                <w:sz w:val="20"/>
              </w:rPr>
              <w:t>Initial PBS-subsidised treatment (grandfather patient)</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7C13C1">
            <w:pPr>
              <w:widowControl/>
              <w:rPr>
                <w:rFonts w:ascii="Arial Narrow" w:hAnsi="Arial Narrow"/>
                <w:b/>
                <w:sz w:val="20"/>
                <w:szCs w:val="20"/>
              </w:rPr>
            </w:pPr>
            <w:r w:rsidRPr="00260CE3">
              <w:rPr>
                <w:rFonts w:ascii="Arial Narrow" w:hAnsi="Arial Narrow"/>
                <w:b/>
                <w:sz w:val="20"/>
                <w:szCs w:val="20"/>
              </w:rPr>
              <w:t>Category / Program</w:t>
            </w:r>
          </w:p>
        </w:tc>
        <w:tc>
          <w:tcPr>
            <w:tcW w:w="6237" w:type="dxa"/>
            <w:tcBorders>
              <w:top w:val="single" w:sz="4" w:space="0" w:color="auto"/>
              <w:left w:val="single" w:sz="4" w:space="0" w:color="auto"/>
              <w:bottom w:val="single" w:sz="4" w:space="0" w:color="auto"/>
              <w:right w:val="single" w:sz="4" w:space="0" w:color="auto"/>
            </w:tcBorders>
          </w:tcPr>
          <w:p w:rsidR="00606B8F" w:rsidRPr="00260CE3" w:rsidRDefault="00606B8F" w:rsidP="007C13C1">
            <w:pPr>
              <w:widowControl/>
              <w:rPr>
                <w:rFonts w:ascii="Arial Narrow" w:hAnsi="Arial Narrow"/>
                <w:sz w:val="20"/>
                <w:szCs w:val="20"/>
              </w:rPr>
            </w:pPr>
            <w:r w:rsidRPr="00260CE3">
              <w:rPr>
                <w:rFonts w:ascii="Arial Narrow" w:hAnsi="Arial Narrow"/>
                <w:sz w:val="20"/>
                <w:szCs w:val="20"/>
              </w:rPr>
              <w:t>Section 100 – Highly Specialised Drugs Program</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606B8F" w:rsidRPr="00127A17" w:rsidRDefault="00127A17" w:rsidP="002F6883">
            <w:pPr>
              <w:widowControl/>
              <w:rPr>
                <w:rFonts w:ascii="Arial Narrow" w:hAnsi="Arial Narrow"/>
                <w:i/>
                <w:sz w:val="20"/>
                <w:szCs w:val="20"/>
              </w:rPr>
            </w:pPr>
            <w:r w:rsidRPr="00127A17">
              <w:rPr>
                <w:rFonts w:ascii="Arial Narrow" w:hAnsi="Arial Narrow"/>
                <w:i/>
                <w:sz w:val="20"/>
                <w:szCs w:val="20"/>
              </w:rPr>
              <w:t>&lt;As per initial treatment&gt;</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606B8F" w:rsidRDefault="00606B8F" w:rsidP="002F6883">
            <w:pPr>
              <w:widowControl/>
              <w:rPr>
                <w:rFonts w:ascii="Arial Narrow" w:hAnsi="Arial Narrow"/>
                <w:sz w:val="20"/>
                <w:szCs w:val="20"/>
              </w:rPr>
            </w:pPr>
            <w:r w:rsidRPr="008C0B1B">
              <w:rPr>
                <w:rFonts w:ascii="Arial Narrow" w:hAnsi="Arial Narrow"/>
                <w:sz w:val="20"/>
                <w:szCs w:val="20"/>
              </w:rPr>
              <w:t xml:space="preserve">Patient must have </w:t>
            </w:r>
            <w:r>
              <w:rPr>
                <w:rFonts w:ascii="Arial Narrow" w:hAnsi="Arial Narrow"/>
                <w:i/>
                <w:sz w:val="20"/>
                <w:szCs w:val="20"/>
              </w:rPr>
              <w:t xml:space="preserve">previously </w:t>
            </w:r>
            <w:r w:rsidRPr="008C0B1B">
              <w:rPr>
                <w:rFonts w:ascii="Arial Narrow" w:hAnsi="Arial Narrow"/>
                <w:sz w:val="20"/>
                <w:szCs w:val="20"/>
              </w:rPr>
              <w:t xml:space="preserve">received non-PBS subsidised treatment with </w:t>
            </w:r>
            <w:r w:rsidRPr="00127A17">
              <w:rPr>
                <w:rFonts w:ascii="Arial Narrow" w:hAnsi="Arial Narrow"/>
                <w:sz w:val="20"/>
                <w:szCs w:val="20"/>
              </w:rPr>
              <w:t>this drug</w:t>
            </w:r>
            <w:r w:rsidRPr="008C0B1B">
              <w:rPr>
                <w:rFonts w:ascii="Arial Narrow" w:hAnsi="Arial Narrow"/>
                <w:sz w:val="20"/>
                <w:szCs w:val="20"/>
              </w:rPr>
              <w:t xml:space="preserve"> </w:t>
            </w:r>
            <w:r w:rsidR="00127A17" w:rsidRPr="00127A17">
              <w:rPr>
                <w:rFonts w:ascii="Arial Narrow" w:hAnsi="Arial Narrow"/>
                <w:i/>
                <w:sz w:val="20"/>
                <w:szCs w:val="20"/>
              </w:rPr>
              <w:t>for this condition</w:t>
            </w:r>
            <w:r w:rsidR="00127A17">
              <w:rPr>
                <w:rFonts w:ascii="Arial Narrow" w:hAnsi="Arial Narrow"/>
                <w:sz w:val="20"/>
                <w:szCs w:val="20"/>
              </w:rPr>
              <w:t xml:space="preserve"> </w:t>
            </w:r>
            <w:r w:rsidRPr="008C0B1B">
              <w:rPr>
                <w:rFonts w:ascii="Arial Narrow" w:hAnsi="Arial Narrow"/>
                <w:sz w:val="20"/>
                <w:szCs w:val="20"/>
              </w:rPr>
              <w:t>prior to [listing date]</w:t>
            </w:r>
          </w:p>
          <w:p w:rsidR="00127A17" w:rsidRPr="00A97ED0" w:rsidRDefault="00127A17" w:rsidP="002F6883">
            <w:pPr>
              <w:widowControl/>
              <w:rPr>
                <w:rFonts w:ascii="Arial Narrow" w:hAnsi="Arial Narrow"/>
                <w:i/>
                <w:sz w:val="20"/>
              </w:rPr>
            </w:pPr>
            <w:r>
              <w:rPr>
                <w:rFonts w:ascii="Arial Narrow" w:hAnsi="Arial Narrow"/>
                <w:i/>
                <w:sz w:val="20"/>
              </w:rPr>
              <w:t>AND</w:t>
            </w:r>
          </w:p>
          <w:p w:rsidR="00127A17" w:rsidRPr="00260CE3" w:rsidRDefault="00127A17" w:rsidP="002F6883">
            <w:pPr>
              <w:widowControl/>
              <w:rPr>
                <w:rFonts w:ascii="Arial Narrow" w:hAnsi="Arial Narrow"/>
                <w:sz w:val="20"/>
                <w:szCs w:val="20"/>
              </w:rPr>
            </w:pPr>
            <w:r>
              <w:rPr>
                <w:rFonts w:ascii="Arial Narrow" w:hAnsi="Arial Narrow"/>
                <w:i/>
                <w:sz w:val="20"/>
              </w:rPr>
              <w:t xml:space="preserve">The treatment must not be in combination with </w:t>
            </w:r>
            <w:r w:rsidR="00B9662C">
              <w:rPr>
                <w:rFonts w:ascii="Arial Narrow" w:hAnsi="Arial Narrow"/>
                <w:i/>
                <w:sz w:val="20"/>
              </w:rPr>
              <w:t xml:space="preserve">PBS-subsidised </w:t>
            </w:r>
            <w:r>
              <w:rPr>
                <w:rFonts w:ascii="Arial Narrow" w:hAnsi="Arial Narrow"/>
                <w:i/>
                <w:sz w:val="20"/>
              </w:rPr>
              <w:t>nintedanib.</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B77F52" w:rsidRDefault="00606B8F" w:rsidP="002F6883">
            <w:pPr>
              <w:widowControl/>
              <w:rPr>
                <w:rFonts w:ascii="Arial Narrow" w:hAnsi="Arial Narrow"/>
                <w:b/>
                <w:sz w:val="20"/>
                <w:szCs w:val="20"/>
              </w:rPr>
            </w:pPr>
            <w:r w:rsidRPr="00260CE3">
              <w:rPr>
                <w:rFonts w:ascii="Arial Narrow" w:hAnsi="Arial Narrow"/>
                <w:b/>
                <w:sz w:val="20"/>
                <w:szCs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sz w:val="20"/>
                <w:szCs w:val="20"/>
              </w:rPr>
            </w:pPr>
            <w:r>
              <w:rPr>
                <w:rFonts w:ascii="Arial Narrow" w:hAnsi="Arial Narrow"/>
                <w:sz w:val="20"/>
                <w:szCs w:val="20"/>
              </w:rPr>
              <w:t>Patient must be aged 40 years or older.</w:t>
            </w:r>
          </w:p>
        </w:tc>
      </w:tr>
      <w:tr w:rsidR="00606B8F" w:rsidRPr="00260CE3" w:rsidTr="008C54C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06B8F" w:rsidRPr="00260CE3" w:rsidRDefault="00606B8F" w:rsidP="002F6883">
            <w:pPr>
              <w:widowControl/>
              <w:rPr>
                <w:rFonts w:ascii="Arial Narrow" w:hAnsi="Arial Narrow"/>
                <w:b/>
                <w:sz w:val="20"/>
                <w:szCs w:val="20"/>
              </w:rPr>
            </w:pPr>
            <w:r w:rsidRPr="00260CE3">
              <w:rPr>
                <w:rFonts w:ascii="Arial Narrow" w:hAnsi="Arial Narrow"/>
                <w:b/>
                <w:sz w:val="20"/>
                <w:szCs w:val="20"/>
              </w:rPr>
              <w:t>Prescriber Instructions</w:t>
            </w:r>
          </w:p>
        </w:tc>
        <w:tc>
          <w:tcPr>
            <w:tcW w:w="6237" w:type="dxa"/>
            <w:tcBorders>
              <w:top w:val="single" w:sz="4" w:space="0" w:color="auto"/>
              <w:left w:val="single" w:sz="4" w:space="0" w:color="auto"/>
              <w:bottom w:val="single" w:sz="4" w:space="0" w:color="auto"/>
              <w:right w:val="single" w:sz="4" w:space="0" w:color="auto"/>
            </w:tcBorders>
          </w:tcPr>
          <w:p w:rsidR="00606B8F" w:rsidRPr="00127A17" w:rsidRDefault="00127A17" w:rsidP="002F6883">
            <w:pPr>
              <w:pStyle w:val="TableText0"/>
              <w:rPr>
                <w:rFonts w:cs="Arial"/>
                <w:bCs/>
                <w:i/>
                <w:lang w:eastAsia="en-AU"/>
              </w:rPr>
            </w:pPr>
            <w:r w:rsidRPr="00127A17">
              <w:rPr>
                <w:i/>
                <w:szCs w:val="20"/>
              </w:rPr>
              <w:t>&lt;As per initial treatment&gt;</w:t>
            </w:r>
          </w:p>
        </w:tc>
      </w:tr>
    </w:tbl>
    <w:p w:rsidR="003B608B" w:rsidRPr="007C13C1" w:rsidRDefault="003B608B" w:rsidP="007C13C1">
      <w:pPr>
        <w:widowControl/>
        <w:rPr>
          <w:szCs w:val="22"/>
        </w:rPr>
      </w:pPr>
    </w:p>
    <w:p w:rsidR="009B551B" w:rsidRPr="009B551B" w:rsidRDefault="00EF069D" w:rsidP="002F6883">
      <w:pPr>
        <w:pStyle w:val="ListParagraph"/>
        <w:widowControl/>
        <w:numPr>
          <w:ilvl w:val="1"/>
          <w:numId w:val="4"/>
        </w:numPr>
        <w:rPr>
          <w:szCs w:val="22"/>
        </w:rPr>
      </w:pPr>
      <w:r>
        <w:rPr>
          <w:szCs w:val="22"/>
        </w:rPr>
        <w:t>The current resubmission sought listing on the basis of a cost utility analysis (CUA) comparing pirfenidone to best supportive care (BSC).</w:t>
      </w:r>
      <w:r w:rsidR="009B551B">
        <w:rPr>
          <w:szCs w:val="22"/>
        </w:rPr>
        <w:t xml:space="preserve"> </w:t>
      </w:r>
      <w:r w:rsidR="009B551B" w:rsidRPr="009B551B">
        <w:rPr>
          <w:szCs w:val="22"/>
        </w:rPr>
        <w:t>As in the March 2016 minor resubmission, the current resubmission proposed a special pricing arrangement (SPA)</w:t>
      </w:r>
      <w:r w:rsidR="00E15DBE">
        <w:rPr>
          <w:szCs w:val="22"/>
        </w:rPr>
        <w:t xml:space="preserve"> with effective DPMQs</w:t>
      </w:r>
      <w:r w:rsidR="00E15DBE" w:rsidRPr="009B551B">
        <w:rPr>
          <w:szCs w:val="22"/>
        </w:rPr>
        <w:t xml:space="preserve"> of $</w:t>
      </w:r>
      <w:r w:rsidR="00F60B7B">
        <w:rPr>
          <w:noProof/>
          <w:color w:val="000000"/>
          <w:szCs w:val="22"/>
          <w:highlight w:val="black"/>
        </w:rPr>
        <w:t>'''''''''''''''''''</w:t>
      </w:r>
      <w:r w:rsidR="00E15DBE" w:rsidRPr="009B551B">
        <w:rPr>
          <w:szCs w:val="22"/>
        </w:rPr>
        <w:t xml:space="preserve"> for public hospital and $</w:t>
      </w:r>
      <w:r w:rsidR="00F60B7B">
        <w:rPr>
          <w:noProof/>
          <w:color w:val="000000"/>
          <w:szCs w:val="22"/>
          <w:highlight w:val="black"/>
        </w:rPr>
        <w:t>'''''''''''''''''''''</w:t>
      </w:r>
      <w:r w:rsidR="00E15DBE" w:rsidRPr="009B551B">
        <w:rPr>
          <w:szCs w:val="22"/>
        </w:rPr>
        <w:t xml:space="preserve"> for private hospital</w:t>
      </w:r>
      <w:r w:rsidR="006146D0">
        <w:rPr>
          <w:szCs w:val="22"/>
        </w:rPr>
        <w:t xml:space="preserve"> under S</w:t>
      </w:r>
      <w:r w:rsidR="005D05AF">
        <w:rPr>
          <w:szCs w:val="22"/>
        </w:rPr>
        <w:t xml:space="preserve">ection </w:t>
      </w:r>
      <w:r w:rsidR="006146D0">
        <w:rPr>
          <w:szCs w:val="22"/>
        </w:rPr>
        <w:t>100 (HSD)</w:t>
      </w:r>
      <w:r w:rsidR="009B551B" w:rsidRPr="009B551B">
        <w:rPr>
          <w:szCs w:val="22"/>
        </w:rPr>
        <w:t xml:space="preserve">. </w:t>
      </w:r>
      <w:r w:rsidR="00E15DBE">
        <w:rPr>
          <w:szCs w:val="22"/>
        </w:rPr>
        <w:t>The equivalent effective DPMQ if recommended as a General Schedule</w:t>
      </w:r>
      <w:r w:rsidR="0013037E">
        <w:rPr>
          <w:szCs w:val="22"/>
        </w:rPr>
        <w:t xml:space="preserve"> (Section 85) listing</w:t>
      </w:r>
      <w:r w:rsidR="009B551B" w:rsidRPr="009B551B">
        <w:rPr>
          <w:szCs w:val="22"/>
        </w:rPr>
        <w:t xml:space="preserve"> would be $</w:t>
      </w:r>
      <w:r w:rsidR="00F60B7B">
        <w:rPr>
          <w:noProof/>
          <w:color w:val="000000"/>
          <w:szCs w:val="22"/>
          <w:highlight w:val="black"/>
        </w:rPr>
        <w:t>''''''''''''''''''''''</w:t>
      </w:r>
      <w:r w:rsidR="009B551B" w:rsidRPr="009B551B">
        <w:rPr>
          <w:szCs w:val="22"/>
        </w:rPr>
        <w:t>.</w:t>
      </w:r>
    </w:p>
    <w:p w:rsidR="00EF069D" w:rsidRPr="007C13C1" w:rsidRDefault="00EF069D" w:rsidP="002F6883">
      <w:pPr>
        <w:widowControl/>
        <w:rPr>
          <w:szCs w:val="22"/>
        </w:rPr>
      </w:pPr>
    </w:p>
    <w:p w:rsidR="00EF069D" w:rsidRPr="006146D0" w:rsidRDefault="0064435C" w:rsidP="002F6883">
      <w:pPr>
        <w:pStyle w:val="ListParagraph"/>
        <w:widowControl/>
        <w:numPr>
          <w:ilvl w:val="1"/>
          <w:numId w:val="4"/>
        </w:numPr>
        <w:rPr>
          <w:szCs w:val="22"/>
        </w:rPr>
      </w:pPr>
      <w:r w:rsidRPr="0064435C">
        <w:rPr>
          <w:szCs w:val="22"/>
        </w:rPr>
        <w:t>In November 2015, the PBAC requested that a future resubmission should explore the cost effectiveness of a stopping rule in restr</w:t>
      </w:r>
      <w:r>
        <w:rPr>
          <w:szCs w:val="22"/>
        </w:rPr>
        <w:t>icting</w:t>
      </w:r>
      <w:r w:rsidRPr="0064435C">
        <w:rPr>
          <w:szCs w:val="22"/>
        </w:rPr>
        <w:t xml:space="preserve"> use of pirfenidone to patients likely to receive the most benefit.</w:t>
      </w:r>
      <w:r>
        <w:rPr>
          <w:szCs w:val="22"/>
        </w:rPr>
        <w:t xml:space="preserve"> In March 2016, the sponsor proposed a </w:t>
      </w:r>
      <w:r w:rsidR="00F60B7B">
        <w:rPr>
          <w:noProof/>
          <w:color w:val="000000"/>
          <w:szCs w:val="22"/>
          <w:highlight w:val="black"/>
        </w:rPr>
        <w:t>''''''</w:t>
      </w:r>
      <w:r>
        <w:rPr>
          <w:szCs w:val="22"/>
        </w:rPr>
        <w:t xml:space="preserve">% rebate on the published price with the intention of improving the cost effectiveness to ensure a stopping rule would not be required. In its consideration of the March 2016 minor resubmission, </w:t>
      </w:r>
      <w:r w:rsidR="00EF069D" w:rsidRPr="0064435C">
        <w:rPr>
          <w:szCs w:val="22"/>
        </w:rPr>
        <w:t xml:space="preserve">the PBAC </w:t>
      </w:r>
      <w:r w:rsidR="00436253">
        <w:rPr>
          <w:szCs w:val="22"/>
        </w:rPr>
        <w:t xml:space="preserve">considered </w:t>
      </w:r>
      <w:r w:rsidR="00EF069D" w:rsidRPr="0064435C">
        <w:rPr>
          <w:szCs w:val="22"/>
        </w:rPr>
        <w:t>that implementing a stopping rule</w:t>
      </w:r>
      <w:r w:rsidR="00F73663" w:rsidRPr="0064435C">
        <w:rPr>
          <w:szCs w:val="22"/>
        </w:rPr>
        <w:t xml:space="preserve"> for </w:t>
      </w:r>
      <w:r w:rsidR="00C459AD" w:rsidRPr="0064435C">
        <w:rPr>
          <w:szCs w:val="22"/>
        </w:rPr>
        <w:t>pirfenidone</w:t>
      </w:r>
      <w:r w:rsidR="00EF069D" w:rsidRPr="0064435C">
        <w:rPr>
          <w:szCs w:val="22"/>
        </w:rPr>
        <w:t xml:space="preserve"> wou</w:t>
      </w:r>
      <w:r w:rsidR="00EF069D">
        <w:rPr>
          <w:szCs w:val="22"/>
        </w:rPr>
        <w:t xml:space="preserve">ld be difficult in clinical practice (March 2016 PSD, paragraph 5.2). </w:t>
      </w:r>
      <w:r w:rsidR="00EF069D" w:rsidRPr="00764A8E">
        <w:rPr>
          <w:szCs w:val="22"/>
        </w:rPr>
        <w:t xml:space="preserve">The </w:t>
      </w:r>
      <w:r w:rsidR="00532744">
        <w:rPr>
          <w:szCs w:val="22"/>
        </w:rPr>
        <w:t>Pre-Sub-Committee</w:t>
      </w:r>
      <w:r w:rsidR="00A11F24">
        <w:rPr>
          <w:szCs w:val="22"/>
        </w:rPr>
        <w:t xml:space="preserve"> </w:t>
      </w:r>
      <w:r w:rsidR="00532744">
        <w:rPr>
          <w:szCs w:val="22"/>
        </w:rPr>
        <w:t>Response (</w:t>
      </w:r>
      <w:r w:rsidR="00EF069D" w:rsidRPr="00764A8E">
        <w:rPr>
          <w:szCs w:val="22"/>
        </w:rPr>
        <w:t>PSCR</w:t>
      </w:r>
      <w:r w:rsidR="00532744">
        <w:rPr>
          <w:szCs w:val="22"/>
        </w:rPr>
        <w:t>)</w:t>
      </w:r>
      <w:r w:rsidR="00EF069D" w:rsidRPr="00764A8E">
        <w:rPr>
          <w:szCs w:val="22"/>
        </w:rPr>
        <w:t xml:space="preserve"> (p2) </w:t>
      </w:r>
      <w:r w:rsidR="007B7DB3" w:rsidRPr="00764A8E">
        <w:rPr>
          <w:szCs w:val="22"/>
        </w:rPr>
        <w:t>stated</w:t>
      </w:r>
      <w:r w:rsidR="00EF069D" w:rsidRPr="00764A8E">
        <w:rPr>
          <w:szCs w:val="22"/>
        </w:rPr>
        <w:t xml:space="preserve"> that it would be clinically unjustifiable to impose a stopping rule when robust evidence exists supporting continued treatment, and no evidence exists to support discontinuation at a defined point of the disease course.</w:t>
      </w:r>
      <w:r w:rsidR="007B7DB3" w:rsidRPr="00764A8E">
        <w:rPr>
          <w:szCs w:val="22"/>
        </w:rPr>
        <w:t xml:space="preserve"> </w:t>
      </w:r>
      <w:r w:rsidR="001C41DE">
        <w:rPr>
          <w:szCs w:val="22"/>
        </w:rPr>
        <w:t>T</w:t>
      </w:r>
      <w:r w:rsidR="00701897" w:rsidRPr="00764A8E">
        <w:t xml:space="preserve">he ESC considered that it may be preferable to manage the risk of continuing treatment with </w:t>
      </w:r>
      <w:r w:rsidR="008C6419" w:rsidRPr="00764A8E">
        <w:t>pirfenidone</w:t>
      </w:r>
      <w:r w:rsidR="00701897" w:rsidRPr="00764A8E">
        <w:t xml:space="preserve"> in patients who have experienced a significant decline in lung function through other methods (e.g. </w:t>
      </w:r>
      <w:r w:rsidR="001C41DE">
        <w:t xml:space="preserve">a </w:t>
      </w:r>
      <w:r w:rsidR="00701897" w:rsidRPr="00764A8E">
        <w:t xml:space="preserve">risk sharing </w:t>
      </w:r>
      <w:r w:rsidR="001C41DE">
        <w:t>arrangement</w:t>
      </w:r>
      <w:r w:rsidR="001C41DE" w:rsidRPr="00764A8E">
        <w:t xml:space="preserve"> </w:t>
      </w:r>
      <w:r w:rsidR="00701897" w:rsidRPr="00764A8E">
        <w:t>(RSA)).</w:t>
      </w:r>
    </w:p>
    <w:p w:rsidR="006146D0" w:rsidRPr="007C13C1" w:rsidRDefault="006146D0" w:rsidP="006146D0">
      <w:pPr>
        <w:widowControl/>
        <w:rPr>
          <w:szCs w:val="22"/>
        </w:rPr>
      </w:pPr>
    </w:p>
    <w:p w:rsidR="007C3EC6" w:rsidRPr="007C3EC6" w:rsidRDefault="00D96DB0" w:rsidP="002F6883">
      <w:pPr>
        <w:pStyle w:val="ListParagraph"/>
        <w:widowControl/>
        <w:numPr>
          <w:ilvl w:val="1"/>
          <w:numId w:val="4"/>
        </w:numPr>
        <w:rPr>
          <w:szCs w:val="22"/>
        </w:rPr>
      </w:pPr>
      <w:r>
        <w:t xml:space="preserve">The </w:t>
      </w:r>
      <w:r w:rsidR="007B7DB3" w:rsidRPr="00C91E12">
        <w:t>re</w:t>
      </w:r>
      <w:r w:rsidR="007C3EC6" w:rsidRPr="00C91E12">
        <w:t>submission</w:t>
      </w:r>
      <w:r w:rsidR="007B7DB3" w:rsidRPr="00C91E12">
        <w:t xml:space="preserve"> and the PSCR (p2)</w:t>
      </w:r>
      <w:r w:rsidR="007C3EC6" w:rsidRPr="00C91E12">
        <w:t xml:space="preserve"> </w:t>
      </w:r>
      <w:r w:rsidR="007B7DB3" w:rsidRPr="00C91E12">
        <w:t>justified</w:t>
      </w:r>
      <w:r w:rsidR="007B7DB3">
        <w:t xml:space="preserve"> the request for listing under </w:t>
      </w:r>
      <w:r w:rsidR="007C3EC6">
        <w:t xml:space="preserve">Section 100 </w:t>
      </w:r>
      <w:r w:rsidR="007B7DB3">
        <w:t>(</w:t>
      </w:r>
      <w:r w:rsidR="00532744">
        <w:t>HSD)</w:t>
      </w:r>
      <w:r w:rsidR="007B7DB3">
        <w:t xml:space="preserve"> for the following reasons</w:t>
      </w:r>
      <w:r w:rsidR="007C3EC6">
        <w:t>:</w:t>
      </w:r>
    </w:p>
    <w:p w:rsidR="007C3EC6" w:rsidRDefault="007C3EC6" w:rsidP="002F6883">
      <w:pPr>
        <w:pStyle w:val="ListParagraph"/>
        <w:widowControl/>
        <w:numPr>
          <w:ilvl w:val="0"/>
          <w:numId w:val="5"/>
        </w:numPr>
        <w:ind w:left="993" w:hanging="273"/>
      </w:pPr>
      <w:r>
        <w:t>Pirfenidone is a medicine for the treatment of a chronic condition</w:t>
      </w:r>
      <w:r w:rsidR="000B56CB">
        <w:t>,</w:t>
      </w:r>
      <w:r>
        <w:t xml:space="preserve"> which requires access to specialist facilities to ensure accurate diagnosis.</w:t>
      </w:r>
    </w:p>
    <w:p w:rsidR="007C3EC6" w:rsidRDefault="007C3EC6" w:rsidP="002F6883">
      <w:pPr>
        <w:pStyle w:val="ListParagraph"/>
        <w:widowControl/>
        <w:numPr>
          <w:ilvl w:val="0"/>
          <w:numId w:val="5"/>
        </w:numPr>
        <w:ind w:left="993" w:hanging="273"/>
      </w:pPr>
      <w:r>
        <w:t>IPF is an analogous clinical condition to pulmona</w:t>
      </w:r>
      <w:r w:rsidR="00453AB4">
        <w:t>ry arterial hypertension (PAH);</w:t>
      </w:r>
      <w:r>
        <w:t xml:space="preserve"> PAH treatments </w:t>
      </w:r>
      <w:r w:rsidR="00453AB4">
        <w:t>(</w:t>
      </w:r>
      <w:r>
        <w:t>including; ambrisentan, bosentan monohydrate, epopros</w:t>
      </w:r>
      <w:r w:rsidR="00A11F24">
        <w:t>ten</w:t>
      </w:r>
      <w:r>
        <w:t>ol sodium, iloprost trometamol, macitentan, sildenafil citrate, and tadalafil</w:t>
      </w:r>
      <w:r w:rsidR="00453AB4">
        <w:t>)</w:t>
      </w:r>
      <w:r>
        <w:t xml:space="preserve"> are listed as S</w:t>
      </w:r>
      <w:r w:rsidR="00532744">
        <w:t xml:space="preserve">ection </w:t>
      </w:r>
      <w:r>
        <w:t xml:space="preserve">100 </w:t>
      </w:r>
      <w:r w:rsidR="00532744">
        <w:t>(</w:t>
      </w:r>
      <w:r>
        <w:t>HSD</w:t>
      </w:r>
      <w:r w:rsidR="00532744">
        <w:t>)</w:t>
      </w:r>
      <w:r>
        <w:t>. The current resubmission noted that contrary to the S</w:t>
      </w:r>
      <w:r w:rsidR="00532744">
        <w:t xml:space="preserve">ection </w:t>
      </w:r>
      <w:r>
        <w:t xml:space="preserve">100 listings for PAH agents, the resubmission only proposed that </w:t>
      </w:r>
      <w:r w:rsidR="000450A7">
        <w:t xml:space="preserve">the </w:t>
      </w:r>
      <w:r>
        <w:t xml:space="preserve">initial </w:t>
      </w:r>
      <w:r w:rsidRPr="00C91E12">
        <w:t>pirfenidone prescription needs to be under the affiliation of a specialist hospital unit</w:t>
      </w:r>
      <w:r w:rsidR="00F31AB3" w:rsidRPr="00C91E12">
        <w:t>,</w:t>
      </w:r>
      <w:r w:rsidR="007B7DB3" w:rsidRPr="00C91E12">
        <w:t xml:space="preserve"> </w:t>
      </w:r>
      <w:r w:rsidR="00F31AB3" w:rsidRPr="00C91E12">
        <w:t>f</w:t>
      </w:r>
      <w:r w:rsidRPr="00C91E12">
        <w:t>ollowing the accurate IPF diagnosis via a multi</w:t>
      </w:r>
      <w:r w:rsidR="007B7DB3" w:rsidRPr="00C91E12">
        <w:t>-</w:t>
      </w:r>
      <w:r w:rsidRPr="00C91E12">
        <w:t>disciplinary team</w:t>
      </w:r>
      <w:r w:rsidR="00F31AB3" w:rsidRPr="00C91E12">
        <w:t>.</w:t>
      </w:r>
      <w:r w:rsidR="007B7DB3" w:rsidRPr="00C91E12">
        <w:t xml:space="preserve"> Continuing treatment is proposed to be through the S</w:t>
      </w:r>
      <w:r w:rsidR="00532744">
        <w:t xml:space="preserve">ection </w:t>
      </w:r>
      <w:r w:rsidR="007B7DB3" w:rsidRPr="00C91E12">
        <w:t>100</w:t>
      </w:r>
      <w:r w:rsidR="00532744">
        <w:t xml:space="preserve"> </w:t>
      </w:r>
      <w:r w:rsidR="007B7DB3" w:rsidRPr="00C91E12">
        <w:t>HSD Community Access program.</w:t>
      </w:r>
    </w:p>
    <w:p w:rsidR="00175A3B" w:rsidRPr="008F5C78" w:rsidRDefault="007C3EC6" w:rsidP="002F6883">
      <w:pPr>
        <w:pStyle w:val="ListParagraph"/>
        <w:widowControl/>
        <w:numPr>
          <w:ilvl w:val="0"/>
          <w:numId w:val="11"/>
        </w:numPr>
        <w:ind w:left="993" w:hanging="273"/>
      </w:pPr>
      <w:r>
        <w:t>A listing under the S</w:t>
      </w:r>
      <w:r w:rsidR="00532744">
        <w:t xml:space="preserve">ection </w:t>
      </w:r>
      <w:r>
        <w:t xml:space="preserve">100 </w:t>
      </w:r>
      <w:r w:rsidR="00532744">
        <w:t>(</w:t>
      </w:r>
      <w:r>
        <w:t>HSD</w:t>
      </w:r>
      <w:r w:rsidR="00532744">
        <w:t>)</w:t>
      </w:r>
      <w:r>
        <w:t xml:space="preserve"> program </w:t>
      </w:r>
      <w:r w:rsidR="007205AB">
        <w:t xml:space="preserve">improves </w:t>
      </w:r>
      <w:r>
        <w:t xml:space="preserve">the cost-effectiveness of </w:t>
      </w:r>
      <w:r w:rsidRPr="00C91E12">
        <w:t xml:space="preserve">pirfenidone and reduces the total cost to Government due to lower mark-ups and </w:t>
      </w:r>
      <w:r w:rsidRPr="00C91E12">
        <w:lastRenderedPageBreak/>
        <w:t>fees.</w:t>
      </w:r>
      <w:r w:rsidR="007B7DB3" w:rsidRPr="00C91E12">
        <w:t xml:space="preserve"> The ESC disagreed with this justification, noting that the program should be chosen on the basis of the appropriate mechanism for patients and prescribers.</w:t>
      </w:r>
    </w:p>
    <w:p w:rsidR="00356296" w:rsidRPr="00935D7C" w:rsidRDefault="001D6F9F" w:rsidP="002F6883">
      <w:pPr>
        <w:widowControl/>
        <w:ind w:left="720"/>
      </w:pPr>
      <w:r w:rsidRPr="00935D7C">
        <w:t xml:space="preserve">Given that administration of </w:t>
      </w:r>
      <w:r w:rsidR="00F268B9">
        <w:t>pirfenidone</w:t>
      </w:r>
      <w:r w:rsidR="00AF379A">
        <w:t xml:space="preserve"> </w:t>
      </w:r>
      <w:r w:rsidRPr="00935D7C">
        <w:t>within a hospital setting is not required, t</w:t>
      </w:r>
      <w:r w:rsidR="00A73DCC" w:rsidRPr="00935D7C">
        <w:t>he ESC considered that listing on the General Schedule may be more appropriate.</w:t>
      </w:r>
    </w:p>
    <w:p w:rsidR="00356296" w:rsidRPr="00356296" w:rsidRDefault="00356296" w:rsidP="002F6883">
      <w:pPr>
        <w:widowControl/>
        <w:rPr>
          <w:szCs w:val="22"/>
        </w:rPr>
      </w:pPr>
    </w:p>
    <w:p w:rsidR="00E35DD5" w:rsidRDefault="00A66CBF" w:rsidP="002F6883">
      <w:pPr>
        <w:pStyle w:val="ListParagraph"/>
        <w:widowControl/>
        <w:numPr>
          <w:ilvl w:val="1"/>
          <w:numId w:val="4"/>
        </w:numPr>
        <w:rPr>
          <w:i/>
          <w:szCs w:val="22"/>
        </w:rPr>
      </w:pPr>
      <w:r w:rsidRPr="00935D7C">
        <w:rPr>
          <w:szCs w:val="22"/>
        </w:rPr>
        <w:t>The PSCR (p1)</w:t>
      </w:r>
      <w:r w:rsidR="00EB5615" w:rsidRPr="00935D7C">
        <w:rPr>
          <w:szCs w:val="22"/>
        </w:rPr>
        <w:t xml:space="preserve"> </w:t>
      </w:r>
      <w:r w:rsidR="003E703C" w:rsidRPr="00935D7C">
        <w:rPr>
          <w:szCs w:val="22"/>
        </w:rPr>
        <w:t>requested</w:t>
      </w:r>
      <w:r w:rsidRPr="00935D7C">
        <w:rPr>
          <w:szCs w:val="22"/>
        </w:rPr>
        <w:t xml:space="preserve"> </w:t>
      </w:r>
      <w:r w:rsidR="00F73663" w:rsidRPr="00935D7C">
        <w:rPr>
          <w:szCs w:val="22"/>
        </w:rPr>
        <w:t xml:space="preserve">that </w:t>
      </w:r>
      <w:r w:rsidR="004E1778" w:rsidRPr="00935D7C">
        <w:rPr>
          <w:szCs w:val="22"/>
        </w:rPr>
        <w:t>the clinical criteri</w:t>
      </w:r>
      <w:r w:rsidR="00F73663" w:rsidRPr="00935D7C">
        <w:rPr>
          <w:szCs w:val="22"/>
        </w:rPr>
        <w:t>on</w:t>
      </w:r>
      <w:r w:rsidR="004E1778" w:rsidRPr="00935D7C">
        <w:rPr>
          <w:szCs w:val="22"/>
        </w:rPr>
        <w:t xml:space="preserve"> </w:t>
      </w:r>
      <w:r w:rsidR="0017201B" w:rsidRPr="00935D7C">
        <w:rPr>
          <w:szCs w:val="22"/>
        </w:rPr>
        <w:t>which states a high resolution computed tomography (HRCT) consistent with the diagnosis of IPF</w:t>
      </w:r>
      <w:r w:rsidR="003E703C" w:rsidRPr="00935D7C">
        <w:rPr>
          <w:szCs w:val="22"/>
        </w:rPr>
        <w:t xml:space="preserve"> is required be</w:t>
      </w:r>
      <w:r w:rsidR="000E0641" w:rsidRPr="00935D7C">
        <w:rPr>
          <w:szCs w:val="22"/>
        </w:rPr>
        <w:t xml:space="preserve"> </w:t>
      </w:r>
      <w:r w:rsidR="003E703C" w:rsidRPr="00935D7C">
        <w:rPr>
          <w:szCs w:val="22"/>
        </w:rPr>
        <w:t xml:space="preserve">replaced with </w:t>
      </w:r>
      <w:r w:rsidR="000E0641" w:rsidRPr="00935D7C">
        <w:rPr>
          <w:szCs w:val="22"/>
        </w:rPr>
        <w:t xml:space="preserve">the requirement for a </w:t>
      </w:r>
      <w:r w:rsidR="000C3F3A" w:rsidRPr="00935D7C">
        <w:rPr>
          <w:szCs w:val="22"/>
        </w:rPr>
        <w:t xml:space="preserve">diagnosis consistent with IPF through a </w:t>
      </w:r>
      <w:r w:rsidR="003E703C" w:rsidRPr="00935D7C">
        <w:rPr>
          <w:szCs w:val="22"/>
        </w:rPr>
        <w:t>m</w:t>
      </w:r>
      <w:r w:rsidR="000E0641" w:rsidRPr="00935D7C">
        <w:rPr>
          <w:szCs w:val="22"/>
        </w:rPr>
        <w:t>ultidisciplinary</w:t>
      </w:r>
      <w:r w:rsidR="003E703C" w:rsidRPr="00935D7C">
        <w:rPr>
          <w:szCs w:val="22"/>
        </w:rPr>
        <w:t xml:space="preserve"> </w:t>
      </w:r>
      <w:r w:rsidR="000C3F3A" w:rsidRPr="00935D7C">
        <w:rPr>
          <w:szCs w:val="22"/>
        </w:rPr>
        <w:t xml:space="preserve">team </w:t>
      </w:r>
      <w:r w:rsidR="003E703C" w:rsidRPr="00935D7C">
        <w:rPr>
          <w:szCs w:val="22"/>
        </w:rPr>
        <w:t>meeting</w:t>
      </w:r>
      <w:r w:rsidR="00F73663" w:rsidRPr="00935D7C">
        <w:rPr>
          <w:szCs w:val="22"/>
        </w:rPr>
        <w:t>. The PSCR argued that HRCT may have inaccurate or inconclusive results which may result in patients requiring repeat scans</w:t>
      </w:r>
      <w:r w:rsidR="000E0641" w:rsidRPr="00935D7C">
        <w:rPr>
          <w:szCs w:val="22"/>
        </w:rPr>
        <w:t>.</w:t>
      </w:r>
      <w:r w:rsidR="003E703C" w:rsidRPr="00935D7C">
        <w:rPr>
          <w:szCs w:val="22"/>
        </w:rPr>
        <w:t xml:space="preserve"> The ESC agreed that the requirement for a multidisciplinary team was appropriate,</w:t>
      </w:r>
      <w:r w:rsidR="0086577F" w:rsidRPr="00935D7C">
        <w:rPr>
          <w:szCs w:val="22"/>
        </w:rPr>
        <w:t xml:space="preserve"> noting that this may partly address the risk of leakage to other interstitial lung diseases,</w:t>
      </w:r>
      <w:r w:rsidR="003E703C" w:rsidRPr="00935D7C">
        <w:rPr>
          <w:szCs w:val="22"/>
        </w:rPr>
        <w:t xml:space="preserve"> but considered </w:t>
      </w:r>
      <w:r w:rsidR="0086577F" w:rsidRPr="00935D7C">
        <w:rPr>
          <w:szCs w:val="22"/>
        </w:rPr>
        <w:t xml:space="preserve">this </w:t>
      </w:r>
      <w:r w:rsidR="003E703C" w:rsidRPr="00935D7C">
        <w:rPr>
          <w:szCs w:val="22"/>
        </w:rPr>
        <w:t>should be in addition</w:t>
      </w:r>
      <w:r w:rsidR="00436253">
        <w:rPr>
          <w:szCs w:val="22"/>
        </w:rPr>
        <w:t xml:space="preserve"> to the requirement </w:t>
      </w:r>
      <w:r w:rsidR="00E65CEA">
        <w:rPr>
          <w:szCs w:val="22"/>
        </w:rPr>
        <w:t xml:space="preserve">for </w:t>
      </w:r>
      <w:r w:rsidR="003E703C" w:rsidRPr="00935D7C">
        <w:rPr>
          <w:szCs w:val="22"/>
        </w:rPr>
        <w:t>HRCT</w:t>
      </w:r>
      <w:r w:rsidR="00E65CEA">
        <w:rPr>
          <w:szCs w:val="22"/>
        </w:rPr>
        <w:t xml:space="preserve"> consistent with the diagnosis of IPF</w:t>
      </w:r>
      <w:r w:rsidR="003E703C" w:rsidRPr="00F73663">
        <w:rPr>
          <w:i/>
          <w:szCs w:val="22"/>
        </w:rPr>
        <w:t>.</w:t>
      </w:r>
    </w:p>
    <w:p w:rsidR="009D170B" w:rsidRPr="00F21067" w:rsidRDefault="009D170B" w:rsidP="002F6883">
      <w:pPr>
        <w:widowControl/>
        <w:rPr>
          <w:i/>
          <w:szCs w:val="22"/>
        </w:rPr>
      </w:pPr>
    </w:p>
    <w:p w:rsidR="00731813" w:rsidRPr="00731813" w:rsidRDefault="009D170B" w:rsidP="002F6883">
      <w:pPr>
        <w:pStyle w:val="ListParagraph"/>
        <w:widowControl/>
        <w:numPr>
          <w:ilvl w:val="1"/>
          <w:numId w:val="4"/>
        </w:numPr>
        <w:rPr>
          <w:i/>
          <w:szCs w:val="22"/>
        </w:rPr>
      </w:pPr>
      <w:r>
        <w:rPr>
          <w:szCs w:val="22"/>
        </w:rPr>
        <w:t xml:space="preserve">The pre-PBAC response (p1), </w:t>
      </w:r>
      <w:r w:rsidR="00F366EC" w:rsidRPr="00DF51A6">
        <w:rPr>
          <w:szCs w:val="22"/>
        </w:rPr>
        <w:t xml:space="preserve">Australian Pulmonary Fibrosis Consortium and </w:t>
      </w:r>
      <w:r w:rsidR="00F366EC">
        <w:rPr>
          <w:szCs w:val="22"/>
        </w:rPr>
        <w:t xml:space="preserve">Australian </w:t>
      </w:r>
      <w:r w:rsidR="00F366EC" w:rsidRPr="00DF51A6">
        <w:rPr>
          <w:szCs w:val="22"/>
        </w:rPr>
        <w:t xml:space="preserve">IPF Registry </w:t>
      </w:r>
      <w:r w:rsidR="00F366EC">
        <w:rPr>
          <w:szCs w:val="22"/>
        </w:rPr>
        <w:t>S</w:t>
      </w:r>
      <w:r w:rsidR="00F366EC" w:rsidRPr="00DF51A6">
        <w:rPr>
          <w:szCs w:val="22"/>
        </w:rPr>
        <w:t xml:space="preserve">teering </w:t>
      </w:r>
      <w:r w:rsidR="00F366EC">
        <w:rPr>
          <w:szCs w:val="22"/>
        </w:rPr>
        <w:t>C</w:t>
      </w:r>
      <w:r w:rsidR="00F366EC" w:rsidRPr="00DF51A6">
        <w:rPr>
          <w:szCs w:val="22"/>
        </w:rPr>
        <w:t xml:space="preserve">ommittee </w:t>
      </w:r>
      <w:r w:rsidR="00F366EC">
        <w:rPr>
          <w:bCs/>
          <w:szCs w:val="22"/>
        </w:rPr>
        <w:t xml:space="preserve">(agenda item 14.13 refers) </w:t>
      </w:r>
      <w:r w:rsidR="00F366EC" w:rsidRPr="00DF51A6">
        <w:rPr>
          <w:szCs w:val="22"/>
        </w:rPr>
        <w:t xml:space="preserve">noted the importance of a clear diagnosis of IPF within the setting of an established specialist multidisciplinary team meeting for increased accuracy in diagnosis. The Australian IPF Registry </w:t>
      </w:r>
      <w:r w:rsidR="00F366EC">
        <w:rPr>
          <w:szCs w:val="22"/>
        </w:rPr>
        <w:t xml:space="preserve">further </w:t>
      </w:r>
      <w:r w:rsidR="00F366EC" w:rsidRPr="00DF51A6">
        <w:rPr>
          <w:szCs w:val="22"/>
        </w:rPr>
        <w:t>advised that the multidisciplinary team should be defined as a respiratory physician, radiologist and, where histological material is considered, a pathologist.</w:t>
      </w:r>
    </w:p>
    <w:p w:rsidR="009D170B" w:rsidRPr="00731813" w:rsidRDefault="009D170B" w:rsidP="002F6883">
      <w:pPr>
        <w:widowControl/>
        <w:rPr>
          <w:i/>
          <w:szCs w:val="22"/>
        </w:rPr>
      </w:pPr>
    </w:p>
    <w:p w:rsidR="009D170B" w:rsidRDefault="009D170B" w:rsidP="002F6883">
      <w:pPr>
        <w:pStyle w:val="ListParagraph"/>
        <w:widowControl/>
        <w:numPr>
          <w:ilvl w:val="1"/>
          <w:numId w:val="4"/>
        </w:numPr>
        <w:rPr>
          <w:szCs w:val="22"/>
        </w:rPr>
      </w:pPr>
      <w:r w:rsidRPr="00DF51A6">
        <w:rPr>
          <w:szCs w:val="22"/>
        </w:rPr>
        <w:t xml:space="preserve">The Australian IPF Registry </w:t>
      </w:r>
      <w:r>
        <w:rPr>
          <w:szCs w:val="22"/>
        </w:rPr>
        <w:t>steering committee also advised that:</w:t>
      </w:r>
    </w:p>
    <w:p w:rsidR="009D170B" w:rsidRDefault="009D170B" w:rsidP="002F6883">
      <w:pPr>
        <w:pStyle w:val="ListParagraph"/>
        <w:widowControl/>
        <w:numPr>
          <w:ilvl w:val="2"/>
          <w:numId w:val="4"/>
        </w:numPr>
        <w:ind w:left="993" w:hanging="284"/>
        <w:rPr>
          <w:szCs w:val="22"/>
        </w:rPr>
      </w:pPr>
      <w:r>
        <w:rPr>
          <w:szCs w:val="22"/>
        </w:rPr>
        <w:t>the criterion specifying that the patient m</w:t>
      </w:r>
      <w:r w:rsidRPr="002D7F2C">
        <w:rPr>
          <w:szCs w:val="22"/>
        </w:rPr>
        <w:t>ust be treated by a respiratory</w:t>
      </w:r>
      <w:r>
        <w:rPr>
          <w:szCs w:val="22"/>
        </w:rPr>
        <w:t>/specialist</w:t>
      </w:r>
      <w:r w:rsidRPr="002D7F2C">
        <w:rPr>
          <w:szCs w:val="22"/>
        </w:rPr>
        <w:t xml:space="preserve"> physician with expertise </w:t>
      </w:r>
      <w:r>
        <w:rPr>
          <w:szCs w:val="22"/>
        </w:rPr>
        <w:t xml:space="preserve">in </w:t>
      </w:r>
      <w:r w:rsidRPr="002D7F2C">
        <w:rPr>
          <w:szCs w:val="22"/>
        </w:rPr>
        <w:t xml:space="preserve">the management of </w:t>
      </w:r>
      <w:r w:rsidR="00F366EC">
        <w:rPr>
          <w:szCs w:val="22"/>
        </w:rPr>
        <w:t>IPF</w:t>
      </w:r>
      <w:r>
        <w:rPr>
          <w:szCs w:val="22"/>
        </w:rPr>
        <w:t xml:space="preserve"> be removed, given the absence of a definition of expertise; and</w:t>
      </w:r>
    </w:p>
    <w:p w:rsidR="009D170B" w:rsidRDefault="009D170B" w:rsidP="002F6883">
      <w:pPr>
        <w:pStyle w:val="ListParagraph"/>
        <w:widowControl/>
        <w:numPr>
          <w:ilvl w:val="2"/>
          <w:numId w:val="4"/>
        </w:numPr>
        <w:ind w:left="993" w:hanging="284"/>
        <w:rPr>
          <w:szCs w:val="22"/>
        </w:rPr>
      </w:pPr>
      <w:r w:rsidRPr="00DF51A6">
        <w:rPr>
          <w:szCs w:val="22"/>
        </w:rPr>
        <w:t>the requirement for HRCT scan results confirming diagnosis of IPF be removed</w:t>
      </w:r>
      <w:r w:rsidR="00112C90">
        <w:rPr>
          <w:szCs w:val="22"/>
        </w:rPr>
        <w:t xml:space="preserve"> and replaced with a requirement for </w:t>
      </w:r>
      <w:r w:rsidRPr="00DF51A6">
        <w:rPr>
          <w:szCs w:val="22"/>
        </w:rPr>
        <w:t>evidence that a HRCT scan has been performed</w:t>
      </w:r>
      <w:r w:rsidR="00E15DBE">
        <w:rPr>
          <w:szCs w:val="22"/>
        </w:rPr>
        <w:t>.</w:t>
      </w:r>
    </w:p>
    <w:p w:rsidR="00B011DC" w:rsidRPr="007C13C1" w:rsidRDefault="00B011DC" w:rsidP="007C13C1">
      <w:pPr>
        <w:widowControl/>
        <w:rPr>
          <w:szCs w:val="22"/>
        </w:rPr>
      </w:pPr>
    </w:p>
    <w:p w:rsidR="00882E0B" w:rsidRPr="00935D7C" w:rsidRDefault="0086577F" w:rsidP="002F6883">
      <w:pPr>
        <w:pStyle w:val="ListParagraph"/>
        <w:widowControl/>
        <w:numPr>
          <w:ilvl w:val="1"/>
          <w:numId w:val="4"/>
        </w:numPr>
        <w:rPr>
          <w:szCs w:val="22"/>
        </w:rPr>
      </w:pPr>
      <w:r w:rsidRPr="00935D7C">
        <w:rPr>
          <w:szCs w:val="22"/>
        </w:rPr>
        <w:t>The ESC considered that it may be appropriate to include an additional note or criterion specifying that the patient must not have interstitial lung disease due to other known causes including domestic and occupational environmental exposures, connective tissue disease, and drug toxicity.</w:t>
      </w:r>
    </w:p>
    <w:p w:rsidR="00C459AD" w:rsidRPr="007C13C1" w:rsidRDefault="00C459AD" w:rsidP="002F6883">
      <w:pPr>
        <w:widowControl/>
        <w:rPr>
          <w:szCs w:val="22"/>
        </w:rPr>
      </w:pPr>
    </w:p>
    <w:p w:rsidR="00C459AD" w:rsidRPr="00935D7C" w:rsidRDefault="00C459AD" w:rsidP="002F6883">
      <w:pPr>
        <w:pStyle w:val="ListParagraph"/>
        <w:widowControl/>
        <w:numPr>
          <w:ilvl w:val="1"/>
          <w:numId w:val="4"/>
        </w:numPr>
        <w:rPr>
          <w:szCs w:val="22"/>
        </w:rPr>
      </w:pPr>
      <w:r w:rsidRPr="00935D7C">
        <w:rPr>
          <w:szCs w:val="22"/>
        </w:rPr>
        <w:t>The PSCR (p1) agreed that the phrase “with/without surgical biopsy” can be removed from the proposed clinical criterion referring to HRCT. The PSCR also agreed with the clarifications made to the FVC criterion but requested that “weight” be changed to “height”. The ESC agreed with the PSCR that</w:t>
      </w:r>
      <w:r w:rsidR="007C13C1">
        <w:rPr>
          <w:szCs w:val="22"/>
        </w:rPr>
        <w:t xml:space="preserve"> “height” was more appropriate.</w:t>
      </w:r>
    </w:p>
    <w:p w:rsidR="00204A0F" w:rsidRPr="00935D7C" w:rsidRDefault="00204A0F" w:rsidP="002F6883">
      <w:pPr>
        <w:widowControl/>
        <w:rPr>
          <w:szCs w:val="22"/>
        </w:rPr>
      </w:pPr>
    </w:p>
    <w:p w:rsidR="00204A0F" w:rsidRPr="00935D7C" w:rsidRDefault="00204A0F" w:rsidP="002F6883">
      <w:pPr>
        <w:pStyle w:val="ListParagraph"/>
        <w:widowControl/>
        <w:numPr>
          <w:ilvl w:val="1"/>
          <w:numId w:val="4"/>
        </w:numPr>
        <w:rPr>
          <w:szCs w:val="22"/>
        </w:rPr>
      </w:pPr>
      <w:r w:rsidRPr="00935D7C">
        <w:rPr>
          <w:szCs w:val="22"/>
        </w:rPr>
        <w:t xml:space="preserve">The ESC noted that if the PBAC recommended the listing of both nintedanib and pirfenidone, the restriction criteria </w:t>
      </w:r>
      <w:r w:rsidR="0086577F" w:rsidRPr="00935D7C">
        <w:rPr>
          <w:szCs w:val="22"/>
        </w:rPr>
        <w:t xml:space="preserve">would </w:t>
      </w:r>
      <w:r w:rsidRPr="00935D7C">
        <w:rPr>
          <w:szCs w:val="22"/>
        </w:rPr>
        <w:t xml:space="preserve">need to be </w:t>
      </w:r>
      <w:r w:rsidR="0086577F" w:rsidRPr="00935D7C">
        <w:rPr>
          <w:szCs w:val="22"/>
        </w:rPr>
        <w:t>made consistent</w:t>
      </w:r>
      <w:r w:rsidR="00127A17" w:rsidRPr="00935D7C">
        <w:t xml:space="preserve">; some additional changes in this regard </w:t>
      </w:r>
      <w:r w:rsidR="00BA644E">
        <w:t>were</w:t>
      </w:r>
      <w:r w:rsidR="00127A17" w:rsidRPr="00935D7C">
        <w:t xml:space="preserve"> made to the above version of the </w:t>
      </w:r>
      <w:r w:rsidR="00DA1032">
        <w:t xml:space="preserve">requested </w:t>
      </w:r>
      <w:r w:rsidR="00127A17" w:rsidRPr="00935D7C">
        <w:t>restriction</w:t>
      </w:r>
      <w:r w:rsidRPr="00935D7C">
        <w:rPr>
          <w:szCs w:val="22"/>
        </w:rPr>
        <w:t>.</w:t>
      </w:r>
      <w:r w:rsidRPr="00935D7C">
        <w:t xml:space="preserve"> </w:t>
      </w:r>
      <w:r w:rsidR="00641D45" w:rsidRPr="00935D7C">
        <w:t xml:space="preserve">In November 2015, the PBAC noted its concern that should both drugs become PBS subsidised in the future, the risk of concomitant use would need to be addressed (November 2015 pirfenidone PSD, paragraph 7.6). The Secretariat suggested including a </w:t>
      </w:r>
      <w:r w:rsidR="00B9662C">
        <w:t xml:space="preserve">criterion </w:t>
      </w:r>
      <w:r w:rsidR="00641D45" w:rsidRPr="00935D7C">
        <w:t xml:space="preserve">that nintedanib should not be used in combination with </w:t>
      </w:r>
      <w:r w:rsidR="00FF0C66">
        <w:t xml:space="preserve">PBS-subsidised </w:t>
      </w:r>
      <w:r w:rsidR="00641D45" w:rsidRPr="00935D7C">
        <w:t>pirfenidone</w:t>
      </w:r>
      <w:r w:rsidR="00FF0C66">
        <w:t xml:space="preserve"> and noted that</w:t>
      </w:r>
      <w:r w:rsidR="00641D45" w:rsidRPr="00935D7C">
        <w:t xml:space="preserve"> switching rules between the drugs may also need to be considered.</w:t>
      </w:r>
    </w:p>
    <w:p w:rsidR="00F97A78" w:rsidRDefault="00F97A78" w:rsidP="002F6883">
      <w:pPr>
        <w:widowControl/>
        <w:rPr>
          <w:szCs w:val="22"/>
        </w:rPr>
      </w:pPr>
    </w:p>
    <w:p w:rsidR="005754A0" w:rsidRDefault="005754A0" w:rsidP="002F6883">
      <w:pPr>
        <w:pStyle w:val="ListParagraph"/>
        <w:widowControl/>
        <w:ind w:left="709"/>
        <w:rPr>
          <w:i/>
          <w:szCs w:val="22"/>
        </w:rPr>
      </w:pPr>
      <w:r w:rsidRPr="003B694B">
        <w:rPr>
          <w:i/>
          <w:szCs w:val="22"/>
        </w:rPr>
        <w:lastRenderedPageBreak/>
        <w:t>For more detail on PBAC’s view, see section 7 “PBAC outcome”</w:t>
      </w:r>
      <w:r w:rsidR="007C13C1">
        <w:rPr>
          <w:i/>
          <w:szCs w:val="22"/>
        </w:rPr>
        <w:t>.</w:t>
      </w:r>
    </w:p>
    <w:p w:rsidR="005754A0" w:rsidRPr="0077232F" w:rsidRDefault="005754A0" w:rsidP="002F6883">
      <w:pPr>
        <w:widowControl/>
        <w:rPr>
          <w:szCs w:val="22"/>
        </w:rPr>
      </w:pPr>
    </w:p>
    <w:p w:rsidR="001B6188" w:rsidRPr="00882085" w:rsidRDefault="001B6188" w:rsidP="002F6883">
      <w:pPr>
        <w:widowControl/>
      </w:pPr>
    </w:p>
    <w:p w:rsidR="00F338FF" w:rsidRPr="00407F2D" w:rsidRDefault="00F338FF" w:rsidP="002F6883">
      <w:pPr>
        <w:pStyle w:val="PBACheading1"/>
      </w:pPr>
      <w:bookmarkStart w:id="4" w:name="_Toc461547423"/>
      <w:r w:rsidRPr="00407F2D">
        <w:rPr>
          <w:b/>
        </w:rPr>
        <w:t>Background</w:t>
      </w:r>
      <w:bookmarkEnd w:id="4"/>
    </w:p>
    <w:p w:rsidR="00B60939" w:rsidRPr="00882085" w:rsidRDefault="00B60939" w:rsidP="002F6883">
      <w:pPr>
        <w:widowControl/>
        <w:rPr>
          <w:szCs w:val="22"/>
        </w:rPr>
      </w:pPr>
    </w:p>
    <w:p w:rsidR="00353B81" w:rsidRPr="00025FE3" w:rsidRDefault="00D508CA" w:rsidP="002F6883">
      <w:pPr>
        <w:pStyle w:val="ListParagraph"/>
        <w:widowControl/>
        <w:numPr>
          <w:ilvl w:val="1"/>
          <w:numId w:val="2"/>
        </w:numPr>
        <w:rPr>
          <w:szCs w:val="22"/>
        </w:rPr>
      </w:pPr>
      <w:r w:rsidRPr="00431266">
        <w:rPr>
          <w:b/>
          <w:szCs w:val="22"/>
        </w:rPr>
        <w:t xml:space="preserve">TGA Status at time of </w:t>
      </w:r>
      <w:r w:rsidR="00431266">
        <w:rPr>
          <w:b/>
          <w:szCs w:val="22"/>
        </w:rPr>
        <w:t>PBAC consideration</w:t>
      </w:r>
      <w:r w:rsidRPr="00431266">
        <w:rPr>
          <w:b/>
          <w:szCs w:val="22"/>
        </w:rPr>
        <w:t>:</w:t>
      </w:r>
      <w:r w:rsidRPr="00D95F75">
        <w:rPr>
          <w:b/>
          <w:szCs w:val="22"/>
        </w:rPr>
        <w:t xml:space="preserve"> </w:t>
      </w:r>
      <w:r w:rsidR="00F30F12" w:rsidRPr="00D95F75">
        <w:rPr>
          <w:szCs w:val="22"/>
        </w:rPr>
        <w:t>Pirfenidone was registered on the ARTG on 29</w:t>
      </w:r>
      <w:r w:rsidR="00653C6D">
        <w:rPr>
          <w:szCs w:val="22"/>
        </w:rPr>
        <w:t> </w:t>
      </w:r>
      <w:r w:rsidR="00F30F12" w:rsidRPr="00D95F75">
        <w:rPr>
          <w:szCs w:val="22"/>
        </w:rPr>
        <w:t>February 2016 for the treatment of IPF.</w:t>
      </w:r>
    </w:p>
    <w:p w:rsidR="00B60939" w:rsidRPr="001971A6" w:rsidRDefault="00B60939" w:rsidP="002F6883">
      <w:pPr>
        <w:widowControl/>
      </w:pPr>
    </w:p>
    <w:p w:rsidR="00DD7AB4" w:rsidRPr="00CB76A5" w:rsidRDefault="0057586D" w:rsidP="002F6883">
      <w:pPr>
        <w:pStyle w:val="ListParagraph"/>
        <w:widowControl/>
        <w:numPr>
          <w:ilvl w:val="1"/>
          <w:numId w:val="2"/>
        </w:numPr>
        <w:rPr>
          <w:szCs w:val="22"/>
        </w:rPr>
      </w:pPr>
      <w:r w:rsidRPr="00CB76A5">
        <w:rPr>
          <w:szCs w:val="22"/>
        </w:rPr>
        <w:t>The PBAC previously considered a major submission for pirfenidone in November 2015 and a minor resubmission in March 2016.</w:t>
      </w:r>
      <w:r w:rsidR="00CB76A5">
        <w:rPr>
          <w:szCs w:val="22"/>
        </w:rPr>
        <w:t xml:space="preserve"> </w:t>
      </w:r>
      <w:r w:rsidR="005752FD" w:rsidRPr="00CB76A5">
        <w:rPr>
          <w:szCs w:val="22"/>
        </w:rPr>
        <w:t xml:space="preserve">Table </w:t>
      </w:r>
      <w:r w:rsidR="00DD7AB4" w:rsidRPr="00CB76A5">
        <w:rPr>
          <w:szCs w:val="22"/>
        </w:rPr>
        <w:t>1</w:t>
      </w:r>
      <w:r w:rsidR="00653C6D" w:rsidRPr="00CB76A5">
        <w:rPr>
          <w:szCs w:val="22"/>
        </w:rPr>
        <w:t xml:space="preserve"> </w:t>
      </w:r>
      <w:r w:rsidR="00DD7AB4" w:rsidRPr="00CB76A5">
        <w:rPr>
          <w:szCs w:val="22"/>
        </w:rPr>
        <w:t>provides a detailed summary of the March 2016 minor resubmission, relevant PBAC comments and chang</w:t>
      </w:r>
      <w:r w:rsidR="00917D95">
        <w:rPr>
          <w:szCs w:val="22"/>
        </w:rPr>
        <w:t>es in the current resubmission.</w:t>
      </w:r>
    </w:p>
    <w:p w:rsidR="00892558" w:rsidRPr="00F0564E" w:rsidRDefault="00892558" w:rsidP="002F6883">
      <w:pPr>
        <w:widowControl/>
        <w:contextualSpacing/>
        <w:rPr>
          <w:bCs/>
          <w:szCs w:val="22"/>
          <w:lang w:val="en-GB"/>
        </w:rPr>
      </w:pPr>
    </w:p>
    <w:p w:rsidR="00B60939" w:rsidRPr="00333009" w:rsidRDefault="00892558" w:rsidP="002F6883">
      <w:pPr>
        <w:pStyle w:val="ListParagraph"/>
        <w:widowControl/>
        <w:numPr>
          <w:ilvl w:val="1"/>
          <w:numId w:val="2"/>
        </w:numPr>
        <w:rPr>
          <w:szCs w:val="22"/>
        </w:rPr>
      </w:pPr>
      <w:r>
        <w:rPr>
          <w:szCs w:val="22"/>
        </w:rPr>
        <w:t xml:space="preserve">The PBAC also previously considered </w:t>
      </w:r>
      <w:r w:rsidR="003B694B">
        <w:rPr>
          <w:szCs w:val="22"/>
        </w:rPr>
        <w:t>(</w:t>
      </w:r>
      <w:r>
        <w:rPr>
          <w:szCs w:val="22"/>
        </w:rPr>
        <w:t>but did not recommend</w:t>
      </w:r>
      <w:r w:rsidR="003B694B">
        <w:rPr>
          <w:szCs w:val="22"/>
        </w:rPr>
        <w:t>)</w:t>
      </w:r>
      <w:r>
        <w:rPr>
          <w:szCs w:val="22"/>
        </w:rPr>
        <w:t xml:space="preserve"> submissions for nintedanib </w:t>
      </w:r>
      <w:r w:rsidR="00CB76A5">
        <w:rPr>
          <w:szCs w:val="22"/>
        </w:rPr>
        <w:t xml:space="preserve">for </w:t>
      </w:r>
      <w:r>
        <w:rPr>
          <w:szCs w:val="22"/>
        </w:rPr>
        <w:t>the treatment of patients with IPF at the March and November 2015 meetings.</w:t>
      </w:r>
    </w:p>
    <w:p w:rsidR="00EE534C" w:rsidRPr="007C13C1" w:rsidRDefault="00EE534C" w:rsidP="002F6883">
      <w:pPr>
        <w:widowControl/>
        <w:rPr>
          <w:rStyle w:val="CommentReference"/>
          <w:rFonts w:ascii="Arial" w:hAnsi="Arial"/>
          <w:b w:val="0"/>
          <w:sz w:val="22"/>
          <w:szCs w:val="22"/>
        </w:rPr>
      </w:pPr>
    </w:p>
    <w:p w:rsidR="00653C6D" w:rsidRPr="00ED0F04" w:rsidRDefault="00653C6D" w:rsidP="002F6883">
      <w:pPr>
        <w:widowControl/>
        <w:ind w:firstLine="709"/>
        <w:rPr>
          <w:rStyle w:val="CommentReference"/>
        </w:rPr>
      </w:pPr>
      <w:r>
        <w:rPr>
          <w:rStyle w:val="CommentReference"/>
        </w:rPr>
        <w:t xml:space="preserve">Table 1: </w:t>
      </w:r>
      <w:r w:rsidRPr="00ED0F04">
        <w:rPr>
          <w:rStyle w:val="CommentReference"/>
        </w:rPr>
        <w:t>Summary of the pre</w:t>
      </w:r>
      <w:r>
        <w:rPr>
          <w:rStyle w:val="CommentReference"/>
        </w:rPr>
        <w:t>vious submission and current re</w:t>
      </w:r>
      <w:r w:rsidRPr="00ED0F04">
        <w:rPr>
          <w:rStyle w:val="CommentReference"/>
        </w:rPr>
        <w:t>submission</w:t>
      </w:r>
    </w:p>
    <w:tbl>
      <w:tblPr>
        <w:tblW w:w="461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4313"/>
        <w:gridCol w:w="2785"/>
      </w:tblGrid>
      <w:tr w:rsidR="00653C6D" w:rsidRPr="009D4425" w:rsidTr="009D4425">
        <w:trPr>
          <w:cantSplit/>
          <w:trHeight w:val="220"/>
          <w:tblHeader/>
        </w:trPr>
        <w:tc>
          <w:tcPr>
            <w:tcW w:w="762" w:type="pct"/>
          </w:tcPr>
          <w:p w:rsidR="00653C6D" w:rsidRPr="009D4425" w:rsidRDefault="00653C6D" w:rsidP="002F6883">
            <w:pPr>
              <w:widowControl/>
              <w:jc w:val="left"/>
              <w:rPr>
                <w:rFonts w:ascii="Arial Narrow" w:hAnsi="Arial Narrow"/>
                <w:b/>
                <w:sz w:val="20"/>
                <w:szCs w:val="20"/>
              </w:rPr>
            </w:pPr>
            <w:r w:rsidRPr="009D4425">
              <w:rPr>
                <w:rFonts w:ascii="Arial Narrow" w:hAnsi="Arial Narrow"/>
                <w:b/>
                <w:sz w:val="20"/>
                <w:szCs w:val="20"/>
              </w:rPr>
              <w:t>Component</w:t>
            </w:r>
          </w:p>
        </w:tc>
        <w:tc>
          <w:tcPr>
            <w:tcW w:w="2575" w:type="pct"/>
            <w:vAlign w:val="center"/>
          </w:tcPr>
          <w:p w:rsidR="00653C6D" w:rsidRPr="009D4425" w:rsidRDefault="00653C6D" w:rsidP="002F6883">
            <w:pPr>
              <w:widowControl/>
              <w:ind w:left="62"/>
              <w:jc w:val="center"/>
              <w:rPr>
                <w:rFonts w:ascii="Arial Narrow" w:hAnsi="Arial Narrow"/>
                <w:b/>
                <w:sz w:val="20"/>
                <w:szCs w:val="20"/>
              </w:rPr>
            </w:pPr>
            <w:r w:rsidRPr="009D4425">
              <w:rPr>
                <w:rFonts w:ascii="Arial Narrow" w:hAnsi="Arial Narrow"/>
                <w:b/>
                <w:sz w:val="20"/>
                <w:szCs w:val="20"/>
              </w:rPr>
              <w:t>March 2016 minor resubmission</w:t>
            </w:r>
          </w:p>
        </w:tc>
        <w:tc>
          <w:tcPr>
            <w:tcW w:w="1663" w:type="pct"/>
          </w:tcPr>
          <w:p w:rsidR="00653C6D" w:rsidRPr="009D4425" w:rsidRDefault="00653C6D" w:rsidP="002F6883">
            <w:pPr>
              <w:widowControl/>
              <w:jc w:val="center"/>
              <w:rPr>
                <w:rFonts w:ascii="Arial Narrow" w:hAnsi="Arial Narrow"/>
                <w:b/>
                <w:sz w:val="20"/>
                <w:szCs w:val="20"/>
              </w:rPr>
            </w:pPr>
            <w:r w:rsidRPr="009D4425">
              <w:rPr>
                <w:rFonts w:ascii="Arial Narrow" w:hAnsi="Arial Narrow"/>
                <w:b/>
                <w:sz w:val="20"/>
                <w:szCs w:val="20"/>
              </w:rPr>
              <w:t>Current resubmission</w:t>
            </w:r>
          </w:p>
        </w:tc>
      </w:tr>
      <w:tr w:rsidR="00653C6D" w:rsidRPr="009D4425" w:rsidTr="009D4425">
        <w:trPr>
          <w:cantSplit/>
          <w:trHeight w:val="794"/>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Requested PBS listing</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Idiopathic pulmonary fibrosis, where the patient  must have confirmed  diagnosis of IPF as assessed by a multidisciplinary team, a predicted Forced vital capacity (FVC) ) ≥50%, and a predicted  carbon monoxide d</w:t>
            </w:r>
            <w:r w:rsidR="00917D95">
              <w:rPr>
                <w:rFonts w:ascii="Arial Narrow" w:hAnsi="Arial Narrow"/>
                <w:sz w:val="20"/>
                <w:szCs w:val="20"/>
              </w:rPr>
              <w:t>iffusing capacity (DLCO) ≥ 30%.</w:t>
            </w:r>
          </w:p>
          <w:p w:rsidR="00653C6D" w:rsidRPr="009D4425" w:rsidRDefault="00653C6D" w:rsidP="002F6883">
            <w:pPr>
              <w:widowControl/>
              <w:jc w:val="left"/>
              <w:rPr>
                <w:rFonts w:ascii="Arial Narrow" w:hAnsi="Arial Narrow"/>
                <w:sz w:val="20"/>
                <w:szCs w:val="20"/>
              </w:rPr>
            </w:pPr>
          </w:p>
          <w:p w:rsidR="00653C6D" w:rsidRPr="009D4425" w:rsidRDefault="00653C6D" w:rsidP="00C965E7">
            <w:pPr>
              <w:widowControl/>
              <w:jc w:val="left"/>
              <w:rPr>
                <w:rFonts w:ascii="Arial Narrow" w:hAnsi="Arial Narrow"/>
                <w:bCs/>
                <w:sz w:val="20"/>
                <w:szCs w:val="20"/>
                <w:lang w:val="en-GB"/>
              </w:rPr>
            </w:pPr>
            <w:r w:rsidRPr="009D4425">
              <w:rPr>
                <w:rFonts w:ascii="Arial Narrow" w:hAnsi="Arial Narrow"/>
                <w:b/>
                <w:sz w:val="20"/>
                <w:szCs w:val="20"/>
              </w:rPr>
              <w:t>PBAC Comment:</w:t>
            </w:r>
            <w:r w:rsidRPr="009D4425">
              <w:rPr>
                <w:rFonts w:ascii="Arial Narrow" w:hAnsi="Arial Narrow"/>
                <w:sz w:val="20"/>
                <w:szCs w:val="20"/>
              </w:rPr>
              <w:t xml:space="preserve"> The PBAC noted that the minor resubmission did not explore the number of patients who may discontinue treatment based on the clinical trial evidence and the proposed model, stating that progression with treatment does not constitute treatment failure. </w:t>
            </w:r>
            <w:r w:rsidR="00CB76A5" w:rsidRPr="009D4425">
              <w:rPr>
                <w:rFonts w:ascii="Arial Narrow" w:hAnsi="Arial Narrow"/>
                <w:sz w:val="20"/>
                <w:szCs w:val="20"/>
              </w:rPr>
              <w:t>The minor resubmission argued that, following a FVC decline ≥10% with pirfenidone, continued treatment significantly reduced the risk of death and increased disease stabilisation compared to placebo patients who continued treatment with placebo following a FVC decline ≥10%. Noting this, the PBAC considered that implementing a stopping rule would be difficult in clinical practice</w:t>
            </w:r>
            <w:r w:rsidRPr="009D4425">
              <w:rPr>
                <w:rFonts w:ascii="Arial Narrow" w:hAnsi="Arial Narrow"/>
                <w:sz w:val="20"/>
                <w:szCs w:val="20"/>
              </w:rPr>
              <w:t xml:space="preserve">.  (paragraph 5.2, March 2016,PBAC </w:t>
            </w:r>
            <w:r w:rsidR="00C965E7">
              <w:rPr>
                <w:rFonts w:ascii="Arial Narrow" w:hAnsi="Arial Narrow"/>
                <w:sz w:val="20"/>
                <w:szCs w:val="20"/>
              </w:rPr>
              <w:t>PSD</w:t>
            </w:r>
            <w:r w:rsidRPr="009D4425">
              <w:rPr>
                <w:rFonts w:ascii="Arial Narrow" w:hAnsi="Arial Narrow"/>
                <w:sz w:val="20"/>
                <w:szCs w:val="20"/>
              </w:rPr>
              <w:t>)</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 xml:space="preserve">Same as previous submission </w:t>
            </w:r>
          </w:p>
        </w:tc>
      </w:tr>
      <w:tr w:rsidR="00653C6D" w:rsidRPr="009D4425" w:rsidTr="009D4425">
        <w:trPr>
          <w:cantSplit/>
          <w:trHeight w:val="422"/>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Requested price</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Ex-manufacturer price: $</w:t>
            </w:r>
            <w:r w:rsidR="00F60B7B">
              <w:rPr>
                <w:rFonts w:ascii="Arial Narrow" w:hAnsi="Arial Narrow"/>
                <w:noProof/>
                <w:color w:val="000000"/>
                <w:sz w:val="20"/>
                <w:szCs w:val="20"/>
                <w:highlight w:val="black"/>
              </w:rPr>
              <w:t>'''''''''''''''''''''''</w:t>
            </w:r>
          </w:p>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Effective ex-manufacturer price: $</w:t>
            </w:r>
            <w:r w:rsidR="00F60B7B">
              <w:rPr>
                <w:rFonts w:ascii="Arial Narrow" w:hAnsi="Arial Narrow"/>
                <w:noProof/>
                <w:color w:val="000000"/>
                <w:sz w:val="20"/>
                <w:szCs w:val="20"/>
                <w:highlight w:val="black"/>
              </w:rPr>
              <w:t>'''''''''''''''''''</w:t>
            </w:r>
            <w:r w:rsidRPr="009D4425">
              <w:rPr>
                <w:rFonts w:ascii="Arial Narrow" w:hAnsi="Arial Narrow"/>
                <w:sz w:val="20"/>
                <w:szCs w:val="20"/>
              </w:rPr>
              <w:t xml:space="preserve"> </w:t>
            </w:r>
          </w:p>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Weighted DPMQ/pack: $</w:t>
            </w:r>
            <w:r w:rsidR="00F60B7B">
              <w:rPr>
                <w:rFonts w:ascii="Arial Narrow" w:hAnsi="Arial Narrow"/>
                <w:noProof/>
                <w:color w:val="000000"/>
                <w:sz w:val="20"/>
                <w:szCs w:val="20"/>
                <w:highlight w:val="black"/>
              </w:rPr>
              <w:t>''''''''''''''''''''''</w:t>
            </w:r>
          </w:p>
        </w:tc>
        <w:tc>
          <w:tcPr>
            <w:tcW w:w="1663" w:type="pct"/>
          </w:tcPr>
          <w:tbl>
            <w:tblPr>
              <w:tblW w:w="5000" w:type="pct"/>
              <w:tblCellMar>
                <w:left w:w="28" w:type="dxa"/>
                <w:right w:w="28" w:type="dxa"/>
              </w:tblCellMar>
              <w:tblLook w:val="0000" w:firstRow="0" w:lastRow="0" w:firstColumn="0" w:lastColumn="0" w:noHBand="0" w:noVBand="0"/>
            </w:tblPr>
            <w:tblGrid>
              <w:gridCol w:w="2729"/>
            </w:tblGrid>
            <w:tr w:rsidR="00653C6D" w:rsidRPr="009D4425" w:rsidTr="00C41646">
              <w:trPr>
                <w:cantSplit/>
                <w:trHeight w:val="80"/>
              </w:trPr>
              <w:tc>
                <w:tcPr>
                  <w:tcW w:w="5000" w:type="pct"/>
                </w:tcPr>
                <w:p w:rsidR="00653C6D" w:rsidRPr="009D4425" w:rsidRDefault="00653C6D" w:rsidP="002F6883">
                  <w:pPr>
                    <w:widowControl/>
                    <w:rPr>
                      <w:rFonts w:ascii="Arial Narrow" w:hAnsi="Arial Narrow"/>
                      <w:sz w:val="20"/>
                      <w:szCs w:val="20"/>
                    </w:rPr>
                  </w:pPr>
                  <w:r w:rsidRPr="009D4425">
                    <w:rPr>
                      <w:rFonts w:ascii="Arial Narrow" w:hAnsi="Arial Narrow"/>
                      <w:sz w:val="20"/>
                      <w:szCs w:val="20"/>
                    </w:rPr>
                    <w:t>Ex-manufacturer price</w:t>
                  </w:r>
                  <w:r w:rsidR="00E82E8A" w:rsidRPr="009D4425">
                    <w:rPr>
                      <w:rFonts w:ascii="Arial Narrow" w:hAnsi="Arial Narrow"/>
                      <w:sz w:val="20"/>
                      <w:szCs w:val="20"/>
                    </w:rPr>
                    <w:t>:</w:t>
                  </w:r>
                  <w:r w:rsidRPr="009D4425">
                    <w:rPr>
                      <w:rFonts w:ascii="Arial Narrow" w:hAnsi="Arial Narrow"/>
                      <w:sz w:val="20"/>
                      <w:szCs w:val="20"/>
                    </w:rPr>
                    <w:t xml:space="preserve"> $</w:t>
                  </w:r>
                  <w:r w:rsidR="00F60B7B">
                    <w:rPr>
                      <w:rFonts w:ascii="Arial Narrow" w:hAnsi="Arial Narrow"/>
                      <w:noProof/>
                      <w:color w:val="000000"/>
                      <w:sz w:val="20"/>
                      <w:szCs w:val="20"/>
                      <w:highlight w:val="black"/>
                    </w:rPr>
                    <w:t>''''''''''''''''''''</w:t>
                  </w:r>
                </w:p>
                <w:p w:rsidR="00653C6D" w:rsidRPr="009D4425" w:rsidRDefault="00653C6D" w:rsidP="00427E0F">
                  <w:pPr>
                    <w:widowControl/>
                    <w:jc w:val="left"/>
                    <w:rPr>
                      <w:rFonts w:ascii="Arial Narrow" w:hAnsi="Arial Narrow"/>
                      <w:sz w:val="20"/>
                      <w:szCs w:val="20"/>
                    </w:rPr>
                  </w:pPr>
                  <w:r w:rsidRPr="009D4425">
                    <w:rPr>
                      <w:rFonts w:ascii="Arial Narrow" w:hAnsi="Arial Narrow"/>
                      <w:sz w:val="20"/>
                      <w:szCs w:val="20"/>
                    </w:rPr>
                    <w:t>Effective ex-manufacturer price: $</w:t>
                  </w:r>
                  <w:r w:rsidR="00F60B7B">
                    <w:rPr>
                      <w:rFonts w:ascii="Arial Narrow" w:hAnsi="Arial Narrow"/>
                      <w:noProof/>
                      <w:color w:val="000000"/>
                      <w:sz w:val="20"/>
                      <w:szCs w:val="20"/>
                      <w:highlight w:val="black"/>
                    </w:rPr>
                    <w:t>'''''''''''''''''''</w:t>
                  </w:r>
                  <w:r w:rsidRPr="009D4425">
                    <w:rPr>
                      <w:rFonts w:ascii="Arial Narrow" w:hAnsi="Arial Narrow"/>
                      <w:sz w:val="20"/>
                      <w:szCs w:val="20"/>
                    </w:rPr>
                    <w:t xml:space="preserve"> </w:t>
                  </w:r>
                </w:p>
              </w:tc>
            </w:tr>
          </w:tbl>
          <w:p w:rsidR="00653C6D" w:rsidRPr="009D4425" w:rsidRDefault="00917D95" w:rsidP="002F6883">
            <w:pPr>
              <w:widowControl/>
              <w:jc w:val="left"/>
              <w:rPr>
                <w:rFonts w:ascii="Arial Narrow" w:hAnsi="Arial Narrow"/>
                <w:sz w:val="20"/>
                <w:szCs w:val="20"/>
              </w:rPr>
            </w:pPr>
            <w:r>
              <w:rPr>
                <w:rFonts w:ascii="Arial Narrow" w:hAnsi="Arial Narrow"/>
                <w:sz w:val="20"/>
                <w:szCs w:val="20"/>
              </w:rPr>
              <w:t>Weighted DPMQ/pack:</w:t>
            </w:r>
            <w:r w:rsidR="00653C6D" w:rsidRPr="009D4425">
              <w:rPr>
                <w:rFonts w:ascii="Arial Narrow" w:hAnsi="Arial Narrow"/>
                <w:sz w:val="20"/>
                <w:szCs w:val="20"/>
              </w:rPr>
              <w:t xml:space="preserve"> $</w:t>
            </w:r>
            <w:r w:rsidR="00F60B7B">
              <w:rPr>
                <w:rFonts w:ascii="Arial Narrow" w:hAnsi="Arial Narrow"/>
                <w:noProof/>
                <w:color w:val="000000"/>
                <w:sz w:val="20"/>
                <w:szCs w:val="20"/>
                <w:highlight w:val="black"/>
              </w:rPr>
              <w:t>''''''''''''''''''''</w:t>
            </w:r>
          </w:p>
        </w:tc>
      </w:tr>
      <w:tr w:rsidR="00653C6D" w:rsidRPr="009D4425" w:rsidTr="009D4425">
        <w:trPr>
          <w:cantSplit/>
          <w:trHeight w:val="79"/>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Main comparator</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 xml:space="preserve">Best supportive care </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Same as previous submission</w:t>
            </w:r>
          </w:p>
        </w:tc>
      </w:tr>
      <w:tr w:rsidR="00653C6D" w:rsidRPr="009D4425" w:rsidTr="009D4425">
        <w:trPr>
          <w:cantSplit/>
          <w:trHeight w:val="860"/>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Clinical evidence</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 xml:space="preserve">3 trials: ASCEND (n=555), CAPACITY-2 </w:t>
            </w:r>
            <w:r w:rsidR="00917D95">
              <w:rPr>
                <w:rFonts w:ascii="Arial Narrow" w:hAnsi="Arial Narrow"/>
                <w:sz w:val="20"/>
                <w:szCs w:val="20"/>
              </w:rPr>
              <w:t>(n=435) and CAPACITY-1 (n=344)</w:t>
            </w:r>
          </w:p>
          <w:p w:rsidR="00653C6D" w:rsidRPr="009D4425" w:rsidRDefault="00653C6D" w:rsidP="002F6883">
            <w:pPr>
              <w:widowControl/>
              <w:jc w:val="left"/>
              <w:rPr>
                <w:rFonts w:ascii="Arial Narrow" w:hAnsi="Arial Narrow"/>
                <w:sz w:val="20"/>
                <w:szCs w:val="20"/>
              </w:rPr>
            </w:pPr>
          </w:p>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The resubmission presented additional supportive data from Nathan 2015. The submission claimed this evidence supported the assertion that patients continue to benefit from pirfenidone treatment following an FVC decline ≥10%.</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Same as previous submission</w:t>
            </w:r>
          </w:p>
        </w:tc>
      </w:tr>
      <w:tr w:rsidR="00653C6D" w:rsidRPr="009D4425" w:rsidTr="009D4425">
        <w:trPr>
          <w:cantSplit/>
          <w:trHeight w:val="449"/>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lastRenderedPageBreak/>
              <w:t>Key effectiveness data</w:t>
            </w:r>
          </w:p>
        </w:tc>
        <w:tc>
          <w:tcPr>
            <w:tcW w:w="2575" w:type="pct"/>
          </w:tcPr>
          <w:p w:rsidR="00653C6D" w:rsidRPr="009D4425" w:rsidRDefault="00653C6D" w:rsidP="002F6883">
            <w:pPr>
              <w:widowControl/>
              <w:jc w:val="left"/>
              <w:rPr>
                <w:rFonts w:ascii="Arial Narrow" w:hAnsi="Arial Narrow"/>
                <w:sz w:val="20"/>
                <w:szCs w:val="20"/>
                <w:highlight w:val="yellow"/>
              </w:rPr>
            </w:pPr>
            <w:r w:rsidRPr="009D4425">
              <w:rPr>
                <w:rFonts w:ascii="Arial Narrow" w:hAnsi="Arial Narrow"/>
                <w:sz w:val="20"/>
                <w:szCs w:val="20"/>
              </w:rPr>
              <w:t xml:space="preserve">Unchanged from November 2015 submission. </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Same as previous submission</w:t>
            </w:r>
          </w:p>
        </w:tc>
      </w:tr>
      <w:tr w:rsidR="00653C6D" w:rsidRPr="009D4425" w:rsidTr="009D4425">
        <w:trPr>
          <w:cantSplit/>
          <w:trHeight w:val="860"/>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Key safety data</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Unchanged</w:t>
            </w:r>
            <w:r w:rsidR="00E82E8A" w:rsidRPr="009D4425">
              <w:rPr>
                <w:rFonts w:ascii="Arial Narrow" w:hAnsi="Arial Narrow"/>
                <w:sz w:val="20"/>
                <w:szCs w:val="20"/>
              </w:rPr>
              <w:t xml:space="preserve"> from November 2015 submission.</w:t>
            </w:r>
            <w:r w:rsidRPr="009D4425">
              <w:rPr>
                <w:rFonts w:ascii="Arial Narrow" w:hAnsi="Arial Narrow"/>
                <w:sz w:val="20"/>
                <w:szCs w:val="20"/>
              </w:rPr>
              <w:t xml:space="preserve"> The incidence of photosensitivity reaction, rash, stomach discomfort, dyspepsia, dysgeusia, nausea, anorexia, decreased appetite, weight decrease, asthenia, insomnia, dizziness, gastro-oesophageal reflux disease, fatigue and diarrhoea were significant higher in</w:t>
            </w:r>
            <w:r w:rsidR="00E82E8A" w:rsidRPr="009D4425">
              <w:rPr>
                <w:rFonts w:ascii="Arial Narrow" w:hAnsi="Arial Narrow"/>
                <w:sz w:val="20"/>
                <w:szCs w:val="20"/>
              </w:rPr>
              <w:t xml:space="preserve"> pirfenidone treated patients. </w:t>
            </w:r>
            <w:r w:rsidRPr="009D4425">
              <w:rPr>
                <w:rFonts w:ascii="Arial Narrow" w:hAnsi="Arial Narrow"/>
                <w:sz w:val="20"/>
                <w:szCs w:val="20"/>
              </w:rPr>
              <w:t xml:space="preserve">Incidence of IPF and peripheral oedema was significantly lower in the pirfenidone treatment group when compared to placebo.  </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Same as previous submission</w:t>
            </w:r>
          </w:p>
        </w:tc>
      </w:tr>
      <w:tr w:rsidR="00653C6D" w:rsidRPr="009D4425" w:rsidTr="009D4425">
        <w:trPr>
          <w:cantSplit/>
          <w:trHeight w:val="860"/>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Clinical claim</w:t>
            </w:r>
          </w:p>
        </w:tc>
        <w:tc>
          <w:tcPr>
            <w:tcW w:w="2575" w:type="pct"/>
          </w:tcPr>
          <w:p w:rsidR="00653C6D" w:rsidRPr="009D4425" w:rsidRDefault="00653C6D" w:rsidP="002F6883">
            <w:pPr>
              <w:widowControl/>
              <w:jc w:val="left"/>
              <w:rPr>
                <w:rFonts w:ascii="Arial Narrow" w:hAnsi="Arial Narrow"/>
                <w:b/>
                <w:sz w:val="20"/>
                <w:szCs w:val="20"/>
              </w:rPr>
            </w:pPr>
            <w:r w:rsidRPr="009D4425">
              <w:rPr>
                <w:rFonts w:ascii="Arial Narrow" w:hAnsi="Arial Narrow"/>
                <w:sz w:val="20"/>
                <w:szCs w:val="20"/>
              </w:rPr>
              <w:t xml:space="preserve">Although not explicitly stated, it appears to be unchanged from November 2015 </w:t>
            </w:r>
            <w:r w:rsidR="00E82E8A" w:rsidRPr="009D4425">
              <w:rPr>
                <w:rFonts w:ascii="Arial Narrow" w:hAnsi="Arial Narrow"/>
                <w:sz w:val="20"/>
                <w:szCs w:val="20"/>
              </w:rPr>
              <w:t>submission:</w:t>
            </w:r>
            <w:r w:rsidRPr="009D4425">
              <w:rPr>
                <w:rFonts w:ascii="Arial Narrow" w:hAnsi="Arial Narrow"/>
                <w:sz w:val="20"/>
                <w:szCs w:val="20"/>
              </w:rPr>
              <w:t xml:space="preserve"> </w:t>
            </w:r>
            <w:r w:rsidR="00E82E8A" w:rsidRPr="009D4425">
              <w:rPr>
                <w:rFonts w:ascii="Arial Narrow" w:hAnsi="Arial Narrow"/>
                <w:sz w:val="20"/>
                <w:szCs w:val="20"/>
              </w:rPr>
              <w:t>s</w:t>
            </w:r>
            <w:r w:rsidRPr="009D4425">
              <w:rPr>
                <w:rFonts w:ascii="Arial Narrow" w:hAnsi="Arial Narrow"/>
                <w:sz w:val="20"/>
                <w:szCs w:val="20"/>
              </w:rPr>
              <w:t>uperior efficacy and acceptable safety profile compared with placebo.</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Same as previous submission</w:t>
            </w:r>
          </w:p>
        </w:tc>
      </w:tr>
      <w:tr w:rsidR="00653C6D" w:rsidRPr="009D4425" w:rsidTr="009D4425">
        <w:trPr>
          <w:cantSplit/>
          <w:trHeight w:val="964"/>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Economic evaluation</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 xml:space="preserve">Cost-utility model with cost/QALY </w:t>
            </w:r>
            <w:r w:rsidR="00A01F61">
              <w:rPr>
                <w:rFonts w:ascii="Arial Narrow" w:hAnsi="Arial Narrow"/>
                <w:sz w:val="20"/>
                <w:szCs w:val="20"/>
              </w:rPr>
              <w:t xml:space="preserve">$45,000/QALY - $75,000/QALY </w:t>
            </w:r>
            <w:r w:rsidRPr="009D4425">
              <w:rPr>
                <w:rFonts w:ascii="Arial Narrow" w:hAnsi="Arial Narrow"/>
                <w:sz w:val="20"/>
                <w:szCs w:val="20"/>
              </w:rPr>
              <w:t xml:space="preserve">(10 year time horizon); </w:t>
            </w:r>
            <w:r w:rsidR="00A01F61">
              <w:rPr>
                <w:rFonts w:ascii="Arial Narrow" w:hAnsi="Arial Narrow"/>
                <w:sz w:val="20"/>
                <w:szCs w:val="20"/>
              </w:rPr>
              <w:t>$45,000/QALY - $75,000/QALY</w:t>
            </w:r>
            <w:r w:rsidR="00A01F61" w:rsidRPr="009D4425" w:rsidDel="00A01F61">
              <w:rPr>
                <w:rFonts w:ascii="Arial Narrow" w:hAnsi="Arial Narrow"/>
                <w:sz w:val="20"/>
                <w:szCs w:val="20"/>
              </w:rPr>
              <w:t xml:space="preserve"> </w:t>
            </w:r>
            <w:r w:rsidR="00917D95">
              <w:rPr>
                <w:rFonts w:ascii="Arial Narrow" w:hAnsi="Arial Narrow"/>
                <w:sz w:val="20"/>
                <w:szCs w:val="20"/>
              </w:rPr>
              <w:t>(16 year time horizon).</w:t>
            </w:r>
          </w:p>
          <w:p w:rsidR="00653C6D" w:rsidRPr="009D4425" w:rsidRDefault="00653C6D" w:rsidP="002F6883">
            <w:pPr>
              <w:widowControl/>
              <w:jc w:val="left"/>
              <w:rPr>
                <w:rFonts w:ascii="Arial Narrow" w:hAnsi="Arial Narrow"/>
                <w:sz w:val="20"/>
                <w:szCs w:val="20"/>
              </w:rPr>
            </w:pPr>
          </w:p>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The minor resubmission respecified the base case ICER through the following:</w:t>
            </w:r>
          </w:p>
          <w:p w:rsidR="00653C6D" w:rsidRPr="009D4425" w:rsidRDefault="00653C6D" w:rsidP="002F6883">
            <w:pPr>
              <w:pStyle w:val="ListParagraph"/>
              <w:widowControl/>
              <w:numPr>
                <w:ilvl w:val="0"/>
                <w:numId w:val="17"/>
              </w:numPr>
              <w:ind w:left="112" w:hanging="112"/>
              <w:jc w:val="left"/>
              <w:rPr>
                <w:rFonts w:ascii="Arial Narrow" w:hAnsi="Arial Narrow"/>
                <w:sz w:val="20"/>
                <w:szCs w:val="20"/>
              </w:rPr>
            </w:pPr>
            <w:r w:rsidRPr="009D4425">
              <w:rPr>
                <w:rFonts w:ascii="Arial Narrow" w:hAnsi="Arial Narrow"/>
                <w:sz w:val="20"/>
                <w:szCs w:val="20"/>
              </w:rPr>
              <w:t>removing the assumed price reduction following expiry of data exclusivity;</w:t>
            </w:r>
          </w:p>
          <w:p w:rsidR="00653C6D" w:rsidRPr="009D4425" w:rsidRDefault="00653C6D" w:rsidP="002F6883">
            <w:pPr>
              <w:pStyle w:val="ListParagraph"/>
              <w:widowControl/>
              <w:numPr>
                <w:ilvl w:val="0"/>
                <w:numId w:val="17"/>
              </w:numPr>
              <w:ind w:left="112" w:hanging="112"/>
              <w:jc w:val="left"/>
              <w:rPr>
                <w:rFonts w:ascii="Arial Narrow" w:hAnsi="Arial Narrow"/>
                <w:sz w:val="20"/>
                <w:szCs w:val="20"/>
              </w:rPr>
            </w:pPr>
            <w:r w:rsidRPr="009D4425">
              <w:rPr>
                <w:rFonts w:ascii="Arial Narrow" w:hAnsi="Arial Narrow"/>
                <w:sz w:val="20"/>
                <w:szCs w:val="20"/>
              </w:rPr>
              <w:t xml:space="preserve">increasing the proposed rebate from </w:t>
            </w:r>
            <w:r w:rsidR="00F60B7B">
              <w:rPr>
                <w:rFonts w:ascii="Arial Narrow" w:hAnsi="Arial Narrow"/>
                <w:noProof/>
                <w:color w:val="000000"/>
                <w:sz w:val="20"/>
                <w:szCs w:val="20"/>
                <w:highlight w:val="black"/>
              </w:rPr>
              <w:t>''''</w:t>
            </w:r>
            <w:r w:rsidRPr="009D4425">
              <w:rPr>
                <w:rFonts w:ascii="Arial Narrow" w:hAnsi="Arial Narrow"/>
                <w:sz w:val="20"/>
                <w:szCs w:val="20"/>
              </w:rPr>
              <w:t xml:space="preserve">% to </w:t>
            </w:r>
            <w:r w:rsidR="00F60B7B">
              <w:rPr>
                <w:rFonts w:ascii="Arial Narrow" w:hAnsi="Arial Narrow"/>
                <w:noProof/>
                <w:color w:val="000000"/>
                <w:sz w:val="20"/>
                <w:szCs w:val="20"/>
                <w:highlight w:val="black"/>
              </w:rPr>
              <w:t>''''''</w:t>
            </w:r>
            <w:r w:rsidR="00917D95">
              <w:rPr>
                <w:rFonts w:ascii="Arial Narrow" w:hAnsi="Arial Narrow"/>
                <w:sz w:val="20"/>
                <w:szCs w:val="20"/>
              </w:rPr>
              <w:t>%; and</w:t>
            </w:r>
          </w:p>
          <w:p w:rsidR="00653C6D" w:rsidRPr="009D4425" w:rsidRDefault="00653C6D" w:rsidP="002F6883">
            <w:pPr>
              <w:pStyle w:val="ListParagraph"/>
              <w:widowControl/>
              <w:numPr>
                <w:ilvl w:val="0"/>
                <w:numId w:val="17"/>
              </w:numPr>
              <w:ind w:left="112" w:hanging="112"/>
              <w:jc w:val="left"/>
              <w:rPr>
                <w:rFonts w:ascii="Arial Narrow" w:hAnsi="Arial Narrow"/>
                <w:sz w:val="20"/>
                <w:szCs w:val="20"/>
              </w:rPr>
            </w:pPr>
            <w:r w:rsidRPr="009D4425">
              <w:rPr>
                <w:rFonts w:ascii="Arial Narrow" w:hAnsi="Arial Narrow"/>
                <w:sz w:val="20"/>
                <w:szCs w:val="20"/>
              </w:rPr>
              <w:t xml:space="preserve">providing the option of a 10 year or 16 year time horizon (the previous model only included the </w:t>
            </w:r>
            <w:r w:rsidR="00ED153A">
              <w:rPr>
                <w:rFonts w:ascii="Arial Narrow" w:hAnsi="Arial Narrow"/>
                <w:sz w:val="20"/>
                <w:szCs w:val="20"/>
              </w:rPr>
              <w:t>16</w:t>
            </w:r>
            <w:r w:rsidR="00917D95">
              <w:rPr>
                <w:rFonts w:ascii="Arial Narrow" w:hAnsi="Arial Narrow"/>
                <w:sz w:val="20"/>
                <w:szCs w:val="20"/>
              </w:rPr>
              <w:t xml:space="preserve"> year time horizon).</w:t>
            </w:r>
          </w:p>
          <w:p w:rsidR="00653C6D" w:rsidRPr="009D4425" w:rsidRDefault="00653C6D" w:rsidP="002F6883">
            <w:pPr>
              <w:widowControl/>
              <w:jc w:val="left"/>
              <w:rPr>
                <w:rFonts w:ascii="Arial Narrow" w:hAnsi="Arial Narrow"/>
                <w:sz w:val="20"/>
                <w:szCs w:val="20"/>
              </w:rPr>
            </w:pPr>
          </w:p>
          <w:p w:rsidR="00653C6D" w:rsidRPr="009D4425" w:rsidRDefault="00653C6D" w:rsidP="00A01F61">
            <w:pPr>
              <w:widowControl/>
              <w:contextualSpacing/>
              <w:rPr>
                <w:rFonts w:ascii="Arial Narrow" w:hAnsi="Arial Narrow"/>
                <w:bCs/>
                <w:sz w:val="20"/>
                <w:szCs w:val="20"/>
                <w:lang w:val="en-GB"/>
              </w:rPr>
            </w:pPr>
            <w:r w:rsidRPr="009D4425">
              <w:rPr>
                <w:rFonts w:ascii="Arial Narrow" w:hAnsi="Arial Narrow"/>
                <w:b/>
                <w:bCs/>
                <w:sz w:val="20"/>
                <w:szCs w:val="20"/>
                <w:lang w:val="en-GB"/>
              </w:rPr>
              <w:t xml:space="preserve">PBAC Comment: </w:t>
            </w:r>
            <w:r w:rsidRPr="009D4425">
              <w:rPr>
                <w:rFonts w:ascii="Arial Narrow" w:hAnsi="Arial Narrow"/>
                <w:bCs/>
                <w:sz w:val="20"/>
                <w:szCs w:val="20"/>
                <w:lang w:val="en-GB"/>
              </w:rPr>
              <w:t>The PBAC recalled its concern from November 2015 that the use of historical data to extrapolate OS in the modelled BSC arm may have underestimated survival compared with the BSC arm in the trials. The PBAC noted the minor resubmission presented Kaplan-Meier curves comparing the survival in two IPF registries with the historical data. The PBAC considered that the survival demonstrated in the historical data was acceptably similar to that of the registries.  (paragra</w:t>
            </w:r>
            <w:r w:rsidR="007C13C1" w:rsidRPr="009D4425">
              <w:rPr>
                <w:rFonts w:ascii="Arial Narrow" w:hAnsi="Arial Narrow"/>
                <w:bCs/>
                <w:sz w:val="20"/>
                <w:szCs w:val="20"/>
                <w:lang w:val="en-GB"/>
              </w:rPr>
              <w:t xml:space="preserve">ph 5.4, March 2016 PBAC </w:t>
            </w:r>
            <w:r w:rsidR="00A01F61">
              <w:rPr>
                <w:rFonts w:ascii="Arial Narrow" w:hAnsi="Arial Narrow"/>
                <w:bCs/>
                <w:sz w:val="20"/>
                <w:szCs w:val="20"/>
                <w:lang w:val="en-GB"/>
              </w:rPr>
              <w:t>PSD</w:t>
            </w:r>
            <w:r w:rsidRPr="009D4425">
              <w:rPr>
                <w:rFonts w:ascii="Arial Narrow" w:hAnsi="Arial Narrow"/>
                <w:bCs/>
                <w:sz w:val="20"/>
                <w:szCs w:val="20"/>
                <w:lang w:val="en-GB"/>
              </w:rPr>
              <w:t>)</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 xml:space="preserve">Cost-utility model with cost/QALY </w:t>
            </w:r>
            <w:r w:rsidR="00A01F61">
              <w:rPr>
                <w:rFonts w:ascii="Arial Narrow" w:hAnsi="Arial Narrow"/>
                <w:sz w:val="20"/>
                <w:szCs w:val="20"/>
              </w:rPr>
              <w:t>$45,000/QALY - $75,000/QALY</w:t>
            </w:r>
            <w:r w:rsidR="00A01F61" w:rsidRPr="009D4425" w:rsidDel="00A01F61">
              <w:rPr>
                <w:rFonts w:ascii="Arial Narrow" w:hAnsi="Arial Narrow"/>
                <w:sz w:val="20"/>
                <w:szCs w:val="20"/>
              </w:rPr>
              <w:t xml:space="preserve"> </w:t>
            </w:r>
            <w:r w:rsidRPr="009D4425">
              <w:rPr>
                <w:rFonts w:ascii="Arial Narrow" w:hAnsi="Arial Narrow"/>
                <w:sz w:val="20"/>
                <w:szCs w:val="20"/>
              </w:rPr>
              <w:t>(10 year time horizon);</w:t>
            </w:r>
          </w:p>
          <w:p w:rsidR="00653C6D" w:rsidRPr="009D4425" w:rsidRDefault="00653C6D" w:rsidP="002F6883">
            <w:pPr>
              <w:widowControl/>
              <w:jc w:val="left"/>
              <w:rPr>
                <w:rFonts w:ascii="Arial Narrow" w:hAnsi="Arial Narrow"/>
                <w:sz w:val="20"/>
                <w:szCs w:val="20"/>
              </w:rPr>
            </w:pPr>
          </w:p>
          <w:p w:rsidR="00653C6D" w:rsidRPr="009D4425" w:rsidRDefault="00653C6D" w:rsidP="007C13C1">
            <w:pPr>
              <w:widowControl/>
              <w:jc w:val="left"/>
              <w:rPr>
                <w:rFonts w:ascii="Arial Narrow" w:hAnsi="Arial Narrow"/>
                <w:sz w:val="20"/>
                <w:szCs w:val="20"/>
              </w:rPr>
            </w:pPr>
            <w:r w:rsidRPr="009D4425">
              <w:rPr>
                <w:rFonts w:ascii="Arial Narrow" w:hAnsi="Arial Narrow"/>
                <w:sz w:val="20"/>
                <w:szCs w:val="20"/>
              </w:rPr>
              <w:t>Corrected error in removal of price reduction following expiry of data exclusivity</w:t>
            </w:r>
          </w:p>
        </w:tc>
      </w:tr>
      <w:tr w:rsidR="00653C6D" w:rsidRPr="009D4425" w:rsidTr="009D4425">
        <w:trPr>
          <w:cantSplit/>
          <w:trHeight w:val="79"/>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lastRenderedPageBreak/>
              <w:t>Number of patients</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 xml:space="preserve">Unchanged from November 2015 submission. </w:t>
            </w:r>
            <w:r w:rsidR="00A01F61">
              <w:rPr>
                <w:rFonts w:ascii="Arial Narrow" w:hAnsi="Arial Narrow"/>
                <w:sz w:val="20"/>
                <w:szCs w:val="20"/>
              </w:rPr>
              <w:t>Less than 10,000</w:t>
            </w:r>
            <w:r w:rsidRPr="009D4425">
              <w:rPr>
                <w:rFonts w:ascii="Arial Narrow" w:hAnsi="Arial Narrow"/>
                <w:sz w:val="20"/>
                <w:szCs w:val="20"/>
              </w:rPr>
              <w:t xml:space="preserve"> in Year 1 increasing to </w:t>
            </w:r>
            <w:r w:rsidR="00A01F61">
              <w:rPr>
                <w:rFonts w:ascii="Arial Narrow" w:hAnsi="Arial Narrow"/>
                <w:sz w:val="20"/>
                <w:szCs w:val="20"/>
              </w:rPr>
              <w:t>less than 10,000</w:t>
            </w:r>
            <w:r w:rsidRPr="009D4425">
              <w:rPr>
                <w:rFonts w:ascii="Arial Narrow" w:hAnsi="Arial Narrow"/>
                <w:sz w:val="20"/>
                <w:szCs w:val="20"/>
              </w:rPr>
              <w:t xml:space="preserve"> in Year 5.</w:t>
            </w:r>
          </w:p>
          <w:p w:rsidR="00653C6D" w:rsidRPr="009D4425" w:rsidRDefault="00653C6D" w:rsidP="002F6883">
            <w:pPr>
              <w:widowControl/>
              <w:jc w:val="left"/>
              <w:rPr>
                <w:rFonts w:ascii="Arial Narrow" w:hAnsi="Arial Narrow"/>
                <w:sz w:val="20"/>
                <w:szCs w:val="20"/>
              </w:rPr>
            </w:pPr>
          </w:p>
          <w:p w:rsidR="00653C6D" w:rsidRPr="009D4425" w:rsidRDefault="00653C6D" w:rsidP="00A01F61">
            <w:pPr>
              <w:widowControl/>
              <w:contextualSpacing/>
              <w:rPr>
                <w:rFonts w:ascii="Arial Narrow" w:hAnsi="Arial Narrow"/>
                <w:sz w:val="20"/>
                <w:szCs w:val="20"/>
              </w:rPr>
            </w:pPr>
            <w:r w:rsidRPr="009D4425">
              <w:rPr>
                <w:rFonts w:ascii="Arial Narrow" w:hAnsi="Arial Narrow"/>
                <w:b/>
                <w:sz w:val="20"/>
                <w:szCs w:val="20"/>
              </w:rPr>
              <w:t>PBAC Comment:</w:t>
            </w:r>
            <w:r w:rsidRPr="009D4425">
              <w:rPr>
                <w:rFonts w:ascii="Arial Narrow" w:hAnsi="Arial Narrow"/>
                <w:sz w:val="20"/>
                <w:szCs w:val="20"/>
              </w:rPr>
              <w:t xml:space="preserve"> The PBAC recalled its key concerns in November 2015 regarding the derivation of the pirfenidone treated population (potentially higher IPF incidence rate; limiting calculation of prevalent population to IPF patients in the year prior to listing) and hospitalisations are likely to result in underestimated net costs to the government.  The evaluation also noted additional factors (application of ABS population projections; potential duplication of deaths in the pirfenidone treatment continuation rates) that were likely to further contribute to this underestimate.  The PBAC considered that the minor resubmission did not sufficiently address these issues, and </w:t>
            </w:r>
            <w:r w:rsidRPr="009D4425">
              <w:rPr>
                <w:rFonts w:ascii="Arial Narrow" w:hAnsi="Arial Narrow"/>
                <w:bCs/>
                <w:sz w:val="20"/>
                <w:szCs w:val="20"/>
                <w:lang w:val="en-GB"/>
              </w:rPr>
              <w:t xml:space="preserve">noted the potential for the absence of a stopping rule to increase the utilisation estimates. (paragraph 5.7, March 2016, </w:t>
            </w:r>
            <w:r w:rsidR="00A01F61">
              <w:rPr>
                <w:rFonts w:ascii="Arial Narrow" w:hAnsi="Arial Narrow"/>
                <w:bCs/>
                <w:sz w:val="20"/>
                <w:szCs w:val="20"/>
                <w:lang w:val="en-GB"/>
              </w:rPr>
              <w:t>PSD</w:t>
            </w:r>
            <w:r w:rsidRPr="009D4425">
              <w:rPr>
                <w:rFonts w:ascii="Arial Narrow" w:hAnsi="Arial Narrow"/>
                <w:bCs/>
                <w:sz w:val="20"/>
                <w:szCs w:val="20"/>
                <w:lang w:val="en-GB"/>
              </w:rPr>
              <w:t>).</w:t>
            </w:r>
          </w:p>
        </w:tc>
        <w:tc>
          <w:tcPr>
            <w:tcW w:w="1663" w:type="pct"/>
          </w:tcPr>
          <w:p w:rsidR="00653C6D" w:rsidRPr="009D4425" w:rsidRDefault="00653C6D" w:rsidP="00A01F61">
            <w:pPr>
              <w:widowControl/>
              <w:jc w:val="left"/>
              <w:rPr>
                <w:rFonts w:ascii="Arial Narrow" w:hAnsi="Arial Narrow"/>
                <w:sz w:val="20"/>
                <w:szCs w:val="20"/>
              </w:rPr>
            </w:pPr>
            <w:r w:rsidRPr="009D4425">
              <w:rPr>
                <w:rFonts w:ascii="Arial Narrow" w:hAnsi="Arial Narrow"/>
                <w:sz w:val="20"/>
                <w:szCs w:val="20"/>
              </w:rPr>
              <w:t xml:space="preserve">Calculation of patients treated changed from number of patients treated per year to Patient-years of treatment, based on quarters of treatment. </w:t>
            </w:r>
            <w:r w:rsidR="00A01F61">
              <w:rPr>
                <w:rFonts w:ascii="Arial Narrow" w:hAnsi="Arial Narrow"/>
                <w:sz w:val="20"/>
                <w:szCs w:val="20"/>
              </w:rPr>
              <w:t>Less than 10,000</w:t>
            </w:r>
            <w:r w:rsidRPr="009D4425">
              <w:rPr>
                <w:rFonts w:ascii="Arial Narrow" w:hAnsi="Arial Narrow"/>
                <w:sz w:val="20"/>
                <w:szCs w:val="20"/>
              </w:rPr>
              <w:t xml:space="preserve"> in Year 1 to </w:t>
            </w:r>
            <w:r w:rsidR="00A01F61">
              <w:rPr>
                <w:rFonts w:ascii="Arial Narrow" w:hAnsi="Arial Narrow"/>
                <w:sz w:val="20"/>
                <w:szCs w:val="20"/>
              </w:rPr>
              <w:t>less than 10,000</w:t>
            </w:r>
            <w:r w:rsidRPr="009D4425">
              <w:rPr>
                <w:rFonts w:ascii="Arial Narrow" w:hAnsi="Arial Narrow"/>
                <w:sz w:val="20"/>
                <w:szCs w:val="20"/>
              </w:rPr>
              <w:t xml:space="preserve"> in Year 5.</w:t>
            </w:r>
          </w:p>
        </w:tc>
      </w:tr>
      <w:tr w:rsidR="00653C6D" w:rsidRPr="009D4425" w:rsidTr="009D4425">
        <w:trPr>
          <w:cantSplit/>
          <w:trHeight w:val="314"/>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Estimated cost to PBS</w:t>
            </w:r>
          </w:p>
        </w:tc>
        <w:tc>
          <w:tcPr>
            <w:tcW w:w="2575" w:type="pct"/>
          </w:tcPr>
          <w:p w:rsidR="00653C6D" w:rsidRPr="009D4425" w:rsidRDefault="00A01F61" w:rsidP="00A01F61">
            <w:pPr>
              <w:widowControl/>
              <w:jc w:val="left"/>
              <w:rPr>
                <w:rFonts w:ascii="Arial Narrow" w:hAnsi="Arial Narrow"/>
                <w:sz w:val="20"/>
                <w:szCs w:val="20"/>
              </w:rPr>
            </w:pPr>
            <w:r>
              <w:rPr>
                <w:rFonts w:ascii="Arial Narrow" w:hAnsi="Arial Narrow"/>
                <w:sz w:val="20"/>
                <w:szCs w:val="20"/>
              </w:rPr>
              <w:t>$30 - $60 million in</w:t>
            </w:r>
            <w:r w:rsidR="00653C6D" w:rsidRPr="009D4425">
              <w:rPr>
                <w:rFonts w:ascii="Arial Narrow" w:hAnsi="Arial Narrow"/>
                <w:sz w:val="20"/>
                <w:szCs w:val="20"/>
              </w:rPr>
              <w:t xml:space="preserve"> Year 1 increasing to </w:t>
            </w:r>
            <w:r>
              <w:rPr>
                <w:rFonts w:ascii="Arial Narrow" w:hAnsi="Arial Narrow"/>
                <w:sz w:val="20"/>
                <w:szCs w:val="20"/>
              </w:rPr>
              <w:t>$60 - $100 million</w:t>
            </w:r>
            <w:r w:rsidR="00653C6D" w:rsidRPr="009D4425">
              <w:rPr>
                <w:rFonts w:ascii="Arial Narrow" w:hAnsi="Arial Narrow"/>
                <w:sz w:val="20"/>
                <w:szCs w:val="20"/>
              </w:rPr>
              <w:t xml:space="preserve"> in Year 5.</w:t>
            </w:r>
          </w:p>
        </w:tc>
        <w:tc>
          <w:tcPr>
            <w:tcW w:w="1663" w:type="pct"/>
          </w:tcPr>
          <w:p w:rsidR="00653C6D" w:rsidRPr="009D4425" w:rsidRDefault="00A01F61" w:rsidP="002F6883">
            <w:pPr>
              <w:widowControl/>
              <w:jc w:val="left"/>
              <w:rPr>
                <w:rFonts w:ascii="Arial Narrow" w:hAnsi="Arial Narrow"/>
                <w:sz w:val="20"/>
                <w:szCs w:val="20"/>
              </w:rPr>
            </w:pPr>
            <w:r>
              <w:rPr>
                <w:rFonts w:ascii="Arial Narrow" w:hAnsi="Arial Narrow"/>
                <w:sz w:val="20"/>
                <w:szCs w:val="20"/>
              </w:rPr>
              <w:t xml:space="preserve">$30 - $60 million </w:t>
            </w:r>
            <w:r w:rsidR="00653C6D" w:rsidRPr="009D4425">
              <w:rPr>
                <w:rFonts w:ascii="Arial Narrow" w:hAnsi="Arial Narrow"/>
                <w:sz w:val="20"/>
                <w:szCs w:val="20"/>
              </w:rPr>
              <w:t xml:space="preserve">in Year 1, increasing to </w:t>
            </w:r>
            <w:r>
              <w:rPr>
                <w:rFonts w:ascii="Arial Narrow" w:hAnsi="Arial Narrow"/>
                <w:sz w:val="20"/>
                <w:szCs w:val="20"/>
              </w:rPr>
              <w:t>$60 - $100 million</w:t>
            </w:r>
            <w:r w:rsidRPr="009D4425">
              <w:rPr>
                <w:rFonts w:ascii="Arial Narrow" w:hAnsi="Arial Narrow"/>
                <w:sz w:val="20"/>
                <w:szCs w:val="20"/>
              </w:rPr>
              <w:t xml:space="preserve"> </w:t>
            </w:r>
            <w:r w:rsidR="00653C6D" w:rsidRPr="009D4425">
              <w:rPr>
                <w:rFonts w:ascii="Arial Narrow" w:hAnsi="Arial Narrow"/>
                <w:sz w:val="20"/>
                <w:szCs w:val="20"/>
              </w:rPr>
              <w:t xml:space="preserve">in Year 5 for a total of </w:t>
            </w:r>
            <w:r>
              <w:rPr>
                <w:rFonts w:ascii="Arial Narrow" w:hAnsi="Arial Narrow"/>
                <w:sz w:val="20"/>
                <w:szCs w:val="20"/>
              </w:rPr>
              <w:t>more than $100 million</w:t>
            </w:r>
            <w:r w:rsidR="00653C6D" w:rsidRPr="009D4425">
              <w:rPr>
                <w:rFonts w:ascii="Arial Narrow" w:hAnsi="Arial Narrow"/>
                <w:sz w:val="20"/>
                <w:szCs w:val="20"/>
              </w:rPr>
              <w:t xml:space="preserve"> over the first  5 years of listing</w:t>
            </w:r>
          </w:p>
          <w:p w:rsidR="00653C6D" w:rsidRPr="009D4425" w:rsidRDefault="00653C6D" w:rsidP="002F6883">
            <w:pPr>
              <w:widowControl/>
              <w:jc w:val="left"/>
              <w:rPr>
                <w:rFonts w:ascii="Arial Narrow" w:hAnsi="Arial Narrow"/>
                <w:sz w:val="20"/>
                <w:szCs w:val="20"/>
              </w:rPr>
            </w:pPr>
          </w:p>
          <w:p w:rsidR="00653C6D" w:rsidRPr="009D4425" w:rsidRDefault="00653C6D" w:rsidP="005900C6">
            <w:pPr>
              <w:widowControl/>
              <w:jc w:val="left"/>
              <w:rPr>
                <w:rFonts w:ascii="Arial Narrow" w:hAnsi="Arial Narrow"/>
                <w:sz w:val="20"/>
                <w:szCs w:val="20"/>
              </w:rPr>
            </w:pPr>
            <w:r w:rsidRPr="009D4425">
              <w:rPr>
                <w:rFonts w:ascii="Arial Narrow" w:hAnsi="Arial Narrow"/>
                <w:sz w:val="20"/>
                <w:szCs w:val="20"/>
              </w:rPr>
              <w:t xml:space="preserve">RSA subsidisation caps proposed of </w:t>
            </w:r>
            <w:r w:rsidR="00A01F61">
              <w:rPr>
                <w:rFonts w:ascii="Arial Narrow" w:hAnsi="Arial Narrow"/>
                <w:sz w:val="20"/>
                <w:szCs w:val="20"/>
              </w:rPr>
              <w:t>$</w:t>
            </w:r>
            <w:r w:rsidR="003432BC">
              <w:rPr>
                <w:rFonts w:ascii="Arial Narrow" w:hAnsi="Arial Narrow"/>
                <w:noProof/>
                <w:color w:val="000000"/>
                <w:sz w:val="20"/>
                <w:szCs w:val="20"/>
                <w:highlight w:val="black"/>
              </w:rPr>
              <w:t xml:space="preserve">''''''' '' ''''''''''''' </w:t>
            </w:r>
            <w:r w:rsidR="00A01F61">
              <w:rPr>
                <w:rFonts w:ascii="Arial Narrow" w:hAnsi="Arial Narrow"/>
                <w:sz w:val="20"/>
                <w:szCs w:val="20"/>
              </w:rPr>
              <w:t>million</w:t>
            </w:r>
            <w:r w:rsidRPr="009D4425">
              <w:rPr>
                <w:rFonts w:ascii="Arial Narrow" w:hAnsi="Arial Narrow"/>
                <w:sz w:val="20"/>
                <w:szCs w:val="20"/>
              </w:rPr>
              <w:t xml:space="preserve"> over the first 5 years of listing.</w:t>
            </w:r>
          </w:p>
        </w:tc>
      </w:tr>
      <w:tr w:rsidR="00653C6D" w:rsidRPr="009D4425" w:rsidTr="009D4425">
        <w:trPr>
          <w:cantSplit/>
          <w:trHeight w:val="438"/>
        </w:trPr>
        <w:tc>
          <w:tcPr>
            <w:tcW w:w="762"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br w:type="page"/>
              <w:t>PBAC decision</w:t>
            </w:r>
          </w:p>
        </w:tc>
        <w:tc>
          <w:tcPr>
            <w:tcW w:w="2575"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Reject</w:t>
            </w:r>
          </w:p>
          <w:p w:rsidR="00653C6D" w:rsidRPr="009D4425" w:rsidRDefault="00653C6D" w:rsidP="002F6883">
            <w:pPr>
              <w:widowControl/>
              <w:jc w:val="left"/>
              <w:rPr>
                <w:rFonts w:ascii="Arial Narrow" w:hAnsi="Arial Narrow"/>
                <w:sz w:val="20"/>
                <w:szCs w:val="20"/>
              </w:rPr>
            </w:pPr>
          </w:p>
          <w:p w:rsidR="00653C6D" w:rsidRPr="009D4425" w:rsidRDefault="00653C6D" w:rsidP="009E7C1B">
            <w:pPr>
              <w:widowControl/>
              <w:jc w:val="left"/>
              <w:rPr>
                <w:rFonts w:ascii="Arial Narrow" w:hAnsi="Arial Narrow"/>
                <w:sz w:val="20"/>
                <w:szCs w:val="20"/>
              </w:rPr>
            </w:pPr>
            <w:r w:rsidRPr="009D4425">
              <w:rPr>
                <w:rFonts w:ascii="Arial Narrow" w:hAnsi="Arial Narrow"/>
                <w:b/>
                <w:sz w:val="20"/>
                <w:szCs w:val="20"/>
              </w:rPr>
              <w:t xml:space="preserve">PBAC Comment: </w:t>
            </w:r>
            <w:r w:rsidRPr="009D4425">
              <w:rPr>
                <w:rFonts w:ascii="Arial Narrow" w:hAnsi="Arial Narrow"/>
                <w:sz w:val="20"/>
                <w:szCs w:val="20"/>
              </w:rPr>
              <w:t>The PBAC did not recommend the PBS listing of pirfenidone for the treatment of idiopathic pulmonary fibrosis on the basis of unacceptably high cost effectiveness, in the context of total cost and uncertain utilisation. (paragraph 5.1, March 2016 PBAC</w:t>
            </w:r>
            <w:r w:rsidR="009E7C1B">
              <w:rPr>
                <w:rFonts w:ascii="Arial Narrow" w:hAnsi="Arial Narrow"/>
                <w:sz w:val="20"/>
                <w:szCs w:val="20"/>
              </w:rPr>
              <w:t>PSD</w:t>
            </w:r>
            <w:r w:rsidRPr="009D4425">
              <w:rPr>
                <w:rFonts w:ascii="Arial Narrow" w:hAnsi="Arial Narrow"/>
                <w:sz w:val="20"/>
                <w:szCs w:val="20"/>
              </w:rPr>
              <w:t>)</w:t>
            </w:r>
          </w:p>
        </w:tc>
        <w:tc>
          <w:tcPr>
            <w:tcW w:w="1663" w:type="pct"/>
          </w:tcPr>
          <w:p w:rsidR="00653C6D" w:rsidRPr="009D4425" w:rsidRDefault="00653C6D" w:rsidP="002F6883">
            <w:pPr>
              <w:widowControl/>
              <w:jc w:val="left"/>
              <w:rPr>
                <w:rFonts w:ascii="Arial Narrow" w:hAnsi="Arial Narrow"/>
                <w:sz w:val="20"/>
                <w:szCs w:val="20"/>
              </w:rPr>
            </w:pPr>
            <w:r w:rsidRPr="009D4425">
              <w:rPr>
                <w:rFonts w:ascii="Arial Narrow" w:hAnsi="Arial Narrow"/>
                <w:sz w:val="20"/>
                <w:szCs w:val="20"/>
              </w:rPr>
              <w:t>-</w:t>
            </w:r>
          </w:p>
        </w:tc>
      </w:tr>
    </w:tbl>
    <w:p w:rsidR="001B6188" w:rsidRDefault="001B6188" w:rsidP="002F6883">
      <w:pPr>
        <w:widowControl/>
      </w:pPr>
    </w:p>
    <w:p w:rsidR="005754A0" w:rsidRDefault="005754A0" w:rsidP="002F6883">
      <w:pPr>
        <w:pStyle w:val="ListParagraph"/>
        <w:widowControl/>
        <w:ind w:left="709"/>
        <w:rPr>
          <w:i/>
          <w:szCs w:val="22"/>
        </w:rPr>
      </w:pPr>
      <w:r w:rsidRPr="003B694B">
        <w:rPr>
          <w:i/>
          <w:szCs w:val="22"/>
        </w:rPr>
        <w:t>For more detail on PBAC’s view, see section 7 “PBAC outcome”</w:t>
      </w:r>
      <w:r w:rsidR="007C13C1">
        <w:rPr>
          <w:i/>
          <w:szCs w:val="22"/>
        </w:rPr>
        <w:t>.</w:t>
      </w:r>
    </w:p>
    <w:p w:rsidR="00DC5480" w:rsidRDefault="00DC5480" w:rsidP="002F6883">
      <w:pPr>
        <w:widowControl/>
      </w:pPr>
    </w:p>
    <w:p w:rsidR="003A1111" w:rsidRPr="00882085" w:rsidRDefault="003A1111" w:rsidP="002F6883">
      <w:pPr>
        <w:widowControl/>
      </w:pPr>
    </w:p>
    <w:p w:rsidR="00F338FF" w:rsidRPr="00407F2D" w:rsidRDefault="00F338FF" w:rsidP="002F6883">
      <w:pPr>
        <w:pStyle w:val="PBACheading1"/>
        <w:rPr>
          <w:b/>
        </w:rPr>
      </w:pPr>
      <w:bookmarkStart w:id="5" w:name="_Toc461547424"/>
      <w:r w:rsidRPr="00407F2D">
        <w:rPr>
          <w:b/>
        </w:rPr>
        <w:t>Clinical place for the proposed therapy</w:t>
      </w:r>
      <w:bookmarkEnd w:id="5"/>
    </w:p>
    <w:p w:rsidR="00B60939" w:rsidRDefault="00B60939" w:rsidP="002F6883">
      <w:pPr>
        <w:widowControl/>
        <w:rPr>
          <w:szCs w:val="22"/>
        </w:rPr>
      </w:pPr>
    </w:p>
    <w:p w:rsidR="00705261" w:rsidRPr="00705261" w:rsidRDefault="00705261" w:rsidP="002F6883">
      <w:pPr>
        <w:pStyle w:val="ListParagraph"/>
        <w:widowControl/>
        <w:numPr>
          <w:ilvl w:val="1"/>
          <w:numId w:val="2"/>
        </w:numPr>
        <w:rPr>
          <w:szCs w:val="22"/>
        </w:rPr>
      </w:pPr>
      <w:r w:rsidRPr="00705261">
        <w:t>IPF is a specific form of chronic, progressive, fibrosing, idiopathic interstitial pneumonia (IIP).  It is the most common IIP and the most severe and frequently occurring of the broader category of all interstitial lung diseases (ILD). IPF is an irreversible and fatal disease with considerable variability in disease progression</w:t>
      </w:r>
      <w:r w:rsidR="003B694B">
        <w:t xml:space="preserve"> and</w:t>
      </w:r>
      <w:r w:rsidRPr="00705261">
        <w:t xml:space="preserve"> median survival</w:t>
      </w:r>
      <w:r w:rsidR="003B694B">
        <w:t xml:space="preserve"> ranging from</w:t>
      </w:r>
      <w:r w:rsidRPr="00705261">
        <w:t xml:space="preserve"> 3 to 5 years. IPF causes a progressive decline in lung function, which increasingly restricts routine physical activity due to breathlessness from disrupted alveolar-capillary barrier architecture, leading to impaired gas exchange and increased work of breathing due to reduced compliance of the lungs. Lung transplant is the only potentially curative intervention for IPF.</w:t>
      </w:r>
    </w:p>
    <w:p w:rsidR="00DC5480" w:rsidRPr="007C13C1" w:rsidRDefault="00DC5480" w:rsidP="002F6883">
      <w:pPr>
        <w:widowControl/>
        <w:rPr>
          <w:szCs w:val="22"/>
        </w:rPr>
      </w:pPr>
    </w:p>
    <w:p w:rsidR="00ED18CC" w:rsidRPr="00892558" w:rsidRDefault="00ED18CC" w:rsidP="002F6883">
      <w:pPr>
        <w:pStyle w:val="ListParagraph"/>
        <w:widowControl/>
        <w:numPr>
          <w:ilvl w:val="1"/>
          <w:numId w:val="2"/>
        </w:numPr>
        <w:rPr>
          <w:szCs w:val="22"/>
        </w:rPr>
      </w:pPr>
      <w:r>
        <w:t xml:space="preserve">No </w:t>
      </w:r>
      <w:r w:rsidR="0073067D">
        <w:t xml:space="preserve">other </w:t>
      </w:r>
      <w:r>
        <w:t xml:space="preserve">medications are </w:t>
      </w:r>
      <w:r w:rsidR="0073067D">
        <w:t xml:space="preserve">currently </w:t>
      </w:r>
      <w:r>
        <w:t>listed on the PBS specifically for the treatment of IPF</w:t>
      </w:r>
      <w:r w:rsidR="00DF14FF">
        <w:t xml:space="preserve">. </w:t>
      </w:r>
      <w:r w:rsidR="00DF14FF">
        <w:rPr>
          <w:szCs w:val="22"/>
        </w:rPr>
        <w:t xml:space="preserve">A resubmission for nintedanib for the treatment of IPF </w:t>
      </w:r>
      <w:r w:rsidR="00427E0F">
        <w:rPr>
          <w:szCs w:val="22"/>
        </w:rPr>
        <w:t xml:space="preserve">was </w:t>
      </w:r>
      <w:r w:rsidR="00DF14FF">
        <w:rPr>
          <w:szCs w:val="22"/>
        </w:rPr>
        <w:t>also considered by the PBAC at the November 2016 meeting (</w:t>
      </w:r>
      <w:r w:rsidR="00DF14FF" w:rsidRPr="00641D45">
        <w:rPr>
          <w:szCs w:val="22"/>
        </w:rPr>
        <w:t>agenda item 4.02 refers</w:t>
      </w:r>
      <w:r w:rsidR="00DF14FF">
        <w:rPr>
          <w:szCs w:val="22"/>
        </w:rPr>
        <w:t>).</w:t>
      </w:r>
    </w:p>
    <w:p w:rsidR="00D16C8B" w:rsidRPr="007C13C1" w:rsidRDefault="00D16C8B" w:rsidP="002F6883">
      <w:pPr>
        <w:widowControl/>
        <w:rPr>
          <w:szCs w:val="22"/>
        </w:rPr>
      </w:pPr>
    </w:p>
    <w:p w:rsidR="00D16C8B" w:rsidRPr="00935D7C" w:rsidRDefault="00D16C8B" w:rsidP="002F6883">
      <w:pPr>
        <w:pStyle w:val="ListParagraph"/>
        <w:widowControl/>
        <w:numPr>
          <w:ilvl w:val="1"/>
          <w:numId w:val="2"/>
        </w:numPr>
        <w:rPr>
          <w:szCs w:val="22"/>
        </w:rPr>
      </w:pPr>
      <w:r w:rsidRPr="00935D7C">
        <w:rPr>
          <w:szCs w:val="22"/>
        </w:rPr>
        <w:lastRenderedPageBreak/>
        <w:t>The ESC noted that the complete mechanism of action of pirfenidone is yet to be fully established</w:t>
      </w:r>
      <w:r w:rsidR="003B694B">
        <w:rPr>
          <w:szCs w:val="22"/>
        </w:rPr>
        <w:t>;</w:t>
      </w:r>
      <w:r w:rsidRPr="00935D7C">
        <w:rPr>
          <w:szCs w:val="22"/>
        </w:rPr>
        <w:t xml:space="preserve"> however, existing data indicates anti-fibrotic, anti-inflammatory and anti</w:t>
      </w:r>
      <w:r w:rsidR="00427E0F">
        <w:rPr>
          <w:szCs w:val="22"/>
        </w:rPr>
        <w:noBreakHyphen/>
      </w:r>
      <w:r w:rsidRPr="00935D7C">
        <w:rPr>
          <w:szCs w:val="22"/>
        </w:rPr>
        <w:t>oxidant properties in a variety of in vitro systems and animal models of pulmonary fibrosis. By comparison, nintedanib is a small molecule tyrosine kinase inhibitor which blocks intracellular signalling associated with the proliferation, migration and transformation of fibroblasts, which are mechanisms of IPF pathology.</w:t>
      </w:r>
    </w:p>
    <w:p w:rsidR="00892558" w:rsidRPr="007C13C1" w:rsidRDefault="00892558" w:rsidP="002F6883">
      <w:pPr>
        <w:widowControl/>
        <w:rPr>
          <w:szCs w:val="22"/>
        </w:rPr>
      </w:pPr>
    </w:p>
    <w:p w:rsidR="00497F10" w:rsidRPr="00892558" w:rsidRDefault="00892558" w:rsidP="002F6883">
      <w:pPr>
        <w:pStyle w:val="ListParagraph"/>
        <w:widowControl/>
        <w:numPr>
          <w:ilvl w:val="1"/>
          <w:numId w:val="2"/>
        </w:numPr>
        <w:rPr>
          <w:szCs w:val="22"/>
        </w:rPr>
      </w:pPr>
      <w:r>
        <w:rPr>
          <w:szCs w:val="22"/>
        </w:rPr>
        <w:t xml:space="preserve">As in the </w:t>
      </w:r>
      <w:r w:rsidR="00E82E8A">
        <w:rPr>
          <w:szCs w:val="22"/>
        </w:rPr>
        <w:t>November 2015 and March 2016 submissions</w:t>
      </w:r>
      <w:r>
        <w:rPr>
          <w:szCs w:val="22"/>
        </w:rPr>
        <w:t>, the</w:t>
      </w:r>
      <w:r w:rsidRPr="00EA0FD2">
        <w:rPr>
          <w:szCs w:val="22"/>
        </w:rPr>
        <w:t xml:space="preserve"> </w:t>
      </w:r>
      <w:r>
        <w:rPr>
          <w:szCs w:val="22"/>
        </w:rPr>
        <w:t xml:space="preserve">current </w:t>
      </w:r>
      <w:r w:rsidR="00543609">
        <w:rPr>
          <w:szCs w:val="22"/>
        </w:rPr>
        <w:t>resubmission</w:t>
      </w:r>
      <w:r w:rsidRPr="00EA0FD2">
        <w:rPr>
          <w:szCs w:val="22"/>
        </w:rPr>
        <w:t xml:space="preserve"> proposed that pirfenidone be </w:t>
      </w:r>
      <w:r w:rsidR="00641D45">
        <w:rPr>
          <w:szCs w:val="22"/>
        </w:rPr>
        <w:t xml:space="preserve">used in combination </w:t>
      </w:r>
      <w:r w:rsidRPr="00EA0FD2">
        <w:rPr>
          <w:szCs w:val="22"/>
        </w:rPr>
        <w:t>with BSC for the treatment of IPF</w:t>
      </w:r>
      <w:r>
        <w:rPr>
          <w:szCs w:val="22"/>
        </w:rPr>
        <w:t>.</w:t>
      </w:r>
    </w:p>
    <w:p w:rsidR="00497F10" w:rsidRPr="00882085" w:rsidRDefault="00497F10" w:rsidP="002F6883">
      <w:pPr>
        <w:widowControl/>
        <w:rPr>
          <w:szCs w:val="22"/>
        </w:rPr>
      </w:pPr>
    </w:p>
    <w:p w:rsidR="005754A0" w:rsidRDefault="005754A0" w:rsidP="002F6883">
      <w:pPr>
        <w:pStyle w:val="ListParagraph"/>
        <w:widowControl/>
        <w:ind w:left="709"/>
        <w:rPr>
          <w:i/>
          <w:szCs w:val="22"/>
        </w:rPr>
      </w:pPr>
      <w:r w:rsidRPr="006177EE">
        <w:rPr>
          <w:i/>
          <w:szCs w:val="22"/>
        </w:rPr>
        <w:t>For more detail on PBAC’s view, see section 7 “PBAC outcome”</w:t>
      </w:r>
      <w:r w:rsidR="007C13C1">
        <w:rPr>
          <w:i/>
          <w:szCs w:val="22"/>
        </w:rPr>
        <w:t>.</w:t>
      </w:r>
    </w:p>
    <w:p w:rsidR="001B6188" w:rsidRDefault="001B6188" w:rsidP="002F6883">
      <w:pPr>
        <w:pStyle w:val="ListParagraph"/>
        <w:widowControl/>
        <w:ind w:left="0"/>
        <w:rPr>
          <w:szCs w:val="22"/>
        </w:rPr>
      </w:pPr>
    </w:p>
    <w:p w:rsidR="003B694B" w:rsidRPr="00882085" w:rsidRDefault="003B694B" w:rsidP="002F6883">
      <w:pPr>
        <w:pStyle w:val="ListParagraph"/>
        <w:widowControl/>
        <w:ind w:left="0"/>
        <w:rPr>
          <w:szCs w:val="22"/>
        </w:rPr>
      </w:pPr>
    </w:p>
    <w:p w:rsidR="00F338FF" w:rsidRPr="00407F2D" w:rsidRDefault="00F338FF" w:rsidP="002F6883">
      <w:pPr>
        <w:pStyle w:val="PBACheading1"/>
        <w:rPr>
          <w:b/>
        </w:rPr>
      </w:pPr>
      <w:bookmarkStart w:id="6" w:name="_Toc461547425"/>
      <w:r w:rsidRPr="00407F2D">
        <w:rPr>
          <w:b/>
        </w:rPr>
        <w:t>Comparator</w:t>
      </w:r>
      <w:bookmarkEnd w:id="6"/>
    </w:p>
    <w:p w:rsidR="00497F10" w:rsidRPr="00882085" w:rsidRDefault="00497F10" w:rsidP="002F6883">
      <w:pPr>
        <w:widowControl/>
      </w:pPr>
    </w:p>
    <w:p w:rsidR="00D16813" w:rsidRPr="00037E13" w:rsidRDefault="00444C2A" w:rsidP="002F6883">
      <w:pPr>
        <w:pStyle w:val="ListParagraph"/>
        <w:widowControl/>
        <w:numPr>
          <w:ilvl w:val="1"/>
          <w:numId w:val="2"/>
        </w:numPr>
        <w:rPr>
          <w:szCs w:val="22"/>
        </w:rPr>
      </w:pPr>
      <w:r w:rsidRPr="00444C2A">
        <w:t>As in the November 2015 and March 2016 submissions, the current resubmission nominated BSC as the main comparator. Nintedanib was also included as a secondary comparator.</w:t>
      </w:r>
      <w:r>
        <w:t xml:space="preserve"> </w:t>
      </w:r>
      <w:r w:rsidR="00560B1D">
        <w:t xml:space="preserve">In </w:t>
      </w:r>
      <w:r>
        <w:t>November 2015, t</w:t>
      </w:r>
      <w:r w:rsidRPr="00444C2A">
        <w:t xml:space="preserve">he PBAC </w:t>
      </w:r>
      <w:r w:rsidR="00560B1D">
        <w:t xml:space="preserve">reaffirmed </w:t>
      </w:r>
      <w:r w:rsidRPr="00444C2A">
        <w:t xml:space="preserve">that </w:t>
      </w:r>
      <w:r w:rsidR="0073067D">
        <w:t>BSC</w:t>
      </w:r>
      <w:r w:rsidRPr="00444C2A">
        <w:t xml:space="preserve"> was the </w:t>
      </w:r>
      <w:r w:rsidRPr="00935D7C">
        <w:t>appropriate main comparator for pirfenidone for IPF</w:t>
      </w:r>
      <w:r w:rsidR="00641D45" w:rsidRPr="00935D7C">
        <w:t>, and noted that nintedanib was also a relevant comparator</w:t>
      </w:r>
      <w:r w:rsidRPr="00935D7C">
        <w:t xml:space="preserve"> (November 2015 </w:t>
      </w:r>
      <w:r w:rsidR="00641D45" w:rsidRPr="00935D7C">
        <w:t xml:space="preserve">pirfenidone </w:t>
      </w:r>
      <w:r w:rsidR="0073067D" w:rsidRPr="00935D7C">
        <w:t>PSD</w:t>
      </w:r>
      <w:r w:rsidR="00E5129B" w:rsidRPr="00935D7C">
        <w:t xml:space="preserve">, </w:t>
      </w:r>
      <w:r w:rsidR="00E5048A" w:rsidRPr="00935D7C">
        <w:t>paragraph</w:t>
      </w:r>
      <w:r w:rsidRPr="00935D7C">
        <w:t xml:space="preserve"> 7.6).</w:t>
      </w:r>
    </w:p>
    <w:p w:rsidR="00D16813" w:rsidRDefault="00D16813" w:rsidP="002F6883">
      <w:pPr>
        <w:widowControl/>
      </w:pPr>
    </w:p>
    <w:p w:rsidR="005754A0" w:rsidRDefault="005754A0" w:rsidP="002F6883">
      <w:pPr>
        <w:pStyle w:val="ListParagraph"/>
        <w:widowControl/>
        <w:ind w:left="709"/>
        <w:rPr>
          <w:i/>
          <w:szCs w:val="22"/>
        </w:rPr>
      </w:pPr>
      <w:r w:rsidRPr="006177EE">
        <w:rPr>
          <w:i/>
          <w:szCs w:val="22"/>
        </w:rPr>
        <w:t>For more detail on PBAC’s view, see section 7 “PBAC outcome”</w:t>
      </w:r>
      <w:r w:rsidR="007C13C1">
        <w:rPr>
          <w:i/>
          <w:szCs w:val="22"/>
        </w:rPr>
        <w:t>.</w:t>
      </w:r>
    </w:p>
    <w:p w:rsidR="003B694B" w:rsidRDefault="003B694B" w:rsidP="002F6883">
      <w:pPr>
        <w:widowControl/>
      </w:pPr>
    </w:p>
    <w:p w:rsidR="00427E0F" w:rsidRPr="00506E16" w:rsidRDefault="00427E0F" w:rsidP="002F6883">
      <w:pPr>
        <w:widowControl/>
      </w:pPr>
    </w:p>
    <w:p w:rsidR="00D06FD4" w:rsidRPr="00407F2D" w:rsidRDefault="00472359" w:rsidP="002F6883">
      <w:pPr>
        <w:pStyle w:val="PBACheading1"/>
        <w:keepNext/>
        <w:rPr>
          <w:b/>
        </w:rPr>
      </w:pPr>
      <w:bookmarkStart w:id="7" w:name="_Toc461547426"/>
      <w:r>
        <w:rPr>
          <w:b/>
        </w:rPr>
        <w:t>C</w:t>
      </w:r>
      <w:r w:rsidR="00D06FD4" w:rsidRPr="00407F2D">
        <w:rPr>
          <w:b/>
        </w:rPr>
        <w:t>onsideration of the evidence</w:t>
      </w:r>
      <w:bookmarkEnd w:id="7"/>
    </w:p>
    <w:p w:rsidR="00B60939" w:rsidRDefault="00B60939" w:rsidP="002F6883">
      <w:pPr>
        <w:keepNext/>
        <w:widowControl/>
        <w:rPr>
          <w:b/>
          <w:szCs w:val="22"/>
        </w:rPr>
      </w:pPr>
    </w:p>
    <w:p w:rsidR="003C17A7" w:rsidRDefault="003C17A7" w:rsidP="002F6883">
      <w:pPr>
        <w:pStyle w:val="Heading2"/>
      </w:pPr>
      <w:r w:rsidRPr="001C41DE">
        <w:t>Sponsor hearing</w:t>
      </w:r>
    </w:p>
    <w:p w:rsidR="001C41DE" w:rsidRPr="001C41DE" w:rsidRDefault="001C41DE" w:rsidP="002F6883">
      <w:pPr>
        <w:widowControl/>
      </w:pPr>
    </w:p>
    <w:p w:rsidR="00861B5B" w:rsidRDefault="00861B5B" w:rsidP="002F6883">
      <w:pPr>
        <w:widowControl/>
        <w:numPr>
          <w:ilvl w:val="1"/>
          <w:numId w:val="2"/>
        </w:numPr>
        <w:contextualSpacing/>
        <w:rPr>
          <w:bCs/>
          <w:szCs w:val="22"/>
        </w:rPr>
      </w:pPr>
      <w:r w:rsidRPr="00015AEA">
        <w:rPr>
          <w:bCs/>
          <w:szCs w:val="22"/>
        </w:rPr>
        <w:t>The sponsor requested a hear</w:t>
      </w:r>
      <w:r w:rsidR="00007A94">
        <w:rPr>
          <w:bCs/>
          <w:szCs w:val="22"/>
        </w:rPr>
        <w:t xml:space="preserve">ing for this item. The sponsor made arguments in support of the submission including the high clinical need for a </w:t>
      </w:r>
      <w:r w:rsidR="00007A94" w:rsidRPr="00D9306B">
        <w:rPr>
          <w:bCs/>
          <w:szCs w:val="22"/>
        </w:rPr>
        <w:t>PBS-subsidised drug for the treatment of IPF</w:t>
      </w:r>
      <w:r w:rsidR="00F0778E">
        <w:rPr>
          <w:bCs/>
          <w:szCs w:val="22"/>
        </w:rPr>
        <w:t>, the impact of the disease on quality of life and survival, and the impact of the drug on outcomes such as improved overall survival benefit</w:t>
      </w:r>
      <w:r w:rsidR="00007A94" w:rsidRPr="00D9306B">
        <w:rPr>
          <w:bCs/>
          <w:szCs w:val="22"/>
        </w:rPr>
        <w:t xml:space="preserve">. The sponsor reiterated its </w:t>
      </w:r>
      <w:r w:rsidR="00560B1D">
        <w:rPr>
          <w:bCs/>
          <w:szCs w:val="22"/>
        </w:rPr>
        <w:t xml:space="preserve">proposed </w:t>
      </w:r>
      <w:r w:rsidR="00CC783C">
        <w:rPr>
          <w:bCs/>
          <w:szCs w:val="22"/>
        </w:rPr>
        <w:t>RSA</w:t>
      </w:r>
      <w:r w:rsidR="00560B1D">
        <w:rPr>
          <w:bCs/>
          <w:szCs w:val="22"/>
        </w:rPr>
        <w:t xml:space="preserve"> and provided clarification regarding </w:t>
      </w:r>
      <w:r w:rsidR="00291A1C">
        <w:rPr>
          <w:bCs/>
          <w:szCs w:val="22"/>
        </w:rPr>
        <w:t>ESC’s comments on the extrapolation of overall survival in the model</w:t>
      </w:r>
      <w:r w:rsidR="00007A94" w:rsidRPr="00D9306B">
        <w:rPr>
          <w:bCs/>
          <w:szCs w:val="22"/>
        </w:rPr>
        <w:t>.</w:t>
      </w:r>
    </w:p>
    <w:p w:rsidR="003C17A7" w:rsidRPr="003A49F2" w:rsidRDefault="003C17A7" w:rsidP="002F6883">
      <w:pPr>
        <w:widowControl/>
        <w:rPr>
          <w:bCs/>
          <w:szCs w:val="22"/>
          <w:highlight w:val="yellow"/>
        </w:rPr>
      </w:pPr>
    </w:p>
    <w:p w:rsidR="003C17A7" w:rsidRDefault="003C17A7" w:rsidP="002F6883">
      <w:pPr>
        <w:pStyle w:val="Heading2"/>
      </w:pPr>
      <w:r w:rsidRPr="001C41DE">
        <w:t>Consumer comments</w:t>
      </w:r>
    </w:p>
    <w:p w:rsidR="001C41DE" w:rsidRPr="001C41DE" w:rsidRDefault="001C41DE" w:rsidP="002F6883">
      <w:pPr>
        <w:widowControl/>
      </w:pPr>
    </w:p>
    <w:p w:rsidR="007A052E" w:rsidRPr="0072469D" w:rsidRDefault="007A052E" w:rsidP="002F6883">
      <w:pPr>
        <w:widowControl/>
        <w:numPr>
          <w:ilvl w:val="1"/>
          <w:numId w:val="2"/>
        </w:numPr>
        <w:contextualSpacing/>
        <w:rPr>
          <w:bCs/>
          <w:szCs w:val="22"/>
        </w:rPr>
      </w:pPr>
      <w:r w:rsidRPr="0072469D">
        <w:rPr>
          <w:bCs/>
          <w:szCs w:val="22"/>
        </w:rPr>
        <w:t xml:space="preserve">The PBAC noted and welcomed the input from individuals (50), health care professionals (5) and organisations (2) via the Consumer Comments facility on the PBS website. The comments described a range of benefits of treatment with pirfenidone including </w:t>
      </w:r>
      <w:r w:rsidR="00291A1C">
        <w:rPr>
          <w:bCs/>
          <w:szCs w:val="22"/>
        </w:rPr>
        <w:t xml:space="preserve">the ability to </w:t>
      </w:r>
      <w:r w:rsidRPr="0072469D">
        <w:rPr>
          <w:bCs/>
          <w:szCs w:val="22"/>
        </w:rPr>
        <w:t xml:space="preserve">slow disease progression and </w:t>
      </w:r>
      <w:r w:rsidR="0001653A">
        <w:rPr>
          <w:bCs/>
          <w:szCs w:val="22"/>
        </w:rPr>
        <w:t>improve quality of life. The comments als</w:t>
      </w:r>
      <w:r w:rsidR="001406CF">
        <w:rPr>
          <w:bCs/>
          <w:szCs w:val="22"/>
        </w:rPr>
        <w:t>o described the unmet need for an effective and PBS</w:t>
      </w:r>
      <w:r w:rsidR="001406CF">
        <w:rPr>
          <w:bCs/>
          <w:szCs w:val="22"/>
        </w:rPr>
        <w:noBreakHyphen/>
        <w:t>subsidised treatment for IPF, the financial burden</w:t>
      </w:r>
      <w:r w:rsidR="0001653A">
        <w:rPr>
          <w:bCs/>
          <w:szCs w:val="22"/>
        </w:rPr>
        <w:t xml:space="preserve"> associated with purchasing non-PBS subsidised pirf</w:t>
      </w:r>
      <w:r w:rsidR="00F5345C">
        <w:rPr>
          <w:bCs/>
          <w:szCs w:val="22"/>
        </w:rPr>
        <w:t>enidone and the risk o</w:t>
      </w:r>
      <w:r w:rsidR="0001653A">
        <w:rPr>
          <w:bCs/>
          <w:szCs w:val="22"/>
        </w:rPr>
        <w:t>f patients acquiring cheaper versions of pirfenidone</w:t>
      </w:r>
      <w:r w:rsidR="001406CF">
        <w:rPr>
          <w:bCs/>
          <w:szCs w:val="22"/>
        </w:rPr>
        <w:t xml:space="preserve"> </w:t>
      </w:r>
      <w:r w:rsidR="00CC783C">
        <w:rPr>
          <w:bCs/>
          <w:szCs w:val="22"/>
        </w:rPr>
        <w:t>online</w:t>
      </w:r>
      <w:r w:rsidR="0001653A">
        <w:rPr>
          <w:bCs/>
          <w:szCs w:val="22"/>
        </w:rPr>
        <w:t xml:space="preserve"> </w:t>
      </w:r>
      <w:r w:rsidR="00CC783C">
        <w:rPr>
          <w:bCs/>
          <w:szCs w:val="22"/>
        </w:rPr>
        <w:t xml:space="preserve">for </w:t>
      </w:r>
      <w:r w:rsidR="0001653A">
        <w:rPr>
          <w:bCs/>
          <w:szCs w:val="22"/>
        </w:rPr>
        <w:t>which the safety and efficacy are uncertain.</w:t>
      </w:r>
    </w:p>
    <w:p w:rsidR="003C17A7" w:rsidRPr="0072469D" w:rsidRDefault="003C17A7" w:rsidP="002F6883">
      <w:pPr>
        <w:widowControl/>
        <w:contextualSpacing/>
        <w:rPr>
          <w:bCs/>
          <w:szCs w:val="22"/>
        </w:rPr>
      </w:pPr>
    </w:p>
    <w:p w:rsidR="00291A1C" w:rsidRDefault="00291A1C" w:rsidP="002F6883">
      <w:pPr>
        <w:widowControl/>
        <w:numPr>
          <w:ilvl w:val="1"/>
          <w:numId w:val="2"/>
        </w:numPr>
        <w:contextualSpacing/>
        <w:rPr>
          <w:bCs/>
          <w:szCs w:val="22"/>
        </w:rPr>
      </w:pPr>
      <w:r w:rsidRPr="00E86F32">
        <w:rPr>
          <w:bCs/>
          <w:szCs w:val="22"/>
        </w:rPr>
        <w:t xml:space="preserve">The PBAC noted the advice received from </w:t>
      </w:r>
      <w:r>
        <w:rPr>
          <w:bCs/>
          <w:szCs w:val="22"/>
        </w:rPr>
        <w:t xml:space="preserve">the </w:t>
      </w:r>
      <w:r w:rsidRPr="00E86F32">
        <w:rPr>
          <w:bCs/>
          <w:szCs w:val="22"/>
        </w:rPr>
        <w:t xml:space="preserve">Lung Foundation Australia and </w:t>
      </w:r>
      <w:r>
        <w:rPr>
          <w:bCs/>
          <w:szCs w:val="22"/>
        </w:rPr>
        <w:t xml:space="preserve">the </w:t>
      </w:r>
      <w:r w:rsidRPr="00E86F32">
        <w:rPr>
          <w:bCs/>
          <w:szCs w:val="22"/>
        </w:rPr>
        <w:t xml:space="preserve">Australian Pulmonary Fibrosis Consortium that </w:t>
      </w:r>
      <w:r>
        <w:rPr>
          <w:bCs/>
          <w:szCs w:val="22"/>
        </w:rPr>
        <w:t xml:space="preserve">treatment with </w:t>
      </w:r>
      <w:r w:rsidR="007501FE">
        <w:rPr>
          <w:bCs/>
          <w:szCs w:val="22"/>
        </w:rPr>
        <w:t>pirfenidone</w:t>
      </w:r>
      <w:r w:rsidR="007501FE" w:rsidRPr="00E86F32">
        <w:rPr>
          <w:bCs/>
          <w:szCs w:val="22"/>
        </w:rPr>
        <w:t xml:space="preserve"> </w:t>
      </w:r>
      <w:r w:rsidRPr="00E86F32">
        <w:rPr>
          <w:bCs/>
          <w:szCs w:val="22"/>
        </w:rPr>
        <w:t>may slow disease progression</w:t>
      </w:r>
      <w:r>
        <w:rPr>
          <w:bCs/>
          <w:szCs w:val="22"/>
        </w:rPr>
        <w:t xml:space="preserve"> and improve quality of life</w:t>
      </w:r>
      <w:r w:rsidRPr="00E86F32">
        <w:rPr>
          <w:bCs/>
          <w:szCs w:val="22"/>
        </w:rPr>
        <w:t xml:space="preserve">. The </w:t>
      </w:r>
      <w:r>
        <w:rPr>
          <w:bCs/>
          <w:szCs w:val="22"/>
        </w:rPr>
        <w:t>PBAC specifically noted the advice that the only access to relatively affordable medication</w:t>
      </w:r>
      <w:r w:rsidR="007501FE">
        <w:rPr>
          <w:bCs/>
          <w:szCs w:val="22"/>
        </w:rPr>
        <w:t xml:space="preserve"> for IPF</w:t>
      </w:r>
      <w:r>
        <w:rPr>
          <w:bCs/>
          <w:szCs w:val="22"/>
        </w:rPr>
        <w:t xml:space="preserve"> (i.e. nintedanib or pirfenidone) is through importation. The advice noted that alternative </w:t>
      </w:r>
      <w:r w:rsidRPr="00E86F32">
        <w:rPr>
          <w:bCs/>
          <w:szCs w:val="22"/>
        </w:rPr>
        <w:t xml:space="preserve">treatment </w:t>
      </w:r>
      <w:r>
        <w:rPr>
          <w:bCs/>
          <w:szCs w:val="22"/>
        </w:rPr>
        <w:lastRenderedPageBreak/>
        <w:t xml:space="preserve">consists of non-pharmacological interventions, such as </w:t>
      </w:r>
      <w:r w:rsidRPr="00E86F32">
        <w:rPr>
          <w:bCs/>
          <w:szCs w:val="22"/>
        </w:rPr>
        <w:t>pulmonary rehabilitation</w:t>
      </w:r>
      <w:r>
        <w:rPr>
          <w:bCs/>
          <w:szCs w:val="22"/>
        </w:rPr>
        <w:t xml:space="preserve"> and oxygen therapy and, in a small proportion of patients</w:t>
      </w:r>
      <w:r w:rsidRPr="00E86F32">
        <w:rPr>
          <w:bCs/>
          <w:szCs w:val="22"/>
        </w:rPr>
        <w:t>, lung transplantation. The PBAC noted that this advice was supportive of the evidence provided in the submission.</w:t>
      </w:r>
    </w:p>
    <w:p w:rsidR="00EE7F86" w:rsidRDefault="00EE7F86" w:rsidP="002F6883">
      <w:pPr>
        <w:widowControl/>
        <w:contextualSpacing/>
        <w:rPr>
          <w:bCs/>
          <w:szCs w:val="22"/>
          <w:highlight w:val="yellow"/>
        </w:rPr>
      </w:pPr>
    </w:p>
    <w:p w:rsidR="00B60939" w:rsidRPr="00641A5A" w:rsidRDefault="00B60939" w:rsidP="001406CF">
      <w:pPr>
        <w:pStyle w:val="Heading2"/>
        <w:keepNext/>
      </w:pPr>
      <w:bookmarkStart w:id="8" w:name="_Toc461547427"/>
      <w:r w:rsidRPr="00641A5A">
        <w:t>Clinical trials</w:t>
      </w:r>
      <w:bookmarkEnd w:id="8"/>
    </w:p>
    <w:p w:rsidR="00B60939" w:rsidRPr="00882085" w:rsidRDefault="00B60939" w:rsidP="001406CF">
      <w:pPr>
        <w:keepNext/>
        <w:widowControl/>
        <w:rPr>
          <w:szCs w:val="22"/>
        </w:rPr>
      </w:pPr>
    </w:p>
    <w:p w:rsidR="007F1017" w:rsidRPr="00D06FD4" w:rsidRDefault="00444C2A" w:rsidP="002F6883">
      <w:pPr>
        <w:pStyle w:val="ListParagraph"/>
        <w:widowControl/>
        <w:numPr>
          <w:ilvl w:val="1"/>
          <w:numId w:val="2"/>
        </w:numPr>
        <w:rPr>
          <w:szCs w:val="22"/>
        </w:rPr>
      </w:pPr>
      <w:r w:rsidRPr="00444C2A">
        <w:t xml:space="preserve">As in the March 2016 resubmission, the current resubmission was based on </w:t>
      </w:r>
      <w:r w:rsidR="001B329D">
        <w:t>three head-to-head</w:t>
      </w:r>
      <w:r w:rsidRPr="00444C2A">
        <w:t xml:space="preserve"> trials</w:t>
      </w:r>
      <w:r w:rsidR="00641A5A">
        <w:t xml:space="preserve"> comparing pirfenidone with placebo</w:t>
      </w:r>
      <w:r w:rsidRPr="00444C2A">
        <w:t>: ASCEND (n=555), CAPACITY-2 (n=435) and CAPACITY-1 (n=344).</w:t>
      </w:r>
      <w:r>
        <w:t xml:space="preserve"> A pooled meta-analysis of these trials was conducted, as was an indirect comparison comparing </w:t>
      </w:r>
      <w:r w:rsidR="00E5048A">
        <w:t>pirfenidone</w:t>
      </w:r>
      <w:r>
        <w:t xml:space="preserve"> and nintedanib.</w:t>
      </w:r>
    </w:p>
    <w:p w:rsidR="0054093D" w:rsidRPr="001B6188" w:rsidRDefault="0054093D" w:rsidP="002F6883">
      <w:pPr>
        <w:widowControl/>
        <w:rPr>
          <w:szCs w:val="22"/>
        </w:rPr>
      </w:pPr>
    </w:p>
    <w:p w:rsidR="001B6188" w:rsidRDefault="001B6188" w:rsidP="002F6883">
      <w:pPr>
        <w:pStyle w:val="ListParagraph"/>
        <w:widowControl/>
        <w:numPr>
          <w:ilvl w:val="1"/>
          <w:numId w:val="2"/>
        </w:numPr>
        <w:rPr>
          <w:szCs w:val="22"/>
        </w:rPr>
      </w:pPr>
      <w:r w:rsidRPr="00D06FD4">
        <w:rPr>
          <w:szCs w:val="22"/>
        </w:rPr>
        <w:t xml:space="preserve">Details of the trials presented in the </w:t>
      </w:r>
      <w:r w:rsidR="00543609">
        <w:rPr>
          <w:szCs w:val="22"/>
        </w:rPr>
        <w:t>resubmission</w:t>
      </w:r>
      <w:r w:rsidRPr="00D06FD4">
        <w:rPr>
          <w:szCs w:val="22"/>
        </w:rPr>
        <w:t xml:space="preserve"> are provided in </w:t>
      </w:r>
      <w:r w:rsidR="00E36E9E">
        <w:rPr>
          <w:szCs w:val="22"/>
        </w:rPr>
        <w:t xml:space="preserve">Table </w:t>
      </w:r>
      <w:r w:rsidR="00641A5A">
        <w:rPr>
          <w:szCs w:val="22"/>
        </w:rPr>
        <w:t>2</w:t>
      </w:r>
      <w:r w:rsidRPr="00D06FD4">
        <w:rPr>
          <w:szCs w:val="22"/>
        </w:rPr>
        <w:t>.</w:t>
      </w:r>
    </w:p>
    <w:p w:rsidR="007C13C1" w:rsidRPr="007C13C1" w:rsidRDefault="007C13C1" w:rsidP="007C13C1">
      <w:pPr>
        <w:widowControl/>
        <w:rPr>
          <w:szCs w:val="22"/>
        </w:rPr>
      </w:pPr>
    </w:p>
    <w:p w:rsidR="00B822D0" w:rsidRPr="00951B07" w:rsidRDefault="00961AF9" w:rsidP="002F6883">
      <w:pPr>
        <w:keepNext/>
        <w:widowControl/>
        <w:ind w:firstLine="720"/>
        <w:rPr>
          <w:rFonts w:ascii="Arial Narrow" w:hAnsi="Arial Narrow"/>
          <w:b/>
          <w:sz w:val="20"/>
          <w:szCs w:val="16"/>
        </w:rPr>
      </w:pPr>
      <w:r w:rsidRPr="000812CA">
        <w:rPr>
          <w:rStyle w:val="CommentReference"/>
        </w:rPr>
        <w:lastRenderedPageBreak/>
        <w:t xml:space="preserve">Table </w:t>
      </w:r>
      <w:r w:rsidR="00641A5A">
        <w:rPr>
          <w:rStyle w:val="CommentReference"/>
        </w:rPr>
        <w:t>2</w:t>
      </w:r>
      <w:r w:rsidRPr="000812CA">
        <w:rPr>
          <w:rStyle w:val="CommentReference"/>
        </w:rPr>
        <w:t>:</w:t>
      </w:r>
      <w:r w:rsidR="00B822D0">
        <w:rPr>
          <w:rFonts w:ascii="Arial Narrow" w:hAnsi="Arial Narrow"/>
          <w:b/>
          <w:sz w:val="20"/>
          <w:szCs w:val="16"/>
        </w:rPr>
        <w:t xml:space="preserve"> </w:t>
      </w:r>
      <w:r w:rsidR="00B822D0" w:rsidRPr="00951B07">
        <w:rPr>
          <w:rFonts w:ascii="Arial Narrow" w:hAnsi="Arial Narrow"/>
          <w:b/>
          <w:sz w:val="20"/>
          <w:szCs w:val="16"/>
        </w:rPr>
        <w:t>Trials and associated reports presented in the submission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0"/>
        <w:gridCol w:w="4590"/>
        <w:gridCol w:w="2394"/>
      </w:tblGrid>
      <w:tr w:rsidR="00B822D0" w:rsidRPr="00951B07" w:rsidTr="00B822D0">
        <w:trPr>
          <w:trHeight w:val="20"/>
        </w:trPr>
        <w:tc>
          <w:tcPr>
            <w:tcW w:w="810" w:type="pct"/>
          </w:tcPr>
          <w:p w:rsidR="00B822D0" w:rsidRPr="00951B07" w:rsidRDefault="00B822D0" w:rsidP="002F6883">
            <w:pPr>
              <w:keepNext/>
              <w:widowControl/>
              <w:jc w:val="left"/>
              <w:rPr>
                <w:rFonts w:ascii="Arial Narrow" w:hAnsi="Arial Narrow"/>
                <w:b/>
                <w:sz w:val="20"/>
              </w:rPr>
            </w:pPr>
            <w:r w:rsidRPr="00951B07">
              <w:rPr>
                <w:rFonts w:ascii="Arial Narrow" w:hAnsi="Arial Narrow"/>
                <w:b/>
                <w:sz w:val="20"/>
              </w:rPr>
              <w:t>Trial ID</w:t>
            </w:r>
          </w:p>
        </w:tc>
        <w:tc>
          <w:tcPr>
            <w:tcW w:w="2754" w:type="pct"/>
          </w:tcPr>
          <w:p w:rsidR="00B822D0" w:rsidRPr="00951B07" w:rsidRDefault="00B822D0" w:rsidP="002F6883">
            <w:pPr>
              <w:keepNext/>
              <w:widowControl/>
              <w:jc w:val="center"/>
              <w:rPr>
                <w:rFonts w:ascii="Arial Narrow" w:hAnsi="Arial Narrow"/>
                <w:b/>
                <w:sz w:val="20"/>
              </w:rPr>
            </w:pPr>
            <w:r w:rsidRPr="00951B07">
              <w:rPr>
                <w:rFonts w:ascii="Arial Narrow" w:hAnsi="Arial Narrow"/>
                <w:b/>
                <w:sz w:val="20"/>
              </w:rPr>
              <w:t>Protocol title/ Publication title</w:t>
            </w:r>
          </w:p>
        </w:tc>
        <w:tc>
          <w:tcPr>
            <w:tcW w:w="1436" w:type="pct"/>
          </w:tcPr>
          <w:p w:rsidR="00B822D0" w:rsidRPr="00951B07" w:rsidRDefault="00B822D0" w:rsidP="002F6883">
            <w:pPr>
              <w:keepNext/>
              <w:widowControl/>
              <w:jc w:val="center"/>
              <w:rPr>
                <w:rFonts w:ascii="Arial Narrow" w:hAnsi="Arial Narrow"/>
                <w:b/>
                <w:sz w:val="20"/>
              </w:rPr>
            </w:pPr>
            <w:r w:rsidRPr="00951B07">
              <w:rPr>
                <w:rFonts w:ascii="Arial Narrow" w:hAnsi="Arial Narrow"/>
                <w:b/>
                <w:sz w:val="20"/>
              </w:rPr>
              <w:t>Publication citation</w:t>
            </w:r>
          </w:p>
        </w:tc>
      </w:tr>
      <w:tr w:rsidR="00B822D0" w:rsidRPr="00951B07" w:rsidTr="00B822D0">
        <w:trPr>
          <w:trHeight w:val="20"/>
        </w:trPr>
        <w:tc>
          <w:tcPr>
            <w:tcW w:w="5000" w:type="pct"/>
            <w:gridSpan w:val="3"/>
          </w:tcPr>
          <w:p w:rsidR="00B822D0" w:rsidRPr="00951B07" w:rsidRDefault="00B822D0" w:rsidP="002F6883">
            <w:pPr>
              <w:keepNext/>
              <w:widowControl/>
              <w:jc w:val="left"/>
              <w:rPr>
                <w:rFonts w:ascii="Arial Narrow" w:hAnsi="Arial Narrow"/>
                <w:b/>
                <w:sz w:val="20"/>
              </w:rPr>
            </w:pPr>
            <w:r w:rsidRPr="00951B07">
              <w:rPr>
                <w:rFonts w:ascii="Arial Narrow" w:hAnsi="Arial Narrow"/>
                <w:b/>
                <w:sz w:val="20"/>
              </w:rPr>
              <w:t>Pirfenidone trials</w:t>
            </w:r>
          </w:p>
        </w:tc>
      </w:tr>
      <w:tr w:rsidR="00B822D0" w:rsidRPr="00951B07" w:rsidTr="00B822D0">
        <w:trPr>
          <w:trHeight w:val="20"/>
        </w:trPr>
        <w:tc>
          <w:tcPr>
            <w:tcW w:w="810" w:type="pct"/>
            <w:vMerge w:val="restart"/>
          </w:tcPr>
          <w:p w:rsidR="00B822D0" w:rsidRPr="00951B07" w:rsidRDefault="00B822D0" w:rsidP="002F6883">
            <w:pPr>
              <w:keepNext/>
              <w:widowControl/>
              <w:jc w:val="left"/>
              <w:rPr>
                <w:rFonts w:ascii="Arial Narrow" w:hAnsi="Arial Narrow"/>
                <w:sz w:val="20"/>
              </w:rPr>
            </w:pPr>
            <w:r w:rsidRPr="00951B07">
              <w:rPr>
                <w:rFonts w:ascii="Arial Narrow" w:hAnsi="Arial Narrow"/>
                <w:sz w:val="20"/>
              </w:rPr>
              <w:t>PIPF-016 (ASCEND)</w:t>
            </w:r>
          </w:p>
        </w:tc>
        <w:tc>
          <w:tcPr>
            <w:tcW w:w="2754" w:type="pct"/>
            <w:tcBorders>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Final Clinical Study Report – PIPF-016. A randomised, double-blind, placebo-controlled, phase 3 study of the efficacy and safety of pirfenidone in patients with idiopathic pulmonary fibrosis.</w:t>
            </w:r>
          </w:p>
          <w:p w:rsidR="00B822D0" w:rsidRPr="00951B07" w:rsidRDefault="00B822D0" w:rsidP="002F6883">
            <w:pPr>
              <w:keepNext/>
              <w:widowControl/>
              <w:jc w:val="left"/>
              <w:rPr>
                <w:rFonts w:ascii="Arial Narrow" w:hAnsi="Arial Narrow"/>
                <w:sz w:val="20"/>
              </w:rPr>
            </w:pPr>
          </w:p>
        </w:tc>
        <w:tc>
          <w:tcPr>
            <w:tcW w:w="1436" w:type="pct"/>
            <w:tcBorders>
              <w:bottom w:val="nil"/>
            </w:tcBorders>
          </w:tcPr>
          <w:p w:rsidR="00B822D0" w:rsidRPr="00951B07" w:rsidRDefault="00B822D0" w:rsidP="002F6883">
            <w:pPr>
              <w:keepNext/>
              <w:widowControl/>
              <w:jc w:val="left"/>
              <w:rPr>
                <w:rFonts w:ascii="Arial Narrow" w:hAnsi="Arial Narrow"/>
                <w:sz w:val="20"/>
              </w:rPr>
            </w:pPr>
            <w:r w:rsidRPr="00951B07">
              <w:rPr>
                <w:rFonts w:ascii="Arial Narrow" w:hAnsi="Arial Narrow"/>
                <w:sz w:val="20"/>
              </w:rPr>
              <w:t>22 May 2014</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cstheme="minorHAnsi"/>
                <w:bCs/>
                <w:snapToGrid/>
                <w:sz w:val="20"/>
              </w:rPr>
              <w:t xml:space="preserve">King Jr TE, Bradford WZ, Castro-Bernardini S, et al. A phase 3 trial of pirfenidone in patients with idiopathic pulmonary fibrosis. </w:t>
            </w:r>
          </w:p>
        </w:tc>
        <w:tc>
          <w:tcPr>
            <w:tcW w:w="1436" w:type="pct"/>
            <w:tcBorders>
              <w:top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The New England Journal of Medicine. 2014; 370 (22): 2083-2092</w:t>
            </w:r>
          </w:p>
        </w:tc>
      </w:tr>
      <w:tr w:rsidR="00B822D0" w:rsidRPr="00951B07" w:rsidTr="00B822D0">
        <w:trPr>
          <w:trHeight w:val="20"/>
        </w:trPr>
        <w:tc>
          <w:tcPr>
            <w:tcW w:w="810" w:type="pct"/>
            <w:vMerge w:val="restart"/>
          </w:tcPr>
          <w:p w:rsidR="00B822D0" w:rsidRPr="00951B07" w:rsidRDefault="00B822D0" w:rsidP="002F6883">
            <w:pPr>
              <w:keepNext/>
              <w:widowControl/>
              <w:jc w:val="left"/>
              <w:rPr>
                <w:rFonts w:ascii="Arial Narrow" w:hAnsi="Arial Narrow"/>
                <w:sz w:val="20"/>
              </w:rPr>
            </w:pPr>
            <w:r w:rsidRPr="00951B07">
              <w:rPr>
                <w:rFonts w:ascii="Arial Narrow" w:hAnsi="Arial Narrow"/>
                <w:sz w:val="20"/>
              </w:rPr>
              <w:t xml:space="preserve">PIPF-004 (CAPACITY-2); </w:t>
            </w:r>
          </w:p>
          <w:p w:rsidR="00B822D0" w:rsidRPr="00951B07" w:rsidRDefault="00B822D0" w:rsidP="002F6883">
            <w:pPr>
              <w:keepNext/>
              <w:widowControl/>
              <w:jc w:val="left"/>
              <w:rPr>
                <w:rFonts w:ascii="Arial Narrow" w:hAnsi="Arial Narrow"/>
                <w:sz w:val="20"/>
              </w:rPr>
            </w:pPr>
            <w:r w:rsidRPr="00951B07">
              <w:rPr>
                <w:rFonts w:ascii="Arial Narrow" w:hAnsi="Arial Narrow"/>
                <w:sz w:val="20"/>
              </w:rPr>
              <w:t>PIPF-006</w:t>
            </w:r>
          </w:p>
          <w:p w:rsidR="00B822D0" w:rsidRPr="00951B07" w:rsidRDefault="00B822D0" w:rsidP="002F6883">
            <w:pPr>
              <w:keepNext/>
              <w:widowControl/>
              <w:jc w:val="left"/>
              <w:rPr>
                <w:rFonts w:ascii="Arial Narrow" w:hAnsi="Arial Narrow"/>
                <w:sz w:val="20"/>
              </w:rPr>
            </w:pPr>
            <w:r w:rsidRPr="00951B07">
              <w:rPr>
                <w:rFonts w:ascii="Arial Narrow" w:hAnsi="Arial Narrow"/>
                <w:sz w:val="20"/>
              </w:rPr>
              <w:t>(CAPACITY-1)</w:t>
            </w:r>
          </w:p>
        </w:tc>
        <w:tc>
          <w:tcPr>
            <w:tcW w:w="2754" w:type="pct"/>
            <w:tcBorders>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Clinical Study Report – PIPF-004. A randomised, double-blind, placebo-controlled, phase 3, three-arm study of the safety and efficacy of pirfenidone in patients with</w:t>
            </w:r>
            <w:r w:rsidR="00EB361A">
              <w:rPr>
                <w:rFonts w:ascii="Arial Narrow" w:hAnsi="Arial Narrow"/>
                <w:bCs/>
                <w:sz w:val="20"/>
              </w:rPr>
              <w:t xml:space="preserve"> idiopathic pulmonary fibrosis.</w:t>
            </w:r>
          </w:p>
          <w:p w:rsidR="00B822D0" w:rsidRPr="00951B07" w:rsidRDefault="00B822D0" w:rsidP="002F6883">
            <w:pPr>
              <w:keepNext/>
              <w:widowControl/>
              <w:jc w:val="left"/>
              <w:rPr>
                <w:rFonts w:ascii="Arial Narrow" w:hAnsi="Arial Narrow"/>
                <w:sz w:val="20"/>
              </w:rPr>
            </w:pPr>
          </w:p>
        </w:tc>
        <w:tc>
          <w:tcPr>
            <w:tcW w:w="1436" w:type="pct"/>
            <w:tcBorders>
              <w:bottom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June 2009</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Clinical Study Report – PIPF-006. A randomised, double-blind, placebo-controlled, phase 3 study of the safety and efficacy of pirfenidone in patients with</w:t>
            </w:r>
            <w:r w:rsidR="00EB361A">
              <w:rPr>
                <w:rFonts w:ascii="Arial Narrow" w:hAnsi="Arial Narrow"/>
                <w:bCs/>
                <w:sz w:val="20"/>
              </w:rPr>
              <w:t xml:space="preserve"> idiopathic pulmonary fibrosis.</w:t>
            </w:r>
          </w:p>
          <w:p w:rsidR="00B822D0" w:rsidRPr="00951B07" w:rsidRDefault="00B822D0" w:rsidP="002F6883">
            <w:pPr>
              <w:keepNext/>
              <w:widowControl/>
              <w:jc w:val="left"/>
              <w:rPr>
                <w:rFonts w:ascii="Arial Narrow" w:hAnsi="Arial Narrow"/>
                <w:bCs/>
                <w:sz w:val="20"/>
              </w:rPr>
            </w:pPr>
          </w:p>
        </w:tc>
        <w:tc>
          <w:tcPr>
            <w:tcW w:w="1436" w:type="pct"/>
            <w:tcBorders>
              <w:top w:val="nil"/>
              <w:bottom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June 2009</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Noble PW, Albera C, Bradford WZ, et al. Pirfenidone in patients with idiopathic pulmonary fibrosis (CA</w:t>
            </w:r>
            <w:r w:rsidR="00EB361A">
              <w:rPr>
                <w:rFonts w:ascii="Arial Narrow" w:hAnsi="Arial Narrow"/>
                <w:bCs/>
                <w:sz w:val="20"/>
              </w:rPr>
              <w:t>PACITY): Two randomised trials.</w:t>
            </w:r>
          </w:p>
          <w:p w:rsidR="00B822D0" w:rsidRPr="00951B07" w:rsidRDefault="00B822D0" w:rsidP="002F6883">
            <w:pPr>
              <w:keepNext/>
              <w:widowControl/>
              <w:jc w:val="left"/>
              <w:rPr>
                <w:rFonts w:ascii="Arial Narrow" w:hAnsi="Arial Narrow"/>
                <w:sz w:val="20"/>
              </w:rPr>
            </w:pPr>
          </w:p>
        </w:tc>
        <w:tc>
          <w:tcPr>
            <w:tcW w:w="1436" w:type="pct"/>
            <w:tcBorders>
              <w:top w:val="nil"/>
              <w:bottom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The Lancet. 2011; 377(9779): 1760-1769</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Albera C, Du Bois RM, Bradford WZ, et al. Prognostic significance of Surgical Lung Biopsy (SLB) in a well-characterized cohort of patients with Idiopathic Pulmonary Fibr</w:t>
            </w:r>
            <w:r w:rsidR="00EB361A">
              <w:rPr>
                <w:rFonts w:ascii="Arial Narrow" w:hAnsi="Arial Narrow"/>
                <w:bCs/>
                <w:sz w:val="20"/>
              </w:rPr>
              <w:t>osis (IPF).</w:t>
            </w:r>
          </w:p>
          <w:p w:rsidR="00B822D0" w:rsidRPr="00951B07" w:rsidRDefault="00B822D0" w:rsidP="002F6883">
            <w:pPr>
              <w:keepNext/>
              <w:widowControl/>
              <w:jc w:val="left"/>
              <w:rPr>
                <w:rFonts w:ascii="Arial Narrow" w:hAnsi="Arial Narrow"/>
                <w:bCs/>
                <w:sz w:val="20"/>
              </w:rPr>
            </w:pPr>
          </w:p>
        </w:tc>
        <w:tc>
          <w:tcPr>
            <w:tcW w:w="1436" w:type="pct"/>
            <w:tcBorders>
              <w:top w:val="nil"/>
              <w:bottom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American Journal of Respiratory and Critical Care Medicine. 2010; 181(1)</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Sahn SA, Albera C, Du Bois RM, et al. Clinical outcomes with pirfenidone therapy in Treatment-adherent (TA) patients with Idiop</w:t>
            </w:r>
            <w:r w:rsidR="00EB361A">
              <w:rPr>
                <w:rFonts w:ascii="Arial Narrow" w:hAnsi="Arial Narrow"/>
                <w:bCs/>
                <w:sz w:val="20"/>
              </w:rPr>
              <w:t>athic Pulmonary Fibrosis (IPF).</w:t>
            </w:r>
          </w:p>
          <w:p w:rsidR="00B822D0" w:rsidRPr="00951B07" w:rsidRDefault="00B822D0" w:rsidP="002F6883">
            <w:pPr>
              <w:keepNext/>
              <w:widowControl/>
              <w:jc w:val="left"/>
              <w:rPr>
                <w:rFonts w:ascii="Arial Narrow" w:hAnsi="Arial Narrow"/>
                <w:bCs/>
                <w:sz w:val="20"/>
              </w:rPr>
            </w:pPr>
          </w:p>
        </w:tc>
        <w:tc>
          <w:tcPr>
            <w:tcW w:w="1436" w:type="pct"/>
            <w:tcBorders>
              <w:top w:val="nil"/>
              <w:bottom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American Journal of Respiratory and Critical Care Medicine. 2010; 181(1)</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bottom w:val="nil"/>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 xml:space="preserve">Valeyre D, Albera C, Du Bois RM, et al. 6 Minute Walk Distance (6MWD) And Forced Vital Capacity (FVC) In patients with Idiopathic Pulmonary Fibrosis (IPF): Similar pattern of pirfenidone </w:t>
            </w:r>
            <w:r w:rsidR="00EB361A">
              <w:rPr>
                <w:rFonts w:ascii="Arial Narrow" w:hAnsi="Arial Narrow"/>
                <w:bCs/>
                <w:sz w:val="20"/>
              </w:rPr>
              <w:t>response.</w:t>
            </w:r>
          </w:p>
          <w:p w:rsidR="00B822D0" w:rsidRPr="00951B07" w:rsidRDefault="00B822D0" w:rsidP="002F6883">
            <w:pPr>
              <w:keepNext/>
              <w:widowControl/>
              <w:jc w:val="left"/>
              <w:rPr>
                <w:rFonts w:ascii="Arial Narrow" w:hAnsi="Arial Narrow"/>
                <w:bCs/>
                <w:sz w:val="20"/>
              </w:rPr>
            </w:pPr>
          </w:p>
        </w:tc>
        <w:tc>
          <w:tcPr>
            <w:tcW w:w="1436" w:type="pct"/>
            <w:tcBorders>
              <w:top w:val="nil"/>
              <w:bottom w:val="nil"/>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American Journal of Respiratory and Critical Care Medicine. 2010; 181(1)</w:t>
            </w:r>
          </w:p>
        </w:tc>
      </w:tr>
      <w:tr w:rsidR="00B822D0" w:rsidRPr="00951B07" w:rsidTr="00B822D0">
        <w:trPr>
          <w:trHeight w:val="20"/>
        </w:trPr>
        <w:tc>
          <w:tcPr>
            <w:tcW w:w="810" w:type="pct"/>
            <w:vMerge/>
          </w:tcPr>
          <w:p w:rsidR="00B822D0" w:rsidRPr="00951B07" w:rsidRDefault="00B822D0" w:rsidP="002F6883">
            <w:pPr>
              <w:keepNext/>
              <w:widowControl/>
              <w:jc w:val="left"/>
              <w:rPr>
                <w:rFonts w:ascii="Arial Narrow" w:hAnsi="Arial Narrow"/>
                <w:sz w:val="20"/>
              </w:rPr>
            </w:pPr>
          </w:p>
        </w:tc>
        <w:tc>
          <w:tcPr>
            <w:tcW w:w="2754" w:type="pct"/>
            <w:tcBorders>
              <w:top w:val="nil"/>
              <w:bottom w:val="single" w:sz="4" w:space="0" w:color="auto"/>
            </w:tcBorders>
          </w:tcPr>
          <w:p w:rsidR="00B822D0" w:rsidRPr="00951B07" w:rsidRDefault="00B822D0" w:rsidP="002F6883">
            <w:pPr>
              <w:keepNext/>
              <w:widowControl/>
              <w:jc w:val="left"/>
              <w:rPr>
                <w:rFonts w:ascii="Arial Narrow" w:hAnsi="Arial Narrow"/>
                <w:sz w:val="20"/>
              </w:rPr>
            </w:pPr>
            <w:r w:rsidRPr="00951B07">
              <w:rPr>
                <w:rFonts w:ascii="Arial Narrow" w:hAnsi="Arial Narrow"/>
                <w:bCs/>
                <w:sz w:val="20"/>
              </w:rPr>
              <w:t xml:space="preserve">Sahn SA, Albera C, Du Bois RM, et al. The effect of treatment with pirfenidone on progression-free survival in patients with Idiopathic Pulmonary Fibrosis (IPF): Exploratory analysis of outcomes using novel criteria for disease progression. </w:t>
            </w:r>
          </w:p>
        </w:tc>
        <w:tc>
          <w:tcPr>
            <w:tcW w:w="1436" w:type="pct"/>
            <w:tcBorders>
              <w:top w:val="nil"/>
              <w:bottom w:val="single" w:sz="4" w:space="0" w:color="auto"/>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American Journal of Respiratory and Critical Care Medicine. 2011; 183(1)</w:t>
            </w:r>
          </w:p>
        </w:tc>
      </w:tr>
      <w:tr w:rsidR="00B822D0" w:rsidRPr="00951B07" w:rsidTr="00B822D0">
        <w:trPr>
          <w:trHeight w:val="20"/>
        </w:trPr>
        <w:tc>
          <w:tcPr>
            <w:tcW w:w="810" w:type="pct"/>
            <w:tcBorders>
              <w:bottom w:val="single" w:sz="4" w:space="0" w:color="auto"/>
            </w:tcBorders>
          </w:tcPr>
          <w:p w:rsidR="00B822D0" w:rsidRPr="00951B07" w:rsidRDefault="00B822D0" w:rsidP="002F6883">
            <w:pPr>
              <w:keepNext/>
              <w:widowControl/>
              <w:jc w:val="left"/>
              <w:rPr>
                <w:rFonts w:ascii="Arial Narrow" w:hAnsi="Arial Narrow"/>
                <w:sz w:val="20"/>
              </w:rPr>
            </w:pPr>
            <w:r w:rsidRPr="00951B07">
              <w:rPr>
                <w:rFonts w:ascii="Arial Narrow" w:hAnsi="Arial Narrow"/>
                <w:sz w:val="20"/>
              </w:rPr>
              <w:t>SP3</w:t>
            </w:r>
          </w:p>
        </w:tc>
        <w:tc>
          <w:tcPr>
            <w:tcW w:w="2754" w:type="pct"/>
            <w:tcBorders>
              <w:bottom w:val="single" w:sz="4" w:space="0" w:color="auto"/>
            </w:tcBorders>
          </w:tcPr>
          <w:p w:rsidR="00B822D0" w:rsidRPr="00951B07" w:rsidRDefault="00B822D0" w:rsidP="002F6883">
            <w:pPr>
              <w:keepNext/>
              <w:widowControl/>
              <w:jc w:val="left"/>
              <w:rPr>
                <w:rFonts w:ascii="Arial Narrow" w:hAnsi="Arial Narrow"/>
                <w:sz w:val="20"/>
              </w:rPr>
            </w:pPr>
            <w:r w:rsidRPr="00951B07">
              <w:rPr>
                <w:rFonts w:ascii="Arial Narrow" w:hAnsi="Arial Narrow"/>
                <w:bCs/>
                <w:sz w:val="20"/>
              </w:rPr>
              <w:t xml:space="preserve">Taniguchi H, Ebina M, Kondoh Y, et al. Pirfenidone in idiopathic pulmonary fibrosis. </w:t>
            </w:r>
          </w:p>
        </w:tc>
        <w:tc>
          <w:tcPr>
            <w:tcW w:w="1436" w:type="pct"/>
            <w:tcBorders>
              <w:bottom w:val="single" w:sz="4" w:space="0" w:color="auto"/>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European Respiratory Journal. 2010; 35(4): 821-829</w:t>
            </w:r>
          </w:p>
        </w:tc>
      </w:tr>
      <w:tr w:rsidR="00B822D0" w:rsidRPr="00951B07" w:rsidTr="00B822D0">
        <w:trPr>
          <w:trHeight w:val="90"/>
        </w:trPr>
        <w:tc>
          <w:tcPr>
            <w:tcW w:w="810" w:type="pct"/>
            <w:tcBorders>
              <w:bottom w:val="single" w:sz="4" w:space="0" w:color="auto"/>
            </w:tcBorders>
          </w:tcPr>
          <w:p w:rsidR="00B822D0" w:rsidRPr="00951B07" w:rsidRDefault="00B822D0" w:rsidP="002F6883">
            <w:pPr>
              <w:keepNext/>
              <w:widowControl/>
              <w:jc w:val="left"/>
              <w:rPr>
                <w:rFonts w:ascii="Arial Narrow" w:hAnsi="Arial Narrow"/>
                <w:sz w:val="20"/>
              </w:rPr>
            </w:pPr>
            <w:r w:rsidRPr="00951B07">
              <w:rPr>
                <w:rFonts w:ascii="Arial Narrow" w:hAnsi="Arial Narrow"/>
                <w:sz w:val="20"/>
              </w:rPr>
              <w:t>SP2</w:t>
            </w:r>
          </w:p>
        </w:tc>
        <w:tc>
          <w:tcPr>
            <w:tcW w:w="2754" w:type="pct"/>
            <w:tcBorders>
              <w:bottom w:val="single" w:sz="4" w:space="0" w:color="auto"/>
            </w:tcBorders>
          </w:tcPr>
          <w:p w:rsidR="00B822D0" w:rsidRPr="00951B07" w:rsidRDefault="00B822D0" w:rsidP="002F6883">
            <w:pPr>
              <w:keepNext/>
              <w:widowControl/>
              <w:jc w:val="left"/>
              <w:rPr>
                <w:rFonts w:ascii="Arial Narrow" w:hAnsi="Arial Narrow"/>
                <w:bCs/>
                <w:sz w:val="20"/>
              </w:rPr>
            </w:pPr>
            <w:r w:rsidRPr="00951B07">
              <w:rPr>
                <w:rFonts w:ascii="Arial Narrow" w:hAnsi="Arial Narrow"/>
                <w:bCs/>
                <w:sz w:val="20"/>
              </w:rPr>
              <w:t xml:space="preserve">Azuma A, Nukiwa T, Tsuboi E, et al. Double-blind, placebo-controlled trial of pirfenidone in patients with idiopathic pulmonary fibrosis. </w:t>
            </w:r>
          </w:p>
        </w:tc>
        <w:tc>
          <w:tcPr>
            <w:tcW w:w="1436" w:type="pct"/>
            <w:tcBorders>
              <w:bottom w:val="single" w:sz="4" w:space="0" w:color="auto"/>
            </w:tcBorders>
          </w:tcPr>
          <w:p w:rsidR="00B822D0" w:rsidRPr="009E7C1B" w:rsidRDefault="00B822D0" w:rsidP="002F6883">
            <w:pPr>
              <w:keepNext/>
              <w:widowControl/>
              <w:jc w:val="left"/>
              <w:rPr>
                <w:rFonts w:ascii="Arial Narrow" w:hAnsi="Arial Narrow"/>
                <w:sz w:val="20"/>
              </w:rPr>
            </w:pPr>
            <w:r w:rsidRPr="009E7C1B">
              <w:rPr>
                <w:rFonts w:ascii="Arial Narrow" w:hAnsi="Arial Narrow"/>
                <w:sz w:val="20"/>
              </w:rPr>
              <w:t>American Journal of Respiratory and Critical Care Medicine. 2015; 171(9): 1040-1047</w:t>
            </w:r>
          </w:p>
        </w:tc>
      </w:tr>
    </w:tbl>
    <w:p w:rsidR="00B822D0" w:rsidRPr="00951B07" w:rsidRDefault="00B822D0" w:rsidP="002F6883">
      <w:pPr>
        <w:widowControl/>
        <w:ind w:left="720"/>
        <w:rPr>
          <w:rFonts w:ascii="Arial Narrow" w:hAnsi="Arial Narrow"/>
          <w:sz w:val="18"/>
        </w:rPr>
      </w:pPr>
      <w:r w:rsidRPr="00951B07">
        <w:rPr>
          <w:rFonts w:ascii="Arial Narrow" w:hAnsi="Arial Narrow"/>
          <w:sz w:val="18"/>
        </w:rPr>
        <w:t xml:space="preserve">Source: Table B.2.3, p5-6 of Section B-DRT of the </w:t>
      </w:r>
      <w:r>
        <w:rPr>
          <w:rFonts w:ascii="Arial Narrow" w:hAnsi="Arial Narrow"/>
          <w:sz w:val="18"/>
        </w:rPr>
        <w:t xml:space="preserve">current </w:t>
      </w:r>
      <w:r w:rsidR="00543609">
        <w:rPr>
          <w:rFonts w:ascii="Arial Narrow" w:hAnsi="Arial Narrow"/>
          <w:sz w:val="18"/>
        </w:rPr>
        <w:t>resubmission</w:t>
      </w:r>
    </w:p>
    <w:p w:rsidR="009D4425" w:rsidRDefault="009D4425">
      <w:pPr>
        <w:widowControl/>
        <w:jc w:val="left"/>
        <w:rPr>
          <w:szCs w:val="22"/>
        </w:rPr>
      </w:pPr>
      <w:r>
        <w:rPr>
          <w:szCs w:val="22"/>
        </w:rPr>
        <w:br w:type="page"/>
      </w:r>
    </w:p>
    <w:p w:rsidR="007F1017" w:rsidRPr="00E36E9E" w:rsidRDefault="00961AF9" w:rsidP="002F6883">
      <w:pPr>
        <w:pStyle w:val="ListParagraph"/>
        <w:widowControl/>
        <w:numPr>
          <w:ilvl w:val="1"/>
          <w:numId w:val="2"/>
        </w:numPr>
        <w:rPr>
          <w:szCs w:val="22"/>
        </w:rPr>
      </w:pPr>
      <w:r w:rsidRPr="00D06FD4">
        <w:rPr>
          <w:szCs w:val="22"/>
        </w:rPr>
        <w:lastRenderedPageBreak/>
        <w:t>The key features</w:t>
      </w:r>
      <w:r w:rsidR="000B56CB">
        <w:rPr>
          <w:szCs w:val="22"/>
        </w:rPr>
        <w:t xml:space="preserve"> of the direct randomised trials</w:t>
      </w:r>
      <w:r w:rsidRPr="00D06FD4">
        <w:rPr>
          <w:szCs w:val="22"/>
        </w:rPr>
        <w:t xml:space="preserve"> are summarised in </w:t>
      </w:r>
      <w:r w:rsidR="00E36E9E">
        <w:rPr>
          <w:szCs w:val="22"/>
        </w:rPr>
        <w:t xml:space="preserve">Table </w:t>
      </w:r>
      <w:r w:rsidR="00641A5A">
        <w:rPr>
          <w:szCs w:val="22"/>
        </w:rPr>
        <w:t>3</w:t>
      </w:r>
      <w:r w:rsidR="007C13C1">
        <w:rPr>
          <w:szCs w:val="22"/>
        </w:rPr>
        <w:t>.</w:t>
      </w:r>
    </w:p>
    <w:p w:rsidR="00E36E9E" w:rsidRPr="007C13C1" w:rsidRDefault="00E36E9E" w:rsidP="002F6883">
      <w:pPr>
        <w:widowControl/>
        <w:rPr>
          <w:rStyle w:val="CommentReference"/>
          <w:rFonts w:ascii="Arial" w:hAnsi="Arial"/>
          <w:b w:val="0"/>
          <w:sz w:val="22"/>
          <w:szCs w:val="22"/>
        </w:rPr>
      </w:pPr>
    </w:p>
    <w:p w:rsidR="00054201" w:rsidRPr="009845B2" w:rsidRDefault="007F1017" w:rsidP="002F6883">
      <w:pPr>
        <w:keepNext/>
        <w:widowControl/>
        <w:ind w:left="720"/>
        <w:rPr>
          <w:rFonts w:ascii="Arial Narrow" w:hAnsi="Arial Narrow"/>
          <w:b/>
          <w:sz w:val="20"/>
        </w:rPr>
      </w:pPr>
      <w:r>
        <w:rPr>
          <w:rStyle w:val="CommentReference"/>
        </w:rPr>
        <w:t xml:space="preserve">Table </w:t>
      </w:r>
      <w:r w:rsidR="00641A5A">
        <w:rPr>
          <w:rStyle w:val="CommentReference"/>
        </w:rPr>
        <w:t>3</w:t>
      </w:r>
      <w:r>
        <w:rPr>
          <w:rStyle w:val="CommentReference"/>
        </w:rPr>
        <w:t>:</w:t>
      </w:r>
      <w:r w:rsidR="00E36E9E">
        <w:rPr>
          <w:rStyle w:val="CommentReference"/>
        </w:rPr>
        <w:t xml:space="preserve"> </w:t>
      </w:r>
      <w:r w:rsidR="00641A5A">
        <w:rPr>
          <w:rStyle w:val="CommentReference"/>
        </w:rPr>
        <w:t>Key features of the included evidence</w:t>
      </w:r>
    </w:p>
    <w:tbl>
      <w:tblPr>
        <w:tblStyle w:val="Summarybox1"/>
        <w:tblW w:w="4588" w:type="pct"/>
        <w:tblInd w:w="748" w:type="dxa"/>
        <w:tblLayout w:type="fixed"/>
        <w:tblCellMar>
          <w:left w:w="28" w:type="dxa"/>
          <w:right w:w="28" w:type="dxa"/>
        </w:tblCellMar>
        <w:tblLook w:val="04A0" w:firstRow="1" w:lastRow="0" w:firstColumn="1" w:lastColumn="0" w:noHBand="0" w:noVBand="1"/>
        <w:tblCaption w:val="Table 3: Key features of the included evidence"/>
        <w:tblDescription w:val="Table 3: Key features of the included evidence"/>
      </w:tblPr>
      <w:tblGrid>
        <w:gridCol w:w="1082"/>
        <w:gridCol w:w="450"/>
        <w:gridCol w:w="2068"/>
        <w:gridCol w:w="720"/>
        <w:gridCol w:w="630"/>
        <w:gridCol w:w="1225"/>
        <w:gridCol w:w="2159"/>
      </w:tblGrid>
      <w:tr w:rsidR="00054201" w:rsidRPr="009845B2" w:rsidTr="00054201">
        <w:trPr>
          <w:trHeight w:val="20"/>
          <w:tblHeader/>
        </w:trPr>
        <w:tc>
          <w:tcPr>
            <w:tcW w:w="649" w:type="pct"/>
            <w:vAlign w:val="center"/>
          </w:tcPr>
          <w:p w:rsidR="00054201" w:rsidRPr="009845B2" w:rsidRDefault="00054201" w:rsidP="002F6883">
            <w:pPr>
              <w:keepNext/>
              <w:widowControl/>
              <w:jc w:val="left"/>
              <w:rPr>
                <w:rFonts w:ascii="Arial Narrow" w:hAnsi="Arial Narrow"/>
                <w:b/>
                <w:sz w:val="20"/>
                <w:lang w:eastAsia="en-AU"/>
              </w:rPr>
            </w:pPr>
            <w:r w:rsidRPr="009845B2">
              <w:rPr>
                <w:rFonts w:ascii="Arial Narrow" w:hAnsi="Arial Narrow"/>
                <w:b/>
                <w:sz w:val="20"/>
                <w:lang w:eastAsia="en-AU"/>
              </w:rPr>
              <w:t>Trial ID</w:t>
            </w:r>
          </w:p>
        </w:tc>
        <w:tc>
          <w:tcPr>
            <w:tcW w:w="270" w:type="pct"/>
            <w:vAlign w:val="center"/>
          </w:tcPr>
          <w:p w:rsidR="00054201" w:rsidRPr="009845B2" w:rsidRDefault="00054201" w:rsidP="002F6883">
            <w:pPr>
              <w:keepNext/>
              <w:widowControl/>
              <w:jc w:val="center"/>
              <w:rPr>
                <w:rFonts w:ascii="Arial Narrow" w:hAnsi="Arial Narrow"/>
                <w:b/>
                <w:sz w:val="20"/>
                <w:lang w:eastAsia="en-AU"/>
              </w:rPr>
            </w:pPr>
            <w:r w:rsidRPr="009845B2">
              <w:rPr>
                <w:rFonts w:ascii="Arial Narrow" w:hAnsi="Arial Narrow"/>
                <w:b/>
                <w:sz w:val="20"/>
                <w:lang w:eastAsia="en-AU"/>
              </w:rPr>
              <w:t>n</w:t>
            </w:r>
          </w:p>
        </w:tc>
        <w:tc>
          <w:tcPr>
            <w:tcW w:w="1241" w:type="pct"/>
            <w:vAlign w:val="center"/>
          </w:tcPr>
          <w:p w:rsidR="00054201" w:rsidRPr="009845B2" w:rsidRDefault="00054201" w:rsidP="002F6883">
            <w:pPr>
              <w:keepNext/>
              <w:widowControl/>
              <w:jc w:val="center"/>
              <w:rPr>
                <w:rFonts w:ascii="Arial Narrow" w:hAnsi="Arial Narrow"/>
                <w:b/>
                <w:sz w:val="20"/>
                <w:lang w:eastAsia="en-AU"/>
              </w:rPr>
            </w:pPr>
            <w:r w:rsidRPr="009845B2">
              <w:rPr>
                <w:rFonts w:ascii="Arial Narrow" w:hAnsi="Arial Narrow"/>
                <w:b/>
                <w:sz w:val="20"/>
                <w:lang w:eastAsia="en-AU"/>
              </w:rPr>
              <w:t>Treatment arms</w:t>
            </w:r>
          </w:p>
        </w:tc>
        <w:tc>
          <w:tcPr>
            <w:tcW w:w="432" w:type="pct"/>
            <w:vAlign w:val="center"/>
          </w:tcPr>
          <w:p w:rsidR="00054201" w:rsidRPr="009845B2" w:rsidRDefault="00054201" w:rsidP="002F6883">
            <w:pPr>
              <w:keepNext/>
              <w:widowControl/>
              <w:jc w:val="center"/>
              <w:rPr>
                <w:rFonts w:ascii="Arial Narrow" w:hAnsi="Arial Narrow"/>
                <w:b/>
                <w:sz w:val="20"/>
                <w:lang w:eastAsia="en-AU"/>
              </w:rPr>
            </w:pPr>
            <w:r w:rsidRPr="009845B2">
              <w:rPr>
                <w:rFonts w:ascii="Arial Narrow" w:hAnsi="Arial Narrow"/>
                <w:b/>
                <w:sz w:val="20"/>
                <w:lang w:eastAsia="en-AU"/>
              </w:rPr>
              <w:t>Trial duration</w:t>
            </w:r>
          </w:p>
        </w:tc>
        <w:tc>
          <w:tcPr>
            <w:tcW w:w="378" w:type="pct"/>
            <w:vAlign w:val="center"/>
          </w:tcPr>
          <w:p w:rsidR="00054201" w:rsidRPr="009845B2" w:rsidRDefault="00054201" w:rsidP="002F6883">
            <w:pPr>
              <w:keepNext/>
              <w:widowControl/>
              <w:jc w:val="center"/>
              <w:rPr>
                <w:rFonts w:ascii="Arial Narrow" w:hAnsi="Arial Narrow"/>
                <w:b/>
                <w:sz w:val="20"/>
                <w:lang w:eastAsia="en-AU"/>
              </w:rPr>
            </w:pPr>
            <w:r w:rsidRPr="009845B2">
              <w:rPr>
                <w:rFonts w:ascii="Arial Narrow" w:hAnsi="Arial Narrow"/>
                <w:b/>
                <w:sz w:val="20"/>
                <w:lang w:eastAsia="en-AU"/>
              </w:rPr>
              <w:t>Trial design</w:t>
            </w:r>
          </w:p>
        </w:tc>
        <w:tc>
          <w:tcPr>
            <w:tcW w:w="735" w:type="pct"/>
            <w:vAlign w:val="center"/>
          </w:tcPr>
          <w:p w:rsidR="00054201" w:rsidRPr="009845B2" w:rsidRDefault="00054201" w:rsidP="002F6883">
            <w:pPr>
              <w:keepNext/>
              <w:widowControl/>
              <w:jc w:val="center"/>
              <w:rPr>
                <w:rFonts w:ascii="Arial Narrow" w:hAnsi="Arial Narrow"/>
                <w:b/>
                <w:sz w:val="20"/>
                <w:lang w:eastAsia="en-AU"/>
              </w:rPr>
            </w:pPr>
            <w:r w:rsidRPr="009845B2">
              <w:rPr>
                <w:rFonts w:ascii="Arial Narrow" w:hAnsi="Arial Narrow"/>
                <w:b/>
                <w:sz w:val="20"/>
                <w:lang w:eastAsia="en-AU"/>
              </w:rPr>
              <w:t>Primary outcome</w:t>
            </w:r>
          </w:p>
        </w:tc>
        <w:tc>
          <w:tcPr>
            <w:tcW w:w="1295" w:type="pct"/>
            <w:vAlign w:val="center"/>
          </w:tcPr>
          <w:p w:rsidR="00054201" w:rsidRPr="009845B2" w:rsidRDefault="00054201" w:rsidP="002F6883">
            <w:pPr>
              <w:keepNext/>
              <w:widowControl/>
              <w:jc w:val="center"/>
              <w:rPr>
                <w:rFonts w:ascii="Arial Narrow" w:hAnsi="Arial Narrow"/>
                <w:b/>
                <w:sz w:val="20"/>
                <w:lang w:eastAsia="en-AU"/>
              </w:rPr>
            </w:pPr>
            <w:r w:rsidRPr="009845B2">
              <w:rPr>
                <w:rFonts w:ascii="Arial Narrow" w:hAnsi="Arial Narrow"/>
                <w:b/>
                <w:sz w:val="20"/>
                <w:lang w:eastAsia="en-AU"/>
              </w:rPr>
              <w:t>Use in the economic evaluation</w:t>
            </w:r>
          </w:p>
        </w:tc>
      </w:tr>
      <w:tr w:rsidR="00054201" w:rsidRPr="009845B2" w:rsidTr="00054201">
        <w:trPr>
          <w:trHeight w:val="20"/>
        </w:trPr>
        <w:tc>
          <w:tcPr>
            <w:tcW w:w="649" w:type="pct"/>
            <w:vMerge w:val="restart"/>
            <w:vAlign w:val="center"/>
          </w:tcPr>
          <w:p w:rsidR="00054201" w:rsidRPr="009845B2" w:rsidRDefault="00054201" w:rsidP="002F6883">
            <w:pPr>
              <w:keepNext/>
              <w:widowControl/>
              <w:jc w:val="left"/>
              <w:rPr>
                <w:rFonts w:ascii="Arial Narrow" w:hAnsi="Arial Narrow"/>
                <w:sz w:val="20"/>
                <w:lang w:eastAsia="en-AU"/>
              </w:rPr>
            </w:pPr>
            <w:r w:rsidRPr="009845B2">
              <w:rPr>
                <w:rFonts w:ascii="Arial Narrow" w:hAnsi="Arial Narrow"/>
                <w:sz w:val="20"/>
                <w:lang w:eastAsia="en-AU"/>
              </w:rPr>
              <w:t>ASCEND</w:t>
            </w:r>
          </w:p>
        </w:tc>
        <w:tc>
          <w:tcPr>
            <w:tcW w:w="270"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555</w:t>
            </w:r>
          </w:p>
        </w:tc>
        <w:tc>
          <w:tcPr>
            <w:tcW w:w="1241" w:type="pc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Pirfenidone 2403mg^/d: n=278</w:t>
            </w:r>
          </w:p>
        </w:tc>
        <w:tc>
          <w:tcPr>
            <w:tcW w:w="432"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52 weeks</w:t>
            </w:r>
          </w:p>
        </w:tc>
        <w:tc>
          <w:tcPr>
            <w:tcW w:w="378"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 xml:space="preserve">R, DB, MC, MN, phase III </w:t>
            </w:r>
          </w:p>
        </w:tc>
        <w:tc>
          <w:tcPr>
            <w:tcW w:w="735"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val="ru-RU" w:eastAsia="en-AU"/>
              </w:rPr>
              <w:t>С</w:t>
            </w:r>
            <w:r w:rsidRPr="009845B2">
              <w:rPr>
                <w:rFonts w:ascii="Arial Narrow" w:hAnsi="Arial Narrow"/>
                <w:sz w:val="20"/>
                <w:lang w:val="hr-HR" w:eastAsia="en-AU"/>
              </w:rPr>
              <w:t>hange</w:t>
            </w:r>
            <w:r w:rsidRPr="009845B2">
              <w:rPr>
                <w:rFonts w:ascii="Arial Narrow" w:hAnsi="Arial Narrow"/>
                <w:sz w:val="20"/>
                <w:lang w:eastAsia="en-AU"/>
              </w:rPr>
              <w:t xml:space="preserve"> in FVC%Pred: baseline to week 52 (ASCEND) or week 72 (CAPACITY)</w:t>
            </w:r>
          </w:p>
        </w:tc>
        <w:tc>
          <w:tcPr>
            <w:tcW w:w="1295" w:type="pct"/>
            <w:vMerge w:val="restart"/>
            <w:vAlign w:val="center"/>
          </w:tcPr>
          <w:p w:rsidR="00054201" w:rsidRPr="009845B2" w:rsidRDefault="00054201" w:rsidP="002F6883">
            <w:pPr>
              <w:keepNext/>
              <w:widowControl/>
              <w:jc w:val="center"/>
              <w:rPr>
                <w:rFonts w:ascii="Arial Narrow" w:hAnsi="Arial Narrow"/>
                <w:sz w:val="20"/>
                <w:lang w:val="hr-HR" w:eastAsia="en-AU"/>
              </w:rPr>
            </w:pPr>
            <w:r w:rsidRPr="009845B2">
              <w:rPr>
                <w:rFonts w:ascii="Arial Narrow" w:hAnsi="Arial Narrow"/>
                <w:sz w:val="20"/>
                <w:lang w:val="hr-HR" w:eastAsia="en-AU"/>
              </w:rPr>
              <w:t>Kaplan</w:t>
            </w:r>
            <w:r>
              <w:rPr>
                <w:rFonts w:ascii="Arial Narrow" w:hAnsi="Arial Narrow"/>
                <w:sz w:val="20"/>
                <w:lang w:val="hr-HR" w:eastAsia="en-AU"/>
              </w:rPr>
              <w:t>-M</w:t>
            </w:r>
            <w:r w:rsidRPr="009845B2">
              <w:rPr>
                <w:rFonts w:ascii="Arial Narrow" w:hAnsi="Arial Narrow"/>
                <w:sz w:val="20"/>
                <w:lang w:val="hr-HR" w:eastAsia="en-AU"/>
              </w:rPr>
              <w:t>eier estimates: overall survival (6.2 years follow-up*); progression free survival (log-</w:t>
            </w:r>
            <w:r>
              <w:rPr>
                <w:rFonts w:ascii="Arial Narrow" w:hAnsi="Arial Narrow"/>
                <w:sz w:val="20"/>
                <w:lang w:val="hr-HR" w:eastAsia="en-AU"/>
              </w:rPr>
              <w:t>normal</w:t>
            </w:r>
            <w:r w:rsidRPr="009845B2">
              <w:rPr>
                <w:rFonts w:ascii="Arial Narrow" w:hAnsi="Arial Narrow"/>
                <w:sz w:val="20"/>
                <w:lang w:val="hr-HR" w:eastAsia="en-AU"/>
              </w:rPr>
              <w:t xml:space="preserve"> parametric extrapolation), treatment duration (gompertz extrapolation); probability and duration of hospitalisations (CAPACITY 1 and 2)</w:t>
            </w:r>
          </w:p>
        </w:tc>
      </w:tr>
      <w:tr w:rsidR="00054201" w:rsidRPr="009845B2" w:rsidTr="00054201">
        <w:trPr>
          <w:trHeight w:val="20"/>
        </w:trPr>
        <w:tc>
          <w:tcPr>
            <w:tcW w:w="649" w:type="pct"/>
            <w:vMerge/>
            <w:vAlign w:val="center"/>
          </w:tcPr>
          <w:p w:rsidR="00054201" w:rsidRPr="009845B2" w:rsidRDefault="00054201" w:rsidP="002F6883">
            <w:pPr>
              <w:keepNext/>
              <w:widowControl/>
              <w:jc w:val="left"/>
              <w:rPr>
                <w:rFonts w:ascii="Arial Narrow" w:hAnsi="Arial Narrow"/>
                <w:sz w:val="20"/>
                <w:lang w:eastAsia="en-AU"/>
              </w:rPr>
            </w:pPr>
          </w:p>
        </w:tc>
        <w:tc>
          <w:tcPr>
            <w:tcW w:w="270" w:type="pct"/>
            <w:vMerge/>
            <w:vAlign w:val="center"/>
          </w:tcPr>
          <w:p w:rsidR="00054201" w:rsidRPr="009845B2" w:rsidRDefault="00054201" w:rsidP="002F6883">
            <w:pPr>
              <w:keepNext/>
              <w:widowControl/>
              <w:jc w:val="center"/>
              <w:rPr>
                <w:rFonts w:ascii="Arial Narrow" w:hAnsi="Arial Narrow"/>
                <w:sz w:val="20"/>
                <w:lang w:eastAsia="en-AU"/>
              </w:rPr>
            </w:pPr>
          </w:p>
        </w:tc>
        <w:tc>
          <w:tcPr>
            <w:tcW w:w="1241" w:type="pc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Placebo: n=277</w:t>
            </w:r>
          </w:p>
        </w:tc>
        <w:tc>
          <w:tcPr>
            <w:tcW w:w="432" w:type="pct"/>
            <w:vMerge/>
            <w:vAlign w:val="center"/>
          </w:tcPr>
          <w:p w:rsidR="00054201" w:rsidRPr="009845B2" w:rsidRDefault="00054201" w:rsidP="002F6883">
            <w:pPr>
              <w:keepNext/>
              <w:widowControl/>
              <w:jc w:val="center"/>
              <w:rPr>
                <w:rFonts w:ascii="Arial Narrow" w:hAnsi="Arial Narrow"/>
                <w:sz w:val="20"/>
                <w:lang w:eastAsia="en-AU"/>
              </w:rPr>
            </w:pPr>
          </w:p>
        </w:tc>
        <w:tc>
          <w:tcPr>
            <w:tcW w:w="378" w:type="pct"/>
            <w:vMerge/>
            <w:vAlign w:val="center"/>
          </w:tcPr>
          <w:p w:rsidR="00054201" w:rsidRPr="009845B2" w:rsidRDefault="00054201" w:rsidP="002F6883">
            <w:pPr>
              <w:keepNext/>
              <w:widowControl/>
              <w:jc w:val="center"/>
              <w:rPr>
                <w:rFonts w:ascii="Arial Narrow" w:hAnsi="Arial Narrow"/>
                <w:sz w:val="20"/>
                <w:lang w:eastAsia="en-AU"/>
              </w:rPr>
            </w:pPr>
          </w:p>
        </w:tc>
        <w:tc>
          <w:tcPr>
            <w:tcW w:w="735" w:type="pct"/>
            <w:vMerge/>
            <w:vAlign w:val="center"/>
          </w:tcPr>
          <w:p w:rsidR="00054201" w:rsidRPr="009845B2" w:rsidRDefault="00054201" w:rsidP="002F6883">
            <w:pPr>
              <w:keepNext/>
              <w:widowControl/>
              <w:jc w:val="center"/>
              <w:rPr>
                <w:rFonts w:ascii="Arial Narrow" w:hAnsi="Arial Narrow"/>
                <w:sz w:val="20"/>
                <w:lang w:eastAsia="en-AU"/>
              </w:rPr>
            </w:pPr>
          </w:p>
        </w:tc>
        <w:tc>
          <w:tcPr>
            <w:tcW w:w="1295" w:type="pct"/>
            <w:vMerge/>
            <w:vAlign w:val="center"/>
          </w:tcPr>
          <w:p w:rsidR="00054201" w:rsidRPr="009845B2" w:rsidRDefault="00054201" w:rsidP="002F6883">
            <w:pPr>
              <w:keepNext/>
              <w:widowControl/>
              <w:jc w:val="center"/>
              <w:rPr>
                <w:rFonts w:ascii="Arial Narrow" w:hAnsi="Arial Narrow"/>
                <w:sz w:val="20"/>
                <w:lang w:eastAsia="en-AU"/>
              </w:rPr>
            </w:pPr>
          </w:p>
        </w:tc>
      </w:tr>
      <w:tr w:rsidR="00054201" w:rsidRPr="009845B2" w:rsidTr="00054201">
        <w:trPr>
          <w:trHeight w:val="20"/>
        </w:trPr>
        <w:tc>
          <w:tcPr>
            <w:tcW w:w="649" w:type="pct"/>
            <w:vMerge w:val="restart"/>
            <w:vAlign w:val="center"/>
          </w:tcPr>
          <w:p w:rsidR="00054201" w:rsidRPr="009845B2" w:rsidRDefault="00054201" w:rsidP="002F6883">
            <w:pPr>
              <w:keepNext/>
              <w:widowControl/>
              <w:jc w:val="left"/>
              <w:rPr>
                <w:rFonts w:ascii="Arial Narrow" w:hAnsi="Arial Narrow"/>
                <w:sz w:val="20"/>
                <w:lang w:eastAsia="en-AU"/>
              </w:rPr>
            </w:pPr>
            <w:r w:rsidRPr="009845B2">
              <w:rPr>
                <w:rFonts w:ascii="Arial Narrow" w:hAnsi="Arial Narrow"/>
                <w:sz w:val="20"/>
                <w:lang w:eastAsia="en-AU"/>
              </w:rPr>
              <w:t>CAPACITY-2</w:t>
            </w:r>
          </w:p>
        </w:tc>
        <w:tc>
          <w:tcPr>
            <w:tcW w:w="270"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435</w:t>
            </w:r>
          </w:p>
        </w:tc>
        <w:tc>
          <w:tcPr>
            <w:tcW w:w="1241" w:type="pc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Pirfenidone 2403mg^/d: n=174</w:t>
            </w:r>
          </w:p>
        </w:tc>
        <w:tc>
          <w:tcPr>
            <w:tcW w:w="432"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72 weeks</w:t>
            </w:r>
          </w:p>
        </w:tc>
        <w:tc>
          <w:tcPr>
            <w:tcW w:w="378" w:type="pct"/>
            <w:vMerge/>
            <w:vAlign w:val="center"/>
          </w:tcPr>
          <w:p w:rsidR="00054201" w:rsidRPr="009845B2" w:rsidRDefault="00054201" w:rsidP="002F6883">
            <w:pPr>
              <w:keepNext/>
              <w:widowControl/>
              <w:jc w:val="center"/>
              <w:rPr>
                <w:rFonts w:ascii="Arial Narrow" w:hAnsi="Arial Narrow"/>
                <w:sz w:val="20"/>
                <w:lang w:eastAsia="en-AU"/>
              </w:rPr>
            </w:pPr>
          </w:p>
        </w:tc>
        <w:tc>
          <w:tcPr>
            <w:tcW w:w="735" w:type="pct"/>
            <w:vMerge/>
            <w:vAlign w:val="center"/>
          </w:tcPr>
          <w:p w:rsidR="00054201" w:rsidRPr="009845B2" w:rsidRDefault="00054201" w:rsidP="002F6883">
            <w:pPr>
              <w:keepNext/>
              <w:widowControl/>
              <w:jc w:val="center"/>
              <w:rPr>
                <w:rFonts w:ascii="Arial Narrow" w:hAnsi="Arial Narrow"/>
                <w:sz w:val="20"/>
                <w:lang w:eastAsia="en-AU"/>
              </w:rPr>
            </w:pPr>
          </w:p>
        </w:tc>
        <w:tc>
          <w:tcPr>
            <w:tcW w:w="1295" w:type="pct"/>
            <w:vMerge/>
            <w:vAlign w:val="center"/>
          </w:tcPr>
          <w:p w:rsidR="00054201" w:rsidRPr="009845B2" w:rsidRDefault="00054201" w:rsidP="002F6883">
            <w:pPr>
              <w:keepNext/>
              <w:widowControl/>
              <w:jc w:val="center"/>
              <w:rPr>
                <w:rFonts w:ascii="Arial Narrow" w:hAnsi="Arial Narrow"/>
                <w:sz w:val="20"/>
                <w:lang w:eastAsia="en-AU"/>
              </w:rPr>
            </w:pPr>
          </w:p>
        </w:tc>
      </w:tr>
      <w:tr w:rsidR="00054201" w:rsidRPr="009845B2" w:rsidTr="00054201">
        <w:trPr>
          <w:trHeight w:val="20"/>
        </w:trPr>
        <w:tc>
          <w:tcPr>
            <w:tcW w:w="649" w:type="pct"/>
            <w:vMerge/>
            <w:vAlign w:val="center"/>
          </w:tcPr>
          <w:p w:rsidR="00054201" w:rsidRPr="009845B2" w:rsidRDefault="00054201" w:rsidP="002F6883">
            <w:pPr>
              <w:keepNext/>
              <w:widowControl/>
              <w:jc w:val="left"/>
              <w:rPr>
                <w:rFonts w:ascii="Arial Narrow" w:hAnsi="Arial Narrow"/>
                <w:sz w:val="20"/>
                <w:lang w:eastAsia="en-AU"/>
              </w:rPr>
            </w:pPr>
          </w:p>
        </w:tc>
        <w:tc>
          <w:tcPr>
            <w:tcW w:w="270" w:type="pct"/>
            <w:vMerge/>
            <w:vAlign w:val="center"/>
          </w:tcPr>
          <w:p w:rsidR="00054201" w:rsidRPr="009845B2" w:rsidRDefault="00054201" w:rsidP="002F6883">
            <w:pPr>
              <w:keepNext/>
              <w:widowControl/>
              <w:jc w:val="center"/>
              <w:rPr>
                <w:rFonts w:ascii="Arial Narrow" w:hAnsi="Arial Narrow"/>
                <w:sz w:val="20"/>
                <w:lang w:eastAsia="en-AU"/>
              </w:rPr>
            </w:pPr>
          </w:p>
        </w:tc>
        <w:tc>
          <w:tcPr>
            <w:tcW w:w="1241" w:type="pct"/>
            <w:vAlign w:val="center"/>
          </w:tcPr>
          <w:p w:rsidR="00054201" w:rsidRPr="009845B2" w:rsidRDefault="00054201" w:rsidP="002F6883">
            <w:pPr>
              <w:keepNext/>
              <w:widowControl/>
              <w:ind w:left="-108"/>
              <w:jc w:val="center"/>
              <w:rPr>
                <w:rFonts w:ascii="Arial Narrow" w:hAnsi="Arial Narrow"/>
                <w:sz w:val="20"/>
                <w:lang w:eastAsia="en-AU"/>
              </w:rPr>
            </w:pPr>
            <w:r w:rsidRPr="009845B2">
              <w:rPr>
                <w:rFonts w:ascii="Arial Narrow" w:hAnsi="Arial Narrow"/>
                <w:sz w:val="20"/>
                <w:lang w:eastAsia="en-AU"/>
              </w:rPr>
              <w:t>Pirfenidone 1197mg^/d: n=87</w:t>
            </w:r>
          </w:p>
        </w:tc>
        <w:tc>
          <w:tcPr>
            <w:tcW w:w="432" w:type="pct"/>
            <w:vMerge/>
            <w:vAlign w:val="center"/>
          </w:tcPr>
          <w:p w:rsidR="00054201" w:rsidRPr="009845B2" w:rsidRDefault="00054201" w:rsidP="002F6883">
            <w:pPr>
              <w:keepNext/>
              <w:widowControl/>
              <w:jc w:val="center"/>
              <w:rPr>
                <w:rFonts w:ascii="Arial Narrow" w:hAnsi="Arial Narrow"/>
                <w:sz w:val="20"/>
                <w:lang w:eastAsia="en-AU"/>
              </w:rPr>
            </w:pPr>
          </w:p>
        </w:tc>
        <w:tc>
          <w:tcPr>
            <w:tcW w:w="378" w:type="pct"/>
            <w:vMerge/>
            <w:vAlign w:val="center"/>
          </w:tcPr>
          <w:p w:rsidR="00054201" w:rsidRPr="009845B2" w:rsidRDefault="00054201" w:rsidP="002F6883">
            <w:pPr>
              <w:keepNext/>
              <w:widowControl/>
              <w:jc w:val="center"/>
              <w:rPr>
                <w:rFonts w:ascii="Arial Narrow" w:hAnsi="Arial Narrow"/>
                <w:sz w:val="20"/>
                <w:lang w:eastAsia="en-AU"/>
              </w:rPr>
            </w:pPr>
          </w:p>
        </w:tc>
        <w:tc>
          <w:tcPr>
            <w:tcW w:w="735" w:type="pct"/>
            <w:vMerge/>
            <w:vAlign w:val="center"/>
          </w:tcPr>
          <w:p w:rsidR="00054201" w:rsidRPr="009845B2" w:rsidRDefault="00054201" w:rsidP="002F6883">
            <w:pPr>
              <w:keepNext/>
              <w:widowControl/>
              <w:jc w:val="center"/>
              <w:rPr>
                <w:rFonts w:ascii="Arial Narrow" w:hAnsi="Arial Narrow"/>
                <w:sz w:val="20"/>
                <w:lang w:eastAsia="en-AU"/>
              </w:rPr>
            </w:pPr>
          </w:p>
        </w:tc>
        <w:tc>
          <w:tcPr>
            <w:tcW w:w="1295" w:type="pct"/>
            <w:vMerge/>
            <w:vAlign w:val="center"/>
          </w:tcPr>
          <w:p w:rsidR="00054201" w:rsidRPr="009845B2" w:rsidRDefault="00054201" w:rsidP="002F6883">
            <w:pPr>
              <w:keepNext/>
              <w:widowControl/>
              <w:jc w:val="center"/>
              <w:rPr>
                <w:rFonts w:ascii="Arial Narrow" w:hAnsi="Arial Narrow"/>
                <w:sz w:val="20"/>
                <w:lang w:eastAsia="en-AU"/>
              </w:rPr>
            </w:pPr>
          </w:p>
        </w:tc>
      </w:tr>
      <w:tr w:rsidR="00054201" w:rsidRPr="009845B2" w:rsidTr="00054201">
        <w:tblPrEx>
          <w:tblCellMar>
            <w:left w:w="108" w:type="dxa"/>
            <w:right w:w="108" w:type="dxa"/>
          </w:tblCellMar>
        </w:tblPrEx>
        <w:trPr>
          <w:trHeight w:val="20"/>
        </w:trPr>
        <w:tc>
          <w:tcPr>
            <w:tcW w:w="649" w:type="pct"/>
            <w:vMerge/>
            <w:vAlign w:val="center"/>
          </w:tcPr>
          <w:p w:rsidR="00054201" w:rsidRPr="009845B2" w:rsidRDefault="00054201" w:rsidP="002F6883">
            <w:pPr>
              <w:keepNext/>
              <w:widowControl/>
              <w:jc w:val="left"/>
              <w:rPr>
                <w:rFonts w:ascii="Arial Narrow" w:hAnsi="Arial Narrow"/>
                <w:sz w:val="20"/>
                <w:lang w:eastAsia="en-AU"/>
              </w:rPr>
            </w:pPr>
          </w:p>
        </w:tc>
        <w:tc>
          <w:tcPr>
            <w:tcW w:w="270" w:type="pct"/>
            <w:vMerge/>
            <w:vAlign w:val="center"/>
          </w:tcPr>
          <w:p w:rsidR="00054201" w:rsidRPr="009845B2" w:rsidRDefault="00054201" w:rsidP="002F6883">
            <w:pPr>
              <w:keepNext/>
              <w:widowControl/>
              <w:jc w:val="center"/>
              <w:rPr>
                <w:rFonts w:ascii="Arial Narrow" w:hAnsi="Arial Narrow"/>
                <w:sz w:val="20"/>
                <w:lang w:eastAsia="en-AU"/>
              </w:rPr>
            </w:pPr>
          </w:p>
        </w:tc>
        <w:tc>
          <w:tcPr>
            <w:tcW w:w="1241" w:type="pct"/>
            <w:vAlign w:val="center"/>
          </w:tcPr>
          <w:p w:rsidR="00054201" w:rsidRPr="009845B2" w:rsidRDefault="00054201" w:rsidP="002F6883">
            <w:pPr>
              <w:keepNext/>
              <w:widowControl/>
              <w:ind w:left="-108"/>
              <w:jc w:val="center"/>
              <w:rPr>
                <w:rFonts w:ascii="Arial Narrow" w:hAnsi="Arial Narrow"/>
                <w:sz w:val="20"/>
                <w:lang w:eastAsia="en-AU"/>
              </w:rPr>
            </w:pPr>
            <w:r w:rsidRPr="009845B2">
              <w:rPr>
                <w:rFonts w:ascii="Arial Narrow" w:hAnsi="Arial Narrow"/>
                <w:sz w:val="20"/>
                <w:lang w:eastAsia="en-AU"/>
              </w:rPr>
              <w:t>Placebo: n=174</w:t>
            </w:r>
          </w:p>
        </w:tc>
        <w:tc>
          <w:tcPr>
            <w:tcW w:w="432" w:type="pct"/>
            <w:vMerge/>
            <w:vAlign w:val="center"/>
          </w:tcPr>
          <w:p w:rsidR="00054201" w:rsidRPr="009845B2" w:rsidRDefault="00054201" w:rsidP="002F6883">
            <w:pPr>
              <w:keepNext/>
              <w:widowControl/>
              <w:jc w:val="center"/>
              <w:rPr>
                <w:rFonts w:ascii="Arial Narrow" w:hAnsi="Arial Narrow"/>
                <w:sz w:val="20"/>
                <w:lang w:eastAsia="en-AU"/>
              </w:rPr>
            </w:pPr>
          </w:p>
        </w:tc>
        <w:tc>
          <w:tcPr>
            <w:tcW w:w="378" w:type="pct"/>
            <w:vMerge/>
          </w:tcPr>
          <w:p w:rsidR="00054201" w:rsidRPr="009845B2" w:rsidRDefault="00054201" w:rsidP="002F6883">
            <w:pPr>
              <w:keepNext/>
              <w:widowControl/>
              <w:jc w:val="center"/>
              <w:rPr>
                <w:rFonts w:ascii="Arial Narrow" w:hAnsi="Arial Narrow"/>
                <w:sz w:val="20"/>
                <w:lang w:eastAsia="en-AU"/>
              </w:rPr>
            </w:pPr>
          </w:p>
        </w:tc>
        <w:tc>
          <w:tcPr>
            <w:tcW w:w="735" w:type="pct"/>
            <w:vMerge/>
          </w:tcPr>
          <w:p w:rsidR="00054201" w:rsidRPr="009845B2" w:rsidRDefault="00054201" w:rsidP="002F6883">
            <w:pPr>
              <w:keepNext/>
              <w:widowControl/>
              <w:jc w:val="center"/>
              <w:rPr>
                <w:rFonts w:ascii="Arial Narrow" w:hAnsi="Arial Narrow"/>
                <w:sz w:val="20"/>
                <w:lang w:eastAsia="en-AU"/>
              </w:rPr>
            </w:pPr>
          </w:p>
        </w:tc>
        <w:tc>
          <w:tcPr>
            <w:tcW w:w="1295" w:type="pct"/>
            <w:vMerge/>
            <w:vAlign w:val="center"/>
          </w:tcPr>
          <w:p w:rsidR="00054201" w:rsidRPr="009845B2" w:rsidRDefault="00054201" w:rsidP="002F6883">
            <w:pPr>
              <w:keepNext/>
              <w:widowControl/>
              <w:jc w:val="center"/>
              <w:rPr>
                <w:rFonts w:ascii="Arial Narrow" w:hAnsi="Arial Narrow"/>
                <w:sz w:val="20"/>
                <w:lang w:eastAsia="en-AU"/>
              </w:rPr>
            </w:pPr>
          </w:p>
        </w:tc>
      </w:tr>
      <w:tr w:rsidR="00054201" w:rsidRPr="009845B2" w:rsidTr="00054201">
        <w:trPr>
          <w:trHeight w:val="20"/>
        </w:trPr>
        <w:tc>
          <w:tcPr>
            <w:tcW w:w="649" w:type="pct"/>
            <w:vMerge w:val="restart"/>
            <w:vAlign w:val="center"/>
          </w:tcPr>
          <w:p w:rsidR="00054201" w:rsidRPr="009845B2" w:rsidRDefault="00054201" w:rsidP="002F6883">
            <w:pPr>
              <w:keepNext/>
              <w:widowControl/>
              <w:jc w:val="left"/>
              <w:rPr>
                <w:rFonts w:ascii="Arial Narrow" w:hAnsi="Arial Narrow"/>
                <w:sz w:val="20"/>
                <w:lang w:eastAsia="en-AU"/>
              </w:rPr>
            </w:pPr>
            <w:r w:rsidRPr="009845B2">
              <w:rPr>
                <w:rFonts w:ascii="Arial Narrow" w:hAnsi="Arial Narrow"/>
                <w:sz w:val="20"/>
                <w:lang w:eastAsia="en-AU"/>
              </w:rPr>
              <w:t>CAPACITY-1</w:t>
            </w:r>
          </w:p>
        </w:tc>
        <w:tc>
          <w:tcPr>
            <w:tcW w:w="270" w:type="pct"/>
            <w:vMerge w:val="restar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3</w:t>
            </w:r>
            <w:r w:rsidRPr="00381535">
              <w:rPr>
                <w:rFonts w:ascii="Arial Narrow" w:hAnsi="Arial Narrow"/>
                <w:sz w:val="20"/>
                <w:lang w:eastAsia="en-AU"/>
              </w:rPr>
              <w:t>4</w:t>
            </w:r>
            <w:r w:rsidRPr="009845B2">
              <w:rPr>
                <w:rFonts w:ascii="Arial Narrow" w:hAnsi="Arial Narrow"/>
                <w:sz w:val="20"/>
                <w:lang w:eastAsia="en-AU"/>
              </w:rPr>
              <w:t>4</w:t>
            </w:r>
          </w:p>
        </w:tc>
        <w:tc>
          <w:tcPr>
            <w:tcW w:w="1241" w:type="pc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Pirfenidone 2403mg^/d: n=171</w:t>
            </w:r>
          </w:p>
        </w:tc>
        <w:tc>
          <w:tcPr>
            <w:tcW w:w="432" w:type="pct"/>
            <w:vMerge/>
            <w:vAlign w:val="center"/>
          </w:tcPr>
          <w:p w:rsidR="00054201" w:rsidRPr="009845B2" w:rsidRDefault="00054201" w:rsidP="002F6883">
            <w:pPr>
              <w:keepNext/>
              <w:widowControl/>
              <w:jc w:val="center"/>
              <w:rPr>
                <w:rFonts w:ascii="Arial Narrow" w:hAnsi="Arial Narrow"/>
                <w:sz w:val="20"/>
                <w:lang w:eastAsia="en-AU"/>
              </w:rPr>
            </w:pPr>
          </w:p>
        </w:tc>
        <w:tc>
          <w:tcPr>
            <w:tcW w:w="378" w:type="pct"/>
            <w:vMerge/>
            <w:vAlign w:val="center"/>
          </w:tcPr>
          <w:p w:rsidR="00054201" w:rsidRPr="009845B2" w:rsidRDefault="00054201" w:rsidP="002F6883">
            <w:pPr>
              <w:keepNext/>
              <w:widowControl/>
              <w:jc w:val="center"/>
              <w:rPr>
                <w:rFonts w:ascii="Arial Narrow" w:hAnsi="Arial Narrow"/>
                <w:sz w:val="20"/>
                <w:lang w:eastAsia="en-AU"/>
              </w:rPr>
            </w:pPr>
          </w:p>
        </w:tc>
        <w:tc>
          <w:tcPr>
            <w:tcW w:w="735" w:type="pct"/>
            <w:vMerge/>
            <w:vAlign w:val="center"/>
          </w:tcPr>
          <w:p w:rsidR="00054201" w:rsidRPr="009845B2" w:rsidRDefault="00054201" w:rsidP="002F6883">
            <w:pPr>
              <w:keepNext/>
              <w:widowControl/>
              <w:jc w:val="center"/>
              <w:rPr>
                <w:rFonts w:ascii="Arial Narrow" w:hAnsi="Arial Narrow"/>
                <w:sz w:val="20"/>
                <w:lang w:eastAsia="en-AU"/>
              </w:rPr>
            </w:pPr>
          </w:p>
        </w:tc>
        <w:tc>
          <w:tcPr>
            <w:tcW w:w="1295" w:type="pct"/>
            <w:vMerge/>
            <w:vAlign w:val="center"/>
          </w:tcPr>
          <w:p w:rsidR="00054201" w:rsidRPr="009845B2" w:rsidRDefault="00054201" w:rsidP="002F6883">
            <w:pPr>
              <w:keepNext/>
              <w:widowControl/>
              <w:jc w:val="center"/>
              <w:rPr>
                <w:rFonts w:ascii="Arial Narrow" w:hAnsi="Arial Narrow"/>
                <w:sz w:val="20"/>
                <w:lang w:val="hr-HR" w:eastAsia="en-AU"/>
              </w:rPr>
            </w:pPr>
          </w:p>
        </w:tc>
      </w:tr>
      <w:tr w:rsidR="00054201" w:rsidRPr="009845B2" w:rsidTr="00054201">
        <w:trPr>
          <w:trHeight w:val="20"/>
        </w:trPr>
        <w:tc>
          <w:tcPr>
            <w:tcW w:w="649" w:type="pct"/>
            <w:vMerge/>
            <w:vAlign w:val="center"/>
          </w:tcPr>
          <w:p w:rsidR="00054201" w:rsidRPr="009845B2" w:rsidRDefault="00054201" w:rsidP="002F6883">
            <w:pPr>
              <w:keepNext/>
              <w:widowControl/>
              <w:jc w:val="left"/>
              <w:rPr>
                <w:rFonts w:ascii="Arial Narrow" w:hAnsi="Arial Narrow"/>
                <w:sz w:val="20"/>
                <w:lang w:eastAsia="en-AU"/>
              </w:rPr>
            </w:pPr>
          </w:p>
        </w:tc>
        <w:tc>
          <w:tcPr>
            <w:tcW w:w="270" w:type="pct"/>
            <w:vMerge/>
            <w:vAlign w:val="center"/>
          </w:tcPr>
          <w:p w:rsidR="00054201" w:rsidRPr="009845B2" w:rsidRDefault="00054201" w:rsidP="002F6883">
            <w:pPr>
              <w:keepNext/>
              <w:widowControl/>
              <w:jc w:val="center"/>
              <w:rPr>
                <w:rFonts w:ascii="Arial Narrow" w:hAnsi="Arial Narrow"/>
                <w:sz w:val="20"/>
                <w:lang w:eastAsia="en-AU"/>
              </w:rPr>
            </w:pPr>
          </w:p>
        </w:tc>
        <w:tc>
          <w:tcPr>
            <w:tcW w:w="1241" w:type="pct"/>
            <w:vAlign w:val="center"/>
          </w:tcPr>
          <w:p w:rsidR="00054201" w:rsidRPr="009845B2" w:rsidRDefault="00054201" w:rsidP="002F6883">
            <w:pPr>
              <w:keepNext/>
              <w:widowControl/>
              <w:jc w:val="center"/>
              <w:rPr>
                <w:rFonts w:ascii="Arial Narrow" w:hAnsi="Arial Narrow"/>
                <w:sz w:val="20"/>
                <w:lang w:eastAsia="en-AU"/>
              </w:rPr>
            </w:pPr>
            <w:r w:rsidRPr="009845B2">
              <w:rPr>
                <w:rFonts w:ascii="Arial Narrow" w:hAnsi="Arial Narrow"/>
                <w:sz w:val="20"/>
                <w:lang w:eastAsia="en-AU"/>
              </w:rPr>
              <w:t>Placebo: n=173</w:t>
            </w:r>
          </w:p>
        </w:tc>
        <w:tc>
          <w:tcPr>
            <w:tcW w:w="432" w:type="pct"/>
            <w:vMerge/>
            <w:vAlign w:val="center"/>
          </w:tcPr>
          <w:p w:rsidR="00054201" w:rsidRPr="009845B2" w:rsidRDefault="00054201" w:rsidP="002F6883">
            <w:pPr>
              <w:keepNext/>
              <w:widowControl/>
              <w:jc w:val="center"/>
              <w:rPr>
                <w:rFonts w:ascii="Arial Narrow" w:hAnsi="Arial Narrow"/>
                <w:sz w:val="20"/>
                <w:lang w:eastAsia="en-AU"/>
              </w:rPr>
            </w:pPr>
          </w:p>
        </w:tc>
        <w:tc>
          <w:tcPr>
            <w:tcW w:w="378" w:type="pct"/>
            <w:vMerge/>
            <w:vAlign w:val="center"/>
          </w:tcPr>
          <w:p w:rsidR="00054201" w:rsidRPr="009845B2" w:rsidRDefault="00054201" w:rsidP="002F6883">
            <w:pPr>
              <w:keepNext/>
              <w:widowControl/>
              <w:jc w:val="center"/>
              <w:rPr>
                <w:rFonts w:ascii="Arial Narrow" w:hAnsi="Arial Narrow"/>
                <w:sz w:val="20"/>
                <w:lang w:eastAsia="en-AU"/>
              </w:rPr>
            </w:pPr>
          </w:p>
        </w:tc>
        <w:tc>
          <w:tcPr>
            <w:tcW w:w="735" w:type="pct"/>
            <w:vMerge/>
            <w:vAlign w:val="center"/>
          </w:tcPr>
          <w:p w:rsidR="00054201" w:rsidRPr="009845B2" w:rsidRDefault="00054201" w:rsidP="002F6883">
            <w:pPr>
              <w:keepNext/>
              <w:widowControl/>
              <w:jc w:val="center"/>
              <w:rPr>
                <w:rFonts w:ascii="Arial Narrow" w:hAnsi="Arial Narrow"/>
                <w:sz w:val="20"/>
                <w:lang w:eastAsia="en-AU"/>
              </w:rPr>
            </w:pPr>
          </w:p>
        </w:tc>
        <w:tc>
          <w:tcPr>
            <w:tcW w:w="1295" w:type="pct"/>
            <w:vMerge/>
            <w:vAlign w:val="center"/>
          </w:tcPr>
          <w:p w:rsidR="00054201" w:rsidRPr="009845B2" w:rsidRDefault="00054201" w:rsidP="002F6883">
            <w:pPr>
              <w:keepNext/>
              <w:widowControl/>
              <w:jc w:val="center"/>
              <w:rPr>
                <w:rFonts w:ascii="Arial Narrow" w:hAnsi="Arial Narrow"/>
                <w:sz w:val="20"/>
                <w:lang w:eastAsia="en-AU"/>
              </w:rPr>
            </w:pPr>
          </w:p>
        </w:tc>
      </w:tr>
    </w:tbl>
    <w:p w:rsidR="00054201" w:rsidRPr="009845B2" w:rsidRDefault="00054201" w:rsidP="002F6883">
      <w:pPr>
        <w:keepNext/>
        <w:widowControl/>
        <w:ind w:left="720"/>
        <w:rPr>
          <w:rFonts w:ascii="Arial Narrow" w:hAnsi="Arial Narrow"/>
          <w:sz w:val="18"/>
          <w:szCs w:val="18"/>
        </w:rPr>
      </w:pPr>
      <w:r w:rsidRPr="009845B2">
        <w:rPr>
          <w:rFonts w:ascii="Arial Narrow" w:hAnsi="Arial Narrow"/>
          <w:sz w:val="18"/>
          <w:szCs w:val="18"/>
        </w:rPr>
        <w:t>^ Maximum dose af</w:t>
      </w:r>
      <w:r w:rsidR="00EB361A">
        <w:rPr>
          <w:rFonts w:ascii="Arial Narrow" w:hAnsi="Arial Narrow"/>
          <w:sz w:val="18"/>
          <w:szCs w:val="18"/>
        </w:rPr>
        <w:t>ter completed 14-day titration</w:t>
      </w:r>
    </w:p>
    <w:p w:rsidR="00054201" w:rsidRPr="009845B2" w:rsidRDefault="00054201" w:rsidP="002F6883">
      <w:pPr>
        <w:keepNext/>
        <w:widowControl/>
        <w:ind w:left="720"/>
        <w:rPr>
          <w:rFonts w:ascii="Arial Narrow" w:hAnsi="Arial Narrow"/>
          <w:sz w:val="18"/>
          <w:szCs w:val="18"/>
        </w:rPr>
      </w:pPr>
      <w:r w:rsidRPr="009845B2">
        <w:rPr>
          <w:rFonts w:ascii="Arial Narrow" w:hAnsi="Arial Narrow"/>
          <w:sz w:val="18"/>
          <w:szCs w:val="18"/>
        </w:rPr>
        <w:t>* Follow-up data from RECAP (long term extension study) also included in Kapla</w:t>
      </w:r>
      <w:r>
        <w:rPr>
          <w:rFonts w:ascii="Arial Narrow" w:hAnsi="Arial Narrow"/>
          <w:sz w:val="18"/>
          <w:szCs w:val="18"/>
        </w:rPr>
        <w:t>n-M</w:t>
      </w:r>
      <w:r w:rsidRPr="009845B2">
        <w:rPr>
          <w:rFonts w:ascii="Arial Narrow" w:hAnsi="Arial Narrow"/>
          <w:sz w:val="18"/>
          <w:szCs w:val="18"/>
        </w:rPr>
        <w:t>eier estimates of survival and time to off treatment</w:t>
      </w:r>
      <w:r>
        <w:rPr>
          <w:rFonts w:ascii="Arial Narrow" w:hAnsi="Arial Narrow"/>
          <w:sz w:val="18"/>
          <w:szCs w:val="18"/>
        </w:rPr>
        <w:t xml:space="preserve"> for pirfenidone; survival data for BSC was only available to 2 years</w:t>
      </w:r>
      <w:r w:rsidR="00EB361A">
        <w:rPr>
          <w:rFonts w:ascii="Arial Narrow" w:hAnsi="Arial Narrow"/>
          <w:sz w:val="18"/>
          <w:szCs w:val="18"/>
        </w:rPr>
        <w:t>.</w:t>
      </w:r>
    </w:p>
    <w:p w:rsidR="00634512" w:rsidRDefault="00054201" w:rsidP="002F6883">
      <w:pPr>
        <w:widowControl/>
        <w:ind w:left="720"/>
        <w:rPr>
          <w:rFonts w:ascii="Arial Narrow" w:hAnsi="Arial Narrow"/>
          <w:sz w:val="18"/>
          <w:szCs w:val="18"/>
        </w:rPr>
      </w:pPr>
      <w:r w:rsidRPr="009845B2">
        <w:rPr>
          <w:rFonts w:ascii="Arial Narrow" w:hAnsi="Arial Narrow"/>
          <w:sz w:val="18"/>
          <w:szCs w:val="18"/>
        </w:rPr>
        <w:t>Abbreviations: DB = double blind; FVC%Pred = forced vital capacity percent predicted; MC = multicentre; MN = multina</w:t>
      </w:r>
      <w:r>
        <w:rPr>
          <w:rFonts w:ascii="Arial Narrow" w:hAnsi="Arial Narrow"/>
          <w:sz w:val="18"/>
          <w:szCs w:val="18"/>
        </w:rPr>
        <w:t xml:space="preserve">tional; R = randomised Source: </w:t>
      </w:r>
      <w:r w:rsidRPr="009845B2">
        <w:rPr>
          <w:rFonts w:ascii="Arial Narrow" w:hAnsi="Arial Narrow"/>
          <w:sz w:val="18"/>
          <w:szCs w:val="18"/>
        </w:rPr>
        <w:t xml:space="preserve">Table B.2.5, p9-11, Section B-DRT of the </w:t>
      </w:r>
      <w:r>
        <w:rPr>
          <w:rFonts w:ascii="Arial Narrow" w:hAnsi="Arial Narrow"/>
          <w:sz w:val="18"/>
          <w:szCs w:val="18"/>
        </w:rPr>
        <w:t xml:space="preserve">current </w:t>
      </w:r>
      <w:r w:rsidR="00543609">
        <w:rPr>
          <w:rFonts w:ascii="Arial Narrow" w:hAnsi="Arial Narrow"/>
          <w:sz w:val="18"/>
          <w:szCs w:val="18"/>
        </w:rPr>
        <w:t>resubmission</w:t>
      </w:r>
    </w:p>
    <w:p w:rsidR="00D20A9A" w:rsidRPr="007C13C1" w:rsidRDefault="00D20A9A" w:rsidP="007C13C1">
      <w:pPr>
        <w:widowControl/>
        <w:rPr>
          <w:szCs w:val="22"/>
        </w:rPr>
      </w:pPr>
    </w:p>
    <w:p w:rsidR="00B60939" w:rsidRPr="009332D7" w:rsidRDefault="00B60939" w:rsidP="002F6883">
      <w:pPr>
        <w:pStyle w:val="Heading2"/>
      </w:pPr>
      <w:bookmarkStart w:id="9" w:name="_Toc461547428"/>
      <w:r w:rsidRPr="009332D7">
        <w:t>Comparative effectiveness</w:t>
      </w:r>
      <w:bookmarkEnd w:id="9"/>
    </w:p>
    <w:p w:rsidR="00B60939" w:rsidRPr="00882085" w:rsidRDefault="00B60939" w:rsidP="002F6883">
      <w:pPr>
        <w:widowControl/>
        <w:rPr>
          <w:szCs w:val="22"/>
        </w:rPr>
      </w:pPr>
    </w:p>
    <w:p w:rsidR="00A602DD" w:rsidRPr="00E36E9E" w:rsidRDefault="006A2333" w:rsidP="00E83D95">
      <w:pPr>
        <w:pStyle w:val="ListParagraph"/>
        <w:widowControl/>
        <w:numPr>
          <w:ilvl w:val="1"/>
          <w:numId w:val="2"/>
        </w:numPr>
        <w:rPr>
          <w:szCs w:val="22"/>
        </w:rPr>
      </w:pPr>
      <w:r w:rsidRPr="00E83D95">
        <w:rPr>
          <w:szCs w:val="22"/>
          <w:u w:val="single"/>
        </w:rPr>
        <w:t>Direct comparison with placebo</w:t>
      </w:r>
      <w:r w:rsidRPr="00E83D95">
        <w:rPr>
          <w:szCs w:val="22"/>
        </w:rPr>
        <w:t xml:space="preserve">: </w:t>
      </w:r>
      <w:r w:rsidR="00E36E9E" w:rsidRPr="00E83D95">
        <w:rPr>
          <w:szCs w:val="22"/>
        </w:rPr>
        <w:t xml:space="preserve">The key results </w:t>
      </w:r>
      <w:r w:rsidR="00AB3963" w:rsidRPr="00E83D95">
        <w:rPr>
          <w:szCs w:val="22"/>
        </w:rPr>
        <w:t>from the trials and pooled meta</w:t>
      </w:r>
      <w:r w:rsidR="00AB3963" w:rsidRPr="00E83D95">
        <w:rPr>
          <w:szCs w:val="22"/>
        </w:rPr>
        <w:noBreakHyphen/>
      </w:r>
      <w:r w:rsidR="00E36E9E" w:rsidRPr="00E83D95">
        <w:rPr>
          <w:szCs w:val="22"/>
        </w:rPr>
        <w:t xml:space="preserve">analyses are presented in Table </w:t>
      </w:r>
      <w:r w:rsidR="00641A5A" w:rsidRPr="00E83D95">
        <w:rPr>
          <w:szCs w:val="22"/>
        </w:rPr>
        <w:t>4; t</w:t>
      </w:r>
      <w:r w:rsidR="000B56CB" w:rsidRPr="00E83D95">
        <w:rPr>
          <w:szCs w:val="22"/>
        </w:rPr>
        <w:t>hese have not changed since the November 2015 submission.</w:t>
      </w:r>
    </w:p>
    <w:p w:rsidR="00E36E9E" w:rsidRDefault="00E36E9E" w:rsidP="007C13C1">
      <w:pPr>
        <w:widowControl/>
      </w:pPr>
    </w:p>
    <w:p w:rsidR="00E36E9E" w:rsidRDefault="00E36E9E" w:rsidP="002F6883">
      <w:pPr>
        <w:keepNext/>
        <w:widowControl/>
        <w:ind w:left="720"/>
        <w:rPr>
          <w:rStyle w:val="CommentReference"/>
        </w:rPr>
      </w:pPr>
      <w:r w:rsidRPr="001F7361">
        <w:rPr>
          <w:rStyle w:val="CommentReference"/>
        </w:rPr>
        <w:lastRenderedPageBreak/>
        <w:t>Table</w:t>
      </w:r>
      <w:r w:rsidR="00641A5A">
        <w:rPr>
          <w:rStyle w:val="CommentReference"/>
        </w:rPr>
        <w:t xml:space="preserve"> 4</w:t>
      </w:r>
      <w:r>
        <w:rPr>
          <w:rStyle w:val="CommentReference"/>
        </w:rPr>
        <w:t>:</w:t>
      </w:r>
      <w:r w:rsidR="007D6C77">
        <w:rPr>
          <w:rStyle w:val="CommentReference"/>
        </w:rPr>
        <w:t xml:space="preserve"> </w:t>
      </w:r>
      <w:r>
        <w:rPr>
          <w:rStyle w:val="CommentReference"/>
        </w:rPr>
        <w:t>Summary of results for key efficacy outcom</w:t>
      </w:r>
      <w:r w:rsidR="007C13C1">
        <w:rPr>
          <w:rStyle w:val="CommentReference"/>
        </w:rPr>
        <w:t>es from the pirfenidone trials</w:t>
      </w:r>
    </w:p>
    <w:tbl>
      <w:tblPr>
        <w:tblStyle w:val="TableGrid"/>
        <w:tblW w:w="8352" w:type="dxa"/>
        <w:tblInd w:w="748" w:type="dxa"/>
        <w:tblCellMar>
          <w:left w:w="28" w:type="dxa"/>
          <w:right w:w="28" w:type="dxa"/>
        </w:tblCellMar>
        <w:tblLook w:val="04A0" w:firstRow="1" w:lastRow="0" w:firstColumn="1" w:lastColumn="0" w:noHBand="0" w:noVBand="1"/>
        <w:tblCaption w:val="Table 4: Summary of results for key efficacy outcomes from the pirfenidone trials"/>
        <w:tblDescription w:val="Table 4: Summary of results for key efficacy outcomes from the pirfenidone trials"/>
      </w:tblPr>
      <w:tblGrid>
        <w:gridCol w:w="1974"/>
        <w:gridCol w:w="1559"/>
        <w:gridCol w:w="1410"/>
        <w:gridCol w:w="7"/>
        <w:gridCol w:w="1701"/>
        <w:gridCol w:w="1701"/>
      </w:tblGrid>
      <w:tr w:rsidR="00E36E9E" w:rsidRPr="00641A5A" w:rsidTr="00917D95">
        <w:trPr>
          <w:tblHeader/>
        </w:trPr>
        <w:tc>
          <w:tcPr>
            <w:tcW w:w="3533" w:type="dxa"/>
            <w:gridSpan w:val="2"/>
            <w:vMerge w:val="restart"/>
            <w:vAlign w:val="center"/>
          </w:tcPr>
          <w:p w:rsidR="00E36E9E" w:rsidRPr="00641A5A" w:rsidRDefault="00E36E9E" w:rsidP="002F6883">
            <w:pPr>
              <w:pStyle w:val="TableFooter"/>
              <w:keepNext/>
              <w:widowControl/>
              <w:jc w:val="left"/>
              <w:rPr>
                <w:b/>
                <w:sz w:val="20"/>
              </w:rPr>
            </w:pPr>
            <w:r w:rsidRPr="00641A5A">
              <w:rPr>
                <w:b/>
                <w:sz w:val="20"/>
              </w:rPr>
              <w:t>Outcome</w:t>
            </w:r>
          </w:p>
        </w:tc>
        <w:tc>
          <w:tcPr>
            <w:tcW w:w="4819" w:type="dxa"/>
            <w:gridSpan w:val="4"/>
            <w:vAlign w:val="center"/>
          </w:tcPr>
          <w:p w:rsidR="00E36E9E" w:rsidRPr="00641A5A" w:rsidRDefault="00E36E9E" w:rsidP="002F6883">
            <w:pPr>
              <w:pStyle w:val="TableFooter"/>
              <w:keepNext/>
              <w:widowControl/>
              <w:jc w:val="center"/>
              <w:rPr>
                <w:b/>
                <w:sz w:val="20"/>
              </w:rPr>
            </w:pPr>
            <w:r w:rsidRPr="00641A5A">
              <w:rPr>
                <w:b/>
                <w:sz w:val="20"/>
              </w:rPr>
              <w:t>Pirfenidone vs placebo^</w:t>
            </w:r>
          </w:p>
        </w:tc>
      </w:tr>
      <w:tr w:rsidR="00E36E9E" w:rsidRPr="00641A5A" w:rsidTr="00917D95">
        <w:trPr>
          <w:tblHeader/>
        </w:trPr>
        <w:tc>
          <w:tcPr>
            <w:tcW w:w="3533" w:type="dxa"/>
            <w:gridSpan w:val="2"/>
            <w:vMerge/>
            <w:vAlign w:val="center"/>
          </w:tcPr>
          <w:p w:rsidR="00E36E9E" w:rsidRPr="00641A5A" w:rsidRDefault="00E36E9E" w:rsidP="002F6883">
            <w:pPr>
              <w:pStyle w:val="TableFooter"/>
              <w:keepNext/>
              <w:widowControl/>
              <w:jc w:val="left"/>
              <w:rPr>
                <w:sz w:val="20"/>
              </w:rPr>
            </w:pPr>
          </w:p>
        </w:tc>
        <w:tc>
          <w:tcPr>
            <w:tcW w:w="3118" w:type="dxa"/>
            <w:gridSpan w:val="3"/>
            <w:vAlign w:val="center"/>
          </w:tcPr>
          <w:p w:rsidR="00E36E9E" w:rsidRPr="00641A5A" w:rsidRDefault="00E36E9E" w:rsidP="002F6883">
            <w:pPr>
              <w:pStyle w:val="TableFooter"/>
              <w:keepNext/>
              <w:widowControl/>
              <w:jc w:val="center"/>
              <w:rPr>
                <w:b/>
                <w:sz w:val="20"/>
              </w:rPr>
            </w:pPr>
            <w:r w:rsidRPr="00641A5A">
              <w:rPr>
                <w:b/>
                <w:sz w:val="20"/>
              </w:rPr>
              <w:t>Individual trial results</w:t>
            </w:r>
          </w:p>
        </w:tc>
        <w:tc>
          <w:tcPr>
            <w:tcW w:w="1701" w:type="dxa"/>
            <w:vAlign w:val="center"/>
          </w:tcPr>
          <w:p w:rsidR="00E36E9E" w:rsidRPr="00641A5A" w:rsidRDefault="00E36E9E" w:rsidP="002F6883">
            <w:pPr>
              <w:pStyle w:val="TableFooter"/>
              <w:keepNext/>
              <w:widowControl/>
              <w:jc w:val="center"/>
              <w:rPr>
                <w:b/>
                <w:sz w:val="20"/>
              </w:rPr>
            </w:pPr>
            <w:r w:rsidRPr="00641A5A">
              <w:rPr>
                <w:b/>
                <w:sz w:val="20"/>
              </w:rPr>
              <w:t>Meta-analyses</w:t>
            </w:r>
          </w:p>
        </w:tc>
      </w:tr>
      <w:tr w:rsidR="00E36E9E" w:rsidRPr="00641A5A" w:rsidTr="00E36E9E">
        <w:tc>
          <w:tcPr>
            <w:tcW w:w="1974" w:type="dxa"/>
            <w:vMerge w:val="restart"/>
            <w:vAlign w:val="center"/>
          </w:tcPr>
          <w:p w:rsidR="00E36E9E" w:rsidRPr="00641A5A" w:rsidRDefault="00E36E9E" w:rsidP="002F6883">
            <w:pPr>
              <w:pStyle w:val="TableFooter"/>
              <w:keepNext/>
              <w:widowControl/>
              <w:jc w:val="left"/>
              <w:rPr>
                <w:sz w:val="20"/>
              </w:rPr>
            </w:pPr>
            <w:r w:rsidRPr="00641A5A">
              <w:rPr>
                <w:sz w:val="20"/>
              </w:rPr>
              <w:t xml:space="preserve">Absolute change in FVC%Pred; </w:t>
            </w:r>
          </w:p>
          <w:p w:rsidR="00E36E9E" w:rsidRPr="00641A5A" w:rsidRDefault="00E36E9E" w:rsidP="002F6883">
            <w:pPr>
              <w:pStyle w:val="TableFooter"/>
              <w:keepNext/>
              <w:widowControl/>
              <w:jc w:val="left"/>
              <w:rPr>
                <w:sz w:val="20"/>
              </w:rPr>
            </w:pPr>
            <w:r w:rsidRPr="00641A5A">
              <w:rPr>
                <w:sz w:val="20"/>
              </w:rPr>
              <w:t>MD (95% CI)</w:t>
            </w: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To week 72</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tcPr>
          <w:p w:rsidR="00E36E9E" w:rsidRPr="00641A5A" w:rsidRDefault="00F60B7B" w:rsidP="002F6883">
            <w:pPr>
              <w:pStyle w:val="TableFooter"/>
              <w:keepNext/>
              <w:widowControl/>
              <w:jc w:val="center"/>
              <w:rPr>
                <w:sz w:val="20"/>
              </w:rPr>
            </w:pPr>
            <w:r>
              <w:rPr>
                <w:noProof/>
                <w:color w:val="000000"/>
                <w:sz w:val="20"/>
                <w:highlight w:val="black"/>
              </w:rPr>
              <w:t>'''''''</w:t>
            </w:r>
            <w:r w:rsidR="00E36E9E" w:rsidRPr="00641A5A">
              <w:rPr>
                <w:sz w:val="20"/>
              </w:rPr>
              <w:t xml:space="preserve"> (-</w:t>
            </w:r>
            <w:r>
              <w:rPr>
                <w:noProof/>
                <w:color w:val="000000"/>
                <w:sz w:val="20"/>
                <w:highlight w:val="black"/>
              </w:rPr>
              <w:t>'''''''''''</w:t>
            </w:r>
            <w:r w:rsidR="00E36E9E" w:rsidRPr="00641A5A">
              <w:rPr>
                <w:sz w:val="20"/>
              </w:rPr>
              <w:t xml:space="preserve">, </w:t>
            </w:r>
            <w:r>
              <w:rPr>
                <w:noProof/>
                <w:color w:val="000000"/>
                <w:sz w:val="20"/>
                <w:highlight w:val="black"/>
              </w:rPr>
              <w:t>''''''''''</w:t>
            </w:r>
            <w:r w:rsidR="00E36E9E" w:rsidRPr="00641A5A">
              <w:rPr>
                <w:sz w:val="20"/>
              </w:rPr>
              <w:t>)</w:t>
            </w:r>
          </w:p>
        </w:tc>
        <w:tc>
          <w:tcPr>
            <w:tcW w:w="1701" w:type="dxa"/>
            <w:vMerge w:val="restart"/>
            <w:vAlign w:val="center"/>
          </w:tcPr>
          <w:p w:rsidR="00E36E9E" w:rsidRPr="00641A5A" w:rsidRDefault="00F60B7B" w:rsidP="002F6883">
            <w:pPr>
              <w:pStyle w:val="TableFooter"/>
              <w:keepNext/>
              <w:widowControl/>
              <w:jc w:val="center"/>
              <w:rPr>
                <w:sz w:val="20"/>
              </w:rPr>
            </w:pPr>
            <w:r>
              <w:rPr>
                <w:noProof/>
                <w:color w:val="000000"/>
                <w:sz w:val="20"/>
                <w:highlight w:val="black"/>
              </w:rPr>
              <w:t>'''''''</w:t>
            </w:r>
            <w:r w:rsidR="00E36E9E" w:rsidRPr="00641A5A">
              <w:rPr>
                <w:sz w:val="20"/>
              </w:rPr>
              <w:t xml:space="preserve"> (-</w:t>
            </w:r>
            <w:r>
              <w:rPr>
                <w:noProof/>
                <w:color w:val="000000"/>
                <w:sz w:val="20"/>
                <w:highlight w:val="black"/>
              </w:rPr>
              <w:t>''''''''''</w:t>
            </w:r>
            <w:r w:rsidR="00E36E9E" w:rsidRPr="00641A5A">
              <w:rPr>
                <w:sz w:val="20"/>
              </w:rPr>
              <w:t xml:space="preserve">, </w:t>
            </w:r>
            <w:r>
              <w:rPr>
                <w:noProof/>
                <w:color w:val="000000"/>
                <w:sz w:val="20"/>
                <w:highlight w:val="black"/>
              </w:rPr>
              <w:t>''''''''''</w:t>
            </w:r>
            <w:r w:rsidR="00E36E9E" w:rsidRPr="00641A5A">
              <w:rPr>
                <w:sz w:val="20"/>
              </w:rPr>
              <w:t>)</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tcPr>
          <w:p w:rsidR="00E36E9E" w:rsidRPr="00641A5A" w:rsidRDefault="00F60B7B" w:rsidP="002F6883">
            <w:pPr>
              <w:pStyle w:val="TableFooter"/>
              <w:keepNext/>
              <w:widowControl/>
              <w:jc w:val="center"/>
              <w:rPr>
                <w:sz w:val="20"/>
              </w:rPr>
            </w:pPr>
            <w:r>
              <w:rPr>
                <w:b/>
                <w:noProof/>
                <w:color w:val="000000"/>
                <w:sz w:val="20"/>
                <w:highlight w:val="black"/>
              </w:rPr>
              <w:t>'''''''</w:t>
            </w:r>
            <w:r w:rsidR="00E36E9E" w:rsidRPr="00641A5A">
              <w:rPr>
                <w:b/>
                <w:sz w:val="20"/>
              </w:rPr>
              <w:t xml:space="preserve"> (</w:t>
            </w:r>
            <w:r>
              <w:rPr>
                <w:b/>
                <w:noProof/>
                <w:color w:val="000000"/>
                <w:sz w:val="20"/>
                <w:highlight w:val="black"/>
              </w:rPr>
              <w:t>''''''''</w:t>
            </w:r>
            <w:r w:rsidR="00E36E9E" w:rsidRPr="00641A5A">
              <w:rPr>
                <w:b/>
                <w:sz w:val="20"/>
              </w:rPr>
              <w:t xml:space="preserve">, </w:t>
            </w:r>
            <w:r>
              <w:rPr>
                <w:b/>
                <w:noProof/>
                <w:color w:val="000000"/>
                <w:sz w:val="20"/>
                <w:highlight w:val="black"/>
              </w:rPr>
              <w:t>'''''''''</w:t>
            </w:r>
            <w:r w:rsidR="00E36E9E" w:rsidRPr="00641A5A">
              <w:rPr>
                <w:b/>
                <w:sz w:val="20"/>
              </w:rPr>
              <w:t>)</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To week 52</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tcPr>
          <w:p w:rsidR="00E36E9E" w:rsidRPr="00641A5A" w:rsidRDefault="00F60B7B" w:rsidP="002F6883">
            <w:pPr>
              <w:pStyle w:val="TableFooter"/>
              <w:keepNext/>
              <w:widowControl/>
              <w:jc w:val="center"/>
              <w:rPr>
                <w:sz w:val="20"/>
              </w:rPr>
            </w:pPr>
            <w:r>
              <w:rPr>
                <w:noProof/>
                <w:color w:val="000000"/>
                <w:sz w:val="20"/>
                <w:highlight w:val="black"/>
              </w:rPr>
              <w:t>'''''''</w:t>
            </w:r>
            <w:r w:rsidR="00E36E9E" w:rsidRPr="00641A5A">
              <w:rPr>
                <w:sz w:val="20"/>
              </w:rPr>
              <w:t xml:space="preserve"> (-</w:t>
            </w:r>
            <w:r>
              <w:rPr>
                <w:noProof/>
                <w:color w:val="000000"/>
                <w:sz w:val="20"/>
                <w:highlight w:val="black"/>
              </w:rPr>
              <w:t>''''''''''</w:t>
            </w:r>
            <w:r w:rsidR="00E36E9E" w:rsidRPr="00641A5A">
              <w:rPr>
                <w:sz w:val="20"/>
              </w:rPr>
              <w:t xml:space="preserve">, </w:t>
            </w:r>
            <w:r>
              <w:rPr>
                <w:noProof/>
                <w:color w:val="000000"/>
                <w:sz w:val="20"/>
                <w:highlight w:val="black"/>
              </w:rPr>
              <w:t>''''''''''</w:t>
            </w:r>
            <w:r w:rsidR="00E36E9E" w:rsidRPr="00641A5A">
              <w:rPr>
                <w:sz w:val="20"/>
              </w:rPr>
              <w:t>)</w:t>
            </w:r>
          </w:p>
        </w:tc>
        <w:tc>
          <w:tcPr>
            <w:tcW w:w="1701" w:type="dxa"/>
            <w:vMerge w:val="restart"/>
            <w:vAlign w:val="center"/>
          </w:tcPr>
          <w:p w:rsidR="00E36E9E" w:rsidRPr="00641A5A" w:rsidRDefault="00F60B7B" w:rsidP="002F6883">
            <w:pPr>
              <w:pStyle w:val="TableFooter"/>
              <w:keepNext/>
              <w:widowControl/>
              <w:jc w:val="center"/>
              <w:rPr>
                <w:sz w:val="20"/>
              </w:rPr>
            </w:pPr>
            <w:r>
              <w:rPr>
                <w:b/>
                <w:noProof/>
                <w:color w:val="000000"/>
                <w:sz w:val="20"/>
                <w:highlight w:val="black"/>
              </w:rPr>
              <w:t>''''''</w:t>
            </w:r>
            <w:r w:rsidR="00E36E9E" w:rsidRPr="00641A5A">
              <w:rPr>
                <w:rFonts w:eastAsia="Calibri" w:cs="Times New Roman"/>
                <w:b/>
                <w:snapToGrid/>
                <w:sz w:val="20"/>
              </w:rPr>
              <w:t xml:space="preserve"> (</w:t>
            </w:r>
            <w:r>
              <w:rPr>
                <w:rFonts w:eastAsia="Calibri" w:cs="Times New Roman"/>
                <w:b/>
                <w:noProof/>
                <w:snapToGrid/>
                <w:color w:val="000000"/>
                <w:sz w:val="20"/>
                <w:highlight w:val="black"/>
              </w:rPr>
              <w:t>'''''''''</w:t>
            </w:r>
            <w:r w:rsidR="00E36E9E" w:rsidRPr="00641A5A">
              <w:rPr>
                <w:rFonts w:eastAsia="Calibri" w:cs="Times New Roman"/>
                <w:b/>
                <w:snapToGrid/>
                <w:sz w:val="20"/>
              </w:rPr>
              <w:t xml:space="preserve">, </w:t>
            </w:r>
            <w:r>
              <w:rPr>
                <w:rFonts w:eastAsia="Calibri" w:cs="Times New Roman"/>
                <w:b/>
                <w:noProof/>
                <w:snapToGrid/>
                <w:color w:val="000000"/>
                <w:sz w:val="20"/>
                <w:highlight w:val="black"/>
              </w:rPr>
              <w:t>''''''''</w:t>
            </w:r>
            <w:r w:rsidR="00E36E9E" w:rsidRPr="00641A5A">
              <w:rPr>
                <w:rFonts w:eastAsia="Calibri" w:cs="Times New Roman"/>
                <w:b/>
                <w:snapToGrid/>
                <w:sz w:val="20"/>
              </w:rPr>
              <w:t>)</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tcPr>
          <w:p w:rsidR="00E36E9E" w:rsidRPr="00641A5A" w:rsidRDefault="00F60B7B" w:rsidP="002F6883">
            <w:pPr>
              <w:pStyle w:val="TableFooter"/>
              <w:keepNext/>
              <w:widowControl/>
              <w:jc w:val="center"/>
              <w:rPr>
                <w:sz w:val="20"/>
              </w:rPr>
            </w:pPr>
            <w:r>
              <w:rPr>
                <w:b/>
                <w:noProof/>
                <w:color w:val="000000"/>
                <w:sz w:val="20"/>
                <w:highlight w:val="black"/>
              </w:rPr>
              <w:t>'''''''</w:t>
            </w:r>
            <w:r w:rsidR="00E36E9E" w:rsidRPr="00641A5A">
              <w:rPr>
                <w:b/>
                <w:sz w:val="20"/>
              </w:rPr>
              <w:t xml:space="preserve"> (</w:t>
            </w:r>
            <w:r>
              <w:rPr>
                <w:b/>
                <w:noProof/>
                <w:color w:val="000000"/>
                <w:sz w:val="20"/>
                <w:highlight w:val="black"/>
              </w:rPr>
              <w:t>''''''''</w:t>
            </w:r>
            <w:r w:rsidR="00E36E9E" w:rsidRPr="00641A5A">
              <w:rPr>
                <w:b/>
                <w:sz w:val="20"/>
              </w:rPr>
              <w:t xml:space="preserve">, </w:t>
            </w:r>
            <w:r>
              <w:rPr>
                <w:b/>
                <w:noProof/>
                <w:color w:val="000000"/>
                <w:sz w:val="20"/>
                <w:highlight w:val="black"/>
              </w:rPr>
              <w:t>''''''''</w:t>
            </w:r>
            <w:r w:rsidR="00E36E9E" w:rsidRPr="00641A5A">
              <w:rPr>
                <w:b/>
                <w:sz w:val="20"/>
              </w:rPr>
              <w:t>)</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ASCEND</w:t>
            </w:r>
          </w:p>
        </w:tc>
        <w:tc>
          <w:tcPr>
            <w:tcW w:w="1701" w:type="dxa"/>
          </w:tcPr>
          <w:p w:rsidR="00E36E9E" w:rsidRPr="00641A5A" w:rsidRDefault="00F60B7B" w:rsidP="002F6883">
            <w:pPr>
              <w:pStyle w:val="TableFooter"/>
              <w:keepNext/>
              <w:widowControl/>
              <w:jc w:val="center"/>
              <w:rPr>
                <w:sz w:val="20"/>
              </w:rPr>
            </w:pPr>
            <w:r>
              <w:rPr>
                <w:b/>
                <w:noProof/>
                <w:color w:val="000000"/>
                <w:sz w:val="20"/>
                <w:highlight w:val="black"/>
              </w:rPr>
              <w:t>''''''</w:t>
            </w:r>
            <w:r w:rsidR="00E36E9E" w:rsidRPr="00641A5A">
              <w:rPr>
                <w:b/>
                <w:sz w:val="20"/>
              </w:rPr>
              <w:t xml:space="preserve"> (</w:t>
            </w:r>
            <w:r>
              <w:rPr>
                <w:b/>
                <w:noProof/>
                <w:color w:val="000000"/>
                <w:sz w:val="20"/>
                <w:highlight w:val="black"/>
              </w:rPr>
              <w:t>''''''''</w:t>
            </w:r>
            <w:r w:rsidR="00E36E9E" w:rsidRPr="00641A5A">
              <w:rPr>
                <w:b/>
                <w:sz w:val="20"/>
              </w:rPr>
              <w:t xml:space="preserve">, </w:t>
            </w:r>
            <w:r>
              <w:rPr>
                <w:b/>
                <w:noProof/>
                <w:color w:val="000000"/>
                <w:sz w:val="20"/>
                <w:highlight w:val="black"/>
              </w:rPr>
              <w:t>'''''''''</w:t>
            </w:r>
            <w:r w:rsidR="00E36E9E" w:rsidRPr="00641A5A">
              <w:rPr>
                <w:b/>
                <w:sz w:val="20"/>
              </w:rPr>
              <w:t>)</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restart"/>
            <w:vAlign w:val="center"/>
          </w:tcPr>
          <w:p w:rsidR="00E36E9E" w:rsidRPr="00641A5A" w:rsidRDefault="00E36E9E" w:rsidP="002F6883">
            <w:pPr>
              <w:pStyle w:val="TableFooter"/>
              <w:keepNext/>
              <w:widowControl/>
              <w:jc w:val="left"/>
              <w:rPr>
                <w:sz w:val="20"/>
              </w:rPr>
            </w:pPr>
            <w:r w:rsidRPr="00641A5A">
              <w:rPr>
                <w:sz w:val="20"/>
              </w:rPr>
              <w:t xml:space="preserve">FVC%Pred response - decline of ≥10% to 0%; </w:t>
            </w:r>
          </w:p>
          <w:p w:rsidR="00E36E9E" w:rsidRPr="00641A5A" w:rsidRDefault="00E36E9E" w:rsidP="002F6883">
            <w:pPr>
              <w:pStyle w:val="TableFooter"/>
              <w:keepNext/>
              <w:widowControl/>
              <w:jc w:val="left"/>
              <w:rPr>
                <w:sz w:val="20"/>
              </w:rPr>
            </w:pPr>
            <w:r w:rsidRPr="00641A5A">
              <w:rPr>
                <w:sz w:val="20"/>
              </w:rPr>
              <w:t>RR (95% CI)</w:t>
            </w: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To week 52</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vAlign w:val="center"/>
          </w:tcPr>
          <w:p w:rsidR="00E36E9E" w:rsidRPr="00641A5A" w:rsidRDefault="00F60B7B" w:rsidP="002F6883">
            <w:pPr>
              <w:pStyle w:val="TableFooter"/>
              <w:keepNext/>
              <w:widowControl/>
              <w:jc w:val="center"/>
              <w:rPr>
                <w:sz w:val="20"/>
              </w:rPr>
            </w:pPr>
            <w:r>
              <w:rPr>
                <w:rFonts w:eastAsia="Calibri" w:cs="Times New Roman"/>
                <w:iCs/>
                <w:noProof/>
                <w:snapToGrid/>
                <w:color w:val="000000"/>
                <w:sz w:val="20"/>
                <w:highlight w:val="black"/>
              </w:rPr>
              <w:t>'''''''</w:t>
            </w:r>
            <w:r w:rsidR="00E36E9E" w:rsidRPr="00641A5A">
              <w:rPr>
                <w:rFonts w:eastAsia="Calibri" w:cs="Times New Roman"/>
                <w:iCs/>
                <w:snapToGrid/>
                <w:sz w:val="20"/>
              </w:rPr>
              <w:t xml:space="preserve"> (</w:t>
            </w:r>
            <w:r>
              <w:rPr>
                <w:rFonts w:eastAsia="Calibri" w:cs="Times New Roman"/>
                <w:iCs/>
                <w:noProof/>
                <w:snapToGrid/>
                <w:color w:val="000000"/>
                <w:sz w:val="20"/>
                <w:highlight w:val="black"/>
              </w:rPr>
              <w:t>''''''''</w:t>
            </w:r>
            <w:r w:rsidR="00E36E9E" w:rsidRPr="00641A5A">
              <w:rPr>
                <w:rFonts w:eastAsia="Calibri" w:cs="Times New Roman"/>
                <w:iCs/>
                <w:snapToGrid/>
                <w:sz w:val="20"/>
              </w:rPr>
              <w:t xml:space="preserve">, </w:t>
            </w:r>
            <w:r>
              <w:rPr>
                <w:rFonts w:eastAsia="Calibri" w:cs="Times New Roman"/>
                <w:iCs/>
                <w:noProof/>
                <w:snapToGrid/>
                <w:color w:val="000000"/>
                <w:sz w:val="20"/>
                <w:highlight w:val="black"/>
              </w:rPr>
              <w:t>'''''''</w:t>
            </w:r>
            <w:r w:rsidR="00E36E9E" w:rsidRPr="00641A5A">
              <w:rPr>
                <w:rFonts w:eastAsia="Calibri" w:cs="Times New Roman"/>
                <w:iCs/>
                <w:snapToGrid/>
                <w:sz w:val="20"/>
              </w:rPr>
              <w:t>)</w:t>
            </w:r>
          </w:p>
        </w:tc>
        <w:tc>
          <w:tcPr>
            <w:tcW w:w="1701" w:type="dxa"/>
            <w:vMerge w:val="restart"/>
            <w:vAlign w:val="center"/>
          </w:tcPr>
          <w:p w:rsidR="00E36E9E" w:rsidRPr="00641A5A" w:rsidRDefault="00F60B7B" w:rsidP="002F6883">
            <w:pPr>
              <w:pStyle w:val="TableFooter"/>
              <w:keepNext/>
              <w:widowControl/>
              <w:jc w:val="center"/>
              <w:rPr>
                <w:sz w:val="20"/>
              </w:rPr>
            </w:pPr>
            <w:r>
              <w:rPr>
                <w:rFonts w:eastAsia="Calibri" w:cs="Times New Roman"/>
                <w:b/>
                <w:noProof/>
                <w:snapToGrid/>
                <w:color w:val="000000"/>
                <w:sz w:val="20"/>
                <w:highlight w:val="black"/>
              </w:rPr>
              <w:t>''''''''</w:t>
            </w:r>
            <w:r w:rsidR="00E36E9E" w:rsidRPr="00641A5A">
              <w:rPr>
                <w:rFonts w:eastAsia="Calibri" w:cs="Times New Roman"/>
                <w:b/>
                <w:snapToGrid/>
                <w:sz w:val="20"/>
              </w:rPr>
              <w:t xml:space="preserve"> (</w:t>
            </w:r>
            <w:r>
              <w:rPr>
                <w:rFonts w:eastAsia="Calibri" w:cs="Times New Roman"/>
                <w:b/>
                <w:noProof/>
                <w:snapToGrid/>
                <w:color w:val="000000"/>
                <w:sz w:val="20"/>
                <w:highlight w:val="black"/>
              </w:rPr>
              <w:t>'''''''''</w:t>
            </w:r>
            <w:r w:rsidR="00E36E9E" w:rsidRPr="00641A5A">
              <w:rPr>
                <w:rFonts w:eastAsia="Calibri" w:cs="Times New Roman"/>
                <w:b/>
                <w:snapToGrid/>
                <w:sz w:val="20"/>
              </w:rPr>
              <w:t xml:space="preserve">, </w:t>
            </w:r>
            <w:r>
              <w:rPr>
                <w:rFonts w:eastAsia="Calibri" w:cs="Times New Roman"/>
                <w:b/>
                <w:noProof/>
                <w:snapToGrid/>
                <w:color w:val="000000"/>
                <w:sz w:val="20"/>
                <w:highlight w:val="black"/>
              </w:rPr>
              <w:t>''''''''''</w:t>
            </w:r>
            <w:r w:rsidR="00E36E9E" w:rsidRPr="00641A5A">
              <w:rPr>
                <w:rFonts w:eastAsia="Calibri" w:cs="Times New Roman"/>
                <w:b/>
                <w:snapToGrid/>
                <w:sz w:val="20"/>
              </w:rPr>
              <w:t>)</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vAlign w:val="center"/>
          </w:tcPr>
          <w:p w:rsidR="00E36E9E" w:rsidRPr="00641A5A" w:rsidRDefault="00F60B7B" w:rsidP="002F6883">
            <w:pPr>
              <w:pStyle w:val="TableFooter"/>
              <w:keepNext/>
              <w:widowControl/>
              <w:jc w:val="center"/>
              <w:rPr>
                <w:sz w:val="20"/>
              </w:rPr>
            </w:pPr>
            <w:r>
              <w:rPr>
                <w:rFonts w:eastAsia="Calibri" w:cs="Times New Roman"/>
                <w:b/>
                <w:iCs/>
                <w:noProof/>
                <w:snapToGrid/>
                <w:color w:val="000000"/>
                <w:sz w:val="20"/>
                <w:highlight w:val="black"/>
              </w:rPr>
              <w:t>''''''</w:t>
            </w:r>
            <w:r w:rsidR="00E36E9E" w:rsidRPr="00641A5A">
              <w:rPr>
                <w:rFonts w:eastAsia="Calibri" w:cs="Times New Roman"/>
                <w:b/>
                <w:iCs/>
                <w:snapToGrid/>
                <w:sz w:val="20"/>
              </w:rPr>
              <w:t xml:space="preserve"> (</w:t>
            </w:r>
            <w:r>
              <w:rPr>
                <w:rFonts w:eastAsia="Calibri" w:cs="Times New Roman"/>
                <w:b/>
                <w:iCs/>
                <w:noProof/>
                <w:snapToGrid/>
                <w:color w:val="000000"/>
                <w:sz w:val="20"/>
                <w:highlight w:val="black"/>
              </w:rPr>
              <w:t>'''''''</w:t>
            </w:r>
            <w:r w:rsidR="00E36E9E" w:rsidRPr="00641A5A">
              <w:rPr>
                <w:rFonts w:eastAsia="Calibri" w:cs="Times New Roman"/>
                <w:b/>
                <w:iCs/>
                <w:snapToGrid/>
                <w:sz w:val="20"/>
              </w:rPr>
              <w:t xml:space="preserve">, </w:t>
            </w:r>
            <w:r>
              <w:rPr>
                <w:rFonts w:eastAsia="Calibri" w:cs="Times New Roman"/>
                <w:b/>
                <w:iCs/>
                <w:noProof/>
                <w:snapToGrid/>
                <w:color w:val="000000"/>
                <w:sz w:val="20"/>
                <w:highlight w:val="black"/>
              </w:rPr>
              <w:t>'''''''</w:t>
            </w:r>
            <w:r w:rsidR="00E36E9E" w:rsidRPr="00641A5A">
              <w:rPr>
                <w:rFonts w:eastAsia="Calibri" w:cs="Times New Roman"/>
                <w:b/>
                <w:iCs/>
                <w:snapToGrid/>
                <w:sz w:val="20"/>
              </w:rPr>
              <w:t>)</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ASCEND</w:t>
            </w:r>
          </w:p>
        </w:tc>
        <w:tc>
          <w:tcPr>
            <w:tcW w:w="1701" w:type="dxa"/>
            <w:vAlign w:val="center"/>
          </w:tcPr>
          <w:p w:rsidR="00E36E9E" w:rsidRPr="00641A5A" w:rsidRDefault="00F60B7B" w:rsidP="002F6883">
            <w:pPr>
              <w:pStyle w:val="TableFooter"/>
              <w:keepNext/>
              <w:widowControl/>
              <w:jc w:val="center"/>
              <w:rPr>
                <w:sz w:val="20"/>
              </w:rPr>
            </w:pPr>
            <w:r>
              <w:rPr>
                <w:rFonts w:eastAsia="Calibri" w:cs="Times New Roman"/>
                <w:b/>
                <w:iCs/>
                <w:noProof/>
                <w:snapToGrid/>
                <w:color w:val="000000"/>
                <w:sz w:val="20"/>
                <w:highlight w:val="black"/>
              </w:rPr>
              <w:t>''''''</w:t>
            </w:r>
            <w:r w:rsidR="00E36E9E" w:rsidRPr="00641A5A">
              <w:rPr>
                <w:rFonts w:eastAsia="Calibri" w:cs="Times New Roman"/>
                <w:b/>
                <w:iCs/>
                <w:snapToGrid/>
                <w:sz w:val="20"/>
              </w:rPr>
              <w:t xml:space="preserve"> (</w:t>
            </w:r>
            <w:r>
              <w:rPr>
                <w:rFonts w:eastAsia="Calibri" w:cs="Times New Roman"/>
                <w:b/>
                <w:iCs/>
                <w:noProof/>
                <w:snapToGrid/>
                <w:color w:val="000000"/>
                <w:sz w:val="20"/>
                <w:highlight w:val="black"/>
              </w:rPr>
              <w:t>'''''''</w:t>
            </w:r>
            <w:r w:rsidR="00E36E9E" w:rsidRPr="00641A5A">
              <w:rPr>
                <w:rFonts w:eastAsia="Calibri" w:cs="Times New Roman"/>
                <w:b/>
                <w:iCs/>
                <w:snapToGrid/>
                <w:sz w:val="20"/>
              </w:rPr>
              <w:t xml:space="preserve">, </w:t>
            </w:r>
            <w:r>
              <w:rPr>
                <w:rFonts w:eastAsia="Calibri" w:cs="Times New Roman"/>
                <w:b/>
                <w:iCs/>
                <w:noProof/>
                <w:snapToGrid/>
                <w:color w:val="000000"/>
                <w:sz w:val="20"/>
                <w:highlight w:val="black"/>
              </w:rPr>
              <w:t>''''''</w:t>
            </w:r>
            <w:r w:rsidR="00E36E9E" w:rsidRPr="00641A5A">
              <w:rPr>
                <w:rFonts w:eastAsia="Calibri" w:cs="Times New Roman"/>
                <w:b/>
                <w:iCs/>
                <w:snapToGrid/>
                <w:sz w:val="20"/>
              </w:rPr>
              <w:t>)</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restart"/>
            <w:vAlign w:val="center"/>
          </w:tcPr>
          <w:p w:rsidR="00E36E9E" w:rsidRPr="00641A5A" w:rsidRDefault="00E36E9E" w:rsidP="002F6883">
            <w:pPr>
              <w:pStyle w:val="TableFooter"/>
              <w:keepNext/>
              <w:widowControl/>
              <w:jc w:val="left"/>
              <w:rPr>
                <w:sz w:val="20"/>
              </w:rPr>
            </w:pPr>
            <w:r w:rsidRPr="00641A5A">
              <w:rPr>
                <w:sz w:val="20"/>
              </w:rPr>
              <w:t xml:space="preserve">Overall survival; </w:t>
            </w:r>
          </w:p>
          <w:p w:rsidR="00E36E9E" w:rsidRPr="00641A5A" w:rsidRDefault="00E36E9E" w:rsidP="002F6883">
            <w:pPr>
              <w:pStyle w:val="TableFooter"/>
              <w:keepNext/>
              <w:widowControl/>
              <w:jc w:val="left"/>
              <w:rPr>
                <w:sz w:val="20"/>
              </w:rPr>
            </w:pPr>
            <w:r w:rsidRPr="00641A5A">
              <w:rPr>
                <w:sz w:val="20"/>
              </w:rPr>
              <w:t>HR (95% CI)</w:t>
            </w: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Cut-off: 52 weeks</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vAlign w:val="center"/>
          </w:tcPr>
          <w:p w:rsidR="00E36E9E" w:rsidRPr="00641A5A" w:rsidRDefault="00F60B7B" w:rsidP="002F6883">
            <w:pPr>
              <w:pStyle w:val="TableFooter"/>
              <w:keepNext/>
              <w:widowControl/>
              <w:jc w:val="center"/>
              <w:rPr>
                <w:sz w:val="20"/>
              </w:rPr>
            </w:pPr>
            <w:r>
              <w:rPr>
                <w:bCs/>
                <w:noProof/>
                <w:color w:val="000000"/>
                <w:sz w:val="20"/>
                <w:highlight w:val="black"/>
              </w:rPr>
              <w:t>'''''''''''</w:t>
            </w:r>
            <w:r w:rsidR="00E36E9E" w:rsidRPr="00641A5A">
              <w:rPr>
                <w:bCs/>
                <w:sz w:val="20"/>
              </w:rPr>
              <w:t xml:space="preserve"> (</w:t>
            </w:r>
            <w:r>
              <w:rPr>
                <w:bCs/>
                <w:noProof/>
                <w:color w:val="000000"/>
                <w:sz w:val="20"/>
                <w:highlight w:val="black"/>
              </w:rPr>
              <w:t>''''''''''</w:t>
            </w:r>
            <w:r w:rsidR="00E36E9E" w:rsidRPr="00641A5A">
              <w:rPr>
                <w:bCs/>
                <w:sz w:val="20"/>
              </w:rPr>
              <w:t>,</w:t>
            </w:r>
            <w:r>
              <w:rPr>
                <w:bCs/>
                <w:noProof/>
                <w:color w:val="000000"/>
                <w:sz w:val="20"/>
                <w:highlight w:val="black"/>
              </w:rPr>
              <w:t>'''''''''''</w:t>
            </w:r>
            <w:r w:rsidR="00E36E9E" w:rsidRPr="00641A5A">
              <w:rPr>
                <w:bCs/>
                <w:sz w:val="20"/>
              </w:rPr>
              <w:t>)</w:t>
            </w:r>
          </w:p>
        </w:tc>
        <w:tc>
          <w:tcPr>
            <w:tcW w:w="1701" w:type="dxa"/>
            <w:vMerge w:val="restart"/>
            <w:vAlign w:val="center"/>
          </w:tcPr>
          <w:p w:rsidR="00E36E9E" w:rsidRPr="00641A5A" w:rsidRDefault="00E36E9E" w:rsidP="002F6883">
            <w:pPr>
              <w:pStyle w:val="TableFooter"/>
              <w:keepNext/>
              <w:widowControl/>
              <w:jc w:val="center"/>
              <w:rPr>
                <w:sz w:val="20"/>
              </w:rPr>
            </w:pPr>
            <w:r w:rsidRPr="00641A5A">
              <w:rPr>
                <w:b/>
                <w:bCs/>
                <w:sz w:val="20"/>
              </w:rPr>
              <w:t>0.52 (0.31, 0.87)</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vAlign w:val="center"/>
          </w:tcPr>
          <w:p w:rsidR="00E36E9E" w:rsidRPr="00641A5A" w:rsidRDefault="00F60B7B" w:rsidP="002F6883">
            <w:pPr>
              <w:pStyle w:val="TableFooter"/>
              <w:keepNext/>
              <w:widowControl/>
              <w:jc w:val="center"/>
              <w:rPr>
                <w:sz w:val="20"/>
              </w:rPr>
            </w:pPr>
            <w:r>
              <w:rPr>
                <w:bCs/>
                <w:noProof/>
                <w:color w:val="000000"/>
                <w:sz w:val="20"/>
                <w:highlight w:val="black"/>
              </w:rPr>
              <w:t>'''''''''''</w:t>
            </w:r>
            <w:r w:rsidR="00E36E9E" w:rsidRPr="00641A5A">
              <w:rPr>
                <w:bCs/>
                <w:sz w:val="20"/>
              </w:rPr>
              <w:t xml:space="preserve"> (</w:t>
            </w:r>
            <w:r>
              <w:rPr>
                <w:bCs/>
                <w:noProof/>
                <w:color w:val="000000"/>
                <w:sz w:val="20"/>
                <w:highlight w:val="black"/>
              </w:rPr>
              <w:t>''''''''''</w:t>
            </w:r>
            <w:r w:rsidR="00E36E9E" w:rsidRPr="00641A5A">
              <w:rPr>
                <w:bCs/>
                <w:sz w:val="20"/>
              </w:rPr>
              <w:t>,</w:t>
            </w:r>
            <w:r>
              <w:rPr>
                <w:bCs/>
                <w:noProof/>
                <w:color w:val="000000"/>
                <w:sz w:val="20"/>
                <w:highlight w:val="black"/>
              </w:rPr>
              <w:t>''''''''''</w:t>
            </w:r>
            <w:r w:rsidR="00E36E9E" w:rsidRPr="00641A5A">
              <w:rPr>
                <w:bCs/>
                <w:sz w:val="20"/>
              </w:rPr>
              <w:t>)</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ASCEND</w:t>
            </w:r>
          </w:p>
        </w:tc>
        <w:tc>
          <w:tcPr>
            <w:tcW w:w="1701" w:type="dxa"/>
            <w:vAlign w:val="center"/>
          </w:tcPr>
          <w:p w:rsidR="00E36E9E" w:rsidRPr="00641A5A" w:rsidRDefault="00E36E9E" w:rsidP="002F6883">
            <w:pPr>
              <w:pStyle w:val="TableFooter"/>
              <w:keepNext/>
              <w:widowControl/>
              <w:jc w:val="center"/>
              <w:rPr>
                <w:sz w:val="20"/>
              </w:rPr>
            </w:pPr>
            <w:r w:rsidRPr="00641A5A">
              <w:rPr>
                <w:sz w:val="20"/>
              </w:rPr>
              <w:t>0.55 (0.26, 1.15)</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Vital status: end of study*</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vAlign w:val="center"/>
          </w:tcPr>
          <w:p w:rsidR="00E36E9E" w:rsidRPr="00641A5A" w:rsidRDefault="00E36E9E" w:rsidP="002F6883">
            <w:pPr>
              <w:pStyle w:val="TableFooter"/>
              <w:keepNext/>
              <w:widowControl/>
              <w:jc w:val="center"/>
              <w:rPr>
                <w:sz w:val="20"/>
              </w:rPr>
            </w:pPr>
            <w:r w:rsidRPr="00641A5A">
              <w:rPr>
                <w:bCs/>
                <w:sz w:val="20"/>
              </w:rPr>
              <w:t>1.07 (0.55,2.08)</w:t>
            </w:r>
          </w:p>
        </w:tc>
        <w:tc>
          <w:tcPr>
            <w:tcW w:w="1701" w:type="dxa"/>
            <w:vMerge w:val="restart"/>
            <w:vAlign w:val="center"/>
          </w:tcPr>
          <w:p w:rsidR="00E36E9E" w:rsidRPr="00641A5A" w:rsidRDefault="00E36E9E" w:rsidP="002F6883">
            <w:pPr>
              <w:pStyle w:val="TableFooter"/>
              <w:keepNext/>
              <w:widowControl/>
              <w:jc w:val="center"/>
              <w:rPr>
                <w:sz w:val="20"/>
              </w:rPr>
            </w:pPr>
            <w:r w:rsidRPr="00641A5A">
              <w:rPr>
                <w:bCs/>
                <w:sz w:val="20"/>
              </w:rPr>
              <w:t>0.75 (0.50,1.11)</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vAlign w:val="center"/>
          </w:tcPr>
          <w:p w:rsidR="00E36E9E" w:rsidRPr="00641A5A" w:rsidRDefault="00E36E9E" w:rsidP="002F6883">
            <w:pPr>
              <w:pStyle w:val="TableFooter"/>
              <w:keepNext/>
              <w:widowControl/>
              <w:jc w:val="center"/>
              <w:rPr>
                <w:sz w:val="20"/>
              </w:rPr>
            </w:pPr>
            <w:r w:rsidRPr="00641A5A">
              <w:rPr>
                <w:bCs/>
                <w:sz w:val="20"/>
              </w:rPr>
              <w:t>0.65 (0.33,1.29)</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rPr>
          <w:trHeight w:val="239"/>
        </w:trPr>
        <w:tc>
          <w:tcPr>
            <w:tcW w:w="1974" w:type="dxa"/>
            <w:vMerge/>
            <w:tcBorders>
              <w:bottom w:val="single" w:sz="4" w:space="0" w:color="auto"/>
            </w:tcBorders>
            <w:vAlign w:val="center"/>
          </w:tcPr>
          <w:p w:rsidR="00E36E9E" w:rsidRPr="00641A5A" w:rsidRDefault="00E36E9E" w:rsidP="002F6883">
            <w:pPr>
              <w:pStyle w:val="TableFooter"/>
              <w:keepNext/>
              <w:widowControl/>
              <w:jc w:val="left"/>
              <w:rPr>
                <w:sz w:val="20"/>
              </w:rPr>
            </w:pPr>
          </w:p>
        </w:tc>
        <w:tc>
          <w:tcPr>
            <w:tcW w:w="1559" w:type="dxa"/>
            <w:vMerge/>
            <w:tcBorders>
              <w:bottom w:val="single" w:sz="4" w:space="0" w:color="auto"/>
            </w:tcBorders>
            <w:vAlign w:val="center"/>
          </w:tcPr>
          <w:p w:rsidR="00E36E9E" w:rsidRPr="00641A5A" w:rsidRDefault="00E36E9E" w:rsidP="002F6883">
            <w:pPr>
              <w:pStyle w:val="TableFooter"/>
              <w:keepNext/>
              <w:widowControl/>
              <w:jc w:val="center"/>
              <w:rPr>
                <w:sz w:val="20"/>
              </w:rPr>
            </w:pPr>
          </w:p>
        </w:tc>
        <w:tc>
          <w:tcPr>
            <w:tcW w:w="1417" w:type="dxa"/>
            <w:gridSpan w:val="2"/>
            <w:tcBorders>
              <w:bottom w:val="single" w:sz="4" w:space="0" w:color="auto"/>
            </w:tcBorders>
            <w:vAlign w:val="center"/>
          </w:tcPr>
          <w:p w:rsidR="00E36E9E" w:rsidRPr="00641A5A" w:rsidRDefault="00E36E9E" w:rsidP="002F6883">
            <w:pPr>
              <w:pStyle w:val="TableFooter"/>
              <w:keepNext/>
              <w:widowControl/>
              <w:jc w:val="center"/>
              <w:rPr>
                <w:sz w:val="20"/>
              </w:rPr>
            </w:pPr>
            <w:r w:rsidRPr="00641A5A">
              <w:rPr>
                <w:sz w:val="20"/>
              </w:rPr>
              <w:t>ASCEND</w:t>
            </w:r>
          </w:p>
        </w:tc>
        <w:tc>
          <w:tcPr>
            <w:tcW w:w="1701" w:type="dxa"/>
            <w:tcBorders>
              <w:bottom w:val="single" w:sz="4" w:space="0" w:color="auto"/>
            </w:tcBorders>
            <w:vAlign w:val="center"/>
          </w:tcPr>
          <w:p w:rsidR="00E36E9E" w:rsidRPr="00641A5A" w:rsidRDefault="00E36E9E" w:rsidP="002F6883">
            <w:pPr>
              <w:pStyle w:val="TableFooter"/>
              <w:keepNext/>
              <w:widowControl/>
              <w:jc w:val="center"/>
              <w:rPr>
                <w:sz w:val="20"/>
              </w:rPr>
            </w:pPr>
            <w:r w:rsidRPr="00641A5A">
              <w:rPr>
                <w:bCs/>
                <w:sz w:val="20"/>
              </w:rPr>
              <w:t>0.57 (0.28,1.16)</w:t>
            </w:r>
          </w:p>
        </w:tc>
        <w:tc>
          <w:tcPr>
            <w:tcW w:w="1701" w:type="dxa"/>
            <w:vMerge/>
            <w:tcBorders>
              <w:bottom w:val="single" w:sz="4" w:space="0" w:color="auto"/>
            </w:tcBorders>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restart"/>
            <w:vAlign w:val="center"/>
          </w:tcPr>
          <w:p w:rsidR="00E36E9E" w:rsidRPr="00641A5A" w:rsidRDefault="00E36E9E" w:rsidP="002F6883">
            <w:pPr>
              <w:pStyle w:val="TableFooter"/>
              <w:keepNext/>
              <w:widowControl/>
              <w:jc w:val="left"/>
              <w:rPr>
                <w:sz w:val="20"/>
              </w:rPr>
            </w:pPr>
            <w:r w:rsidRPr="00641A5A">
              <w:rPr>
                <w:sz w:val="20"/>
              </w:rPr>
              <w:t>Progression free survival; HR (95% CI)</w:t>
            </w: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Cut off: 72 weeks</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vAlign w:val="center"/>
          </w:tcPr>
          <w:p w:rsidR="00E36E9E" w:rsidRPr="00641A5A" w:rsidRDefault="00E36E9E" w:rsidP="002F6883">
            <w:pPr>
              <w:pStyle w:val="TableFooter"/>
              <w:keepNext/>
              <w:widowControl/>
              <w:jc w:val="center"/>
              <w:rPr>
                <w:sz w:val="20"/>
              </w:rPr>
            </w:pPr>
            <w:r w:rsidRPr="00641A5A">
              <w:rPr>
                <w:bCs/>
                <w:sz w:val="20"/>
              </w:rPr>
              <w:t>0.84 (0.58, 1.22)</w:t>
            </w:r>
          </w:p>
        </w:tc>
        <w:tc>
          <w:tcPr>
            <w:tcW w:w="1701" w:type="dxa"/>
            <w:vMerge w:val="restart"/>
            <w:vAlign w:val="center"/>
          </w:tcPr>
          <w:p w:rsidR="00E36E9E" w:rsidRPr="00641A5A" w:rsidRDefault="00E36E9E" w:rsidP="002F6883">
            <w:pPr>
              <w:pStyle w:val="TableFooter"/>
              <w:keepNext/>
              <w:widowControl/>
              <w:jc w:val="center"/>
              <w:rPr>
                <w:sz w:val="20"/>
              </w:rPr>
            </w:pPr>
            <w:r w:rsidRPr="00641A5A">
              <w:rPr>
                <w:b/>
                <w:bCs/>
                <w:sz w:val="20"/>
              </w:rPr>
              <w:t>0.74 (0.57, 0.96)</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vAlign w:val="center"/>
          </w:tcPr>
          <w:p w:rsidR="00E36E9E" w:rsidRPr="00641A5A" w:rsidRDefault="00E36E9E" w:rsidP="002F6883">
            <w:pPr>
              <w:pStyle w:val="TableFooter"/>
              <w:keepNext/>
              <w:widowControl/>
              <w:jc w:val="center"/>
              <w:rPr>
                <w:sz w:val="20"/>
              </w:rPr>
            </w:pPr>
            <w:r w:rsidRPr="00641A5A">
              <w:rPr>
                <w:b/>
                <w:bCs/>
                <w:sz w:val="20"/>
              </w:rPr>
              <w:t>0.64 (0.44, 0.95)</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Cut off: 52 weeks</w:t>
            </w:r>
          </w:p>
        </w:tc>
        <w:tc>
          <w:tcPr>
            <w:tcW w:w="1410" w:type="dxa"/>
            <w:vAlign w:val="center"/>
          </w:tcPr>
          <w:p w:rsidR="00E36E9E" w:rsidRPr="00641A5A" w:rsidRDefault="00E36E9E" w:rsidP="002F6883">
            <w:pPr>
              <w:pStyle w:val="TableFooter"/>
              <w:keepNext/>
              <w:widowControl/>
              <w:jc w:val="center"/>
              <w:rPr>
                <w:sz w:val="20"/>
              </w:rPr>
            </w:pPr>
            <w:r w:rsidRPr="00641A5A">
              <w:rPr>
                <w:sz w:val="20"/>
              </w:rPr>
              <w:t>CAPACITY-1</w:t>
            </w:r>
          </w:p>
        </w:tc>
        <w:tc>
          <w:tcPr>
            <w:tcW w:w="1708" w:type="dxa"/>
            <w:gridSpan w:val="2"/>
            <w:vAlign w:val="center"/>
          </w:tcPr>
          <w:p w:rsidR="00E36E9E" w:rsidRPr="00641A5A" w:rsidRDefault="00E36E9E" w:rsidP="002F6883">
            <w:pPr>
              <w:pStyle w:val="TableFooter"/>
              <w:keepNext/>
              <w:widowControl/>
              <w:jc w:val="center"/>
              <w:rPr>
                <w:sz w:val="20"/>
              </w:rPr>
            </w:pPr>
            <w:r w:rsidRPr="00641A5A">
              <w:rPr>
                <w:sz w:val="20"/>
              </w:rPr>
              <w:t>0.78 (0.52, 1.15)</w:t>
            </w:r>
          </w:p>
        </w:tc>
        <w:tc>
          <w:tcPr>
            <w:tcW w:w="1701" w:type="dxa"/>
            <w:vMerge w:val="restart"/>
            <w:vAlign w:val="center"/>
          </w:tcPr>
          <w:p w:rsidR="00E36E9E" w:rsidRPr="00641A5A" w:rsidRDefault="00E36E9E" w:rsidP="002F6883">
            <w:pPr>
              <w:pStyle w:val="TableFooter"/>
              <w:keepNext/>
              <w:widowControl/>
              <w:jc w:val="center"/>
              <w:rPr>
                <w:sz w:val="20"/>
              </w:rPr>
            </w:pPr>
            <w:r w:rsidRPr="00641A5A">
              <w:rPr>
                <w:b/>
                <w:bCs/>
                <w:sz w:val="20"/>
              </w:rPr>
              <w:t>0.62 (0.51, 0.75)</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0" w:type="dxa"/>
            <w:vAlign w:val="center"/>
          </w:tcPr>
          <w:p w:rsidR="00E36E9E" w:rsidRPr="00641A5A" w:rsidRDefault="00E36E9E" w:rsidP="002F6883">
            <w:pPr>
              <w:pStyle w:val="TableFooter"/>
              <w:keepNext/>
              <w:widowControl/>
              <w:jc w:val="center"/>
              <w:rPr>
                <w:sz w:val="20"/>
              </w:rPr>
            </w:pPr>
            <w:r w:rsidRPr="00641A5A">
              <w:rPr>
                <w:sz w:val="20"/>
              </w:rPr>
              <w:t>CAPACITY-2</w:t>
            </w:r>
          </w:p>
        </w:tc>
        <w:tc>
          <w:tcPr>
            <w:tcW w:w="1708" w:type="dxa"/>
            <w:gridSpan w:val="2"/>
            <w:vAlign w:val="center"/>
          </w:tcPr>
          <w:p w:rsidR="00E36E9E" w:rsidRPr="00641A5A" w:rsidRDefault="00E36E9E" w:rsidP="002F6883">
            <w:pPr>
              <w:pStyle w:val="TableFooter"/>
              <w:keepNext/>
              <w:widowControl/>
              <w:jc w:val="center"/>
              <w:rPr>
                <w:sz w:val="20"/>
              </w:rPr>
            </w:pPr>
            <w:r w:rsidRPr="00641A5A">
              <w:rPr>
                <w:sz w:val="20"/>
              </w:rPr>
              <w:t>0.58 (0.50, 0.83)</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0" w:type="dxa"/>
            <w:vAlign w:val="center"/>
          </w:tcPr>
          <w:p w:rsidR="00E36E9E" w:rsidRPr="00641A5A" w:rsidRDefault="00E36E9E" w:rsidP="002F6883">
            <w:pPr>
              <w:pStyle w:val="TableFooter"/>
              <w:keepNext/>
              <w:widowControl/>
              <w:jc w:val="center"/>
              <w:rPr>
                <w:sz w:val="20"/>
              </w:rPr>
            </w:pPr>
            <w:r w:rsidRPr="00641A5A">
              <w:rPr>
                <w:sz w:val="20"/>
              </w:rPr>
              <w:t>ASCEND</w:t>
            </w:r>
          </w:p>
        </w:tc>
        <w:tc>
          <w:tcPr>
            <w:tcW w:w="1708" w:type="dxa"/>
            <w:gridSpan w:val="2"/>
            <w:vAlign w:val="center"/>
          </w:tcPr>
          <w:p w:rsidR="00E36E9E" w:rsidRPr="00641A5A" w:rsidRDefault="00E36E9E" w:rsidP="002F6883">
            <w:pPr>
              <w:pStyle w:val="TableFooter"/>
              <w:keepNext/>
              <w:widowControl/>
              <w:jc w:val="center"/>
              <w:rPr>
                <w:sz w:val="20"/>
              </w:rPr>
            </w:pPr>
            <w:r w:rsidRPr="00641A5A">
              <w:rPr>
                <w:sz w:val="20"/>
              </w:rPr>
              <w:t>0.57 (0.43, 0.77)</w:t>
            </w:r>
          </w:p>
        </w:tc>
        <w:tc>
          <w:tcPr>
            <w:tcW w:w="1701" w:type="dxa"/>
            <w:vMerge/>
            <w:vAlign w:val="center"/>
          </w:tcPr>
          <w:p w:rsidR="00E36E9E" w:rsidRPr="00641A5A" w:rsidRDefault="00E36E9E" w:rsidP="002F6883">
            <w:pPr>
              <w:pStyle w:val="TableFooter"/>
              <w:keepNext/>
              <w:widowControl/>
              <w:jc w:val="center"/>
              <w:rPr>
                <w:sz w:val="20"/>
              </w:rPr>
            </w:pPr>
          </w:p>
        </w:tc>
      </w:tr>
      <w:tr w:rsidR="00E36E9E" w:rsidRPr="00641A5A" w:rsidTr="00E36E9E">
        <w:tc>
          <w:tcPr>
            <w:tcW w:w="1974" w:type="dxa"/>
            <w:vMerge w:val="restart"/>
            <w:vAlign w:val="center"/>
          </w:tcPr>
          <w:p w:rsidR="00E36E9E" w:rsidRPr="00641A5A" w:rsidRDefault="00E36E9E" w:rsidP="002F6883">
            <w:pPr>
              <w:pStyle w:val="TableFooter"/>
              <w:keepNext/>
              <w:widowControl/>
              <w:jc w:val="left"/>
              <w:rPr>
                <w:sz w:val="20"/>
              </w:rPr>
            </w:pPr>
            <w:r w:rsidRPr="00641A5A">
              <w:rPr>
                <w:sz w:val="20"/>
              </w:rPr>
              <w:t xml:space="preserve">Time to worsening of IPF; </w:t>
            </w:r>
          </w:p>
          <w:p w:rsidR="00E36E9E" w:rsidRPr="00641A5A" w:rsidRDefault="00E36E9E" w:rsidP="002F6883">
            <w:pPr>
              <w:pStyle w:val="TableFooter"/>
              <w:keepNext/>
              <w:widowControl/>
              <w:jc w:val="left"/>
              <w:rPr>
                <w:sz w:val="20"/>
              </w:rPr>
            </w:pPr>
            <w:r w:rsidRPr="00641A5A">
              <w:rPr>
                <w:sz w:val="20"/>
              </w:rPr>
              <w:t>HR (95 % CI)</w:t>
            </w:r>
          </w:p>
        </w:tc>
        <w:tc>
          <w:tcPr>
            <w:tcW w:w="1559" w:type="dxa"/>
            <w:vMerge w:val="restart"/>
            <w:vAlign w:val="center"/>
          </w:tcPr>
          <w:p w:rsidR="00E36E9E" w:rsidRPr="00641A5A" w:rsidRDefault="00E36E9E" w:rsidP="002F6883">
            <w:pPr>
              <w:pStyle w:val="TableFooter"/>
              <w:keepNext/>
              <w:widowControl/>
              <w:jc w:val="center"/>
              <w:rPr>
                <w:sz w:val="20"/>
              </w:rPr>
            </w:pPr>
            <w:r w:rsidRPr="00641A5A">
              <w:rPr>
                <w:sz w:val="20"/>
              </w:rPr>
              <w:t>Cut off: 72 weeks</w:t>
            </w: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CAPACITY-1</w:t>
            </w:r>
          </w:p>
        </w:tc>
        <w:tc>
          <w:tcPr>
            <w:tcW w:w="1701" w:type="dxa"/>
            <w:vAlign w:val="center"/>
          </w:tcPr>
          <w:p w:rsidR="00E36E9E" w:rsidRPr="00641A5A" w:rsidRDefault="00E36E9E" w:rsidP="002F6883">
            <w:pPr>
              <w:pStyle w:val="TableFooter"/>
              <w:keepNext/>
              <w:widowControl/>
              <w:jc w:val="center"/>
              <w:rPr>
                <w:sz w:val="20"/>
              </w:rPr>
            </w:pPr>
            <w:r w:rsidRPr="00641A5A">
              <w:rPr>
                <w:bCs/>
                <w:sz w:val="20"/>
              </w:rPr>
              <w:t>0.73 (0.43, 1.24)</w:t>
            </w:r>
          </w:p>
        </w:tc>
        <w:tc>
          <w:tcPr>
            <w:tcW w:w="1701" w:type="dxa"/>
            <w:vMerge w:val="restart"/>
            <w:vAlign w:val="center"/>
          </w:tcPr>
          <w:p w:rsidR="00E36E9E" w:rsidRPr="00641A5A" w:rsidRDefault="00E36E9E" w:rsidP="002F6883">
            <w:pPr>
              <w:pStyle w:val="TableFooter"/>
              <w:keepNext/>
              <w:widowControl/>
              <w:jc w:val="center"/>
              <w:rPr>
                <w:sz w:val="20"/>
              </w:rPr>
            </w:pPr>
            <w:r w:rsidRPr="00641A5A">
              <w:rPr>
                <w:bCs/>
                <w:sz w:val="20"/>
              </w:rPr>
              <w:t>0.78 (0.54, 1.14)</w:t>
            </w:r>
          </w:p>
        </w:tc>
      </w:tr>
      <w:tr w:rsidR="00E36E9E" w:rsidRPr="00641A5A" w:rsidTr="00E36E9E">
        <w:tc>
          <w:tcPr>
            <w:tcW w:w="1974" w:type="dxa"/>
            <w:vMerge/>
            <w:vAlign w:val="center"/>
          </w:tcPr>
          <w:p w:rsidR="00E36E9E" w:rsidRPr="00641A5A" w:rsidRDefault="00E36E9E" w:rsidP="002F6883">
            <w:pPr>
              <w:pStyle w:val="TableFooter"/>
              <w:keepNext/>
              <w:widowControl/>
              <w:jc w:val="left"/>
              <w:rPr>
                <w:sz w:val="20"/>
              </w:rPr>
            </w:pPr>
          </w:p>
        </w:tc>
        <w:tc>
          <w:tcPr>
            <w:tcW w:w="1559" w:type="dxa"/>
            <w:vMerge/>
            <w:vAlign w:val="center"/>
          </w:tcPr>
          <w:p w:rsidR="00E36E9E" w:rsidRPr="00641A5A" w:rsidRDefault="00E36E9E" w:rsidP="002F6883">
            <w:pPr>
              <w:pStyle w:val="TableFooter"/>
              <w:keepNext/>
              <w:widowControl/>
              <w:jc w:val="center"/>
              <w:rPr>
                <w:sz w:val="20"/>
              </w:rPr>
            </w:pPr>
          </w:p>
        </w:tc>
        <w:tc>
          <w:tcPr>
            <w:tcW w:w="1417" w:type="dxa"/>
            <w:gridSpan w:val="2"/>
            <w:vAlign w:val="center"/>
          </w:tcPr>
          <w:p w:rsidR="00E36E9E" w:rsidRPr="00641A5A" w:rsidRDefault="00E36E9E" w:rsidP="002F6883">
            <w:pPr>
              <w:pStyle w:val="TableFooter"/>
              <w:keepNext/>
              <w:widowControl/>
              <w:jc w:val="center"/>
              <w:rPr>
                <w:sz w:val="20"/>
              </w:rPr>
            </w:pPr>
            <w:r w:rsidRPr="00641A5A">
              <w:rPr>
                <w:sz w:val="20"/>
              </w:rPr>
              <w:t>CAPACITY-2</w:t>
            </w:r>
          </w:p>
        </w:tc>
        <w:tc>
          <w:tcPr>
            <w:tcW w:w="1701" w:type="dxa"/>
            <w:vAlign w:val="center"/>
          </w:tcPr>
          <w:p w:rsidR="00E36E9E" w:rsidRPr="00641A5A" w:rsidRDefault="00E36E9E" w:rsidP="002F6883">
            <w:pPr>
              <w:pStyle w:val="TableFooter"/>
              <w:keepNext/>
              <w:widowControl/>
              <w:jc w:val="center"/>
              <w:rPr>
                <w:sz w:val="20"/>
              </w:rPr>
            </w:pPr>
            <w:r w:rsidRPr="00641A5A">
              <w:rPr>
                <w:bCs/>
                <w:sz w:val="20"/>
              </w:rPr>
              <w:t>0.84 (0.50, 1.42)</w:t>
            </w:r>
          </w:p>
        </w:tc>
        <w:tc>
          <w:tcPr>
            <w:tcW w:w="1701" w:type="dxa"/>
            <w:vMerge/>
            <w:vAlign w:val="center"/>
          </w:tcPr>
          <w:p w:rsidR="00E36E9E" w:rsidRPr="00641A5A" w:rsidRDefault="00E36E9E" w:rsidP="002F6883">
            <w:pPr>
              <w:pStyle w:val="TableFooter"/>
              <w:keepNext/>
              <w:widowControl/>
              <w:jc w:val="center"/>
              <w:rPr>
                <w:sz w:val="20"/>
              </w:rPr>
            </w:pPr>
          </w:p>
        </w:tc>
      </w:tr>
    </w:tbl>
    <w:p w:rsidR="00E36E9E" w:rsidRDefault="00E36E9E" w:rsidP="002F6883">
      <w:pPr>
        <w:keepNext/>
        <w:widowControl/>
        <w:ind w:left="720"/>
        <w:rPr>
          <w:rFonts w:ascii="Arial Narrow" w:hAnsi="Arial Narrow"/>
          <w:bCs/>
          <w:sz w:val="18"/>
          <w:szCs w:val="18"/>
        </w:rPr>
      </w:pPr>
      <w:r>
        <w:rPr>
          <w:rFonts w:ascii="Arial Narrow" w:hAnsi="Arial Narrow"/>
          <w:bCs/>
          <w:sz w:val="18"/>
          <w:szCs w:val="18"/>
        </w:rPr>
        <w:t>Abbreviations: FVC%Pred=forced vital capacity percent predicted; IPF=idiopathic pulmonary fibrosis; HR=hazard ratio; MD=mean difference; 95% CI=95% confidence interval; RR=relative risk</w:t>
      </w:r>
    </w:p>
    <w:p w:rsidR="00E36E9E" w:rsidRDefault="00E36E9E" w:rsidP="002F6883">
      <w:pPr>
        <w:widowControl/>
        <w:ind w:left="720"/>
        <w:rPr>
          <w:rFonts w:ascii="Arial Narrow" w:hAnsi="Arial Narrow"/>
          <w:bCs/>
          <w:sz w:val="18"/>
          <w:szCs w:val="18"/>
        </w:rPr>
      </w:pPr>
      <w:r w:rsidRPr="009845B2">
        <w:rPr>
          <w:rFonts w:ascii="Arial Narrow" w:hAnsi="Arial Narrow"/>
          <w:bCs/>
          <w:sz w:val="18"/>
          <w:szCs w:val="18"/>
        </w:rPr>
        <w:t xml:space="preserve">Figures in </w:t>
      </w:r>
      <w:r w:rsidRPr="009845B2">
        <w:rPr>
          <w:rFonts w:ascii="Arial Narrow" w:hAnsi="Arial Narrow"/>
          <w:b/>
          <w:bCs/>
          <w:sz w:val="18"/>
          <w:szCs w:val="18"/>
        </w:rPr>
        <w:t>bold</w:t>
      </w:r>
      <w:r w:rsidRPr="009845B2">
        <w:rPr>
          <w:rFonts w:ascii="Arial Narrow" w:hAnsi="Arial Narrow"/>
          <w:bCs/>
          <w:sz w:val="18"/>
          <w:szCs w:val="18"/>
        </w:rPr>
        <w:t xml:space="preserve"> indicate results that </w:t>
      </w:r>
      <w:r w:rsidR="00EB361A">
        <w:rPr>
          <w:rFonts w:ascii="Arial Narrow" w:hAnsi="Arial Narrow"/>
          <w:bCs/>
          <w:sz w:val="18"/>
          <w:szCs w:val="18"/>
        </w:rPr>
        <w:t>are statistically significant.</w:t>
      </w:r>
    </w:p>
    <w:p w:rsidR="00E36E9E" w:rsidRPr="00681441" w:rsidRDefault="00E36E9E" w:rsidP="002F6883">
      <w:pPr>
        <w:widowControl/>
        <w:ind w:left="720"/>
        <w:rPr>
          <w:rFonts w:ascii="Arial Narrow" w:hAnsi="Arial Narrow"/>
          <w:bCs/>
          <w:sz w:val="18"/>
          <w:szCs w:val="18"/>
        </w:rPr>
      </w:pPr>
      <w:r w:rsidRPr="00681441">
        <w:rPr>
          <w:rFonts w:ascii="Arial Narrow" w:hAnsi="Arial Narrow"/>
          <w:sz w:val="18"/>
          <w:szCs w:val="18"/>
        </w:rPr>
        <w:t>*</w:t>
      </w:r>
      <w:r>
        <w:rPr>
          <w:rFonts w:ascii="Arial Narrow" w:hAnsi="Arial Narrow"/>
          <w:sz w:val="18"/>
          <w:szCs w:val="18"/>
        </w:rPr>
        <w:t xml:space="preserve"> </w:t>
      </w:r>
      <w:r w:rsidRPr="00681441">
        <w:rPr>
          <w:rFonts w:ascii="Arial Narrow" w:hAnsi="Arial Narrow"/>
          <w:sz w:val="18"/>
          <w:szCs w:val="18"/>
        </w:rPr>
        <w:t>Vital status</w:t>
      </w:r>
      <w:r w:rsidR="00D22155">
        <w:rPr>
          <w:rFonts w:ascii="Arial Narrow" w:hAnsi="Arial Narrow"/>
          <w:sz w:val="18"/>
          <w:szCs w:val="18"/>
        </w:rPr>
        <w:t xml:space="preserve"> –</w:t>
      </w:r>
      <w:r>
        <w:rPr>
          <w:rFonts w:ascii="Arial Narrow" w:hAnsi="Arial Narrow"/>
          <w:sz w:val="18"/>
          <w:szCs w:val="18"/>
        </w:rPr>
        <w:t xml:space="preserve"> e</w:t>
      </w:r>
      <w:r w:rsidRPr="00681441">
        <w:rPr>
          <w:rFonts w:ascii="Arial Narrow" w:hAnsi="Arial Narrow"/>
          <w:sz w:val="18"/>
          <w:szCs w:val="18"/>
        </w:rPr>
        <w:t>nd</w:t>
      </w:r>
      <w:r w:rsidR="00D22155">
        <w:rPr>
          <w:rFonts w:ascii="Arial Narrow" w:hAnsi="Arial Narrow"/>
          <w:sz w:val="18"/>
          <w:szCs w:val="18"/>
        </w:rPr>
        <w:t xml:space="preserve"> of s</w:t>
      </w:r>
      <w:r w:rsidRPr="00681441">
        <w:rPr>
          <w:rFonts w:ascii="Arial Narrow" w:hAnsi="Arial Narrow"/>
          <w:sz w:val="18"/>
          <w:szCs w:val="18"/>
        </w:rPr>
        <w:t>tudy: deaths that occurred at any time during the study regardless of whether patients continued on study treatment or study assessments</w:t>
      </w:r>
    </w:p>
    <w:p w:rsidR="00E36E9E" w:rsidRPr="00641A5A" w:rsidRDefault="00E36E9E" w:rsidP="002F6883">
      <w:pPr>
        <w:widowControl/>
        <w:ind w:left="720"/>
        <w:rPr>
          <w:rFonts w:ascii="Arial Narrow" w:hAnsi="Arial Narrow"/>
          <w:bCs/>
          <w:sz w:val="18"/>
          <w:szCs w:val="18"/>
        </w:rPr>
      </w:pPr>
      <w:r w:rsidRPr="00641A5A">
        <w:rPr>
          <w:rFonts w:ascii="Arial Narrow" w:hAnsi="Arial Narrow"/>
          <w:bCs/>
          <w:sz w:val="18"/>
          <w:szCs w:val="18"/>
        </w:rPr>
        <w:t>^ The results of the meta-analyses presented in the submission omitted numerous variables recommended by the PBAC Guidelines (version 4.4, pp104-105):  statistical measures of relative risk (RR) and accompanying 95% confidence intervals for relative difference (RD) and mean difference (MD).  Meta-analyses analyses in italics, with the exception of overall survival (vital status: end of study), were conducted during the evaluation using StatsDirect version 2.7.9 using the DerSimoni</w:t>
      </w:r>
      <w:r w:rsidR="00EB361A">
        <w:rPr>
          <w:rFonts w:ascii="Arial Narrow" w:hAnsi="Arial Narrow"/>
          <w:bCs/>
          <w:sz w:val="18"/>
          <w:szCs w:val="18"/>
        </w:rPr>
        <w:t>an-Laird random effects model.</w:t>
      </w:r>
    </w:p>
    <w:p w:rsidR="00E36E9E" w:rsidRPr="00EA6E87" w:rsidRDefault="00E36E9E" w:rsidP="002F6883">
      <w:pPr>
        <w:widowControl/>
        <w:ind w:left="720"/>
        <w:rPr>
          <w:rFonts w:ascii="Arial Narrow" w:hAnsi="Arial Narrow"/>
          <w:bCs/>
          <w:sz w:val="18"/>
          <w:szCs w:val="18"/>
        </w:rPr>
      </w:pPr>
      <w:r w:rsidRPr="00D422A7">
        <w:rPr>
          <w:rFonts w:ascii="Arial Narrow" w:hAnsi="Arial Narrow"/>
          <w:bCs/>
          <w:sz w:val="18"/>
          <w:szCs w:val="18"/>
        </w:rPr>
        <w:t>Source</w:t>
      </w:r>
      <w:r>
        <w:rPr>
          <w:rFonts w:ascii="Arial Narrow" w:hAnsi="Arial Narrow"/>
          <w:bCs/>
          <w:i/>
          <w:sz w:val="18"/>
          <w:szCs w:val="18"/>
        </w:rPr>
        <w:t xml:space="preserve">: </w:t>
      </w:r>
      <w:r w:rsidRPr="00EA6E87">
        <w:rPr>
          <w:rFonts w:ascii="Arial Narrow" w:hAnsi="Arial Narrow"/>
          <w:sz w:val="18"/>
          <w:szCs w:val="18"/>
        </w:rPr>
        <w:t xml:space="preserve">Table </w:t>
      </w:r>
      <w:r w:rsidR="00EB361A">
        <w:rPr>
          <w:rFonts w:ascii="Arial Narrow" w:hAnsi="Arial Narrow"/>
          <w:sz w:val="18"/>
          <w:szCs w:val="18"/>
        </w:rPr>
        <w:t>B.6.1, 7.09.COM.28.</w:t>
      </w:r>
    </w:p>
    <w:p w:rsidR="00E36E9E" w:rsidRPr="00E36E9E" w:rsidRDefault="00E36E9E" w:rsidP="002F6883">
      <w:pPr>
        <w:widowControl/>
        <w:rPr>
          <w:szCs w:val="22"/>
        </w:rPr>
      </w:pPr>
    </w:p>
    <w:p w:rsidR="00E36E9E" w:rsidRPr="00E83D95" w:rsidRDefault="006A2333" w:rsidP="00E83D95">
      <w:pPr>
        <w:pStyle w:val="ListParagraph"/>
        <w:widowControl/>
        <w:numPr>
          <w:ilvl w:val="1"/>
          <w:numId w:val="2"/>
        </w:numPr>
        <w:rPr>
          <w:szCs w:val="22"/>
          <w:u w:val="single"/>
        </w:rPr>
      </w:pPr>
      <w:r w:rsidRPr="00E83D95">
        <w:rPr>
          <w:szCs w:val="22"/>
          <w:u w:val="single"/>
        </w:rPr>
        <w:t>Indirect comparison with nintedanib</w:t>
      </w:r>
      <w:r w:rsidRPr="00E83D95">
        <w:rPr>
          <w:szCs w:val="22"/>
        </w:rPr>
        <w:t xml:space="preserve">: </w:t>
      </w:r>
      <w:r w:rsidR="00E5048A" w:rsidRPr="00E83D95">
        <w:rPr>
          <w:szCs w:val="22"/>
        </w:rPr>
        <w:t>A brief summary of results from the indirect comparison with nintedanib is</w:t>
      </w:r>
      <w:r w:rsidR="00E36E9E" w:rsidRPr="00E83D95">
        <w:rPr>
          <w:szCs w:val="22"/>
        </w:rPr>
        <w:t xml:space="preserve"> provided in Table </w:t>
      </w:r>
      <w:r w:rsidRPr="00E83D95">
        <w:rPr>
          <w:szCs w:val="22"/>
        </w:rPr>
        <w:t>5</w:t>
      </w:r>
      <w:r w:rsidR="000B56CB" w:rsidRPr="00E83D95">
        <w:rPr>
          <w:szCs w:val="22"/>
        </w:rPr>
        <w:t>.</w:t>
      </w:r>
      <w:r w:rsidR="0025012B" w:rsidRPr="0025012B">
        <w:rPr>
          <w:szCs w:val="22"/>
        </w:rPr>
        <w:t xml:space="preserve"> </w:t>
      </w:r>
      <w:r w:rsidR="0025012B">
        <w:rPr>
          <w:szCs w:val="22"/>
        </w:rPr>
        <w:t>The redacted table below shows no statistically significant difference in change from baseline to Month 12 in percent predicted FVC between pirfenidone compared with nintedanib.</w:t>
      </w:r>
    </w:p>
    <w:p w:rsidR="00E36E9E" w:rsidRDefault="00E36E9E" w:rsidP="007C13C1">
      <w:pPr>
        <w:widowControl/>
      </w:pPr>
    </w:p>
    <w:p w:rsidR="00E36E9E" w:rsidRPr="00C362EE" w:rsidRDefault="00E36E9E" w:rsidP="002F6883">
      <w:pPr>
        <w:pStyle w:val="ListParagraph"/>
        <w:widowControl/>
        <w:rPr>
          <w:rStyle w:val="CommentReference"/>
        </w:rPr>
      </w:pPr>
      <w:r>
        <w:rPr>
          <w:rStyle w:val="CommentReference"/>
        </w:rPr>
        <w:t xml:space="preserve">Table </w:t>
      </w:r>
      <w:r w:rsidR="006A2333">
        <w:rPr>
          <w:rStyle w:val="CommentReference"/>
        </w:rPr>
        <w:t>5</w:t>
      </w:r>
      <w:r>
        <w:rPr>
          <w:rStyle w:val="CommentReference"/>
        </w:rPr>
        <w:t>: Summary of results from the indirect comparison of pirfenidone and nintedanib</w:t>
      </w:r>
    </w:p>
    <w:tbl>
      <w:tblPr>
        <w:tblStyle w:val="TableGrid8"/>
        <w:tblW w:w="8352" w:type="dxa"/>
        <w:tblInd w:w="748" w:type="dxa"/>
        <w:tblCellMar>
          <w:left w:w="28" w:type="dxa"/>
          <w:right w:w="28" w:type="dxa"/>
        </w:tblCellMar>
        <w:tblLook w:val="04A0" w:firstRow="1" w:lastRow="0" w:firstColumn="1" w:lastColumn="0" w:noHBand="0" w:noVBand="1"/>
        <w:tblCaption w:val="Table 5: Summary of results from the indirect comparison of pirfenidone and nintedanib"/>
        <w:tblDescription w:val="Table 5: Summary of results from the indirect comparison of pirfenidone and nintedanib"/>
      </w:tblPr>
      <w:tblGrid>
        <w:gridCol w:w="1832"/>
        <w:gridCol w:w="2268"/>
        <w:gridCol w:w="4252"/>
      </w:tblGrid>
      <w:tr w:rsidR="00E36E9E" w:rsidRPr="00B20AC3" w:rsidTr="00917D95">
        <w:trPr>
          <w:trHeight w:val="20"/>
          <w:tblHeader/>
        </w:trPr>
        <w:tc>
          <w:tcPr>
            <w:tcW w:w="4100" w:type="dxa"/>
            <w:gridSpan w:val="2"/>
            <w:vAlign w:val="center"/>
          </w:tcPr>
          <w:p w:rsidR="00E36E9E" w:rsidRPr="00B20AC3" w:rsidRDefault="00E36E9E" w:rsidP="002F6883">
            <w:pPr>
              <w:widowControl/>
              <w:jc w:val="left"/>
              <w:rPr>
                <w:rFonts w:ascii="Arial Narrow" w:hAnsi="Arial Narrow"/>
                <w:b/>
                <w:sz w:val="20"/>
                <w:szCs w:val="16"/>
                <w:lang w:eastAsia="en-AU"/>
              </w:rPr>
            </w:pPr>
            <w:r w:rsidRPr="00B20AC3">
              <w:rPr>
                <w:rFonts w:ascii="Arial Narrow" w:hAnsi="Arial Narrow"/>
                <w:b/>
                <w:sz w:val="20"/>
                <w:szCs w:val="16"/>
                <w:lang w:eastAsia="en-AU"/>
              </w:rPr>
              <w:t>Outcome</w:t>
            </w:r>
          </w:p>
        </w:tc>
        <w:tc>
          <w:tcPr>
            <w:tcW w:w="4252" w:type="dxa"/>
            <w:vAlign w:val="center"/>
          </w:tcPr>
          <w:p w:rsidR="00E36E9E" w:rsidRPr="00B20AC3" w:rsidRDefault="00E36E9E" w:rsidP="002F6883">
            <w:pPr>
              <w:widowControl/>
              <w:jc w:val="center"/>
              <w:rPr>
                <w:rFonts w:ascii="Arial Narrow" w:hAnsi="Arial Narrow"/>
                <w:b/>
                <w:sz w:val="20"/>
                <w:szCs w:val="16"/>
                <w:lang w:eastAsia="en-AU"/>
              </w:rPr>
            </w:pPr>
            <w:r w:rsidRPr="00B20AC3">
              <w:rPr>
                <w:rFonts w:ascii="Arial Narrow" w:hAnsi="Arial Narrow"/>
                <w:b/>
                <w:sz w:val="20"/>
                <w:szCs w:val="16"/>
                <w:lang w:eastAsia="en-AU"/>
              </w:rPr>
              <w:t xml:space="preserve">Indirect comparison: </w:t>
            </w:r>
            <w:r>
              <w:rPr>
                <w:rFonts w:ascii="Arial Narrow" w:hAnsi="Arial Narrow"/>
                <w:b/>
                <w:sz w:val="20"/>
                <w:szCs w:val="16"/>
                <w:lang w:eastAsia="en-AU"/>
              </w:rPr>
              <w:t xml:space="preserve"> </w:t>
            </w:r>
            <w:r w:rsidRPr="00B20AC3">
              <w:rPr>
                <w:rFonts w:ascii="Arial Narrow" w:hAnsi="Arial Narrow"/>
                <w:b/>
                <w:sz w:val="20"/>
                <w:szCs w:val="16"/>
                <w:lang w:eastAsia="en-AU"/>
              </w:rPr>
              <w:t>pirfenidone vs nintedanib</w:t>
            </w:r>
          </w:p>
        </w:tc>
      </w:tr>
      <w:tr w:rsidR="00E36E9E" w:rsidRPr="00B20AC3" w:rsidTr="00E36E9E">
        <w:trPr>
          <w:trHeight w:val="20"/>
        </w:trPr>
        <w:tc>
          <w:tcPr>
            <w:tcW w:w="1832" w:type="dxa"/>
            <w:vAlign w:val="center"/>
          </w:tcPr>
          <w:p w:rsidR="00E36E9E" w:rsidRPr="00B20AC3" w:rsidRDefault="00E36E9E" w:rsidP="002F6883">
            <w:pPr>
              <w:widowControl/>
              <w:jc w:val="left"/>
              <w:rPr>
                <w:rFonts w:ascii="Arial Narrow" w:hAnsi="Arial Narrow"/>
                <w:sz w:val="20"/>
                <w:szCs w:val="16"/>
                <w:lang w:eastAsia="en-AU"/>
              </w:rPr>
            </w:pPr>
            <w:r w:rsidRPr="00B20AC3">
              <w:rPr>
                <w:rFonts w:ascii="Arial Narrow" w:hAnsi="Arial Narrow"/>
                <w:sz w:val="20"/>
                <w:szCs w:val="16"/>
                <w:lang w:eastAsia="en-AU"/>
              </w:rPr>
              <w:t>Change in FVC%Pred</w:t>
            </w:r>
          </w:p>
        </w:tc>
        <w:tc>
          <w:tcPr>
            <w:tcW w:w="2268" w:type="dxa"/>
            <w:vAlign w:val="center"/>
          </w:tcPr>
          <w:p w:rsidR="00E36E9E" w:rsidRPr="00B20AC3" w:rsidRDefault="00E36E9E" w:rsidP="002F6883">
            <w:pPr>
              <w:widowControl/>
              <w:jc w:val="center"/>
              <w:rPr>
                <w:rFonts w:ascii="Arial Narrow" w:hAnsi="Arial Narrow"/>
                <w:sz w:val="20"/>
                <w:szCs w:val="16"/>
                <w:lang w:eastAsia="en-AU"/>
              </w:rPr>
            </w:pPr>
            <w:r w:rsidRPr="00B20AC3">
              <w:rPr>
                <w:rFonts w:ascii="Arial Narrow" w:hAnsi="Arial Narrow"/>
                <w:sz w:val="20"/>
                <w:szCs w:val="16"/>
                <w:lang w:eastAsia="en-AU"/>
              </w:rPr>
              <w:t>Mean difference (95% CI)</w:t>
            </w:r>
          </w:p>
        </w:tc>
        <w:tc>
          <w:tcPr>
            <w:tcW w:w="4252" w:type="dxa"/>
            <w:vAlign w:val="center"/>
          </w:tcPr>
          <w:p w:rsidR="00E36E9E" w:rsidRPr="00B20AC3" w:rsidRDefault="00F60B7B" w:rsidP="002F6883">
            <w:pPr>
              <w:widowControl/>
              <w:jc w:val="center"/>
              <w:rPr>
                <w:rFonts w:ascii="Arial Narrow" w:hAnsi="Arial Narrow"/>
                <w:sz w:val="20"/>
                <w:szCs w:val="16"/>
                <w:lang w:eastAsia="en-AU"/>
              </w:rPr>
            </w:pP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 xml:space="preserve"> (-</w:t>
            </w: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 xml:space="preserve">, </w:t>
            </w: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w:t>
            </w:r>
          </w:p>
        </w:tc>
      </w:tr>
      <w:tr w:rsidR="00E36E9E" w:rsidRPr="00B20AC3" w:rsidTr="00E36E9E">
        <w:trPr>
          <w:trHeight w:val="20"/>
        </w:trPr>
        <w:tc>
          <w:tcPr>
            <w:tcW w:w="1832" w:type="dxa"/>
            <w:vAlign w:val="center"/>
          </w:tcPr>
          <w:p w:rsidR="00E36E9E" w:rsidRPr="00B20AC3" w:rsidRDefault="00E36E9E" w:rsidP="002F6883">
            <w:pPr>
              <w:widowControl/>
              <w:jc w:val="left"/>
              <w:rPr>
                <w:rFonts w:ascii="Arial Narrow" w:hAnsi="Arial Narrow"/>
                <w:sz w:val="20"/>
                <w:szCs w:val="16"/>
                <w:lang w:eastAsia="en-AU"/>
              </w:rPr>
            </w:pPr>
            <w:r w:rsidRPr="00B20AC3">
              <w:rPr>
                <w:rFonts w:ascii="Arial Narrow" w:hAnsi="Arial Narrow"/>
                <w:sz w:val="20"/>
                <w:szCs w:val="16"/>
                <w:lang w:eastAsia="en-AU"/>
              </w:rPr>
              <w:t>All-cause mortality</w:t>
            </w:r>
          </w:p>
        </w:tc>
        <w:tc>
          <w:tcPr>
            <w:tcW w:w="2268" w:type="dxa"/>
            <w:vAlign w:val="center"/>
          </w:tcPr>
          <w:p w:rsidR="00E36E9E" w:rsidRPr="00B20AC3" w:rsidRDefault="00E36E9E" w:rsidP="002F6883">
            <w:pPr>
              <w:widowControl/>
              <w:jc w:val="center"/>
              <w:rPr>
                <w:rFonts w:ascii="Arial Narrow" w:hAnsi="Arial Narrow"/>
                <w:sz w:val="20"/>
                <w:szCs w:val="16"/>
                <w:lang w:eastAsia="en-AU"/>
              </w:rPr>
            </w:pPr>
            <w:r w:rsidRPr="00B20AC3">
              <w:rPr>
                <w:rFonts w:ascii="Arial Narrow" w:hAnsi="Arial Narrow"/>
                <w:sz w:val="20"/>
                <w:szCs w:val="16"/>
                <w:lang w:eastAsia="en-AU"/>
              </w:rPr>
              <w:t>HR</w:t>
            </w:r>
            <w:r>
              <w:rPr>
                <w:rFonts w:ascii="Arial Narrow" w:hAnsi="Arial Narrow"/>
                <w:sz w:val="20"/>
                <w:szCs w:val="16"/>
                <w:lang w:eastAsia="en-AU"/>
              </w:rPr>
              <w:t xml:space="preserve"> </w:t>
            </w:r>
            <w:r w:rsidRPr="00B20AC3">
              <w:rPr>
                <w:rFonts w:ascii="Arial Narrow" w:hAnsi="Arial Narrow"/>
                <w:sz w:val="20"/>
                <w:szCs w:val="16"/>
                <w:lang w:eastAsia="en-AU"/>
              </w:rPr>
              <w:t>(95% CI)</w:t>
            </w:r>
          </w:p>
        </w:tc>
        <w:tc>
          <w:tcPr>
            <w:tcW w:w="4252" w:type="dxa"/>
            <w:vAlign w:val="center"/>
          </w:tcPr>
          <w:p w:rsidR="00E36E9E" w:rsidRPr="00B20AC3" w:rsidRDefault="00F60B7B" w:rsidP="002F6883">
            <w:pPr>
              <w:widowControl/>
              <w:jc w:val="center"/>
              <w:rPr>
                <w:rFonts w:ascii="Arial Narrow" w:hAnsi="Arial Narrow"/>
                <w:sz w:val="20"/>
                <w:szCs w:val="16"/>
                <w:lang w:eastAsia="en-AU"/>
              </w:rPr>
            </w:pPr>
            <w:r>
              <w:rPr>
                <w:rFonts w:ascii="Arial Narrow" w:hAnsi="Arial Narrow"/>
                <w:noProof/>
                <w:color w:val="000000"/>
                <w:sz w:val="20"/>
                <w:szCs w:val="16"/>
                <w:highlight w:val="black"/>
                <w:lang w:eastAsia="en-AU"/>
              </w:rPr>
              <w:t>'''''''''''</w:t>
            </w:r>
            <w:r w:rsidR="00E36E9E">
              <w:rPr>
                <w:rFonts w:ascii="Arial Narrow" w:hAnsi="Arial Narrow"/>
                <w:sz w:val="20"/>
                <w:szCs w:val="16"/>
                <w:lang w:eastAsia="en-AU"/>
              </w:rPr>
              <w:t xml:space="preserve"> </w:t>
            </w:r>
            <w:r w:rsidR="00E36E9E" w:rsidRPr="00B20AC3">
              <w:rPr>
                <w:rFonts w:ascii="Arial Narrow" w:hAnsi="Arial Narrow"/>
                <w:sz w:val="20"/>
                <w:szCs w:val="16"/>
                <w:lang w:eastAsia="en-AU"/>
              </w:rPr>
              <w:t>(</w:t>
            </w: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 xml:space="preserve">, </w:t>
            </w: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w:t>
            </w:r>
          </w:p>
        </w:tc>
      </w:tr>
      <w:tr w:rsidR="00E36E9E" w:rsidRPr="00B20AC3" w:rsidTr="00E36E9E">
        <w:trPr>
          <w:trHeight w:val="20"/>
        </w:trPr>
        <w:tc>
          <w:tcPr>
            <w:tcW w:w="1832" w:type="dxa"/>
            <w:vAlign w:val="center"/>
          </w:tcPr>
          <w:p w:rsidR="00E36E9E" w:rsidRPr="00B20AC3" w:rsidRDefault="00E36E9E" w:rsidP="002F6883">
            <w:pPr>
              <w:widowControl/>
              <w:jc w:val="left"/>
              <w:rPr>
                <w:rFonts w:ascii="Arial Narrow" w:hAnsi="Arial Narrow"/>
                <w:sz w:val="20"/>
                <w:szCs w:val="16"/>
                <w:lang w:eastAsia="en-AU"/>
              </w:rPr>
            </w:pPr>
            <w:r w:rsidRPr="00B20AC3">
              <w:rPr>
                <w:rFonts w:ascii="Arial Narrow" w:hAnsi="Arial Narrow"/>
                <w:sz w:val="20"/>
                <w:szCs w:val="16"/>
                <w:lang w:eastAsia="en-AU"/>
              </w:rPr>
              <w:t>IPF-related mortality</w:t>
            </w:r>
          </w:p>
        </w:tc>
        <w:tc>
          <w:tcPr>
            <w:tcW w:w="2268" w:type="dxa"/>
            <w:vAlign w:val="center"/>
          </w:tcPr>
          <w:p w:rsidR="00E36E9E" w:rsidRPr="00B20AC3" w:rsidRDefault="00E36E9E" w:rsidP="002F6883">
            <w:pPr>
              <w:widowControl/>
              <w:jc w:val="center"/>
              <w:rPr>
                <w:rFonts w:ascii="Arial Narrow" w:hAnsi="Arial Narrow"/>
                <w:sz w:val="20"/>
                <w:szCs w:val="16"/>
                <w:lang w:eastAsia="en-AU"/>
              </w:rPr>
            </w:pPr>
            <w:r w:rsidRPr="00B20AC3">
              <w:rPr>
                <w:rFonts w:ascii="Arial Narrow" w:hAnsi="Arial Narrow"/>
                <w:sz w:val="20"/>
                <w:szCs w:val="16"/>
                <w:lang w:eastAsia="en-AU"/>
              </w:rPr>
              <w:t>HR</w:t>
            </w:r>
            <w:r>
              <w:rPr>
                <w:rFonts w:ascii="Arial Narrow" w:hAnsi="Arial Narrow"/>
                <w:sz w:val="20"/>
                <w:szCs w:val="16"/>
                <w:lang w:eastAsia="en-AU"/>
              </w:rPr>
              <w:t xml:space="preserve"> </w:t>
            </w:r>
            <w:r w:rsidRPr="00B20AC3">
              <w:rPr>
                <w:rFonts w:ascii="Arial Narrow" w:hAnsi="Arial Narrow"/>
                <w:sz w:val="20"/>
                <w:szCs w:val="16"/>
                <w:lang w:eastAsia="en-AU"/>
              </w:rPr>
              <w:t>(95% CI)</w:t>
            </w:r>
          </w:p>
        </w:tc>
        <w:tc>
          <w:tcPr>
            <w:tcW w:w="4252" w:type="dxa"/>
            <w:vAlign w:val="center"/>
          </w:tcPr>
          <w:p w:rsidR="00E36E9E" w:rsidRPr="00B20AC3" w:rsidRDefault="00F60B7B" w:rsidP="002F6883">
            <w:pPr>
              <w:widowControl/>
              <w:jc w:val="center"/>
              <w:rPr>
                <w:rFonts w:ascii="Arial Narrow" w:hAnsi="Arial Narrow"/>
                <w:sz w:val="20"/>
                <w:szCs w:val="16"/>
                <w:lang w:eastAsia="en-AU"/>
              </w:rPr>
            </w:pPr>
            <w:r>
              <w:rPr>
                <w:rFonts w:ascii="Arial Narrow" w:hAnsi="Arial Narrow"/>
                <w:noProof/>
                <w:color w:val="000000"/>
                <w:sz w:val="20"/>
                <w:szCs w:val="16"/>
                <w:highlight w:val="black"/>
                <w:lang w:eastAsia="en-AU"/>
              </w:rPr>
              <w:t>''''''''''</w:t>
            </w:r>
            <w:r w:rsidR="00E36E9E">
              <w:rPr>
                <w:rFonts w:ascii="Arial Narrow" w:hAnsi="Arial Narrow"/>
                <w:sz w:val="20"/>
                <w:szCs w:val="16"/>
                <w:lang w:eastAsia="en-AU"/>
              </w:rPr>
              <w:t xml:space="preserve"> </w:t>
            </w:r>
            <w:r w:rsidR="00E36E9E" w:rsidRPr="00B20AC3">
              <w:rPr>
                <w:rFonts w:ascii="Arial Narrow" w:hAnsi="Arial Narrow"/>
                <w:sz w:val="20"/>
                <w:szCs w:val="16"/>
                <w:lang w:eastAsia="en-AU"/>
              </w:rPr>
              <w:t>(</w:t>
            </w: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 xml:space="preserve">, </w:t>
            </w:r>
            <w:r>
              <w:rPr>
                <w:rFonts w:ascii="Arial Narrow" w:hAnsi="Arial Narrow"/>
                <w:noProof/>
                <w:color w:val="000000"/>
                <w:sz w:val="20"/>
                <w:szCs w:val="16"/>
                <w:highlight w:val="black"/>
                <w:lang w:eastAsia="en-AU"/>
              </w:rPr>
              <w:t>''''''''''</w:t>
            </w:r>
            <w:r w:rsidR="00E36E9E" w:rsidRPr="00B20AC3">
              <w:rPr>
                <w:rFonts w:ascii="Arial Narrow" w:hAnsi="Arial Narrow"/>
                <w:sz w:val="20"/>
                <w:szCs w:val="16"/>
                <w:lang w:eastAsia="en-AU"/>
              </w:rPr>
              <w:t>)</w:t>
            </w:r>
          </w:p>
        </w:tc>
      </w:tr>
    </w:tbl>
    <w:p w:rsidR="00E36E9E" w:rsidRPr="00B20AC3" w:rsidRDefault="00E36E9E" w:rsidP="002F6883">
      <w:pPr>
        <w:widowControl/>
        <w:ind w:left="720"/>
        <w:rPr>
          <w:rFonts w:ascii="Arial Narrow" w:hAnsi="Arial Narrow"/>
          <w:bCs/>
          <w:sz w:val="18"/>
          <w:szCs w:val="16"/>
        </w:rPr>
      </w:pPr>
      <w:r w:rsidRPr="00B20AC3">
        <w:rPr>
          <w:rFonts w:ascii="Arial Narrow" w:hAnsi="Arial Narrow"/>
          <w:bCs/>
          <w:sz w:val="18"/>
          <w:szCs w:val="16"/>
        </w:rPr>
        <w:t>Abbreviations: CI=confidence interval; FVC = forced vi</w:t>
      </w:r>
      <w:r w:rsidR="00EB361A">
        <w:rPr>
          <w:rFonts w:ascii="Arial Narrow" w:hAnsi="Arial Narrow"/>
          <w:bCs/>
          <w:sz w:val="18"/>
          <w:szCs w:val="16"/>
        </w:rPr>
        <w:t>tal capacity; HR=hazard ratio.</w:t>
      </w:r>
    </w:p>
    <w:p w:rsidR="00E36E9E" w:rsidRPr="00E36E9E" w:rsidRDefault="00E36E9E" w:rsidP="002F6883">
      <w:pPr>
        <w:widowControl/>
        <w:ind w:left="720"/>
        <w:rPr>
          <w:rFonts w:ascii="Arial Narrow" w:hAnsi="Arial Narrow"/>
          <w:bCs/>
          <w:sz w:val="18"/>
          <w:szCs w:val="16"/>
        </w:rPr>
      </w:pPr>
      <w:r w:rsidRPr="00B20AC3">
        <w:rPr>
          <w:rFonts w:ascii="Arial Narrow" w:hAnsi="Arial Narrow"/>
          <w:bCs/>
          <w:sz w:val="18"/>
          <w:szCs w:val="16"/>
        </w:rPr>
        <w:t>Source: Table B(i).6.2, B(i).6.4</w:t>
      </w:r>
      <w:r>
        <w:rPr>
          <w:rFonts w:ascii="Arial Narrow" w:hAnsi="Arial Narrow"/>
          <w:bCs/>
          <w:sz w:val="18"/>
          <w:szCs w:val="16"/>
        </w:rPr>
        <w:t>-</w:t>
      </w:r>
      <w:r w:rsidRPr="00B20AC3">
        <w:rPr>
          <w:rFonts w:ascii="Arial Narrow" w:hAnsi="Arial Narrow"/>
          <w:bCs/>
          <w:sz w:val="18"/>
          <w:szCs w:val="16"/>
        </w:rPr>
        <w:t xml:space="preserve"> B(i).6.5, p27, 29</w:t>
      </w:r>
      <w:r>
        <w:rPr>
          <w:rFonts w:ascii="Arial Narrow" w:hAnsi="Arial Narrow"/>
          <w:bCs/>
          <w:sz w:val="18"/>
          <w:szCs w:val="16"/>
        </w:rPr>
        <w:t>-</w:t>
      </w:r>
      <w:r w:rsidRPr="00B20AC3">
        <w:rPr>
          <w:rFonts w:ascii="Arial Narrow" w:hAnsi="Arial Narrow"/>
          <w:bCs/>
          <w:sz w:val="18"/>
          <w:szCs w:val="16"/>
        </w:rPr>
        <w:t>30 of Section B-</w:t>
      </w:r>
      <w:r>
        <w:rPr>
          <w:rFonts w:ascii="Arial Narrow" w:hAnsi="Arial Narrow"/>
          <w:bCs/>
          <w:sz w:val="18"/>
          <w:szCs w:val="16"/>
        </w:rPr>
        <w:t xml:space="preserve">ICRT of the current </w:t>
      </w:r>
      <w:r w:rsidR="00543609">
        <w:rPr>
          <w:rFonts w:ascii="Arial Narrow" w:hAnsi="Arial Narrow"/>
          <w:bCs/>
          <w:sz w:val="18"/>
          <w:szCs w:val="16"/>
        </w:rPr>
        <w:t>resubmission</w:t>
      </w:r>
    </w:p>
    <w:p w:rsidR="00E36E9E" w:rsidRPr="007C13C1" w:rsidRDefault="00E36E9E" w:rsidP="007C13C1">
      <w:pPr>
        <w:widowControl/>
        <w:rPr>
          <w:szCs w:val="22"/>
        </w:rPr>
      </w:pPr>
    </w:p>
    <w:p w:rsidR="000B69BC" w:rsidRPr="00F90534" w:rsidRDefault="00E70EDD" w:rsidP="002F6883">
      <w:pPr>
        <w:pStyle w:val="ListParagraph"/>
        <w:widowControl/>
        <w:numPr>
          <w:ilvl w:val="1"/>
          <w:numId w:val="2"/>
        </w:numPr>
        <w:rPr>
          <w:szCs w:val="22"/>
        </w:rPr>
      </w:pPr>
      <w:r w:rsidRPr="000B69BC">
        <w:rPr>
          <w:szCs w:val="22"/>
        </w:rPr>
        <w:t>In November 2015,</w:t>
      </w:r>
      <w:r w:rsidR="001C0CC2" w:rsidRPr="000B69BC">
        <w:rPr>
          <w:szCs w:val="22"/>
        </w:rPr>
        <w:t xml:space="preserve"> the PBAC considered that interpretation of the indirect comparison with nintedanib was difficult given the differences in the trial populations and the outcomes. </w:t>
      </w:r>
      <w:r w:rsidR="000B69BC" w:rsidRPr="00F90534">
        <w:rPr>
          <w:szCs w:val="22"/>
        </w:rPr>
        <w:t xml:space="preserve">A network meta-analysis published by Loveman et al 2015 </w:t>
      </w:r>
      <w:r w:rsidR="000B69BC" w:rsidRPr="00330E86">
        <w:rPr>
          <w:szCs w:val="22"/>
        </w:rPr>
        <w:t>provided conflicting data which suggested</w:t>
      </w:r>
      <w:r w:rsidR="000B69BC" w:rsidRPr="00F90534">
        <w:rPr>
          <w:szCs w:val="22"/>
        </w:rPr>
        <w:t xml:space="preserve"> a trend to better overall survival for pirfenidone (OR = 1.39, 95% CI: 0.70, 2.82), but a superior benefit in slowing FVC decline for nintedanib (OR = 0.67, 95% CI: 0.51, 0.88) and a trend to better </w:t>
      </w:r>
      <w:r w:rsidR="000B69BC" w:rsidRPr="00F90534">
        <w:rPr>
          <w:szCs w:val="22"/>
        </w:rPr>
        <w:lastRenderedPageBreak/>
        <w:t>prevention of exacerbations with nintedanib (no OR provided but only nintedanib had a superior result to placebo). The PBAC considered both drugs are likely to be similarly clinically effective (November 2015 PSD, paragraph 7.11).</w:t>
      </w:r>
    </w:p>
    <w:p w:rsidR="00E70EDD" w:rsidRPr="007C13C1" w:rsidRDefault="00E70EDD" w:rsidP="007C13C1">
      <w:pPr>
        <w:widowControl/>
        <w:rPr>
          <w:szCs w:val="22"/>
        </w:rPr>
      </w:pPr>
    </w:p>
    <w:p w:rsidR="00E70EDD" w:rsidRPr="007E680E" w:rsidRDefault="00E5129B" w:rsidP="00E83D95">
      <w:pPr>
        <w:pStyle w:val="ListParagraph"/>
        <w:widowControl/>
        <w:numPr>
          <w:ilvl w:val="1"/>
          <w:numId w:val="2"/>
        </w:numPr>
        <w:rPr>
          <w:szCs w:val="22"/>
        </w:rPr>
      </w:pPr>
      <w:r w:rsidRPr="00E83D95">
        <w:rPr>
          <w:szCs w:val="22"/>
        </w:rPr>
        <w:t>A</w:t>
      </w:r>
      <w:r w:rsidR="009D6B57" w:rsidRPr="00E83D95">
        <w:rPr>
          <w:szCs w:val="22"/>
        </w:rPr>
        <w:t xml:space="preserve"> Bayesian </w:t>
      </w:r>
      <w:r w:rsidR="007E680E" w:rsidRPr="00E83D95">
        <w:rPr>
          <w:szCs w:val="22"/>
        </w:rPr>
        <w:t>m</w:t>
      </w:r>
      <w:r w:rsidR="009D6B57" w:rsidRPr="00E83D95">
        <w:rPr>
          <w:szCs w:val="22"/>
        </w:rPr>
        <w:t>eta-analysis by Rochwerg</w:t>
      </w:r>
      <w:r w:rsidR="009D6B57" w:rsidRPr="008C54CA">
        <w:rPr>
          <w:szCs w:val="22"/>
          <w:vertAlign w:val="superscript"/>
        </w:rPr>
        <w:footnoteReference w:id="1"/>
      </w:r>
      <w:r w:rsidR="009D6B57" w:rsidRPr="00E83D95">
        <w:rPr>
          <w:szCs w:val="22"/>
        </w:rPr>
        <w:t xml:space="preserve"> (2016)</w:t>
      </w:r>
      <w:r w:rsidR="007E680E" w:rsidRPr="00E83D95">
        <w:rPr>
          <w:szCs w:val="22"/>
        </w:rPr>
        <w:t xml:space="preserve"> compared </w:t>
      </w:r>
      <w:r w:rsidR="009D6B57" w:rsidRPr="00E83D95">
        <w:rPr>
          <w:szCs w:val="22"/>
        </w:rPr>
        <w:t xml:space="preserve">treatments for IPF and </w:t>
      </w:r>
      <w:r w:rsidR="007E680E" w:rsidRPr="00E83D95">
        <w:rPr>
          <w:szCs w:val="22"/>
        </w:rPr>
        <w:t xml:space="preserve">graded </w:t>
      </w:r>
      <w:r w:rsidR="009D6B57" w:rsidRPr="00E83D95">
        <w:rPr>
          <w:szCs w:val="22"/>
        </w:rPr>
        <w:t>the available evidence using GRADE criteria. The authors concluded that there was no significant difference between nintedanib and pirfenidone, and that the certainty of the evidence for this was moderate. These results were consistent with those of Loveman (2015).</w:t>
      </w:r>
    </w:p>
    <w:p w:rsidR="007E680E" w:rsidRPr="007C13C1" w:rsidRDefault="007E680E" w:rsidP="007C13C1">
      <w:pPr>
        <w:widowControl/>
        <w:rPr>
          <w:szCs w:val="22"/>
        </w:rPr>
      </w:pPr>
    </w:p>
    <w:p w:rsidR="000B69BC" w:rsidRPr="00935D7C" w:rsidRDefault="004A5276" w:rsidP="002F6883">
      <w:pPr>
        <w:pStyle w:val="ListParagraph"/>
        <w:widowControl/>
        <w:numPr>
          <w:ilvl w:val="1"/>
          <w:numId w:val="2"/>
        </w:numPr>
        <w:rPr>
          <w:szCs w:val="22"/>
        </w:rPr>
      </w:pPr>
      <w:r w:rsidRPr="00935D7C">
        <w:t xml:space="preserve">Since the evaluation, </w:t>
      </w:r>
      <w:r w:rsidRPr="00935D7C">
        <w:rPr>
          <w:szCs w:val="22"/>
        </w:rPr>
        <w:t>an additional meta-analysis</w:t>
      </w:r>
      <w:r w:rsidRPr="00935D7C">
        <w:t xml:space="preserve"> </w:t>
      </w:r>
      <w:r w:rsidR="00E85E33">
        <w:t>(</w:t>
      </w:r>
      <w:r w:rsidRPr="00935D7C">
        <w:t>Rogliani et al 2016</w:t>
      </w:r>
      <w:r w:rsidRPr="00935D7C">
        <w:rPr>
          <w:rStyle w:val="FootnoteReference"/>
          <w:szCs w:val="22"/>
        </w:rPr>
        <w:footnoteReference w:id="2"/>
      </w:r>
      <w:r w:rsidR="00E85E33">
        <w:t>)</w:t>
      </w:r>
      <w:r w:rsidRPr="00935D7C">
        <w:t xml:space="preserve"> was identified. </w:t>
      </w:r>
      <w:r w:rsidRPr="00935D7C">
        <w:rPr>
          <w:szCs w:val="22"/>
        </w:rPr>
        <w:t xml:space="preserve">The findings in this publication appeared to be consistent with the conclusions in Loveman 2015, </w:t>
      </w:r>
      <w:r w:rsidR="000B69BC" w:rsidRPr="00935D7C">
        <w:rPr>
          <w:szCs w:val="22"/>
        </w:rPr>
        <w:t>suggesting a signal for greater effectiveness for nintedanib in slowing decline in FVC, compared with pirfenidone. The ESC noted the concluding statement in the paper that “the precautionary approach of…not strongly recommending specific medication for use in IPF is understandable. Further precaution should be taken in transposing the resul</w:t>
      </w:r>
      <w:r w:rsidR="001271A2">
        <w:rPr>
          <w:szCs w:val="22"/>
        </w:rPr>
        <w:t>ts obtained from different meta</w:t>
      </w:r>
      <w:r w:rsidR="001271A2">
        <w:rPr>
          <w:szCs w:val="22"/>
        </w:rPr>
        <w:noBreakHyphen/>
      </w:r>
      <w:r w:rsidR="000B69BC" w:rsidRPr="00935D7C">
        <w:rPr>
          <w:szCs w:val="22"/>
        </w:rPr>
        <w:t>analysis in every day clinical practice…methodolo</w:t>
      </w:r>
      <w:r w:rsidR="001271A2">
        <w:rPr>
          <w:szCs w:val="22"/>
        </w:rPr>
        <w:t>gical discrepancies across meta</w:t>
      </w:r>
      <w:r w:rsidR="001271A2">
        <w:rPr>
          <w:szCs w:val="22"/>
        </w:rPr>
        <w:noBreakHyphen/>
      </w:r>
      <w:r w:rsidR="000B69BC" w:rsidRPr="00935D7C">
        <w:rPr>
          <w:szCs w:val="22"/>
        </w:rPr>
        <w:t>analysis may led [sic] to different results.”</w:t>
      </w:r>
    </w:p>
    <w:p w:rsidR="00C91E12" w:rsidRPr="00882085" w:rsidRDefault="00C91E12" w:rsidP="002F6883">
      <w:pPr>
        <w:widowControl/>
        <w:rPr>
          <w:szCs w:val="22"/>
        </w:rPr>
      </w:pPr>
    </w:p>
    <w:p w:rsidR="00B60939" w:rsidRPr="009332D7" w:rsidRDefault="00B60939" w:rsidP="001271A2">
      <w:pPr>
        <w:pStyle w:val="Heading2"/>
        <w:keepNext/>
      </w:pPr>
      <w:bookmarkStart w:id="10" w:name="_Toc461547429"/>
      <w:r w:rsidRPr="009332D7">
        <w:t>Comparative harms</w:t>
      </w:r>
      <w:bookmarkEnd w:id="10"/>
    </w:p>
    <w:p w:rsidR="00B60939" w:rsidRPr="00882085" w:rsidRDefault="00B60939" w:rsidP="001271A2">
      <w:pPr>
        <w:keepNext/>
        <w:widowControl/>
        <w:ind w:left="720" w:hanging="720"/>
        <w:rPr>
          <w:szCs w:val="22"/>
        </w:rPr>
      </w:pPr>
    </w:p>
    <w:p w:rsidR="00B60939" w:rsidRPr="001271A2" w:rsidRDefault="00C9750B" w:rsidP="002F6883">
      <w:pPr>
        <w:pStyle w:val="ListParagraph"/>
        <w:widowControl/>
        <w:numPr>
          <w:ilvl w:val="1"/>
          <w:numId w:val="2"/>
        </w:numPr>
        <w:rPr>
          <w:szCs w:val="22"/>
        </w:rPr>
      </w:pPr>
      <w:r w:rsidRPr="00C9750B">
        <w:t xml:space="preserve">Key results from the meta-analyses of safety outcomes are presented in Table </w:t>
      </w:r>
      <w:r w:rsidR="00F15FC2">
        <w:t>6</w:t>
      </w:r>
      <w:r w:rsidR="000B56CB">
        <w:t>.</w:t>
      </w:r>
    </w:p>
    <w:p w:rsidR="001271A2" w:rsidRPr="007C13C1" w:rsidRDefault="001271A2" w:rsidP="001271A2">
      <w:pPr>
        <w:widowControl/>
        <w:rPr>
          <w:szCs w:val="22"/>
        </w:rPr>
      </w:pPr>
    </w:p>
    <w:p w:rsidR="00E36E9E" w:rsidRPr="00413325" w:rsidRDefault="00E36E9E" w:rsidP="002F6883">
      <w:pPr>
        <w:keepNext/>
        <w:widowControl/>
        <w:ind w:left="720"/>
        <w:rPr>
          <w:rStyle w:val="CommentReference"/>
        </w:rPr>
      </w:pPr>
      <w:r>
        <w:rPr>
          <w:rStyle w:val="CommentReference"/>
        </w:rPr>
        <w:lastRenderedPageBreak/>
        <w:t xml:space="preserve">Table </w:t>
      </w:r>
      <w:r w:rsidR="00F15FC2">
        <w:rPr>
          <w:rStyle w:val="CommentReference"/>
        </w:rPr>
        <w:t>6</w:t>
      </w:r>
      <w:r>
        <w:rPr>
          <w:rStyle w:val="CommentReference"/>
        </w:rPr>
        <w:t>: Summary of the meta-analyses of key safety outcomes from the pirfenidone trials</w:t>
      </w:r>
    </w:p>
    <w:tbl>
      <w:tblPr>
        <w:tblStyle w:val="TableGrid"/>
        <w:tblW w:w="8335" w:type="dxa"/>
        <w:tblInd w:w="748" w:type="dxa"/>
        <w:tblLayout w:type="fixed"/>
        <w:tblCellMar>
          <w:left w:w="28" w:type="dxa"/>
          <w:right w:w="28" w:type="dxa"/>
        </w:tblCellMar>
        <w:tblLook w:val="04A0" w:firstRow="1" w:lastRow="0" w:firstColumn="1" w:lastColumn="0" w:noHBand="0" w:noVBand="1"/>
        <w:tblCaption w:val="Table 6: Summary of the meta-analyses of key safety outcomes from the pirfenidone trials"/>
        <w:tblDescription w:val="Table 6: Summary of the meta-analyses of key safety outcomes from the pirfenidone trials"/>
      </w:tblPr>
      <w:tblGrid>
        <w:gridCol w:w="1690"/>
        <w:gridCol w:w="1843"/>
        <w:gridCol w:w="4802"/>
      </w:tblGrid>
      <w:tr w:rsidR="00E70EDD" w:rsidTr="00E70EDD">
        <w:trPr>
          <w:tblHeader/>
        </w:trPr>
        <w:tc>
          <w:tcPr>
            <w:tcW w:w="3533" w:type="dxa"/>
            <w:gridSpan w:val="2"/>
            <w:vAlign w:val="center"/>
          </w:tcPr>
          <w:p w:rsidR="00E70EDD" w:rsidRPr="00E5129B" w:rsidRDefault="00E5129B" w:rsidP="002F6883">
            <w:pPr>
              <w:keepNext/>
              <w:widowControl/>
              <w:jc w:val="left"/>
              <w:rPr>
                <w:rStyle w:val="CommentReference"/>
              </w:rPr>
            </w:pPr>
            <w:r w:rsidRPr="00E5129B">
              <w:rPr>
                <w:rStyle w:val="CommentReference"/>
              </w:rPr>
              <w:t>Safety outcomes</w:t>
            </w:r>
          </w:p>
        </w:tc>
        <w:tc>
          <w:tcPr>
            <w:tcW w:w="4802" w:type="dxa"/>
            <w:vAlign w:val="center"/>
          </w:tcPr>
          <w:p w:rsidR="00E70EDD" w:rsidRPr="00DB3DE1" w:rsidRDefault="00E70EDD" w:rsidP="002F6883">
            <w:pPr>
              <w:keepNext/>
              <w:widowControl/>
              <w:jc w:val="center"/>
              <w:rPr>
                <w:rStyle w:val="CommentReference"/>
              </w:rPr>
            </w:pPr>
            <w:r w:rsidRPr="00DB3DE1">
              <w:rPr>
                <w:rStyle w:val="CommentReference"/>
              </w:rPr>
              <w:t>Meta</w:t>
            </w:r>
            <w:r>
              <w:rPr>
                <w:rStyle w:val="CommentReference"/>
              </w:rPr>
              <w:t>-</w:t>
            </w:r>
            <w:r w:rsidRPr="00DB3DE1">
              <w:rPr>
                <w:rStyle w:val="CommentReference"/>
              </w:rPr>
              <w:t>analysis</w:t>
            </w:r>
            <w:r>
              <w:rPr>
                <w:rStyle w:val="CommentReference"/>
              </w:rPr>
              <w:t>*</w:t>
            </w:r>
            <w:r w:rsidRPr="00DB3DE1">
              <w:rPr>
                <w:rStyle w:val="CommentReference"/>
              </w:rPr>
              <w:t xml:space="preserve"> (</w:t>
            </w:r>
            <w:r>
              <w:rPr>
                <w:rStyle w:val="CommentReference"/>
              </w:rPr>
              <w:t>ASCEND, CAPACITY 1 and 2</w:t>
            </w:r>
            <w:r w:rsidRPr="00DB3DE1">
              <w:rPr>
                <w:rStyle w:val="CommentReference"/>
              </w:rPr>
              <w:t>): RR (95% CI)</w:t>
            </w:r>
          </w:p>
        </w:tc>
      </w:tr>
      <w:tr w:rsidR="00E70EDD" w:rsidTr="00E70EDD">
        <w:tc>
          <w:tcPr>
            <w:tcW w:w="8335" w:type="dxa"/>
            <w:gridSpan w:val="3"/>
            <w:vAlign w:val="center"/>
          </w:tcPr>
          <w:p w:rsidR="00E70EDD" w:rsidRPr="00DB3DE1" w:rsidRDefault="00E70EDD" w:rsidP="002F6883">
            <w:pPr>
              <w:keepNext/>
              <w:widowControl/>
              <w:jc w:val="left"/>
              <w:rPr>
                <w:rStyle w:val="CommentReference"/>
              </w:rPr>
            </w:pPr>
            <w:r>
              <w:rPr>
                <w:rStyle w:val="CommentReference"/>
              </w:rPr>
              <w:t>Overall safety outcomes</w:t>
            </w:r>
          </w:p>
        </w:tc>
      </w:tr>
      <w:tr w:rsidR="00E70EDD" w:rsidTr="00E70EDD">
        <w:tc>
          <w:tcPr>
            <w:tcW w:w="3533" w:type="dxa"/>
            <w:gridSpan w:val="2"/>
            <w:vAlign w:val="center"/>
          </w:tcPr>
          <w:p w:rsidR="00E70EDD" w:rsidRDefault="00E70EDD" w:rsidP="002F6883">
            <w:pPr>
              <w:keepNext/>
              <w:widowControl/>
              <w:jc w:val="left"/>
              <w:rPr>
                <w:rStyle w:val="CommentReference"/>
                <w:b w:val="0"/>
              </w:rPr>
            </w:pPr>
            <w:r>
              <w:rPr>
                <w:rStyle w:val="CommentReference"/>
                <w:b w:val="0"/>
              </w:rPr>
              <w:t>Number of patients with any TEAEs</w:t>
            </w:r>
          </w:p>
        </w:tc>
        <w:tc>
          <w:tcPr>
            <w:tcW w:w="4802" w:type="dxa"/>
            <w:vAlign w:val="center"/>
          </w:tcPr>
          <w:p w:rsidR="00E70EDD" w:rsidRPr="00F60B7B" w:rsidRDefault="00F60B7B" w:rsidP="002F6883">
            <w:pPr>
              <w:keepNext/>
              <w:widowControl/>
              <w:jc w:val="center"/>
              <w:rPr>
                <w:rStyle w:val="CommentReference"/>
                <w:b w:val="0"/>
                <w:highlight w:val="black"/>
              </w:rPr>
            </w:pPr>
            <w:r>
              <w:rPr>
                <w:rStyle w:val="CommentReference"/>
                <w:b w:val="0"/>
                <w:noProof/>
                <w:color w:val="000000"/>
                <w:highlight w:val="black"/>
              </w:rPr>
              <w:t>'''''''''' ''''''''''''' ''''''''''''</w:t>
            </w:r>
          </w:p>
        </w:tc>
      </w:tr>
      <w:tr w:rsidR="00E70EDD" w:rsidTr="00E70EDD">
        <w:tc>
          <w:tcPr>
            <w:tcW w:w="3533" w:type="dxa"/>
            <w:gridSpan w:val="2"/>
            <w:vAlign w:val="center"/>
          </w:tcPr>
          <w:p w:rsidR="00E70EDD" w:rsidRDefault="0066527C" w:rsidP="002F6883">
            <w:pPr>
              <w:keepNext/>
              <w:widowControl/>
              <w:jc w:val="left"/>
              <w:rPr>
                <w:rStyle w:val="CommentReference"/>
                <w:b w:val="0"/>
              </w:rPr>
            </w:pPr>
            <w:r>
              <w:rPr>
                <w:rStyle w:val="CommentReference"/>
                <w:b w:val="0"/>
              </w:rPr>
              <w:t>Any treatment related</w:t>
            </w:r>
            <w:r w:rsidR="00E70EDD">
              <w:rPr>
                <w:rStyle w:val="CommentReference"/>
                <w:b w:val="0"/>
              </w:rPr>
              <w:t xml:space="preserve"> TEAEs</w:t>
            </w:r>
          </w:p>
        </w:tc>
        <w:tc>
          <w:tcPr>
            <w:tcW w:w="4802" w:type="dxa"/>
            <w:vAlign w:val="center"/>
          </w:tcPr>
          <w:p w:rsidR="00E70EDD" w:rsidRPr="00F60B7B" w:rsidRDefault="00F60B7B" w:rsidP="002F6883">
            <w:pPr>
              <w:keepNext/>
              <w:widowControl/>
              <w:jc w:val="center"/>
              <w:rPr>
                <w:rStyle w:val="CommentReference"/>
                <w:b w:val="0"/>
                <w:highlight w:val="black"/>
              </w:rPr>
            </w:pPr>
            <w:r>
              <w:rPr>
                <w:rStyle w:val="CommentReference"/>
                <w:b w:val="0"/>
                <w:noProof/>
                <w:color w:val="000000"/>
                <w:highlight w:val="black"/>
              </w:rPr>
              <w:t>'''''''''' ''''''''''''' '''''''''''''</w:t>
            </w:r>
          </w:p>
        </w:tc>
      </w:tr>
      <w:tr w:rsidR="00E70EDD" w:rsidTr="00E70EDD">
        <w:tc>
          <w:tcPr>
            <w:tcW w:w="3533" w:type="dxa"/>
            <w:gridSpan w:val="2"/>
            <w:vAlign w:val="center"/>
          </w:tcPr>
          <w:p w:rsidR="00E70EDD" w:rsidRDefault="00E70EDD" w:rsidP="002F6883">
            <w:pPr>
              <w:keepNext/>
              <w:widowControl/>
              <w:jc w:val="left"/>
              <w:rPr>
                <w:rStyle w:val="CommentReference"/>
                <w:b w:val="0"/>
              </w:rPr>
            </w:pPr>
            <w:r>
              <w:rPr>
                <w:rStyle w:val="CommentReference"/>
                <w:b w:val="0"/>
              </w:rPr>
              <w:t>Patients with AEs leading to discontinuation</w:t>
            </w:r>
          </w:p>
        </w:tc>
        <w:tc>
          <w:tcPr>
            <w:tcW w:w="4802" w:type="dxa"/>
            <w:vAlign w:val="center"/>
          </w:tcPr>
          <w:p w:rsidR="00E70EDD" w:rsidRPr="00F60B7B" w:rsidRDefault="00F60B7B" w:rsidP="002F6883">
            <w:pPr>
              <w:keepNext/>
              <w:widowControl/>
              <w:jc w:val="center"/>
              <w:rPr>
                <w:rStyle w:val="CommentReference"/>
                <w:b w:val="0"/>
                <w:highlight w:val="black"/>
              </w:rPr>
            </w:pPr>
            <w:r>
              <w:rPr>
                <w:rStyle w:val="CommentReference"/>
                <w:b w:val="0"/>
                <w:noProof/>
                <w:color w:val="000000"/>
                <w:highlight w:val="black"/>
              </w:rPr>
              <w:t>''''''''''' ''''''''''''''' ''''''''''''</w:t>
            </w:r>
          </w:p>
        </w:tc>
      </w:tr>
      <w:tr w:rsidR="00E70EDD" w:rsidTr="00E70EDD">
        <w:tc>
          <w:tcPr>
            <w:tcW w:w="3533" w:type="dxa"/>
            <w:gridSpan w:val="2"/>
            <w:vAlign w:val="center"/>
          </w:tcPr>
          <w:p w:rsidR="00E70EDD" w:rsidRDefault="00E70EDD" w:rsidP="002F6883">
            <w:pPr>
              <w:keepNext/>
              <w:widowControl/>
              <w:jc w:val="left"/>
              <w:rPr>
                <w:rStyle w:val="CommentReference"/>
                <w:b w:val="0"/>
              </w:rPr>
            </w:pPr>
            <w:r>
              <w:rPr>
                <w:rStyle w:val="CommentReference"/>
                <w:b w:val="0"/>
              </w:rPr>
              <w:t>Patients with treatment emergent SAEs</w:t>
            </w:r>
          </w:p>
        </w:tc>
        <w:tc>
          <w:tcPr>
            <w:tcW w:w="4802" w:type="dxa"/>
            <w:vAlign w:val="center"/>
          </w:tcPr>
          <w:p w:rsidR="00E70EDD" w:rsidRPr="00F60B7B" w:rsidRDefault="00F60B7B" w:rsidP="002F6883">
            <w:pPr>
              <w:keepNext/>
              <w:widowControl/>
              <w:jc w:val="center"/>
              <w:rPr>
                <w:rStyle w:val="CommentReference"/>
                <w:b w:val="0"/>
                <w:highlight w:val="black"/>
              </w:rPr>
            </w:pPr>
            <w:r>
              <w:rPr>
                <w:rStyle w:val="CommentReference"/>
                <w:b w:val="0"/>
                <w:noProof/>
                <w:color w:val="000000"/>
                <w:highlight w:val="black"/>
              </w:rPr>
              <w:t>'''''''''' ''''''''''''''' '''''''''''''</w:t>
            </w:r>
          </w:p>
        </w:tc>
      </w:tr>
      <w:tr w:rsidR="00E70EDD" w:rsidTr="00E70EDD">
        <w:tc>
          <w:tcPr>
            <w:tcW w:w="8335" w:type="dxa"/>
            <w:gridSpan w:val="3"/>
            <w:vAlign w:val="center"/>
          </w:tcPr>
          <w:p w:rsidR="00E70EDD" w:rsidRPr="00612414" w:rsidRDefault="00E70EDD" w:rsidP="002F6883">
            <w:pPr>
              <w:keepNext/>
              <w:widowControl/>
              <w:jc w:val="left"/>
              <w:rPr>
                <w:rStyle w:val="CommentReference"/>
                <w:b w:val="0"/>
              </w:rPr>
            </w:pPr>
            <w:r>
              <w:rPr>
                <w:rStyle w:val="CommentReference"/>
              </w:rPr>
              <w:t>Common adverse events (&gt;5%)</w:t>
            </w:r>
          </w:p>
        </w:tc>
      </w:tr>
      <w:tr w:rsidR="00E70EDD" w:rsidTr="00E70EDD">
        <w:tc>
          <w:tcPr>
            <w:tcW w:w="1690" w:type="dxa"/>
            <w:vMerge w:val="restart"/>
            <w:vAlign w:val="center"/>
          </w:tcPr>
          <w:p w:rsidR="00E70EDD" w:rsidRDefault="00E70EDD" w:rsidP="002F6883">
            <w:pPr>
              <w:keepNext/>
              <w:widowControl/>
              <w:jc w:val="left"/>
              <w:rPr>
                <w:rStyle w:val="CommentReference"/>
                <w:b w:val="0"/>
              </w:rPr>
            </w:pPr>
            <w:r>
              <w:rPr>
                <w:rStyle w:val="CommentReference"/>
                <w:b w:val="0"/>
              </w:rPr>
              <w:t>Gastrointestinal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Stomach discomfort</w:t>
            </w:r>
          </w:p>
        </w:tc>
        <w:tc>
          <w:tcPr>
            <w:tcW w:w="4802" w:type="dxa"/>
            <w:vAlign w:val="center"/>
          </w:tcPr>
          <w:p w:rsidR="00E70EDD" w:rsidRPr="00F60B7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Dyspepsia</w:t>
            </w:r>
          </w:p>
        </w:tc>
        <w:tc>
          <w:tcPr>
            <w:tcW w:w="4802" w:type="dxa"/>
            <w:vAlign w:val="center"/>
          </w:tcPr>
          <w:p w:rsidR="00E70EDD" w:rsidRPr="00F60B7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Nausea</w:t>
            </w:r>
          </w:p>
        </w:tc>
        <w:tc>
          <w:tcPr>
            <w:tcW w:w="4802" w:type="dxa"/>
            <w:vAlign w:val="center"/>
          </w:tcPr>
          <w:p w:rsidR="00E70EDD" w:rsidRPr="00F60B7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GORD</w:t>
            </w:r>
          </w:p>
        </w:tc>
        <w:tc>
          <w:tcPr>
            <w:tcW w:w="4802" w:type="dxa"/>
            <w:vAlign w:val="center"/>
          </w:tcPr>
          <w:p w:rsidR="00E70EDD" w:rsidRPr="00F60B7B" w:rsidRDefault="00F60B7B" w:rsidP="002F6883">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E70EDD" w:rsidTr="00E70EDD">
        <w:tc>
          <w:tcPr>
            <w:tcW w:w="1690" w:type="dxa"/>
            <w:vMerge w:val="restart"/>
            <w:vAlign w:val="center"/>
          </w:tcPr>
          <w:p w:rsidR="00E70EDD" w:rsidRDefault="00E70EDD" w:rsidP="002F6883">
            <w:pPr>
              <w:keepNext/>
              <w:widowControl/>
              <w:jc w:val="left"/>
              <w:rPr>
                <w:rStyle w:val="CommentReference"/>
                <w:b w:val="0"/>
              </w:rPr>
            </w:pPr>
            <w:r>
              <w:rPr>
                <w:rStyle w:val="CommentReference"/>
                <w:b w:val="0"/>
              </w:rPr>
              <w:t>General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Asthenia</w:t>
            </w:r>
          </w:p>
        </w:tc>
        <w:tc>
          <w:tcPr>
            <w:tcW w:w="4802" w:type="dxa"/>
            <w:vAlign w:val="center"/>
          </w:tcPr>
          <w:p w:rsidR="00E70EDD" w:rsidRPr="00F60B7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Del="009F390B"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Fatigue</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Del="009F390B"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Oedema peripheral</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Align w:val="center"/>
          </w:tcPr>
          <w:p w:rsidR="00E70EDD" w:rsidDel="009F390B" w:rsidRDefault="00E70EDD" w:rsidP="002F6883">
            <w:pPr>
              <w:keepNext/>
              <w:widowControl/>
              <w:jc w:val="left"/>
              <w:rPr>
                <w:rStyle w:val="CommentReference"/>
                <w:b w:val="0"/>
              </w:rPr>
            </w:pPr>
            <w:r>
              <w:rPr>
                <w:rStyle w:val="CommentReference"/>
                <w:b w:val="0"/>
              </w:rPr>
              <w:t>Investigations</w:t>
            </w:r>
          </w:p>
        </w:tc>
        <w:tc>
          <w:tcPr>
            <w:tcW w:w="1843" w:type="dxa"/>
            <w:vAlign w:val="center"/>
          </w:tcPr>
          <w:p w:rsidR="00E70EDD" w:rsidRDefault="00E70EDD" w:rsidP="002F6883">
            <w:pPr>
              <w:keepNext/>
              <w:widowControl/>
              <w:jc w:val="left"/>
              <w:rPr>
                <w:rStyle w:val="CommentReference"/>
                <w:b w:val="0"/>
              </w:rPr>
            </w:pPr>
            <w:r>
              <w:rPr>
                <w:rStyle w:val="CommentReference"/>
                <w:b w:val="0"/>
              </w:rPr>
              <w:t>Weight decreased</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restart"/>
            <w:vAlign w:val="center"/>
          </w:tcPr>
          <w:p w:rsidR="00E70EDD" w:rsidDel="009F390B" w:rsidRDefault="00E70EDD" w:rsidP="002F6883">
            <w:pPr>
              <w:keepNext/>
              <w:widowControl/>
              <w:jc w:val="left"/>
              <w:rPr>
                <w:rStyle w:val="CommentReference"/>
                <w:b w:val="0"/>
              </w:rPr>
            </w:pPr>
            <w:r>
              <w:rPr>
                <w:rStyle w:val="CommentReference"/>
                <w:b w:val="0"/>
              </w:rPr>
              <w:t>Metabolism and nutrition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Anorexia</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Del="009F390B"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Decreased appetite</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restart"/>
            <w:vAlign w:val="center"/>
          </w:tcPr>
          <w:p w:rsidR="00E70EDD" w:rsidDel="009F390B" w:rsidRDefault="00E70EDD" w:rsidP="002F6883">
            <w:pPr>
              <w:keepNext/>
              <w:widowControl/>
              <w:jc w:val="left"/>
              <w:rPr>
                <w:rStyle w:val="CommentReference"/>
                <w:b w:val="0"/>
              </w:rPr>
            </w:pPr>
            <w:r>
              <w:rPr>
                <w:rStyle w:val="CommentReference"/>
                <w:b w:val="0"/>
              </w:rPr>
              <w:t>Nervous system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Dysgeusia</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Del="009F390B"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Dizziness</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Align w:val="center"/>
          </w:tcPr>
          <w:p w:rsidR="00E70EDD" w:rsidDel="009F390B" w:rsidRDefault="00E70EDD" w:rsidP="002F6883">
            <w:pPr>
              <w:keepNext/>
              <w:widowControl/>
              <w:jc w:val="left"/>
              <w:rPr>
                <w:rStyle w:val="CommentReference"/>
                <w:b w:val="0"/>
              </w:rPr>
            </w:pPr>
            <w:r>
              <w:rPr>
                <w:rStyle w:val="CommentReference"/>
                <w:b w:val="0"/>
              </w:rPr>
              <w:t>Psychiatric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Insomnia</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Align w:val="center"/>
          </w:tcPr>
          <w:p w:rsidR="00E70EDD" w:rsidDel="009F390B" w:rsidRDefault="00E70EDD" w:rsidP="002F6883">
            <w:pPr>
              <w:keepNext/>
              <w:widowControl/>
              <w:jc w:val="left"/>
              <w:rPr>
                <w:rStyle w:val="CommentReference"/>
                <w:b w:val="0"/>
              </w:rPr>
            </w:pPr>
            <w:r>
              <w:rPr>
                <w:rStyle w:val="CommentReference"/>
                <w:b w:val="0"/>
              </w:rPr>
              <w:t>Respiratory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IPF</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restart"/>
            <w:vAlign w:val="center"/>
          </w:tcPr>
          <w:p w:rsidR="00E70EDD" w:rsidDel="009F390B" w:rsidRDefault="00E70EDD" w:rsidP="002F6883">
            <w:pPr>
              <w:keepNext/>
              <w:widowControl/>
              <w:jc w:val="left"/>
              <w:rPr>
                <w:rStyle w:val="CommentReference"/>
                <w:b w:val="0"/>
              </w:rPr>
            </w:pPr>
            <w:r>
              <w:rPr>
                <w:rStyle w:val="CommentReference"/>
                <w:b w:val="0"/>
              </w:rPr>
              <w:t>Skin &amp; subcutaneous tissue disorders</w:t>
            </w:r>
          </w:p>
        </w:tc>
        <w:tc>
          <w:tcPr>
            <w:tcW w:w="1843" w:type="dxa"/>
            <w:vAlign w:val="center"/>
          </w:tcPr>
          <w:p w:rsidR="00E70EDD" w:rsidRDefault="00E70EDD" w:rsidP="002F6883">
            <w:pPr>
              <w:keepNext/>
              <w:widowControl/>
              <w:jc w:val="left"/>
              <w:rPr>
                <w:rStyle w:val="CommentReference"/>
                <w:b w:val="0"/>
              </w:rPr>
            </w:pPr>
            <w:r>
              <w:rPr>
                <w:rStyle w:val="CommentReference"/>
                <w:b w:val="0"/>
              </w:rPr>
              <w:t>Photosensitivity reaction</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r w:rsidR="00E70EDD" w:rsidTr="00E70EDD">
        <w:tc>
          <w:tcPr>
            <w:tcW w:w="1690" w:type="dxa"/>
            <w:vMerge/>
            <w:vAlign w:val="center"/>
          </w:tcPr>
          <w:p w:rsidR="00E70EDD" w:rsidRDefault="00E70EDD" w:rsidP="002F6883">
            <w:pPr>
              <w:keepNext/>
              <w:widowControl/>
              <w:jc w:val="left"/>
              <w:rPr>
                <w:rStyle w:val="CommentReference"/>
                <w:b w:val="0"/>
              </w:rPr>
            </w:pPr>
          </w:p>
        </w:tc>
        <w:tc>
          <w:tcPr>
            <w:tcW w:w="1843" w:type="dxa"/>
            <w:vAlign w:val="center"/>
          </w:tcPr>
          <w:p w:rsidR="00E70EDD" w:rsidRDefault="00E70EDD" w:rsidP="002F6883">
            <w:pPr>
              <w:keepNext/>
              <w:widowControl/>
              <w:jc w:val="left"/>
              <w:rPr>
                <w:rStyle w:val="CommentReference"/>
                <w:b w:val="0"/>
              </w:rPr>
            </w:pPr>
            <w:r>
              <w:rPr>
                <w:rStyle w:val="CommentReference"/>
                <w:b w:val="0"/>
              </w:rPr>
              <w:t>Rash</w:t>
            </w:r>
          </w:p>
        </w:tc>
        <w:tc>
          <w:tcPr>
            <w:tcW w:w="4802" w:type="dxa"/>
            <w:vAlign w:val="center"/>
          </w:tcPr>
          <w:p w:rsidR="00E70EDD" w:rsidRPr="00F60B7B" w:rsidDel="009F390B" w:rsidRDefault="00F60B7B" w:rsidP="002F6883">
            <w:pPr>
              <w:keepNext/>
              <w:widowControl/>
              <w:jc w:val="center"/>
              <w:rPr>
                <w:rStyle w:val="CommentReference"/>
                <w:highlight w:val="black"/>
              </w:rPr>
            </w:pPr>
            <w:r>
              <w:rPr>
                <w:rFonts w:ascii="Arial Narrow" w:hAnsi="Arial Narrow"/>
                <w:noProof/>
                <w:color w:val="000000"/>
                <w:sz w:val="20"/>
                <w:highlight w:val="black"/>
              </w:rPr>
              <w:t>'''''''''' ''''''''''''''' ''''''''''''''</w:t>
            </w:r>
          </w:p>
        </w:tc>
      </w:tr>
    </w:tbl>
    <w:p w:rsidR="00E36E9E" w:rsidRDefault="00E36E9E" w:rsidP="002F6883">
      <w:pPr>
        <w:pStyle w:val="TableFooter"/>
        <w:keepNext/>
        <w:widowControl/>
        <w:ind w:left="720"/>
      </w:pPr>
      <w:r>
        <w:t>Abbreviations: AE= adverse event;</w:t>
      </w:r>
      <w:r w:rsidRPr="00C362EE">
        <w:t xml:space="preserve"> </w:t>
      </w:r>
      <w:r>
        <w:t>GORD = gastro-oesophageal reflux disease; IPF = idiopathic pulmonary fibrosis; SAE = serious adverse event;</w:t>
      </w:r>
      <w:r w:rsidRPr="00C362EE">
        <w:t xml:space="preserve"> </w:t>
      </w:r>
      <w:r>
        <w:t>TEAE = treatment emergent adverse event; RR=relative risk; 95% CI=95% confidence interval</w:t>
      </w:r>
    </w:p>
    <w:p w:rsidR="00E36E9E" w:rsidRPr="00F15FC2" w:rsidRDefault="00E36E9E" w:rsidP="002F6883">
      <w:pPr>
        <w:pStyle w:val="TableFooter"/>
        <w:keepNext/>
        <w:widowControl/>
        <w:ind w:left="720"/>
      </w:pPr>
      <w:r w:rsidRPr="00F15FC2">
        <w:t xml:space="preserve">* </w:t>
      </w:r>
      <w:r w:rsidR="00F15FC2">
        <w:t>The evaluation noted that i</w:t>
      </w:r>
      <w:r w:rsidRPr="00F15FC2">
        <w:t>t appear</w:t>
      </w:r>
      <w:r w:rsidR="00F15FC2">
        <w:t>ed</w:t>
      </w:r>
      <w:r w:rsidRPr="00F15FC2">
        <w:t xml:space="preserve"> that the submission used a fixed effects model in the meta-analyses of safety data.  This is not consistent with the PBAC Guidelines (Version 4.4, p107), which recommend the random effects model when conducting a meta-analysis. The re</w:t>
      </w:r>
      <w:r w:rsidR="00E5129B" w:rsidRPr="00F15FC2">
        <w:noBreakHyphen/>
      </w:r>
      <w:r w:rsidRPr="00F15FC2">
        <w:t xml:space="preserve">calculation of estimates was not feasible during the evaluation, due to the extensive number of adverse event items reported in the main body of the submission. Overall, it </w:t>
      </w:r>
      <w:r w:rsidR="00F15FC2">
        <w:t>wa</w:t>
      </w:r>
      <w:r w:rsidRPr="00F15FC2">
        <w:t>s unclear whether a random effects analysis would substantively impact on the interpretation of the s</w:t>
      </w:r>
      <w:r w:rsidR="007C13C1">
        <w:t>afety results.</w:t>
      </w:r>
    </w:p>
    <w:p w:rsidR="00E36E9E" w:rsidRPr="00612414" w:rsidRDefault="00E36E9E" w:rsidP="002F6883">
      <w:pPr>
        <w:pStyle w:val="TableFooter"/>
        <w:widowControl/>
        <w:ind w:left="720"/>
      </w:pPr>
      <w:r>
        <w:t xml:space="preserve">Source: Table B.6.9, p59 and Table B.6.10, p61-63, Section B-DRT of the submission of the current </w:t>
      </w:r>
      <w:r w:rsidR="00543609">
        <w:t>resubmission</w:t>
      </w:r>
    </w:p>
    <w:p w:rsidR="00E36E9E" w:rsidRPr="00C9750B" w:rsidRDefault="00E36E9E" w:rsidP="002F6883">
      <w:pPr>
        <w:widowControl/>
        <w:rPr>
          <w:szCs w:val="22"/>
        </w:rPr>
      </w:pPr>
    </w:p>
    <w:p w:rsidR="00B828BA" w:rsidRPr="00E85E33" w:rsidRDefault="009D6B57" w:rsidP="002F6883">
      <w:pPr>
        <w:pStyle w:val="ListParagraph"/>
        <w:widowControl/>
        <w:numPr>
          <w:ilvl w:val="1"/>
          <w:numId w:val="2"/>
        </w:numPr>
        <w:rPr>
          <w:szCs w:val="22"/>
        </w:rPr>
      </w:pPr>
      <w:r>
        <w:t xml:space="preserve">In November 2015, the </w:t>
      </w:r>
      <w:r w:rsidRPr="009D6B57">
        <w:t xml:space="preserve">PBAC noted </w:t>
      </w:r>
      <w:r>
        <w:t>“</w:t>
      </w:r>
      <w:r w:rsidRPr="009D6B57">
        <w:t>pirfenidone was associated with statistically significantly higher instances of adverse events in several items across system organ classes. The highest relative differences were observed in the skin and subcutaneous tissue disorders (photosensitivity reaction, rash) and gastrointestinal disorders (stomach discomfort, dyspepsia). Also</w:t>
      </w:r>
      <w:r w:rsidR="00F15FC2">
        <w:t>,</w:t>
      </w:r>
      <w:r w:rsidRPr="009D6B57">
        <w:t xml:space="preserve"> a significant increase was observed in gastro-oesophageal reflux disease, a known co-morbidity of IPF. A statistically significant reduction in peripheral oedema </w:t>
      </w:r>
      <w:r w:rsidR="00F15FC2">
        <w:t>w</w:t>
      </w:r>
      <w:r w:rsidRPr="009D6B57">
        <w:t>as observed.”</w:t>
      </w:r>
      <w:r>
        <w:t xml:space="preserve"> (November 2015 </w:t>
      </w:r>
      <w:r w:rsidR="00E5129B">
        <w:t>PSD</w:t>
      </w:r>
      <w:r>
        <w:t>, paragraph 7.10)</w:t>
      </w:r>
    </w:p>
    <w:p w:rsidR="00E85E33" w:rsidRPr="007C13C1" w:rsidRDefault="00E85E33" w:rsidP="002F6883">
      <w:pPr>
        <w:widowControl/>
        <w:rPr>
          <w:szCs w:val="22"/>
        </w:rPr>
      </w:pPr>
    </w:p>
    <w:p w:rsidR="00E85E33" w:rsidRPr="001406CF" w:rsidRDefault="00E85E33" w:rsidP="002F6883">
      <w:pPr>
        <w:pStyle w:val="ListParagraph"/>
        <w:widowControl/>
        <w:numPr>
          <w:ilvl w:val="1"/>
          <w:numId w:val="2"/>
        </w:numPr>
        <w:rPr>
          <w:szCs w:val="22"/>
        </w:rPr>
      </w:pPr>
      <w:r w:rsidRPr="001406CF">
        <w:rPr>
          <w:szCs w:val="22"/>
        </w:rPr>
        <w:t>Common (&gt;5%) adverse events associated with nintedanib include</w:t>
      </w:r>
      <w:r w:rsidR="002A4D91" w:rsidRPr="001406CF">
        <w:rPr>
          <w:szCs w:val="22"/>
        </w:rPr>
        <w:t xml:space="preserve"> diarrhoea, nausea, vomiting and dyspnoea (nintedanib November 2015 PSD, Table 6). </w:t>
      </w:r>
      <w:r w:rsidR="002A4D91" w:rsidRPr="001406CF">
        <w:t>A statistically significant difference was also observed for arterial thromboembolic events</w:t>
      </w:r>
      <w:r w:rsidR="002A4D91" w:rsidRPr="001406CF">
        <w:rPr>
          <w:szCs w:val="22"/>
        </w:rPr>
        <w:t xml:space="preserve"> (nintedanib November 2015 PSD, paragraph 6.17)</w:t>
      </w:r>
      <w:r w:rsidR="00344FEE" w:rsidRPr="001406CF">
        <w:rPr>
          <w:szCs w:val="22"/>
        </w:rPr>
        <w:t>.</w:t>
      </w:r>
    </w:p>
    <w:p w:rsidR="00C91E12" w:rsidRDefault="00C91E12" w:rsidP="002F6883">
      <w:pPr>
        <w:pStyle w:val="ListParagraph"/>
        <w:widowControl/>
        <w:ind w:left="0"/>
        <w:rPr>
          <w:szCs w:val="22"/>
        </w:rPr>
      </w:pPr>
    </w:p>
    <w:p w:rsidR="007F1017" w:rsidRPr="009332D7" w:rsidRDefault="007F1017" w:rsidP="00C86F9A">
      <w:pPr>
        <w:pStyle w:val="Heading2"/>
        <w:keepNext/>
        <w:rPr>
          <w:szCs w:val="22"/>
        </w:rPr>
      </w:pPr>
      <w:bookmarkStart w:id="11" w:name="_Toc461547430"/>
      <w:r w:rsidRPr="009332D7">
        <w:t>Benefits/harms</w:t>
      </w:r>
      <w:bookmarkEnd w:id="11"/>
    </w:p>
    <w:p w:rsidR="007F1017" w:rsidRPr="007C13C1" w:rsidRDefault="007F1017" w:rsidP="00C86F9A">
      <w:pPr>
        <w:keepNext/>
        <w:widowControl/>
      </w:pPr>
    </w:p>
    <w:p w:rsidR="000561EC" w:rsidRDefault="00EC00C9" w:rsidP="002F6883">
      <w:pPr>
        <w:pStyle w:val="ListParagraph"/>
        <w:widowControl/>
        <w:numPr>
          <w:ilvl w:val="1"/>
          <w:numId w:val="2"/>
        </w:numPr>
        <w:rPr>
          <w:szCs w:val="22"/>
        </w:rPr>
      </w:pPr>
      <w:r w:rsidRPr="00D06FD4">
        <w:rPr>
          <w:szCs w:val="22"/>
        </w:rPr>
        <w:t xml:space="preserve">A summary of the comparative benefits and harms for </w:t>
      </w:r>
      <w:r w:rsidR="000B56CB">
        <w:rPr>
          <w:szCs w:val="22"/>
        </w:rPr>
        <w:t>pirfenidone</w:t>
      </w:r>
      <w:r w:rsidRPr="00D06FD4">
        <w:rPr>
          <w:szCs w:val="22"/>
        </w:rPr>
        <w:t xml:space="preserve"> versus </w:t>
      </w:r>
      <w:r w:rsidR="000B56CB">
        <w:rPr>
          <w:szCs w:val="22"/>
        </w:rPr>
        <w:t>placebo</w:t>
      </w:r>
      <w:r w:rsidRPr="00D06FD4">
        <w:rPr>
          <w:szCs w:val="22"/>
        </w:rPr>
        <w:t xml:space="preserve"> is presented in the </w:t>
      </w:r>
      <w:r w:rsidR="00C9750B">
        <w:rPr>
          <w:szCs w:val="22"/>
        </w:rPr>
        <w:t>following table</w:t>
      </w:r>
      <w:r w:rsidRPr="00D06FD4">
        <w:rPr>
          <w:szCs w:val="22"/>
        </w:rPr>
        <w:t>.</w:t>
      </w:r>
    </w:p>
    <w:p w:rsidR="007C13C1" w:rsidRPr="007C13C1" w:rsidRDefault="007C13C1" w:rsidP="007C13C1">
      <w:pPr>
        <w:widowControl/>
        <w:rPr>
          <w:szCs w:val="22"/>
        </w:rPr>
      </w:pPr>
    </w:p>
    <w:p w:rsidR="000561EC" w:rsidRPr="00A578DC" w:rsidRDefault="000561EC" w:rsidP="002F6883">
      <w:pPr>
        <w:keepNext/>
        <w:widowControl/>
        <w:ind w:firstLine="720"/>
        <w:rPr>
          <w:rStyle w:val="CommentReference"/>
        </w:rPr>
      </w:pPr>
      <w:r w:rsidRPr="00A578DC">
        <w:rPr>
          <w:rStyle w:val="CommentReference"/>
        </w:rPr>
        <w:lastRenderedPageBreak/>
        <w:t xml:space="preserve">Table </w:t>
      </w:r>
      <w:r w:rsidR="00F15FC2">
        <w:rPr>
          <w:rStyle w:val="CommentReference"/>
        </w:rPr>
        <w:t>7</w:t>
      </w:r>
      <w:r w:rsidRPr="00A578DC">
        <w:rPr>
          <w:rStyle w:val="CommentReference"/>
        </w:rPr>
        <w:t xml:space="preserve">: Summary of comparative benefits and harms for </w:t>
      </w:r>
      <w:r>
        <w:rPr>
          <w:rStyle w:val="CommentReference"/>
        </w:rPr>
        <w:t>pirfenidone</w:t>
      </w:r>
      <w:r w:rsidRPr="00A578DC">
        <w:rPr>
          <w:rStyle w:val="CommentReference"/>
        </w:rPr>
        <w:t xml:space="preserve"> and </w:t>
      </w:r>
      <w:r>
        <w:rPr>
          <w:rStyle w:val="CommentReference"/>
        </w:rPr>
        <w:t>placebo</w:t>
      </w:r>
    </w:p>
    <w:tbl>
      <w:tblPr>
        <w:tblStyle w:val="TableGrid"/>
        <w:tblW w:w="4578" w:type="pct"/>
        <w:tblInd w:w="737" w:type="dxa"/>
        <w:tblLayout w:type="fixed"/>
        <w:tblCellMar>
          <w:left w:w="28" w:type="dxa"/>
          <w:right w:w="28" w:type="dxa"/>
        </w:tblCellMar>
        <w:tblLook w:val="04A0" w:firstRow="1" w:lastRow="0" w:firstColumn="1" w:lastColumn="0" w:noHBand="0" w:noVBand="1"/>
        <w:tblCaption w:val="Table 7: Summary of comparative benefits and harms for pirfenidone and placebo"/>
        <w:tblDescription w:val="Table 7: Summary of comparative benefits and harms for pirfenidone and placebo"/>
      </w:tblPr>
      <w:tblGrid>
        <w:gridCol w:w="1366"/>
        <w:gridCol w:w="447"/>
        <w:gridCol w:w="856"/>
        <w:gridCol w:w="20"/>
        <w:gridCol w:w="693"/>
        <w:gridCol w:w="565"/>
        <w:gridCol w:w="17"/>
        <w:gridCol w:w="30"/>
        <w:gridCol w:w="808"/>
        <w:gridCol w:w="1013"/>
        <w:gridCol w:w="1003"/>
        <w:gridCol w:w="1497"/>
      </w:tblGrid>
      <w:tr w:rsidR="000561EC" w:rsidRPr="00D2053F" w:rsidTr="00917D95">
        <w:trPr>
          <w:trHeight w:val="469"/>
          <w:tblHeader/>
        </w:trPr>
        <w:tc>
          <w:tcPr>
            <w:tcW w:w="821" w:type="pct"/>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Trial</w:t>
            </w:r>
          </w:p>
        </w:tc>
        <w:tc>
          <w:tcPr>
            <w:tcW w:w="796" w:type="pct"/>
            <w:gridSpan w:val="3"/>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Pirfenidone</w:t>
            </w:r>
          </w:p>
        </w:tc>
        <w:tc>
          <w:tcPr>
            <w:tcW w:w="785" w:type="pct"/>
            <w:gridSpan w:val="4"/>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Placebo</w:t>
            </w:r>
          </w:p>
        </w:tc>
        <w:tc>
          <w:tcPr>
            <w:tcW w:w="1094" w:type="pct"/>
            <w:gridSpan w:val="2"/>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Absolute difference: median survival</w:t>
            </w:r>
          </w:p>
        </w:tc>
        <w:tc>
          <w:tcPr>
            <w:tcW w:w="1504" w:type="pct"/>
            <w:gridSpan w:val="2"/>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HR% (95% CI)</w:t>
            </w:r>
          </w:p>
        </w:tc>
      </w:tr>
      <w:tr w:rsidR="000561EC" w:rsidRPr="00D2053F" w:rsidTr="009D4425">
        <w:trPr>
          <w:trHeight w:val="20"/>
        </w:trPr>
        <w:tc>
          <w:tcPr>
            <w:tcW w:w="5000" w:type="pct"/>
            <w:gridSpan w:val="12"/>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Benefits</w:t>
            </w:r>
          </w:p>
        </w:tc>
      </w:tr>
      <w:tr w:rsidR="000561EC" w:rsidRPr="00D2053F" w:rsidTr="009D4425">
        <w:trPr>
          <w:trHeight w:val="20"/>
        </w:trPr>
        <w:tc>
          <w:tcPr>
            <w:tcW w:w="5000" w:type="pct"/>
            <w:gridSpan w:val="12"/>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Overall survival: vital-status – end of study</w:t>
            </w:r>
          </w:p>
        </w:tc>
      </w:tr>
      <w:tr w:rsidR="000561EC" w:rsidRPr="00D2053F" w:rsidTr="009D4425">
        <w:trPr>
          <w:trHeight w:val="20"/>
        </w:trPr>
        <w:tc>
          <w:tcPr>
            <w:tcW w:w="821" w:type="pct"/>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 xml:space="preserve">ASCEND, CAPACITY-1 &amp; 2 </w:t>
            </w:r>
          </w:p>
        </w:tc>
        <w:tc>
          <w:tcPr>
            <w:tcW w:w="796" w:type="pct"/>
            <w:gridSpan w:val="3"/>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44/623</w:t>
            </w:r>
          </w:p>
        </w:tc>
        <w:tc>
          <w:tcPr>
            <w:tcW w:w="767" w:type="pct"/>
            <w:gridSpan w:val="3"/>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58/624</w:t>
            </w:r>
          </w:p>
        </w:tc>
        <w:tc>
          <w:tcPr>
            <w:tcW w:w="1112" w:type="pct"/>
            <w:gridSpan w:val="3"/>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NA</w:t>
            </w:r>
          </w:p>
        </w:tc>
        <w:tc>
          <w:tcPr>
            <w:tcW w:w="1504" w:type="pct"/>
            <w:gridSpan w:val="2"/>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0.75 (0.50,1.11)</w:t>
            </w:r>
          </w:p>
        </w:tc>
      </w:tr>
      <w:tr w:rsidR="000561EC" w:rsidRPr="00D2053F" w:rsidTr="009D4425">
        <w:trPr>
          <w:trHeight w:val="20"/>
        </w:trPr>
        <w:tc>
          <w:tcPr>
            <w:tcW w:w="5000" w:type="pct"/>
            <w:gridSpan w:val="12"/>
            <w:tcBorders>
              <w:top w:val="double" w:sz="4" w:space="0" w:color="auto"/>
            </w:tcBorders>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Absolute change in FVC%Pred from baseline to week 52^</w:t>
            </w:r>
          </w:p>
        </w:tc>
      </w:tr>
      <w:tr w:rsidR="000561EC" w:rsidRPr="00D2053F" w:rsidTr="009D4425">
        <w:trPr>
          <w:trHeight w:val="20"/>
        </w:trPr>
        <w:tc>
          <w:tcPr>
            <w:tcW w:w="821" w:type="pct"/>
            <w:vMerge w:val="restart"/>
            <w:shd w:val="clear" w:color="auto" w:fill="auto"/>
            <w:vAlign w:val="center"/>
          </w:tcPr>
          <w:p w:rsidR="000561EC" w:rsidRPr="00D2053F" w:rsidRDefault="000561EC" w:rsidP="002F6883">
            <w:pPr>
              <w:keepNext/>
              <w:widowControl/>
              <w:rPr>
                <w:rFonts w:ascii="Arial Narrow" w:hAnsi="Arial Narrow"/>
                <w:color w:val="000000"/>
                <w:sz w:val="20"/>
                <w:szCs w:val="18"/>
              </w:rPr>
            </w:pPr>
          </w:p>
        </w:tc>
        <w:tc>
          <w:tcPr>
            <w:tcW w:w="1212" w:type="pct"/>
            <w:gridSpan w:val="4"/>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b/>
                <w:color w:val="000000"/>
                <w:sz w:val="20"/>
                <w:szCs w:val="18"/>
              </w:rPr>
              <w:t>Pirfenidone</w:t>
            </w:r>
          </w:p>
        </w:tc>
        <w:tc>
          <w:tcPr>
            <w:tcW w:w="1463" w:type="pct"/>
            <w:gridSpan w:val="5"/>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b/>
                <w:color w:val="000000"/>
                <w:sz w:val="20"/>
                <w:szCs w:val="18"/>
              </w:rPr>
              <w:t>Placebo</w:t>
            </w:r>
          </w:p>
        </w:tc>
        <w:tc>
          <w:tcPr>
            <w:tcW w:w="1504" w:type="pct"/>
            <w:gridSpan w:val="2"/>
            <w:vMerge w:val="restart"/>
            <w:vAlign w:val="center"/>
          </w:tcPr>
          <w:p w:rsidR="000561EC" w:rsidRPr="00D2053F" w:rsidRDefault="000561EC" w:rsidP="002F6883">
            <w:pPr>
              <w:keepNext/>
              <w:widowControl/>
              <w:jc w:val="center"/>
              <w:rPr>
                <w:rFonts w:ascii="Arial Narrow" w:hAnsi="Arial Narrow"/>
                <w:b/>
                <w:sz w:val="20"/>
                <w:szCs w:val="18"/>
              </w:rPr>
            </w:pPr>
            <w:r w:rsidRPr="00D2053F">
              <w:rPr>
                <w:rFonts w:ascii="Arial Narrow" w:hAnsi="Arial Narrow"/>
                <w:b/>
                <w:sz w:val="20"/>
                <w:szCs w:val="18"/>
              </w:rPr>
              <w:t xml:space="preserve">Mean difference (95% CI): </w:t>
            </w:r>
          </w:p>
          <w:p w:rsidR="000561EC" w:rsidRPr="00D2053F" w:rsidRDefault="000561EC" w:rsidP="002F6883">
            <w:pPr>
              <w:keepNext/>
              <w:widowControl/>
              <w:jc w:val="center"/>
              <w:rPr>
                <w:rFonts w:ascii="Arial Narrow" w:hAnsi="Arial Narrow"/>
                <w:b/>
                <w:sz w:val="20"/>
                <w:szCs w:val="18"/>
              </w:rPr>
            </w:pPr>
            <w:r w:rsidRPr="00D2053F">
              <w:rPr>
                <w:rFonts w:ascii="Arial Narrow" w:hAnsi="Arial Narrow"/>
                <w:b/>
                <w:sz w:val="20"/>
                <w:szCs w:val="18"/>
              </w:rPr>
              <w:t>Pirfenidone vs. placebo</w:t>
            </w:r>
          </w:p>
        </w:tc>
      </w:tr>
      <w:tr w:rsidR="000561EC" w:rsidRPr="00D2053F" w:rsidTr="009D4425">
        <w:trPr>
          <w:trHeight w:val="20"/>
        </w:trPr>
        <w:tc>
          <w:tcPr>
            <w:tcW w:w="821" w:type="pct"/>
            <w:vMerge/>
            <w:shd w:val="clear" w:color="auto" w:fill="auto"/>
            <w:vAlign w:val="center"/>
          </w:tcPr>
          <w:p w:rsidR="000561EC" w:rsidRPr="00D2053F" w:rsidRDefault="000561EC" w:rsidP="002F6883">
            <w:pPr>
              <w:keepNext/>
              <w:widowControl/>
              <w:rPr>
                <w:rFonts w:ascii="Arial Narrow" w:hAnsi="Arial Narrow"/>
                <w:color w:val="000000"/>
                <w:sz w:val="20"/>
                <w:szCs w:val="18"/>
              </w:rPr>
            </w:pPr>
          </w:p>
        </w:tc>
        <w:tc>
          <w:tcPr>
            <w:tcW w:w="269" w:type="pc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n</w:t>
            </w:r>
          </w:p>
        </w:tc>
        <w:tc>
          <w:tcPr>
            <w:tcW w:w="514" w:type="pct"/>
            <w:vAlign w:val="center"/>
          </w:tcPr>
          <w:p w:rsidR="000561EC" w:rsidRPr="00D2053F" w:rsidRDefault="000561EC" w:rsidP="002F6883">
            <w:pPr>
              <w:keepNext/>
              <w:widowControl/>
              <w:jc w:val="center"/>
              <w:rPr>
                <w:rFonts w:ascii="Arial Narrow" w:hAnsi="Arial Narrow"/>
                <w:b/>
                <w:sz w:val="20"/>
                <w:szCs w:val="18"/>
              </w:rPr>
            </w:pPr>
            <w:r w:rsidRPr="00D2053F">
              <w:rPr>
                <w:rFonts w:ascii="Arial Narrow" w:hAnsi="Arial Narrow"/>
                <w:b/>
                <w:sz w:val="20"/>
                <w:szCs w:val="18"/>
              </w:rPr>
              <w:t xml:space="preserve">Mean ∆ baseline </w:t>
            </w:r>
          </w:p>
        </w:tc>
        <w:tc>
          <w:tcPr>
            <w:tcW w:w="429" w:type="pct"/>
            <w:gridSpan w:val="2"/>
            <w:vAlign w:val="center"/>
          </w:tcPr>
          <w:p w:rsidR="000561EC" w:rsidRPr="00D2053F" w:rsidRDefault="000561EC" w:rsidP="002F6883">
            <w:pPr>
              <w:keepNext/>
              <w:widowControl/>
              <w:jc w:val="center"/>
              <w:rPr>
                <w:rFonts w:ascii="Arial Narrow" w:hAnsi="Arial Narrow"/>
                <w:b/>
                <w:sz w:val="20"/>
                <w:szCs w:val="18"/>
              </w:rPr>
            </w:pPr>
            <w:r w:rsidRPr="00D2053F">
              <w:rPr>
                <w:rFonts w:ascii="Arial Narrow" w:hAnsi="Arial Narrow"/>
                <w:b/>
                <w:sz w:val="20"/>
                <w:szCs w:val="18"/>
              </w:rPr>
              <w:t>SD</w:t>
            </w:r>
          </w:p>
        </w:tc>
        <w:tc>
          <w:tcPr>
            <w:tcW w:w="340" w:type="pc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n</w:t>
            </w:r>
          </w:p>
        </w:tc>
        <w:tc>
          <w:tcPr>
            <w:tcW w:w="514" w:type="pct"/>
            <w:gridSpan w:val="3"/>
            <w:vAlign w:val="center"/>
          </w:tcPr>
          <w:p w:rsidR="000561EC" w:rsidRPr="00D2053F" w:rsidRDefault="000561EC" w:rsidP="002F6883">
            <w:pPr>
              <w:keepNext/>
              <w:widowControl/>
              <w:jc w:val="center"/>
              <w:rPr>
                <w:rFonts w:ascii="Arial Narrow" w:hAnsi="Arial Narrow"/>
                <w:b/>
                <w:sz w:val="20"/>
                <w:szCs w:val="18"/>
              </w:rPr>
            </w:pPr>
            <w:r w:rsidRPr="00D2053F">
              <w:rPr>
                <w:rFonts w:ascii="Arial Narrow" w:hAnsi="Arial Narrow"/>
                <w:b/>
                <w:sz w:val="20"/>
                <w:szCs w:val="18"/>
              </w:rPr>
              <w:t xml:space="preserve">Mean ∆ baseline </w:t>
            </w:r>
          </w:p>
        </w:tc>
        <w:tc>
          <w:tcPr>
            <w:tcW w:w="609" w:type="pct"/>
            <w:vAlign w:val="center"/>
          </w:tcPr>
          <w:p w:rsidR="000561EC" w:rsidRPr="00D2053F" w:rsidRDefault="000561EC" w:rsidP="002F6883">
            <w:pPr>
              <w:keepNext/>
              <w:widowControl/>
              <w:jc w:val="center"/>
              <w:rPr>
                <w:rFonts w:ascii="Arial Narrow" w:hAnsi="Arial Narrow"/>
                <w:b/>
                <w:sz w:val="20"/>
                <w:szCs w:val="18"/>
              </w:rPr>
            </w:pPr>
            <w:r w:rsidRPr="00D2053F">
              <w:rPr>
                <w:rFonts w:ascii="Arial Narrow" w:hAnsi="Arial Narrow"/>
                <w:b/>
                <w:sz w:val="20"/>
                <w:szCs w:val="18"/>
              </w:rPr>
              <w:t>SD</w:t>
            </w:r>
          </w:p>
        </w:tc>
        <w:tc>
          <w:tcPr>
            <w:tcW w:w="1504" w:type="pct"/>
            <w:gridSpan w:val="2"/>
            <w:vMerge/>
            <w:vAlign w:val="center"/>
          </w:tcPr>
          <w:p w:rsidR="000561EC" w:rsidRPr="00D2053F" w:rsidRDefault="000561EC" w:rsidP="002F6883">
            <w:pPr>
              <w:keepNext/>
              <w:widowControl/>
              <w:jc w:val="center"/>
              <w:rPr>
                <w:rFonts w:ascii="Arial Narrow" w:hAnsi="Arial Narrow"/>
                <w:b/>
                <w:sz w:val="20"/>
                <w:szCs w:val="18"/>
              </w:rPr>
            </w:pPr>
          </w:p>
        </w:tc>
      </w:tr>
      <w:tr w:rsidR="000561EC" w:rsidRPr="00D2053F" w:rsidTr="009D4425">
        <w:trPr>
          <w:trHeight w:val="20"/>
        </w:trPr>
        <w:tc>
          <w:tcPr>
            <w:tcW w:w="821" w:type="pct"/>
            <w:tcBorders>
              <w:bottom w:val="single" w:sz="4" w:space="0" w:color="auto"/>
            </w:tcBorders>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CAPACITY-1</w:t>
            </w:r>
          </w:p>
        </w:tc>
        <w:tc>
          <w:tcPr>
            <w:tcW w:w="269" w:type="pct"/>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171</w:t>
            </w:r>
          </w:p>
        </w:tc>
        <w:tc>
          <w:tcPr>
            <w:tcW w:w="514" w:type="pct"/>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-5.0</w:t>
            </w:r>
          </w:p>
        </w:tc>
        <w:tc>
          <w:tcPr>
            <w:tcW w:w="429" w:type="pct"/>
            <w:gridSpan w:val="2"/>
            <w:tcBorders>
              <w:bottom w:val="single" w:sz="4" w:space="0" w:color="auto"/>
            </w:tcBorders>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40" w:type="pct"/>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173</w:t>
            </w:r>
          </w:p>
        </w:tc>
        <w:tc>
          <w:tcPr>
            <w:tcW w:w="514" w:type="pct"/>
            <w:gridSpan w:val="3"/>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-6.9</w:t>
            </w:r>
          </w:p>
        </w:tc>
        <w:tc>
          <w:tcPr>
            <w:tcW w:w="609" w:type="pct"/>
            <w:tcBorders>
              <w:bottom w:val="single" w:sz="4" w:space="0" w:color="auto"/>
            </w:tcBorders>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504" w:type="pct"/>
            <w:gridSpan w:val="2"/>
            <w:vMerge w:val="restart"/>
            <w:vAlign w:val="center"/>
          </w:tcPr>
          <w:p w:rsidR="000561EC" w:rsidRPr="00F60B7B" w:rsidRDefault="00F60B7B" w:rsidP="002F6883">
            <w:pPr>
              <w:keepNext/>
              <w:widowControl/>
              <w:jc w:val="center"/>
              <w:rPr>
                <w:rFonts w:ascii="Arial Narrow" w:hAnsi="Arial Narrow"/>
                <w:sz w:val="20"/>
                <w:szCs w:val="18"/>
                <w:highlight w:val="black"/>
              </w:rPr>
            </w:pPr>
            <w:r>
              <w:rPr>
                <w:rFonts w:ascii="Arial Narrow" w:hAnsi="Arial Narrow"/>
                <w:noProof/>
                <w:color w:val="000000"/>
                <w:sz w:val="20"/>
                <w:szCs w:val="18"/>
                <w:highlight w:val="black"/>
              </w:rPr>
              <w:t>'''''''' ''''''''''''' ''''''''''''''</w:t>
            </w:r>
          </w:p>
        </w:tc>
      </w:tr>
      <w:tr w:rsidR="000561EC" w:rsidRPr="00D2053F" w:rsidTr="009D4425">
        <w:trPr>
          <w:trHeight w:val="20"/>
        </w:trPr>
        <w:tc>
          <w:tcPr>
            <w:tcW w:w="821" w:type="pct"/>
            <w:tcBorders>
              <w:bottom w:val="single" w:sz="4" w:space="0" w:color="auto"/>
            </w:tcBorders>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CAPACITY-2</w:t>
            </w:r>
          </w:p>
        </w:tc>
        <w:tc>
          <w:tcPr>
            <w:tcW w:w="269" w:type="pct"/>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174</w:t>
            </w:r>
          </w:p>
        </w:tc>
        <w:tc>
          <w:tcPr>
            <w:tcW w:w="514" w:type="pct"/>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-4.4</w:t>
            </w:r>
          </w:p>
        </w:tc>
        <w:tc>
          <w:tcPr>
            <w:tcW w:w="429" w:type="pct"/>
            <w:gridSpan w:val="2"/>
            <w:tcBorders>
              <w:bottom w:val="single" w:sz="4" w:space="0" w:color="auto"/>
            </w:tcBorders>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40" w:type="pct"/>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174</w:t>
            </w:r>
          </w:p>
        </w:tc>
        <w:tc>
          <w:tcPr>
            <w:tcW w:w="514" w:type="pct"/>
            <w:gridSpan w:val="3"/>
            <w:tcBorders>
              <w:bottom w:val="sing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-9.2</w:t>
            </w:r>
          </w:p>
        </w:tc>
        <w:tc>
          <w:tcPr>
            <w:tcW w:w="609" w:type="pct"/>
            <w:tcBorders>
              <w:bottom w:val="single" w:sz="4" w:space="0" w:color="auto"/>
            </w:tcBorders>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504" w:type="pct"/>
            <w:gridSpan w:val="2"/>
            <w:vMerge/>
            <w:vAlign w:val="center"/>
          </w:tcPr>
          <w:p w:rsidR="000561EC" w:rsidRPr="00D2053F" w:rsidRDefault="000561EC" w:rsidP="002F6883">
            <w:pPr>
              <w:keepNext/>
              <w:widowControl/>
              <w:jc w:val="center"/>
              <w:rPr>
                <w:rFonts w:ascii="Arial Narrow" w:hAnsi="Arial Narrow"/>
                <w:sz w:val="20"/>
                <w:szCs w:val="18"/>
              </w:rPr>
            </w:pPr>
          </w:p>
        </w:tc>
      </w:tr>
      <w:tr w:rsidR="000561EC" w:rsidRPr="00D2053F" w:rsidTr="009D4425">
        <w:trPr>
          <w:trHeight w:val="20"/>
        </w:trPr>
        <w:tc>
          <w:tcPr>
            <w:tcW w:w="821" w:type="pct"/>
            <w:tcBorders>
              <w:top w:val="single" w:sz="4" w:space="0" w:color="auto"/>
              <w:bottom w:val="double" w:sz="4" w:space="0" w:color="auto"/>
            </w:tcBorders>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ASCEND</w:t>
            </w:r>
          </w:p>
        </w:tc>
        <w:tc>
          <w:tcPr>
            <w:tcW w:w="269" w:type="pct"/>
            <w:tcBorders>
              <w:top w:val="single" w:sz="4" w:space="0" w:color="auto"/>
              <w:bottom w:val="doub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278</w:t>
            </w:r>
          </w:p>
        </w:tc>
        <w:tc>
          <w:tcPr>
            <w:tcW w:w="514" w:type="pct"/>
            <w:tcBorders>
              <w:top w:val="single" w:sz="4" w:space="0" w:color="auto"/>
              <w:bottom w:val="doub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-6.2</w:t>
            </w:r>
          </w:p>
        </w:tc>
        <w:tc>
          <w:tcPr>
            <w:tcW w:w="429" w:type="pct"/>
            <w:gridSpan w:val="2"/>
            <w:tcBorders>
              <w:top w:val="single" w:sz="4" w:space="0" w:color="auto"/>
              <w:bottom w:val="double" w:sz="4" w:space="0" w:color="auto"/>
            </w:tcBorders>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40" w:type="pct"/>
            <w:tcBorders>
              <w:top w:val="single" w:sz="4" w:space="0" w:color="auto"/>
              <w:bottom w:val="doub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277</w:t>
            </w:r>
          </w:p>
        </w:tc>
        <w:tc>
          <w:tcPr>
            <w:tcW w:w="514" w:type="pct"/>
            <w:gridSpan w:val="3"/>
            <w:tcBorders>
              <w:top w:val="single" w:sz="4" w:space="0" w:color="auto"/>
              <w:bottom w:val="double" w:sz="4" w:space="0" w:color="auto"/>
            </w:tcBorders>
            <w:vAlign w:val="center"/>
          </w:tcPr>
          <w:p w:rsidR="000561EC" w:rsidRPr="00D2053F" w:rsidRDefault="000561EC" w:rsidP="002F6883">
            <w:pPr>
              <w:keepNext/>
              <w:widowControl/>
              <w:jc w:val="center"/>
              <w:rPr>
                <w:rFonts w:ascii="Arial Narrow" w:hAnsi="Arial Narrow"/>
                <w:color w:val="000000"/>
                <w:sz w:val="20"/>
                <w:szCs w:val="18"/>
              </w:rPr>
            </w:pPr>
            <w:r w:rsidRPr="00D2053F">
              <w:rPr>
                <w:rFonts w:ascii="Arial Narrow" w:hAnsi="Arial Narrow"/>
                <w:color w:val="000000"/>
                <w:sz w:val="20"/>
                <w:szCs w:val="18"/>
              </w:rPr>
              <w:t>-</w:t>
            </w:r>
            <w:r w:rsidR="00F60B7B">
              <w:rPr>
                <w:rFonts w:ascii="Arial Narrow" w:hAnsi="Arial Narrow"/>
                <w:noProof/>
                <w:color w:val="000000"/>
                <w:sz w:val="20"/>
                <w:szCs w:val="18"/>
                <w:highlight w:val="black"/>
              </w:rPr>
              <w:t>''''''''''</w:t>
            </w:r>
          </w:p>
        </w:tc>
        <w:tc>
          <w:tcPr>
            <w:tcW w:w="609" w:type="pct"/>
            <w:tcBorders>
              <w:top w:val="single" w:sz="4" w:space="0" w:color="auto"/>
              <w:bottom w:val="double" w:sz="4" w:space="0" w:color="auto"/>
            </w:tcBorders>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504" w:type="pct"/>
            <w:gridSpan w:val="2"/>
            <w:vMerge/>
            <w:tcBorders>
              <w:bottom w:val="double" w:sz="4" w:space="0" w:color="auto"/>
            </w:tcBorders>
            <w:vAlign w:val="center"/>
          </w:tcPr>
          <w:p w:rsidR="000561EC" w:rsidRPr="00D2053F" w:rsidRDefault="000561EC" w:rsidP="002F6883">
            <w:pPr>
              <w:keepNext/>
              <w:widowControl/>
              <w:jc w:val="center"/>
              <w:rPr>
                <w:rFonts w:ascii="Arial Narrow" w:hAnsi="Arial Narrow"/>
                <w:sz w:val="20"/>
                <w:szCs w:val="18"/>
              </w:rPr>
            </w:pPr>
          </w:p>
        </w:tc>
      </w:tr>
      <w:tr w:rsidR="000561EC" w:rsidRPr="00D2053F" w:rsidTr="009D4425">
        <w:trPr>
          <w:trHeight w:val="20"/>
        </w:trPr>
        <w:tc>
          <w:tcPr>
            <w:tcW w:w="5000" w:type="pct"/>
            <w:gridSpan w:val="12"/>
            <w:tcBorders>
              <w:top w:val="double" w:sz="4" w:space="0" w:color="auto"/>
            </w:tcBorders>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 xml:space="preserve">Harms^ </w:t>
            </w:r>
          </w:p>
        </w:tc>
      </w:tr>
      <w:tr w:rsidR="000561EC" w:rsidRPr="00D2053F" w:rsidTr="009D4425">
        <w:trPr>
          <w:trHeight w:val="20"/>
        </w:trPr>
        <w:tc>
          <w:tcPr>
            <w:tcW w:w="821" w:type="pct"/>
            <w:vMerge w:val="restart"/>
            <w:shd w:val="clear" w:color="auto" w:fill="auto"/>
            <w:vAlign w:val="center"/>
          </w:tcPr>
          <w:p w:rsidR="000561EC" w:rsidRPr="00D2053F" w:rsidRDefault="000561EC" w:rsidP="002F6883">
            <w:pPr>
              <w:keepNext/>
              <w:widowControl/>
              <w:rPr>
                <w:rFonts w:ascii="Arial Narrow" w:hAnsi="Arial Narrow"/>
                <w:b/>
                <w:color w:val="000000"/>
                <w:sz w:val="20"/>
                <w:szCs w:val="18"/>
              </w:rPr>
            </w:pPr>
          </w:p>
        </w:tc>
        <w:tc>
          <w:tcPr>
            <w:tcW w:w="784" w:type="pct"/>
            <w:gridSpan w:val="2"/>
            <w:vMerge w:val="restar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Pirfenidone</w:t>
            </w:r>
          </w:p>
        </w:tc>
        <w:tc>
          <w:tcPr>
            <w:tcW w:w="429" w:type="pct"/>
            <w:gridSpan w:val="2"/>
            <w:vMerge w:val="restar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Placebo</w:t>
            </w:r>
          </w:p>
        </w:tc>
        <w:tc>
          <w:tcPr>
            <w:tcW w:w="854" w:type="pct"/>
            <w:gridSpan w:val="4"/>
            <w:vMerge w:val="restar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RR (95% CI)</w:t>
            </w:r>
          </w:p>
        </w:tc>
        <w:tc>
          <w:tcPr>
            <w:tcW w:w="1212" w:type="pct"/>
            <w:gridSpan w:val="2"/>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 xml:space="preserve">Event rate/100 patients* </w:t>
            </w:r>
          </w:p>
        </w:tc>
        <w:tc>
          <w:tcPr>
            <w:tcW w:w="901" w:type="pct"/>
            <w:vMerge w:val="restar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RD% (95% CI)</w:t>
            </w:r>
          </w:p>
        </w:tc>
      </w:tr>
      <w:tr w:rsidR="000561EC" w:rsidRPr="00D2053F" w:rsidTr="009D4425">
        <w:trPr>
          <w:trHeight w:val="20"/>
        </w:trPr>
        <w:tc>
          <w:tcPr>
            <w:tcW w:w="821" w:type="pct"/>
            <w:vMerge/>
            <w:shd w:val="clear" w:color="auto" w:fill="auto"/>
            <w:vAlign w:val="center"/>
          </w:tcPr>
          <w:p w:rsidR="000561EC" w:rsidRPr="00D2053F" w:rsidRDefault="000561EC" w:rsidP="002F6883">
            <w:pPr>
              <w:keepNext/>
              <w:widowControl/>
              <w:rPr>
                <w:rFonts w:ascii="Arial Narrow" w:hAnsi="Arial Narrow"/>
                <w:b/>
                <w:color w:val="000000"/>
                <w:sz w:val="20"/>
                <w:szCs w:val="18"/>
              </w:rPr>
            </w:pPr>
          </w:p>
        </w:tc>
        <w:tc>
          <w:tcPr>
            <w:tcW w:w="784" w:type="pct"/>
            <w:gridSpan w:val="2"/>
            <w:vMerge/>
            <w:vAlign w:val="center"/>
          </w:tcPr>
          <w:p w:rsidR="000561EC" w:rsidRPr="00D2053F" w:rsidRDefault="000561EC" w:rsidP="002F6883">
            <w:pPr>
              <w:keepNext/>
              <w:widowControl/>
              <w:jc w:val="center"/>
              <w:rPr>
                <w:rFonts w:ascii="Arial Narrow" w:hAnsi="Arial Narrow"/>
                <w:b/>
                <w:color w:val="000000"/>
                <w:sz w:val="20"/>
                <w:szCs w:val="18"/>
              </w:rPr>
            </w:pPr>
          </w:p>
        </w:tc>
        <w:tc>
          <w:tcPr>
            <w:tcW w:w="429" w:type="pct"/>
            <w:gridSpan w:val="2"/>
            <w:vMerge/>
            <w:vAlign w:val="center"/>
          </w:tcPr>
          <w:p w:rsidR="000561EC" w:rsidRPr="00D2053F" w:rsidRDefault="000561EC" w:rsidP="002F6883">
            <w:pPr>
              <w:keepNext/>
              <w:widowControl/>
              <w:jc w:val="center"/>
              <w:rPr>
                <w:rFonts w:ascii="Arial Narrow" w:hAnsi="Arial Narrow"/>
                <w:b/>
                <w:color w:val="000000"/>
                <w:sz w:val="20"/>
                <w:szCs w:val="18"/>
              </w:rPr>
            </w:pPr>
          </w:p>
        </w:tc>
        <w:tc>
          <w:tcPr>
            <w:tcW w:w="854" w:type="pct"/>
            <w:gridSpan w:val="4"/>
            <w:vMerge/>
            <w:vAlign w:val="center"/>
          </w:tcPr>
          <w:p w:rsidR="000561EC" w:rsidRPr="00D2053F" w:rsidRDefault="000561EC" w:rsidP="002F6883">
            <w:pPr>
              <w:keepNext/>
              <w:widowControl/>
              <w:jc w:val="center"/>
              <w:rPr>
                <w:rFonts w:ascii="Arial Narrow" w:hAnsi="Arial Narrow"/>
                <w:b/>
                <w:color w:val="000000"/>
                <w:sz w:val="20"/>
                <w:szCs w:val="18"/>
              </w:rPr>
            </w:pPr>
          </w:p>
        </w:tc>
        <w:tc>
          <w:tcPr>
            <w:tcW w:w="609" w:type="pc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Pirfenidone</w:t>
            </w:r>
          </w:p>
        </w:tc>
        <w:tc>
          <w:tcPr>
            <w:tcW w:w="603" w:type="pct"/>
            <w:vAlign w:val="center"/>
          </w:tcPr>
          <w:p w:rsidR="000561EC" w:rsidRPr="00D2053F" w:rsidRDefault="000561EC" w:rsidP="002F6883">
            <w:pPr>
              <w:keepNext/>
              <w:widowControl/>
              <w:jc w:val="center"/>
              <w:rPr>
                <w:rFonts w:ascii="Arial Narrow" w:hAnsi="Arial Narrow"/>
                <w:b/>
                <w:color w:val="000000"/>
                <w:sz w:val="20"/>
                <w:szCs w:val="18"/>
              </w:rPr>
            </w:pPr>
            <w:r w:rsidRPr="00D2053F">
              <w:rPr>
                <w:rFonts w:ascii="Arial Narrow" w:hAnsi="Arial Narrow"/>
                <w:b/>
                <w:color w:val="000000"/>
                <w:sz w:val="20"/>
                <w:szCs w:val="18"/>
              </w:rPr>
              <w:t>Placebo</w:t>
            </w:r>
          </w:p>
        </w:tc>
        <w:tc>
          <w:tcPr>
            <w:tcW w:w="901" w:type="pct"/>
            <w:vMerge/>
            <w:vAlign w:val="center"/>
          </w:tcPr>
          <w:p w:rsidR="000561EC" w:rsidRPr="00D2053F" w:rsidRDefault="000561EC" w:rsidP="002F6883">
            <w:pPr>
              <w:keepNext/>
              <w:widowControl/>
              <w:jc w:val="center"/>
              <w:rPr>
                <w:rFonts w:ascii="Arial Narrow" w:hAnsi="Arial Narrow"/>
                <w:b/>
                <w:color w:val="000000"/>
                <w:sz w:val="20"/>
                <w:szCs w:val="18"/>
              </w:rPr>
            </w:pPr>
          </w:p>
        </w:tc>
      </w:tr>
      <w:tr w:rsidR="000561EC" w:rsidRPr="00D2053F" w:rsidTr="009D4425">
        <w:trPr>
          <w:trHeight w:val="20"/>
        </w:trPr>
        <w:tc>
          <w:tcPr>
            <w:tcW w:w="5000" w:type="pct"/>
            <w:gridSpan w:val="12"/>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Photosensitivity reaction</w:t>
            </w:r>
          </w:p>
        </w:tc>
      </w:tr>
      <w:tr w:rsidR="000561EC" w:rsidRPr="00D2053F" w:rsidTr="009D4425">
        <w:trPr>
          <w:trHeight w:val="20"/>
        </w:trPr>
        <w:tc>
          <w:tcPr>
            <w:tcW w:w="821" w:type="pct"/>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 xml:space="preserve">ASCEND, CAPACITY-1 &amp; 2 </w:t>
            </w:r>
          </w:p>
        </w:tc>
        <w:tc>
          <w:tcPr>
            <w:tcW w:w="784" w:type="pct"/>
            <w:gridSpan w:val="2"/>
            <w:vAlign w:val="center"/>
          </w:tcPr>
          <w:p w:rsidR="000561EC" w:rsidRPr="00D2053F" w:rsidRDefault="00F60B7B" w:rsidP="002F6883">
            <w:pPr>
              <w:keepNext/>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0561EC" w:rsidRPr="00D2053F">
              <w:rPr>
                <w:rFonts w:ascii="Arial Narrow" w:hAnsi="Arial Narrow"/>
                <w:color w:val="000000"/>
                <w:sz w:val="20"/>
                <w:szCs w:val="18"/>
              </w:rPr>
              <w:t>/</w:t>
            </w:r>
            <w:r>
              <w:rPr>
                <w:rFonts w:ascii="Arial Narrow" w:hAnsi="Arial Narrow"/>
                <w:noProof/>
                <w:color w:val="000000"/>
                <w:sz w:val="20"/>
                <w:szCs w:val="18"/>
                <w:highlight w:val="black"/>
              </w:rPr>
              <w:t>'''''''''</w:t>
            </w:r>
          </w:p>
        </w:tc>
        <w:tc>
          <w:tcPr>
            <w:tcW w:w="429" w:type="pct"/>
            <w:gridSpan w:val="2"/>
            <w:vAlign w:val="center"/>
          </w:tcPr>
          <w:p w:rsidR="000561EC" w:rsidRPr="00D2053F" w:rsidRDefault="00F60B7B" w:rsidP="002F6883">
            <w:pPr>
              <w:keepNext/>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0561EC" w:rsidRPr="00D2053F">
              <w:rPr>
                <w:rFonts w:ascii="Arial Narrow" w:hAnsi="Arial Narrow"/>
                <w:color w:val="000000"/>
                <w:sz w:val="20"/>
                <w:szCs w:val="18"/>
              </w:rPr>
              <w:t>/</w:t>
            </w:r>
            <w:r>
              <w:rPr>
                <w:rFonts w:ascii="Arial Narrow" w:hAnsi="Arial Narrow"/>
                <w:noProof/>
                <w:color w:val="000000"/>
                <w:sz w:val="20"/>
                <w:szCs w:val="18"/>
                <w:highlight w:val="black"/>
              </w:rPr>
              <w:t>''''''''''</w:t>
            </w:r>
          </w:p>
        </w:tc>
        <w:tc>
          <w:tcPr>
            <w:tcW w:w="854" w:type="pct"/>
            <w:gridSpan w:val="4"/>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09"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3"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01"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0561EC" w:rsidRPr="00D2053F" w:rsidTr="009D4425">
        <w:trPr>
          <w:trHeight w:val="20"/>
        </w:trPr>
        <w:tc>
          <w:tcPr>
            <w:tcW w:w="5000" w:type="pct"/>
            <w:gridSpan w:val="12"/>
            <w:shd w:val="clear" w:color="auto" w:fill="auto"/>
            <w:vAlign w:val="center"/>
          </w:tcPr>
          <w:p w:rsidR="000561EC" w:rsidRPr="00D2053F" w:rsidRDefault="000561EC" w:rsidP="002F6883">
            <w:pPr>
              <w:keepNext/>
              <w:widowControl/>
              <w:rPr>
                <w:rFonts w:ascii="Arial Narrow" w:hAnsi="Arial Narrow"/>
                <w:b/>
                <w:color w:val="000000"/>
                <w:sz w:val="20"/>
                <w:szCs w:val="18"/>
              </w:rPr>
            </w:pPr>
            <w:r w:rsidRPr="00D2053F">
              <w:rPr>
                <w:rFonts w:ascii="Arial Narrow" w:hAnsi="Arial Narrow"/>
                <w:b/>
                <w:color w:val="000000"/>
                <w:sz w:val="20"/>
                <w:szCs w:val="18"/>
              </w:rPr>
              <w:t>Rash</w:t>
            </w:r>
          </w:p>
        </w:tc>
      </w:tr>
      <w:tr w:rsidR="000561EC" w:rsidRPr="00D2053F" w:rsidTr="009D4425">
        <w:trPr>
          <w:trHeight w:val="20"/>
        </w:trPr>
        <w:tc>
          <w:tcPr>
            <w:tcW w:w="821" w:type="pct"/>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 xml:space="preserve">ASCEND, CAPACITY-1 &amp; 2 </w:t>
            </w:r>
          </w:p>
        </w:tc>
        <w:tc>
          <w:tcPr>
            <w:tcW w:w="784" w:type="pct"/>
            <w:gridSpan w:val="2"/>
            <w:vAlign w:val="center"/>
          </w:tcPr>
          <w:p w:rsidR="000561EC" w:rsidRPr="00D2053F" w:rsidRDefault="00F60B7B" w:rsidP="002F6883">
            <w:pPr>
              <w:keepNext/>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0561EC" w:rsidRPr="00D2053F">
              <w:rPr>
                <w:rFonts w:ascii="Arial Narrow" w:hAnsi="Arial Narrow"/>
                <w:color w:val="000000"/>
                <w:sz w:val="20"/>
                <w:szCs w:val="18"/>
              </w:rPr>
              <w:t>/</w:t>
            </w:r>
            <w:r>
              <w:rPr>
                <w:rFonts w:ascii="Arial Narrow" w:hAnsi="Arial Narrow"/>
                <w:noProof/>
                <w:color w:val="000000"/>
                <w:sz w:val="20"/>
                <w:szCs w:val="18"/>
                <w:highlight w:val="black"/>
              </w:rPr>
              <w:t>'''''''''</w:t>
            </w:r>
          </w:p>
        </w:tc>
        <w:tc>
          <w:tcPr>
            <w:tcW w:w="429" w:type="pct"/>
            <w:gridSpan w:val="2"/>
            <w:vAlign w:val="center"/>
          </w:tcPr>
          <w:p w:rsidR="000561EC" w:rsidRPr="00D2053F" w:rsidRDefault="00F60B7B" w:rsidP="002F6883">
            <w:pPr>
              <w:keepNext/>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0561EC" w:rsidRPr="00D2053F">
              <w:rPr>
                <w:rFonts w:ascii="Arial Narrow" w:hAnsi="Arial Narrow"/>
                <w:color w:val="000000"/>
                <w:sz w:val="20"/>
                <w:szCs w:val="18"/>
              </w:rPr>
              <w:t>/</w:t>
            </w:r>
            <w:r>
              <w:rPr>
                <w:rFonts w:ascii="Arial Narrow" w:hAnsi="Arial Narrow"/>
                <w:noProof/>
                <w:color w:val="000000"/>
                <w:sz w:val="20"/>
                <w:szCs w:val="18"/>
                <w:highlight w:val="black"/>
              </w:rPr>
              <w:t>'''''''''</w:t>
            </w:r>
          </w:p>
        </w:tc>
        <w:tc>
          <w:tcPr>
            <w:tcW w:w="854" w:type="pct"/>
            <w:gridSpan w:val="4"/>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09"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3"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01"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0561EC" w:rsidRPr="00D2053F" w:rsidTr="009D4425">
        <w:trPr>
          <w:trHeight w:val="20"/>
        </w:trPr>
        <w:tc>
          <w:tcPr>
            <w:tcW w:w="5000" w:type="pct"/>
            <w:gridSpan w:val="12"/>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b/>
                <w:color w:val="000000"/>
                <w:sz w:val="20"/>
                <w:szCs w:val="18"/>
              </w:rPr>
              <w:t>Stomach discomfort</w:t>
            </w:r>
          </w:p>
        </w:tc>
      </w:tr>
      <w:tr w:rsidR="000561EC" w:rsidRPr="00D2053F" w:rsidTr="009D4425">
        <w:trPr>
          <w:trHeight w:val="20"/>
        </w:trPr>
        <w:tc>
          <w:tcPr>
            <w:tcW w:w="821" w:type="pct"/>
            <w:shd w:val="clear" w:color="auto" w:fill="auto"/>
            <w:vAlign w:val="center"/>
          </w:tcPr>
          <w:p w:rsidR="000561EC" w:rsidRPr="00D2053F" w:rsidRDefault="000561EC" w:rsidP="002F6883">
            <w:pPr>
              <w:keepNext/>
              <w:widowControl/>
              <w:rPr>
                <w:rFonts w:ascii="Arial Narrow" w:hAnsi="Arial Narrow"/>
                <w:color w:val="000000"/>
                <w:sz w:val="20"/>
                <w:szCs w:val="18"/>
              </w:rPr>
            </w:pPr>
            <w:r w:rsidRPr="00D2053F">
              <w:rPr>
                <w:rFonts w:ascii="Arial Narrow" w:hAnsi="Arial Narrow"/>
                <w:color w:val="000000"/>
                <w:sz w:val="20"/>
                <w:szCs w:val="18"/>
              </w:rPr>
              <w:t xml:space="preserve">ASCEND, CAPACITY-1 &amp; 2 </w:t>
            </w:r>
          </w:p>
        </w:tc>
        <w:tc>
          <w:tcPr>
            <w:tcW w:w="784" w:type="pct"/>
            <w:gridSpan w:val="2"/>
            <w:vAlign w:val="center"/>
          </w:tcPr>
          <w:p w:rsidR="000561EC" w:rsidRPr="00D2053F" w:rsidRDefault="00F60B7B" w:rsidP="002F6883">
            <w:pPr>
              <w:keepNext/>
              <w:widowControl/>
              <w:jc w:val="center"/>
              <w:rPr>
                <w:rFonts w:ascii="Arial Narrow" w:hAnsi="Arial Narrow"/>
                <w:color w:val="000000"/>
                <w:sz w:val="20"/>
                <w:szCs w:val="18"/>
              </w:rPr>
            </w:pPr>
            <w:r>
              <w:rPr>
                <w:rFonts w:ascii="Arial Narrow" w:hAnsi="Arial Narrow"/>
                <w:noProof/>
                <w:color w:val="000000"/>
                <w:sz w:val="20"/>
                <w:highlight w:val="black"/>
              </w:rPr>
              <w:t>'''''</w:t>
            </w:r>
            <w:r w:rsidR="000561EC" w:rsidRPr="00D2053F">
              <w:rPr>
                <w:rFonts w:ascii="Arial Narrow" w:hAnsi="Arial Narrow"/>
                <w:color w:val="000000"/>
                <w:sz w:val="20"/>
              </w:rPr>
              <w:t>/</w:t>
            </w:r>
            <w:r>
              <w:rPr>
                <w:rFonts w:ascii="Arial Narrow" w:hAnsi="Arial Narrow"/>
                <w:noProof/>
                <w:color w:val="000000"/>
                <w:sz w:val="20"/>
                <w:highlight w:val="black"/>
              </w:rPr>
              <w:t>''''''''''</w:t>
            </w:r>
          </w:p>
        </w:tc>
        <w:tc>
          <w:tcPr>
            <w:tcW w:w="429" w:type="pct"/>
            <w:gridSpan w:val="2"/>
            <w:vAlign w:val="center"/>
          </w:tcPr>
          <w:p w:rsidR="000561EC" w:rsidRPr="00D2053F" w:rsidRDefault="00F60B7B" w:rsidP="002F6883">
            <w:pPr>
              <w:keepNext/>
              <w:widowControl/>
              <w:jc w:val="center"/>
              <w:rPr>
                <w:rFonts w:ascii="Arial Narrow" w:hAnsi="Arial Narrow"/>
                <w:color w:val="000000"/>
                <w:sz w:val="20"/>
                <w:szCs w:val="18"/>
              </w:rPr>
            </w:pPr>
            <w:r>
              <w:rPr>
                <w:rFonts w:ascii="Arial Narrow" w:hAnsi="Arial Narrow"/>
                <w:noProof/>
                <w:color w:val="000000"/>
                <w:sz w:val="20"/>
                <w:highlight w:val="black"/>
              </w:rPr>
              <w:t>''''''</w:t>
            </w:r>
            <w:r w:rsidR="000561EC" w:rsidRPr="00D2053F">
              <w:rPr>
                <w:rFonts w:ascii="Arial Narrow" w:hAnsi="Arial Narrow"/>
                <w:color w:val="000000"/>
                <w:sz w:val="20"/>
              </w:rPr>
              <w:t>/</w:t>
            </w:r>
            <w:r>
              <w:rPr>
                <w:rFonts w:ascii="Arial Narrow" w:hAnsi="Arial Narrow"/>
                <w:noProof/>
                <w:color w:val="000000"/>
                <w:sz w:val="20"/>
                <w:highlight w:val="black"/>
              </w:rPr>
              <w:t>'''''''''</w:t>
            </w:r>
          </w:p>
        </w:tc>
        <w:tc>
          <w:tcPr>
            <w:tcW w:w="854" w:type="pct"/>
            <w:gridSpan w:val="4"/>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highlight w:val="black"/>
              </w:rPr>
              <w:t xml:space="preserve">'''''''''' ''''''''''''''' '''''''''''''' </w:t>
            </w:r>
          </w:p>
        </w:tc>
        <w:tc>
          <w:tcPr>
            <w:tcW w:w="609"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03"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901" w:type="pct"/>
            <w:vAlign w:val="center"/>
          </w:tcPr>
          <w:p w:rsidR="000561EC" w:rsidRPr="00F60B7B" w:rsidRDefault="00F60B7B" w:rsidP="002F6883">
            <w:pPr>
              <w:keepNext/>
              <w:widowControl/>
              <w:jc w:val="center"/>
              <w:rPr>
                <w:rFonts w:ascii="Arial Narrow" w:hAnsi="Arial Narrow"/>
                <w:color w:val="000000"/>
                <w:sz w:val="20"/>
                <w:szCs w:val="18"/>
                <w:highlight w:val="black"/>
              </w:rPr>
            </w:pPr>
            <w:r>
              <w:rPr>
                <w:rFonts w:ascii="Arial Narrow" w:hAnsi="Arial Narrow"/>
                <w:noProof/>
                <w:color w:val="000000"/>
                <w:sz w:val="20"/>
                <w:highlight w:val="black"/>
              </w:rPr>
              <w:t>'''''''' '''''''''' ''''''''''</w:t>
            </w:r>
            <w:r w:rsidR="000561EC" w:rsidRPr="00F60B7B" w:rsidDel="00BF4B29">
              <w:rPr>
                <w:rFonts w:ascii="Arial Narrow" w:hAnsi="Arial Narrow"/>
                <w:color w:val="000000"/>
                <w:sz w:val="20"/>
                <w:highlight w:val="black"/>
              </w:rPr>
              <w:t xml:space="preserve"> </w:t>
            </w:r>
          </w:p>
        </w:tc>
      </w:tr>
    </w:tbl>
    <w:p w:rsidR="000561EC" w:rsidRDefault="000561EC" w:rsidP="002F6883">
      <w:pPr>
        <w:pStyle w:val="TableFooter"/>
        <w:keepNext/>
        <w:widowControl/>
        <w:ind w:firstLine="720"/>
      </w:pPr>
      <w:r w:rsidRPr="0072416F">
        <w:t>Abbreviations: RD = risk difference; RR = risk ratio</w:t>
      </w:r>
      <w:r>
        <w:t>; FVC%Pred = Forced vital capacity percent predicted</w:t>
      </w:r>
    </w:p>
    <w:p w:rsidR="000561EC" w:rsidRDefault="000561EC" w:rsidP="002F6883">
      <w:pPr>
        <w:pStyle w:val="TableFooter"/>
        <w:keepNext/>
        <w:widowControl/>
        <w:ind w:left="720"/>
      </w:pPr>
      <w:r w:rsidRPr="0072416F">
        <w:t xml:space="preserve">* </w:t>
      </w:r>
      <w:r>
        <w:t>Duration: ASCEND = 52 weeks; CAPACITY-2 = 72 weeks; CAPACITY-1 = 72 weeks</w:t>
      </w:r>
    </w:p>
    <w:p w:rsidR="000561EC" w:rsidRPr="0072416F" w:rsidRDefault="000561EC" w:rsidP="002F6883">
      <w:pPr>
        <w:pStyle w:val="TableFooter"/>
        <w:keepNext/>
        <w:widowControl/>
        <w:ind w:left="720"/>
      </w:pPr>
      <w:r>
        <w:t>^ Mean difference, relative risk and risk difference (%) were calculated from the meta-analysis of ASCEND, CAPACITY-1 and CAPACITY-2 according to the random effects model (DerSimonian-Lair</w:t>
      </w:r>
      <w:r w:rsidR="00EB361A">
        <w:t>d; StatsDirect Version 2.7.9).</w:t>
      </w:r>
    </w:p>
    <w:p w:rsidR="000561EC" w:rsidRPr="0072416F" w:rsidRDefault="000561EC" w:rsidP="002F6883">
      <w:pPr>
        <w:pStyle w:val="TableFooter"/>
        <w:widowControl/>
        <w:ind w:firstLine="720"/>
      </w:pPr>
      <w:r w:rsidRPr="0072416F">
        <w:t>Source: Compiled during the evaluation</w:t>
      </w:r>
    </w:p>
    <w:p w:rsidR="000561EC" w:rsidRDefault="000561EC" w:rsidP="002F6883">
      <w:pPr>
        <w:widowControl/>
      </w:pPr>
    </w:p>
    <w:p w:rsidR="000561EC" w:rsidRDefault="000561EC" w:rsidP="002F6883">
      <w:pPr>
        <w:pStyle w:val="ListParagraph"/>
        <w:widowControl/>
        <w:numPr>
          <w:ilvl w:val="1"/>
          <w:numId w:val="2"/>
        </w:numPr>
        <w:rPr>
          <w:szCs w:val="22"/>
        </w:rPr>
      </w:pPr>
      <w:r w:rsidRPr="002546B0">
        <w:rPr>
          <w:szCs w:val="22"/>
        </w:rPr>
        <w:t xml:space="preserve">On the basis of </w:t>
      </w:r>
      <w:r>
        <w:rPr>
          <w:szCs w:val="22"/>
        </w:rPr>
        <w:t>direct</w:t>
      </w:r>
      <w:r w:rsidRPr="002546B0">
        <w:rPr>
          <w:szCs w:val="22"/>
        </w:rPr>
        <w:t xml:space="preserve"> evidence presented by the submission</w:t>
      </w:r>
      <w:r w:rsidR="00F15FC2">
        <w:rPr>
          <w:szCs w:val="22"/>
        </w:rPr>
        <w:t xml:space="preserve"> (for baseline to week</w:t>
      </w:r>
      <w:r w:rsidR="003A34D6">
        <w:rPr>
          <w:szCs w:val="22"/>
        </w:rPr>
        <w:t> </w:t>
      </w:r>
      <w:r w:rsidR="00F15FC2">
        <w:rPr>
          <w:szCs w:val="22"/>
        </w:rPr>
        <w:t>52)</w:t>
      </w:r>
      <w:r w:rsidRPr="002546B0">
        <w:rPr>
          <w:szCs w:val="22"/>
        </w:rPr>
        <w:t xml:space="preserve">, </w:t>
      </w:r>
      <w:r>
        <w:rPr>
          <w:szCs w:val="22"/>
        </w:rPr>
        <w:t>in comparison to placebo, pirfenidone was associated with</w:t>
      </w:r>
      <w:r w:rsidRPr="002546B0">
        <w:rPr>
          <w:szCs w:val="22"/>
        </w:rPr>
        <w:t>:</w:t>
      </w:r>
    </w:p>
    <w:p w:rsidR="000561EC" w:rsidRDefault="000561EC" w:rsidP="002F6883">
      <w:pPr>
        <w:pStyle w:val="ListParagraph"/>
        <w:widowControl/>
        <w:numPr>
          <w:ilvl w:val="0"/>
          <w:numId w:val="1"/>
        </w:numPr>
        <w:ind w:left="993" w:hanging="284"/>
        <w:rPr>
          <w:szCs w:val="22"/>
        </w:rPr>
      </w:pPr>
      <w:r>
        <w:rPr>
          <w:szCs w:val="22"/>
        </w:rPr>
        <w:t>Approximately a 4.0% reduction in absolute change in FVC%Pred.</w:t>
      </w:r>
    </w:p>
    <w:p w:rsidR="000561EC" w:rsidRPr="007A7BCF" w:rsidRDefault="000561EC" w:rsidP="002F6883">
      <w:pPr>
        <w:pStyle w:val="ListParagraph"/>
        <w:widowControl/>
        <w:numPr>
          <w:ilvl w:val="0"/>
          <w:numId w:val="1"/>
        </w:numPr>
        <w:ind w:left="993" w:hanging="284"/>
        <w:rPr>
          <w:szCs w:val="22"/>
        </w:rPr>
      </w:pPr>
      <w:r w:rsidRPr="007A7BCF">
        <w:rPr>
          <w:szCs w:val="22"/>
        </w:rPr>
        <w:t>No significant difference for overall survival as reported in the vital status-end of study analysis</w:t>
      </w:r>
      <w:r w:rsidR="00D4583B">
        <w:rPr>
          <w:szCs w:val="22"/>
        </w:rPr>
        <w:t xml:space="preserve"> (this analysis</w:t>
      </w:r>
      <w:r w:rsidRPr="007A7BCF">
        <w:rPr>
          <w:szCs w:val="22"/>
        </w:rPr>
        <w:t xml:space="preserve"> was considered </w:t>
      </w:r>
      <w:r w:rsidR="00D4583B">
        <w:rPr>
          <w:szCs w:val="22"/>
        </w:rPr>
        <w:t>in an</w:t>
      </w:r>
      <w:r w:rsidRPr="007A7BCF">
        <w:rPr>
          <w:szCs w:val="22"/>
        </w:rPr>
        <w:t xml:space="preserve"> FDA review for pirfenidone to be most representative of the efficacy of a drug in terms of disease modification/survival</w:t>
      </w:r>
      <w:r w:rsidR="00D4583B">
        <w:rPr>
          <w:szCs w:val="22"/>
        </w:rPr>
        <w:t>)</w:t>
      </w:r>
      <w:r w:rsidRPr="007A7BCF">
        <w:rPr>
          <w:szCs w:val="22"/>
        </w:rPr>
        <w:t>.</w:t>
      </w:r>
    </w:p>
    <w:p w:rsidR="000561EC" w:rsidRPr="00050F3F" w:rsidRDefault="000561EC" w:rsidP="002F6883">
      <w:pPr>
        <w:widowControl/>
        <w:rPr>
          <w:szCs w:val="22"/>
        </w:rPr>
      </w:pPr>
    </w:p>
    <w:p w:rsidR="000561EC" w:rsidRPr="00B50DB8" w:rsidRDefault="000561EC" w:rsidP="002F6883">
      <w:pPr>
        <w:pStyle w:val="ListParagraph"/>
        <w:widowControl/>
        <w:numPr>
          <w:ilvl w:val="1"/>
          <w:numId w:val="2"/>
        </w:numPr>
        <w:rPr>
          <w:szCs w:val="22"/>
        </w:rPr>
      </w:pPr>
      <w:r w:rsidRPr="00CF6EE4">
        <w:t xml:space="preserve">On the basis of direct evidence presented by the submission, for every 100 patients treated with </w:t>
      </w:r>
      <w:r>
        <w:t>pirfenidone</w:t>
      </w:r>
      <w:r w:rsidRPr="00CF6EE4">
        <w:t xml:space="preserve"> in comparison to </w:t>
      </w:r>
      <w:r>
        <w:t>placebo</w:t>
      </w:r>
      <w:r w:rsidR="00F15FC2">
        <w:t>, over 52-72 week duration of follow-up</w:t>
      </w:r>
      <w:r w:rsidR="000B69BC">
        <w:t>, approximately</w:t>
      </w:r>
      <w:r>
        <w:t>:</w:t>
      </w:r>
    </w:p>
    <w:p w:rsidR="000561EC" w:rsidRPr="00CF6EE4" w:rsidRDefault="000561EC" w:rsidP="002F6883">
      <w:pPr>
        <w:pStyle w:val="ListParagraph"/>
        <w:widowControl/>
        <w:numPr>
          <w:ilvl w:val="0"/>
          <w:numId w:val="1"/>
        </w:numPr>
        <w:ind w:left="993" w:hanging="284"/>
      </w:pPr>
      <w:r>
        <w:t>8</w:t>
      </w:r>
      <w:r w:rsidRPr="00CF6EE4">
        <w:t xml:space="preserve"> additional patients would have </w:t>
      </w:r>
      <w:r>
        <w:t>a photosensitivity reaction.</w:t>
      </w:r>
    </w:p>
    <w:p w:rsidR="000561EC" w:rsidRPr="00CF6EE4" w:rsidRDefault="000561EC" w:rsidP="002F6883">
      <w:pPr>
        <w:pStyle w:val="ListParagraph"/>
        <w:widowControl/>
        <w:numPr>
          <w:ilvl w:val="0"/>
          <w:numId w:val="1"/>
        </w:numPr>
        <w:ind w:left="993" w:hanging="284"/>
      </w:pPr>
      <w:r>
        <w:t>20 additional patients would have a rash.</w:t>
      </w:r>
    </w:p>
    <w:p w:rsidR="00B60939" w:rsidRDefault="000561EC" w:rsidP="002F6883">
      <w:pPr>
        <w:pStyle w:val="ListParagraph"/>
        <w:widowControl/>
        <w:numPr>
          <w:ilvl w:val="0"/>
          <w:numId w:val="1"/>
        </w:numPr>
        <w:ind w:left="993" w:hanging="284"/>
      </w:pPr>
      <w:r>
        <w:t xml:space="preserve">6 additional </w:t>
      </w:r>
      <w:r w:rsidRPr="00CF6EE4">
        <w:t xml:space="preserve">patients would have </w:t>
      </w:r>
      <w:r>
        <w:t>stomach discomfort</w:t>
      </w:r>
      <w:r w:rsidR="0074651C">
        <w:t>.</w:t>
      </w:r>
      <w:r w:rsidR="00E36E9E">
        <w:t xml:space="preserve"> </w:t>
      </w:r>
    </w:p>
    <w:p w:rsidR="000F1A92" w:rsidRDefault="000F1A92" w:rsidP="002F6883">
      <w:pPr>
        <w:widowControl/>
      </w:pPr>
      <w:bookmarkStart w:id="12" w:name="_Toc461547431"/>
    </w:p>
    <w:p w:rsidR="00B60939" w:rsidRPr="009332D7" w:rsidRDefault="00B60939" w:rsidP="002F6883">
      <w:pPr>
        <w:pStyle w:val="Heading2"/>
      </w:pPr>
      <w:r w:rsidRPr="009332D7">
        <w:t>Clinical claim</w:t>
      </w:r>
      <w:bookmarkEnd w:id="12"/>
    </w:p>
    <w:p w:rsidR="00B60939" w:rsidRPr="00882085" w:rsidRDefault="00B60939" w:rsidP="002F6883">
      <w:pPr>
        <w:pStyle w:val="BodyText"/>
        <w:keepNext/>
        <w:widowControl/>
      </w:pPr>
    </w:p>
    <w:p w:rsidR="00E36E9E" w:rsidRPr="000B69BC" w:rsidRDefault="00E36E9E" w:rsidP="002F6883">
      <w:pPr>
        <w:pStyle w:val="ListParagraph"/>
        <w:widowControl/>
        <w:numPr>
          <w:ilvl w:val="1"/>
          <w:numId w:val="2"/>
        </w:numPr>
      </w:pPr>
      <w:r>
        <w:rPr>
          <w:szCs w:val="22"/>
        </w:rPr>
        <w:t>As in the November 2015 and March 2016 submissions, the current resubmission described</w:t>
      </w:r>
      <w:r w:rsidR="00560077">
        <w:rPr>
          <w:szCs w:val="22"/>
        </w:rPr>
        <w:t xml:space="preserve"> pirfenidone</w:t>
      </w:r>
      <w:r w:rsidR="0074651C">
        <w:rPr>
          <w:szCs w:val="22"/>
        </w:rPr>
        <w:t xml:space="preserve"> </w:t>
      </w:r>
      <w:r>
        <w:rPr>
          <w:szCs w:val="22"/>
        </w:rPr>
        <w:t>as having s</w:t>
      </w:r>
      <w:r w:rsidRPr="00E36E9E">
        <w:rPr>
          <w:szCs w:val="22"/>
        </w:rPr>
        <w:t xml:space="preserve">uperior efficacy and </w:t>
      </w:r>
      <w:r w:rsidR="00AF37ED">
        <w:rPr>
          <w:szCs w:val="22"/>
        </w:rPr>
        <w:t xml:space="preserve">an </w:t>
      </w:r>
      <w:r w:rsidRPr="00E36E9E">
        <w:rPr>
          <w:szCs w:val="22"/>
        </w:rPr>
        <w:t xml:space="preserve">acceptable safety profile </w:t>
      </w:r>
      <w:r w:rsidRPr="00C10055">
        <w:rPr>
          <w:szCs w:val="22"/>
        </w:rPr>
        <w:t>compared with placebo.</w:t>
      </w:r>
      <w:r w:rsidR="000B69BC" w:rsidRPr="00C10055">
        <w:rPr>
          <w:szCs w:val="22"/>
        </w:rPr>
        <w:t xml:space="preserve"> </w:t>
      </w:r>
      <w:r w:rsidRPr="000B69BC">
        <w:t>In November 2015</w:t>
      </w:r>
      <w:r w:rsidR="000263A2" w:rsidRPr="000B69BC">
        <w:t>,</w:t>
      </w:r>
      <w:r w:rsidRPr="000B69BC">
        <w:t xml:space="preserve"> the PBAC </w:t>
      </w:r>
      <w:r w:rsidR="000263A2" w:rsidRPr="000B69BC">
        <w:t>considered</w:t>
      </w:r>
      <w:r w:rsidRPr="000B69BC">
        <w:t xml:space="preserve"> that pirfenidone is </w:t>
      </w:r>
      <w:r w:rsidRPr="000B69BC">
        <w:lastRenderedPageBreak/>
        <w:t xml:space="preserve">superior in efficacy to placebo and has an inferior safety profile (November 2015 </w:t>
      </w:r>
      <w:r w:rsidR="000263A2" w:rsidRPr="000B69BC">
        <w:t>PSD</w:t>
      </w:r>
      <w:r w:rsidRPr="000B69BC">
        <w:t xml:space="preserve">, paragraph </w:t>
      </w:r>
      <w:r w:rsidR="000263A2" w:rsidRPr="000B69BC">
        <w:t>6.26</w:t>
      </w:r>
      <w:r w:rsidRPr="000B69BC">
        <w:t>)</w:t>
      </w:r>
      <w:r w:rsidR="000263A2" w:rsidRPr="000B69BC">
        <w:t>.</w:t>
      </w:r>
    </w:p>
    <w:p w:rsidR="000263A2" w:rsidRPr="007C13C1" w:rsidRDefault="000263A2" w:rsidP="002F6883">
      <w:pPr>
        <w:widowControl/>
        <w:rPr>
          <w:szCs w:val="22"/>
        </w:rPr>
      </w:pPr>
    </w:p>
    <w:p w:rsidR="000263A2" w:rsidRDefault="000263A2" w:rsidP="002F6883">
      <w:pPr>
        <w:pStyle w:val="ListParagraph"/>
        <w:widowControl/>
        <w:numPr>
          <w:ilvl w:val="1"/>
          <w:numId w:val="2"/>
        </w:numPr>
        <w:rPr>
          <w:szCs w:val="22"/>
        </w:rPr>
      </w:pPr>
      <w:r w:rsidRPr="00720288">
        <w:t>The current resubmission did not make an explicit clinical claim against nintedanib</w:t>
      </w:r>
      <w:r w:rsidR="00173B11" w:rsidRPr="00720288">
        <w:t xml:space="preserve">, but did state that the results of the indirect comparisons suggest that treatment with pirfenidone is non-inferior to nintedanib in FVC, all-cause mortality and IPF-related mortality, and that pirfenidone </w:t>
      </w:r>
      <w:r w:rsidR="00F506A9" w:rsidRPr="00720288">
        <w:t>and nintedanib have a similar overall safety profile.</w:t>
      </w:r>
      <w:r w:rsidR="00173B11" w:rsidRPr="00720288">
        <w:t xml:space="preserve"> </w:t>
      </w:r>
      <w:r w:rsidR="000B69BC">
        <w:t>In November 2015, t</w:t>
      </w:r>
      <w:r w:rsidRPr="00720288">
        <w:t xml:space="preserve">he PBAC considered that “interpretation </w:t>
      </w:r>
      <w:r w:rsidRPr="00720288">
        <w:rPr>
          <w:szCs w:val="22"/>
        </w:rPr>
        <w:t>of the indirect comparison with nintedanib is difficult given the differences in the trial populations and the outcomes...  However, PBAC considered both drugs are likely to be similarly clinically effective” (November 2015 PSD, paragraph 7.11).</w:t>
      </w:r>
    </w:p>
    <w:p w:rsidR="0074651C" w:rsidRPr="007C13C1" w:rsidRDefault="0074651C" w:rsidP="002F6883">
      <w:pPr>
        <w:widowControl/>
        <w:rPr>
          <w:szCs w:val="22"/>
        </w:rPr>
      </w:pPr>
    </w:p>
    <w:p w:rsidR="000B69BC" w:rsidRDefault="000B69BC" w:rsidP="002F6883">
      <w:pPr>
        <w:pStyle w:val="ListParagraph"/>
        <w:widowControl/>
        <w:numPr>
          <w:ilvl w:val="1"/>
          <w:numId w:val="2"/>
        </w:numPr>
        <w:rPr>
          <w:szCs w:val="22"/>
        </w:rPr>
      </w:pPr>
      <w:r w:rsidRPr="00935D7C">
        <w:rPr>
          <w:szCs w:val="22"/>
        </w:rPr>
        <w:t xml:space="preserve">The ESC considered that no new evidence was presented that would be sufficient to change the PBAC’s previous conclusion that nintedanib and pirfenidone are likely to be </w:t>
      </w:r>
      <w:r w:rsidR="007C13C1">
        <w:rPr>
          <w:szCs w:val="22"/>
        </w:rPr>
        <w:t>similarly clinically effective.</w:t>
      </w:r>
    </w:p>
    <w:p w:rsidR="00BB1368" w:rsidRPr="007C13C1" w:rsidRDefault="00BB1368" w:rsidP="002F6883">
      <w:pPr>
        <w:widowControl/>
        <w:rPr>
          <w:szCs w:val="22"/>
        </w:rPr>
      </w:pPr>
    </w:p>
    <w:p w:rsidR="00BB1368" w:rsidRPr="00BB1368" w:rsidRDefault="00BB1368" w:rsidP="00D4583B">
      <w:pPr>
        <w:pStyle w:val="ListParagraph"/>
        <w:widowControl/>
        <w:numPr>
          <w:ilvl w:val="1"/>
          <w:numId w:val="2"/>
        </w:numPr>
        <w:rPr>
          <w:bCs/>
        </w:rPr>
      </w:pPr>
      <w:r w:rsidRPr="00BB1368">
        <w:rPr>
          <w:bCs/>
          <w:szCs w:val="22"/>
        </w:rPr>
        <w:t>The PBAC reaffirmed that the claim of superior effectiveness and inferior safety, compared with placebo, was reasonable. The PBAC also reaffirmed that pirfenidone and nintedanib are likely to be similarly clinically effective.</w:t>
      </w:r>
    </w:p>
    <w:p w:rsidR="00E36E9E" w:rsidRPr="000F2F47" w:rsidRDefault="00E36E9E" w:rsidP="002F6883">
      <w:pPr>
        <w:widowControl/>
        <w:rPr>
          <w:szCs w:val="22"/>
        </w:rPr>
      </w:pPr>
    </w:p>
    <w:p w:rsidR="00B60939" w:rsidRPr="009332D7" w:rsidRDefault="00B60939" w:rsidP="002F6883">
      <w:pPr>
        <w:pStyle w:val="Heading2"/>
      </w:pPr>
      <w:bookmarkStart w:id="13" w:name="_Toc461547432"/>
      <w:r w:rsidRPr="009332D7">
        <w:t>Economic analysis</w:t>
      </w:r>
      <w:bookmarkEnd w:id="13"/>
    </w:p>
    <w:p w:rsidR="00B60939" w:rsidRPr="00882085" w:rsidRDefault="00B60939" w:rsidP="002F6883">
      <w:pPr>
        <w:widowControl/>
        <w:ind w:left="720" w:hanging="720"/>
        <w:rPr>
          <w:szCs w:val="22"/>
        </w:rPr>
      </w:pPr>
    </w:p>
    <w:p w:rsidR="00B60939" w:rsidRPr="009D4ECF" w:rsidRDefault="009D4ECF" w:rsidP="002F6883">
      <w:pPr>
        <w:pStyle w:val="ListParagraph"/>
        <w:widowControl/>
        <w:numPr>
          <w:ilvl w:val="1"/>
          <w:numId w:val="2"/>
        </w:numPr>
        <w:rPr>
          <w:szCs w:val="22"/>
        </w:rPr>
      </w:pPr>
      <w:r w:rsidRPr="009D4ECF">
        <w:t>The current resubmission presented an updated economic model to evaluate the cost-effectiveness of pirfenidone versus BSC. The changes made since the March 2015 minor resubmission consisted of:</w:t>
      </w:r>
    </w:p>
    <w:p w:rsidR="00261CE8" w:rsidRPr="009D4ECF" w:rsidRDefault="00261CE8" w:rsidP="002F6883">
      <w:pPr>
        <w:pStyle w:val="ListParagraph"/>
        <w:widowControl/>
        <w:numPr>
          <w:ilvl w:val="0"/>
          <w:numId w:val="8"/>
        </w:numPr>
        <w:ind w:left="993" w:hanging="284"/>
        <w:rPr>
          <w:szCs w:val="22"/>
        </w:rPr>
      </w:pPr>
      <w:r w:rsidRPr="009D4ECF">
        <w:rPr>
          <w:szCs w:val="22"/>
        </w:rPr>
        <w:t>Correcting an error in the previous model</w:t>
      </w:r>
      <w:r w:rsidR="000263A2">
        <w:rPr>
          <w:szCs w:val="22"/>
        </w:rPr>
        <w:t>’</w:t>
      </w:r>
      <w:r w:rsidRPr="009D4ECF">
        <w:rPr>
          <w:szCs w:val="22"/>
        </w:rPr>
        <w:t xml:space="preserve">s calculation of treatment costs. </w:t>
      </w:r>
      <w:r>
        <w:t xml:space="preserve">Specifically, when the price reduction following market entry was switched off, instead of reverting back to the </w:t>
      </w:r>
      <w:r w:rsidR="00F60B7B">
        <w:rPr>
          <w:noProof/>
          <w:color w:val="000000"/>
          <w:highlight w:val="black"/>
        </w:rPr>
        <w:t>''''''</w:t>
      </w:r>
      <w:r>
        <w:t xml:space="preserve">% rebate offered on the ex-manufacturer price, the rebate was incorrectly removed altogether. Consequently after 5 years, the full price of pirfenidone was applied rather than taking into account the </w:t>
      </w:r>
      <w:r w:rsidR="00F60B7B">
        <w:rPr>
          <w:noProof/>
          <w:color w:val="000000"/>
          <w:highlight w:val="black"/>
        </w:rPr>
        <w:t>'''''''</w:t>
      </w:r>
      <w:r w:rsidR="00EB361A">
        <w:t>% rebate.</w:t>
      </w:r>
    </w:p>
    <w:p w:rsidR="00261CE8" w:rsidRPr="000B69BC" w:rsidRDefault="00261CE8" w:rsidP="002F6883">
      <w:pPr>
        <w:pStyle w:val="ListParagraph"/>
        <w:widowControl/>
        <w:numPr>
          <w:ilvl w:val="0"/>
          <w:numId w:val="8"/>
        </w:numPr>
        <w:ind w:left="993" w:hanging="284"/>
        <w:rPr>
          <w:szCs w:val="22"/>
        </w:rPr>
      </w:pPr>
      <w:r>
        <w:t>Unit costs were also updated to reflect current prices.</w:t>
      </w:r>
    </w:p>
    <w:p w:rsidR="000B69BC" w:rsidRPr="000B69BC" w:rsidRDefault="000B69BC" w:rsidP="002F6883">
      <w:pPr>
        <w:widowControl/>
        <w:ind w:left="709"/>
        <w:rPr>
          <w:szCs w:val="22"/>
        </w:rPr>
      </w:pPr>
      <w:r>
        <w:t>N</w:t>
      </w:r>
      <w:r w:rsidRPr="0023404E">
        <w:t xml:space="preserve">o </w:t>
      </w:r>
      <w:r>
        <w:t xml:space="preserve">other </w:t>
      </w:r>
      <w:r w:rsidRPr="0023404E">
        <w:t xml:space="preserve">substantive changes were made to the structure or rationale of the economic model (refer to Table </w:t>
      </w:r>
      <w:r>
        <w:t>8</w:t>
      </w:r>
      <w:r w:rsidRPr="0023404E">
        <w:t>, below).</w:t>
      </w:r>
    </w:p>
    <w:p w:rsidR="009D4ECF" w:rsidRPr="009D4ECF" w:rsidRDefault="009D4ECF" w:rsidP="002F6883">
      <w:pPr>
        <w:widowControl/>
        <w:rPr>
          <w:szCs w:val="22"/>
        </w:rPr>
      </w:pPr>
    </w:p>
    <w:p w:rsidR="00261CE8" w:rsidRDefault="00D06FD4" w:rsidP="002F6883">
      <w:pPr>
        <w:keepNext/>
        <w:widowControl/>
        <w:ind w:firstLine="720"/>
        <w:rPr>
          <w:rStyle w:val="CommentReference"/>
        </w:rPr>
      </w:pPr>
      <w:r w:rsidRPr="00A56B6A">
        <w:rPr>
          <w:rStyle w:val="CommentReference"/>
        </w:rPr>
        <w:lastRenderedPageBreak/>
        <w:t xml:space="preserve">Table </w:t>
      </w:r>
      <w:r w:rsidR="0074651C">
        <w:rPr>
          <w:rStyle w:val="CommentReference"/>
        </w:rPr>
        <w:t>8</w:t>
      </w:r>
      <w:r w:rsidR="00261CE8">
        <w:rPr>
          <w:rStyle w:val="CommentReference"/>
        </w:rPr>
        <w:t xml:space="preserve">: </w:t>
      </w:r>
      <w:r w:rsidRPr="00A56B6A">
        <w:rPr>
          <w:rStyle w:val="CommentReference"/>
        </w:rPr>
        <w:t>Summary of model structure and rationale</w:t>
      </w:r>
    </w:p>
    <w:tbl>
      <w:tblPr>
        <w:tblW w:w="832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40"/>
        <w:gridCol w:w="6884"/>
      </w:tblGrid>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Time horizon</w:t>
            </w:r>
          </w:p>
        </w:tc>
        <w:tc>
          <w:tcPr>
            <w:tcW w:w="6884" w:type="dxa"/>
            <w:shd w:val="clear" w:color="auto" w:fill="auto"/>
          </w:tcPr>
          <w:p w:rsidR="00261CE8" w:rsidRPr="00650D5B" w:rsidRDefault="00261CE8" w:rsidP="002F6883">
            <w:pPr>
              <w:keepNext/>
              <w:widowControl/>
              <w:rPr>
                <w:rFonts w:ascii="Arial Narrow" w:hAnsi="Arial Narrow"/>
                <w:sz w:val="20"/>
              </w:rPr>
            </w:pPr>
            <w:r>
              <w:rPr>
                <w:rFonts w:ascii="Arial Narrow" w:hAnsi="Arial Narrow"/>
                <w:sz w:val="20"/>
              </w:rPr>
              <w:t>10</w:t>
            </w:r>
            <w:r w:rsidRPr="00650D5B">
              <w:rPr>
                <w:rFonts w:ascii="Arial Narrow" w:hAnsi="Arial Narrow"/>
                <w:sz w:val="20"/>
              </w:rPr>
              <w:t xml:space="preserve"> years in the model base case versus 72 weeks in the pir</w:t>
            </w:r>
            <w:r w:rsidR="00F73AB6">
              <w:rPr>
                <w:rFonts w:ascii="Arial Narrow" w:hAnsi="Arial Narrow"/>
                <w:sz w:val="20"/>
              </w:rPr>
              <w:t>fenidone CAPACITY trials and 52 </w:t>
            </w:r>
            <w:r w:rsidRPr="00650D5B">
              <w:rPr>
                <w:rFonts w:ascii="Arial Narrow" w:hAnsi="Arial Narrow"/>
                <w:sz w:val="20"/>
              </w:rPr>
              <w:t>weeks in the ASCEND trial (plus an open-label extension study to 6.2</w:t>
            </w:r>
            <w:r>
              <w:rPr>
                <w:rFonts w:ascii="Arial Narrow" w:hAnsi="Arial Narrow"/>
                <w:sz w:val="20"/>
              </w:rPr>
              <w:t xml:space="preserve"> </w:t>
            </w:r>
            <w:r w:rsidRPr="00650D5B">
              <w:rPr>
                <w:rFonts w:ascii="Arial Narrow" w:hAnsi="Arial Narrow"/>
                <w:sz w:val="20"/>
              </w:rPr>
              <w:t>years)</w:t>
            </w:r>
          </w:p>
        </w:tc>
      </w:tr>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Outcomes</w:t>
            </w:r>
          </w:p>
        </w:tc>
        <w:tc>
          <w:tcPr>
            <w:tcW w:w="6884" w:type="dxa"/>
            <w:shd w:val="clear" w:color="auto" w:fill="auto"/>
          </w:tcPr>
          <w:p w:rsidR="00261CE8" w:rsidRPr="00650D5B" w:rsidRDefault="00261CE8" w:rsidP="002F6883">
            <w:pPr>
              <w:keepNext/>
              <w:widowControl/>
              <w:rPr>
                <w:rFonts w:ascii="Arial Narrow" w:hAnsi="Arial Narrow"/>
                <w:sz w:val="20"/>
              </w:rPr>
            </w:pPr>
            <w:r w:rsidRPr="00650D5B">
              <w:rPr>
                <w:rFonts w:ascii="Arial Narrow" w:hAnsi="Arial Narrow"/>
                <w:sz w:val="20"/>
              </w:rPr>
              <w:t>LYG and QALYs</w:t>
            </w:r>
          </w:p>
        </w:tc>
      </w:tr>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Methods used to generate results</w:t>
            </w:r>
          </w:p>
        </w:tc>
        <w:tc>
          <w:tcPr>
            <w:tcW w:w="6884" w:type="dxa"/>
            <w:shd w:val="clear" w:color="auto" w:fill="auto"/>
          </w:tcPr>
          <w:p w:rsidR="00261CE8" w:rsidRPr="00F73AB6" w:rsidRDefault="00F43BD7" w:rsidP="002F6883">
            <w:pPr>
              <w:keepNext/>
              <w:widowControl/>
              <w:rPr>
                <w:rFonts w:ascii="Arial Narrow" w:hAnsi="Arial Narrow"/>
                <w:sz w:val="20"/>
              </w:rPr>
            </w:pPr>
            <w:r w:rsidRPr="00F73AB6">
              <w:rPr>
                <w:rFonts w:ascii="Arial Narrow" w:hAnsi="Arial Narrow"/>
                <w:sz w:val="20"/>
              </w:rPr>
              <w:t>Partitioned survival model</w:t>
            </w:r>
          </w:p>
        </w:tc>
      </w:tr>
      <w:tr w:rsidR="0026366B" w:rsidRPr="004E2ADC" w:rsidTr="00261CE8">
        <w:trPr>
          <w:trHeight w:val="20"/>
        </w:trPr>
        <w:tc>
          <w:tcPr>
            <w:tcW w:w="1440" w:type="dxa"/>
            <w:shd w:val="clear" w:color="auto" w:fill="auto"/>
          </w:tcPr>
          <w:p w:rsidR="0026366B" w:rsidRPr="00F73AB6" w:rsidRDefault="0026366B" w:rsidP="002F6883">
            <w:pPr>
              <w:keepNext/>
              <w:widowControl/>
              <w:rPr>
                <w:rFonts w:ascii="Arial Narrow" w:hAnsi="Arial Narrow"/>
                <w:sz w:val="20"/>
              </w:rPr>
            </w:pPr>
            <w:r w:rsidRPr="00F73AB6">
              <w:rPr>
                <w:rFonts w:ascii="Arial Narrow" w:hAnsi="Arial Narrow"/>
                <w:sz w:val="20"/>
              </w:rPr>
              <w:t>Health states</w:t>
            </w:r>
          </w:p>
        </w:tc>
        <w:tc>
          <w:tcPr>
            <w:tcW w:w="6884" w:type="dxa"/>
            <w:shd w:val="clear" w:color="auto" w:fill="auto"/>
          </w:tcPr>
          <w:p w:rsidR="0026366B" w:rsidRPr="00F73AB6" w:rsidRDefault="0026366B" w:rsidP="002F6883">
            <w:pPr>
              <w:keepNext/>
              <w:widowControl/>
              <w:rPr>
                <w:rFonts w:ascii="Arial Narrow" w:hAnsi="Arial Narrow"/>
                <w:sz w:val="20"/>
              </w:rPr>
            </w:pPr>
            <w:r w:rsidRPr="00F73AB6">
              <w:rPr>
                <w:rFonts w:ascii="Arial Narrow" w:hAnsi="Arial Narrow"/>
                <w:sz w:val="20"/>
              </w:rPr>
              <w:t>PFS, progression, lung transplant, death</w:t>
            </w:r>
          </w:p>
        </w:tc>
      </w:tr>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Cycle length</w:t>
            </w:r>
          </w:p>
        </w:tc>
        <w:tc>
          <w:tcPr>
            <w:tcW w:w="6884" w:type="dxa"/>
            <w:shd w:val="clear" w:color="auto" w:fill="auto"/>
          </w:tcPr>
          <w:p w:rsidR="00261CE8" w:rsidRPr="00650D5B" w:rsidRDefault="00B166A0" w:rsidP="002F6883">
            <w:pPr>
              <w:keepNext/>
              <w:widowControl/>
              <w:rPr>
                <w:rFonts w:ascii="Arial Narrow" w:hAnsi="Arial Narrow"/>
                <w:sz w:val="20"/>
              </w:rPr>
            </w:pPr>
            <w:r>
              <w:rPr>
                <w:rFonts w:ascii="Arial Narrow" w:hAnsi="Arial Narrow"/>
                <w:sz w:val="20"/>
              </w:rPr>
              <w:t>0.25 years</w:t>
            </w:r>
            <w:r w:rsidR="00261CE8">
              <w:rPr>
                <w:rFonts w:ascii="Arial Narrow" w:hAnsi="Arial Narrow"/>
                <w:sz w:val="20"/>
              </w:rPr>
              <w:t>; half cycle correction applied</w:t>
            </w:r>
          </w:p>
        </w:tc>
      </w:tr>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Transition probabilities</w:t>
            </w:r>
          </w:p>
        </w:tc>
        <w:tc>
          <w:tcPr>
            <w:tcW w:w="6884" w:type="dxa"/>
            <w:shd w:val="clear" w:color="auto" w:fill="auto"/>
          </w:tcPr>
          <w:p w:rsidR="00261CE8" w:rsidRPr="00650D5B" w:rsidRDefault="00261CE8" w:rsidP="002F6883">
            <w:pPr>
              <w:keepNext/>
              <w:widowControl/>
              <w:rPr>
                <w:rFonts w:ascii="Arial Narrow" w:hAnsi="Arial Narrow"/>
                <w:sz w:val="20"/>
              </w:rPr>
            </w:pPr>
            <w:r w:rsidRPr="00650D5B">
              <w:rPr>
                <w:rFonts w:ascii="Arial Narrow" w:hAnsi="Arial Narrow"/>
                <w:sz w:val="20"/>
              </w:rPr>
              <w:t>Overall survival</w:t>
            </w:r>
          </w:p>
          <w:p w:rsidR="00261CE8" w:rsidRPr="00650D5B" w:rsidRDefault="00261CE8" w:rsidP="002F6883">
            <w:pPr>
              <w:pStyle w:val="ListParagraph"/>
              <w:keepNext/>
              <w:widowControl/>
              <w:numPr>
                <w:ilvl w:val="0"/>
                <w:numId w:val="6"/>
              </w:numPr>
              <w:ind w:left="224" w:hanging="142"/>
              <w:rPr>
                <w:rFonts w:ascii="Arial Narrow" w:hAnsi="Arial Narrow"/>
                <w:sz w:val="20"/>
              </w:rPr>
            </w:pPr>
            <w:r w:rsidRPr="00650D5B">
              <w:rPr>
                <w:rFonts w:ascii="Arial Narrow" w:hAnsi="Arial Narrow"/>
                <w:sz w:val="20"/>
              </w:rPr>
              <w:t xml:space="preserve">Pirfenidone patients: </w:t>
            </w:r>
            <w:r w:rsidR="0026366B" w:rsidRPr="001011A1">
              <w:rPr>
                <w:rFonts w:ascii="Arial Narrow" w:hAnsi="Arial Narrow"/>
                <w:sz w:val="20"/>
                <w:szCs w:val="16"/>
              </w:rPr>
              <w:t xml:space="preserve">Weibull function fitted to pooled K-M data to 6.2 years, </w:t>
            </w:r>
            <w:r w:rsidR="005F0821">
              <w:rPr>
                <w:rFonts w:ascii="Arial Narrow" w:hAnsi="Arial Narrow"/>
                <w:sz w:val="20"/>
                <w:szCs w:val="16"/>
              </w:rPr>
              <w:t xml:space="preserve">then </w:t>
            </w:r>
            <w:r w:rsidR="0026366B" w:rsidRPr="001011A1">
              <w:rPr>
                <w:rFonts w:ascii="Arial Narrow" w:hAnsi="Arial Narrow"/>
                <w:sz w:val="20"/>
                <w:szCs w:val="16"/>
              </w:rPr>
              <w:t>Weibull function from Strand 2014 to 10 years</w:t>
            </w:r>
          </w:p>
          <w:p w:rsidR="00261CE8" w:rsidRPr="00650D5B" w:rsidRDefault="00261CE8" w:rsidP="002F6883">
            <w:pPr>
              <w:pStyle w:val="ListParagraph"/>
              <w:keepNext/>
              <w:widowControl/>
              <w:numPr>
                <w:ilvl w:val="0"/>
                <w:numId w:val="6"/>
              </w:numPr>
              <w:ind w:left="224" w:hanging="142"/>
              <w:rPr>
                <w:rFonts w:ascii="Arial Narrow" w:hAnsi="Arial Narrow"/>
                <w:sz w:val="20"/>
              </w:rPr>
            </w:pPr>
            <w:r w:rsidRPr="00650D5B">
              <w:rPr>
                <w:rFonts w:ascii="Arial Narrow" w:hAnsi="Arial Narrow"/>
                <w:sz w:val="20"/>
              </w:rPr>
              <w:t xml:space="preserve">BSC patients: </w:t>
            </w:r>
            <w:r w:rsidR="0026366B" w:rsidRPr="001011A1">
              <w:rPr>
                <w:rFonts w:ascii="Arial Narrow" w:hAnsi="Arial Narrow"/>
                <w:sz w:val="20"/>
                <w:szCs w:val="16"/>
              </w:rPr>
              <w:t>K-M data to 2 years, then K-M Strand 2014 data to 6.2 years, then Weibull function from Strand 2014 to 10 years</w:t>
            </w:r>
            <w:r w:rsidRPr="00650D5B">
              <w:rPr>
                <w:rFonts w:ascii="Arial Narrow" w:hAnsi="Arial Narrow"/>
                <w:sz w:val="20"/>
              </w:rPr>
              <w:t xml:space="preserve">. </w:t>
            </w:r>
          </w:p>
          <w:p w:rsidR="00261CE8" w:rsidRPr="00650D5B" w:rsidRDefault="00261CE8" w:rsidP="002F6883">
            <w:pPr>
              <w:keepNext/>
              <w:widowControl/>
              <w:rPr>
                <w:rFonts w:ascii="Arial Narrow" w:hAnsi="Arial Narrow"/>
                <w:sz w:val="20"/>
              </w:rPr>
            </w:pPr>
            <w:r w:rsidRPr="00650D5B">
              <w:rPr>
                <w:rFonts w:ascii="Arial Narrow" w:hAnsi="Arial Narrow"/>
                <w:sz w:val="20"/>
              </w:rPr>
              <w:t>PFS</w:t>
            </w:r>
          </w:p>
          <w:p w:rsidR="00261CE8" w:rsidRPr="00650D5B" w:rsidRDefault="00261CE8" w:rsidP="002F6883">
            <w:pPr>
              <w:pStyle w:val="ListParagraph"/>
              <w:keepNext/>
              <w:widowControl/>
              <w:numPr>
                <w:ilvl w:val="0"/>
                <w:numId w:val="6"/>
              </w:numPr>
              <w:ind w:left="224" w:hanging="142"/>
              <w:rPr>
                <w:rFonts w:ascii="Arial Narrow" w:hAnsi="Arial Narrow"/>
                <w:sz w:val="20"/>
              </w:rPr>
            </w:pPr>
            <w:r w:rsidRPr="00650D5B">
              <w:rPr>
                <w:rFonts w:ascii="Arial Narrow" w:hAnsi="Arial Narrow"/>
                <w:sz w:val="20"/>
              </w:rPr>
              <w:t xml:space="preserve">Pirfenidone patients: a </w:t>
            </w:r>
            <w:r w:rsidR="00E5048A" w:rsidRPr="00650D5B">
              <w:rPr>
                <w:rFonts w:ascii="Arial Narrow" w:hAnsi="Arial Narrow"/>
                <w:sz w:val="20"/>
              </w:rPr>
              <w:t>lognormal</w:t>
            </w:r>
            <w:r w:rsidRPr="00650D5B">
              <w:rPr>
                <w:rFonts w:ascii="Arial Narrow" w:hAnsi="Arial Narrow"/>
                <w:sz w:val="20"/>
              </w:rPr>
              <w:t xml:space="preserve"> function is fitted to </w:t>
            </w:r>
            <w:r w:rsidR="0026366B">
              <w:rPr>
                <w:rFonts w:ascii="Arial Narrow" w:hAnsi="Arial Narrow"/>
                <w:sz w:val="20"/>
              </w:rPr>
              <w:t>K-M</w:t>
            </w:r>
            <w:r w:rsidR="0026366B" w:rsidRPr="00650D5B">
              <w:rPr>
                <w:rFonts w:ascii="Arial Narrow" w:hAnsi="Arial Narrow"/>
                <w:sz w:val="20"/>
              </w:rPr>
              <w:t xml:space="preserve"> data pooled </w:t>
            </w:r>
            <w:r w:rsidR="0026366B">
              <w:rPr>
                <w:rFonts w:ascii="Arial Narrow" w:hAnsi="Arial Narrow"/>
                <w:sz w:val="20"/>
              </w:rPr>
              <w:t xml:space="preserve">trial </w:t>
            </w:r>
            <w:r w:rsidR="0026366B" w:rsidRPr="00650D5B">
              <w:rPr>
                <w:rFonts w:ascii="Arial Narrow" w:hAnsi="Arial Narrow"/>
                <w:sz w:val="20"/>
              </w:rPr>
              <w:t>data</w:t>
            </w:r>
            <w:r w:rsidR="0026366B" w:rsidRPr="00650D5B" w:rsidDel="0026366B">
              <w:rPr>
                <w:rFonts w:ascii="Arial Narrow" w:hAnsi="Arial Narrow"/>
                <w:sz w:val="20"/>
              </w:rPr>
              <w:t xml:space="preserve"> </w:t>
            </w:r>
            <w:r w:rsidRPr="00650D5B">
              <w:rPr>
                <w:rFonts w:ascii="Arial Narrow" w:hAnsi="Arial Narrow"/>
                <w:sz w:val="20"/>
              </w:rPr>
              <w:t>from the median follow-up of 16 months to extend PFS to 1</w:t>
            </w:r>
            <w:r>
              <w:rPr>
                <w:rFonts w:ascii="Arial Narrow" w:hAnsi="Arial Narrow"/>
                <w:sz w:val="20"/>
              </w:rPr>
              <w:t>0</w:t>
            </w:r>
            <w:r w:rsidR="00EB361A">
              <w:rPr>
                <w:rFonts w:ascii="Arial Narrow" w:hAnsi="Arial Narrow"/>
                <w:sz w:val="20"/>
              </w:rPr>
              <w:t xml:space="preserve"> years.</w:t>
            </w:r>
          </w:p>
          <w:p w:rsidR="00261CE8" w:rsidRPr="00650D5B" w:rsidRDefault="00261CE8" w:rsidP="002F6883">
            <w:pPr>
              <w:pStyle w:val="ListParagraph"/>
              <w:keepNext/>
              <w:widowControl/>
              <w:numPr>
                <w:ilvl w:val="0"/>
                <w:numId w:val="6"/>
              </w:numPr>
              <w:ind w:left="224" w:hanging="142"/>
              <w:rPr>
                <w:rFonts w:ascii="Arial Narrow" w:hAnsi="Arial Narrow"/>
                <w:sz w:val="20"/>
              </w:rPr>
            </w:pPr>
            <w:r w:rsidRPr="00650D5B">
              <w:rPr>
                <w:rFonts w:ascii="Arial Narrow" w:hAnsi="Arial Narrow"/>
                <w:sz w:val="20"/>
              </w:rPr>
              <w:t xml:space="preserve">BSC patients: a </w:t>
            </w:r>
            <w:r w:rsidR="00E5048A" w:rsidRPr="00650D5B">
              <w:rPr>
                <w:rFonts w:ascii="Arial Narrow" w:hAnsi="Arial Narrow"/>
                <w:sz w:val="20"/>
              </w:rPr>
              <w:t>lognormal</w:t>
            </w:r>
            <w:r w:rsidRPr="00650D5B">
              <w:rPr>
                <w:rFonts w:ascii="Arial Narrow" w:hAnsi="Arial Narrow"/>
                <w:sz w:val="20"/>
              </w:rPr>
              <w:t xml:space="preserve"> function is fitted to </w:t>
            </w:r>
            <w:r w:rsidR="0026366B">
              <w:rPr>
                <w:rFonts w:ascii="Arial Narrow" w:hAnsi="Arial Narrow"/>
                <w:sz w:val="20"/>
              </w:rPr>
              <w:t>K-M</w:t>
            </w:r>
            <w:r w:rsidR="0026366B" w:rsidRPr="00650D5B">
              <w:rPr>
                <w:rFonts w:ascii="Arial Narrow" w:hAnsi="Arial Narrow"/>
                <w:sz w:val="20"/>
              </w:rPr>
              <w:t xml:space="preserve"> data pooled </w:t>
            </w:r>
            <w:r w:rsidR="0026366B">
              <w:rPr>
                <w:rFonts w:ascii="Arial Narrow" w:hAnsi="Arial Narrow"/>
                <w:sz w:val="20"/>
              </w:rPr>
              <w:t xml:space="preserve">trial </w:t>
            </w:r>
            <w:r w:rsidR="0026366B" w:rsidRPr="00650D5B">
              <w:rPr>
                <w:rFonts w:ascii="Arial Narrow" w:hAnsi="Arial Narrow"/>
                <w:sz w:val="20"/>
              </w:rPr>
              <w:t>data</w:t>
            </w:r>
            <w:r>
              <w:rPr>
                <w:rFonts w:ascii="Arial Narrow" w:hAnsi="Arial Narrow"/>
                <w:sz w:val="20"/>
              </w:rPr>
              <w:t xml:space="preserve"> to extend PFS to 10 years.</w:t>
            </w:r>
          </w:p>
        </w:tc>
      </w:tr>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Discount rate</w:t>
            </w:r>
          </w:p>
        </w:tc>
        <w:tc>
          <w:tcPr>
            <w:tcW w:w="6884" w:type="dxa"/>
            <w:shd w:val="clear" w:color="auto" w:fill="auto"/>
          </w:tcPr>
          <w:p w:rsidR="00261CE8" w:rsidRPr="00650D5B" w:rsidRDefault="00261CE8" w:rsidP="002F6883">
            <w:pPr>
              <w:keepNext/>
              <w:widowControl/>
              <w:rPr>
                <w:rFonts w:ascii="Arial Narrow" w:hAnsi="Arial Narrow"/>
                <w:sz w:val="20"/>
              </w:rPr>
            </w:pPr>
            <w:r w:rsidRPr="00650D5B">
              <w:rPr>
                <w:rFonts w:ascii="Arial Narrow" w:hAnsi="Arial Narrow"/>
                <w:sz w:val="20"/>
              </w:rPr>
              <w:t>5% for costs and outcomes</w:t>
            </w:r>
          </w:p>
        </w:tc>
      </w:tr>
      <w:tr w:rsidR="00261CE8" w:rsidRPr="004E2ADC" w:rsidTr="00261CE8">
        <w:trPr>
          <w:trHeight w:val="20"/>
        </w:trPr>
        <w:tc>
          <w:tcPr>
            <w:tcW w:w="1440" w:type="dxa"/>
            <w:shd w:val="clear" w:color="auto" w:fill="auto"/>
          </w:tcPr>
          <w:p w:rsidR="00261CE8" w:rsidRPr="004E2ADC" w:rsidRDefault="00261CE8" w:rsidP="002F6883">
            <w:pPr>
              <w:keepNext/>
              <w:widowControl/>
              <w:rPr>
                <w:rFonts w:ascii="Arial Narrow" w:hAnsi="Arial Narrow"/>
                <w:sz w:val="20"/>
              </w:rPr>
            </w:pPr>
            <w:r w:rsidRPr="004E2ADC">
              <w:rPr>
                <w:rFonts w:ascii="Arial Narrow" w:hAnsi="Arial Narrow"/>
                <w:sz w:val="20"/>
              </w:rPr>
              <w:t>Software package</w:t>
            </w:r>
          </w:p>
        </w:tc>
        <w:tc>
          <w:tcPr>
            <w:tcW w:w="6884" w:type="dxa"/>
            <w:shd w:val="clear" w:color="auto" w:fill="auto"/>
          </w:tcPr>
          <w:p w:rsidR="00261CE8" w:rsidRPr="00650D5B" w:rsidRDefault="00261CE8" w:rsidP="002F6883">
            <w:pPr>
              <w:keepNext/>
              <w:widowControl/>
              <w:rPr>
                <w:rFonts w:ascii="Arial Narrow" w:hAnsi="Arial Narrow"/>
                <w:sz w:val="20"/>
              </w:rPr>
            </w:pPr>
            <w:r w:rsidRPr="00650D5B">
              <w:rPr>
                <w:rFonts w:ascii="Arial Narrow" w:hAnsi="Arial Narrow"/>
                <w:sz w:val="20"/>
              </w:rPr>
              <w:t>Excel 2010.</w:t>
            </w:r>
          </w:p>
        </w:tc>
      </w:tr>
    </w:tbl>
    <w:p w:rsidR="00261CE8" w:rsidRPr="00D13A3E" w:rsidRDefault="00261CE8" w:rsidP="002F6883">
      <w:pPr>
        <w:pStyle w:val="TableFooter"/>
        <w:widowControl/>
        <w:ind w:left="720"/>
      </w:pPr>
      <w:r w:rsidRPr="00D13A3E">
        <w:t xml:space="preserve">Source: </w:t>
      </w:r>
      <w:r w:rsidR="0007627C">
        <w:t>compiled</w:t>
      </w:r>
      <w:r w:rsidR="0007627C" w:rsidRPr="00D13A3E">
        <w:t xml:space="preserve"> </w:t>
      </w:r>
      <w:r w:rsidRPr="00D13A3E">
        <w:t>during the evaluation</w:t>
      </w:r>
      <w:r w:rsidR="0026366B">
        <w:t>.</w:t>
      </w:r>
    </w:p>
    <w:p w:rsidR="00275C5A" w:rsidRPr="00275C5A" w:rsidRDefault="00275C5A" w:rsidP="002F6883">
      <w:pPr>
        <w:widowControl/>
        <w:rPr>
          <w:szCs w:val="22"/>
        </w:rPr>
      </w:pPr>
    </w:p>
    <w:p w:rsidR="00C10F5B" w:rsidRPr="0046251C" w:rsidRDefault="00C10F5B" w:rsidP="002F6883">
      <w:pPr>
        <w:pStyle w:val="ListParagraph"/>
        <w:widowControl/>
        <w:numPr>
          <w:ilvl w:val="1"/>
          <w:numId w:val="2"/>
        </w:numPr>
        <w:rPr>
          <w:szCs w:val="22"/>
        </w:rPr>
      </w:pPr>
      <w:r w:rsidRPr="00F07E23">
        <w:t xml:space="preserve">In November </w:t>
      </w:r>
      <w:r>
        <w:t>2015, the PBAC raised concerns regarding the applicability of historical data from a single source (Strand 2014) to inform the extrapolation of OS in the BSC arm (November 2015</w:t>
      </w:r>
      <w:r w:rsidR="0007627C">
        <w:t xml:space="preserve"> PSD</w:t>
      </w:r>
      <w:r>
        <w:t xml:space="preserve">, </w:t>
      </w:r>
      <w:r w:rsidR="0007627C">
        <w:t>p</w:t>
      </w:r>
      <w:r>
        <w:t xml:space="preserve">aragraph 7.16). </w:t>
      </w:r>
      <w:r w:rsidR="007A6F48">
        <w:t>In</w:t>
      </w:r>
      <w:r>
        <w:t xml:space="preserve"> March 2016, the PBAC considered that the survival demonstrated in the historical data (Strand </w:t>
      </w:r>
      <w:r w:rsidR="009D6B57">
        <w:t>2014</w:t>
      </w:r>
      <w:r>
        <w:t xml:space="preserve">) was acceptably similar to </w:t>
      </w:r>
      <w:r w:rsidR="007A6F48">
        <w:t xml:space="preserve">data presented in the minor resubmission from two IPF patient </w:t>
      </w:r>
      <w:r>
        <w:t>registries</w:t>
      </w:r>
      <w:r w:rsidR="007A6F48">
        <w:t xml:space="preserve"> (Invoa and Edinburgh)</w:t>
      </w:r>
      <w:r>
        <w:t xml:space="preserve"> (March 2016 </w:t>
      </w:r>
      <w:r w:rsidR="0007627C">
        <w:t>PSD</w:t>
      </w:r>
      <w:r>
        <w:t xml:space="preserve">, paragraph 5.4). </w:t>
      </w:r>
      <w:r w:rsidR="0007627C">
        <w:t xml:space="preserve">The </w:t>
      </w:r>
      <w:r w:rsidR="0007627C" w:rsidRPr="00261CE8">
        <w:t xml:space="preserve">Inova IPF </w:t>
      </w:r>
      <w:r w:rsidR="0007627C">
        <w:t xml:space="preserve">registry </w:t>
      </w:r>
      <w:r w:rsidR="0007627C" w:rsidRPr="00261CE8">
        <w:t xml:space="preserve">and the Edinburgh IPF </w:t>
      </w:r>
      <w:r w:rsidR="00261CE8" w:rsidRPr="00261CE8">
        <w:t xml:space="preserve">registry data </w:t>
      </w:r>
      <w:r w:rsidR="0007627C">
        <w:t>were unchanged in the current resubmission.</w:t>
      </w:r>
    </w:p>
    <w:p w:rsidR="001A429E" w:rsidRPr="007C13C1" w:rsidRDefault="001A429E" w:rsidP="002F6883">
      <w:pPr>
        <w:widowControl/>
        <w:rPr>
          <w:szCs w:val="22"/>
        </w:rPr>
      </w:pPr>
    </w:p>
    <w:p w:rsidR="00C10F5B" w:rsidRPr="00F73B37" w:rsidRDefault="00C10F5B" w:rsidP="002F6883">
      <w:pPr>
        <w:pStyle w:val="ListParagraph"/>
        <w:widowControl/>
        <w:numPr>
          <w:ilvl w:val="1"/>
          <w:numId w:val="2"/>
        </w:numPr>
      </w:pPr>
      <w:r>
        <w:t xml:space="preserve">As in the March 2016 minor resubmission, the current </w:t>
      </w:r>
      <w:r w:rsidR="00543609">
        <w:t>resubmission</w:t>
      </w:r>
      <w:r>
        <w:t xml:space="preserve"> stated that in order to achieve comparability of the real-world data from these registries and the clinical data available for pirfenidone, “</w:t>
      </w:r>
      <w:r w:rsidRPr="00E20E8B">
        <w:t>propensity score models were used to match the registry cohorts to patients treated with BSC that could have been enrolled in the pivotal trials</w:t>
      </w:r>
      <w:r>
        <w:t xml:space="preserve"> for pirfenidone</w:t>
      </w:r>
      <w:r w:rsidRPr="00E20E8B">
        <w:t>, based on the inclusion/exclusion criteria.</w:t>
      </w:r>
      <w:r>
        <w:t>” (p16, Section C of current resubmission).</w:t>
      </w:r>
      <w:r w:rsidR="00F73B37">
        <w:t xml:space="preserve"> </w:t>
      </w:r>
      <w:r w:rsidRPr="00720288">
        <w:t xml:space="preserve">The </w:t>
      </w:r>
      <w:r w:rsidR="009D6B57" w:rsidRPr="00720288">
        <w:t>re</w:t>
      </w:r>
      <w:r w:rsidRPr="00720288">
        <w:t>submission presented the output of the analysis and stated that “[the sponsor] now seeks a thorough evaluation of this validation approach as part of this major resubmission.” (p17, Section C of the current resubmission). A full evaluation of the validation approach was not possible because the submission only included the output of the analyses, and gave no details on how the data was propensity scored or matched</w:t>
      </w:r>
      <w:r w:rsidR="00B166A0" w:rsidRPr="00720288">
        <w:t>.</w:t>
      </w:r>
    </w:p>
    <w:p w:rsidR="007261C1" w:rsidRPr="00720288" w:rsidRDefault="007261C1" w:rsidP="002F6883">
      <w:pPr>
        <w:widowControl/>
        <w:rPr>
          <w:szCs w:val="22"/>
        </w:rPr>
      </w:pPr>
    </w:p>
    <w:p w:rsidR="00C10F5B" w:rsidRPr="00BA4D78" w:rsidRDefault="00955840" w:rsidP="002F6883">
      <w:pPr>
        <w:pStyle w:val="ListParagraph"/>
        <w:widowControl/>
        <w:numPr>
          <w:ilvl w:val="1"/>
          <w:numId w:val="2"/>
        </w:numPr>
        <w:rPr>
          <w:i/>
          <w:szCs w:val="22"/>
        </w:rPr>
      </w:pPr>
      <w:r w:rsidRPr="00720288">
        <w:t xml:space="preserve">The submission did not provide any </w:t>
      </w:r>
      <w:r w:rsidR="00DD7AB4" w:rsidRPr="00720288">
        <w:t>justification for</w:t>
      </w:r>
      <w:r w:rsidRPr="00720288">
        <w:t xml:space="preserve"> </w:t>
      </w:r>
      <w:r w:rsidR="00C10F5B" w:rsidRPr="00720288">
        <w:t xml:space="preserve">the selection of the registries. </w:t>
      </w:r>
      <w:r w:rsidR="00BA4D78">
        <w:t>A targeted search conducted d</w:t>
      </w:r>
      <w:r w:rsidR="00C10F5B" w:rsidRPr="00720288">
        <w:t>uring the evaluation yielded a large</w:t>
      </w:r>
      <w:r w:rsidR="00BA4D78">
        <w:t>,</w:t>
      </w:r>
      <w:r w:rsidR="00C10F5B" w:rsidRPr="00720288">
        <w:t xml:space="preserve"> but </w:t>
      </w:r>
      <w:r w:rsidR="00E154A3">
        <w:t>not</w:t>
      </w:r>
      <w:r w:rsidR="00C10F5B" w:rsidRPr="00720288">
        <w:t xml:space="preserve"> comprehensive</w:t>
      </w:r>
      <w:r w:rsidR="00BA4D78">
        <w:t>,</w:t>
      </w:r>
      <w:r w:rsidR="00C10F5B" w:rsidRPr="00720288">
        <w:t xml:space="preserve"> list </w:t>
      </w:r>
      <w:r w:rsidRPr="00720288">
        <w:t xml:space="preserve">of </w:t>
      </w:r>
      <w:r w:rsidR="00C10F5B" w:rsidRPr="00720288">
        <w:t xml:space="preserve">other </w:t>
      </w:r>
      <w:r w:rsidR="007D6C77" w:rsidRPr="00720288">
        <w:t xml:space="preserve">IPF </w:t>
      </w:r>
      <w:r w:rsidR="00C10F5B" w:rsidRPr="00720288">
        <w:t xml:space="preserve">registries and observational cohorts: Australian Lung Foundation Idiopathic Pulmonary Fibrosis Registry, Pennsylvania Idiopathic Pulmonary Fibrosis State Registry (PAIPF), IPF PRO (USA), European MultiPartner IPF Registry (EMPIRE; Eastern and Central Europe, INSIGHTS IPF Registry (Germany), European IPF Registry and Biobank, Prospective Study of Fibrosis in the Lung Endpoints (PROFILE – Central England), British Thoracic Society Interstitial </w:t>
      </w:r>
      <w:r w:rsidR="00BA4D78">
        <w:t xml:space="preserve"> </w:t>
      </w:r>
      <w:r w:rsidR="00C10F5B" w:rsidRPr="00720288">
        <w:t>Lung Disease Registry Programme. Considering the number of</w:t>
      </w:r>
      <w:r w:rsidRPr="00720288">
        <w:t xml:space="preserve"> other</w:t>
      </w:r>
      <w:r w:rsidR="00C10F5B" w:rsidRPr="00720288">
        <w:t xml:space="preserve"> possibly viable registries to base these analyses on, and the fact that only two were selected with no </w:t>
      </w:r>
      <w:r w:rsidR="00C10F5B" w:rsidRPr="00720288">
        <w:lastRenderedPageBreak/>
        <w:t>explanation or justification,</w:t>
      </w:r>
      <w:r w:rsidR="00091502">
        <w:t xml:space="preserve"> the risk of </w:t>
      </w:r>
      <w:r w:rsidR="00E83D95">
        <w:t>selection</w:t>
      </w:r>
      <w:r w:rsidR="00091502">
        <w:t xml:space="preserve"> bias wa</w:t>
      </w:r>
      <w:r w:rsidR="00C10F5B" w:rsidRPr="00720288">
        <w:t xml:space="preserve">s high. The current </w:t>
      </w:r>
      <w:r w:rsidR="00543609" w:rsidRPr="00720288">
        <w:t>resubmission</w:t>
      </w:r>
      <w:r w:rsidR="00C10F5B" w:rsidRPr="00720288">
        <w:t xml:space="preserve"> should have conducted its pre-</w:t>
      </w:r>
      <w:r w:rsidR="00E5048A" w:rsidRPr="00720288">
        <w:t>modelling</w:t>
      </w:r>
      <w:r w:rsidR="00C10F5B" w:rsidRPr="00720288">
        <w:t xml:space="preserve"> study </w:t>
      </w:r>
      <w:r w:rsidR="00E154A3">
        <w:t>using the approach previously used for the</w:t>
      </w:r>
      <w:r w:rsidR="00C10F5B" w:rsidRPr="00720288">
        <w:t xml:space="preserve"> selection of the Strand 2014 study, including</w:t>
      </w:r>
      <w:r w:rsidR="00E5048A" w:rsidRPr="00720288">
        <w:t xml:space="preserve">, </w:t>
      </w:r>
      <w:r w:rsidR="001B5137">
        <w:t xml:space="preserve">a </w:t>
      </w:r>
      <w:r w:rsidR="00E5048A" w:rsidRPr="00720288">
        <w:t>systematic</w:t>
      </w:r>
      <w:r w:rsidR="00C10F5B" w:rsidRPr="00720288">
        <w:t xml:space="preserve"> search of IPF </w:t>
      </w:r>
      <w:r w:rsidR="00E5048A" w:rsidRPr="00720288">
        <w:t>registries and</w:t>
      </w:r>
      <w:r w:rsidR="00C10F5B" w:rsidRPr="00720288">
        <w:t xml:space="preserve"> discussion of the identified registries, and reasons for exclusion from the analysis</w:t>
      </w:r>
      <w:r w:rsidR="007D6C77" w:rsidRPr="00720288">
        <w:t xml:space="preserve">. </w:t>
      </w:r>
      <w:r w:rsidR="001C13FC" w:rsidRPr="001C13FC">
        <w:t>The evaluation</w:t>
      </w:r>
      <w:r w:rsidR="001C13FC">
        <w:t xml:space="preserve"> </w:t>
      </w:r>
      <w:r w:rsidR="007D6C77" w:rsidRPr="00720288">
        <w:t xml:space="preserve">acknowledged that many of the aforementioned </w:t>
      </w:r>
      <w:r w:rsidR="007D6C77" w:rsidRPr="00935D7C">
        <w:t>registries would potentially be excluded from analysis due to lack of sufficient data</w:t>
      </w:r>
      <w:r w:rsidR="001C13FC" w:rsidRPr="00935D7C">
        <w:t xml:space="preserve">. The PSCR (p3) confirmed that the </w:t>
      </w:r>
      <w:r w:rsidR="000C3F3A" w:rsidRPr="00935D7C">
        <w:t xml:space="preserve">reason </w:t>
      </w:r>
      <w:r w:rsidR="001C13FC" w:rsidRPr="00935D7C">
        <w:t>for the selection of the Edinburgh and Inova registries was solely the accessibility of patient level data from cohorts that were large enough to allow further analysis</w:t>
      </w:r>
      <w:r w:rsidR="007D6C77" w:rsidRPr="00935D7C">
        <w:t>.</w:t>
      </w:r>
      <w:r w:rsidR="00A04763" w:rsidRPr="00935D7C">
        <w:t xml:space="preserve"> </w:t>
      </w:r>
      <w:r w:rsidR="00893CD0" w:rsidRPr="00935D7C">
        <w:t>This allowed for the selection of patients from the registry cohorts based on match</w:t>
      </w:r>
      <w:r w:rsidR="005E39E1" w:rsidRPr="00935D7C">
        <w:t>ed characteristics</w:t>
      </w:r>
      <w:r w:rsidR="005F095F" w:rsidRPr="00935D7C">
        <w:t xml:space="preserve"> </w:t>
      </w:r>
      <w:r w:rsidR="00F6605B" w:rsidRPr="00935D7C">
        <w:t xml:space="preserve">with </w:t>
      </w:r>
      <w:r w:rsidR="005F095F" w:rsidRPr="00935D7C">
        <w:t>patient</w:t>
      </w:r>
      <w:r w:rsidR="004C67C2" w:rsidRPr="00935D7C">
        <w:t>s</w:t>
      </w:r>
      <w:r w:rsidR="00516C46" w:rsidRPr="00935D7C">
        <w:t xml:space="preserve"> from the pivotal trials for pirfenidone</w:t>
      </w:r>
      <w:r w:rsidR="005F095F" w:rsidRPr="00935D7C">
        <w:t>.</w:t>
      </w:r>
    </w:p>
    <w:p w:rsidR="00C10F5B" w:rsidRPr="007C13C1" w:rsidRDefault="00C10F5B" w:rsidP="002F6883">
      <w:pPr>
        <w:widowControl/>
        <w:rPr>
          <w:szCs w:val="22"/>
        </w:rPr>
      </w:pPr>
    </w:p>
    <w:p w:rsidR="007261C1" w:rsidRPr="00720288" w:rsidRDefault="004D35A8" w:rsidP="002F6883">
      <w:pPr>
        <w:pStyle w:val="ListParagraph"/>
        <w:widowControl/>
        <w:numPr>
          <w:ilvl w:val="1"/>
          <w:numId w:val="2"/>
        </w:numPr>
        <w:rPr>
          <w:szCs w:val="22"/>
        </w:rPr>
      </w:pPr>
      <w:r w:rsidRPr="00720288">
        <w:rPr>
          <w:szCs w:val="22"/>
        </w:rPr>
        <w:t>T</w:t>
      </w:r>
      <w:r w:rsidR="00DD1BEC" w:rsidRPr="00720288">
        <w:rPr>
          <w:szCs w:val="22"/>
        </w:rPr>
        <w:t xml:space="preserve">he evaluation </w:t>
      </w:r>
      <w:r w:rsidRPr="00720288">
        <w:rPr>
          <w:szCs w:val="22"/>
        </w:rPr>
        <w:t xml:space="preserve">noted </w:t>
      </w:r>
      <w:r w:rsidR="00DD1BEC" w:rsidRPr="00720288">
        <w:rPr>
          <w:szCs w:val="22"/>
        </w:rPr>
        <w:t>that</w:t>
      </w:r>
      <w:r w:rsidR="007261C1" w:rsidRPr="00720288">
        <w:rPr>
          <w:szCs w:val="22"/>
        </w:rPr>
        <w:t xml:space="preserve"> </w:t>
      </w:r>
      <w:r w:rsidR="007261C1" w:rsidRPr="00720288">
        <w:t xml:space="preserve">propensity score matching (PSM) is typically used to estimate differences in treatment effect, rather than confirm similarity of outcomes. PSM is also typically conducted on two separate groups (i.e. treatment and placebo). </w:t>
      </w:r>
      <w:r w:rsidRPr="00720288">
        <w:t xml:space="preserve">It was therefore unclear </w:t>
      </w:r>
      <w:r w:rsidR="007261C1" w:rsidRPr="00720288">
        <w:t>what the rationale of the analysis was</w:t>
      </w:r>
      <w:r w:rsidRPr="00720288">
        <w:t xml:space="preserve"> and </w:t>
      </w:r>
      <w:r w:rsidR="007261C1" w:rsidRPr="00720288">
        <w:t xml:space="preserve">how the analysis was performed. PSM </w:t>
      </w:r>
      <w:r w:rsidR="00390E69">
        <w:t xml:space="preserve">is </w:t>
      </w:r>
      <w:r w:rsidR="007261C1" w:rsidRPr="00720288">
        <w:t>typically comprise</w:t>
      </w:r>
      <w:r w:rsidR="00390E69">
        <w:t>d of</w:t>
      </w:r>
      <w:r w:rsidR="007261C1" w:rsidRPr="00720288">
        <w:t xml:space="preserve"> two parts</w:t>
      </w:r>
      <w:r w:rsidR="007261C1" w:rsidRPr="00720288">
        <w:rPr>
          <w:rStyle w:val="FootnoteReference"/>
        </w:rPr>
        <w:footnoteReference w:id="3"/>
      </w:r>
      <w:r w:rsidR="00153527">
        <w:t>:</w:t>
      </w:r>
    </w:p>
    <w:p w:rsidR="007261C1" w:rsidRPr="00720288" w:rsidRDefault="007261C1" w:rsidP="00E83D95">
      <w:pPr>
        <w:pStyle w:val="ListParagraph"/>
        <w:widowControl/>
        <w:numPr>
          <w:ilvl w:val="0"/>
          <w:numId w:val="31"/>
        </w:numPr>
        <w:ind w:left="993" w:hanging="142"/>
      </w:pPr>
      <w:r w:rsidRPr="00720288">
        <w:t xml:space="preserve">The propensity scoring, where the probability of treatment assignment conditional to observed baseline covariates is ascertained </w:t>
      </w:r>
      <w:r w:rsidR="00FD7AA8" w:rsidRPr="00720288">
        <w:t xml:space="preserve">usually </w:t>
      </w:r>
      <w:r w:rsidRPr="00720288">
        <w:t xml:space="preserve">through a logistic regression. </w:t>
      </w:r>
      <w:r w:rsidR="00376A02">
        <w:t>T</w:t>
      </w:r>
      <w:r w:rsidR="00F6605B" w:rsidRPr="00C91E12">
        <w:t>he</w:t>
      </w:r>
      <w:r w:rsidR="00F6605B" w:rsidRPr="00F6605B">
        <w:t xml:space="preserve"> current resubmission stated that the matching occurred on the basis of the CAPACITY trial’s inclusion criteria</w:t>
      </w:r>
      <w:r w:rsidR="00376A02">
        <w:t>. The ESC noted that the resubmission</w:t>
      </w:r>
      <w:r w:rsidR="00F6605B" w:rsidRPr="00F6605B">
        <w:t xml:space="preserve"> did not specifically indicate which criteria were included as covariates in the propensity model and gave no details on model parameters. If only age, gender, FVC%Pred and DLco%Pred were included as covariates, the question must be raised as to whether these covariates were sufficient predictors of survival in IPF without other covariates such as smoking status, comorbidities, etc.</w:t>
      </w:r>
    </w:p>
    <w:p w:rsidR="00F6605B" w:rsidRPr="00F6605B" w:rsidRDefault="007261C1" w:rsidP="00E83D95">
      <w:pPr>
        <w:pStyle w:val="ListParagraph"/>
        <w:widowControl/>
        <w:numPr>
          <w:ilvl w:val="0"/>
          <w:numId w:val="31"/>
        </w:numPr>
        <w:ind w:left="993" w:hanging="142"/>
      </w:pPr>
      <w:r w:rsidRPr="00720288">
        <w:t>The matching, where sets of treated and untreated subjects who share a similar value of the propensity score are formed. Typically, matched pairs are formed</w:t>
      </w:r>
      <w:r w:rsidR="00376A02">
        <w:t>,</w:t>
      </w:r>
      <w:r w:rsidRPr="00720288">
        <w:t xml:space="preserve"> with one treated subject and one untreated subject. </w:t>
      </w:r>
      <w:r w:rsidR="00F6605B" w:rsidRPr="00390E69">
        <w:t xml:space="preserve">The ESC noted that </w:t>
      </w:r>
      <w:r w:rsidR="00F6605B" w:rsidRPr="00F6605B">
        <w:t>the current resubmission did not specify a matching rule and the data being matched were not made clear. It was unclear who the “patients treated with BSC that could have been enrolled in the pivotal trials” were and what the aim was of matching to registry cohorts.</w:t>
      </w:r>
    </w:p>
    <w:p w:rsidR="00245E48" w:rsidRDefault="00245E48" w:rsidP="002F6883">
      <w:pPr>
        <w:widowControl/>
      </w:pPr>
    </w:p>
    <w:p w:rsidR="00F6605B" w:rsidRPr="00935D7C" w:rsidRDefault="00245E48" w:rsidP="002F6883">
      <w:pPr>
        <w:pStyle w:val="ListParagraph"/>
        <w:widowControl/>
        <w:numPr>
          <w:ilvl w:val="1"/>
          <w:numId w:val="2"/>
        </w:numPr>
        <w:rPr>
          <w:szCs w:val="22"/>
        </w:rPr>
      </w:pPr>
      <w:r w:rsidRPr="00935D7C">
        <w:rPr>
          <w:szCs w:val="22"/>
        </w:rPr>
        <w:t xml:space="preserve">The PSCR acknowledged that the covariates accounted for in the </w:t>
      </w:r>
      <w:r w:rsidR="00381535" w:rsidRPr="00935D7C">
        <w:rPr>
          <w:szCs w:val="22"/>
        </w:rPr>
        <w:t>PSM analysis did</w:t>
      </w:r>
      <w:r w:rsidRPr="00935D7C">
        <w:rPr>
          <w:szCs w:val="22"/>
        </w:rPr>
        <w:t xml:space="preserve"> not account for predictors of OS such as smoking status and comorbidities. Consequently, the </w:t>
      </w:r>
      <w:r w:rsidR="0059382C">
        <w:rPr>
          <w:szCs w:val="22"/>
        </w:rPr>
        <w:t xml:space="preserve">validity of the </w:t>
      </w:r>
      <w:r w:rsidRPr="00935D7C">
        <w:rPr>
          <w:szCs w:val="22"/>
        </w:rPr>
        <w:t xml:space="preserve">analysis is limited by the completeness of the covariates included. Additionally, </w:t>
      </w:r>
      <w:r w:rsidR="009D53B2" w:rsidRPr="00935D7C">
        <w:rPr>
          <w:szCs w:val="22"/>
        </w:rPr>
        <w:t xml:space="preserve">the ESC noted that </w:t>
      </w:r>
      <w:r w:rsidRPr="00935D7C">
        <w:rPr>
          <w:szCs w:val="22"/>
        </w:rPr>
        <w:t xml:space="preserve">it would have been informative to review Kaplan-Meier curves after applying the inclusion criteria, but before applying the propensity score trimming to assess the effect of the scoring on the estimated survival. </w:t>
      </w:r>
      <w:r w:rsidR="00F6605B" w:rsidRPr="00935D7C">
        <w:rPr>
          <w:szCs w:val="22"/>
        </w:rPr>
        <w:t>Overall, the ESC considered that it was unclear how PSM was used</w:t>
      </w:r>
      <w:r w:rsidR="00C2407F" w:rsidRPr="00935D7C">
        <w:rPr>
          <w:szCs w:val="22"/>
        </w:rPr>
        <w:t xml:space="preserve"> and whether the methodology was appropriate</w:t>
      </w:r>
      <w:r w:rsidR="00F6605B" w:rsidRPr="00935D7C">
        <w:rPr>
          <w:szCs w:val="22"/>
        </w:rPr>
        <w:t>.</w:t>
      </w:r>
    </w:p>
    <w:p w:rsidR="00935D7C" w:rsidRPr="00C91E12" w:rsidRDefault="00935D7C" w:rsidP="002F6883">
      <w:pPr>
        <w:widowControl/>
        <w:rPr>
          <w:szCs w:val="22"/>
        </w:rPr>
      </w:pPr>
    </w:p>
    <w:p w:rsidR="007D6C77" w:rsidRDefault="007D6C77" w:rsidP="002F6883">
      <w:pPr>
        <w:pStyle w:val="ListParagraph"/>
        <w:widowControl/>
        <w:numPr>
          <w:ilvl w:val="1"/>
          <w:numId w:val="2"/>
        </w:numPr>
        <w:rPr>
          <w:szCs w:val="22"/>
        </w:rPr>
      </w:pPr>
      <w:r w:rsidRPr="007D6C77">
        <w:rPr>
          <w:szCs w:val="22"/>
        </w:rPr>
        <w:t xml:space="preserve">Table </w:t>
      </w:r>
      <w:r w:rsidR="00F1224C">
        <w:rPr>
          <w:szCs w:val="22"/>
        </w:rPr>
        <w:t>9</w:t>
      </w:r>
      <w:r w:rsidRPr="007D6C77">
        <w:rPr>
          <w:szCs w:val="22"/>
        </w:rPr>
        <w:t xml:space="preserve"> presents the key drivers of the model</w:t>
      </w:r>
      <w:r w:rsidR="009D52D0">
        <w:rPr>
          <w:szCs w:val="22"/>
        </w:rPr>
        <w:t>.</w:t>
      </w:r>
    </w:p>
    <w:p w:rsidR="007D6C77" w:rsidRPr="007C13C1" w:rsidRDefault="007D6C77" w:rsidP="002F6883">
      <w:pPr>
        <w:widowControl/>
        <w:rPr>
          <w:szCs w:val="22"/>
        </w:rPr>
      </w:pPr>
    </w:p>
    <w:p w:rsidR="007D6C77" w:rsidRDefault="007D6C77" w:rsidP="002F6883">
      <w:pPr>
        <w:keepNext/>
        <w:widowControl/>
        <w:ind w:firstLine="720"/>
        <w:rPr>
          <w:rStyle w:val="CommentReference"/>
        </w:rPr>
      </w:pPr>
      <w:r w:rsidRPr="00A56B6A">
        <w:rPr>
          <w:rStyle w:val="CommentReference"/>
        </w:rPr>
        <w:lastRenderedPageBreak/>
        <w:t xml:space="preserve">Table </w:t>
      </w:r>
      <w:r w:rsidR="00F1224C">
        <w:rPr>
          <w:rStyle w:val="CommentReference"/>
        </w:rPr>
        <w:t>9</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7D6C77" w:rsidRPr="002541F9" w:rsidTr="007D6C77">
        <w:trPr>
          <w:tblHeader/>
        </w:trPr>
        <w:tc>
          <w:tcPr>
            <w:tcW w:w="1529" w:type="pct"/>
            <w:shd w:val="clear" w:color="auto" w:fill="auto"/>
            <w:vAlign w:val="center"/>
          </w:tcPr>
          <w:p w:rsidR="007D6C77" w:rsidRPr="002541F9" w:rsidRDefault="007D6C77" w:rsidP="002F6883">
            <w:pPr>
              <w:keepNext/>
              <w:widowControl/>
              <w:jc w:val="left"/>
              <w:rPr>
                <w:rFonts w:ascii="Arial Narrow" w:hAnsi="Arial Narrow"/>
                <w:b/>
                <w:sz w:val="20"/>
              </w:rPr>
            </w:pPr>
            <w:r w:rsidRPr="002541F9">
              <w:rPr>
                <w:rFonts w:ascii="Arial Narrow" w:hAnsi="Arial Narrow"/>
                <w:b/>
                <w:sz w:val="20"/>
              </w:rPr>
              <w:t>Description</w:t>
            </w:r>
          </w:p>
        </w:tc>
        <w:tc>
          <w:tcPr>
            <w:tcW w:w="2123" w:type="pct"/>
            <w:shd w:val="clear" w:color="auto" w:fill="auto"/>
            <w:vAlign w:val="center"/>
          </w:tcPr>
          <w:p w:rsidR="007D6C77" w:rsidRPr="002541F9" w:rsidRDefault="007D6C77" w:rsidP="002F6883">
            <w:pPr>
              <w:keepNext/>
              <w:widowControl/>
              <w:jc w:val="center"/>
              <w:rPr>
                <w:rFonts w:ascii="Arial Narrow" w:hAnsi="Arial Narrow"/>
                <w:b/>
                <w:sz w:val="20"/>
              </w:rPr>
            </w:pPr>
            <w:r w:rsidRPr="002541F9">
              <w:rPr>
                <w:rFonts w:ascii="Arial Narrow" w:hAnsi="Arial Narrow"/>
                <w:b/>
                <w:sz w:val="20"/>
              </w:rPr>
              <w:t>Method/Value</w:t>
            </w:r>
          </w:p>
        </w:tc>
        <w:tc>
          <w:tcPr>
            <w:tcW w:w="1348" w:type="pct"/>
            <w:shd w:val="clear" w:color="auto" w:fill="auto"/>
            <w:vAlign w:val="center"/>
          </w:tcPr>
          <w:p w:rsidR="007D6C77" w:rsidRPr="002541F9" w:rsidRDefault="007D6C77" w:rsidP="002F6883">
            <w:pPr>
              <w:keepNext/>
              <w:widowControl/>
              <w:jc w:val="center"/>
              <w:rPr>
                <w:rFonts w:ascii="Arial Narrow" w:hAnsi="Arial Narrow"/>
                <w:b/>
                <w:sz w:val="20"/>
              </w:rPr>
            </w:pPr>
            <w:r w:rsidRPr="002541F9">
              <w:rPr>
                <w:rFonts w:ascii="Arial Narrow" w:hAnsi="Arial Narrow"/>
                <w:b/>
                <w:sz w:val="20"/>
              </w:rPr>
              <w:t>Impact</w:t>
            </w:r>
          </w:p>
        </w:tc>
      </w:tr>
      <w:tr w:rsidR="00851D64" w:rsidRPr="002541F9" w:rsidTr="005915C4">
        <w:tc>
          <w:tcPr>
            <w:tcW w:w="1529" w:type="pct"/>
            <w:shd w:val="clear" w:color="auto" w:fill="auto"/>
            <w:vAlign w:val="center"/>
          </w:tcPr>
          <w:p w:rsidR="00851D64" w:rsidRPr="002541F9" w:rsidRDefault="00851D64" w:rsidP="005915C4">
            <w:pPr>
              <w:keepNext/>
              <w:widowControl/>
              <w:jc w:val="left"/>
              <w:rPr>
                <w:rFonts w:ascii="Arial Narrow" w:hAnsi="Arial Narrow"/>
                <w:sz w:val="20"/>
              </w:rPr>
            </w:pPr>
            <w:r w:rsidRPr="002541F9">
              <w:rPr>
                <w:rFonts w:ascii="Arial Narrow" w:hAnsi="Arial Narrow"/>
                <w:sz w:val="20"/>
                <w:lang w:val="en-US"/>
              </w:rPr>
              <w:t>Survival extrapolation</w:t>
            </w:r>
          </w:p>
        </w:tc>
        <w:tc>
          <w:tcPr>
            <w:tcW w:w="2123" w:type="pct"/>
            <w:shd w:val="clear" w:color="auto" w:fill="auto"/>
            <w:vAlign w:val="center"/>
          </w:tcPr>
          <w:p w:rsidR="00A829AB" w:rsidRPr="002541F9" w:rsidRDefault="00A829AB" w:rsidP="005915C4">
            <w:pPr>
              <w:keepNext/>
              <w:widowControl/>
              <w:jc w:val="left"/>
              <w:rPr>
                <w:rFonts w:ascii="Arial Narrow" w:hAnsi="Arial Narrow"/>
                <w:sz w:val="20"/>
              </w:rPr>
            </w:pPr>
            <w:r w:rsidRPr="002541F9">
              <w:rPr>
                <w:rFonts w:ascii="Arial Narrow" w:hAnsi="Arial Narrow"/>
                <w:sz w:val="20"/>
                <w:u w:val="single"/>
              </w:rPr>
              <w:t>Pirfenidone</w:t>
            </w:r>
            <w:r w:rsidRPr="002541F9">
              <w:rPr>
                <w:rFonts w:ascii="Arial Narrow" w:hAnsi="Arial Narrow"/>
                <w:sz w:val="20"/>
              </w:rPr>
              <w:t xml:space="preserve">: </w:t>
            </w:r>
            <w:r w:rsidRPr="002541F9">
              <w:rPr>
                <w:rFonts w:ascii="Arial Narrow" w:hAnsi="Arial Narrow"/>
                <w:sz w:val="20"/>
                <w:szCs w:val="16"/>
              </w:rPr>
              <w:t>Weibull functio</w:t>
            </w:r>
            <w:r w:rsidR="00153527">
              <w:rPr>
                <w:rFonts w:ascii="Arial Narrow" w:hAnsi="Arial Narrow"/>
                <w:sz w:val="20"/>
                <w:szCs w:val="16"/>
              </w:rPr>
              <w:t>n fitted to pooled K</w:t>
            </w:r>
            <w:r w:rsidR="00153527">
              <w:rPr>
                <w:rFonts w:ascii="Arial Narrow" w:hAnsi="Arial Narrow"/>
                <w:sz w:val="20"/>
                <w:szCs w:val="16"/>
              </w:rPr>
              <w:noBreakHyphen/>
            </w:r>
            <w:r w:rsidRPr="002541F9">
              <w:rPr>
                <w:rFonts w:ascii="Arial Narrow" w:hAnsi="Arial Narrow"/>
                <w:sz w:val="20"/>
                <w:szCs w:val="16"/>
              </w:rPr>
              <w:t>M data to 6.2 years, Weibull function from Strand 2014 to 10 years</w:t>
            </w:r>
          </w:p>
          <w:p w:rsidR="00851D64" w:rsidRPr="002541F9" w:rsidRDefault="00A829AB" w:rsidP="005915C4">
            <w:pPr>
              <w:keepNext/>
              <w:widowControl/>
              <w:jc w:val="left"/>
              <w:rPr>
                <w:rFonts w:ascii="Arial Narrow" w:hAnsi="Arial Narrow"/>
                <w:sz w:val="20"/>
              </w:rPr>
            </w:pPr>
            <w:r w:rsidRPr="002541F9">
              <w:rPr>
                <w:rFonts w:ascii="Arial Narrow" w:hAnsi="Arial Narrow"/>
                <w:sz w:val="20"/>
                <w:u w:val="single"/>
              </w:rPr>
              <w:t>BSC</w:t>
            </w:r>
            <w:r w:rsidRPr="002541F9">
              <w:rPr>
                <w:rFonts w:ascii="Arial Narrow" w:hAnsi="Arial Narrow"/>
                <w:sz w:val="20"/>
              </w:rPr>
              <w:t xml:space="preserve">: </w:t>
            </w:r>
            <w:r w:rsidRPr="002541F9">
              <w:rPr>
                <w:rFonts w:ascii="Arial Narrow" w:hAnsi="Arial Narrow"/>
                <w:sz w:val="20"/>
                <w:szCs w:val="16"/>
              </w:rPr>
              <w:t>K-M data to 2 years, then K-M Strand 2014 data to 6.2 years, Weibull function from Strand 2014 to 10 years</w:t>
            </w:r>
          </w:p>
        </w:tc>
        <w:tc>
          <w:tcPr>
            <w:tcW w:w="1348" w:type="pct"/>
            <w:shd w:val="clear" w:color="auto" w:fill="auto"/>
            <w:vAlign w:val="center"/>
          </w:tcPr>
          <w:p w:rsidR="00851D64" w:rsidRPr="002541F9" w:rsidRDefault="00851D64" w:rsidP="005915C4">
            <w:pPr>
              <w:keepNext/>
              <w:widowControl/>
              <w:jc w:val="left"/>
              <w:rPr>
                <w:rFonts w:ascii="Arial Narrow" w:hAnsi="Arial Narrow"/>
                <w:sz w:val="20"/>
              </w:rPr>
            </w:pPr>
            <w:r w:rsidRPr="002541F9">
              <w:rPr>
                <w:rFonts w:ascii="Arial Narrow" w:hAnsi="Arial Narrow"/>
                <w:sz w:val="20"/>
                <w:lang w:val="en-US"/>
              </w:rPr>
              <w:t>High,</w:t>
            </w:r>
            <w:r w:rsidR="00153527">
              <w:rPr>
                <w:rFonts w:ascii="Arial Narrow" w:hAnsi="Arial Narrow"/>
                <w:sz w:val="20"/>
              </w:rPr>
              <w:t xml:space="preserve"> favoured</w:t>
            </w:r>
            <w:r w:rsidRPr="002541F9">
              <w:rPr>
                <w:rFonts w:ascii="Arial Narrow" w:hAnsi="Arial Narrow"/>
                <w:sz w:val="20"/>
                <w:lang w:val="en-US"/>
              </w:rPr>
              <w:t xml:space="preserve"> pirfenidone</w:t>
            </w:r>
          </w:p>
        </w:tc>
      </w:tr>
      <w:tr w:rsidR="007D6C77" w:rsidRPr="002541F9" w:rsidTr="005915C4">
        <w:tc>
          <w:tcPr>
            <w:tcW w:w="1529" w:type="pct"/>
            <w:shd w:val="clear" w:color="auto" w:fill="auto"/>
            <w:vAlign w:val="center"/>
          </w:tcPr>
          <w:p w:rsidR="007D6C77" w:rsidRPr="002541F9" w:rsidRDefault="00DD32CC" w:rsidP="005915C4">
            <w:pPr>
              <w:keepNext/>
              <w:widowControl/>
              <w:jc w:val="left"/>
              <w:rPr>
                <w:rFonts w:ascii="Arial Narrow" w:hAnsi="Arial Narrow"/>
                <w:sz w:val="20"/>
              </w:rPr>
            </w:pPr>
            <w:r w:rsidRPr="002541F9">
              <w:rPr>
                <w:rFonts w:ascii="Arial Narrow" w:hAnsi="Arial Narrow"/>
                <w:sz w:val="20"/>
              </w:rPr>
              <w:t>PBS Category/</w:t>
            </w:r>
            <w:r w:rsidR="007D6C77" w:rsidRPr="002541F9">
              <w:rPr>
                <w:rFonts w:ascii="Arial Narrow" w:hAnsi="Arial Narrow"/>
                <w:sz w:val="20"/>
              </w:rPr>
              <w:t>Program</w:t>
            </w:r>
          </w:p>
        </w:tc>
        <w:tc>
          <w:tcPr>
            <w:tcW w:w="2123" w:type="pct"/>
            <w:shd w:val="clear" w:color="auto" w:fill="auto"/>
            <w:vAlign w:val="center"/>
          </w:tcPr>
          <w:p w:rsidR="007D6C77" w:rsidRPr="002541F9" w:rsidRDefault="007D6C77" w:rsidP="005915C4">
            <w:pPr>
              <w:keepNext/>
              <w:widowControl/>
              <w:jc w:val="left"/>
              <w:rPr>
                <w:rFonts w:ascii="Arial Narrow" w:hAnsi="Arial Narrow"/>
                <w:sz w:val="20"/>
              </w:rPr>
            </w:pPr>
            <w:r w:rsidRPr="002541F9">
              <w:rPr>
                <w:rFonts w:ascii="Arial Narrow" w:hAnsi="Arial Narrow"/>
                <w:sz w:val="20"/>
              </w:rPr>
              <w:t>Section 100 Highly Specialised Drugs</w:t>
            </w:r>
          </w:p>
        </w:tc>
        <w:tc>
          <w:tcPr>
            <w:tcW w:w="1348" w:type="pct"/>
            <w:shd w:val="clear" w:color="auto" w:fill="auto"/>
            <w:vAlign w:val="center"/>
          </w:tcPr>
          <w:p w:rsidR="007D6C77" w:rsidRPr="002541F9" w:rsidRDefault="00153527" w:rsidP="005915C4">
            <w:pPr>
              <w:keepNext/>
              <w:widowControl/>
              <w:jc w:val="left"/>
              <w:rPr>
                <w:rFonts w:ascii="Arial Narrow" w:hAnsi="Arial Narrow"/>
                <w:sz w:val="20"/>
              </w:rPr>
            </w:pPr>
            <w:r>
              <w:rPr>
                <w:rFonts w:ascii="Arial Narrow" w:hAnsi="Arial Narrow"/>
                <w:sz w:val="20"/>
              </w:rPr>
              <w:t>Moderate, favoured</w:t>
            </w:r>
            <w:r w:rsidR="007D6C77" w:rsidRPr="002541F9">
              <w:rPr>
                <w:rFonts w:ascii="Arial Narrow" w:hAnsi="Arial Narrow"/>
                <w:sz w:val="20"/>
              </w:rPr>
              <w:t xml:space="preserve"> pirfenidone</w:t>
            </w:r>
          </w:p>
        </w:tc>
      </w:tr>
      <w:tr w:rsidR="007D6C77" w:rsidRPr="002541F9" w:rsidTr="005915C4">
        <w:tc>
          <w:tcPr>
            <w:tcW w:w="1529" w:type="pct"/>
            <w:shd w:val="clear" w:color="auto" w:fill="auto"/>
            <w:vAlign w:val="center"/>
          </w:tcPr>
          <w:p w:rsidR="007D6C77" w:rsidRPr="002541F9" w:rsidRDefault="007D6C77" w:rsidP="005915C4">
            <w:pPr>
              <w:keepNext/>
              <w:widowControl/>
              <w:jc w:val="left"/>
              <w:rPr>
                <w:rFonts w:ascii="Arial Narrow" w:hAnsi="Arial Narrow"/>
                <w:sz w:val="20"/>
              </w:rPr>
            </w:pPr>
            <w:r w:rsidRPr="002541F9">
              <w:rPr>
                <w:rFonts w:ascii="Arial Narrow" w:hAnsi="Arial Narrow"/>
                <w:sz w:val="20"/>
              </w:rPr>
              <w:t>Progression state utility</w:t>
            </w:r>
          </w:p>
        </w:tc>
        <w:tc>
          <w:tcPr>
            <w:tcW w:w="2123" w:type="pct"/>
            <w:shd w:val="clear" w:color="auto" w:fill="auto"/>
            <w:vAlign w:val="center"/>
          </w:tcPr>
          <w:p w:rsidR="007D6C77" w:rsidRPr="002541F9" w:rsidRDefault="007D6C77" w:rsidP="005915C4">
            <w:pPr>
              <w:keepNext/>
              <w:widowControl/>
              <w:jc w:val="left"/>
              <w:rPr>
                <w:rFonts w:ascii="Arial Narrow" w:hAnsi="Arial Narrow"/>
                <w:sz w:val="20"/>
              </w:rPr>
            </w:pPr>
            <w:r w:rsidRPr="002541F9">
              <w:rPr>
                <w:rFonts w:ascii="Arial Narrow" w:hAnsi="Arial Narrow"/>
                <w:sz w:val="20"/>
              </w:rPr>
              <w:t>Progression state utility</w:t>
            </w:r>
            <w:r w:rsidR="00961CC3" w:rsidRPr="002541F9">
              <w:rPr>
                <w:rFonts w:ascii="Arial Narrow" w:hAnsi="Arial Narrow"/>
                <w:sz w:val="20"/>
              </w:rPr>
              <w:t xml:space="preserve"> </w:t>
            </w:r>
            <w:r w:rsidRPr="002541F9">
              <w:rPr>
                <w:rFonts w:ascii="Arial Narrow" w:hAnsi="Arial Narrow"/>
                <w:sz w:val="20"/>
              </w:rPr>
              <w:t xml:space="preserve">= </w:t>
            </w:r>
            <w:r w:rsidR="00B166A0" w:rsidRPr="002541F9">
              <w:rPr>
                <w:rFonts w:ascii="Arial Narrow" w:hAnsi="Arial Narrow"/>
                <w:sz w:val="20"/>
              </w:rPr>
              <w:t>0.74</w:t>
            </w:r>
          </w:p>
        </w:tc>
        <w:tc>
          <w:tcPr>
            <w:tcW w:w="1348" w:type="pct"/>
            <w:shd w:val="clear" w:color="auto" w:fill="auto"/>
            <w:vAlign w:val="center"/>
          </w:tcPr>
          <w:p w:rsidR="007D6C77" w:rsidRPr="002541F9" w:rsidRDefault="007D6C77" w:rsidP="005915C4">
            <w:pPr>
              <w:keepNext/>
              <w:widowControl/>
              <w:jc w:val="left"/>
              <w:rPr>
                <w:rFonts w:ascii="Arial Narrow" w:hAnsi="Arial Narrow"/>
                <w:sz w:val="20"/>
              </w:rPr>
            </w:pPr>
            <w:r w:rsidRPr="002541F9">
              <w:rPr>
                <w:rFonts w:ascii="Arial Narrow" w:hAnsi="Arial Narrow"/>
                <w:sz w:val="20"/>
              </w:rPr>
              <w:t>Moderate</w:t>
            </w:r>
            <w:r w:rsidR="00DD32CC" w:rsidRPr="002541F9">
              <w:rPr>
                <w:rFonts w:ascii="Arial Narrow" w:hAnsi="Arial Narrow"/>
                <w:sz w:val="20"/>
              </w:rPr>
              <w:t>,</w:t>
            </w:r>
            <w:r w:rsidR="00153527">
              <w:rPr>
                <w:rFonts w:ascii="Arial Narrow" w:hAnsi="Arial Narrow"/>
                <w:sz w:val="20"/>
              </w:rPr>
              <w:t xml:space="preserve"> favoured</w:t>
            </w:r>
            <w:r w:rsidRPr="002541F9">
              <w:rPr>
                <w:rFonts w:ascii="Arial Narrow" w:hAnsi="Arial Narrow"/>
                <w:sz w:val="20"/>
              </w:rPr>
              <w:t xml:space="preserve"> pirfenidone</w:t>
            </w:r>
          </w:p>
        </w:tc>
      </w:tr>
    </w:tbl>
    <w:p w:rsidR="007D6C77" w:rsidRPr="00D110BD" w:rsidRDefault="007D6C77" w:rsidP="002F6883">
      <w:pPr>
        <w:pStyle w:val="TableFooter"/>
        <w:widowControl/>
        <w:ind w:firstLine="720"/>
      </w:pPr>
      <w:r w:rsidRPr="00D110BD">
        <w:t>Source: compiled during the evaluation</w:t>
      </w:r>
    </w:p>
    <w:p w:rsidR="00BA534B" w:rsidRPr="007D6C77" w:rsidRDefault="00BA534B" w:rsidP="002F6883">
      <w:pPr>
        <w:widowControl/>
        <w:rPr>
          <w:szCs w:val="22"/>
        </w:rPr>
      </w:pPr>
    </w:p>
    <w:p w:rsidR="007D6C77" w:rsidRPr="007D6C77" w:rsidRDefault="007D6C77" w:rsidP="002F6883">
      <w:pPr>
        <w:pStyle w:val="ListParagraph"/>
        <w:widowControl/>
        <w:numPr>
          <w:ilvl w:val="1"/>
          <w:numId w:val="2"/>
        </w:numPr>
        <w:rPr>
          <w:szCs w:val="22"/>
        </w:rPr>
      </w:pPr>
      <w:r w:rsidRPr="007D6C77">
        <w:rPr>
          <w:szCs w:val="22"/>
        </w:rPr>
        <w:t xml:space="preserve">Table </w:t>
      </w:r>
      <w:r w:rsidR="00F1224C">
        <w:rPr>
          <w:szCs w:val="22"/>
        </w:rPr>
        <w:t>10</w:t>
      </w:r>
      <w:r>
        <w:rPr>
          <w:szCs w:val="22"/>
        </w:rPr>
        <w:t xml:space="preserve"> presents the</w:t>
      </w:r>
      <w:r w:rsidR="00B166A0">
        <w:rPr>
          <w:szCs w:val="22"/>
        </w:rPr>
        <w:t xml:space="preserve"> summarised</w:t>
      </w:r>
      <w:r>
        <w:rPr>
          <w:szCs w:val="22"/>
        </w:rPr>
        <w:t xml:space="preserve"> results of the stepped economic evaluation.</w:t>
      </w:r>
    </w:p>
    <w:p w:rsidR="00D110BD" w:rsidRDefault="00D110BD" w:rsidP="002F6883">
      <w:pPr>
        <w:widowControl/>
        <w:rPr>
          <w:szCs w:val="22"/>
        </w:rPr>
      </w:pPr>
    </w:p>
    <w:p w:rsidR="002570C5" w:rsidRDefault="002570C5" w:rsidP="002F6883">
      <w:pPr>
        <w:keepNext/>
        <w:widowControl/>
        <w:ind w:firstLine="720"/>
        <w:rPr>
          <w:rStyle w:val="CommentReference"/>
        </w:rPr>
      </w:pPr>
      <w:r>
        <w:rPr>
          <w:rStyle w:val="CommentReference"/>
        </w:rPr>
        <w:t xml:space="preserve">Table </w:t>
      </w:r>
      <w:r w:rsidR="00F1224C">
        <w:rPr>
          <w:rStyle w:val="CommentReference"/>
        </w:rPr>
        <w:t>10</w:t>
      </w:r>
      <w:r w:rsidRPr="001222FC">
        <w:rPr>
          <w:rStyle w:val="CommentReference"/>
        </w:rPr>
        <w:t>: Results of the stepped economic evaluation</w:t>
      </w:r>
    </w:p>
    <w:tbl>
      <w:tblPr>
        <w:tblW w:w="450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1531"/>
        <w:gridCol w:w="1621"/>
        <w:gridCol w:w="3099"/>
      </w:tblGrid>
      <w:tr w:rsidR="00FD7AA8" w:rsidRPr="007A6B1E" w:rsidTr="009D4425">
        <w:trPr>
          <w:tblHeader/>
        </w:trPr>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Step and component</w:t>
            </w:r>
          </w:p>
        </w:tc>
        <w:tc>
          <w:tcPr>
            <w:tcW w:w="920" w:type="pct"/>
            <w:shd w:val="clear" w:color="auto" w:fill="auto"/>
            <w:vAlign w:val="center"/>
            <w:hideMark/>
          </w:tcPr>
          <w:p w:rsidR="00FD7AA8" w:rsidRPr="007A6B1E" w:rsidRDefault="00FD7AA8" w:rsidP="002F6883">
            <w:pPr>
              <w:keepNext/>
              <w:widowControl/>
              <w:jc w:val="center"/>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Pirfenidone</w:t>
            </w:r>
          </w:p>
        </w:tc>
        <w:tc>
          <w:tcPr>
            <w:tcW w:w="974" w:type="pct"/>
            <w:shd w:val="clear" w:color="auto" w:fill="auto"/>
            <w:vAlign w:val="center"/>
            <w:hideMark/>
          </w:tcPr>
          <w:p w:rsidR="00FD7AA8" w:rsidRPr="007A6B1E" w:rsidRDefault="00FD7AA8" w:rsidP="002F6883">
            <w:pPr>
              <w:keepNext/>
              <w:widowControl/>
              <w:jc w:val="center"/>
              <w:rPr>
                <w:rFonts w:ascii="Arial Narrow" w:hAnsi="Arial Narrow" w:cs="Times New Roman"/>
                <w:b/>
                <w:bCs/>
                <w:snapToGrid/>
                <w:color w:val="000000"/>
                <w:sz w:val="20"/>
                <w:lang w:eastAsia="en-AU"/>
              </w:rPr>
            </w:pPr>
            <w:r w:rsidRPr="007A6B1E">
              <w:rPr>
                <w:rFonts w:ascii="Arial Narrow" w:hAnsi="Arial Narrow" w:cs="Times New Roman"/>
                <w:b/>
                <w:bCs/>
                <w:snapToGrid/>
                <w:color w:val="000000"/>
                <w:sz w:val="20"/>
                <w:lang w:eastAsia="en-AU"/>
              </w:rPr>
              <w:t>BSC</w:t>
            </w:r>
          </w:p>
        </w:tc>
        <w:tc>
          <w:tcPr>
            <w:tcW w:w="1862" w:type="pct"/>
            <w:shd w:val="clear" w:color="auto" w:fill="auto"/>
            <w:vAlign w:val="center"/>
            <w:hideMark/>
          </w:tcPr>
          <w:p w:rsidR="00FD7AA8" w:rsidRPr="007A6B1E" w:rsidRDefault="00FD7AA8" w:rsidP="002F6883">
            <w:pPr>
              <w:keepNext/>
              <w:widowControl/>
              <w:jc w:val="center"/>
              <w:rPr>
                <w:rFonts w:ascii="Arial Narrow" w:hAnsi="Arial Narrow" w:cs="Times New Roman"/>
                <w:bCs/>
                <w:snapToGrid/>
                <w:color w:val="000000"/>
                <w:sz w:val="20"/>
                <w:lang w:eastAsia="en-AU"/>
              </w:rPr>
            </w:pPr>
            <w:r w:rsidRPr="007A6B1E">
              <w:rPr>
                <w:rFonts w:ascii="Arial Narrow" w:hAnsi="Arial Narrow" w:cs="Times New Roman"/>
                <w:b/>
                <w:bCs/>
                <w:snapToGrid/>
                <w:color w:val="000000"/>
                <w:sz w:val="20"/>
                <w:lang w:eastAsia="en-AU"/>
              </w:rPr>
              <w:t>Increment</w:t>
            </w:r>
            <w:r>
              <w:rPr>
                <w:rFonts w:ascii="Arial Narrow" w:hAnsi="Arial Narrow" w:cs="Times New Roman"/>
                <w:b/>
                <w:bCs/>
                <w:snapToGrid/>
                <w:color w:val="000000"/>
                <w:sz w:val="20"/>
                <w:lang w:eastAsia="en-AU"/>
              </w:rPr>
              <w:t xml:space="preserve"> </w:t>
            </w:r>
          </w:p>
        </w:tc>
      </w:tr>
      <w:tr w:rsidR="00FD7AA8" w:rsidRPr="007A6B1E" w:rsidTr="009D4425">
        <w:tc>
          <w:tcPr>
            <w:tcW w:w="5000" w:type="pct"/>
            <w:gridSpan w:val="4"/>
            <w:shd w:val="clear" w:color="auto" w:fill="auto"/>
            <w:vAlign w:val="center"/>
            <w:hideMark/>
          </w:tcPr>
          <w:p w:rsidR="00FD7AA8" w:rsidRPr="007A6B1E" w:rsidRDefault="00FD7AA8" w:rsidP="002F6883">
            <w:pPr>
              <w:keepNext/>
              <w:widowControl/>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Step 1: trial-based costs and outcomes</w:t>
            </w:r>
            <w:r w:rsidR="00A1235D">
              <w:rPr>
                <w:rFonts w:ascii="Arial Narrow" w:hAnsi="Arial Narrow" w:cs="Arial Narrow"/>
                <w:b/>
                <w:bCs/>
                <w:snapToGrid/>
                <w:color w:val="000000"/>
                <w:sz w:val="20"/>
                <w:lang w:eastAsia="en-AU"/>
              </w:rPr>
              <w:t xml:space="preserve"> (</w:t>
            </w:r>
            <w:r w:rsidR="00B166A0">
              <w:rPr>
                <w:rFonts w:ascii="Arial Narrow" w:hAnsi="Arial Narrow" w:cs="Arial Narrow"/>
                <w:b/>
                <w:bCs/>
                <w:snapToGrid/>
                <w:color w:val="000000"/>
                <w:sz w:val="20"/>
                <w:lang w:eastAsia="en-AU"/>
              </w:rPr>
              <w:t>2 years</w:t>
            </w:r>
            <w:r w:rsidR="00A1235D">
              <w:rPr>
                <w:rFonts w:ascii="Arial Narrow" w:hAnsi="Arial Narrow" w:cs="Arial Narrow"/>
                <w:b/>
                <w:bCs/>
                <w:snapToGrid/>
                <w:color w:val="000000"/>
                <w:sz w:val="20"/>
                <w:lang w:eastAsia="en-AU"/>
              </w:rPr>
              <w:t>)</w:t>
            </w:r>
          </w:p>
        </w:tc>
      </w:tr>
      <w:tr w:rsidR="00FD7AA8" w:rsidRPr="007A6B1E" w:rsidTr="009D4425">
        <w:tc>
          <w:tcPr>
            <w:tcW w:w="1244" w:type="pct"/>
            <w:shd w:val="clear" w:color="auto" w:fill="auto"/>
            <w:vAlign w:val="center"/>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920"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$0</w:t>
            </w:r>
          </w:p>
        </w:tc>
        <w:tc>
          <w:tcPr>
            <w:tcW w:w="1862"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3138" w:type="pct"/>
            <w:gridSpan w:val="3"/>
            <w:shd w:val="clear" w:color="auto" w:fill="auto"/>
            <w:vAlign w:val="center"/>
            <w:hideMark/>
          </w:tcPr>
          <w:p w:rsidR="00FD7AA8" w:rsidRPr="00381535" w:rsidRDefault="00FD7AA8" w:rsidP="002F6883">
            <w:pPr>
              <w:keepNext/>
              <w:widowControl/>
              <w:jc w:val="left"/>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Incremental cost/extra QALY gained</w:t>
            </w:r>
          </w:p>
        </w:tc>
        <w:tc>
          <w:tcPr>
            <w:tcW w:w="1862" w:type="pct"/>
            <w:shd w:val="clear" w:color="auto" w:fill="auto"/>
            <w:vAlign w:val="center"/>
            <w:hideMark/>
          </w:tcPr>
          <w:p w:rsidR="00FD7AA8" w:rsidRPr="00381535" w:rsidRDefault="00FD7AA8" w:rsidP="002F6883">
            <w:pPr>
              <w:keepNext/>
              <w:widowControl/>
              <w:jc w:val="center"/>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w:t>
            </w:r>
            <w:r w:rsidR="00F60B7B">
              <w:rPr>
                <w:rFonts w:ascii="Arial Narrow" w:hAnsi="Arial Narrow" w:cs="Times New Roman"/>
                <w:bCs/>
                <w:noProof/>
                <w:snapToGrid/>
                <w:color w:val="000000"/>
                <w:sz w:val="20"/>
                <w:highlight w:val="black"/>
                <w:lang w:eastAsia="en-AU"/>
              </w:rPr>
              <w:t>''''''''''''''''''''</w:t>
            </w:r>
          </w:p>
        </w:tc>
      </w:tr>
      <w:tr w:rsidR="00FD7AA8" w:rsidRPr="007A6B1E" w:rsidTr="009D4425">
        <w:tc>
          <w:tcPr>
            <w:tcW w:w="5000" w:type="pct"/>
            <w:gridSpan w:val="4"/>
            <w:shd w:val="clear" w:color="auto" w:fill="auto"/>
            <w:vAlign w:val="center"/>
            <w:hideMark/>
          </w:tcPr>
          <w:p w:rsidR="00FD7AA8" w:rsidRPr="007A6B1E" w:rsidRDefault="00FD7AA8" w:rsidP="002F6883">
            <w:pPr>
              <w:keepNext/>
              <w:widowControl/>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Step 2: modelled evaluation (extrapolation beyond clinical trials</w:t>
            </w:r>
            <w:r w:rsidR="00C93E6F">
              <w:rPr>
                <w:rFonts w:ascii="Arial Narrow" w:hAnsi="Arial Narrow" w:cs="Arial Narrow"/>
                <w:b/>
                <w:bCs/>
                <w:snapToGrid/>
                <w:color w:val="000000"/>
                <w:sz w:val="20"/>
                <w:lang w:eastAsia="en-AU"/>
              </w:rPr>
              <w:t>; 10 years</w:t>
            </w:r>
            <w:r w:rsidRPr="007A6B1E">
              <w:rPr>
                <w:rFonts w:ascii="Arial Narrow" w:hAnsi="Arial Narrow" w:cs="Arial Narrow"/>
                <w:b/>
                <w:bCs/>
                <w:snapToGrid/>
                <w:color w:val="000000"/>
                <w:sz w:val="20"/>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920"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$0</w:t>
            </w:r>
          </w:p>
        </w:tc>
        <w:tc>
          <w:tcPr>
            <w:tcW w:w="1862"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tcPr>
          <w:p w:rsidR="00FD7AA8" w:rsidRPr="007A6B1E" w:rsidRDefault="00FD7AA8" w:rsidP="002F6883">
            <w:pPr>
              <w:keepNext/>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3138" w:type="pct"/>
            <w:gridSpan w:val="3"/>
            <w:shd w:val="clear" w:color="auto" w:fill="auto"/>
            <w:vAlign w:val="center"/>
            <w:hideMark/>
          </w:tcPr>
          <w:p w:rsidR="00FD7AA8" w:rsidRPr="00381535" w:rsidRDefault="00FD7AA8" w:rsidP="002F6883">
            <w:pPr>
              <w:keepNext/>
              <w:widowControl/>
              <w:jc w:val="left"/>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Incremental cost/extra QALY gained</w:t>
            </w:r>
          </w:p>
        </w:tc>
        <w:tc>
          <w:tcPr>
            <w:tcW w:w="1862" w:type="pct"/>
            <w:shd w:val="clear" w:color="auto" w:fill="auto"/>
            <w:vAlign w:val="center"/>
            <w:hideMark/>
          </w:tcPr>
          <w:p w:rsidR="00FD7AA8" w:rsidRPr="00381535" w:rsidRDefault="00FD7AA8" w:rsidP="002F6883">
            <w:pPr>
              <w:keepNext/>
              <w:widowControl/>
              <w:jc w:val="center"/>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w:t>
            </w:r>
            <w:r w:rsidR="00F60B7B">
              <w:rPr>
                <w:rFonts w:ascii="Arial Narrow" w:hAnsi="Arial Narrow" w:cs="Times New Roman"/>
                <w:bCs/>
                <w:noProof/>
                <w:snapToGrid/>
                <w:color w:val="000000"/>
                <w:sz w:val="20"/>
                <w:highlight w:val="black"/>
                <w:lang w:eastAsia="en-AU"/>
              </w:rPr>
              <w:t>'''''''''''''''''''</w:t>
            </w:r>
          </w:p>
        </w:tc>
      </w:tr>
      <w:tr w:rsidR="00FD7AA8" w:rsidRPr="007A6B1E" w:rsidTr="009D4425">
        <w:tc>
          <w:tcPr>
            <w:tcW w:w="5000" w:type="pct"/>
            <w:gridSpan w:val="4"/>
            <w:shd w:val="clear" w:color="auto" w:fill="auto"/>
            <w:vAlign w:val="center"/>
            <w:hideMark/>
          </w:tcPr>
          <w:p w:rsidR="00FD7AA8" w:rsidRPr="007A6B1E" w:rsidRDefault="00FD7AA8" w:rsidP="002F6883">
            <w:pPr>
              <w:keepNext/>
              <w:widowControl/>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Step</w:t>
            </w:r>
            <w:r w:rsidR="00C93E6F">
              <w:rPr>
                <w:rFonts w:ascii="Arial Narrow" w:hAnsi="Arial Narrow" w:cs="Arial Narrow"/>
                <w:b/>
                <w:bCs/>
                <w:snapToGrid/>
                <w:color w:val="000000"/>
                <w:sz w:val="20"/>
                <w:lang w:eastAsia="en-AU"/>
              </w:rPr>
              <w:t>s</w:t>
            </w:r>
            <w:r w:rsidRPr="007A6B1E">
              <w:rPr>
                <w:rFonts w:ascii="Arial Narrow" w:hAnsi="Arial Narrow" w:cs="Arial Narrow"/>
                <w:b/>
                <w:bCs/>
                <w:snapToGrid/>
                <w:color w:val="000000"/>
                <w:sz w:val="20"/>
                <w:lang w:eastAsia="en-AU"/>
              </w:rPr>
              <w:t xml:space="preserve"> 3: modelled evaluation (incorporation of medical MRU costs</w:t>
            </w:r>
            <w:r w:rsidR="00C93E6F">
              <w:rPr>
                <w:rFonts w:ascii="Arial Narrow" w:hAnsi="Arial Narrow" w:cs="Arial Narrow"/>
                <w:b/>
                <w:bCs/>
                <w:snapToGrid/>
                <w:color w:val="000000"/>
                <w:sz w:val="20"/>
                <w:lang w:eastAsia="en-AU"/>
              </w:rPr>
              <w:t>; AE related costs, lung transplant costs and outcomes and end of life costs; 10 years</w:t>
            </w:r>
            <w:r w:rsidRPr="007A6B1E">
              <w:rPr>
                <w:rFonts w:ascii="Arial Narrow" w:hAnsi="Arial Narrow" w:cs="Arial Narrow"/>
                <w:b/>
                <w:bCs/>
                <w:snapToGrid/>
                <w:color w:val="000000"/>
                <w:sz w:val="20"/>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920"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$38,649</w:t>
            </w:r>
          </w:p>
        </w:tc>
        <w:tc>
          <w:tcPr>
            <w:tcW w:w="1862" w:type="pct"/>
            <w:shd w:val="clear" w:color="auto" w:fill="auto"/>
            <w:vAlign w:val="center"/>
          </w:tcPr>
          <w:p w:rsidR="00FD7AA8" w:rsidRPr="007A6B1E" w:rsidRDefault="00436DD2"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tcPr>
          <w:p w:rsidR="00FD7AA8" w:rsidRPr="007A6B1E" w:rsidRDefault="00FD7AA8" w:rsidP="002F6883">
            <w:pPr>
              <w:keepNext/>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3138" w:type="pct"/>
            <w:gridSpan w:val="3"/>
            <w:shd w:val="clear" w:color="auto" w:fill="auto"/>
            <w:vAlign w:val="center"/>
            <w:hideMark/>
          </w:tcPr>
          <w:p w:rsidR="00FD7AA8" w:rsidRPr="00381535" w:rsidRDefault="00FD7AA8" w:rsidP="002F6883">
            <w:pPr>
              <w:keepNext/>
              <w:widowControl/>
              <w:jc w:val="left"/>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Incremental cost/extra QALY gained</w:t>
            </w:r>
          </w:p>
        </w:tc>
        <w:tc>
          <w:tcPr>
            <w:tcW w:w="1862" w:type="pct"/>
            <w:shd w:val="clear" w:color="auto" w:fill="auto"/>
            <w:vAlign w:val="center"/>
            <w:hideMark/>
          </w:tcPr>
          <w:p w:rsidR="00FD7AA8" w:rsidRPr="00381535" w:rsidRDefault="00FD7AA8" w:rsidP="002F6883">
            <w:pPr>
              <w:keepNext/>
              <w:widowControl/>
              <w:jc w:val="center"/>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w:t>
            </w:r>
            <w:r w:rsidR="00F60B7B">
              <w:rPr>
                <w:rFonts w:ascii="Arial Narrow" w:hAnsi="Arial Narrow" w:cs="Times New Roman"/>
                <w:bCs/>
                <w:noProof/>
                <w:snapToGrid/>
                <w:color w:val="000000"/>
                <w:sz w:val="20"/>
                <w:highlight w:val="black"/>
                <w:lang w:eastAsia="en-AU"/>
              </w:rPr>
              <w:t>'''''''''''''''''</w:t>
            </w:r>
          </w:p>
        </w:tc>
      </w:tr>
      <w:tr w:rsidR="00FD7AA8" w:rsidRPr="007A6B1E" w:rsidTr="009D4425">
        <w:tc>
          <w:tcPr>
            <w:tcW w:w="5000" w:type="pct"/>
            <w:gridSpan w:val="4"/>
            <w:shd w:val="clear" w:color="auto" w:fill="auto"/>
            <w:vAlign w:val="center"/>
            <w:hideMark/>
          </w:tcPr>
          <w:p w:rsidR="00FD7AA8" w:rsidRPr="007A6B1E" w:rsidRDefault="00FD7AA8" w:rsidP="002F6883">
            <w:pPr>
              <w:keepNext/>
              <w:widowControl/>
              <w:jc w:val="left"/>
              <w:rPr>
                <w:rFonts w:ascii="Arial Narrow" w:hAnsi="Arial Narrow" w:cs="Times New Roman"/>
                <w:b/>
                <w:bCs/>
                <w:snapToGrid/>
                <w:color w:val="000000"/>
                <w:sz w:val="20"/>
                <w:lang w:eastAsia="en-AU"/>
              </w:rPr>
            </w:pPr>
            <w:r w:rsidRPr="007A6B1E">
              <w:rPr>
                <w:rFonts w:ascii="Arial Narrow" w:hAnsi="Arial Narrow" w:cs="Arial Narrow"/>
                <w:b/>
                <w:bCs/>
                <w:snapToGrid/>
                <w:color w:val="000000"/>
                <w:sz w:val="20"/>
                <w:lang w:eastAsia="en-AU"/>
              </w:rPr>
              <w:t xml:space="preserve">Step </w:t>
            </w:r>
            <w:r w:rsidR="00C93E6F">
              <w:rPr>
                <w:rFonts w:ascii="Arial Narrow" w:hAnsi="Arial Narrow" w:cs="Arial Narrow"/>
                <w:b/>
                <w:bCs/>
                <w:snapToGrid/>
                <w:color w:val="000000"/>
                <w:sz w:val="20"/>
                <w:lang w:eastAsia="en-AU"/>
              </w:rPr>
              <w:t>4</w:t>
            </w:r>
            <w:r w:rsidRPr="007A6B1E">
              <w:rPr>
                <w:rFonts w:ascii="Arial Narrow" w:hAnsi="Arial Narrow" w:cs="Arial Narrow"/>
                <w:b/>
                <w:bCs/>
                <w:snapToGrid/>
                <w:color w:val="000000"/>
                <w:sz w:val="20"/>
                <w:lang w:eastAsia="en-AU"/>
              </w:rPr>
              <w:t>: modelled evaluation (incorporation of proposed rebate</w:t>
            </w:r>
            <w:r w:rsidR="00C93E6F">
              <w:rPr>
                <w:rFonts w:ascii="Arial Narrow" w:hAnsi="Arial Narrow" w:cs="Arial Narrow"/>
                <w:b/>
                <w:bCs/>
                <w:snapToGrid/>
                <w:color w:val="000000"/>
                <w:sz w:val="20"/>
                <w:lang w:eastAsia="en-AU"/>
              </w:rPr>
              <w:t>; 10 years</w:t>
            </w:r>
            <w:r w:rsidRPr="007A6B1E">
              <w:rPr>
                <w:rFonts w:ascii="Arial Narrow" w:hAnsi="Arial Narrow" w:cs="Arial Narrow"/>
                <w:b/>
                <w:bCs/>
                <w:snapToGrid/>
                <w:color w:val="000000"/>
                <w:sz w:val="20"/>
                <w:lang w:eastAsia="en-AU"/>
              </w:rPr>
              <w:t>)</w:t>
            </w:r>
          </w:p>
        </w:tc>
      </w:tr>
      <w:tr w:rsidR="00FD7AA8" w:rsidRPr="007A6B1E" w:rsidTr="00BE3813">
        <w:trPr>
          <w:trHeight w:hRule="exact" w:val="276"/>
        </w:trPr>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Costs</w:t>
            </w:r>
          </w:p>
        </w:tc>
        <w:tc>
          <w:tcPr>
            <w:tcW w:w="920"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$38,649</w:t>
            </w:r>
          </w:p>
        </w:tc>
        <w:tc>
          <w:tcPr>
            <w:tcW w:w="1862" w:type="pct"/>
            <w:shd w:val="clear" w:color="auto" w:fill="auto"/>
            <w:vAlign w:val="center"/>
          </w:tcPr>
          <w:p w:rsidR="00FD7AA8" w:rsidRPr="007A6B1E" w:rsidRDefault="00FD7AA8" w:rsidP="002F6883">
            <w:pPr>
              <w:keepNext/>
              <w:widowControl/>
              <w:jc w:val="center"/>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w:t>
            </w:r>
            <w:r w:rsidR="00F60B7B">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tcPr>
          <w:p w:rsidR="00FD7AA8" w:rsidRPr="007A6B1E" w:rsidRDefault="00FD7AA8" w:rsidP="002F6883">
            <w:pPr>
              <w:keepNext/>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1244" w:type="pct"/>
            <w:shd w:val="clear" w:color="auto" w:fill="auto"/>
            <w:vAlign w:val="center"/>
            <w:hideMark/>
          </w:tcPr>
          <w:p w:rsidR="00FD7AA8" w:rsidRPr="007A6B1E" w:rsidRDefault="00FD7AA8" w:rsidP="002F6883">
            <w:pPr>
              <w:keepNext/>
              <w:widowControl/>
              <w:jc w:val="left"/>
              <w:rPr>
                <w:rFonts w:ascii="Arial Narrow" w:hAnsi="Arial Narrow" w:cs="Times New Roman"/>
                <w:snapToGrid/>
                <w:color w:val="000000"/>
                <w:sz w:val="20"/>
                <w:lang w:eastAsia="en-AU"/>
              </w:rPr>
            </w:pPr>
            <w:r w:rsidRPr="007A6B1E">
              <w:rPr>
                <w:rFonts w:ascii="Arial Narrow" w:hAnsi="Arial Narrow" w:cs="Times New Roman"/>
                <w:snapToGrid/>
                <w:color w:val="000000"/>
                <w:sz w:val="20"/>
                <w:lang w:eastAsia="en-AU"/>
              </w:rPr>
              <w:t>QALY</w:t>
            </w:r>
          </w:p>
        </w:tc>
        <w:tc>
          <w:tcPr>
            <w:tcW w:w="920"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974"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1862" w:type="pct"/>
            <w:shd w:val="clear" w:color="auto" w:fill="auto"/>
            <w:vAlign w:val="center"/>
          </w:tcPr>
          <w:p w:rsidR="00FD7AA8" w:rsidRPr="00F60B7B" w:rsidRDefault="00F60B7B" w:rsidP="002F6883">
            <w:pPr>
              <w:keepNext/>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FD7AA8" w:rsidRPr="007A6B1E" w:rsidTr="009D4425">
        <w:tc>
          <w:tcPr>
            <w:tcW w:w="3138" w:type="pct"/>
            <w:gridSpan w:val="3"/>
            <w:shd w:val="clear" w:color="auto" w:fill="auto"/>
            <w:vAlign w:val="center"/>
            <w:hideMark/>
          </w:tcPr>
          <w:p w:rsidR="00FD7AA8" w:rsidRPr="00381535" w:rsidRDefault="00FD7AA8" w:rsidP="002F6883">
            <w:pPr>
              <w:keepNext/>
              <w:widowControl/>
              <w:jc w:val="left"/>
              <w:rPr>
                <w:rFonts w:ascii="Arial Narrow" w:hAnsi="Arial Narrow" w:cs="Times New Roman"/>
                <w:bCs/>
                <w:snapToGrid/>
                <w:color w:val="000000"/>
                <w:sz w:val="20"/>
                <w:lang w:eastAsia="en-AU"/>
              </w:rPr>
            </w:pPr>
            <w:r w:rsidRPr="00381535">
              <w:rPr>
                <w:rFonts w:ascii="Arial Narrow" w:hAnsi="Arial Narrow" w:cs="Times New Roman"/>
                <w:bCs/>
                <w:snapToGrid/>
                <w:color w:val="000000"/>
                <w:sz w:val="20"/>
                <w:lang w:eastAsia="en-AU"/>
              </w:rPr>
              <w:t>Incremental cost/extra QALY gained</w:t>
            </w:r>
          </w:p>
        </w:tc>
        <w:tc>
          <w:tcPr>
            <w:tcW w:w="1862" w:type="pct"/>
            <w:shd w:val="clear" w:color="auto" w:fill="auto"/>
            <w:vAlign w:val="center"/>
            <w:hideMark/>
          </w:tcPr>
          <w:p w:rsidR="00FD7AA8" w:rsidRPr="003177C3" w:rsidRDefault="00FD7AA8" w:rsidP="002F6883">
            <w:pPr>
              <w:keepNext/>
              <w:widowControl/>
              <w:jc w:val="center"/>
              <w:rPr>
                <w:rFonts w:ascii="Arial Narrow" w:hAnsi="Arial Narrow" w:cs="Times New Roman"/>
                <w:b/>
                <w:bCs/>
                <w:snapToGrid/>
                <w:color w:val="000000"/>
                <w:sz w:val="20"/>
                <w:lang w:eastAsia="en-AU"/>
              </w:rPr>
            </w:pPr>
            <w:r w:rsidRPr="003177C3">
              <w:rPr>
                <w:rFonts w:ascii="Arial Narrow" w:hAnsi="Arial Narrow" w:cs="Times New Roman"/>
                <w:b/>
                <w:bCs/>
                <w:snapToGrid/>
                <w:color w:val="000000"/>
                <w:sz w:val="20"/>
                <w:lang w:eastAsia="en-AU"/>
              </w:rPr>
              <w:t>$</w:t>
            </w:r>
            <w:r w:rsidR="00F60B7B">
              <w:rPr>
                <w:rFonts w:ascii="Arial Narrow" w:hAnsi="Arial Narrow" w:cs="Times New Roman"/>
                <w:b/>
                <w:bCs/>
                <w:noProof/>
                <w:snapToGrid/>
                <w:color w:val="000000"/>
                <w:sz w:val="20"/>
                <w:highlight w:val="black"/>
                <w:lang w:eastAsia="en-AU"/>
              </w:rPr>
              <w:t>'''''''''''''</w:t>
            </w:r>
          </w:p>
        </w:tc>
      </w:tr>
    </w:tbl>
    <w:p w:rsidR="00FD7AA8" w:rsidRDefault="00FD7AA8" w:rsidP="002F6883">
      <w:pPr>
        <w:keepNext/>
        <w:widowControl/>
        <w:ind w:left="720"/>
        <w:rPr>
          <w:rFonts w:ascii="Arial Narrow" w:hAnsi="Arial Narrow"/>
          <w:sz w:val="18"/>
          <w:szCs w:val="18"/>
        </w:rPr>
      </w:pPr>
      <w:r w:rsidRPr="00DF5A75">
        <w:rPr>
          <w:rFonts w:ascii="Arial Narrow" w:hAnsi="Arial Narrow"/>
          <w:sz w:val="18"/>
          <w:szCs w:val="18"/>
        </w:rPr>
        <w:t xml:space="preserve">Source: Tables D.5.1 to D.5.7, pp21 – 26 of the current </w:t>
      </w:r>
      <w:r w:rsidR="00543609">
        <w:rPr>
          <w:rFonts w:ascii="Arial Narrow" w:hAnsi="Arial Narrow"/>
          <w:sz w:val="18"/>
          <w:szCs w:val="18"/>
        </w:rPr>
        <w:t>resubmission</w:t>
      </w:r>
    </w:p>
    <w:p w:rsidR="00FD7AA8" w:rsidRPr="00DF5A75" w:rsidRDefault="005915C4" w:rsidP="002F6883">
      <w:pPr>
        <w:widowControl/>
        <w:ind w:left="720"/>
        <w:rPr>
          <w:rFonts w:ascii="Arial Narrow" w:hAnsi="Arial Narrow"/>
          <w:sz w:val="18"/>
          <w:szCs w:val="18"/>
        </w:rPr>
      </w:pPr>
      <w:r w:rsidRPr="008A0437">
        <w:rPr>
          <w:rFonts w:ascii="Arial Narrow" w:hAnsi="Arial Narrow"/>
          <w:sz w:val="18"/>
        </w:rPr>
        <w:t>Abbreviations: BSC = best supportive care</w:t>
      </w:r>
      <w:r>
        <w:rPr>
          <w:rFonts w:ascii="Arial Narrow" w:hAnsi="Arial Narrow"/>
          <w:sz w:val="18"/>
        </w:rPr>
        <w:t xml:space="preserve">, </w:t>
      </w:r>
      <w:r w:rsidR="00FD7AA8">
        <w:rPr>
          <w:rFonts w:ascii="Arial Narrow" w:hAnsi="Arial Narrow"/>
          <w:sz w:val="18"/>
          <w:szCs w:val="18"/>
        </w:rPr>
        <w:t>LY = life years</w:t>
      </w:r>
      <w:r>
        <w:rPr>
          <w:rFonts w:ascii="Arial Narrow" w:hAnsi="Arial Narrow"/>
          <w:sz w:val="18"/>
          <w:szCs w:val="18"/>
        </w:rPr>
        <w:t>,</w:t>
      </w:r>
      <w:r w:rsidR="00FD7AA8">
        <w:rPr>
          <w:rFonts w:ascii="Arial Narrow" w:hAnsi="Arial Narrow"/>
          <w:sz w:val="18"/>
          <w:szCs w:val="18"/>
        </w:rPr>
        <w:t xml:space="preserve"> QALY = quality adjusted life years</w:t>
      </w:r>
      <w:r>
        <w:rPr>
          <w:rFonts w:ascii="Arial Narrow" w:hAnsi="Arial Narrow"/>
          <w:sz w:val="18"/>
          <w:szCs w:val="18"/>
        </w:rPr>
        <w:t>.</w:t>
      </w:r>
    </w:p>
    <w:p w:rsidR="00D110BD" w:rsidRPr="007C13C1" w:rsidRDefault="00D110BD" w:rsidP="007C13C1">
      <w:pPr>
        <w:pStyle w:val="TableFooter"/>
        <w:widowControl/>
        <w:rPr>
          <w:rFonts w:ascii="Arial" w:hAnsi="Arial"/>
          <w:sz w:val="22"/>
          <w:szCs w:val="22"/>
        </w:rPr>
      </w:pPr>
    </w:p>
    <w:p w:rsidR="00267AA7" w:rsidRPr="00245E48" w:rsidRDefault="00267AA7" w:rsidP="002F6883">
      <w:pPr>
        <w:pStyle w:val="ListParagraph"/>
        <w:widowControl/>
        <w:numPr>
          <w:ilvl w:val="1"/>
          <w:numId w:val="2"/>
        </w:numPr>
        <w:rPr>
          <w:szCs w:val="22"/>
        </w:rPr>
      </w:pPr>
      <w:r>
        <w:t xml:space="preserve">Correcting the error </w:t>
      </w:r>
      <w:r w:rsidR="002349A1">
        <w:t xml:space="preserve">noted above regarding the application of the rebate </w:t>
      </w:r>
      <w:r>
        <w:t xml:space="preserve">in the March 2016 model </w:t>
      </w:r>
      <w:r w:rsidR="00317087">
        <w:t xml:space="preserve">reduced </w:t>
      </w:r>
      <w:r>
        <w:t xml:space="preserve">the </w:t>
      </w:r>
      <w:r w:rsidR="00317087">
        <w:t xml:space="preserve">March 2016 </w:t>
      </w:r>
      <w:r>
        <w:t>base case ICER (</w:t>
      </w:r>
      <w:r w:rsidR="00381535">
        <w:t xml:space="preserve">using a </w:t>
      </w:r>
      <w:r>
        <w:t xml:space="preserve">10 year horizon) from </w:t>
      </w:r>
      <w:r w:rsidR="009E7C1B">
        <w:t>$45,000 - $75,000</w:t>
      </w:r>
      <w:r w:rsidR="002541F9">
        <w:t xml:space="preserve"> per QALY</w:t>
      </w:r>
      <w:r>
        <w:t xml:space="preserve"> to </w:t>
      </w:r>
      <w:r w:rsidR="009E7C1B">
        <w:t>$45,000 - $75,000</w:t>
      </w:r>
      <w:r w:rsidR="002541F9">
        <w:t>per QALY</w:t>
      </w:r>
      <w:r>
        <w:t xml:space="preserve">. In comparison, the base case of the current </w:t>
      </w:r>
      <w:r w:rsidR="00543609">
        <w:t>resubmission</w:t>
      </w:r>
      <w:r>
        <w:t xml:space="preserve"> </w:t>
      </w:r>
      <w:r w:rsidR="00565210">
        <w:t>was</w:t>
      </w:r>
      <w:r>
        <w:t xml:space="preserve"> </w:t>
      </w:r>
      <w:r w:rsidR="009E7C1B">
        <w:t>$45,000 - $75,000</w:t>
      </w:r>
      <w:r w:rsidR="002541F9">
        <w:t>per QALY</w:t>
      </w:r>
      <w:r>
        <w:t xml:space="preserve">. </w:t>
      </w:r>
      <w:r w:rsidR="0059382C">
        <w:t>T</w:t>
      </w:r>
      <w:r>
        <w:t xml:space="preserve">he correction of the model was the only change in the current </w:t>
      </w:r>
      <w:r w:rsidR="00543609">
        <w:t>resubmission</w:t>
      </w:r>
      <w:r>
        <w:t xml:space="preserve"> with a significant </w:t>
      </w:r>
      <w:r w:rsidR="00F73B37">
        <w:t xml:space="preserve">impact </w:t>
      </w:r>
      <w:r w:rsidR="00153527">
        <w:t>on the ICER.</w:t>
      </w:r>
    </w:p>
    <w:p w:rsidR="00245E48" w:rsidRPr="007C13C1" w:rsidRDefault="00245E48" w:rsidP="002F6883">
      <w:pPr>
        <w:widowControl/>
        <w:rPr>
          <w:szCs w:val="22"/>
        </w:rPr>
      </w:pPr>
    </w:p>
    <w:p w:rsidR="00265CFD" w:rsidRPr="002541F9" w:rsidRDefault="00265CFD" w:rsidP="002F6883">
      <w:pPr>
        <w:pStyle w:val="ListParagraph"/>
        <w:widowControl/>
        <w:numPr>
          <w:ilvl w:val="1"/>
          <w:numId w:val="2"/>
        </w:numPr>
        <w:rPr>
          <w:szCs w:val="22"/>
        </w:rPr>
      </w:pPr>
      <w:r w:rsidRPr="00935D7C">
        <w:rPr>
          <w:szCs w:val="22"/>
        </w:rPr>
        <w:t xml:space="preserve">Considering pirfenidone need not be administered in a hospital setting, the ESC considered that it was reasonable to consider the cost-effectiveness of a General Schedule listing for pirfenidone. Listing pirfenidone under the General Schedule </w:t>
      </w:r>
      <w:r w:rsidRPr="002541F9">
        <w:t>(resulting in additional mark-ups</w:t>
      </w:r>
      <w:r w:rsidR="002541F9">
        <w:t>,</w:t>
      </w:r>
      <w:r w:rsidRPr="002541F9">
        <w:t xml:space="preserve"> which would increase the DPMQ by $</w:t>
      </w:r>
      <w:r w:rsidR="00F60B7B">
        <w:rPr>
          <w:noProof/>
          <w:color w:val="000000"/>
          <w:highlight w:val="black"/>
        </w:rPr>
        <w:t>'''''''''''''''''</w:t>
      </w:r>
      <w:r w:rsidR="002541F9" w:rsidRPr="002541F9">
        <w:t xml:space="preserve"> </w:t>
      </w:r>
      <w:r w:rsidR="002541F9" w:rsidRPr="002541F9">
        <w:lastRenderedPageBreak/>
        <w:t xml:space="preserve">compared with </w:t>
      </w:r>
      <w:r w:rsidRPr="002541F9">
        <w:t xml:space="preserve">the public hospital S100 HSD DPMQ) </w:t>
      </w:r>
      <w:r w:rsidRPr="002541F9">
        <w:rPr>
          <w:szCs w:val="22"/>
        </w:rPr>
        <w:t xml:space="preserve">would increase the ICER from </w:t>
      </w:r>
      <w:r w:rsidR="009E7C1B">
        <w:t>$45,000 - $75,000</w:t>
      </w:r>
      <w:r w:rsidR="00153527">
        <w:rPr>
          <w:szCs w:val="22"/>
        </w:rPr>
        <w:t xml:space="preserve"> per QALY to </w:t>
      </w:r>
      <w:r w:rsidR="009E7C1B">
        <w:t>$45,000 - $75,000</w:t>
      </w:r>
      <w:r w:rsidR="00153527">
        <w:rPr>
          <w:szCs w:val="22"/>
        </w:rPr>
        <w:t xml:space="preserve"> per QALY.</w:t>
      </w:r>
    </w:p>
    <w:p w:rsidR="00265CFD" w:rsidRPr="007C13C1" w:rsidRDefault="00265CFD" w:rsidP="002F6883">
      <w:pPr>
        <w:widowControl/>
        <w:rPr>
          <w:i/>
          <w:szCs w:val="22"/>
        </w:rPr>
      </w:pPr>
    </w:p>
    <w:p w:rsidR="00265CFD" w:rsidRPr="001C14B4" w:rsidRDefault="00265CFD" w:rsidP="002F6883">
      <w:pPr>
        <w:pStyle w:val="ListParagraph"/>
        <w:widowControl/>
        <w:numPr>
          <w:ilvl w:val="1"/>
          <w:numId w:val="2"/>
        </w:numPr>
        <w:rPr>
          <w:szCs w:val="22"/>
        </w:rPr>
      </w:pPr>
      <w:r w:rsidRPr="00935D7C">
        <w:t xml:space="preserve">In November 2015, the PBAC had considered that “utility values sourced from the literature appeared reasonable, however, given the age of the proposed eligible PBS population they may overstate the utility associated with progression.” (November 2015 PSD, paragraph 7.17). The model continued to be sensitive to the progression state utility value. For example, a </w:t>
      </w:r>
      <w:r w:rsidRPr="00BE3813">
        <w:t>10</w:t>
      </w:r>
      <w:r w:rsidRPr="00935D7C">
        <w:t xml:space="preserve">% decrement on the progression utility value increased the ICER to </w:t>
      </w:r>
      <w:r w:rsidR="00774620">
        <w:t>$45,000 - $75,000</w:t>
      </w:r>
      <w:r w:rsidRPr="00935D7C">
        <w:t>per QALY.</w:t>
      </w:r>
    </w:p>
    <w:p w:rsidR="001C14B4" w:rsidRPr="001C14B4" w:rsidRDefault="001C14B4" w:rsidP="001C14B4">
      <w:pPr>
        <w:widowControl/>
        <w:rPr>
          <w:szCs w:val="22"/>
        </w:rPr>
      </w:pPr>
    </w:p>
    <w:p w:rsidR="00EE0989" w:rsidRPr="00452C00" w:rsidRDefault="00DE7010" w:rsidP="00D7741A">
      <w:pPr>
        <w:pStyle w:val="ListParagraph"/>
        <w:widowControl/>
        <w:numPr>
          <w:ilvl w:val="1"/>
          <w:numId w:val="2"/>
        </w:numPr>
        <w:rPr>
          <w:szCs w:val="22"/>
        </w:rPr>
      </w:pPr>
      <w:r>
        <w:t>T</w:t>
      </w:r>
      <w:r w:rsidR="00C61C28" w:rsidRPr="00935D7C">
        <w:t>he ESC noted that a large proportion (95%) of the estimated survival gain is from the extrapolated part of the survival curves</w:t>
      </w:r>
      <w:r w:rsidR="00925B70">
        <w:t xml:space="preserve"> (specifically from the period beyond which randomised trial data are available)</w:t>
      </w:r>
      <w:r w:rsidR="00C61C28" w:rsidRPr="00935D7C">
        <w:t xml:space="preserve">. </w:t>
      </w:r>
      <w:r w:rsidRPr="00452C00">
        <w:rPr>
          <w:szCs w:val="22"/>
        </w:rPr>
        <w:t>The pre</w:t>
      </w:r>
      <w:r w:rsidR="00717CE9" w:rsidRPr="00452C00">
        <w:rPr>
          <w:szCs w:val="22"/>
        </w:rPr>
        <w:t>-</w:t>
      </w:r>
      <w:r w:rsidRPr="00452C00">
        <w:rPr>
          <w:szCs w:val="22"/>
        </w:rPr>
        <w:t xml:space="preserve">PBAC response </w:t>
      </w:r>
      <w:r w:rsidR="00D7741A" w:rsidRPr="00452C00">
        <w:rPr>
          <w:szCs w:val="22"/>
        </w:rPr>
        <w:t xml:space="preserve">(p2) </w:t>
      </w:r>
      <w:r w:rsidR="00717CE9" w:rsidRPr="00452C00">
        <w:rPr>
          <w:szCs w:val="22"/>
        </w:rPr>
        <w:t xml:space="preserve">noted </w:t>
      </w:r>
      <w:r w:rsidR="00925B70" w:rsidRPr="00452C00">
        <w:rPr>
          <w:szCs w:val="22"/>
        </w:rPr>
        <w:t xml:space="preserve">the following data were used to generate the </w:t>
      </w:r>
      <w:r w:rsidR="00EE0989" w:rsidRPr="00452C00">
        <w:rPr>
          <w:szCs w:val="22"/>
        </w:rPr>
        <w:t>survival gain:</w:t>
      </w:r>
    </w:p>
    <w:p w:rsidR="00EE0989" w:rsidRPr="00452C00" w:rsidRDefault="00EE0989" w:rsidP="00EE0989">
      <w:pPr>
        <w:pStyle w:val="ListParagraph"/>
        <w:widowControl/>
        <w:numPr>
          <w:ilvl w:val="0"/>
          <w:numId w:val="30"/>
        </w:numPr>
        <w:rPr>
          <w:szCs w:val="22"/>
        </w:rPr>
      </w:pPr>
      <w:r w:rsidRPr="00452C00">
        <w:rPr>
          <w:szCs w:val="22"/>
        </w:rPr>
        <w:t>Years 0-2: data from the randomised controlled portions of the CAPACITY and ASCEND trials;</w:t>
      </w:r>
    </w:p>
    <w:p w:rsidR="00EE0989" w:rsidRPr="00452C00" w:rsidRDefault="00EE0989" w:rsidP="00EE0989">
      <w:pPr>
        <w:pStyle w:val="ListParagraph"/>
        <w:widowControl/>
        <w:numPr>
          <w:ilvl w:val="0"/>
          <w:numId w:val="30"/>
        </w:numPr>
        <w:rPr>
          <w:szCs w:val="22"/>
        </w:rPr>
      </w:pPr>
      <w:r w:rsidRPr="00452C00">
        <w:rPr>
          <w:szCs w:val="22"/>
        </w:rPr>
        <w:t xml:space="preserve">Years 2-6.2: data </w:t>
      </w:r>
      <w:r w:rsidR="00925B70" w:rsidRPr="00452C00">
        <w:rPr>
          <w:szCs w:val="22"/>
        </w:rPr>
        <w:t xml:space="preserve">from the RECAP long-term extension study for pirfenidone and </w:t>
      </w:r>
      <w:r w:rsidRPr="00452C00">
        <w:rPr>
          <w:szCs w:val="22"/>
        </w:rPr>
        <w:t xml:space="preserve">the Stand 2014 </w:t>
      </w:r>
      <w:r w:rsidR="00925B70" w:rsidRPr="00452C00">
        <w:rPr>
          <w:szCs w:val="22"/>
        </w:rPr>
        <w:t>registry for BSC</w:t>
      </w:r>
      <w:r w:rsidRPr="00452C00">
        <w:rPr>
          <w:szCs w:val="22"/>
        </w:rPr>
        <w:t>;</w:t>
      </w:r>
      <w:r w:rsidR="00925B70" w:rsidRPr="00452C00">
        <w:rPr>
          <w:szCs w:val="22"/>
        </w:rPr>
        <w:t xml:space="preserve"> and</w:t>
      </w:r>
    </w:p>
    <w:p w:rsidR="00925B70" w:rsidRPr="00452C00" w:rsidRDefault="00EE0989" w:rsidP="00EE0989">
      <w:pPr>
        <w:pStyle w:val="ListParagraph"/>
        <w:widowControl/>
        <w:numPr>
          <w:ilvl w:val="0"/>
          <w:numId w:val="30"/>
        </w:numPr>
        <w:rPr>
          <w:szCs w:val="22"/>
        </w:rPr>
      </w:pPr>
      <w:r w:rsidRPr="00452C00">
        <w:rPr>
          <w:szCs w:val="22"/>
        </w:rPr>
        <w:t>Y</w:t>
      </w:r>
      <w:r w:rsidR="00925B70" w:rsidRPr="00452C00">
        <w:rPr>
          <w:szCs w:val="22"/>
        </w:rPr>
        <w:t>ears 6.2-10</w:t>
      </w:r>
      <w:r w:rsidRPr="00452C00">
        <w:rPr>
          <w:szCs w:val="22"/>
        </w:rPr>
        <w:t>: a Weibull function was fitted to the Strand registry data and the resulting death rates were used for both pirfenidone and BSC</w:t>
      </w:r>
      <w:r w:rsidR="00925B70" w:rsidRPr="00452C00">
        <w:t>.</w:t>
      </w:r>
    </w:p>
    <w:p w:rsidR="00C61C28" w:rsidRPr="00452C00" w:rsidRDefault="00EE0989" w:rsidP="002349A1">
      <w:pPr>
        <w:pStyle w:val="ListParagraph"/>
        <w:widowControl/>
        <w:rPr>
          <w:szCs w:val="22"/>
        </w:rPr>
      </w:pPr>
      <w:r w:rsidRPr="00452C00">
        <w:rPr>
          <w:szCs w:val="22"/>
        </w:rPr>
        <w:t>The pre-PBAC response further noted that</w:t>
      </w:r>
      <w:r w:rsidR="00D7741A" w:rsidRPr="00452C00">
        <w:rPr>
          <w:szCs w:val="22"/>
        </w:rPr>
        <w:t xml:space="preserve"> </w:t>
      </w:r>
      <w:r w:rsidR="00717CE9" w:rsidRPr="00452C00">
        <w:rPr>
          <w:szCs w:val="22"/>
        </w:rPr>
        <w:t>o</w:t>
      </w:r>
      <w:r w:rsidR="00D7741A" w:rsidRPr="00452C00">
        <w:rPr>
          <w:szCs w:val="22"/>
        </w:rPr>
        <w:t xml:space="preserve">nly a third (36%) of the estimated </w:t>
      </w:r>
      <w:r w:rsidRPr="00452C00">
        <w:rPr>
          <w:szCs w:val="22"/>
        </w:rPr>
        <w:t>overall survival</w:t>
      </w:r>
      <w:r w:rsidR="002349A1">
        <w:rPr>
          <w:szCs w:val="22"/>
        </w:rPr>
        <w:t xml:space="preserve"> gain wa</w:t>
      </w:r>
      <w:r w:rsidR="00D7741A" w:rsidRPr="00452C00">
        <w:rPr>
          <w:szCs w:val="22"/>
        </w:rPr>
        <w:t xml:space="preserve">s from the </w:t>
      </w:r>
      <w:r w:rsidRPr="00452C00">
        <w:rPr>
          <w:szCs w:val="22"/>
        </w:rPr>
        <w:t>period</w:t>
      </w:r>
      <w:r w:rsidR="00D7741A" w:rsidRPr="00452C00">
        <w:rPr>
          <w:szCs w:val="22"/>
        </w:rPr>
        <w:t xml:space="preserve"> between 6.2 years and 10 years</w:t>
      </w:r>
      <w:r w:rsidRPr="00452C00">
        <w:rPr>
          <w:szCs w:val="22"/>
        </w:rPr>
        <w:t>, and that</w:t>
      </w:r>
      <w:r w:rsidR="00452C00" w:rsidRPr="00452C00">
        <w:rPr>
          <w:szCs w:val="22"/>
        </w:rPr>
        <w:t xml:space="preserve"> t</w:t>
      </w:r>
      <w:r w:rsidR="002349A1">
        <w:rPr>
          <w:szCs w:val="22"/>
        </w:rPr>
        <w:t>wo thirds wa</w:t>
      </w:r>
      <w:r w:rsidR="00D7741A" w:rsidRPr="00452C00">
        <w:rPr>
          <w:szCs w:val="22"/>
        </w:rPr>
        <w:t xml:space="preserve">s informed </w:t>
      </w:r>
      <w:r w:rsidR="00452C00" w:rsidRPr="00452C00">
        <w:rPr>
          <w:szCs w:val="22"/>
        </w:rPr>
        <w:t>by</w:t>
      </w:r>
      <w:r w:rsidR="00D7741A" w:rsidRPr="00452C00">
        <w:rPr>
          <w:szCs w:val="22"/>
        </w:rPr>
        <w:t xml:space="preserve"> the best available long-term data fo</w:t>
      </w:r>
      <w:r w:rsidR="00452C00" w:rsidRPr="00452C00">
        <w:rPr>
          <w:szCs w:val="22"/>
        </w:rPr>
        <w:t>r both pirfenidone and BSC.</w:t>
      </w:r>
    </w:p>
    <w:p w:rsidR="00C61C28" w:rsidRPr="00935D7C" w:rsidRDefault="00C61C28" w:rsidP="00C61C28">
      <w:pPr>
        <w:pStyle w:val="ListParagraph"/>
        <w:widowControl/>
        <w:rPr>
          <w:szCs w:val="22"/>
        </w:rPr>
      </w:pPr>
    </w:p>
    <w:p w:rsidR="00290C20" w:rsidRPr="00A41F95" w:rsidRDefault="00290C20" w:rsidP="00A41F95">
      <w:pPr>
        <w:pStyle w:val="ListParagraph"/>
        <w:widowControl/>
        <w:numPr>
          <w:ilvl w:val="1"/>
          <w:numId w:val="2"/>
        </w:numPr>
        <w:rPr>
          <w:szCs w:val="22"/>
        </w:rPr>
      </w:pPr>
      <w:r w:rsidRPr="00935D7C">
        <w:rPr>
          <w:szCs w:val="22"/>
        </w:rPr>
        <w:t xml:space="preserve">The ESC noted the larger incremental survival benefit modelled, compared </w:t>
      </w:r>
      <w:r w:rsidR="00A41F95">
        <w:rPr>
          <w:szCs w:val="22"/>
        </w:rPr>
        <w:t>with progression free survival (</w:t>
      </w:r>
      <w:r w:rsidRPr="00935D7C">
        <w:rPr>
          <w:szCs w:val="22"/>
        </w:rPr>
        <w:t>as represented by the respective areas between the p</w:t>
      </w:r>
      <w:r w:rsidR="00F1224C">
        <w:rPr>
          <w:szCs w:val="22"/>
        </w:rPr>
        <w:t>irfenidone and BSC curves in</w:t>
      </w:r>
      <w:r w:rsidRPr="00935D7C">
        <w:rPr>
          <w:szCs w:val="22"/>
        </w:rPr>
        <w:t xml:space="preserve"> Figure </w:t>
      </w:r>
      <w:r w:rsidR="00F1224C">
        <w:rPr>
          <w:szCs w:val="22"/>
        </w:rPr>
        <w:t>1</w:t>
      </w:r>
      <w:r w:rsidR="00A41F95">
        <w:rPr>
          <w:szCs w:val="22"/>
        </w:rPr>
        <w:t>)</w:t>
      </w:r>
      <w:r w:rsidRPr="00935D7C">
        <w:rPr>
          <w:szCs w:val="22"/>
        </w:rPr>
        <w:t xml:space="preserve"> and expressed concern that the modelled </w:t>
      </w:r>
      <w:r w:rsidRPr="00A41F95">
        <w:rPr>
          <w:szCs w:val="22"/>
        </w:rPr>
        <w:t xml:space="preserve">survival appeared unrealistic. </w:t>
      </w:r>
      <w:r w:rsidR="00C2407F" w:rsidRPr="00A41F95">
        <w:rPr>
          <w:szCs w:val="22"/>
        </w:rPr>
        <w:t>The ESC considered this may be due to a healthy cohort bias due to the use of registry data in informing the extrapolations of survival in the pirfenidone model.</w:t>
      </w:r>
      <w:r w:rsidR="006220D2" w:rsidRPr="00A41F95">
        <w:rPr>
          <w:szCs w:val="22"/>
        </w:rPr>
        <w:t xml:space="preserve"> The pre-PBAC response (p2) stated that the larger incremental survival benefit modelled “is explained by the disease characteristics of IPF and the fac</w:t>
      </w:r>
      <w:r w:rsidR="003177C3" w:rsidRPr="00A41F95">
        <w:rPr>
          <w:szCs w:val="22"/>
        </w:rPr>
        <w:t>t</w:t>
      </w:r>
      <w:r w:rsidR="006220D2" w:rsidRPr="00A41F95">
        <w:rPr>
          <w:szCs w:val="22"/>
        </w:rPr>
        <w:t xml:space="preserve"> that, unlike oncology, progression does not indicate treatment failure. … The submission does not claim that PFS is a surrogate for OS or that treatment effect is dependent of PFS. It is therefore not implausible that more incremental survival is gained in progressive disease than in PFS. Advisory Board feedback of 7 clinicians confirmed that the modelled survival curves are an appropriate representation of PFS and OS associated with pirfenidone + BSC and BSC alone in patients with mild to moderate IPF in Australian clinical practice.”</w:t>
      </w:r>
    </w:p>
    <w:p w:rsidR="00290C20" w:rsidRPr="007C13C1" w:rsidRDefault="00290C20" w:rsidP="002F6883">
      <w:pPr>
        <w:widowControl/>
        <w:rPr>
          <w:szCs w:val="22"/>
        </w:rPr>
      </w:pPr>
    </w:p>
    <w:p w:rsidR="00290C20" w:rsidRPr="003177C3" w:rsidRDefault="00290C20" w:rsidP="002F6883">
      <w:pPr>
        <w:keepNext/>
        <w:widowControl/>
        <w:ind w:firstLine="720"/>
        <w:rPr>
          <w:rStyle w:val="CommentReference"/>
        </w:rPr>
      </w:pPr>
      <w:r w:rsidRPr="003177C3">
        <w:rPr>
          <w:rStyle w:val="CommentReference"/>
        </w:rPr>
        <w:lastRenderedPageBreak/>
        <w:t xml:space="preserve">Figure </w:t>
      </w:r>
      <w:r w:rsidR="00F1224C">
        <w:rPr>
          <w:rStyle w:val="CommentReference"/>
        </w:rPr>
        <w:t>1</w:t>
      </w:r>
      <w:r w:rsidRPr="003177C3">
        <w:rPr>
          <w:rStyle w:val="CommentReference"/>
        </w:rPr>
        <w:t>: Overall survival and progression free survival in the economic evaluation</w:t>
      </w:r>
    </w:p>
    <w:p w:rsidR="00290C20" w:rsidRPr="00290C20" w:rsidRDefault="00F60B7B" w:rsidP="002F6883">
      <w:pPr>
        <w:keepNext/>
        <w:widowControl/>
        <w:ind w:firstLine="720"/>
        <w:rPr>
          <w:rStyle w:val="CommentReference"/>
          <w:i/>
        </w:rPr>
      </w:pPr>
      <w:r>
        <w:rPr>
          <w:rFonts w:ascii="Arial Narrow" w:hAnsi="Arial Narrow"/>
          <w:b/>
          <w:i/>
          <w:noProof/>
          <w:snapToGrid/>
          <w:sz w:val="20"/>
          <w:szCs w:val="16"/>
          <w:lang w:eastAsia="en-AU"/>
        </w:rPr>
        <w:drawing>
          <wp:inline distT="0" distB="0" distL="0" distR="0" wp14:anchorId="5FEFCD19" wp14:editId="0D9C33A4">
            <wp:extent cx="5289550" cy="3114040"/>
            <wp:effectExtent l="0" t="0" r="6350" b="0"/>
            <wp:docPr id="1" name="Picture 1" descr="Figure 1: Overall survival and progression free survival in the economic evaluation" title="Figure 1: Overall survival and progression free survival in the economic evalu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89550" cy="3114040"/>
                    </a:xfrm>
                    <a:prstGeom prst="rect">
                      <a:avLst/>
                    </a:prstGeom>
                  </pic:spPr>
                </pic:pic>
              </a:graphicData>
            </a:graphic>
          </wp:inline>
        </w:drawing>
      </w:r>
    </w:p>
    <w:p w:rsidR="00290C20" w:rsidRPr="00290C20" w:rsidRDefault="00290C20" w:rsidP="002F6883">
      <w:pPr>
        <w:pStyle w:val="TableNotes"/>
        <w:tabs>
          <w:tab w:val="clear" w:pos="1134"/>
          <w:tab w:val="left" w:pos="709"/>
        </w:tabs>
        <w:spacing w:after="0"/>
        <w:ind w:left="709" w:firstLine="0"/>
        <w:rPr>
          <w:rFonts w:ascii="Arial Narrow" w:hAnsi="Arial Narrow"/>
          <w:i/>
        </w:rPr>
      </w:pPr>
      <w:r w:rsidRPr="00290C20">
        <w:rPr>
          <w:rFonts w:ascii="Arial Narrow" w:hAnsi="Arial Narrow"/>
          <w:i/>
        </w:rPr>
        <w:t>Source: “Updated Economic Evaluation Major Resubmission.xlsx” OS = overall survival; PFS = progression free survival</w:t>
      </w:r>
    </w:p>
    <w:p w:rsidR="00290C20" w:rsidRDefault="00290C20" w:rsidP="002F6883">
      <w:pPr>
        <w:widowControl/>
        <w:rPr>
          <w:szCs w:val="22"/>
        </w:rPr>
      </w:pPr>
    </w:p>
    <w:p w:rsidR="00FD192A" w:rsidRPr="00D326CB" w:rsidRDefault="00FD192A" w:rsidP="00FD192A">
      <w:pPr>
        <w:widowControl/>
        <w:numPr>
          <w:ilvl w:val="1"/>
          <w:numId w:val="2"/>
        </w:numPr>
        <w:contextualSpacing/>
        <w:rPr>
          <w:bCs/>
          <w:szCs w:val="22"/>
          <w:lang w:val="en-GB"/>
        </w:rPr>
      </w:pPr>
      <w:r w:rsidRPr="00D326CB">
        <w:rPr>
          <w:bCs/>
          <w:szCs w:val="22"/>
          <w:lang w:val="en-GB"/>
        </w:rPr>
        <w:t>The PBAC noted that while the modelled time horizon was truncated to 10 years, the differences in extrapolated PFS and OS did not converge until 20 years. The PBAC considered that this approach may have overestimated the incremental benefit in OS</w:t>
      </w:r>
      <w:r w:rsidR="00162E60" w:rsidRPr="00D326CB">
        <w:rPr>
          <w:bCs/>
          <w:szCs w:val="22"/>
          <w:lang w:val="en-GB"/>
        </w:rPr>
        <w:t xml:space="preserve"> associated with treatment with pirfenidone compared with BSC</w:t>
      </w:r>
      <w:r w:rsidR="007C13C1">
        <w:rPr>
          <w:bCs/>
          <w:szCs w:val="22"/>
          <w:lang w:val="en-GB"/>
        </w:rPr>
        <w:t>.</w:t>
      </w:r>
    </w:p>
    <w:p w:rsidR="00FD192A" w:rsidRPr="00D326CB" w:rsidRDefault="00FD192A" w:rsidP="007C13C1">
      <w:pPr>
        <w:widowControl/>
        <w:contextualSpacing/>
        <w:rPr>
          <w:bCs/>
          <w:szCs w:val="22"/>
          <w:lang w:val="en-GB"/>
        </w:rPr>
      </w:pPr>
    </w:p>
    <w:p w:rsidR="007C1D36" w:rsidRDefault="007E7848" w:rsidP="00F474AB">
      <w:pPr>
        <w:widowControl/>
        <w:numPr>
          <w:ilvl w:val="1"/>
          <w:numId w:val="2"/>
        </w:numPr>
        <w:contextualSpacing/>
        <w:rPr>
          <w:bCs/>
          <w:szCs w:val="22"/>
          <w:lang w:val="en-GB"/>
        </w:rPr>
      </w:pPr>
      <w:r w:rsidRPr="00D326CB">
        <w:t xml:space="preserve">The </w:t>
      </w:r>
      <w:r w:rsidR="00FD192A" w:rsidRPr="00D326CB">
        <w:t xml:space="preserve">ESC </w:t>
      </w:r>
      <w:r w:rsidRPr="00D326CB">
        <w:t>noted the challenges of making comparisons across the nintedanib and pirfenidone submissions for IPF given that the two submissions adopted distinct modelling approaches.</w:t>
      </w:r>
    </w:p>
    <w:p w:rsidR="007E7848" w:rsidRPr="00720288" w:rsidRDefault="007E7848" w:rsidP="007C1D36">
      <w:pPr>
        <w:widowControl/>
        <w:contextualSpacing/>
        <w:rPr>
          <w:szCs w:val="22"/>
        </w:rPr>
      </w:pPr>
    </w:p>
    <w:p w:rsidR="00C25D9C" w:rsidRPr="001C41DE" w:rsidRDefault="007D6C77" w:rsidP="002F6883">
      <w:pPr>
        <w:pStyle w:val="Heading2"/>
        <w:keepNext/>
      </w:pPr>
      <w:bookmarkStart w:id="14" w:name="_Toc461547433"/>
      <w:r w:rsidRPr="001C41DE">
        <w:t>Drug cost/patien</w:t>
      </w:r>
      <w:r w:rsidR="00DD1BEC" w:rsidRPr="001C41DE">
        <w:t>t</w:t>
      </w:r>
      <w:r w:rsidRPr="001C41DE">
        <w:t>/year</w:t>
      </w:r>
      <w:r w:rsidR="00C25D9C" w:rsidRPr="001C41DE">
        <w:t xml:space="preserve">: </w:t>
      </w:r>
      <w:r w:rsidR="00267AA7" w:rsidRPr="001C41DE">
        <w:t>$</w:t>
      </w:r>
      <w:bookmarkEnd w:id="14"/>
      <w:r w:rsidR="00F60B7B">
        <w:rPr>
          <w:noProof/>
          <w:color w:val="000000"/>
          <w:highlight w:val="black"/>
        </w:rPr>
        <w:t>''''''''''''</w:t>
      </w:r>
    </w:p>
    <w:p w:rsidR="00C25D9C" w:rsidRPr="00720288" w:rsidRDefault="00C25D9C" w:rsidP="002F6883">
      <w:pPr>
        <w:keepNext/>
        <w:widowControl/>
        <w:rPr>
          <w:szCs w:val="22"/>
        </w:rPr>
      </w:pPr>
    </w:p>
    <w:p w:rsidR="00267AA7" w:rsidRPr="00720288" w:rsidRDefault="00267AA7" w:rsidP="002F6883">
      <w:pPr>
        <w:pStyle w:val="ListParagraph"/>
        <w:widowControl/>
        <w:numPr>
          <w:ilvl w:val="1"/>
          <w:numId w:val="2"/>
        </w:numPr>
        <w:rPr>
          <w:szCs w:val="22"/>
        </w:rPr>
      </w:pPr>
      <w:r w:rsidRPr="00720288">
        <w:rPr>
          <w:szCs w:val="22"/>
        </w:rPr>
        <w:t xml:space="preserve">As in the March 2016 resubmission, the current resubmission estimated patients would receive </w:t>
      </w:r>
      <w:r w:rsidR="00F60B7B">
        <w:rPr>
          <w:noProof/>
          <w:color w:val="000000"/>
          <w:szCs w:val="22"/>
          <w:highlight w:val="black"/>
        </w:rPr>
        <w:t>''''''''''''''</w:t>
      </w:r>
      <w:r w:rsidRPr="00720288">
        <w:rPr>
          <w:szCs w:val="22"/>
        </w:rPr>
        <w:t xml:space="preserve"> scripts per year. Using the weighted DPMQ of $</w:t>
      </w:r>
      <w:r w:rsidR="00F60B7B">
        <w:rPr>
          <w:noProof/>
          <w:color w:val="000000"/>
          <w:szCs w:val="22"/>
          <w:highlight w:val="black"/>
        </w:rPr>
        <w:t>''''''''''''''''''''</w:t>
      </w:r>
      <w:r w:rsidRPr="00720288">
        <w:rPr>
          <w:szCs w:val="22"/>
        </w:rPr>
        <w:t>, the drug cost per patient per year was estimated t</w:t>
      </w:r>
      <w:r w:rsidR="008B1A1C">
        <w:rPr>
          <w:szCs w:val="22"/>
        </w:rPr>
        <w:t>o be $</w:t>
      </w:r>
      <w:r w:rsidR="00F60B7B">
        <w:rPr>
          <w:noProof/>
          <w:color w:val="000000"/>
          <w:szCs w:val="22"/>
          <w:highlight w:val="black"/>
        </w:rPr>
        <w:t>''''''''''''''''''''''''</w:t>
      </w:r>
      <w:r w:rsidR="008B1A1C">
        <w:rPr>
          <w:szCs w:val="22"/>
        </w:rPr>
        <w:t>.</w:t>
      </w:r>
    </w:p>
    <w:p w:rsidR="00B60939" w:rsidRPr="00720288" w:rsidRDefault="00B60939" w:rsidP="002F6883">
      <w:pPr>
        <w:widowControl/>
        <w:rPr>
          <w:szCs w:val="22"/>
        </w:rPr>
      </w:pPr>
    </w:p>
    <w:p w:rsidR="00B60939" w:rsidRPr="00720288" w:rsidRDefault="00B60939" w:rsidP="002F6883">
      <w:pPr>
        <w:pStyle w:val="Heading2"/>
      </w:pPr>
      <w:bookmarkStart w:id="15" w:name="_Toc461547434"/>
      <w:r w:rsidRPr="00720288">
        <w:t>Estimated PBS usage &amp; financial implications</w:t>
      </w:r>
      <w:bookmarkEnd w:id="15"/>
    </w:p>
    <w:p w:rsidR="00B60939" w:rsidRPr="00882085" w:rsidRDefault="00B60939" w:rsidP="002F6883">
      <w:pPr>
        <w:keepNext/>
        <w:widowControl/>
      </w:pPr>
    </w:p>
    <w:p w:rsidR="00DA0F96" w:rsidRPr="007C13C1" w:rsidRDefault="005F045D" w:rsidP="0009372D">
      <w:pPr>
        <w:pStyle w:val="ListParagraph"/>
        <w:widowControl/>
        <w:numPr>
          <w:ilvl w:val="1"/>
          <w:numId w:val="2"/>
        </w:numPr>
      </w:pPr>
      <w:r w:rsidRPr="00B8684A">
        <w:t xml:space="preserve">This resubmission </w:t>
      </w:r>
      <w:r w:rsidR="00AA22E8" w:rsidRPr="00B8684A">
        <w:t xml:space="preserve">was </w:t>
      </w:r>
      <w:r w:rsidRPr="00B8684A">
        <w:t>considered by DUSC. The current resubmission followed the same general approach to estimating use</w:t>
      </w:r>
      <w:r w:rsidR="00C56ADC">
        <w:t xml:space="preserve"> as the previous submissions</w:t>
      </w:r>
      <w:r w:rsidRPr="00B8684A">
        <w:t xml:space="preserve">, with the following change: instead of patients treated per year, the resubmission calculated pirfenidone treatment quarters and divided the number of treatment quarters by </w:t>
      </w:r>
      <w:r w:rsidR="00917D89" w:rsidRPr="00B8684A">
        <w:t>four</w:t>
      </w:r>
      <w:r w:rsidRPr="00B8684A">
        <w:t xml:space="preserve"> to estimate the number of patient treatment years in each year of listing. </w:t>
      </w:r>
      <w:r w:rsidR="00917D89" w:rsidRPr="00B8684A">
        <w:t>DUSC considered that the approach to the financial estimates was complex and not fully transparent, as the independent contribution of deaths and discontinuations to the retention rate could not be determined. While DUSC identified some issues in the derivation of the patient estimates in relation to the application of treatment discontinuations, DUSC noted that the patient treatment years in the resubmission did not greatly differ from the estimated number of patients treated in the March 2016 submission.</w:t>
      </w:r>
    </w:p>
    <w:p w:rsidR="005F045D" w:rsidRPr="007C13C1" w:rsidRDefault="005F045D" w:rsidP="002F6883">
      <w:pPr>
        <w:widowControl/>
      </w:pPr>
    </w:p>
    <w:p w:rsidR="005F045D" w:rsidRPr="007D6C77" w:rsidRDefault="005F045D" w:rsidP="00211398">
      <w:pPr>
        <w:pStyle w:val="ListParagraph"/>
        <w:numPr>
          <w:ilvl w:val="1"/>
          <w:numId w:val="2"/>
        </w:numPr>
      </w:pPr>
      <w:r w:rsidRPr="007D6C77">
        <w:t>Table 1</w:t>
      </w:r>
      <w:r w:rsidR="00F1224C">
        <w:t>1</w:t>
      </w:r>
      <w:r w:rsidRPr="007D6C77">
        <w:t xml:space="preserve"> presents the estimated use and financial implications</w:t>
      </w:r>
      <w:r>
        <w:t>.</w:t>
      </w:r>
      <w:r w:rsidR="003809CC">
        <w:t xml:space="preserve"> The redacted table below shows that at year 5 the estimated number of patients was less than 10,000 per year </w:t>
      </w:r>
      <w:r w:rsidR="00CB4B64">
        <w:t xml:space="preserve">and </w:t>
      </w:r>
      <w:r w:rsidR="00CB4B64" w:rsidRPr="00211398">
        <w:t>annual</w:t>
      </w:r>
      <w:r w:rsidR="00211398" w:rsidRPr="00211398">
        <w:t xml:space="preserve"> subsidisation caps limiting PBS expenditure to $</w:t>
      </w:r>
      <w:r w:rsidR="003432BC">
        <w:rPr>
          <w:noProof/>
          <w:color w:val="000000"/>
          <w:highlight w:val="black"/>
        </w:rPr>
        <w:t>''''' '' '''''''''''''</w:t>
      </w:r>
      <w:r w:rsidR="00211398" w:rsidRPr="00211398">
        <w:t xml:space="preserve"> million over</w:t>
      </w:r>
      <w:r w:rsidR="00211398">
        <w:t xml:space="preserve"> the</w:t>
      </w:r>
      <w:r w:rsidR="00211398" w:rsidRPr="00211398">
        <w:t xml:space="preserve"> five years.</w:t>
      </w:r>
    </w:p>
    <w:p w:rsidR="005F045D" w:rsidRDefault="005F045D" w:rsidP="002F6883">
      <w:pPr>
        <w:widowControl/>
        <w:rPr>
          <w:szCs w:val="22"/>
        </w:rPr>
      </w:pPr>
    </w:p>
    <w:p w:rsidR="005F045D" w:rsidRDefault="005F045D" w:rsidP="002F6883">
      <w:pPr>
        <w:keepNext/>
        <w:widowControl/>
        <w:ind w:firstLine="706"/>
        <w:rPr>
          <w:rStyle w:val="CommentReference"/>
        </w:rPr>
      </w:pPr>
      <w:r w:rsidRPr="001222FC">
        <w:rPr>
          <w:rStyle w:val="CommentReference"/>
        </w:rPr>
        <w:t xml:space="preserve">Table </w:t>
      </w:r>
      <w:r>
        <w:rPr>
          <w:rStyle w:val="CommentReference"/>
        </w:rPr>
        <w:t>1</w:t>
      </w:r>
      <w:r w:rsidR="00F1224C">
        <w:rPr>
          <w:rStyle w:val="CommentReference"/>
        </w:rPr>
        <w:t>1</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8"/>
        <w:gridCol w:w="1124"/>
        <w:gridCol w:w="1122"/>
        <w:gridCol w:w="1122"/>
        <w:gridCol w:w="1122"/>
        <w:gridCol w:w="1168"/>
      </w:tblGrid>
      <w:tr w:rsidR="005F045D" w:rsidRPr="002B2E9D" w:rsidTr="00015AEA">
        <w:trPr>
          <w:tblHeader/>
        </w:trPr>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b/>
                <w:sz w:val="20"/>
              </w:rPr>
            </w:pPr>
          </w:p>
        </w:tc>
        <w:tc>
          <w:tcPr>
            <w:tcW w:w="673" w:type="pct"/>
            <w:shd w:val="clear" w:color="auto" w:fill="auto"/>
            <w:vAlign w:val="center"/>
          </w:tcPr>
          <w:p w:rsidR="005F045D" w:rsidRPr="005C6ED3" w:rsidRDefault="005F045D" w:rsidP="002F6883">
            <w:pPr>
              <w:keepNext/>
              <w:widowControl/>
              <w:jc w:val="center"/>
              <w:rPr>
                <w:rFonts w:ascii="Arial Narrow" w:hAnsi="Arial Narrow"/>
                <w:b/>
                <w:sz w:val="20"/>
              </w:rPr>
            </w:pPr>
            <w:r w:rsidRPr="005C6ED3">
              <w:rPr>
                <w:rFonts w:ascii="Arial Narrow" w:hAnsi="Arial Narrow"/>
                <w:b/>
                <w:sz w:val="20"/>
              </w:rPr>
              <w:t>Year 1</w:t>
            </w:r>
          </w:p>
        </w:tc>
        <w:tc>
          <w:tcPr>
            <w:tcW w:w="672" w:type="pct"/>
            <w:shd w:val="clear" w:color="auto" w:fill="auto"/>
            <w:vAlign w:val="center"/>
          </w:tcPr>
          <w:p w:rsidR="005F045D" w:rsidRPr="005C6ED3" w:rsidRDefault="005F045D" w:rsidP="002F6883">
            <w:pPr>
              <w:keepNext/>
              <w:widowControl/>
              <w:jc w:val="center"/>
              <w:rPr>
                <w:rFonts w:ascii="Arial Narrow" w:hAnsi="Arial Narrow"/>
                <w:b/>
                <w:sz w:val="20"/>
              </w:rPr>
            </w:pPr>
            <w:r w:rsidRPr="005C6ED3">
              <w:rPr>
                <w:rFonts w:ascii="Arial Narrow" w:hAnsi="Arial Narrow"/>
                <w:b/>
                <w:sz w:val="20"/>
              </w:rPr>
              <w:t>Year 2</w:t>
            </w:r>
          </w:p>
        </w:tc>
        <w:tc>
          <w:tcPr>
            <w:tcW w:w="672" w:type="pct"/>
            <w:shd w:val="clear" w:color="auto" w:fill="auto"/>
            <w:vAlign w:val="center"/>
          </w:tcPr>
          <w:p w:rsidR="005F045D" w:rsidRPr="005C6ED3" w:rsidRDefault="005F045D" w:rsidP="002F6883">
            <w:pPr>
              <w:keepNext/>
              <w:widowControl/>
              <w:jc w:val="center"/>
              <w:rPr>
                <w:rFonts w:ascii="Arial Narrow" w:hAnsi="Arial Narrow"/>
                <w:b/>
                <w:sz w:val="20"/>
              </w:rPr>
            </w:pPr>
            <w:r w:rsidRPr="005C6ED3">
              <w:rPr>
                <w:rFonts w:ascii="Arial Narrow" w:hAnsi="Arial Narrow"/>
                <w:b/>
                <w:sz w:val="20"/>
              </w:rPr>
              <w:t>Year 3</w:t>
            </w:r>
          </w:p>
        </w:tc>
        <w:tc>
          <w:tcPr>
            <w:tcW w:w="672" w:type="pct"/>
            <w:shd w:val="clear" w:color="auto" w:fill="auto"/>
            <w:vAlign w:val="center"/>
          </w:tcPr>
          <w:p w:rsidR="005F045D" w:rsidRPr="005C6ED3" w:rsidRDefault="005F045D" w:rsidP="002F6883">
            <w:pPr>
              <w:keepNext/>
              <w:widowControl/>
              <w:jc w:val="center"/>
              <w:rPr>
                <w:rFonts w:ascii="Arial Narrow" w:hAnsi="Arial Narrow"/>
                <w:b/>
                <w:sz w:val="20"/>
              </w:rPr>
            </w:pPr>
            <w:r w:rsidRPr="005C6ED3">
              <w:rPr>
                <w:rFonts w:ascii="Arial Narrow" w:hAnsi="Arial Narrow"/>
                <w:b/>
                <w:sz w:val="20"/>
              </w:rPr>
              <w:t>Year 4</w:t>
            </w:r>
          </w:p>
        </w:tc>
        <w:tc>
          <w:tcPr>
            <w:tcW w:w="700" w:type="pct"/>
            <w:shd w:val="clear" w:color="auto" w:fill="auto"/>
            <w:vAlign w:val="center"/>
          </w:tcPr>
          <w:p w:rsidR="005F045D" w:rsidRPr="005C6ED3" w:rsidRDefault="005F045D" w:rsidP="002F6883">
            <w:pPr>
              <w:keepNext/>
              <w:widowControl/>
              <w:jc w:val="center"/>
              <w:rPr>
                <w:rFonts w:ascii="Arial Narrow" w:hAnsi="Arial Narrow"/>
                <w:b/>
                <w:sz w:val="20"/>
              </w:rPr>
            </w:pPr>
            <w:r w:rsidRPr="005C6ED3">
              <w:rPr>
                <w:rFonts w:ascii="Arial Narrow" w:hAnsi="Arial Narrow"/>
                <w:b/>
                <w:sz w:val="20"/>
              </w:rPr>
              <w:t>Year 5</w:t>
            </w:r>
          </w:p>
        </w:tc>
      </w:tr>
      <w:tr w:rsidR="005F045D" w:rsidRPr="002B2E9D" w:rsidTr="00015AEA">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sidRPr="005C6ED3">
              <w:rPr>
                <w:rFonts w:ascii="Arial Narrow" w:hAnsi="Arial Narrow"/>
                <w:sz w:val="20"/>
              </w:rPr>
              <w:t>Incident IPF population</w:t>
            </w:r>
          </w:p>
        </w:tc>
        <w:tc>
          <w:tcPr>
            <w:tcW w:w="673" w:type="pct"/>
            <w:shd w:val="clear" w:color="auto" w:fill="auto"/>
            <w:vAlign w:val="center"/>
          </w:tcPr>
          <w:p w:rsidR="005F045D" w:rsidRPr="00F60B7B" w:rsidRDefault="00F60B7B" w:rsidP="002F6883">
            <w:pPr>
              <w:keepNext/>
              <w:widowControl/>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700" w:type="pct"/>
            <w:shd w:val="clear" w:color="auto" w:fill="auto"/>
            <w:vAlign w:val="center"/>
          </w:tcPr>
          <w:p w:rsidR="005F045D" w:rsidRPr="00F60B7B" w:rsidRDefault="00F60B7B" w:rsidP="002F6883">
            <w:pPr>
              <w:keepNext/>
              <w:widowControl/>
              <w:jc w:val="center"/>
              <w:rPr>
                <w:rFonts w:ascii="Arial Narrow" w:hAnsi="Arial Narrow"/>
                <w:color w:val="000000"/>
                <w:sz w:val="20"/>
                <w:highlight w:val="black"/>
              </w:rPr>
            </w:pPr>
            <w:r>
              <w:rPr>
                <w:rFonts w:ascii="Arial Narrow" w:hAnsi="Arial Narrow"/>
                <w:bCs/>
                <w:noProof/>
                <w:color w:val="000000"/>
                <w:sz w:val="20"/>
                <w:highlight w:val="black"/>
              </w:rPr>
              <w:t>'''''''''''''</w:t>
            </w:r>
          </w:p>
        </w:tc>
      </w:tr>
      <w:tr w:rsidR="006220D2" w:rsidRPr="002B2E9D" w:rsidTr="00015AEA">
        <w:tc>
          <w:tcPr>
            <w:tcW w:w="1610" w:type="pct"/>
            <w:shd w:val="clear" w:color="auto" w:fill="auto"/>
            <w:vAlign w:val="center"/>
          </w:tcPr>
          <w:p w:rsidR="006220D2" w:rsidRDefault="006220D2" w:rsidP="002F6883">
            <w:pPr>
              <w:keepNext/>
              <w:widowControl/>
              <w:tabs>
                <w:tab w:val="left" w:pos="142"/>
              </w:tabs>
              <w:jc w:val="left"/>
              <w:rPr>
                <w:rFonts w:ascii="Arial Narrow" w:hAnsi="Arial Narrow"/>
                <w:sz w:val="20"/>
              </w:rPr>
            </w:pPr>
            <w:r w:rsidRPr="008B44A3">
              <w:rPr>
                <w:rFonts w:ascii="Arial Narrow" w:hAnsi="Arial Narrow"/>
                <w:sz w:val="20"/>
              </w:rPr>
              <w:t>Eligible incident population</w:t>
            </w:r>
          </w:p>
        </w:tc>
        <w:tc>
          <w:tcPr>
            <w:tcW w:w="673"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00"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5F045D" w:rsidRPr="002B2E9D" w:rsidTr="00015AEA">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Pr>
                <w:rFonts w:ascii="Arial Narrow" w:hAnsi="Arial Narrow"/>
                <w:sz w:val="20"/>
              </w:rPr>
              <w:t>Patient treatment years</w:t>
            </w:r>
          </w:p>
        </w:tc>
        <w:tc>
          <w:tcPr>
            <w:tcW w:w="673"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00"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6220D2" w:rsidRPr="002B2E9D" w:rsidTr="00015AEA">
        <w:tc>
          <w:tcPr>
            <w:tcW w:w="1610" w:type="pct"/>
            <w:shd w:val="clear" w:color="auto" w:fill="auto"/>
            <w:vAlign w:val="center"/>
          </w:tcPr>
          <w:p w:rsidR="006220D2" w:rsidRPr="005C6ED3" w:rsidRDefault="006220D2" w:rsidP="002F6883">
            <w:pPr>
              <w:keepNext/>
              <w:widowControl/>
              <w:tabs>
                <w:tab w:val="left" w:pos="142"/>
              </w:tabs>
              <w:jc w:val="left"/>
              <w:rPr>
                <w:rFonts w:ascii="Arial Narrow" w:hAnsi="Arial Narrow"/>
                <w:sz w:val="20"/>
              </w:rPr>
            </w:pPr>
            <w:r w:rsidRPr="008B44A3">
              <w:rPr>
                <w:rFonts w:ascii="Arial Narrow" w:hAnsi="Arial Narrow"/>
                <w:sz w:val="20"/>
              </w:rPr>
              <w:t>Total number of treated patients</w:t>
            </w:r>
          </w:p>
        </w:tc>
        <w:tc>
          <w:tcPr>
            <w:tcW w:w="673"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00" w:type="pct"/>
            <w:shd w:val="clear" w:color="auto" w:fill="auto"/>
            <w:vAlign w:val="center"/>
          </w:tcPr>
          <w:p w:rsidR="006220D2"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5F045D" w:rsidRPr="002B2E9D" w:rsidTr="00015AEA">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sidRPr="005C6ED3">
              <w:rPr>
                <w:rFonts w:ascii="Arial Narrow" w:hAnsi="Arial Narrow"/>
                <w:sz w:val="20"/>
              </w:rPr>
              <w:t>Patients treated with pirfenidone</w:t>
            </w:r>
            <w:r>
              <w:rPr>
                <w:rFonts w:ascii="Arial Narrow" w:hAnsi="Arial Narrow"/>
                <w:sz w:val="20"/>
              </w:rPr>
              <w:t xml:space="preserve"> (March 2016)</w:t>
            </w:r>
          </w:p>
        </w:tc>
        <w:tc>
          <w:tcPr>
            <w:tcW w:w="673"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00" w:type="pct"/>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r>
      <w:tr w:rsidR="005F045D" w:rsidRPr="002B2E9D" w:rsidTr="00015AEA">
        <w:tc>
          <w:tcPr>
            <w:tcW w:w="1610" w:type="pct"/>
            <w:tcBorders>
              <w:bottom w:val="single" w:sz="4" w:space="0" w:color="auto"/>
            </w:tcBorders>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sidRPr="00DC2284">
              <w:rPr>
                <w:rFonts w:ascii="Arial Narrow" w:hAnsi="Arial Narrow"/>
                <w:sz w:val="20"/>
                <w:lang w:eastAsia="en-AU"/>
              </w:rPr>
              <w:t xml:space="preserve">Pirfenidone packs </w:t>
            </w:r>
            <w:r>
              <w:rPr>
                <w:rFonts w:ascii="Arial Narrow" w:hAnsi="Arial Narrow"/>
                <w:sz w:val="20"/>
                <w:lang w:eastAsia="en-AU"/>
              </w:rPr>
              <w:t>dispensed by PBS/RPBS</w:t>
            </w:r>
            <w:r w:rsidR="0009372D">
              <w:rPr>
                <w:rFonts w:ascii="Arial Narrow" w:hAnsi="Arial Narrow"/>
                <w:sz w:val="20"/>
                <w:lang w:eastAsia="en-AU"/>
              </w:rPr>
              <w:t xml:space="preserve"> </w:t>
            </w:r>
            <w:r w:rsidRPr="00DC2284">
              <w:rPr>
                <w:rFonts w:ascii="Arial Narrow" w:hAnsi="Arial Narrow"/>
                <w:sz w:val="20"/>
                <w:lang w:eastAsia="en-AU"/>
              </w:rPr>
              <w:t>(10.66 packs per patient per year)</w:t>
            </w:r>
          </w:p>
        </w:tc>
        <w:tc>
          <w:tcPr>
            <w:tcW w:w="673" w:type="pct"/>
            <w:tcBorders>
              <w:bottom w:val="single" w:sz="4" w:space="0" w:color="auto"/>
            </w:tcBorders>
            <w:shd w:val="clear" w:color="auto" w:fill="auto"/>
            <w:vAlign w:val="center"/>
          </w:tcPr>
          <w:p w:rsidR="005F045D" w:rsidRPr="00F60B7B" w:rsidRDefault="00F60B7B" w:rsidP="002F6883">
            <w:pPr>
              <w:keepNext/>
              <w:widowControl/>
              <w:jc w:val="center"/>
              <w:rPr>
                <w:rFonts w:ascii="Arial Narrow" w:hAnsi="Arial Narrow" w:cs="Calibri"/>
                <w:sz w:val="20"/>
                <w:highlight w:val="black"/>
              </w:rPr>
            </w:pPr>
            <w:r>
              <w:rPr>
                <w:rFonts w:ascii="Arial Narrow" w:hAnsi="Arial Narrow" w:cs="Calibri"/>
                <w:noProof/>
                <w:color w:val="000000"/>
                <w:sz w:val="20"/>
                <w:highlight w:val="black"/>
                <w:lang w:eastAsia="en-AU"/>
              </w:rPr>
              <w:t>'''''''''''''''''</w:t>
            </w:r>
          </w:p>
        </w:tc>
        <w:tc>
          <w:tcPr>
            <w:tcW w:w="672" w:type="pct"/>
            <w:tcBorders>
              <w:bottom w:val="single" w:sz="4" w:space="0" w:color="auto"/>
            </w:tcBorders>
            <w:shd w:val="clear" w:color="auto" w:fill="auto"/>
            <w:vAlign w:val="center"/>
          </w:tcPr>
          <w:p w:rsidR="005F045D" w:rsidRPr="00F60B7B" w:rsidRDefault="00F60B7B" w:rsidP="002F6883">
            <w:pPr>
              <w:keepNext/>
              <w:widowControl/>
              <w:jc w:val="center"/>
              <w:rPr>
                <w:rFonts w:ascii="Arial Narrow" w:hAnsi="Arial Narrow" w:cs="Calibri"/>
                <w:sz w:val="20"/>
                <w:highlight w:val="black"/>
              </w:rPr>
            </w:pPr>
            <w:r>
              <w:rPr>
                <w:rFonts w:ascii="Arial Narrow" w:hAnsi="Arial Narrow" w:cs="Calibri"/>
                <w:noProof/>
                <w:color w:val="000000"/>
                <w:sz w:val="20"/>
                <w:highlight w:val="black"/>
                <w:lang w:eastAsia="en-AU"/>
              </w:rPr>
              <w:t>'''''''''''''''''</w:t>
            </w:r>
          </w:p>
        </w:tc>
        <w:tc>
          <w:tcPr>
            <w:tcW w:w="672" w:type="pct"/>
            <w:tcBorders>
              <w:bottom w:val="single" w:sz="4" w:space="0" w:color="auto"/>
            </w:tcBorders>
            <w:shd w:val="clear" w:color="auto" w:fill="auto"/>
            <w:vAlign w:val="center"/>
          </w:tcPr>
          <w:p w:rsidR="005F045D" w:rsidRPr="00F60B7B" w:rsidRDefault="00F60B7B" w:rsidP="002F6883">
            <w:pPr>
              <w:keepNext/>
              <w:widowControl/>
              <w:jc w:val="center"/>
              <w:rPr>
                <w:rFonts w:ascii="Arial Narrow" w:hAnsi="Arial Narrow" w:cs="Calibri"/>
                <w:sz w:val="20"/>
                <w:highlight w:val="black"/>
              </w:rPr>
            </w:pPr>
            <w:r>
              <w:rPr>
                <w:rFonts w:ascii="Arial Narrow" w:hAnsi="Arial Narrow" w:cs="Calibri"/>
                <w:noProof/>
                <w:color w:val="000000"/>
                <w:sz w:val="20"/>
                <w:highlight w:val="black"/>
                <w:lang w:eastAsia="en-AU"/>
              </w:rPr>
              <w:t>''''''''''''''''</w:t>
            </w:r>
          </w:p>
        </w:tc>
        <w:tc>
          <w:tcPr>
            <w:tcW w:w="672" w:type="pct"/>
            <w:tcBorders>
              <w:bottom w:val="single" w:sz="4" w:space="0" w:color="auto"/>
            </w:tcBorders>
            <w:shd w:val="clear" w:color="auto" w:fill="auto"/>
            <w:vAlign w:val="center"/>
          </w:tcPr>
          <w:p w:rsidR="005F045D" w:rsidRPr="00F60B7B" w:rsidRDefault="00F60B7B" w:rsidP="002F6883">
            <w:pPr>
              <w:keepNext/>
              <w:widowControl/>
              <w:jc w:val="center"/>
              <w:rPr>
                <w:rFonts w:ascii="Arial Narrow" w:hAnsi="Arial Narrow" w:cs="Calibri"/>
                <w:sz w:val="20"/>
                <w:highlight w:val="black"/>
              </w:rPr>
            </w:pPr>
            <w:r>
              <w:rPr>
                <w:rFonts w:ascii="Arial Narrow" w:hAnsi="Arial Narrow" w:cs="Calibri"/>
                <w:noProof/>
                <w:color w:val="000000"/>
                <w:sz w:val="20"/>
                <w:highlight w:val="black"/>
                <w:lang w:eastAsia="en-AU"/>
              </w:rPr>
              <w:t>'''''''''''''''</w:t>
            </w:r>
          </w:p>
        </w:tc>
        <w:tc>
          <w:tcPr>
            <w:tcW w:w="700" w:type="pct"/>
            <w:tcBorders>
              <w:bottom w:val="single" w:sz="4" w:space="0" w:color="auto"/>
            </w:tcBorders>
            <w:shd w:val="clear" w:color="auto" w:fill="auto"/>
            <w:vAlign w:val="center"/>
          </w:tcPr>
          <w:p w:rsidR="005F045D" w:rsidRPr="00F60B7B" w:rsidRDefault="00F60B7B" w:rsidP="002F6883">
            <w:pPr>
              <w:keepNext/>
              <w:widowControl/>
              <w:jc w:val="center"/>
              <w:rPr>
                <w:rFonts w:ascii="Arial Narrow" w:hAnsi="Arial Narrow" w:cs="Calibri"/>
                <w:sz w:val="20"/>
                <w:highlight w:val="black"/>
              </w:rPr>
            </w:pPr>
            <w:r>
              <w:rPr>
                <w:rFonts w:ascii="Arial Narrow" w:hAnsi="Arial Narrow" w:cs="Calibri"/>
                <w:noProof/>
                <w:color w:val="000000"/>
                <w:sz w:val="20"/>
                <w:highlight w:val="black"/>
                <w:lang w:eastAsia="en-AU"/>
              </w:rPr>
              <w:t>''''''''''''''''''</w:t>
            </w:r>
          </w:p>
        </w:tc>
      </w:tr>
      <w:tr w:rsidR="005F045D" w:rsidRPr="002B2E9D" w:rsidTr="00015AEA">
        <w:tc>
          <w:tcPr>
            <w:tcW w:w="1610" w:type="pct"/>
            <w:tcBorders>
              <w:bottom w:val="double" w:sz="4" w:space="0" w:color="auto"/>
            </w:tcBorders>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sidRPr="005C6ED3">
              <w:rPr>
                <w:rFonts w:ascii="Arial Narrow" w:hAnsi="Arial Narrow"/>
                <w:sz w:val="20"/>
              </w:rPr>
              <w:t>Pirfenidone packs</w:t>
            </w:r>
            <w:r>
              <w:rPr>
                <w:rFonts w:ascii="Arial Narrow" w:hAnsi="Arial Narrow"/>
                <w:sz w:val="20"/>
              </w:rPr>
              <w:t xml:space="preserve"> (March 2016)</w:t>
            </w:r>
          </w:p>
        </w:tc>
        <w:tc>
          <w:tcPr>
            <w:tcW w:w="673" w:type="pct"/>
            <w:tcBorders>
              <w:bottom w:val="double" w:sz="4" w:space="0" w:color="auto"/>
            </w:tcBorders>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cs="Calibri"/>
                <w:noProof/>
                <w:color w:val="000000"/>
                <w:sz w:val="20"/>
                <w:highlight w:val="black"/>
              </w:rPr>
              <w:t>'''''''''''''''</w:t>
            </w:r>
          </w:p>
        </w:tc>
        <w:tc>
          <w:tcPr>
            <w:tcW w:w="672" w:type="pct"/>
            <w:tcBorders>
              <w:bottom w:val="double" w:sz="4" w:space="0" w:color="auto"/>
            </w:tcBorders>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cs="Calibri"/>
                <w:noProof/>
                <w:color w:val="000000"/>
                <w:sz w:val="20"/>
                <w:highlight w:val="black"/>
              </w:rPr>
              <w:t>''''''''''''''''</w:t>
            </w:r>
          </w:p>
        </w:tc>
        <w:tc>
          <w:tcPr>
            <w:tcW w:w="672" w:type="pct"/>
            <w:tcBorders>
              <w:bottom w:val="double" w:sz="4" w:space="0" w:color="auto"/>
            </w:tcBorders>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cs="Calibri"/>
                <w:noProof/>
                <w:color w:val="000000"/>
                <w:sz w:val="20"/>
                <w:highlight w:val="black"/>
              </w:rPr>
              <w:t>''''''''''''''''</w:t>
            </w:r>
          </w:p>
        </w:tc>
        <w:tc>
          <w:tcPr>
            <w:tcW w:w="672" w:type="pct"/>
            <w:tcBorders>
              <w:bottom w:val="double" w:sz="4" w:space="0" w:color="auto"/>
            </w:tcBorders>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cs="Calibri"/>
                <w:noProof/>
                <w:color w:val="000000"/>
                <w:sz w:val="20"/>
                <w:highlight w:val="black"/>
              </w:rPr>
              <w:t>'''''''''''''''</w:t>
            </w:r>
          </w:p>
        </w:tc>
        <w:tc>
          <w:tcPr>
            <w:tcW w:w="700" w:type="pct"/>
            <w:tcBorders>
              <w:bottom w:val="double" w:sz="4" w:space="0" w:color="auto"/>
            </w:tcBorders>
            <w:shd w:val="clear" w:color="auto" w:fill="auto"/>
            <w:vAlign w:val="center"/>
          </w:tcPr>
          <w:p w:rsidR="005F045D" w:rsidRPr="00F60B7B" w:rsidRDefault="00F60B7B" w:rsidP="002F6883">
            <w:pPr>
              <w:keepNext/>
              <w:widowControl/>
              <w:jc w:val="center"/>
              <w:rPr>
                <w:rFonts w:ascii="Arial Narrow" w:hAnsi="Arial Narrow"/>
                <w:bCs/>
                <w:sz w:val="20"/>
                <w:highlight w:val="black"/>
              </w:rPr>
            </w:pPr>
            <w:r>
              <w:rPr>
                <w:rFonts w:ascii="Arial Narrow" w:hAnsi="Arial Narrow" w:cs="Calibri"/>
                <w:noProof/>
                <w:color w:val="000000"/>
                <w:sz w:val="20"/>
                <w:highlight w:val="black"/>
              </w:rPr>
              <w:t>''''''''''''''''</w:t>
            </w:r>
          </w:p>
        </w:tc>
      </w:tr>
      <w:tr w:rsidR="005F045D" w:rsidRPr="002B2E9D" w:rsidTr="00015AEA">
        <w:tc>
          <w:tcPr>
            <w:tcW w:w="1610" w:type="pct"/>
            <w:tcBorders>
              <w:top w:val="double" w:sz="4" w:space="0" w:color="auto"/>
            </w:tcBorders>
            <w:shd w:val="clear" w:color="auto" w:fill="auto"/>
            <w:vAlign w:val="center"/>
          </w:tcPr>
          <w:p w:rsidR="005F045D" w:rsidRPr="003A4BCA" w:rsidRDefault="005F045D" w:rsidP="002F6883">
            <w:pPr>
              <w:keepNext/>
              <w:widowControl/>
              <w:tabs>
                <w:tab w:val="left" w:pos="142"/>
              </w:tabs>
              <w:jc w:val="left"/>
              <w:rPr>
                <w:rFonts w:ascii="Arial Narrow" w:hAnsi="Arial Narrow"/>
                <w:b/>
                <w:sz w:val="20"/>
              </w:rPr>
            </w:pPr>
            <w:r w:rsidRPr="003A4BCA">
              <w:rPr>
                <w:rFonts w:ascii="Arial Narrow" w:hAnsi="Arial Narrow"/>
                <w:b/>
                <w:sz w:val="20"/>
              </w:rPr>
              <w:t>Net costs to PBS/RPBS</w:t>
            </w:r>
          </w:p>
        </w:tc>
        <w:tc>
          <w:tcPr>
            <w:tcW w:w="673" w:type="pct"/>
            <w:tcBorders>
              <w:top w:val="double" w:sz="4" w:space="0" w:color="auto"/>
            </w:tcBorders>
            <w:shd w:val="clear" w:color="auto" w:fill="auto"/>
            <w:vAlign w:val="center"/>
          </w:tcPr>
          <w:p w:rsidR="005F045D" w:rsidRPr="00A02B4C" w:rsidRDefault="005F045D" w:rsidP="002F6883">
            <w:pPr>
              <w:keepNext/>
              <w:widowControl/>
              <w:jc w:val="center"/>
              <w:rPr>
                <w:rFonts w:ascii="Arial Narrow" w:hAnsi="Arial Narrow"/>
                <w:b/>
                <w:iCs/>
                <w:sz w:val="20"/>
              </w:rPr>
            </w:pPr>
            <w:r w:rsidRPr="00A02B4C">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672" w:type="pct"/>
            <w:tcBorders>
              <w:top w:val="double" w:sz="4" w:space="0" w:color="auto"/>
            </w:tcBorders>
            <w:shd w:val="clear" w:color="auto" w:fill="auto"/>
            <w:vAlign w:val="center"/>
          </w:tcPr>
          <w:p w:rsidR="005F045D" w:rsidRPr="003A4BCA" w:rsidRDefault="005F045D" w:rsidP="002F6883">
            <w:pPr>
              <w:keepNext/>
              <w:widowControl/>
              <w:jc w:val="center"/>
              <w:rPr>
                <w:rFonts w:ascii="Arial Narrow" w:hAnsi="Arial Narrow"/>
                <w:b/>
                <w:iCs/>
                <w:sz w:val="20"/>
              </w:rPr>
            </w:pPr>
            <w:r w:rsidRPr="003A4BCA">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672" w:type="pct"/>
            <w:tcBorders>
              <w:top w:val="double" w:sz="4" w:space="0" w:color="auto"/>
            </w:tcBorders>
            <w:shd w:val="clear" w:color="auto" w:fill="auto"/>
            <w:vAlign w:val="center"/>
          </w:tcPr>
          <w:p w:rsidR="005F045D" w:rsidRPr="003A4BCA" w:rsidRDefault="005F045D" w:rsidP="002F6883">
            <w:pPr>
              <w:keepNext/>
              <w:widowControl/>
              <w:jc w:val="center"/>
              <w:rPr>
                <w:rFonts w:ascii="Arial Narrow" w:hAnsi="Arial Narrow"/>
                <w:b/>
                <w:iCs/>
                <w:sz w:val="20"/>
              </w:rPr>
            </w:pPr>
            <w:r w:rsidRPr="003A4BCA">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672" w:type="pct"/>
            <w:tcBorders>
              <w:top w:val="double" w:sz="4" w:space="0" w:color="auto"/>
            </w:tcBorders>
            <w:shd w:val="clear" w:color="auto" w:fill="auto"/>
            <w:vAlign w:val="center"/>
          </w:tcPr>
          <w:p w:rsidR="005F045D" w:rsidRPr="003A4BCA" w:rsidRDefault="005F045D" w:rsidP="002F6883">
            <w:pPr>
              <w:keepNext/>
              <w:widowControl/>
              <w:jc w:val="center"/>
              <w:rPr>
                <w:rFonts w:ascii="Arial Narrow" w:hAnsi="Arial Narrow"/>
                <w:b/>
                <w:iCs/>
                <w:sz w:val="20"/>
              </w:rPr>
            </w:pPr>
            <w:r w:rsidRPr="003A4BCA">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700" w:type="pct"/>
            <w:tcBorders>
              <w:top w:val="double" w:sz="4" w:space="0" w:color="auto"/>
            </w:tcBorders>
            <w:shd w:val="clear" w:color="auto" w:fill="auto"/>
            <w:vAlign w:val="center"/>
          </w:tcPr>
          <w:p w:rsidR="005F045D" w:rsidRPr="003A4BCA" w:rsidRDefault="005F045D" w:rsidP="002F6883">
            <w:pPr>
              <w:keepNext/>
              <w:widowControl/>
              <w:jc w:val="center"/>
              <w:rPr>
                <w:rFonts w:ascii="Arial Narrow" w:hAnsi="Arial Narrow"/>
                <w:b/>
                <w:iCs/>
                <w:sz w:val="20"/>
              </w:rPr>
            </w:pPr>
            <w:r w:rsidRPr="003A4BCA">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r>
      <w:tr w:rsidR="005F045D" w:rsidRPr="002B2E9D" w:rsidTr="00015AEA">
        <w:tc>
          <w:tcPr>
            <w:tcW w:w="1610" w:type="pct"/>
            <w:tcBorders>
              <w:top w:val="single" w:sz="4" w:space="0" w:color="auto"/>
              <w:bottom w:val="double" w:sz="4" w:space="0" w:color="auto"/>
            </w:tcBorders>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Pr>
                <w:rFonts w:ascii="Arial Narrow" w:hAnsi="Arial Narrow"/>
                <w:sz w:val="20"/>
              </w:rPr>
              <w:t>March 2016 resubmission</w:t>
            </w:r>
          </w:p>
        </w:tc>
        <w:tc>
          <w:tcPr>
            <w:tcW w:w="673" w:type="pct"/>
            <w:tcBorders>
              <w:top w:val="sing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iCs/>
                <w:sz w:val="20"/>
              </w:rPr>
              <w:t>$</w:t>
            </w:r>
            <w:r w:rsidR="00F60B7B">
              <w:rPr>
                <w:rFonts w:ascii="Arial Narrow" w:hAnsi="Arial Narrow"/>
                <w:iCs/>
                <w:noProof/>
                <w:color w:val="000000"/>
                <w:sz w:val="20"/>
                <w:highlight w:val="black"/>
              </w:rPr>
              <w:t>'''''''''''''''''''''''''''''</w:t>
            </w:r>
          </w:p>
        </w:tc>
        <w:tc>
          <w:tcPr>
            <w:tcW w:w="672" w:type="pct"/>
            <w:tcBorders>
              <w:top w:val="sing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iCs/>
                <w:sz w:val="20"/>
              </w:rPr>
              <w:t>$</w:t>
            </w:r>
            <w:r w:rsidR="00F60B7B">
              <w:rPr>
                <w:rFonts w:ascii="Arial Narrow" w:hAnsi="Arial Narrow"/>
                <w:iCs/>
                <w:noProof/>
                <w:color w:val="000000"/>
                <w:sz w:val="20"/>
                <w:highlight w:val="black"/>
              </w:rPr>
              <w:t>''''''''''''''''''''''''</w:t>
            </w:r>
          </w:p>
        </w:tc>
        <w:tc>
          <w:tcPr>
            <w:tcW w:w="672" w:type="pct"/>
            <w:tcBorders>
              <w:top w:val="sing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iCs/>
                <w:sz w:val="20"/>
              </w:rPr>
              <w:t>$</w:t>
            </w:r>
            <w:r w:rsidR="00F60B7B">
              <w:rPr>
                <w:rFonts w:ascii="Arial Narrow" w:hAnsi="Arial Narrow"/>
                <w:iCs/>
                <w:noProof/>
                <w:color w:val="000000"/>
                <w:sz w:val="20"/>
                <w:highlight w:val="black"/>
              </w:rPr>
              <w:t>''''''''''''''''''''''''''''</w:t>
            </w:r>
          </w:p>
        </w:tc>
        <w:tc>
          <w:tcPr>
            <w:tcW w:w="672" w:type="pct"/>
            <w:tcBorders>
              <w:top w:val="sing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iCs/>
                <w:sz w:val="20"/>
              </w:rPr>
              <w:t>$</w:t>
            </w:r>
            <w:r w:rsidR="00F60B7B">
              <w:rPr>
                <w:rFonts w:ascii="Arial Narrow" w:hAnsi="Arial Narrow"/>
                <w:iCs/>
                <w:noProof/>
                <w:color w:val="000000"/>
                <w:sz w:val="20"/>
                <w:highlight w:val="black"/>
              </w:rPr>
              <w:t>'''''''''''''''''''''''''''''</w:t>
            </w:r>
          </w:p>
        </w:tc>
        <w:tc>
          <w:tcPr>
            <w:tcW w:w="700" w:type="pct"/>
            <w:tcBorders>
              <w:top w:val="sing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iCs/>
                <w:sz w:val="20"/>
              </w:rPr>
              <w:t>$</w:t>
            </w:r>
            <w:r w:rsidR="00F60B7B">
              <w:rPr>
                <w:rFonts w:ascii="Arial Narrow" w:hAnsi="Arial Narrow"/>
                <w:iCs/>
                <w:noProof/>
                <w:color w:val="000000"/>
                <w:sz w:val="20"/>
                <w:highlight w:val="black"/>
              </w:rPr>
              <w:t>''''''''''''''''''''''''''</w:t>
            </w:r>
          </w:p>
        </w:tc>
      </w:tr>
      <w:tr w:rsidR="005F045D" w:rsidRPr="002B2E9D" w:rsidTr="00015AEA">
        <w:tc>
          <w:tcPr>
            <w:tcW w:w="1610" w:type="pct"/>
            <w:tcBorders>
              <w:top w:val="double" w:sz="4" w:space="0" w:color="auto"/>
              <w:bottom w:val="double" w:sz="4" w:space="0" w:color="auto"/>
            </w:tcBorders>
            <w:shd w:val="clear" w:color="auto" w:fill="auto"/>
            <w:vAlign w:val="center"/>
          </w:tcPr>
          <w:p w:rsidR="005F045D" w:rsidRDefault="005F045D" w:rsidP="002F6883">
            <w:pPr>
              <w:keepNext/>
              <w:widowControl/>
              <w:tabs>
                <w:tab w:val="left" w:pos="142"/>
              </w:tabs>
              <w:jc w:val="left"/>
              <w:rPr>
                <w:rFonts w:ascii="Arial Narrow" w:hAnsi="Arial Narrow"/>
                <w:sz w:val="20"/>
              </w:rPr>
            </w:pPr>
            <w:r>
              <w:rPr>
                <w:rFonts w:ascii="Arial Narrow" w:hAnsi="Arial Narrow"/>
                <w:b/>
                <w:sz w:val="20"/>
                <w:lang w:eastAsia="en-AU"/>
              </w:rPr>
              <w:t>Proposed subsidisation caps for PBS expenditure</w:t>
            </w:r>
          </w:p>
        </w:tc>
        <w:tc>
          <w:tcPr>
            <w:tcW w:w="673" w:type="pct"/>
            <w:tcBorders>
              <w:top w:val="doub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iCs/>
                <w:sz w:val="20"/>
              </w:rPr>
            </w:pPr>
            <w:r>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672" w:type="pct"/>
            <w:tcBorders>
              <w:top w:val="doub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iCs/>
                <w:sz w:val="20"/>
              </w:rPr>
            </w:pPr>
            <w:r>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672" w:type="pct"/>
            <w:tcBorders>
              <w:top w:val="doub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iCs/>
                <w:sz w:val="20"/>
              </w:rPr>
            </w:pPr>
            <w:r>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672" w:type="pct"/>
            <w:tcBorders>
              <w:top w:val="doub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iCs/>
                <w:sz w:val="20"/>
              </w:rPr>
            </w:pPr>
            <w:r>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c>
          <w:tcPr>
            <w:tcW w:w="700" w:type="pct"/>
            <w:tcBorders>
              <w:top w:val="double" w:sz="4" w:space="0" w:color="auto"/>
              <w:bottom w:val="double" w:sz="4" w:space="0" w:color="auto"/>
            </w:tcBorders>
            <w:shd w:val="clear" w:color="auto" w:fill="auto"/>
            <w:vAlign w:val="center"/>
          </w:tcPr>
          <w:p w:rsidR="005F045D" w:rsidRPr="005C6ED3" w:rsidRDefault="005F045D" w:rsidP="002F6883">
            <w:pPr>
              <w:keepNext/>
              <w:widowControl/>
              <w:jc w:val="center"/>
              <w:rPr>
                <w:rFonts w:ascii="Arial Narrow" w:hAnsi="Arial Narrow"/>
                <w:iCs/>
                <w:sz w:val="20"/>
              </w:rPr>
            </w:pPr>
            <w:r>
              <w:rPr>
                <w:rFonts w:ascii="Arial Narrow" w:hAnsi="Arial Narrow"/>
                <w:b/>
                <w:iCs/>
                <w:sz w:val="20"/>
                <w:lang w:eastAsia="en-AU"/>
              </w:rPr>
              <w:t>$</w:t>
            </w:r>
            <w:r w:rsidR="00F60B7B">
              <w:rPr>
                <w:rFonts w:ascii="Arial Narrow" w:hAnsi="Arial Narrow"/>
                <w:b/>
                <w:iCs/>
                <w:noProof/>
                <w:color w:val="000000"/>
                <w:sz w:val="20"/>
                <w:highlight w:val="black"/>
                <w:lang w:eastAsia="en-AU"/>
              </w:rPr>
              <w:t>''''''''''''''''''''''</w:t>
            </w:r>
          </w:p>
        </w:tc>
      </w:tr>
      <w:tr w:rsidR="005F045D" w:rsidRPr="002B2E9D" w:rsidTr="00015AEA">
        <w:tc>
          <w:tcPr>
            <w:tcW w:w="1610" w:type="pct"/>
            <w:tcBorders>
              <w:top w:val="double" w:sz="4" w:space="0" w:color="auto"/>
            </w:tcBorders>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sidRPr="005C6ED3">
              <w:rPr>
                <w:rFonts w:ascii="Arial Narrow" w:hAnsi="Arial Narrow"/>
                <w:sz w:val="20"/>
              </w:rPr>
              <w:t>Net costs to MBS</w:t>
            </w:r>
          </w:p>
        </w:tc>
        <w:tc>
          <w:tcPr>
            <w:tcW w:w="673" w:type="pct"/>
            <w:tcBorders>
              <w:top w:val="double" w:sz="4" w:space="0" w:color="auto"/>
            </w:tcBorders>
            <w:shd w:val="clear" w:color="auto" w:fill="auto"/>
            <w:vAlign w:val="center"/>
          </w:tcPr>
          <w:p w:rsidR="005F045D" w:rsidRPr="005C6ED3" w:rsidRDefault="005F045D" w:rsidP="002F6883">
            <w:pPr>
              <w:keepNext/>
              <w:widowControl/>
              <w:jc w:val="center"/>
              <w:rPr>
                <w:rFonts w:ascii="Arial Narrow" w:hAnsi="Arial Narrow"/>
                <w:sz w:val="20"/>
              </w:rPr>
            </w:pPr>
            <w:r>
              <w:rPr>
                <w:rFonts w:ascii="Arial Narrow" w:hAnsi="Arial Narrow"/>
                <w:sz w:val="20"/>
                <w:lang w:eastAsia="en-AU"/>
              </w:rPr>
              <w:t>$</w:t>
            </w:r>
            <w:r w:rsidR="00F60B7B">
              <w:rPr>
                <w:rFonts w:ascii="Arial Narrow" w:hAnsi="Arial Narrow"/>
                <w:noProof/>
                <w:color w:val="000000"/>
                <w:sz w:val="20"/>
                <w:highlight w:val="black"/>
                <w:lang w:eastAsia="en-AU"/>
              </w:rPr>
              <w:t>''''''''''''''''</w:t>
            </w:r>
          </w:p>
        </w:tc>
        <w:tc>
          <w:tcPr>
            <w:tcW w:w="672" w:type="pct"/>
            <w:tcBorders>
              <w:top w:val="double" w:sz="4" w:space="0" w:color="auto"/>
            </w:tcBorders>
            <w:shd w:val="clear" w:color="auto" w:fill="auto"/>
            <w:vAlign w:val="center"/>
          </w:tcPr>
          <w:p w:rsidR="005F045D" w:rsidRPr="005C6ED3" w:rsidRDefault="005F045D" w:rsidP="002F6883">
            <w:pPr>
              <w:keepNext/>
              <w:widowControl/>
              <w:jc w:val="center"/>
              <w:rPr>
                <w:rFonts w:ascii="Arial Narrow" w:hAnsi="Arial Narrow"/>
                <w:sz w:val="20"/>
              </w:rPr>
            </w:pPr>
            <w:r>
              <w:rPr>
                <w:rFonts w:ascii="Arial Narrow" w:hAnsi="Arial Narrow"/>
                <w:sz w:val="20"/>
                <w:lang w:eastAsia="en-AU"/>
              </w:rPr>
              <w:t>$</w:t>
            </w:r>
            <w:r w:rsidR="00F60B7B">
              <w:rPr>
                <w:rFonts w:ascii="Arial Narrow" w:hAnsi="Arial Narrow"/>
                <w:noProof/>
                <w:color w:val="000000"/>
                <w:sz w:val="20"/>
                <w:highlight w:val="black"/>
                <w:lang w:eastAsia="en-AU"/>
              </w:rPr>
              <w:t>'''''''''''''''</w:t>
            </w:r>
          </w:p>
        </w:tc>
        <w:tc>
          <w:tcPr>
            <w:tcW w:w="672" w:type="pct"/>
            <w:tcBorders>
              <w:top w:val="double" w:sz="4" w:space="0" w:color="auto"/>
            </w:tcBorders>
            <w:shd w:val="clear" w:color="auto" w:fill="auto"/>
            <w:vAlign w:val="center"/>
          </w:tcPr>
          <w:p w:rsidR="005F045D" w:rsidRPr="005C6ED3" w:rsidRDefault="005F045D" w:rsidP="002F6883">
            <w:pPr>
              <w:keepNext/>
              <w:widowControl/>
              <w:jc w:val="center"/>
              <w:rPr>
                <w:rFonts w:ascii="Arial Narrow" w:hAnsi="Arial Narrow"/>
                <w:sz w:val="20"/>
              </w:rPr>
            </w:pPr>
            <w:r>
              <w:rPr>
                <w:rFonts w:ascii="Arial Narrow" w:hAnsi="Arial Narrow"/>
                <w:sz w:val="20"/>
                <w:lang w:eastAsia="en-AU"/>
              </w:rPr>
              <w:t>$</w:t>
            </w:r>
            <w:r w:rsidR="00F60B7B">
              <w:rPr>
                <w:rFonts w:ascii="Arial Narrow" w:hAnsi="Arial Narrow"/>
                <w:noProof/>
                <w:color w:val="000000"/>
                <w:sz w:val="20"/>
                <w:highlight w:val="black"/>
                <w:lang w:eastAsia="en-AU"/>
              </w:rPr>
              <w:t>'''''''''''''''''</w:t>
            </w:r>
          </w:p>
        </w:tc>
        <w:tc>
          <w:tcPr>
            <w:tcW w:w="672" w:type="pct"/>
            <w:tcBorders>
              <w:top w:val="double" w:sz="4" w:space="0" w:color="auto"/>
            </w:tcBorders>
            <w:shd w:val="clear" w:color="auto" w:fill="auto"/>
            <w:vAlign w:val="center"/>
          </w:tcPr>
          <w:p w:rsidR="005F045D" w:rsidRPr="005C6ED3" w:rsidRDefault="005F045D" w:rsidP="002F6883">
            <w:pPr>
              <w:keepNext/>
              <w:widowControl/>
              <w:jc w:val="center"/>
              <w:rPr>
                <w:rFonts w:ascii="Arial Narrow" w:hAnsi="Arial Narrow"/>
                <w:sz w:val="20"/>
              </w:rPr>
            </w:pPr>
            <w:r>
              <w:rPr>
                <w:rFonts w:ascii="Arial Narrow" w:hAnsi="Arial Narrow"/>
                <w:sz w:val="20"/>
                <w:lang w:eastAsia="en-AU"/>
              </w:rPr>
              <w:t>$</w:t>
            </w:r>
            <w:r w:rsidR="00F60B7B">
              <w:rPr>
                <w:rFonts w:ascii="Arial Narrow" w:hAnsi="Arial Narrow"/>
                <w:noProof/>
                <w:color w:val="000000"/>
                <w:sz w:val="20"/>
                <w:highlight w:val="black"/>
                <w:lang w:eastAsia="en-AU"/>
              </w:rPr>
              <w:t>'''''''''''''''''</w:t>
            </w:r>
          </w:p>
        </w:tc>
        <w:tc>
          <w:tcPr>
            <w:tcW w:w="700" w:type="pct"/>
            <w:tcBorders>
              <w:top w:val="double" w:sz="4" w:space="0" w:color="auto"/>
            </w:tcBorders>
            <w:shd w:val="clear" w:color="auto" w:fill="auto"/>
            <w:vAlign w:val="center"/>
          </w:tcPr>
          <w:p w:rsidR="005F045D" w:rsidRPr="005C6ED3" w:rsidRDefault="005F045D" w:rsidP="002F6883">
            <w:pPr>
              <w:keepNext/>
              <w:widowControl/>
              <w:jc w:val="center"/>
              <w:rPr>
                <w:rFonts w:ascii="Arial Narrow" w:hAnsi="Arial Narrow"/>
                <w:sz w:val="20"/>
              </w:rPr>
            </w:pPr>
            <w:r>
              <w:rPr>
                <w:rFonts w:ascii="Arial Narrow" w:hAnsi="Arial Narrow"/>
                <w:sz w:val="20"/>
                <w:lang w:eastAsia="en-AU"/>
              </w:rPr>
              <w:t>$</w:t>
            </w:r>
            <w:r w:rsidR="00F60B7B">
              <w:rPr>
                <w:rFonts w:ascii="Arial Narrow" w:hAnsi="Arial Narrow"/>
                <w:noProof/>
                <w:color w:val="000000"/>
                <w:sz w:val="20"/>
                <w:highlight w:val="black"/>
                <w:lang w:eastAsia="en-AU"/>
              </w:rPr>
              <w:t>''''''''''''''''</w:t>
            </w:r>
          </w:p>
        </w:tc>
      </w:tr>
      <w:tr w:rsidR="005F045D" w:rsidRPr="002B2E9D" w:rsidTr="00015AEA">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Pr>
                <w:rFonts w:ascii="Arial Narrow" w:hAnsi="Arial Narrow"/>
                <w:sz w:val="20"/>
              </w:rPr>
              <w:t>March 2016 resubmission</w:t>
            </w:r>
          </w:p>
        </w:tc>
        <w:tc>
          <w:tcPr>
            <w:tcW w:w="673"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sz w:val="20"/>
              </w:rPr>
              <w:t>$</w:t>
            </w:r>
            <w:r w:rsidR="00F60B7B">
              <w:rPr>
                <w:rFonts w:ascii="Arial Narrow" w:hAnsi="Arial Narrow"/>
                <w:noProof/>
                <w:color w:val="000000"/>
                <w:sz w:val="20"/>
                <w:highlight w:val="black"/>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sz w:val="20"/>
              </w:rPr>
              <w:t>$</w:t>
            </w:r>
            <w:r w:rsidR="00F60B7B">
              <w:rPr>
                <w:rFonts w:ascii="Arial Narrow" w:hAnsi="Arial Narrow"/>
                <w:noProof/>
                <w:color w:val="000000"/>
                <w:sz w:val="20"/>
                <w:highlight w:val="black"/>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sz w:val="20"/>
              </w:rPr>
              <w:t>$</w:t>
            </w:r>
            <w:r w:rsidR="00F60B7B">
              <w:rPr>
                <w:rFonts w:ascii="Arial Narrow" w:hAnsi="Arial Narrow"/>
                <w:noProof/>
                <w:color w:val="000000"/>
                <w:sz w:val="20"/>
                <w:highlight w:val="black"/>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sz w:val="20"/>
              </w:rPr>
              <w:t>$</w:t>
            </w:r>
            <w:r w:rsidR="00F60B7B">
              <w:rPr>
                <w:rFonts w:ascii="Arial Narrow" w:hAnsi="Arial Narrow"/>
                <w:noProof/>
                <w:color w:val="000000"/>
                <w:sz w:val="20"/>
                <w:highlight w:val="black"/>
              </w:rPr>
              <w:t>'''''''''''''''''</w:t>
            </w:r>
          </w:p>
        </w:tc>
        <w:tc>
          <w:tcPr>
            <w:tcW w:w="700" w:type="pct"/>
            <w:shd w:val="clear" w:color="auto" w:fill="auto"/>
            <w:vAlign w:val="center"/>
          </w:tcPr>
          <w:p w:rsidR="005F045D" w:rsidRPr="00F60B7B" w:rsidRDefault="00F60B7B" w:rsidP="002F6883">
            <w:pPr>
              <w:keepNext/>
              <w:widowControl/>
              <w:jc w:val="center"/>
              <w:rPr>
                <w:rFonts w:ascii="Arial Narrow" w:hAnsi="Arial Narrow"/>
                <w:b/>
                <w:bCs/>
                <w:sz w:val="20"/>
                <w:highlight w:val="black"/>
              </w:rPr>
            </w:pPr>
            <w:r>
              <w:rPr>
                <w:rFonts w:ascii="Arial Narrow" w:hAnsi="Arial Narrow"/>
                <w:noProof/>
                <w:color w:val="000000"/>
                <w:sz w:val="20"/>
                <w:highlight w:val="black"/>
              </w:rPr>
              <w:t>'''''''''''''''''''</w:t>
            </w:r>
          </w:p>
        </w:tc>
      </w:tr>
      <w:tr w:rsidR="005F045D" w:rsidRPr="002B2E9D" w:rsidTr="00015AEA">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sidRPr="005C6ED3">
              <w:rPr>
                <w:rFonts w:ascii="Arial Narrow" w:hAnsi="Arial Narrow"/>
                <w:sz w:val="20"/>
              </w:rPr>
              <w:t>Net savings to state and territory governments</w:t>
            </w:r>
          </w:p>
        </w:tc>
        <w:tc>
          <w:tcPr>
            <w:tcW w:w="673" w:type="pct"/>
            <w:shd w:val="clear" w:color="auto" w:fill="auto"/>
            <w:vAlign w:val="center"/>
          </w:tcPr>
          <w:p w:rsidR="005F045D" w:rsidRPr="005C6ED3" w:rsidRDefault="005F045D" w:rsidP="002F6883">
            <w:pPr>
              <w:keepNext/>
              <w:widowControl/>
              <w:jc w:val="center"/>
              <w:rPr>
                <w:rFonts w:ascii="Arial Narrow" w:hAnsi="Arial Narrow"/>
                <w:bCs/>
                <w:sz w:val="20"/>
              </w:rPr>
            </w:pPr>
            <w:r>
              <w:rPr>
                <w:rFonts w:ascii="Arial Narrow" w:hAnsi="Arial Narrow"/>
                <w:bCs/>
                <w:sz w:val="20"/>
                <w:lang w:eastAsia="en-AU"/>
              </w:rPr>
              <w:t>-$</w:t>
            </w:r>
            <w:r w:rsidR="00F60B7B">
              <w:rPr>
                <w:rFonts w:ascii="Arial Narrow" w:hAnsi="Arial Narrow"/>
                <w:bCs/>
                <w:noProof/>
                <w:color w:val="000000"/>
                <w:sz w:val="20"/>
                <w:highlight w:val="black"/>
                <w:lang w:eastAsia="en-AU"/>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Cs/>
                <w:sz w:val="20"/>
              </w:rPr>
            </w:pPr>
            <w:r>
              <w:rPr>
                <w:rFonts w:ascii="Arial Narrow" w:hAnsi="Arial Narrow"/>
                <w:bCs/>
                <w:sz w:val="20"/>
                <w:lang w:eastAsia="en-AU"/>
              </w:rPr>
              <w:t>-$</w:t>
            </w:r>
            <w:r w:rsidR="00F60B7B">
              <w:rPr>
                <w:rFonts w:ascii="Arial Narrow" w:hAnsi="Arial Narrow"/>
                <w:bCs/>
                <w:noProof/>
                <w:color w:val="000000"/>
                <w:sz w:val="20"/>
                <w:highlight w:val="black"/>
                <w:lang w:eastAsia="en-AU"/>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Cs/>
                <w:sz w:val="20"/>
              </w:rPr>
            </w:pPr>
            <w:r>
              <w:rPr>
                <w:rFonts w:ascii="Arial Narrow" w:hAnsi="Arial Narrow"/>
                <w:bCs/>
                <w:sz w:val="20"/>
                <w:lang w:eastAsia="en-AU"/>
              </w:rPr>
              <w:t>-$</w:t>
            </w:r>
            <w:r w:rsidR="00F60B7B">
              <w:rPr>
                <w:rFonts w:ascii="Arial Narrow" w:hAnsi="Arial Narrow"/>
                <w:bCs/>
                <w:noProof/>
                <w:color w:val="000000"/>
                <w:sz w:val="20"/>
                <w:highlight w:val="black"/>
                <w:lang w:eastAsia="en-AU"/>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Cs/>
                <w:sz w:val="20"/>
              </w:rPr>
            </w:pPr>
            <w:r>
              <w:rPr>
                <w:rFonts w:ascii="Arial Narrow" w:hAnsi="Arial Narrow"/>
                <w:bCs/>
                <w:sz w:val="20"/>
                <w:lang w:eastAsia="en-AU"/>
              </w:rPr>
              <w:t>-$</w:t>
            </w:r>
            <w:r w:rsidR="00F60B7B">
              <w:rPr>
                <w:rFonts w:ascii="Arial Narrow" w:hAnsi="Arial Narrow"/>
                <w:bCs/>
                <w:noProof/>
                <w:color w:val="000000"/>
                <w:sz w:val="20"/>
                <w:highlight w:val="black"/>
                <w:lang w:eastAsia="en-AU"/>
              </w:rPr>
              <w:t>'''''''''''''''''''''''</w:t>
            </w:r>
          </w:p>
        </w:tc>
        <w:tc>
          <w:tcPr>
            <w:tcW w:w="700" w:type="pct"/>
            <w:shd w:val="clear" w:color="auto" w:fill="auto"/>
            <w:vAlign w:val="center"/>
          </w:tcPr>
          <w:p w:rsidR="005F045D" w:rsidRPr="005C6ED3" w:rsidRDefault="005F045D" w:rsidP="002F6883">
            <w:pPr>
              <w:keepNext/>
              <w:widowControl/>
              <w:jc w:val="center"/>
              <w:rPr>
                <w:rFonts w:ascii="Arial Narrow" w:hAnsi="Arial Narrow"/>
                <w:bCs/>
                <w:sz w:val="20"/>
              </w:rPr>
            </w:pPr>
            <w:r w:rsidRPr="00DF50AA">
              <w:rPr>
                <w:rFonts w:ascii="Arial Narrow" w:hAnsi="Arial Narrow"/>
                <w:bCs/>
                <w:sz w:val="20"/>
                <w:lang w:eastAsia="en-AU"/>
              </w:rPr>
              <w:t>-$</w:t>
            </w:r>
            <w:r w:rsidR="00F60B7B">
              <w:rPr>
                <w:rFonts w:ascii="Arial Narrow" w:hAnsi="Arial Narrow"/>
                <w:bCs/>
                <w:noProof/>
                <w:color w:val="000000"/>
                <w:sz w:val="20"/>
                <w:highlight w:val="black"/>
                <w:lang w:eastAsia="en-AU"/>
              </w:rPr>
              <w:t>''''''''''''''''''''''''</w:t>
            </w:r>
          </w:p>
        </w:tc>
      </w:tr>
      <w:tr w:rsidR="005F045D" w:rsidRPr="002B2E9D" w:rsidTr="00015AEA">
        <w:tc>
          <w:tcPr>
            <w:tcW w:w="1610" w:type="pct"/>
            <w:tcBorders>
              <w:bottom w:val="single" w:sz="4" w:space="0" w:color="auto"/>
            </w:tcBorders>
            <w:shd w:val="clear" w:color="auto" w:fill="auto"/>
            <w:vAlign w:val="center"/>
          </w:tcPr>
          <w:p w:rsidR="005F045D" w:rsidRPr="005C6ED3" w:rsidRDefault="005F045D" w:rsidP="002F6883">
            <w:pPr>
              <w:keepNext/>
              <w:widowControl/>
              <w:tabs>
                <w:tab w:val="left" w:pos="142"/>
              </w:tabs>
              <w:jc w:val="left"/>
              <w:rPr>
                <w:rFonts w:ascii="Arial Narrow" w:hAnsi="Arial Narrow"/>
                <w:sz w:val="20"/>
              </w:rPr>
            </w:pPr>
            <w:r>
              <w:rPr>
                <w:rFonts w:ascii="Arial Narrow" w:hAnsi="Arial Narrow"/>
                <w:sz w:val="20"/>
              </w:rPr>
              <w:t>March 2016 resubmission</w:t>
            </w:r>
          </w:p>
        </w:tc>
        <w:tc>
          <w:tcPr>
            <w:tcW w:w="673" w:type="pct"/>
            <w:tcBorders>
              <w:bottom w:val="sing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bCs/>
                <w:sz w:val="20"/>
              </w:rPr>
              <w:t>$</w:t>
            </w:r>
            <w:r w:rsidR="00F60B7B">
              <w:rPr>
                <w:rFonts w:ascii="Arial Narrow" w:hAnsi="Arial Narrow"/>
                <w:bCs/>
                <w:noProof/>
                <w:color w:val="000000"/>
                <w:sz w:val="20"/>
                <w:highlight w:val="black"/>
              </w:rPr>
              <w:t>''''''''''''''''''''''</w:t>
            </w:r>
          </w:p>
        </w:tc>
        <w:tc>
          <w:tcPr>
            <w:tcW w:w="672" w:type="pct"/>
            <w:tcBorders>
              <w:bottom w:val="sing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bCs/>
                <w:sz w:val="20"/>
              </w:rPr>
              <w:t>$</w:t>
            </w:r>
            <w:r w:rsidR="00F60B7B">
              <w:rPr>
                <w:rFonts w:ascii="Arial Narrow" w:hAnsi="Arial Narrow"/>
                <w:bCs/>
                <w:noProof/>
                <w:color w:val="000000"/>
                <w:sz w:val="20"/>
                <w:highlight w:val="black"/>
              </w:rPr>
              <w:t>'''''''''''''''''''''</w:t>
            </w:r>
          </w:p>
        </w:tc>
        <w:tc>
          <w:tcPr>
            <w:tcW w:w="672" w:type="pct"/>
            <w:tcBorders>
              <w:bottom w:val="sing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bCs/>
                <w:sz w:val="20"/>
              </w:rPr>
              <w:t>$</w:t>
            </w:r>
            <w:r w:rsidR="00F60B7B">
              <w:rPr>
                <w:rFonts w:ascii="Arial Narrow" w:hAnsi="Arial Narrow"/>
                <w:bCs/>
                <w:noProof/>
                <w:color w:val="000000"/>
                <w:sz w:val="20"/>
                <w:highlight w:val="black"/>
              </w:rPr>
              <w:t>''''''''''''''''''''''''</w:t>
            </w:r>
          </w:p>
        </w:tc>
        <w:tc>
          <w:tcPr>
            <w:tcW w:w="672" w:type="pct"/>
            <w:tcBorders>
              <w:bottom w:val="sing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bCs/>
                <w:sz w:val="20"/>
              </w:rPr>
              <w:t>$</w:t>
            </w:r>
            <w:r w:rsidR="00F60B7B">
              <w:rPr>
                <w:rFonts w:ascii="Arial Narrow" w:hAnsi="Arial Narrow"/>
                <w:bCs/>
                <w:noProof/>
                <w:color w:val="000000"/>
                <w:sz w:val="20"/>
                <w:highlight w:val="black"/>
              </w:rPr>
              <w:t>'''''''''''''''''''''''''</w:t>
            </w:r>
          </w:p>
        </w:tc>
        <w:tc>
          <w:tcPr>
            <w:tcW w:w="700" w:type="pct"/>
            <w:tcBorders>
              <w:bottom w:val="single" w:sz="4" w:space="0" w:color="auto"/>
            </w:tcBorders>
            <w:shd w:val="clear" w:color="auto" w:fill="auto"/>
            <w:vAlign w:val="center"/>
          </w:tcPr>
          <w:p w:rsidR="005F045D" w:rsidRPr="005C6ED3" w:rsidRDefault="005F045D" w:rsidP="002F6883">
            <w:pPr>
              <w:keepNext/>
              <w:widowControl/>
              <w:jc w:val="center"/>
              <w:rPr>
                <w:rFonts w:ascii="Arial Narrow" w:hAnsi="Arial Narrow"/>
                <w:b/>
                <w:bCs/>
                <w:sz w:val="20"/>
              </w:rPr>
            </w:pPr>
            <w:r w:rsidRPr="005C6ED3">
              <w:rPr>
                <w:rFonts w:ascii="Arial Narrow" w:hAnsi="Arial Narrow"/>
                <w:bCs/>
                <w:sz w:val="20"/>
              </w:rPr>
              <w:t>$</w:t>
            </w:r>
            <w:r w:rsidR="00F60B7B">
              <w:rPr>
                <w:rFonts w:ascii="Arial Narrow" w:hAnsi="Arial Narrow"/>
                <w:bCs/>
                <w:noProof/>
                <w:color w:val="000000"/>
                <w:sz w:val="20"/>
                <w:highlight w:val="black"/>
              </w:rPr>
              <w:t>''''''''''''''''''''''''</w:t>
            </w:r>
          </w:p>
        </w:tc>
      </w:tr>
      <w:tr w:rsidR="005F045D" w:rsidRPr="002B2E9D" w:rsidTr="00015AEA">
        <w:tc>
          <w:tcPr>
            <w:tcW w:w="1610" w:type="pct"/>
            <w:shd w:val="clear" w:color="auto" w:fill="auto"/>
            <w:vAlign w:val="center"/>
          </w:tcPr>
          <w:p w:rsidR="005F045D" w:rsidRPr="005C6ED3" w:rsidRDefault="005F045D" w:rsidP="002F6883">
            <w:pPr>
              <w:keepNext/>
              <w:widowControl/>
              <w:tabs>
                <w:tab w:val="left" w:pos="142"/>
              </w:tabs>
              <w:jc w:val="left"/>
              <w:rPr>
                <w:rFonts w:ascii="Arial Narrow" w:hAnsi="Arial Narrow"/>
                <w:b/>
                <w:sz w:val="20"/>
              </w:rPr>
            </w:pPr>
            <w:r w:rsidRPr="005C6ED3">
              <w:rPr>
                <w:rFonts w:ascii="Arial Narrow" w:hAnsi="Arial Narrow"/>
                <w:b/>
                <w:sz w:val="20"/>
              </w:rPr>
              <w:t>Overall net cost to government</w:t>
            </w:r>
          </w:p>
        </w:tc>
        <w:tc>
          <w:tcPr>
            <w:tcW w:w="673"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3A4BCA">
              <w:rPr>
                <w:rFonts w:ascii="Arial Narrow" w:hAnsi="Arial Narrow"/>
                <w:b/>
                <w:bCs/>
                <w:iCs/>
                <w:sz w:val="20"/>
              </w:rPr>
              <w:t>$</w:t>
            </w:r>
            <w:r w:rsidR="00F60B7B">
              <w:rPr>
                <w:rFonts w:ascii="Arial Narrow" w:hAnsi="Arial Narrow"/>
                <w:b/>
                <w:bCs/>
                <w:iCs/>
                <w:noProof/>
                <w:color w:val="000000"/>
                <w:sz w:val="20"/>
                <w:highlight w:val="black"/>
              </w:rPr>
              <w:t>'''''''''''''''''''''''</w:t>
            </w:r>
          </w:p>
        </w:tc>
        <w:tc>
          <w:tcPr>
            <w:tcW w:w="672" w:type="pct"/>
            <w:shd w:val="clear" w:color="auto" w:fill="auto"/>
            <w:vAlign w:val="center"/>
          </w:tcPr>
          <w:p w:rsidR="005F045D" w:rsidRPr="005C6ED3" w:rsidRDefault="00EA7FB6" w:rsidP="002F6883">
            <w:pPr>
              <w:keepNext/>
              <w:widowControl/>
              <w:jc w:val="center"/>
              <w:rPr>
                <w:rFonts w:ascii="Arial Narrow" w:hAnsi="Arial Narrow"/>
                <w:b/>
                <w:bCs/>
                <w:sz w:val="20"/>
              </w:rPr>
            </w:pPr>
            <w:r w:rsidRPr="00EA7FB6">
              <w:rPr>
                <w:rFonts w:ascii="Arial Narrow" w:hAnsi="Arial Narrow"/>
                <w:b/>
                <w:bCs/>
                <w:iCs/>
                <w:sz w:val="20"/>
              </w:rPr>
              <w:t>$</w:t>
            </w:r>
            <w:r w:rsidR="00F60B7B">
              <w:rPr>
                <w:rFonts w:ascii="Arial Narrow" w:hAnsi="Arial Narrow"/>
                <w:b/>
                <w:bCs/>
                <w:iCs/>
                <w:noProof/>
                <w:color w:val="000000"/>
                <w:sz w:val="20"/>
                <w:highlight w:val="black"/>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3A4BCA">
              <w:rPr>
                <w:rFonts w:ascii="Arial Narrow" w:hAnsi="Arial Narrow"/>
                <w:b/>
                <w:bCs/>
                <w:iCs/>
                <w:sz w:val="20"/>
              </w:rPr>
              <w:t>$</w:t>
            </w:r>
            <w:r w:rsidR="00F60B7B">
              <w:rPr>
                <w:rFonts w:ascii="Arial Narrow" w:hAnsi="Arial Narrow"/>
                <w:b/>
                <w:bCs/>
                <w:iCs/>
                <w:noProof/>
                <w:color w:val="000000"/>
                <w:sz w:val="20"/>
                <w:highlight w:val="black"/>
              </w:rPr>
              <w:t>'''''''''''''''''''''</w:t>
            </w:r>
          </w:p>
        </w:tc>
        <w:tc>
          <w:tcPr>
            <w:tcW w:w="672"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3A4BCA">
              <w:rPr>
                <w:rFonts w:ascii="Arial Narrow" w:hAnsi="Arial Narrow"/>
                <w:b/>
                <w:bCs/>
                <w:iCs/>
                <w:sz w:val="20"/>
              </w:rPr>
              <w:t>$</w:t>
            </w:r>
            <w:r w:rsidR="00F60B7B">
              <w:rPr>
                <w:rFonts w:ascii="Arial Narrow" w:hAnsi="Arial Narrow"/>
                <w:b/>
                <w:bCs/>
                <w:iCs/>
                <w:noProof/>
                <w:color w:val="000000"/>
                <w:sz w:val="20"/>
                <w:highlight w:val="black"/>
              </w:rPr>
              <w:t>''''''''''''''''''''</w:t>
            </w:r>
          </w:p>
        </w:tc>
        <w:tc>
          <w:tcPr>
            <w:tcW w:w="700" w:type="pct"/>
            <w:shd w:val="clear" w:color="auto" w:fill="auto"/>
            <w:vAlign w:val="center"/>
          </w:tcPr>
          <w:p w:rsidR="005F045D" w:rsidRPr="005C6ED3" w:rsidRDefault="005F045D" w:rsidP="002F6883">
            <w:pPr>
              <w:keepNext/>
              <w:widowControl/>
              <w:jc w:val="center"/>
              <w:rPr>
                <w:rFonts w:ascii="Arial Narrow" w:hAnsi="Arial Narrow"/>
                <w:b/>
                <w:bCs/>
                <w:sz w:val="20"/>
              </w:rPr>
            </w:pPr>
            <w:r w:rsidRPr="003A4BCA">
              <w:rPr>
                <w:rFonts w:ascii="Arial Narrow" w:hAnsi="Arial Narrow"/>
                <w:b/>
                <w:bCs/>
                <w:iCs/>
                <w:sz w:val="20"/>
              </w:rPr>
              <w:t>$</w:t>
            </w:r>
            <w:r w:rsidR="00F60B7B">
              <w:rPr>
                <w:rFonts w:ascii="Arial Narrow" w:hAnsi="Arial Narrow"/>
                <w:b/>
                <w:bCs/>
                <w:iCs/>
                <w:noProof/>
                <w:color w:val="000000"/>
                <w:sz w:val="20"/>
                <w:highlight w:val="black"/>
              </w:rPr>
              <w:t>''''''''''''''''''''''''</w:t>
            </w:r>
          </w:p>
        </w:tc>
      </w:tr>
      <w:tr w:rsidR="005F045D" w:rsidRPr="002B2E9D" w:rsidTr="00015AEA">
        <w:tc>
          <w:tcPr>
            <w:tcW w:w="1610" w:type="pct"/>
            <w:shd w:val="clear" w:color="auto" w:fill="auto"/>
            <w:vAlign w:val="center"/>
          </w:tcPr>
          <w:p w:rsidR="005F045D" w:rsidRPr="003A4BCA" w:rsidRDefault="005F045D" w:rsidP="002F6883">
            <w:pPr>
              <w:keepNext/>
              <w:widowControl/>
              <w:tabs>
                <w:tab w:val="left" w:pos="142"/>
              </w:tabs>
              <w:jc w:val="left"/>
              <w:rPr>
                <w:rFonts w:ascii="Arial Narrow" w:hAnsi="Arial Narrow"/>
                <w:sz w:val="20"/>
              </w:rPr>
            </w:pPr>
            <w:r>
              <w:rPr>
                <w:rFonts w:ascii="Arial Narrow" w:hAnsi="Arial Narrow"/>
                <w:sz w:val="20"/>
              </w:rPr>
              <w:t>March 2016 resubmission</w:t>
            </w:r>
          </w:p>
        </w:tc>
        <w:tc>
          <w:tcPr>
            <w:tcW w:w="673" w:type="pct"/>
            <w:shd w:val="clear" w:color="auto" w:fill="auto"/>
            <w:vAlign w:val="center"/>
          </w:tcPr>
          <w:p w:rsidR="005F045D" w:rsidRPr="003A4BCA" w:rsidRDefault="005F045D" w:rsidP="002F6883">
            <w:pPr>
              <w:keepNext/>
              <w:widowControl/>
              <w:jc w:val="center"/>
              <w:rPr>
                <w:rFonts w:ascii="Arial Narrow" w:hAnsi="Arial Narrow"/>
                <w:bCs/>
                <w:iCs/>
                <w:sz w:val="20"/>
              </w:rPr>
            </w:pPr>
            <w:r w:rsidRPr="003A4BCA">
              <w:rPr>
                <w:rFonts w:ascii="Arial Narrow" w:hAnsi="Arial Narrow"/>
                <w:bCs/>
                <w:iCs/>
                <w:sz w:val="20"/>
              </w:rPr>
              <w:t>$</w:t>
            </w:r>
            <w:r w:rsidR="00F60B7B">
              <w:rPr>
                <w:rFonts w:ascii="Arial Narrow" w:hAnsi="Arial Narrow"/>
                <w:bCs/>
                <w:iCs/>
                <w:noProof/>
                <w:color w:val="000000"/>
                <w:sz w:val="20"/>
                <w:highlight w:val="black"/>
              </w:rPr>
              <w:t>''''''''''''''''''''''''''''</w:t>
            </w:r>
          </w:p>
        </w:tc>
        <w:tc>
          <w:tcPr>
            <w:tcW w:w="672" w:type="pct"/>
            <w:shd w:val="clear" w:color="auto" w:fill="auto"/>
            <w:vAlign w:val="center"/>
          </w:tcPr>
          <w:p w:rsidR="005F045D" w:rsidRPr="003A4BCA" w:rsidRDefault="005F045D" w:rsidP="002F6883">
            <w:pPr>
              <w:keepNext/>
              <w:widowControl/>
              <w:jc w:val="center"/>
              <w:rPr>
                <w:rFonts w:ascii="Arial Narrow" w:hAnsi="Arial Narrow"/>
                <w:bCs/>
                <w:iCs/>
                <w:sz w:val="20"/>
              </w:rPr>
            </w:pPr>
            <w:r w:rsidRPr="003A4BCA">
              <w:rPr>
                <w:rFonts w:ascii="Arial Narrow" w:hAnsi="Arial Narrow"/>
                <w:bCs/>
                <w:iCs/>
                <w:sz w:val="20"/>
              </w:rPr>
              <w:t>$</w:t>
            </w:r>
            <w:r w:rsidR="00F60B7B">
              <w:rPr>
                <w:rFonts w:ascii="Arial Narrow" w:hAnsi="Arial Narrow"/>
                <w:bCs/>
                <w:iCs/>
                <w:noProof/>
                <w:color w:val="000000"/>
                <w:sz w:val="20"/>
                <w:highlight w:val="black"/>
              </w:rPr>
              <w:t>''''''''''''''''''''''''''</w:t>
            </w:r>
          </w:p>
        </w:tc>
        <w:tc>
          <w:tcPr>
            <w:tcW w:w="672" w:type="pct"/>
            <w:shd w:val="clear" w:color="auto" w:fill="auto"/>
            <w:vAlign w:val="center"/>
          </w:tcPr>
          <w:p w:rsidR="005F045D" w:rsidRPr="003A4BCA" w:rsidRDefault="005F045D" w:rsidP="002F6883">
            <w:pPr>
              <w:keepNext/>
              <w:widowControl/>
              <w:jc w:val="center"/>
              <w:rPr>
                <w:rFonts w:ascii="Arial Narrow" w:hAnsi="Arial Narrow"/>
                <w:bCs/>
                <w:iCs/>
                <w:sz w:val="20"/>
              </w:rPr>
            </w:pPr>
            <w:r w:rsidRPr="003A4BCA">
              <w:rPr>
                <w:rFonts w:ascii="Arial Narrow" w:hAnsi="Arial Narrow"/>
                <w:bCs/>
                <w:iCs/>
                <w:sz w:val="20"/>
              </w:rPr>
              <w:t>$</w:t>
            </w:r>
            <w:r w:rsidR="00F60B7B">
              <w:rPr>
                <w:rFonts w:ascii="Arial Narrow" w:hAnsi="Arial Narrow"/>
                <w:bCs/>
                <w:iCs/>
                <w:noProof/>
                <w:color w:val="000000"/>
                <w:sz w:val="20"/>
                <w:highlight w:val="black"/>
              </w:rPr>
              <w:t>'''''''''''''''''''''''''''</w:t>
            </w:r>
          </w:p>
        </w:tc>
        <w:tc>
          <w:tcPr>
            <w:tcW w:w="672" w:type="pct"/>
            <w:shd w:val="clear" w:color="auto" w:fill="auto"/>
            <w:vAlign w:val="center"/>
          </w:tcPr>
          <w:p w:rsidR="005F045D" w:rsidRPr="003A4BCA" w:rsidRDefault="005F045D" w:rsidP="002F6883">
            <w:pPr>
              <w:keepNext/>
              <w:widowControl/>
              <w:jc w:val="center"/>
              <w:rPr>
                <w:rFonts w:ascii="Arial Narrow" w:hAnsi="Arial Narrow"/>
                <w:bCs/>
                <w:iCs/>
                <w:sz w:val="20"/>
              </w:rPr>
            </w:pPr>
            <w:r w:rsidRPr="003A4BCA">
              <w:rPr>
                <w:rFonts w:ascii="Arial Narrow" w:hAnsi="Arial Narrow"/>
                <w:bCs/>
                <w:iCs/>
                <w:sz w:val="20"/>
              </w:rPr>
              <w:t>$</w:t>
            </w:r>
            <w:r w:rsidR="00F60B7B">
              <w:rPr>
                <w:rFonts w:ascii="Arial Narrow" w:hAnsi="Arial Narrow"/>
                <w:bCs/>
                <w:iCs/>
                <w:noProof/>
                <w:color w:val="000000"/>
                <w:sz w:val="20"/>
                <w:highlight w:val="black"/>
              </w:rPr>
              <w:t>''''''''''''''''''''''''''</w:t>
            </w:r>
          </w:p>
        </w:tc>
        <w:tc>
          <w:tcPr>
            <w:tcW w:w="700" w:type="pct"/>
            <w:shd w:val="clear" w:color="auto" w:fill="auto"/>
            <w:vAlign w:val="center"/>
          </w:tcPr>
          <w:p w:rsidR="005F045D" w:rsidRPr="003A4BCA" w:rsidRDefault="005F045D" w:rsidP="002F6883">
            <w:pPr>
              <w:keepNext/>
              <w:widowControl/>
              <w:jc w:val="center"/>
              <w:rPr>
                <w:rFonts w:ascii="Arial Narrow" w:hAnsi="Arial Narrow"/>
                <w:bCs/>
                <w:iCs/>
                <w:sz w:val="20"/>
              </w:rPr>
            </w:pPr>
            <w:r w:rsidRPr="003A4BCA">
              <w:rPr>
                <w:rFonts w:ascii="Arial Narrow" w:hAnsi="Arial Narrow"/>
                <w:bCs/>
                <w:iCs/>
                <w:sz w:val="20"/>
              </w:rPr>
              <w:t>$</w:t>
            </w:r>
            <w:r w:rsidR="00F60B7B">
              <w:rPr>
                <w:rFonts w:ascii="Arial Narrow" w:hAnsi="Arial Narrow"/>
                <w:bCs/>
                <w:iCs/>
                <w:noProof/>
                <w:color w:val="000000"/>
                <w:sz w:val="20"/>
                <w:highlight w:val="black"/>
              </w:rPr>
              <w:t>'''''''''''''''''''''''</w:t>
            </w:r>
          </w:p>
        </w:tc>
      </w:tr>
    </w:tbl>
    <w:p w:rsidR="005F045D" w:rsidRDefault="005F045D" w:rsidP="002F6883">
      <w:pPr>
        <w:pStyle w:val="TableFooter"/>
        <w:widowControl/>
        <w:ind w:firstLine="709"/>
        <w:rPr>
          <w:szCs w:val="22"/>
        </w:rPr>
      </w:pPr>
      <w:r w:rsidRPr="00EB690C">
        <w:t xml:space="preserve">Source: </w:t>
      </w:r>
      <w:r>
        <w:t>Compiled during the evaluation</w:t>
      </w:r>
    </w:p>
    <w:p w:rsidR="0004231D" w:rsidRPr="007C13C1" w:rsidRDefault="0004231D" w:rsidP="007C13C1">
      <w:pPr>
        <w:widowControl/>
        <w:rPr>
          <w:rStyle w:val="CommentReference"/>
          <w:rFonts w:ascii="Arial" w:hAnsi="Arial"/>
          <w:b w:val="0"/>
          <w:sz w:val="22"/>
          <w:szCs w:val="22"/>
        </w:rPr>
      </w:pPr>
    </w:p>
    <w:p w:rsidR="00935D7C" w:rsidRPr="00935D7C" w:rsidRDefault="00935D7C" w:rsidP="002F6883">
      <w:pPr>
        <w:pStyle w:val="ListParagraph"/>
        <w:widowControl/>
        <w:numPr>
          <w:ilvl w:val="1"/>
          <w:numId w:val="2"/>
        </w:numPr>
      </w:pPr>
      <w:r w:rsidRPr="00935D7C">
        <w:t xml:space="preserve">DUSC considered the number of eligible patients in the submission may </w:t>
      </w:r>
      <w:r w:rsidR="00917D89">
        <w:t xml:space="preserve">have </w:t>
      </w:r>
      <w:r w:rsidRPr="00935D7C">
        <w:t>be</w:t>
      </w:r>
      <w:r w:rsidR="00917D89">
        <w:t>en</w:t>
      </w:r>
      <w:r w:rsidRPr="00935D7C">
        <w:t xml:space="preserve"> underestimated. However, DUSC considered the number of treated patients in the later years may</w:t>
      </w:r>
      <w:r w:rsidR="00917D89">
        <w:t xml:space="preserve"> have</w:t>
      </w:r>
      <w:r w:rsidRPr="00935D7C">
        <w:t xml:space="preserve"> be</w:t>
      </w:r>
      <w:r w:rsidR="00917D89">
        <w:t>en</w:t>
      </w:r>
      <w:r w:rsidRPr="00935D7C">
        <w:t xml:space="preserve"> overestimated. Despite methodological issues, overall the number of full patient years on treatment may be a reasonable estimate. The main issues </w:t>
      </w:r>
      <w:r w:rsidR="00AA22E8">
        <w:t>were</w:t>
      </w:r>
      <w:r w:rsidRPr="00935D7C">
        <w:t>:</w:t>
      </w:r>
    </w:p>
    <w:p w:rsidR="00935D7C" w:rsidRPr="0014414A" w:rsidRDefault="00935D7C" w:rsidP="002F6883">
      <w:pPr>
        <w:widowControl/>
        <w:numPr>
          <w:ilvl w:val="0"/>
          <w:numId w:val="23"/>
        </w:numPr>
        <w:tabs>
          <w:tab w:val="clear" w:pos="360"/>
          <w:tab w:val="num" w:pos="993"/>
        </w:tabs>
        <w:ind w:left="993" w:hanging="284"/>
        <w:contextualSpacing/>
      </w:pPr>
      <w:r w:rsidRPr="0014414A">
        <w:t>The estimated number of incident patients relied on a narrow definition of IPF, thus the eligible proportion of 66% may have been underestimated.</w:t>
      </w:r>
    </w:p>
    <w:p w:rsidR="00935D7C" w:rsidRPr="0014414A" w:rsidRDefault="00935D7C" w:rsidP="002F6883">
      <w:pPr>
        <w:widowControl/>
        <w:numPr>
          <w:ilvl w:val="0"/>
          <w:numId w:val="23"/>
        </w:numPr>
        <w:tabs>
          <w:tab w:val="clear" w:pos="360"/>
          <w:tab w:val="num" w:pos="993"/>
        </w:tabs>
        <w:ind w:left="993" w:hanging="284"/>
        <w:contextualSpacing/>
      </w:pPr>
      <w:r w:rsidRPr="0014414A">
        <w:t>The estimated number of patients treated relied on application of the same retention rate to the prevalent pool as for incident patients, which may have overestimated the number of continuing patients.</w:t>
      </w:r>
    </w:p>
    <w:p w:rsidR="00935D7C" w:rsidRDefault="00935D7C" w:rsidP="002F6883">
      <w:pPr>
        <w:widowControl/>
        <w:jc w:val="left"/>
        <w:rPr>
          <w:rFonts w:cs="Times New Roman"/>
          <w:szCs w:val="22"/>
        </w:rPr>
      </w:pPr>
    </w:p>
    <w:p w:rsidR="00DD6142" w:rsidRPr="00DD6142" w:rsidRDefault="00DD6142" w:rsidP="002F6883">
      <w:pPr>
        <w:pStyle w:val="ListParagraph"/>
        <w:widowControl/>
        <w:numPr>
          <w:ilvl w:val="1"/>
          <w:numId w:val="2"/>
        </w:numPr>
      </w:pPr>
      <w:r w:rsidRPr="00DD6142">
        <w:t xml:space="preserve">DUSC noted that the </w:t>
      </w:r>
      <w:r w:rsidR="008F461A">
        <w:t xml:space="preserve">November 2016 </w:t>
      </w:r>
      <w:r w:rsidRPr="00DD6142">
        <w:t>resubmission for nintedanib adopted a different approach to estimating use in practice compared with the pirfenidone resubmission. DUSC made the following general points regarding the financial estimates for IPF therapies to assist the PBAC in aligning these different approaches:</w:t>
      </w:r>
    </w:p>
    <w:p w:rsidR="00DD6142" w:rsidRDefault="00DD6142" w:rsidP="002F6883">
      <w:pPr>
        <w:widowControl/>
        <w:numPr>
          <w:ilvl w:val="0"/>
          <w:numId w:val="23"/>
        </w:numPr>
        <w:tabs>
          <w:tab w:val="clear" w:pos="360"/>
          <w:tab w:val="num" w:pos="993"/>
        </w:tabs>
        <w:ind w:left="993" w:hanging="284"/>
        <w:contextualSpacing/>
      </w:pPr>
      <w:r w:rsidRPr="00502F71">
        <w:t>DUSC recalled its view that the</w:t>
      </w:r>
      <w:r>
        <w:t xml:space="preserve"> population</w:t>
      </w:r>
      <w:r w:rsidRPr="00502F71">
        <w:t xml:space="preserve"> prevalence of IPF</w:t>
      </w:r>
      <w:r>
        <w:t xml:space="preserve"> based on studies consistent with the restriction</w:t>
      </w:r>
      <w:r w:rsidRPr="00502F71">
        <w:t xml:space="preserve"> is 14.4 per 100,000 (Nintedanib IPF PSD March 2015). If this population prevalence is applied to the </w:t>
      </w:r>
      <w:r>
        <w:t xml:space="preserve">projected </w:t>
      </w:r>
      <w:r w:rsidRPr="00502F71">
        <w:t>Australian population, the diagnosed prevalent patient pool would be between 3,300 and 3,600 over the five year estimates.</w:t>
      </w:r>
    </w:p>
    <w:p w:rsidR="00DD6142" w:rsidRDefault="00DD6142" w:rsidP="002F6883">
      <w:pPr>
        <w:widowControl/>
        <w:numPr>
          <w:ilvl w:val="0"/>
          <w:numId w:val="23"/>
        </w:numPr>
        <w:tabs>
          <w:tab w:val="clear" w:pos="360"/>
          <w:tab w:val="num" w:pos="993"/>
        </w:tabs>
        <w:ind w:left="993" w:hanging="284"/>
        <w:contextualSpacing/>
      </w:pPr>
      <w:r>
        <w:lastRenderedPageBreak/>
        <w:t>Because the prevalence rate includes diagnosis, DUSC considered that close to 100% of the prevalent pool would meet the restriction eligibility criteria.</w:t>
      </w:r>
    </w:p>
    <w:p w:rsidR="00DD6142" w:rsidRDefault="00DD6142" w:rsidP="002F6883">
      <w:pPr>
        <w:widowControl/>
        <w:numPr>
          <w:ilvl w:val="0"/>
          <w:numId w:val="23"/>
        </w:numPr>
        <w:tabs>
          <w:tab w:val="clear" w:pos="360"/>
          <w:tab w:val="num" w:pos="993"/>
        </w:tabs>
        <w:ind w:left="993" w:hanging="284"/>
        <w:contextualSpacing/>
      </w:pPr>
      <w:r w:rsidRPr="00502F71">
        <w:t>DUSC recalled its view that, given that IPF is a progressive and ultimately fatal disease with no other specific therapies available in Australia, uptake in the eligible population would be substantial (</w:t>
      </w:r>
      <w:r w:rsidR="00536D07">
        <w:t>n</w:t>
      </w:r>
      <w:r w:rsidRPr="00502F71">
        <w:t xml:space="preserve">intedanib </w:t>
      </w:r>
      <w:r w:rsidR="00536D07">
        <w:t>(</w:t>
      </w:r>
      <w:r w:rsidRPr="00502F71">
        <w:t>IPF</w:t>
      </w:r>
      <w:r w:rsidR="00536D07">
        <w:t>)</w:t>
      </w:r>
      <w:r w:rsidRPr="00502F71">
        <w:t xml:space="preserve"> PSD March 2015). DUSC recommended uptake rates of 60% in year 1 increasing to 100% in year 5.</w:t>
      </w:r>
    </w:p>
    <w:p w:rsidR="00DD6142" w:rsidRPr="008B4751" w:rsidRDefault="00DD6142" w:rsidP="002F6883">
      <w:pPr>
        <w:widowControl/>
        <w:numPr>
          <w:ilvl w:val="0"/>
          <w:numId w:val="23"/>
        </w:numPr>
        <w:tabs>
          <w:tab w:val="clear" w:pos="360"/>
          <w:tab w:val="num" w:pos="993"/>
        </w:tabs>
        <w:ind w:left="993" w:hanging="284"/>
        <w:contextualSpacing/>
      </w:pPr>
      <w:r w:rsidRPr="00610EF6">
        <w:t>DUSC considered that tolerability in practice might be lower than in the clinical trials, meaning patients may not persist with therapy</w:t>
      </w:r>
      <w:r>
        <w:t xml:space="preserve"> to the same extent</w:t>
      </w:r>
      <w:r w:rsidRPr="00610EF6">
        <w:t>.</w:t>
      </w:r>
    </w:p>
    <w:p w:rsidR="00DD6142" w:rsidRDefault="00DD6142" w:rsidP="007C13C1">
      <w:pPr>
        <w:widowControl/>
      </w:pPr>
    </w:p>
    <w:p w:rsidR="00DD6142" w:rsidRDefault="00DD6142" w:rsidP="002F6883">
      <w:pPr>
        <w:pStyle w:val="ListParagraph"/>
        <w:widowControl/>
        <w:numPr>
          <w:ilvl w:val="1"/>
          <w:numId w:val="2"/>
        </w:numPr>
      </w:pPr>
      <w:r>
        <w:t>The pre-PBAC response noted that DUSC considered that the prevalent population eligible for treatment is between 3,300 and 3,600 patients which represents 66% to 72% of the 5,000 prevalent patients with IPF estimated by the Lung Foundation Australia. Therefore, the pre-PBAC response concluded that the 66% eligibility</w:t>
      </w:r>
      <w:r w:rsidR="00990E05">
        <w:t xml:space="preserve"> rate</w:t>
      </w:r>
      <w:r>
        <w:t xml:space="preserve"> </w:t>
      </w:r>
      <w:r w:rsidR="00990E05">
        <w:t>is within a range deemed reasonable by DUSC.</w:t>
      </w:r>
    </w:p>
    <w:p w:rsidR="00F15926" w:rsidRPr="00935D7C" w:rsidRDefault="00F15926" w:rsidP="002F6883">
      <w:pPr>
        <w:widowControl/>
        <w:jc w:val="left"/>
        <w:rPr>
          <w:rFonts w:cs="Times New Roman"/>
          <w:szCs w:val="22"/>
        </w:rPr>
      </w:pPr>
    </w:p>
    <w:p w:rsidR="001C41DE" w:rsidRPr="0064467D" w:rsidRDefault="001C41DE" w:rsidP="002F6883">
      <w:pPr>
        <w:keepNext/>
        <w:widowControl/>
        <w:outlineLvl w:val="1"/>
        <w:rPr>
          <w:b/>
          <w:i/>
        </w:rPr>
      </w:pPr>
      <w:bookmarkStart w:id="16" w:name="_Toc459120727"/>
      <w:r w:rsidRPr="0064467D">
        <w:rPr>
          <w:b/>
          <w:i/>
        </w:rPr>
        <w:t>Quality Use of Medicines</w:t>
      </w:r>
      <w:bookmarkEnd w:id="16"/>
    </w:p>
    <w:p w:rsidR="00935D7C" w:rsidRPr="007C13C1" w:rsidRDefault="00935D7C" w:rsidP="002F6883">
      <w:pPr>
        <w:widowControl/>
        <w:jc w:val="left"/>
        <w:rPr>
          <w:rFonts w:cs="Times New Roman"/>
          <w:szCs w:val="22"/>
        </w:rPr>
      </w:pPr>
    </w:p>
    <w:p w:rsidR="00935D7C" w:rsidRDefault="00DD6142" w:rsidP="002F6883">
      <w:pPr>
        <w:pStyle w:val="ListParagraph"/>
        <w:widowControl/>
        <w:numPr>
          <w:ilvl w:val="1"/>
          <w:numId w:val="2"/>
        </w:numPr>
      </w:pPr>
      <w:r w:rsidRPr="00DD6142">
        <w:t>The dosing regimen for pirfenidone is three capsules three times per day.</w:t>
      </w:r>
      <w:r>
        <w:t xml:space="preserve"> </w:t>
      </w:r>
      <w:r w:rsidR="00935D7C" w:rsidRPr="00DD6142">
        <w:t>DUSC considered the dosing regimen may have implications for patient compliance</w:t>
      </w:r>
      <w:r w:rsidR="007B2E26">
        <w:t>,</w:t>
      </w:r>
      <w:r w:rsidR="00C255B0" w:rsidRPr="00DD6142">
        <w:t xml:space="preserve"> particularly in the context of a treatment that does not res</w:t>
      </w:r>
      <w:r w:rsidR="007B2E26">
        <w:t>ult in improvement of symptoms.</w:t>
      </w:r>
    </w:p>
    <w:p w:rsidR="00935D7C" w:rsidRPr="0014414A" w:rsidRDefault="00935D7C" w:rsidP="007C13C1">
      <w:pPr>
        <w:widowControl/>
        <w:rPr>
          <w:szCs w:val="22"/>
        </w:rPr>
      </w:pPr>
    </w:p>
    <w:p w:rsidR="00576972" w:rsidRPr="001C41DE" w:rsidRDefault="00576972" w:rsidP="002F6883">
      <w:pPr>
        <w:pStyle w:val="Heading2"/>
      </w:pPr>
      <w:bookmarkStart w:id="17" w:name="_Toc461547436"/>
      <w:r w:rsidRPr="001C41DE">
        <w:t>Financial Management – Risk Sharing Arrangements</w:t>
      </w:r>
      <w:bookmarkEnd w:id="17"/>
    </w:p>
    <w:p w:rsidR="00C25D9C" w:rsidRPr="00576972" w:rsidRDefault="00C25D9C" w:rsidP="002F6883">
      <w:pPr>
        <w:widowControl/>
        <w:rPr>
          <w:szCs w:val="22"/>
        </w:rPr>
      </w:pPr>
    </w:p>
    <w:p w:rsidR="00576972" w:rsidRDefault="00D609D9" w:rsidP="002F6883">
      <w:pPr>
        <w:pStyle w:val="ListParagraph"/>
        <w:widowControl/>
        <w:numPr>
          <w:ilvl w:val="1"/>
          <w:numId w:val="2"/>
        </w:numPr>
        <w:rPr>
          <w:szCs w:val="22"/>
        </w:rPr>
      </w:pPr>
      <w:r>
        <w:rPr>
          <w:szCs w:val="22"/>
        </w:rPr>
        <w:t>The resubmission proposed a</w:t>
      </w:r>
      <w:r w:rsidR="005912BF">
        <w:rPr>
          <w:szCs w:val="22"/>
        </w:rPr>
        <w:t>n RSA</w:t>
      </w:r>
      <w:r>
        <w:rPr>
          <w:szCs w:val="22"/>
        </w:rPr>
        <w:t xml:space="preserve"> consisting of </w:t>
      </w:r>
      <w:r w:rsidR="006860C3">
        <w:rPr>
          <w:szCs w:val="22"/>
        </w:rPr>
        <w:t>two</w:t>
      </w:r>
      <w:r>
        <w:rPr>
          <w:szCs w:val="22"/>
        </w:rPr>
        <w:t xml:space="preserve"> parts:</w:t>
      </w:r>
    </w:p>
    <w:p w:rsidR="00D609D9" w:rsidRPr="00DD6142" w:rsidRDefault="00DD7AB4" w:rsidP="002F6883">
      <w:pPr>
        <w:widowControl/>
        <w:numPr>
          <w:ilvl w:val="0"/>
          <w:numId w:val="23"/>
        </w:numPr>
        <w:tabs>
          <w:tab w:val="clear" w:pos="360"/>
          <w:tab w:val="num" w:pos="993"/>
        </w:tabs>
        <w:ind w:left="993" w:hanging="284"/>
        <w:contextualSpacing/>
      </w:pPr>
      <w:r w:rsidRPr="00DD6142">
        <w:t>A</w:t>
      </w:r>
      <w:r w:rsidR="007B2E26">
        <w:t>n</w:t>
      </w:r>
      <w:r w:rsidRPr="00DD6142">
        <w:t xml:space="preserve"> </w:t>
      </w:r>
      <w:r w:rsidR="006860C3" w:rsidRPr="00DD6142">
        <w:t xml:space="preserve">SPA </w:t>
      </w:r>
      <w:r w:rsidRPr="00DD6142">
        <w:t xml:space="preserve">with a </w:t>
      </w:r>
      <w:r w:rsidR="00F60B7B">
        <w:rPr>
          <w:noProof/>
          <w:color w:val="000000"/>
          <w:highlight w:val="black"/>
        </w:rPr>
        <w:t>''''''</w:t>
      </w:r>
      <w:r w:rsidR="00D609D9" w:rsidRPr="00DD6142">
        <w:t xml:space="preserve">% rebate on the ex-manufacturer price </w:t>
      </w:r>
      <w:r w:rsidR="007B2E26">
        <w:t xml:space="preserve">(as </w:t>
      </w:r>
      <w:r w:rsidR="00D609D9" w:rsidRPr="00DD6142">
        <w:t xml:space="preserve">proposed in the March 2016 minor </w:t>
      </w:r>
      <w:r w:rsidR="00376B73" w:rsidRPr="00DD6142">
        <w:t>resubmission</w:t>
      </w:r>
      <w:r w:rsidR="007B2E26">
        <w:t>)</w:t>
      </w:r>
      <w:r w:rsidR="007C13C1">
        <w:t>; and</w:t>
      </w:r>
    </w:p>
    <w:p w:rsidR="00D93A52" w:rsidRDefault="00D93A52" w:rsidP="002F6883">
      <w:pPr>
        <w:widowControl/>
        <w:numPr>
          <w:ilvl w:val="0"/>
          <w:numId w:val="23"/>
        </w:numPr>
        <w:tabs>
          <w:tab w:val="clear" w:pos="360"/>
          <w:tab w:val="num" w:pos="993"/>
        </w:tabs>
        <w:ind w:left="993" w:hanging="284"/>
        <w:contextualSpacing/>
      </w:pPr>
      <w:r w:rsidRPr="00DD6142">
        <w:t xml:space="preserve">Annual subsidisation caps with </w:t>
      </w:r>
      <w:r w:rsidR="00F60B7B">
        <w:rPr>
          <w:noProof/>
          <w:color w:val="000000"/>
          <w:highlight w:val="black"/>
        </w:rPr>
        <w:t>''''''''''</w:t>
      </w:r>
      <w:r w:rsidRPr="00DD6142">
        <w:t xml:space="preserve">% rebate of PBS expenditure exceeding the caps; limiting PBS expenditure to </w:t>
      </w:r>
      <w:r w:rsidR="00EA7FB6">
        <w:t>$</w:t>
      </w:r>
      <w:r w:rsidR="003432BC">
        <w:rPr>
          <w:noProof/>
          <w:color w:val="000000"/>
          <w:highlight w:val="black"/>
        </w:rPr>
        <w:t>'''''' '' '''''''''''''</w:t>
      </w:r>
      <w:r w:rsidRPr="00DD6142">
        <w:t> million over five years.</w:t>
      </w:r>
    </w:p>
    <w:p w:rsidR="00D609D9" w:rsidRPr="007C13C1" w:rsidRDefault="00D609D9" w:rsidP="007C13C1">
      <w:pPr>
        <w:widowControl/>
        <w:rPr>
          <w:szCs w:val="22"/>
        </w:rPr>
      </w:pPr>
    </w:p>
    <w:p w:rsidR="00626C6B" w:rsidRPr="007C13C1" w:rsidRDefault="00626C6B" w:rsidP="002F6883">
      <w:pPr>
        <w:pStyle w:val="ListParagraph"/>
        <w:widowControl/>
        <w:numPr>
          <w:ilvl w:val="1"/>
          <w:numId w:val="2"/>
        </w:numPr>
        <w:rPr>
          <w:szCs w:val="22"/>
          <w:lang w:val="en-US"/>
        </w:rPr>
      </w:pPr>
      <w:r w:rsidRPr="00626C6B">
        <w:rPr>
          <w:szCs w:val="22"/>
        </w:rPr>
        <w:t>DUSC considered there would be potential for use of pirfenidone outside the requested restriction in other subtypes of interstitial lung disease, which also have limited treatment options. While this risk would likely be mitigated by the suggested authority listing</w:t>
      </w:r>
      <w:r w:rsidR="00536D07">
        <w:rPr>
          <w:szCs w:val="22"/>
        </w:rPr>
        <w:t xml:space="preserve"> </w:t>
      </w:r>
      <w:r w:rsidR="00536D07">
        <w:rPr>
          <w:bCs/>
          <w:szCs w:val="22"/>
        </w:rPr>
        <w:t>and the requirement for diagnosis by a multidisciplinary team</w:t>
      </w:r>
      <w:r w:rsidRPr="00626C6B">
        <w:rPr>
          <w:szCs w:val="22"/>
        </w:rPr>
        <w:t xml:space="preserve">, DUSC considered a tight </w:t>
      </w:r>
      <w:r w:rsidR="00DC732A">
        <w:rPr>
          <w:szCs w:val="22"/>
        </w:rPr>
        <w:t>RSA</w:t>
      </w:r>
      <w:r w:rsidRPr="00626C6B">
        <w:rPr>
          <w:szCs w:val="22"/>
        </w:rPr>
        <w:t xml:space="preserve"> was important.</w:t>
      </w:r>
    </w:p>
    <w:p w:rsidR="00EB2977" w:rsidRPr="007C13C1" w:rsidRDefault="00EB2977" w:rsidP="002F6883">
      <w:pPr>
        <w:widowControl/>
        <w:rPr>
          <w:szCs w:val="22"/>
          <w:lang w:val="en-US"/>
        </w:rPr>
      </w:pPr>
    </w:p>
    <w:p w:rsidR="00EB2977" w:rsidRDefault="00DC732A" w:rsidP="002F6883">
      <w:pPr>
        <w:pStyle w:val="ListParagraph"/>
        <w:widowControl/>
        <w:numPr>
          <w:ilvl w:val="1"/>
          <w:numId w:val="2"/>
        </w:numPr>
      </w:pPr>
      <w:r>
        <w:rPr>
          <w:szCs w:val="22"/>
        </w:rPr>
        <w:t>The resubmission stated that</w:t>
      </w:r>
      <w:r w:rsidRPr="00F90C99">
        <w:rPr>
          <w:szCs w:val="22"/>
        </w:rPr>
        <w:t xml:space="preserve"> due to the </w:t>
      </w:r>
      <w:r>
        <w:rPr>
          <w:szCs w:val="22"/>
        </w:rPr>
        <w:t xml:space="preserve">proposed </w:t>
      </w:r>
      <w:r w:rsidRPr="00F90C99">
        <w:rPr>
          <w:szCs w:val="22"/>
        </w:rPr>
        <w:t>ti</w:t>
      </w:r>
      <w:r>
        <w:rPr>
          <w:szCs w:val="22"/>
        </w:rPr>
        <w:t xml:space="preserve">ght subsidisation caps, </w:t>
      </w:r>
      <w:r w:rsidRPr="00F90C99">
        <w:rPr>
          <w:szCs w:val="22"/>
        </w:rPr>
        <w:t>the presented results of the financial estimates are of limited relevance for PBAC’s decision making.</w:t>
      </w:r>
      <w:r>
        <w:rPr>
          <w:szCs w:val="22"/>
        </w:rPr>
        <w:t xml:space="preserve"> </w:t>
      </w:r>
      <w:r w:rsidR="00EB2977">
        <w:t>While DUSC acknowledged the subsidisation caps proposed by the sponsor were provided to mitigate against high total cost to government, DUSC disagreed with the sponsor that the financial estimates are of limited relevance. DUSC considered estimating the extent of use is important for future monitoring and ensuring quality use of medicines. DUSC also noted that the sponsor did not provide any reasoning for the cap amoun</w:t>
      </w:r>
      <w:r w:rsidR="00EB04B2">
        <w:t>ts in each of the five years.</w:t>
      </w:r>
    </w:p>
    <w:p w:rsidR="002F4944" w:rsidRDefault="002F4944" w:rsidP="002F6883">
      <w:pPr>
        <w:widowControl/>
        <w:jc w:val="left"/>
        <w:rPr>
          <w:i/>
        </w:rPr>
      </w:pPr>
    </w:p>
    <w:p w:rsidR="005754A0" w:rsidRDefault="005754A0" w:rsidP="002F6883">
      <w:pPr>
        <w:pStyle w:val="ListParagraph"/>
        <w:widowControl/>
        <w:ind w:left="709"/>
        <w:rPr>
          <w:i/>
          <w:szCs w:val="22"/>
        </w:rPr>
      </w:pPr>
      <w:r w:rsidRPr="000C37D0">
        <w:rPr>
          <w:i/>
          <w:szCs w:val="22"/>
        </w:rPr>
        <w:t>For more detail on PBAC’s view, see section 7 “PBAC outcome”</w:t>
      </w:r>
      <w:r w:rsidR="007C13C1">
        <w:rPr>
          <w:i/>
          <w:szCs w:val="22"/>
        </w:rPr>
        <w:t>.</w:t>
      </w:r>
    </w:p>
    <w:p w:rsidR="008D0DBB" w:rsidRDefault="008D0DBB" w:rsidP="002F6883">
      <w:pPr>
        <w:widowControl/>
        <w:rPr>
          <w:highlight w:val="green"/>
        </w:rPr>
      </w:pPr>
    </w:p>
    <w:p w:rsidR="00175CF6" w:rsidRDefault="00175CF6" w:rsidP="002F6883">
      <w:pPr>
        <w:widowControl/>
        <w:rPr>
          <w:highlight w:val="green"/>
        </w:rPr>
      </w:pPr>
    </w:p>
    <w:p w:rsidR="002304E5" w:rsidRPr="001C41DE" w:rsidRDefault="002304E5" w:rsidP="002F6883">
      <w:pPr>
        <w:pStyle w:val="PBACheading1"/>
        <w:keepNext/>
        <w:rPr>
          <w:b/>
        </w:rPr>
      </w:pPr>
      <w:r w:rsidRPr="001C41DE">
        <w:rPr>
          <w:b/>
        </w:rPr>
        <w:lastRenderedPageBreak/>
        <w:t>PBAC Outcome</w:t>
      </w:r>
    </w:p>
    <w:p w:rsidR="002304E5" w:rsidRPr="003C3927" w:rsidRDefault="002304E5" w:rsidP="002F6883">
      <w:pPr>
        <w:keepNext/>
        <w:widowControl/>
        <w:contextualSpacing/>
        <w:rPr>
          <w:bCs/>
          <w:szCs w:val="22"/>
          <w:highlight w:val="yellow"/>
          <w:lang w:val="en-GB"/>
        </w:rPr>
      </w:pPr>
    </w:p>
    <w:p w:rsidR="002304E5" w:rsidRPr="00CD77C2" w:rsidRDefault="00CD77C2" w:rsidP="002F6883">
      <w:pPr>
        <w:widowControl/>
        <w:numPr>
          <w:ilvl w:val="1"/>
          <w:numId w:val="2"/>
        </w:numPr>
        <w:contextualSpacing/>
        <w:rPr>
          <w:bCs/>
          <w:szCs w:val="22"/>
          <w:lang w:val="en-GB"/>
        </w:rPr>
      </w:pPr>
      <w:r>
        <w:rPr>
          <w:bCs/>
          <w:szCs w:val="22"/>
          <w:lang w:val="en-GB"/>
        </w:rPr>
        <w:t>The PBAC deferred making a recommendation on whether pirfenidone should be listed for the treatment of idiopathic pulmonary fibrosis (IPF)</w:t>
      </w:r>
      <w:r w:rsidR="00B132BA">
        <w:rPr>
          <w:bCs/>
          <w:szCs w:val="22"/>
          <w:lang w:val="en-GB"/>
        </w:rPr>
        <w:t xml:space="preserve"> </w:t>
      </w:r>
      <w:r w:rsidR="00F66128">
        <w:rPr>
          <w:bCs/>
          <w:szCs w:val="22"/>
          <w:lang w:val="en-GB"/>
        </w:rPr>
        <w:t xml:space="preserve">to allow for further discussions regarding </w:t>
      </w:r>
      <w:r w:rsidR="00175CF6">
        <w:rPr>
          <w:bCs/>
          <w:szCs w:val="22"/>
          <w:lang w:val="en-GB"/>
        </w:rPr>
        <w:t xml:space="preserve">an acceptable </w:t>
      </w:r>
      <w:r w:rsidR="00F66128">
        <w:rPr>
          <w:bCs/>
          <w:szCs w:val="22"/>
          <w:lang w:val="en-GB"/>
        </w:rPr>
        <w:t>price</w:t>
      </w:r>
      <w:r w:rsidR="00175CF6">
        <w:rPr>
          <w:bCs/>
          <w:szCs w:val="22"/>
          <w:lang w:val="en-GB"/>
        </w:rPr>
        <w:t xml:space="preserve"> and </w:t>
      </w:r>
      <w:r w:rsidR="00536D07">
        <w:rPr>
          <w:bCs/>
          <w:szCs w:val="22"/>
          <w:lang w:val="en-GB"/>
        </w:rPr>
        <w:t>RSA</w:t>
      </w:r>
      <w:r w:rsidR="00F66128">
        <w:rPr>
          <w:bCs/>
          <w:szCs w:val="22"/>
          <w:lang w:val="en-GB"/>
        </w:rPr>
        <w:t>.</w:t>
      </w:r>
    </w:p>
    <w:p w:rsidR="000E1424" w:rsidRPr="000F5C03" w:rsidRDefault="000E1424" w:rsidP="002F6883">
      <w:pPr>
        <w:widowControl/>
        <w:rPr>
          <w:bCs/>
          <w:szCs w:val="22"/>
          <w:lang w:val="en-GB"/>
        </w:rPr>
      </w:pPr>
    </w:p>
    <w:p w:rsidR="000E1424" w:rsidRDefault="00DE6F9D" w:rsidP="002F6883">
      <w:pPr>
        <w:widowControl/>
        <w:numPr>
          <w:ilvl w:val="1"/>
          <w:numId w:val="2"/>
        </w:numPr>
        <w:contextualSpacing/>
        <w:rPr>
          <w:bCs/>
          <w:szCs w:val="22"/>
          <w:lang w:val="en-GB"/>
        </w:rPr>
      </w:pPr>
      <w:r>
        <w:rPr>
          <w:bCs/>
          <w:szCs w:val="22"/>
          <w:lang w:val="en-GB"/>
        </w:rPr>
        <w:t xml:space="preserve">The PBAC recalled that in March 2016, the PBAC </w:t>
      </w:r>
      <w:r w:rsidR="0008401F">
        <w:rPr>
          <w:bCs/>
          <w:szCs w:val="22"/>
          <w:lang w:val="en-GB"/>
        </w:rPr>
        <w:t xml:space="preserve">did not recommend </w:t>
      </w:r>
      <w:r>
        <w:rPr>
          <w:bCs/>
          <w:szCs w:val="22"/>
          <w:lang w:val="en-GB"/>
        </w:rPr>
        <w:t xml:space="preserve">listing pirfenidone for the treatment of IPF on the </w:t>
      </w:r>
      <w:r w:rsidR="004B0D38">
        <w:rPr>
          <w:bCs/>
          <w:szCs w:val="22"/>
          <w:lang w:val="en-GB"/>
        </w:rPr>
        <w:t>basis of unacceptably high cost</w:t>
      </w:r>
      <w:r w:rsidR="004B0D38">
        <w:rPr>
          <w:bCs/>
          <w:szCs w:val="22"/>
          <w:lang w:val="en-GB"/>
        </w:rPr>
        <w:noBreakHyphen/>
      </w:r>
      <w:r>
        <w:rPr>
          <w:bCs/>
          <w:szCs w:val="22"/>
          <w:lang w:val="en-GB"/>
        </w:rPr>
        <w:t xml:space="preserve">effectiveness, in the context of the total cost and </w:t>
      </w:r>
      <w:r w:rsidR="00986403">
        <w:rPr>
          <w:bCs/>
          <w:szCs w:val="22"/>
          <w:lang w:val="en-GB"/>
        </w:rPr>
        <w:t xml:space="preserve">uncertain </w:t>
      </w:r>
      <w:r>
        <w:rPr>
          <w:bCs/>
          <w:szCs w:val="22"/>
          <w:lang w:val="en-GB"/>
        </w:rPr>
        <w:t>utilisation.</w:t>
      </w:r>
    </w:p>
    <w:p w:rsidR="007C31DC" w:rsidRPr="007C13C1" w:rsidRDefault="007C31DC" w:rsidP="002F6883">
      <w:pPr>
        <w:widowControl/>
        <w:rPr>
          <w:bCs/>
          <w:szCs w:val="22"/>
          <w:lang w:val="en-GB"/>
        </w:rPr>
      </w:pPr>
    </w:p>
    <w:p w:rsidR="004747B6" w:rsidRPr="000A19B2" w:rsidRDefault="00FB27CB" w:rsidP="000A19B2">
      <w:pPr>
        <w:widowControl/>
        <w:numPr>
          <w:ilvl w:val="1"/>
          <w:numId w:val="2"/>
        </w:numPr>
        <w:contextualSpacing/>
        <w:rPr>
          <w:bCs/>
          <w:szCs w:val="22"/>
          <w:lang w:val="en-GB"/>
        </w:rPr>
      </w:pPr>
      <w:r>
        <w:rPr>
          <w:bCs/>
          <w:szCs w:val="22"/>
          <w:lang w:val="en-GB"/>
        </w:rPr>
        <w:t>As per its previous considerations in November 2015 and March 2016, t</w:t>
      </w:r>
      <w:r w:rsidRPr="002D20C1">
        <w:rPr>
          <w:bCs/>
          <w:szCs w:val="22"/>
          <w:lang w:val="en-GB"/>
        </w:rPr>
        <w:t>he PBAC</w:t>
      </w:r>
      <w:r>
        <w:rPr>
          <w:bCs/>
          <w:szCs w:val="22"/>
          <w:lang w:val="en-GB"/>
        </w:rPr>
        <w:t xml:space="preserve"> recognised </w:t>
      </w:r>
      <w:r>
        <w:rPr>
          <w:szCs w:val="22"/>
        </w:rPr>
        <w:t xml:space="preserve">the high clinical need for </w:t>
      </w:r>
      <w:r w:rsidRPr="00F16534">
        <w:rPr>
          <w:szCs w:val="22"/>
        </w:rPr>
        <w:t>an effective treatment for IPF</w:t>
      </w:r>
      <w:r>
        <w:rPr>
          <w:szCs w:val="22"/>
        </w:rPr>
        <w:t xml:space="preserve"> and the</w:t>
      </w:r>
      <w:r>
        <w:t xml:space="preserve"> significant debilitating effects of the disease on quality of life, as noted in the consumer comments received for this item</w:t>
      </w:r>
      <w:r w:rsidRPr="000A19B2">
        <w:rPr>
          <w:bCs/>
          <w:szCs w:val="22"/>
          <w:lang w:val="en-GB"/>
        </w:rPr>
        <w:t>. The PBAC noted that the American Thoracic Society guidelines for the treatment of IPF (2015 update</w:t>
      </w:r>
      <w:r>
        <w:rPr>
          <w:rStyle w:val="FootnoteReference"/>
          <w:bCs/>
          <w:szCs w:val="22"/>
          <w:lang w:val="en-GB"/>
        </w:rPr>
        <w:footnoteReference w:id="4"/>
      </w:r>
      <w:r w:rsidRPr="000A19B2">
        <w:rPr>
          <w:bCs/>
          <w:szCs w:val="22"/>
          <w:lang w:val="en-GB"/>
        </w:rPr>
        <w:t xml:space="preserve">) conditionally recommend the use of pirfenidone </w:t>
      </w:r>
      <w:r w:rsidR="00DD5341">
        <w:rPr>
          <w:bCs/>
          <w:szCs w:val="22"/>
          <w:lang w:val="en-GB"/>
        </w:rPr>
        <w:t xml:space="preserve">and nintedanib </w:t>
      </w:r>
      <w:r w:rsidRPr="000A19B2">
        <w:rPr>
          <w:bCs/>
          <w:szCs w:val="22"/>
          <w:lang w:val="en-GB"/>
        </w:rPr>
        <w:t>for the treatment of IPF (with moderate confidence in the effect estimates for both drugs).</w:t>
      </w:r>
    </w:p>
    <w:p w:rsidR="00FB27CB" w:rsidRDefault="00FB27CB" w:rsidP="007C13C1">
      <w:pPr>
        <w:widowControl/>
        <w:contextualSpacing/>
        <w:rPr>
          <w:bCs/>
          <w:szCs w:val="22"/>
          <w:lang w:val="en-GB"/>
        </w:rPr>
      </w:pPr>
    </w:p>
    <w:p w:rsidR="00F268B9" w:rsidRPr="008A0437" w:rsidRDefault="00F268B9" w:rsidP="00F268B9">
      <w:pPr>
        <w:widowControl/>
        <w:numPr>
          <w:ilvl w:val="1"/>
          <w:numId w:val="2"/>
        </w:numPr>
        <w:contextualSpacing/>
        <w:rPr>
          <w:bCs/>
          <w:szCs w:val="22"/>
        </w:rPr>
      </w:pPr>
      <w:r w:rsidRPr="008A0437">
        <w:rPr>
          <w:bCs/>
          <w:szCs w:val="22"/>
        </w:rPr>
        <w:t xml:space="preserve">The PBAC noted that IPF is a heterogeneous disease with different clinical courses but ultimately a poor prognosis. In noting the difficulty of diagnosis of IPF and the comments from the Australian IPF registry steering committee, the PBAC </w:t>
      </w:r>
      <w:r>
        <w:rPr>
          <w:bCs/>
          <w:szCs w:val="22"/>
        </w:rPr>
        <w:t>recommended</w:t>
      </w:r>
      <w:r w:rsidRPr="008A0437">
        <w:rPr>
          <w:bCs/>
          <w:szCs w:val="22"/>
        </w:rPr>
        <w:t xml:space="preserve"> that </w:t>
      </w:r>
      <w:r>
        <w:rPr>
          <w:bCs/>
          <w:szCs w:val="22"/>
        </w:rPr>
        <w:t>a</w:t>
      </w:r>
      <w:r w:rsidRPr="008A0437">
        <w:rPr>
          <w:bCs/>
          <w:szCs w:val="22"/>
        </w:rPr>
        <w:t xml:space="preserve"> </w:t>
      </w:r>
      <w:r w:rsidR="004B0D38">
        <w:rPr>
          <w:bCs/>
          <w:szCs w:val="22"/>
        </w:rPr>
        <w:t xml:space="preserve">PBS </w:t>
      </w:r>
      <w:r w:rsidRPr="008A0437">
        <w:rPr>
          <w:bCs/>
          <w:szCs w:val="22"/>
        </w:rPr>
        <w:t xml:space="preserve">restriction </w:t>
      </w:r>
      <w:r>
        <w:rPr>
          <w:bCs/>
          <w:szCs w:val="22"/>
        </w:rPr>
        <w:t xml:space="preserve">for pirfenidone </w:t>
      </w:r>
      <w:r w:rsidRPr="008A0437">
        <w:rPr>
          <w:bCs/>
          <w:szCs w:val="22"/>
        </w:rPr>
        <w:t>should include a criterion requiring diagnosis by a multidisciplinary team</w:t>
      </w:r>
      <w:r>
        <w:rPr>
          <w:bCs/>
          <w:szCs w:val="22"/>
        </w:rPr>
        <w:t xml:space="preserve">, </w:t>
      </w:r>
      <w:r w:rsidRPr="002173CB">
        <w:rPr>
          <w:bCs/>
          <w:szCs w:val="22"/>
        </w:rPr>
        <w:t>defined as a respiratory physician, radiologist and, where histological materi</w:t>
      </w:r>
      <w:r>
        <w:rPr>
          <w:bCs/>
          <w:szCs w:val="22"/>
        </w:rPr>
        <w:t>al is considered, a pathologist</w:t>
      </w:r>
      <w:r w:rsidRPr="008A0437">
        <w:rPr>
          <w:bCs/>
          <w:szCs w:val="22"/>
        </w:rPr>
        <w:t>. The PBAC also recommended the following</w:t>
      </w:r>
      <w:r w:rsidR="00E60468">
        <w:rPr>
          <w:bCs/>
          <w:szCs w:val="22"/>
        </w:rPr>
        <w:t xml:space="preserve"> with regards to the requested listing</w:t>
      </w:r>
      <w:r w:rsidRPr="008A0437">
        <w:rPr>
          <w:bCs/>
          <w:szCs w:val="22"/>
        </w:rPr>
        <w:t>:</w:t>
      </w:r>
    </w:p>
    <w:p w:rsidR="00F268B9" w:rsidRPr="00F268B9" w:rsidRDefault="00F268B9" w:rsidP="00F268B9">
      <w:pPr>
        <w:widowControl/>
        <w:numPr>
          <w:ilvl w:val="2"/>
          <w:numId w:val="2"/>
        </w:numPr>
        <w:ind w:left="993" w:hanging="284"/>
        <w:contextualSpacing/>
        <w:rPr>
          <w:szCs w:val="22"/>
        </w:rPr>
      </w:pPr>
      <w:r>
        <w:rPr>
          <w:szCs w:val="22"/>
        </w:rPr>
        <w:t xml:space="preserve">Given that administration of pirfenidone </w:t>
      </w:r>
      <w:r w:rsidR="00267DC4">
        <w:rPr>
          <w:szCs w:val="22"/>
        </w:rPr>
        <w:t xml:space="preserve">within a hospital setting is not required, listing on the </w:t>
      </w:r>
      <w:r w:rsidRPr="00F268B9">
        <w:rPr>
          <w:szCs w:val="22"/>
        </w:rPr>
        <w:t xml:space="preserve">General Schedule listing </w:t>
      </w:r>
      <w:r w:rsidR="004B0D38">
        <w:rPr>
          <w:szCs w:val="22"/>
        </w:rPr>
        <w:t xml:space="preserve">would be </w:t>
      </w:r>
      <w:r w:rsidRPr="00F268B9">
        <w:rPr>
          <w:szCs w:val="22"/>
        </w:rPr>
        <w:t>more appropriate.</w:t>
      </w:r>
    </w:p>
    <w:p w:rsidR="00F268B9" w:rsidRPr="006B32E0" w:rsidRDefault="006B32E0" w:rsidP="006B32E0">
      <w:pPr>
        <w:widowControl/>
        <w:numPr>
          <w:ilvl w:val="2"/>
          <w:numId w:val="2"/>
        </w:numPr>
        <w:ind w:left="993" w:hanging="284"/>
        <w:contextualSpacing/>
        <w:rPr>
          <w:bCs/>
          <w:szCs w:val="22"/>
        </w:rPr>
      </w:pPr>
      <w:r>
        <w:rPr>
          <w:szCs w:val="22"/>
        </w:rPr>
        <w:t xml:space="preserve">That </w:t>
      </w:r>
      <w:r w:rsidR="004B0D38">
        <w:rPr>
          <w:szCs w:val="22"/>
        </w:rPr>
        <w:t xml:space="preserve">a PBS listing for pirfenidone </w:t>
      </w:r>
      <w:r>
        <w:rPr>
          <w:szCs w:val="22"/>
        </w:rPr>
        <w:t xml:space="preserve">should not </w:t>
      </w:r>
      <w:r w:rsidR="004B0D38">
        <w:rPr>
          <w:szCs w:val="22"/>
        </w:rPr>
        <w:t xml:space="preserve">include </w:t>
      </w:r>
      <w:r>
        <w:rPr>
          <w:szCs w:val="22"/>
        </w:rPr>
        <w:t xml:space="preserve">a continuation rule </w:t>
      </w:r>
      <w:r w:rsidR="00F268B9" w:rsidRPr="008A0437">
        <w:rPr>
          <w:szCs w:val="22"/>
        </w:rPr>
        <w:t>as it would be difficult to implement in practice</w:t>
      </w:r>
      <w:r>
        <w:rPr>
          <w:bCs/>
          <w:szCs w:val="22"/>
        </w:rPr>
        <w:t xml:space="preserve">. </w:t>
      </w:r>
      <w:r w:rsidRPr="00C62C2D">
        <w:rPr>
          <w:bCs/>
          <w:szCs w:val="22"/>
        </w:rPr>
        <w:t xml:space="preserve">The PBAC noted that in progressive conditions like </w:t>
      </w:r>
      <w:r>
        <w:rPr>
          <w:bCs/>
          <w:szCs w:val="22"/>
        </w:rPr>
        <w:t>IPF</w:t>
      </w:r>
      <w:r w:rsidRPr="00C62C2D">
        <w:rPr>
          <w:bCs/>
          <w:szCs w:val="22"/>
        </w:rPr>
        <w:t>, deterioration in lung function is not inconsi</w:t>
      </w:r>
      <w:r>
        <w:rPr>
          <w:bCs/>
          <w:szCs w:val="22"/>
        </w:rPr>
        <w:t xml:space="preserve">stent with a treatment benefit and </w:t>
      </w:r>
      <w:r w:rsidRPr="00C62C2D">
        <w:rPr>
          <w:bCs/>
          <w:szCs w:val="22"/>
        </w:rPr>
        <w:t>that no continuation rule was implemented in the clinical trials.</w:t>
      </w:r>
      <w:r>
        <w:rPr>
          <w:bCs/>
          <w:szCs w:val="22"/>
        </w:rPr>
        <w:t xml:space="preserve"> </w:t>
      </w:r>
      <w:r w:rsidRPr="006B32E0">
        <w:rPr>
          <w:bCs/>
          <w:szCs w:val="22"/>
        </w:rPr>
        <w:t>T</w:t>
      </w:r>
      <w:r w:rsidR="00F268B9" w:rsidRPr="006B32E0">
        <w:rPr>
          <w:bCs/>
          <w:szCs w:val="22"/>
        </w:rPr>
        <w:t>he risk of continued use in patients who have progressed and are</w:t>
      </w:r>
      <w:r w:rsidR="00DE3E3C">
        <w:rPr>
          <w:bCs/>
          <w:szCs w:val="22"/>
        </w:rPr>
        <w:t xml:space="preserve"> therefore</w:t>
      </w:r>
      <w:r w:rsidR="00F268B9" w:rsidRPr="006B32E0">
        <w:rPr>
          <w:bCs/>
          <w:szCs w:val="22"/>
        </w:rPr>
        <w:t xml:space="preserve"> likely to receive a relatively smaller benefit of treatment </w:t>
      </w:r>
      <w:r w:rsidR="00E60468">
        <w:rPr>
          <w:bCs/>
          <w:szCs w:val="22"/>
        </w:rPr>
        <w:t>should</w:t>
      </w:r>
      <w:r w:rsidRPr="006B32E0">
        <w:rPr>
          <w:bCs/>
          <w:szCs w:val="22"/>
        </w:rPr>
        <w:t xml:space="preserve"> </w:t>
      </w:r>
      <w:r w:rsidR="00F268B9" w:rsidRPr="006B32E0">
        <w:rPr>
          <w:bCs/>
          <w:szCs w:val="22"/>
        </w:rPr>
        <w:t xml:space="preserve">be managed through </w:t>
      </w:r>
      <w:r w:rsidR="00536D07">
        <w:rPr>
          <w:bCs/>
          <w:szCs w:val="22"/>
        </w:rPr>
        <w:t>an RSA</w:t>
      </w:r>
      <w:r w:rsidR="00F268B9" w:rsidRPr="006B32E0">
        <w:rPr>
          <w:bCs/>
          <w:szCs w:val="22"/>
        </w:rPr>
        <w:t>.</w:t>
      </w:r>
    </w:p>
    <w:p w:rsidR="00F268B9" w:rsidRDefault="00F268B9" w:rsidP="00F268B9">
      <w:pPr>
        <w:widowControl/>
        <w:numPr>
          <w:ilvl w:val="2"/>
          <w:numId w:val="2"/>
        </w:numPr>
        <w:ind w:left="993" w:hanging="284"/>
        <w:contextualSpacing/>
        <w:rPr>
          <w:bCs/>
          <w:szCs w:val="22"/>
        </w:rPr>
      </w:pPr>
      <w:r>
        <w:rPr>
          <w:bCs/>
          <w:szCs w:val="22"/>
        </w:rPr>
        <w:t>Retain the requirement for a chest HRCT scan to be consistent with diagnosis of IPF.</w:t>
      </w:r>
    </w:p>
    <w:p w:rsidR="006B32E0" w:rsidRPr="006B32E0" w:rsidRDefault="006B32E0" w:rsidP="006B32E0">
      <w:pPr>
        <w:widowControl/>
        <w:numPr>
          <w:ilvl w:val="2"/>
          <w:numId w:val="2"/>
        </w:numPr>
        <w:ind w:left="993" w:hanging="284"/>
        <w:contextualSpacing/>
        <w:rPr>
          <w:bCs/>
          <w:szCs w:val="22"/>
        </w:rPr>
      </w:pPr>
      <w:r>
        <w:rPr>
          <w:bCs/>
          <w:szCs w:val="22"/>
        </w:rPr>
        <w:t>Removal of the population criterion restricting use to patients aged 40 years and over.</w:t>
      </w:r>
    </w:p>
    <w:p w:rsidR="002541F9" w:rsidRDefault="002541F9" w:rsidP="002F6883">
      <w:pPr>
        <w:widowControl/>
        <w:contextualSpacing/>
        <w:rPr>
          <w:bCs/>
          <w:szCs w:val="22"/>
          <w:lang w:val="en-GB"/>
        </w:rPr>
      </w:pPr>
    </w:p>
    <w:p w:rsidR="000F5C03" w:rsidRDefault="000F5C03" w:rsidP="002F6883">
      <w:pPr>
        <w:widowControl/>
        <w:numPr>
          <w:ilvl w:val="1"/>
          <w:numId w:val="2"/>
        </w:numPr>
        <w:contextualSpacing/>
        <w:rPr>
          <w:bCs/>
          <w:szCs w:val="22"/>
          <w:lang w:val="en-GB"/>
        </w:rPr>
      </w:pPr>
      <w:r w:rsidRPr="00C47549">
        <w:rPr>
          <w:bCs/>
          <w:szCs w:val="22"/>
          <w:lang w:val="en-GB"/>
        </w:rPr>
        <w:t>The PBAC reaffirmed that best supportive care was an appropriate comparator for pirfenidone for IPF. Another novel agent for the treatment of IPF, nintedanib, was also considered at the November 2016 PBAC meeting and was a relevant secondary comparator.</w:t>
      </w:r>
    </w:p>
    <w:p w:rsidR="000F5C03" w:rsidRDefault="000F5C03" w:rsidP="007C13C1">
      <w:pPr>
        <w:widowControl/>
        <w:contextualSpacing/>
        <w:rPr>
          <w:bCs/>
          <w:szCs w:val="22"/>
          <w:lang w:val="en-GB"/>
        </w:rPr>
      </w:pPr>
    </w:p>
    <w:p w:rsidR="00B65FB4" w:rsidRPr="00B65FB4" w:rsidRDefault="00DF0221" w:rsidP="00A33D3E">
      <w:pPr>
        <w:pStyle w:val="ListParagraph"/>
        <w:widowControl/>
        <w:numPr>
          <w:ilvl w:val="1"/>
          <w:numId w:val="2"/>
        </w:numPr>
        <w:rPr>
          <w:szCs w:val="22"/>
        </w:rPr>
      </w:pPr>
      <w:r>
        <w:rPr>
          <w:bCs/>
          <w:szCs w:val="22"/>
          <w:lang w:val="en-GB"/>
        </w:rPr>
        <w:t xml:space="preserve">The PBAC noted the resubmission presented the same </w:t>
      </w:r>
      <w:r w:rsidR="00A33D3E">
        <w:rPr>
          <w:bCs/>
          <w:szCs w:val="22"/>
          <w:lang w:val="en-GB"/>
        </w:rPr>
        <w:t xml:space="preserve">three </w:t>
      </w:r>
      <w:r w:rsidR="00A33D3E">
        <w:t xml:space="preserve">head-to-head </w:t>
      </w:r>
      <w:r w:rsidR="00B65FB4">
        <w:t xml:space="preserve">randomised </w:t>
      </w:r>
      <w:r w:rsidR="00916261">
        <w:t xml:space="preserve">clinical trials </w:t>
      </w:r>
      <w:r w:rsidR="00A33D3E">
        <w:t xml:space="preserve">comparing pirfenidone with placebo </w:t>
      </w:r>
      <w:r w:rsidR="00916261">
        <w:t>as</w:t>
      </w:r>
      <w:r w:rsidR="00916261" w:rsidRPr="00444C2A">
        <w:t xml:space="preserve"> </w:t>
      </w:r>
      <w:r w:rsidR="00916261">
        <w:t xml:space="preserve">in the March 2016 </w:t>
      </w:r>
      <w:r w:rsidR="00A33D3E">
        <w:t>and November 2015 submissions</w:t>
      </w:r>
      <w:r w:rsidR="00916261" w:rsidRPr="00444C2A">
        <w:t xml:space="preserve">: ASCEND (n=555), CAPACITY-2 (n=435) and </w:t>
      </w:r>
      <w:r w:rsidR="00916261" w:rsidRPr="00444C2A">
        <w:lastRenderedPageBreak/>
        <w:t>CAPACITY-1 (n=344).</w:t>
      </w:r>
      <w:r w:rsidR="00916261">
        <w:t xml:space="preserve"> A pooled meta-analysis of these trials was conducted, as was an indirect comparison comparing pirfenidone and nintedanib.</w:t>
      </w:r>
      <w:r w:rsidR="006B542D">
        <w:t xml:space="preserve"> </w:t>
      </w:r>
      <w:r w:rsidR="00B65FB4">
        <w:t>On the basis of direct evidence in comparison to placebo presented by the submission, p</w:t>
      </w:r>
      <w:r w:rsidR="00EB361A">
        <w:t>irfenidone was associated with:</w:t>
      </w:r>
    </w:p>
    <w:p w:rsidR="00B65FB4" w:rsidRPr="00B65FB4" w:rsidRDefault="00B65FB4" w:rsidP="00B65FB4">
      <w:pPr>
        <w:pStyle w:val="ListParagraph"/>
        <w:widowControl/>
        <w:numPr>
          <w:ilvl w:val="2"/>
          <w:numId w:val="2"/>
        </w:numPr>
        <w:ind w:left="993" w:hanging="284"/>
        <w:rPr>
          <w:szCs w:val="22"/>
        </w:rPr>
      </w:pPr>
      <w:r>
        <w:t>Approximately a 4.0% reduction in absolute change in FVC%Pred from baseline to week 52.</w:t>
      </w:r>
    </w:p>
    <w:p w:rsidR="00276B7D" w:rsidRPr="00A33D3E" w:rsidRDefault="00B65FB4" w:rsidP="00B65FB4">
      <w:pPr>
        <w:pStyle w:val="ListParagraph"/>
        <w:widowControl/>
        <w:numPr>
          <w:ilvl w:val="2"/>
          <w:numId w:val="2"/>
        </w:numPr>
        <w:ind w:left="993" w:hanging="284"/>
        <w:rPr>
          <w:szCs w:val="22"/>
        </w:rPr>
      </w:pPr>
      <w:r>
        <w:t xml:space="preserve">No significant difference for overall survival, as reported in the vital status-end of study analysis </w:t>
      </w:r>
      <w:r w:rsidR="001C14B4">
        <w:t xml:space="preserve">(this analysis was </w:t>
      </w:r>
      <w:r>
        <w:t xml:space="preserve">considered </w:t>
      </w:r>
      <w:r w:rsidR="001C14B4">
        <w:t xml:space="preserve">in an </w:t>
      </w:r>
      <w:r>
        <w:t xml:space="preserve">FDA </w:t>
      </w:r>
      <w:r w:rsidR="001C14B4">
        <w:t xml:space="preserve">review for </w:t>
      </w:r>
      <w:r>
        <w:t>pirfenidone to be most representative of the efficacy of a drug in terms of disease modification/survival</w:t>
      </w:r>
      <w:r w:rsidR="001C14B4">
        <w:t>)</w:t>
      </w:r>
      <w:r>
        <w:t>.</w:t>
      </w:r>
      <w:r w:rsidR="00E60468">
        <w:t xml:space="preserve"> T</w:t>
      </w:r>
      <w:r w:rsidR="00E60468">
        <w:rPr>
          <w:szCs w:val="22"/>
        </w:rPr>
        <w:t xml:space="preserve">he PBAC noted that the trials were not powered for survival and the duration of the trials </w:t>
      </w:r>
      <w:r w:rsidR="008C54CA">
        <w:rPr>
          <w:szCs w:val="22"/>
        </w:rPr>
        <w:t>was</w:t>
      </w:r>
      <w:r w:rsidR="00E60468">
        <w:rPr>
          <w:szCs w:val="22"/>
        </w:rPr>
        <w:t xml:space="preserve"> likely insufficient to detect an OS benefit.</w:t>
      </w:r>
    </w:p>
    <w:p w:rsidR="00276B7D" w:rsidRPr="009A6DED" w:rsidRDefault="00276B7D" w:rsidP="002F6883">
      <w:pPr>
        <w:widowControl/>
        <w:rPr>
          <w:szCs w:val="22"/>
        </w:rPr>
      </w:pPr>
    </w:p>
    <w:p w:rsidR="00B65FB4" w:rsidRPr="008A0437" w:rsidRDefault="00B65FB4" w:rsidP="00B65FB4">
      <w:pPr>
        <w:widowControl/>
        <w:numPr>
          <w:ilvl w:val="1"/>
          <w:numId w:val="2"/>
        </w:numPr>
        <w:contextualSpacing/>
        <w:rPr>
          <w:bCs/>
          <w:szCs w:val="22"/>
        </w:rPr>
      </w:pPr>
      <w:r w:rsidRPr="008A0437">
        <w:rPr>
          <w:bCs/>
          <w:szCs w:val="22"/>
        </w:rPr>
        <w:t xml:space="preserve">The PBAC recalled that </w:t>
      </w:r>
      <w:r w:rsidR="00884E1E">
        <w:rPr>
          <w:bCs/>
          <w:szCs w:val="22"/>
        </w:rPr>
        <w:t xml:space="preserve">in November 2015 it considered </w:t>
      </w:r>
      <w:r>
        <w:rPr>
          <w:bCs/>
          <w:szCs w:val="22"/>
        </w:rPr>
        <w:t xml:space="preserve">an </w:t>
      </w:r>
      <w:r w:rsidRPr="008A0437">
        <w:rPr>
          <w:bCs/>
          <w:szCs w:val="22"/>
        </w:rPr>
        <w:t>FDA</w:t>
      </w:r>
      <w:r>
        <w:rPr>
          <w:rStyle w:val="FootnoteReference"/>
          <w:bCs/>
          <w:szCs w:val="22"/>
        </w:rPr>
        <w:footnoteReference w:id="5"/>
      </w:r>
      <w:r w:rsidRPr="008A0437">
        <w:rPr>
          <w:bCs/>
          <w:szCs w:val="22"/>
        </w:rPr>
        <w:t xml:space="preserve"> review of pirfenidone and nintedanib studies suggested that FVC is a valid surrogate for mortality in IPF. </w:t>
      </w:r>
      <w:r w:rsidRPr="008A0437">
        <w:rPr>
          <w:szCs w:val="22"/>
        </w:rPr>
        <w:t xml:space="preserve">It was further noted that the poor prognosis of patients with IPF combined with the observed trend in survival benefit imposes ethical limitations on any further placebo-controlled trials given the nature of the disease. This makes it difficult to generate prospective and placebo-controlled evidence of a statistically significant </w:t>
      </w:r>
      <w:r>
        <w:rPr>
          <w:szCs w:val="22"/>
        </w:rPr>
        <w:t>OS</w:t>
      </w:r>
      <w:r w:rsidRPr="008A0437">
        <w:rPr>
          <w:szCs w:val="22"/>
        </w:rPr>
        <w:t xml:space="preserve"> benefit with </w:t>
      </w:r>
      <w:r>
        <w:rPr>
          <w:szCs w:val="22"/>
        </w:rPr>
        <w:t>pirfenidone</w:t>
      </w:r>
      <w:r w:rsidRPr="008A0437">
        <w:rPr>
          <w:szCs w:val="22"/>
        </w:rPr>
        <w:t>.</w:t>
      </w:r>
      <w:r>
        <w:rPr>
          <w:szCs w:val="22"/>
        </w:rPr>
        <w:t xml:space="preserve"> Overall, PBAC considered that there </w:t>
      </w:r>
      <w:r w:rsidR="006B32E0">
        <w:rPr>
          <w:szCs w:val="22"/>
        </w:rPr>
        <w:t xml:space="preserve">may be indirect </w:t>
      </w:r>
      <w:r>
        <w:rPr>
          <w:szCs w:val="22"/>
        </w:rPr>
        <w:t>grounds to conclude that pirfenidone would likely improve OS, compared with BSC.</w:t>
      </w:r>
    </w:p>
    <w:p w:rsidR="00B65FB4" w:rsidRPr="007C13C1" w:rsidRDefault="00B65FB4" w:rsidP="00B65FB4">
      <w:pPr>
        <w:widowControl/>
        <w:rPr>
          <w:szCs w:val="22"/>
        </w:rPr>
      </w:pPr>
    </w:p>
    <w:p w:rsidR="00276B7D" w:rsidRPr="00276B7D" w:rsidRDefault="00276B7D" w:rsidP="002F6883">
      <w:pPr>
        <w:pStyle w:val="ListParagraph"/>
        <w:widowControl/>
        <w:numPr>
          <w:ilvl w:val="1"/>
          <w:numId w:val="2"/>
        </w:numPr>
        <w:rPr>
          <w:szCs w:val="22"/>
        </w:rPr>
      </w:pPr>
      <w:r w:rsidRPr="00276B7D">
        <w:rPr>
          <w:szCs w:val="22"/>
        </w:rPr>
        <w:t>The PBAC noted that no new comparative safety evidence was presented in the current resubmission.</w:t>
      </w:r>
      <w:r w:rsidR="00670EE7">
        <w:rPr>
          <w:szCs w:val="22"/>
        </w:rPr>
        <w:t xml:space="preserve"> The PBAC previously noted that </w:t>
      </w:r>
      <w:r w:rsidR="00771808">
        <w:rPr>
          <w:szCs w:val="22"/>
        </w:rPr>
        <w:t xml:space="preserve">common adverse events associated with </w:t>
      </w:r>
      <w:r w:rsidR="00670EE7">
        <w:rPr>
          <w:szCs w:val="22"/>
        </w:rPr>
        <w:t xml:space="preserve">pirfenidone </w:t>
      </w:r>
      <w:r w:rsidR="00771808">
        <w:t xml:space="preserve">include </w:t>
      </w:r>
      <w:r w:rsidR="00670EE7" w:rsidRPr="009D6B57">
        <w:t>photosensitivity reaction, rash</w:t>
      </w:r>
      <w:r w:rsidR="00771808">
        <w:t xml:space="preserve"> </w:t>
      </w:r>
      <w:r w:rsidR="00670EE7" w:rsidRPr="009D6B57">
        <w:t>and gastrointestinal disorders.</w:t>
      </w:r>
    </w:p>
    <w:p w:rsidR="002304E5" w:rsidRPr="003C3927" w:rsidRDefault="002304E5" w:rsidP="002F6883">
      <w:pPr>
        <w:widowControl/>
        <w:contextualSpacing/>
        <w:rPr>
          <w:bCs/>
          <w:szCs w:val="22"/>
          <w:highlight w:val="yellow"/>
          <w:lang w:val="en-GB"/>
        </w:rPr>
      </w:pPr>
    </w:p>
    <w:p w:rsidR="00771808" w:rsidRPr="008A0437" w:rsidRDefault="00771808" w:rsidP="00771808">
      <w:pPr>
        <w:widowControl/>
        <w:numPr>
          <w:ilvl w:val="1"/>
          <w:numId w:val="2"/>
        </w:numPr>
        <w:contextualSpacing/>
        <w:rPr>
          <w:bCs/>
          <w:szCs w:val="22"/>
        </w:rPr>
      </w:pPr>
      <w:r w:rsidRPr="008A0437">
        <w:rPr>
          <w:bCs/>
          <w:szCs w:val="22"/>
        </w:rPr>
        <w:t xml:space="preserve">The PBAC recalled that it previously considered </w:t>
      </w:r>
      <w:r>
        <w:rPr>
          <w:bCs/>
          <w:szCs w:val="22"/>
        </w:rPr>
        <w:t xml:space="preserve">pirfenidone and </w:t>
      </w:r>
      <w:r w:rsidRPr="008A0437">
        <w:rPr>
          <w:bCs/>
          <w:szCs w:val="22"/>
        </w:rPr>
        <w:t xml:space="preserve">nintedanib to be similarly </w:t>
      </w:r>
      <w:r w:rsidRPr="00964DE9">
        <w:rPr>
          <w:bCs/>
          <w:szCs w:val="22"/>
        </w:rPr>
        <w:t>clinically effective (see paragraph 6.</w:t>
      </w:r>
      <w:r w:rsidR="00E83D95" w:rsidRPr="00964DE9">
        <w:rPr>
          <w:bCs/>
          <w:szCs w:val="22"/>
        </w:rPr>
        <w:t>9</w:t>
      </w:r>
      <w:r w:rsidRPr="00964DE9">
        <w:rPr>
          <w:bCs/>
          <w:szCs w:val="22"/>
        </w:rPr>
        <w:t>). No new</w:t>
      </w:r>
      <w:r w:rsidRPr="008A0437">
        <w:rPr>
          <w:bCs/>
          <w:szCs w:val="22"/>
        </w:rPr>
        <w:t xml:space="preserve"> evidence was presented to change the PBAC’s previous consideration.</w:t>
      </w:r>
    </w:p>
    <w:p w:rsidR="00771808" w:rsidRPr="00FB712F" w:rsidRDefault="00771808" w:rsidP="00771808">
      <w:pPr>
        <w:rPr>
          <w:bCs/>
          <w:szCs w:val="22"/>
        </w:rPr>
      </w:pPr>
    </w:p>
    <w:p w:rsidR="00F474AB" w:rsidRPr="00D326CB" w:rsidRDefault="00F474AB" w:rsidP="00F474AB">
      <w:pPr>
        <w:widowControl/>
        <w:numPr>
          <w:ilvl w:val="1"/>
          <w:numId w:val="2"/>
        </w:numPr>
        <w:tabs>
          <w:tab w:val="left" w:pos="3686"/>
        </w:tabs>
        <w:contextualSpacing/>
        <w:rPr>
          <w:bCs/>
          <w:szCs w:val="22"/>
          <w:lang w:val="en-GB"/>
        </w:rPr>
      </w:pPr>
      <w:r w:rsidRPr="00D326CB">
        <w:t xml:space="preserve">The PBAC noted the challenges of making comparisons across the nintedanib and pirfenidone submissions for IPF given that the two submissions adopted distinct </w:t>
      </w:r>
      <w:r>
        <w:t xml:space="preserve">economic </w:t>
      </w:r>
      <w:r w:rsidRPr="00D326CB">
        <w:t>modelling approaches.</w:t>
      </w:r>
      <w:r w:rsidRPr="00D326CB">
        <w:rPr>
          <w:bCs/>
          <w:szCs w:val="22"/>
          <w:lang w:val="en-GB"/>
        </w:rPr>
        <w:t xml:space="preserve"> The PBAC reiterated that the available comparative evidence suggested that the two drugs are likely to be similarly clinically effective. Accordingly, t</w:t>
      </w:r>
      <w:r w:rsidRPr="00D326CB">
        <w:t>he PBAC considered that any difference in incremental life years gained between the pirfenidone and nintedanib models contradicted the clinical evidence and was an artefact of the different modelling approaches. The PBAC considered that the only inputs that should result in a difference in the cost effectiveness of pirfenidone and nintedanib are the proposed drug costs and, potentially, any differences in costs or quality of life associated with differences in comparative safety.</w:t>
      </w:r>
    </w:p>
    <w:p w:rsidR="00F474AB" w:rsidRPr="00E00542" w:rsidRDefault="00F474AB" w:rsidP="00F474AB">
      <w:pPr>
        <w:widowControl/>
        <w:rPr>
          <w:bCs/>
          <w:szCs w:val="22"/>
          <w:lang w:val="en-GB"/>
        </w:rPr>
      </w:pPr>
    </w:p>
    <w:p w:rsidR="00F474AB" w:rsidRPr="00D326CB" w:rsidRDefault="00F474AB" w:rsidP="00F474AB">
      <w:pPr>
        <w:widowControl/>
        <w:numPr>
          <w:ilvl w:val="1"/>
          <w:numId w:val="2"/>
        </w:numPr>
        <w:contextualSpacing/>
        <w:rPr>
          <w:szCs w:val="22"/>
        </w:rPr>
      </w:pPr>
      <w:r w:rsidRPr="00D326CB">
        <w:rPr>
          <w:bCs/>
          <w:szCs w:val="22"/>
          <w:lang w:val="en-GB"/>
        </w:rPr>
        <w:t xml:space="preserve">In its comparative assessment of the outcomes of the pirfenidone and </w:t>
      </w:r>
      <w:r w:rsidRPr="00D326CB">
        <w:t xml:space="preserve">nintedanib </w:t>
      </w:r>
      <w:r w:rsidRPr="00D326CB">
        <w:rPr>
          <w:bCs/>
          <w:szCs w:val="22"/>
          <w:lang w:val="en-GB"/>
        </w:rPr>
        <w:t xml:space="preserve">models, the PBAC considered that the pirfenidone model may have resulted in an overestimate of the incremental benefit (of 1.254 life years) and thus an underestimate of the ICER per QALY. In this regard, the PBAC considered that the ICER per QALY for pirfenidone may be significantly higher than </w:t>
      </w:r>
      <w:r w:rsidR="00155C48">
        <w:rPr>
          <w:bCs/>
          <w:szCs w:val="22"/>
          <w:lang w:val="en-GB"/>
        </w:rPr>
        <w:t xml:space="preserve">$45,000 - </w:t>
      </w:r>
      <w:r w:rsidR="00155C48">
        <w:rPr>
          <w:bCs/>
          <w:szCs w:val="22"/>
          <w:lang w:val="en-GB"/>
        </w:rPr>
        <w:lastRenderedPageBreak/>
        <w:t>$75,000</w:t>
      </w:r>
      <w:r w:rsidRPr="00D326CB">
        <w:rPr>
          <w:szCs w:val="22"/>
        </w:rPr>
        <w:t>per QALY (the base case ICER adjusted for listing on the General Schedule).</w:t>
      </w:r>
      <w:r w:rsidR="00825869">
        <w:rPr>
          <w:szCs w:val="22"/>
        </w:rPr>
        <w:t xml:space="preserve"> Accordingly, the PBAC considered that the ICER per QALY was likely to be unacceptably high and un</w:t>
      </w:r>
      <w:r w:rsidR="00E00542">
        <w:rPr>
          <w:szCs w:val="22"/>
        </w:rPr>
        <w:t>certain at the requested price.</w:t>
      </w:r>
    </w:p>
    <w:p w:rsidR="002304E5" w:rsidRPr="003C3927" w:rsidRDefault="002304E5" w:rsidP="002F6883">
      <w:pPr>
        <w:widowControl/>
        <w:contextualSpacing/>
        <w:rPr>
          <w:bCs/>
          <w:szCs w:val="22"/>
          <w:highlight w:val="yellow"/>
          <w:lang w:val="en-GB"/>
        </w:rPr>
      </w:pPr>
    </w:p>
    <w:p w:rsidR="007C1D36" w:rsidRDefault="007C1D36" w:rsidP="00C61B50">
      <w:pPr>
        <w:widowControl/>
        <w:numPr>
          <w:ilvl w:val="1"/>
          <w:numId w:val="2"/>
        </w:numPr>
        <w:contextualSpacing/>
        <w:rPr>
          <w:szCs w:val="22"/>
        </w:rPr>
      </w:pPr>
      <w:r>
        <w:rPr>
          <w:bCs/>
          <w:szCs w:val="22"/>
        </w:rPr>
        <w:t>T</w:t>
      </w:r>
      <w:r w:rsidRPr="008A0437">
        <w:rPr>
          <w:bCs/>
          <w:szCs w:val="22"/>
        </w:rPr>
        <w:t xml:space="preserve">he PBAC </w:t>
      </w:r>
      <w:r>
        <w:rPr>
          <w:bCs/>
          <w:szCs w:val="22"/>
        </w:rPr>
        <w:t xml:space="preserve">agreed with the DUSC that there would be potential for use of pirfenidone outside the requested restriction in other subtypes of interstitial lung disease. While this risk would likely be mitigated by the authority required (in-writing) listing and the requirement for diagnosis by a multidisciplinary team, the PBAC considered that a tight subsidisation cap through an RSA </w:t>
      </w:r>
      <w:r w:rsidR="00914CE3">
        <w:rPr>
          <w:bCs/>
          <w:szCs w:val="22"/>
        </w:rPr>
        <w:t xml:space="preserve">would be </w:t>
      </w:r>
      <w:r>
        <w:rPr>
          <w:bCs/>
          <w:szCs w:val="22"/>
        </w:rPr>
        <w:t>important</w:t>
      </w:r>
      <w:r w:rsidR="00914CE3">
        <w:rPr>
          <w:bCs/>
          <w:szCs w:val="22"/>
        </w:rPr>
        <w:t xml:space="preserve"> if recommended for listing</w:t>
      </w:r>
      <w:r>
        <w:rPr>
          <w:bCs/>
          <w:szCs w:val="22"/>
        </w:rPr>
        <w:t>. The PBAC further considered that all drugs listed on the PBS for the treatment of IPF should be included within a common financial cap</w:t>
      </w:r>
      <w:r w:rsidRPr="008A0437">
        <w:rPr>
          <w:bCs/>
          <w:szCs w:val="22"/>
        </w:rPr>
        <w:t>.</w:t>
      </w:r>
      <w:r>
        <w:rPr>
          <w:bCs/>
          <w:szCs w:val="22"/>
        </w:rPr>
        <w:t xml:space="preserve"> The PBAC noted that the sponsor did not provide any </w:t>
      </w:r>
      <w:r w:rsidR="004D4D5D">
        <w:rPr>
          <w:bCs/>
          <w:szCs w:val="22"/>
        </w:rPr>
        <w:t>rationale</w:t>
      </w:r>
      <w:r>
        <w:rPr>
          <w:bCs/>
          <w:szCs w:val="22"/>
        </w:rPr>
        <w:t xml:space="preserve"> for the cap amo</w:t>
      </w:r>
      <w:r w:rsidR="00E00542">
        <w:rPr>
          <w:bCs/>
          <w:szCs w:val="22"/>
        </w:rPr>
        <w:t>unts in each of the five years.</w:t>
      </w:r>
    </w:p>
    <w:p w:rsidR="007C1D36" w:rsidRPr="00E00542" w:rsidRDefault="007C1D36" w:rsidP="007C1D36">
      <w:pPr>
        <w:rPr>
          <w:szCs w:val="22"/>
        </w:rPr>
      </w:pPr>
    </w:p>
    <w:p w:rsidR="00C61B50" w:rsidRPr="006B32E0" w:rsidRDefault="00C61B50" w:rsidP="00C61B50">
      <w:pPr>
        <w:widowControl/>
        <w:numPr>
          <w:ilvl w:val="1"/>
          <w:numId w:val="2"/>
        </w:numPr>
        <w:contextualSpacing/>
        <w:rPr>
          <w:szCs w:val="22"/>
        </w:rPr>
      </w:pPr>
      <w:r w:rsidRPr="006B32E0">
        <w:rPr>
          <w:szCs w:val="22"/>
        </w:rPr>
        <w:t xml:space="preserve">The PBAC noted that no basis </w:t>
      </w:r>
      <w:r w:rsidR="00825869">
        <w:rPr>
          <w:szCs w:val="22"/>
        </w:rPr>
        <w:t xml:space="preserve">was </w:t>
      </w:r>
      <w:r w:rsidRPr="006B32E0">
        <w:rPr>
          <w:szCs w:val="22"/>
        </w:rPr>
        <w:t xml:space="preserve">provided to assess the clinical effectiveness, safety and cost-effectiveness of combined use of pirfenidone and nintedanib for the treatment of IPF. Accordingly, the PBAC recommended that if both pirfenidone and nintedanib </w:t>
      </w:r>
      <w:r w:rsidR="00825869">
        <w:rPr>
          <w:szCs w:val="22"/>
        </w:rPr>
        <w:t>are PBS-</w:t>
      </w:r>
      <w:r w:rsidRPr="006B32E0">
        <w:rPr>
          <w:szCs w:val="22"/>
        </w:rPr>
        <w:t xml:space="preserve">subsidised in the future, a clinical criterion should be added to the </w:t>
      </w:r>
      <w:r w:rsidR="006B32E0">
        <w:rPr>
          <w:szCs w:val="22"/>
        </w:rPr>
        <w:t>pirfenidone</w:t>
      </w:r>
      <w:r w:rsidRPr="006B32E0">
        <w:rPr>
          <w:szCs w:val="22"/>
        </w:rPr>
        <w:t xml:space="preserve"> restriction stating that “The treatment must not be in combination with PBS-subsidised </w:t>
      </w:r>
      <w:r w:rsidR="006B32E0">
        <w:rPr>
          <w:szCs w:val="22"/>
        </w:rPr>
        <w:t>nintedanib</w:t>
      </w:r>
      <w:r w:rsidRPr="006B32E0">
        <w:rPr>
          <w:szCs w:val="22"/>
        </w:rPr>
        <w:t xml:space="preserve">” (and vice versa for the </w:t>
      </w:r>
      <w:r w:rsidR="006B32E0">
        <w:rPr>
          <w:szCs w:val="22"/>
        </w:rPr>
        <w:t>nintedanib</w:t>
      </w:r>
      <w:r w:rsidRPr="006B32E0">
        <w:rPr>
          <w:szCs w:val="22"/>
        </w:rPr>
        <w:t xml:space="preserve"> restriction). Any financial risk of concomitant use of PBS-subsidised pirfenidone </w:t>
      </w:r>
      <w:r w:rsidR="00536D07">
        <w:rPr>
          <w:szCs w:val="22"/>
        </w:rPr>
        <w:t xml:space="preserve">and nintedanib </w:t>
      </w:r>
      <w:r w:rsidRPr="006B32E0">
        <w:rPr>
          <w:szCs w:val="22"/>
        </w:rPr>
        <w:t>despite this criterion would be managed throug</w:t>
      </w:r>
      <w:r w:rsidR="00825869">
        <w:rPr>
          <w:szCs w:val="22"/>
        </w:rPr>
        <w:t>h a common financial cap</w:t>
      </w:r>
      <w:r w:rsidRPr="006B32E0">
        <w:rPr>
          <w:szCs w:val="22"/>
        </w:rPr>
        <w:t xml:space="preserve">. The PBAC also noted that switching rules between the two drugs would </w:t>
      </w:r>
      <w:r w:rsidR="006B32E0">
        <w:rPr>
          <w:szCs w:val="22"/>
        </w:rPr>
        <w:t>be necessary</w:t>
      </w:r>
      <w:r w:rsidRPr="006B32E0">
        <w:rPr>
          <w:szCs w:val="22"/>
        </w:rPr>
        <w:t>.</w:t>
      </w:r>
    </w:p>
    <w:p w:rsidR="002304E5" w:rsidRPr="00E00542" w:rsidRDefault="002304E5" w:rsidP="002F6883">
      <w:pPr>
        <w:widowControl/>
        <w:contextualSpacing/>
        <w:rPr>
          <w:bCs/>
          <w:szCs w:val="22"/>
          <w:highlight w:val="yellow"/>
          <w:lang w:val="en-GB"/>
        </w:rPr>
      </w:pPr>
    </w:p>
    <w:p w:rsidR="002304E5" w:rsidRPr="00E00542" w:rsidRDefault="002304E5" w:rsidP="002F6883">
      <w:pPr>
        <w:widowControl/>
        <w:rPr>
          <w:bCs/>
          <w:szCs w:val="22"/>
          <w:highlight w:val="yellow"/>
          <w:lang w:val="en-GB"/>
        </w:rPr>
      </w:pPr>
    </w:p>
    <w:p w:rsidR="002304E5" w:rsidRPr="00D12AED" w:rsidRDefault="002304E5" w:rsidP="002F6883">
      <w:pPr>
        <w:widowControl/>
        <w:rPr>
          <w:b/>
          <w:bCs/>
          <w:szCs w:val="22"/>
          <w:lang w:val="en-GB"/>
        </w:rPr>
      </w:pPr>
      <w:r w:rsidRPr="00D12AED">
        <w:rPr>
          <w:b/>
          <w:bCs/>
          <w:szCs w:val="22"/>
          <w:lang w:val="en-GB"/>
        </w:rPr>
        <w:t>Outcome:</w:t>
      </w:r>
    </w:p>
    <w:p w:rsidR="002304E5" w:rsidRPr="00D12AED" w:rsidRDefault="00D12AED" w:rsidP="002F6883">
      <w:pPr>
        <w:widowControl/>
        <w:rPr>
          <w:bCs/>
          <w:szCs w:val="22"/>
          <w:lang w:val="en-GB"/>
        </w:rPr>
      </w:pPr>
      <w:r w:rsidRPr="00D12AED">
        <w:rPr>
          <w:bCs/>
          <w:szCs w:val="22"/>
          <w:lang w:val="en-GB"/>
        </w:rPr>
        <w:t>Deferred</w:t>
      </w:r>
    </w:p>
    <w:p w:rsidR="001C2D1D" w:rsidRDefault="001C2D1D" w:rsidP="002F6883">
      <w:pPr>
        <w:widowControl/>
        <w:rPr>
          <w:bCs/>
          <w:szCs w:val="22"/>
          <w:highlight w:val="yellow"/>
        </w:rPr>
      </w:pPr>
    </w:p>
    <w:p w:rsidR="00B213F4" w:rsidRDefault="00B213F4" w:rsidP="002F6883">
      <w:pPr>
        <w:widowControl/>
        <w:rPr>
          <w:bCs/>
          <w:szCs w:val="22"/>
          <w:highlight w:val="yellow"/>
        </w:rPr>
      </w:pPr>
    </w:p>
    <w:p w:rsidR="003809CC" w:rsidRPr="003809CC" w:rsidRDefault="003809CC" w:rsidP="003809CC">
      <w:pPr>
        <w:pStyle w:val="PBACheading1"/>
        <w:keepNext/>
        <w:rPr>
          <w:b/>
        </w:rPr>
      </w:pPr>
      <w:r w:rsidRPr="003809CC">
        <w:rPr>
          <w:b/>
        </w:rPr>
        <w:t>Context for Decision</w:t>
      </w:r>
    </w:p>
    <w:p w:rsidR="003809CC" w:rsidRDefault="003809CC" w:rsidP="003809CC">
      <w:pPr>
        <w:ind w:left="426"/>
      </w:pPr>
    </w:p>
    <w:p w:rsidR="003809CC" w:rsidRDefault="003809CC" w:rsidP="003809CC">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809CC" w:rsidRDefault="003809CC" w:rsidP="003809CC">
      <w:pPr>
        <w:ind w:left="426"/>
      </w:pPr>
    </w:p>
    <w:p w:rsidR="003809CC" w:rsidRPr="003809CC" w:rsidRDefault="003809CC" w:rsidP="003809CC">
      <w:pPr>
        <w:pStyle w:val="PBACheading1"/>
        <w:keepNext/>
        <w:rPr>
          <w:b/>
        </w:rPr>
      </w:pPr>
      <w:r w:rsidRPr="003809CC">
        <w:rPr>
          <w:b/>
        </w:rPr>
        <w:t>Sponsor’s Comment</w:t>
      </w:r>
    </w:p>
    <w:p w:rsidR="003809CC" w:rsidRDefault="003809CC" w:rsidP="003809CC">
      <w:pPr>
        <w:ind w:left="426"/>
        <w:rPr>
          <w:bCs/>
          <w:highlight w:val="yellow"/>
          <w:lang w:val="en-GB"/>
        </w:rPr>
      </w:pPr>
    </w:p>
    <w:p w:rsidR="00C16DEA" w:rsidRPr="004273B9" w:rsidRDefault="00BE3813" w:rsidP="00BE3813">
      <w:pPr>
        <w:widowControl/>
        <w:ind w:left="720"/>
        <w:rPr>
          <w:b/>
          <w:bCs/>
          <w:sz w:val="28"/>
          <w:szCs w:val="28"/>
          <w:lang w:val="en-GB"/>
        </w:rPr>
      </w:pPr>
      <w:r>
        <w:rPr>
          <w:bCs/>
          <w:lang w:val="en-GB"/>
        </w:rPr>
        <w:t xml:space="preserve">Roche is pleased that the PBAC recommended pirfenidone for PBS listing at its Special Meeting in December. Roche is awaiting further advice on the conditions of the recommendation from the Department of Health. </w:t>
      </w:r>
      <w:r w:rsidR="004273B9">
        <w:rPr>
          <w:b/>
          <w:bCs/>
          <w:szCs w:val="22"/>
          <w:lang w:val="en-GB"/>
        </w:rPr>
        <w:br w:type="column"/>
      </w:r>
      <w:r w:rsidR="00C16DEA" w:rsidRPr="004273B9">
        <w:rPr>
          <w:b/>
          <w:bCs/>
          <w:sz w:val="28"/>
          <w:szCs w:val="28"/>
          <w:lang w:val="en-GB"/>
        </w:rPr>
        <w:lastRenderedPageBreak/>
        <w:t>ADDENDUM</w:t>
      </w:r>
    </w:p>
    <w:p w:rsidR="00C16DEA" w:rsidRDefault="00C16DEA" w:rsidP="00C16DEA">
      <w:pPr>
        <w:widowControl/>
        <w:rPr>
          <w:b/>
          <w:bCs/>
          <w:szCs w:val="22"/>
          <w:u w:val="single"/>
          <w:lang w:val="en-GB"/>
        </w:rPr>
      </w:pPr>
    </w:p>
    <w:p w:rsidR="00C16DEA" w:rsidRDefault="00C16DEA" w:rsidP="00C16DEA">
      <w:pPr>
        <w:widowControl/>
        <w:rPr>
          <w:bCs/>
          <w:szCs w:val="22"/>
          <w:lang w:val="en-GB"/>
        </w:rPr>
      </w:pPr>
      <w:r>
        <w:rPr>
          <w:bCs/>
          <w:szCs w:val="22"/>
          <w:lang w:val="en-GB"/>
        </w:rPr>
        <w:t>Subsequent to the November 2016 meeting, the sponsor provided the PBAC with the following information:</w:t>
      </w:r>
    </w:p>
    <w:p w:rsidR="006C2518" w:rsidRDefault="00813D43" w:rsidP="00EB66E8">
      <w:pPr>
        <w:pStyle w:val="ListParagraph"/>
        <w:widowControl/>
        <w:numPr>
          <w:ilvl w:val="0"/>
          <w:numId w:val="34"/>
        </w:numPr>
        <w:ind w:left="284" w:hanging="284"/>
        <w:rPr>
          <w:bCs/>
          <w:szCs w:val="22"/>
          <w:lang w:val="en-GB"/>
        </w:rPr>
      </w:pPr>
      <w:r>
        <w:rPr>
          <w:bCs/>
          <w:szCs w:val="22"/>
          <w:lang w:val="en-GB"/>
        </w:rPr>
        <w:t>a cost-minimisation analysis on the basis that the effective price for pi</w:t>
      </w:r>
      <w:r w:rsidR="005D1B3E">
        <w:rPr>
          <w:bCs/>
          <w:szCs w:val="22"/>
          <w:lang w:val="en-GB"/>
        </w:rPr>
        <w:t>rfenidone be no higher than the effective price for nintedanib at equi-effective doses</w:t>
      </w:r>
      <w:r w:rsidR="004B212C">
        <w:rPr>
          <w:bCs/>
          <w:szCs w:val="22"/>
          <w:lang w:val="en-GB"/>
        </w:rPr>
        <w:t>;</w:t>
      </w:r>
    </w:p>
    <w:p w:rsidR="00813D43" w:rsidRDefault="007C5E3B" w:rsidP="00EB66E8">
      <w:pPr>
        <w:pStyle w:val="ListParagraph"/>
        <w:widowControl/>
        <w:numPr>
          <w:ilvl w:val="0"/>
          <w:numId w:val="34"/>
        </w:numPr>
        <w:ind w:left="284" w:hanging="284"/>
        <w:rPr>
          <w:bCs/>
          <w:szCs w:val="22"/>
          <w:lang w:val="en-GB"/>
        </w:rPr>
      </w:pPr>
      <w:r>
        <w:rPr>
          <w:bCs/>
          <w:szCs w:val="22"/>
          <w:lang w:val="en-GB"/>
        </w:rPr>
        <w:t xml:space="preserve">proposed </w:t>
      </w:r>
      <w:r w:rsidR="006C2518">
        <w:rPr>
          <w:bCs/>
          <w:szCs w:val="22"/>
          <w:lang w:val="en-GB"/>
        </w:rPr>
        <w:t xml:space="preserve">equi-effective </w:t>
      </w:r>
      <w:r w:rsidR="004B212C">
        <w:rPr>
          <w:bCs/>
          <w:szCs w:val="22"/>
          <w:lang w:val="en-GB"/>
        </w:rPr>
        <w:t xml:space="preserve">daily </w:t>
      </w:r>
      <w:r w:rsidR="006C2518">
        <w:rPr>
          <w:bCs/>
          <w:szCs w:val="22"/>
          <w:lang w:val="en-GB"/>
        </w:rPr>
        <w:t xml:space="preserve">doses </w:t>
      </w:r>
      <w:r>
        <w:rPr>
          <w:bCs/>
          <w:szCs w:val="22"/>
          <w:lang w:val="en-GB"/>
        </w:rPr>
        <w:t>of 2</w:t>
      </w:r>
      <w:r w:rsidR="004B212C">
        <w:rPr>
          <w:bCs/>
          <w:szCs w:val="22"/>
          <w:lang w:val="en-GB"/>
        </w:rPr>
        <w:t>,</w:t>
      </w:r>
      <w:r>
        <w:rPr>
          <w:bCs/>
          <w:szCs w:val="22"/>
          <w:lang w:val="en-GB"/>
        </w:rPr>
        <w:t>104.6 mg pirfenidone and 281.1 mg nintedanib</w:t>
      </w:r>
      <w:r w:rsidR="004B212C">
        <w:rPr>
          <w:bCs/>
          <w:szCs w:val="22"/>
          <w:lang w:val="en-GB"/>
        </w:rPr>
        <w:t>;</w:t>
      </w:r>
    </w:p>
    <w:p w:rsidR="009A1118" w:rsidRDefault="004B212C" w:rsidP="00EB66E8">
      <w:pPr>
        <w:pStyle w:val="ListParagraph"/>
        <w:widowControl/>
        <w:numPr>
          <w:ilvl w:val="0"/>
          <w:numId w:val="34"/>
        </w:numPr>
        <w:ind w:left="284" w:hanging="284"/>
        <w:rPr>
          <w:bCs/>
          <w:szCs w:val="22"/>
          <w:lang w:val="en-GB"/>
        </w:rPr>
      </w:pPr>
      <w:r>
        <w:rPr>
          <w:bCs/>
          <w:szCs w:val="22"/>
          <w:lang w:val="en-GB"/>
        </w:rPr>
        <w:t>a comparison of prescribing, administration, safety and toxicity management profiles between pirfenidone and nintedanib</w:t>
      </w:r>
      <w:r w:rsidR="00F71D72">
        <w:rPr>
          <w:bCs/>
          <w:szCs w:val="22"/>
          <w:lang w:val="en-GB"/>
        </w:rPr>
        <w:t>;</w:t>
      </w:r>
    </w:p>
    <w:p w:rsidR="00CA3889" w:rsidRPr="006C2518" w:rsidRDefault="00CA3889" w:rsidP="00EB66E8">
      <w:pPr>
        <w:pStyle w:val="ListParagraph"/>
        <w:widowControl/>
        <w:numPr>
          <w:ilvl w:val="0"/>
          <w:numId w:val="34"/>
        </w:numPr>
        <w:ind w:left="284" w:hanging="284"/>
        <w:rPr>
          <w:bCs/>
          <w:szCs w:val="22"/>
          <w:lang w:val="en-GB"/>
        </w:rPr>
      </w:pPr>
      <w:r>
        <w:rPr>
          <w:bCs/>
          <w:szCs w:val="22"/>
          <w:lang w:val="en-GB"/>
        </w:rPr>
        <w:t>i</w:t>
      </w:r>
      <w:r w:rsidR="00EE72D6">
        <w:rPr>
          <w:bCs/>
          <w:szCs w:val="22"/>
          <w:lang w:val="en-GB"/>
        </w:rPr>
        <w:t xml:space="preserve">n principle agreement </w:t>
      </w:r>
      <w:r w:rsidR="00126E1F">
        <w:rPr>
          <w:bCs/>
          <w:szCs w:val="22"/>
          <w:lang w:val="en-GB"/>
        </w:rPr>
        <w:t xml:space="preserve">to join the risk </w:t>
      </w:r>
      <w:r>
        <w:rPr>
          <w:bCs/>
          <w:szCs w:val="22"/>
          <w:lang w:val="en-GB"/>
        </w:rPr>
        <w:t>sharing arrangement negotiated for nintedanib and to accept a common financial cap for both products</w:t>
      </w:r>
      <w:r w:rsidR="00694286">
        <w:rPr>
          <w:bCs/>
          <w:szCs w:val="22"/>
          <w:lang w:val="en-GB"/>
        </w:rPr>
        <w:t>.</w:t>
      </w:r>
    </w:p>
    <w:p w:rsidR="00C16DEA" w:rsidRDefault="00C16DEA" w:rsidP="00C16DEA">
      <w:pPr>
        <w:widowControl/>
        <w:rPr>
          <w:bCs/>
          <w:szCs w:val="22"/>
          <w:lang w:val="en-GB"/>
        </w:rPr>
      </w:pPr>
    </w:p>
    <w:p w:rsidR="00D42311" w:rsidRPr="004273B9" w:rsidRDefault="00D42311" w:rsidP="00D42311">
      <w:pPr>
        <w:rPr>
          <w:b/>
          <w:szCs w:val="22"/>
          <w:u w:val="single"/>
        </w:rPr>
      </w:pPr>
      <w:r w:rsidRPr="004273B9">
        <w:rPr>
          <w:b/>
          <w:szCs w:val="22"/>
          <w:u w:val="single"/>
        </w:rPr>
        <w:t>NEW LISTINGS</w:t>
      </w:r>
    </w:p>
    <w:p w:rsidR="00C16DEA" w:rsidRDefault="00C16DEA" w:rsidP="004B212C">
      <w:pPr>
        <w:keepNext/>
        <w:widowControl/>
        <w:rPr>
          <w:bCs/>
          <w:szCs w:val="22"/>
          <w:lang w:val="en-GB"/>
        </w:rPr>
      </w:pPr>
    </w:p>
    <w:p w:rsidR="00C16DEA" w:rsidRPr="00C123D8" w:rsidRDefault="00C16DEA" w:rsidP="00C16DEA">
      <w:pPr>
        <w:widowControl/>
        <w:rPr>
          <w:szCs w:val="22"/>
        </w:rPr>
      </w:pPr>
      <w:r w:rsidRPr="00C123D8">
        <w:rPr>
          <w:szCs w:val="22"/>
        </w:rPr>
        <w:t xml:space="preserve">At its meeting </w:t>
      </w:r>
      <w:r w:rsidR="004B212C">
        <w:rPr>
          <w:szCs w:val="22"/>
        </w:rPr>
        <w:t xml:space="preserve">on </w:t>
      </w:r>
      <w:r w:rsidR="004B212C" w:rsidRPr="004B212C">
        <w:rPr>
          <w:b/>
          <w:szCs w:val="22"/>
        </w:rPr>
        <w:t>16</w:t>
      </w:r>
      <w:r>
        <w:rPr>
          <w:b/>
          <w:szCs w:val="22"/>
        </w:rPr>
        <w:t xml:space="preserve"> </w:t>
      </w:r>
      <w:r w:rsidR="004B212C">
        <w:rPr>
          <w:b/>
          <w:szCs w:val="22"/>
        </w:rPr>
        <w:t xml:space="preserve">December </w:t>
      </w:r>
      <w:r>
        <w:rPr>
          <w:b/>
          <w:szCs w:val="22"/>
        </w:rPr>
        <w:t xml:space="preserve">2016, </w:t>
      </w:r>
      <w:r w:rsidRPr="00C123D8">
        <w:rPr>
          <w:szCs w:val="22"/>
        </w:rPr>
        <w:t xml:space="preserve">the PBAC </w:t>
      </w:r>
      <w:r w:rsidR="004B212C">
        <w:rPr>
          <w:szCs w:val="22"/>
        </w:rPr>
        <w:t xml:space="preserve">decided </w:t>
      </w:r>
      <w:r w:rsidRPr="00C123D8">
        <w:rPr>
          <w:szCs w:val="22"/>
        </w:rPr>
        <w:t xml:space="preserve">to recommend to the Minister (under section 101(3) of the </w:t>
      </w:r>
      <w:r w:rsidRPr="00C123D8">
        <w:rPr>
          <w:i/>
          <w:szCs w:val="22"/>
        </w:rPr>
        <w:t>National Health Act 1953</w:t>
      </w:r>
      <w:r w:rsidRPr="00C123D8">
        <w:rPr>
          <w:szCs w:val="22"/>
        </w:rPr>
        <w:t xml:space="preserve"> (“the Act”)) that </w:t>
      </w:r>
      <w:r>
        <w:rPr>
          <w:szCs w:val="22"/>
        </w:rPr>
        <w:t>pirfenidone</w:t>
      </w:r>
      <w:r w:rsidRPr="00C123D8">
        <w:rPr>
          <w:szCs w:val="22"/>
        </w:rPr>
        <w:t xml:space="preserve"> be made available as a pharmaceutical benefit under Part VII of the Act</w:t>
      </w:r>
      <w:r w:rsidR="004B212C">
        <w:rPr>
          <w:szCs w:val="22"/>
        </w:rPr>
        <w:t>, under certain circumstances (specified in accordance with section 101(3C) of the Act)</w:t>
      </w:r>
      <w:r w:rsidRPr="00C123D8">
        <w:rPr>
          <w:szCs w:val="22"/>
        </w:rPr>
        <w:t>.</w:t>
      </w:r>
    </w:p>
    <w:p w:rsidR="00C16DEA" w:rsidRPr="001C5E4C" w:rsidRDefault="00C16DEA" w:rsidP="00C16DEA">
      <w:pPr>
        <w:widowControl/>
        <w:rPr>
          <w:szCs w:val="22"/>
        </w:rPr>
      </w:pPr>
    </w:p>
    <w:p w:rsidR="00C16DEA" w:rsidRDefault="00C16DEA" w:rsidP="00C16DEA">
      <w:pPr>
        <w:widowControl/>
        <w:rPr>
          <w:szCs w:val="22"/>
        </w:rPr>
      </w:pPr>
      <w:r w:rsidRPr="001C5E4C">
        <w:rPr>
          <w:szCs w:val="22"/>
        </w:rPr>
        <w:t>A note of the PBAC’s decision follows.</w:t>
      </w:r>
    </w:p>
    <w:p w:rsidR="0006155F" w:rsidRDefault="0006155F" w:rsidP="00C16DEA">
      <w:pPr>
        <w:widowControl/>
        <w:rPr>
          <w:szCs w:val="22"/>
        </w:rPr>
      </w:pPr>
    </w:p>
    <w:p w:rsidR="0006155F" w:rsidRDefault="0006155F" w:rsidP="00C16DEA">
      <w:pPr>
        <w:widowControl/>
        <w:rPr>
          <w:szCs w:val="22"/>
        </w:rPr>
      </w:pPr>
      <w:r>
        <w:rPr>
          <w:szCs w:val="22"/>
        </w:rPr>
        <w:t>The PBAC recommended the listing of pirfenidone</w:t>
      </w:r>
      <w:r w:rsidR="004B212C">
        <w:rPr>
          <w:szCs w:val="22"/>
        </w:rPr>
        <w:t xml:space="preserve"> for the treatment of idiopathic pulmonary fibrosis </w:t>
      </w:r>
      <w:r w:rsidR="006E21A8">
        <w:rPr>
          <w:szCs w:val="22"/>
        </w:rPr>
        <w:t xml:space="preserve">(IPF) </w:t>
      </w:r>
      <w:r w:rsidR="004B212C">
        <w:rPr>
          <w:szCs w:val="22"/>
        </w:rPr>
        <w:t>under certain conditions (see recommended listing)</w:t>
      </w:r>
      <w:r>
        <w:rPr>
          <w:szCs w:val="22"/>
        </w:rPr>
        <w:t xml:space="preserve"> </w:t>
      </w:r>
      <w:r w:rsidR="002B2610">
        <w:rPr>
          <w:szCs w:val="22"/>
        </w:rPr>
        <w:t>on</w:t>
      </w:r>
      <w:r>
        <w:rPr>
          <w:szCs w:val="22"/>
        </w:rPr>
        <w:t xml:space="preserve"> a cost-minimisation</w:t>
      </w:r>
      <w:r w:rsidR="002B2610">
        <w:rPr>
          <w:szCs w:val="22"/>
        </w:rPr>
        <w:t xml:space="preserve"> basis</w:t>
      </w:r>
      <w:r w:rsidR="00B901D7">
        <w:rPr>
          <w:szCs w:val="22"/>
        </w:rPr>
        <w:t xml:space="preserve"> </w:t>
      </w:r>
      <w:r w:rsidR="004B212C">
        <w:rPr>
          <w:szCs w:val="22"/>
        </w:rPr>
        <w:t>to</w:t>
      </w:r>
      <w:r w:rsidR="00B901D7">
        <w:rPr>
          <w:szCs w:val="22"/>
        </w:rPr>
        <w:t xml:space="preserve"> nintedanib</w:t>
      </w:r>
      <w:r w:rsidR="00EE72D6">
        <w:rPr>
          <w:szCs w:val="22"/>
        </w:rPr>
        <w:t>.</w:t>
      </w:r>
    </w:p>
    <w:p w:rsidR="00CA3889" w:rsidRDefault="00CA3889" w:rsidP="00C16DEA">
      <w:pPr>
        <w:widowControl/>
        <w:rPr>
          <w:szCs w:val="22"/>
        </w:rPr>
      </w:pPr>
    </w:p>
    <w:p w:rsidR="006E21A8" w:rsidRDefault="004B212C" w:rsidP="00C16DEA">
      <w:pPr>
        <w:widowControl/>
        <w:rPr>
          <w:szCs w:val="22"/>
        </w:rPr>
      </w:pPr>
      <w:r w:rsidRPr="004B212C">
        <w:rPr>
          <w:szCs w:val="22"/>
        </w:rPr>
        <w:t>The PBAC recalled that it previously considered nintedanib and pirfenidone to be similarly clinically effective</w:t>
      </w:r>
      <w:r w:rsidR="006E21A8">
        <w:rPr>
          <w:szCs w:val="22"/>
        </w:rPr>
        <w:t xml:space="preserve"> and that it recommended nintedanib for IPF in November 2016 on a cost effectiveness basis</w:t>
      </w:r>
      <w:r>
        <w:rPr>
          <w:szCs w:val="22"/>
        </w:rPr>
        <w:t xml:space="preserve">. </w:t>
      </w:r>
      <w:r w:rsidR="006E21A8">
        <w:rPr>
          <w:szCs w:val="22"/>
        </w:rPr>
        <w:t>The PBAC considered that listing pirfenidone</w:t>
      </w:r>
      <w:r w:rsidR="00126E1F">
        <w:rPr>
          <w:szCs w:val="22"/>
        </w:rPr>
        <w:t>,</w:t>
      </w:r>
      <w:r w:rsidR="006E21A8">
        <w:rPr>
          <w:szCs w:val="22"/>
        </w:rPr>
        <w:t xml:space="preserve"> such that the effective daily cost </w:t>
      </w:r>
      <w:r w:rsidR="0035025A">
        <w:rPr>
          <w:szCs w:val="22"/>
        </w:rPr>
        <w:t>is</w:t>
      </w:r>
      <w:r w:rsidR="006E21A8">
        <w:rPr>
          <w:szCs w:val="22"/>
        </w:rPr>
        <w:t xml:space="preserve"> no higher than that for nintedanib</w:t>
      </w:r>
      <w:r w:rsidR="00126E1F">
        <w:rPr>
          <w:szCs w:val="22"/>
        </w:rPr>
        <w:t>,</w:t>
      </w:r>
      <w:r w:rsidR="006E21A8">
        <w:rPr>
          <w:szCs w:val="22"/>
        </w:rPr>
        <w:t xml:space="preserve"> would be appropriate. In this regard, the PBAC accepted the equi-effective daily doses proposed by the sponsor of</w:t>
      </w:r>
      <w:r w:rsidR="006E21A8" w:rsidRPr="006E21A8">
        <w:t xml:space="preserve"> </w:t>
      </w:r>
      <w:r w:rsidR="006E21A8">
        <w:rPr>
          <w:szCs w:val="22"/>
        </w:rPr>
        <w:t>2,</w:t>
      </w:r>
      <w:r w:rsidR="006E21A8" w:rsidRPr="006E21A8">
        <w:rPr>
          <w:szCs w:val="22"/>
        </w:rPr>
        <w:t xml:space="preserve">104.6 mg </w:t>
      </w:r>
      <w:r w:rsidR="006E21A8">
        <w:rPr>
          <w:szCs w:val="22"/>
        </w:rPr>
        <w:t xml:space="preserve">for </w:t>
      </w:r>
      <w:r w:rsidR="006E21A8" w:rsidRPr="006E21A8">
        <w:rPr>
          <w:szCs w:val="22"/>
        </w:rPr>
        <w:t xml:space="preserve">pirfenidone and 281.1 mg </w:t>
      </w:r>
      <w:r w:rsidR="006E21A8">
        <w:rPr>
          <w:szCs w:val="22"/>
        </w:rPr>
        <w:t xml:space="preserve">for </w:t>
      </w:r>
      <w:r w:rsidR="006E21A8" w:rsidRPr="006E21A8">
        <w:rPr>
          <w:szCs w:val="22"/>
        </w:rPr>
        <w:t>nintedanib</w:t>
      </w:r>
      <w:r w:rsidR="00EB7624">
        <w:rPr>
          <w:szCs w:val="22"/>
        </w:rPr>
        <w:t>, and considered</w:t>
      </w:r>
      <w:r w:rsidR="00AF1BE2">
        <w:rPr>
          <w:szCs w:val="22"/>
        </w:rPr>
        <w:t xml:space="preserve"> that </w:t>
      </w:r>
      <w:r w:rsidR="0007340C">
        <w:rPr>
          <w:szCs w:val="22"/>
        </w:rPr>
        <w:t xml:space="preserve">no </w:t>
      </w:r>
      <w:r w:rsidR="00AF1BE2">
        <w:rPr>
          <w:szCs w:val="22"/>
        </w:rPr>
        <w:t>other costs are relevant</w:t>
      </w:r>
      <w:r w:rsidR="0007340C">
        <w:rPr>
          <w:szCs w:val="22"/>
        </w:rPr>
        <w:t xml:space="preserve"> for inclusion</w:t>
      </w:r>
      <w:r w:rsidR="00EB7624">
        <w:rPr>
          <w:szCs w:val="22"/>
        </w:rPr>
        <w:t xml:space="preserve"> in the calculation of the pirfenidone</w:t>
      </w:r>
      <w:r w:rsidR="0007340C">
        <w:rPr>
          <w:szCs w:val="22"/>
        </w:rPr>
        <w:t xml:space="preserve"> price</w:t>
      </w:r>
      <w:r w:rsidR="00EB7624">
        <w:rPr>
          <w:szCs w:val="22"/>
        </w:rPr>
        <w:t>.</w:t>
      </w:r>
    </w:p>
    <w:p w:rsidR="006E21A8" w:rsidRDefault="006E21A8" w:rsidP="00C16DEA">
      <w:pPr>
        <w:widowControl/>
        <w:rPr>
          <w:szCs w:val="22"/>
        </w:rPr>
      </w:pPr>
    </w:p>
    <w:p w:rsidR="003D47B9" w:rsidRDefault="00CA3889" w:rsidP="00C16DEA">
      <w:pPr>
        <w:widowControl/>
        <w:rPr>
          <w:szCs w:val="22"/>
        </w:rPr>
      </w:pPr>
      <w:r>
        <w:rPr>
          <w:szCs w:val="22"/>
        </w:rPr>
        <w:t xml:space="preserve">The PBAC </w:t>
      </w:r>
      <w:r w:rsidR="008F1070">
        <w:rPr>
          <w:szCs w:val="22"/>
        </w:rPr>
        <w:t>recommended</w:t>
      </w:r>
      <w:r w:rsidR="00256A43">
        <w:rPr>
          <w:szCs w:val="22"/>
        </w:rPr>
        <w:t xml:space="preserve"> the </w:t>
      </w:r>
      <w:r w:rsidR="00F651D5">
        <w:rPr>
          <w:szCs w:val="22"/>
        </w:rPr>
        <w:t xml:space="preserve">listing of pirfenidone should </w:t>
      </w:r>
      <w:r w:rsidR="00724726">
        <w:rPr>
          <w:szCs w:val="22"/>
        </w:rPr>
        <w:t xml:space="preserve">be consistent with the </w:t>
      </w:r>
      <w:r w:rsidR="00776DBD">
        <w:rPr>
          <w:szCs w:val="22"/>
        </w:rPr>
        <w:t xml:space="preserve">recommended </w:t>
      </w:r>
      <w:r w:rsidR="00724726">
        <w:rPr>
          <w:szCs w:val="22"/>
        </w:rPr>
        <w:t>restriction criteria</w:t>
      </w:r>
      <w:r w:rsidR="00E25C1E">
        <w:rPr>
          <w:szCs w:val="22"/>
        </w:rPr>
        <w:t xml:space="preserve"> </w:t>
      </w:r>
      <w:r w:rsidR="00F928C2">
        <w:rPr>
          <w:szCs w:val="22"/>
        </w:rPr>
        <w:t>for</w:t>
      </w:r>
      <w:r w:rsidR="00E25C1E">
        <w:rPr>
          <w:szCs w:val="22"/>
        </w:rPr>
        <w:t xml:space="preserve"> nintedanib</w:t>
      </w:r>
      <w:r w:rsidR="00776DBD">
        <w:rPr>
          <w:szCs w:val="22"/>
        </w:rPr>
        <w:t xml:space="preserve"> with an additional</w:t>
      </w:r>
      <w:r w:rsidR="00E25C1E">
        <w:rPr>
          <w:szCs w:val="22"/>
        </w:rPr>
        <w:t xml:space="preserve"> </w:t>
      </w:r>
      <w:r w:rsidR="00776DBD" w:rsidRPr="006B32E0">
        <w:rPr>
          <w:szCs w:val="22"/>
        </w:rPr>
        <w:t xml:space="preserve">clinical criterion stating that “The treatment must be </w:t>
      </w:r>
      <w:r w:rsidR="003F2B61">
        <w:rPr>
          <w:szCs w:val="22"/>
        </w:rPr>
        <w:t xml:space="preserve">the sole </w:t>
      </w:r>
      <w:r w:rsidR="00776DBD" w:rsidRPr="006B32E0">
        <w:rPr>
          <w:szCs w:val="22"/>
        </w:rPr>
        <w:t>PBS-subsidised</w:t>
      </w:r>
      <w:r w:rsidR="003D47B9">
        <w:rPr>
          <w:szCs w:val="22"/>
        </w:rPr>
        <w:t xml:space="preserve"> </w:t>
      </w:r>
      <w:r w:rsidR="003F2B61">
        <w:rPr>
          <w:szCs w:val="22"/>
        </w:rPr>
        <w:t>treatment for this condition</w:t>
      </w:r>
      <w:r w:rsidR="00776DBD" w:rsidRPr="006B32E0">
        <w:rPr>
          <w:szCs w:val="22"/>
        </w:rPr>
        <w:t>”</w:t>
      </w:r>
      <w:r w:rsidR="00776DBD">
        <w:rPr>
          <w:szCs w:val="22"/>
        </w:rPr>
        <w:t>. The PBAC recommended that a similar note be added to the nintedanib</w:t>
      </w:r>
      <w:r w:rsidR="00776DBD" w:rsidRPr="006B32E0">
        <w:rPr>
          <w:szCs w:val="22"/>
        </w:rPr>
        <w:t xml:space="preserve"> restriction.</w:t>
      </w:r>
    </w:p>
    <w:p w:rsidR="003D47B9" w:rsidRDefault="003D47B9" w:rsidP="00C16DEA">
      <w:pPr>
        <w:widowControl/>
        <w:rPr>
          <w:szCs w:val="22"/>
        </w:rPr>
      </w:pPr>
    </w:p>
    <w:p w:rsidR="00A80B90" w:rsidRDefault="003D47B9" w:rsidP="00C16DEA">
      <w:pPr>
        <w:widowControl/>
        <w:rPr>
          <w:szCs w:val="22"/>
        </w:rPr>
      </w:pPr>
      <w:r>
        <w:rPr>
          <w:szCs w:val="22"/>
        </w:rPr>
        <w:t>The PBAC recommended that an additional restriction, “</w:t>
      </w:r>
      <w:r w:rsidRPr="003D47B9">
        <w:rPr>
          <w:szCs w:val="22"/>
        </w:rPr>
        <w:t>Initial 2: change or re-commencement of treatment</w:t>
      </w:r>
      <w:r>
        <w:rPr>
          <w:szCs w:val="22"/>
        </w:rPr>
        <w:t>” should be included in the restrictions for both pirfenidone and nintedanib to allow for switching between the two drugs.</w:t>
      </w:r>
    </w:p>
    <w:p w:rsidR="0077313A" w:rsidRDefault="0077313A" w:rsidP="00C16DEA">
      <w:pPr>
        <w:widowControl/>
        <w:rPr>
          <w:szCs w:val="22"/>
        </w:rPr>
      </w:pPr>
    </w:p>
    <w:p w:rsidR="00776DBD" w:rsidRDefault="00776DBD" w:rsidP="00C16DEA">
      <w:pPr>
        <w:widowControl/>
        <w:rPr>
          <w:szCs w:val="22"/>
        </w:rPr>
      </w:pPr>
      <w:r>
        <w:rPr>
          <w:szCs w:val="22"/>
        </w:rPr>
        <w:t xml:space="preserve">The PBAC recalled that nintedanib </w:t>
      </w:r>
      <w:r w:rsidR="00126E1F">
        <w:rPr>
          <w:szCs w:val="22"/>
        </w:rPr>
        <w:t xml:space="preserve">was recommended for IPF with a risk sharing arrangement </w:t>
      </w:r>
      <w:r>
        <w:rPr>
          <w:szCs w:val="22"/>
        </w:rPr>
        <w:t xml:space="preserve">which would cap Government financial expenditure </w:t>
      </w:r>
      <w:r w:rsidR="004273B9">
        <w:rPr>
          <w:szCs w:val="22"/>
        </w:rPr>
        <w:t xml:space="preserve">based on the nintedanib submission’s financial estimates and a </w:t>
      </w:r>
      <w:r w:rsidR="00F60B7B">
        <w:rPr>
          <w:noProof/>
          <w:color w:val="000000"/>
          <w:szCs w:val="22"/>
          <w:highlight w:val="black"/>
        </w:rPr>
        <w:t>'''''''''</w:t>
      </w:r>
      <w:r w:rsidR="004273B9">
        <w:rPr>
          <w:szCs w:val="22"/>
        </w:rPr>
        <w:t xml:space="preserve">% rebate to any Government expenditure beyond the financial cap. The PBAC recommended that pirfenidone should be included </w:t>
      </w:r>
      <w:r w:rsidR="00126E1F">
        <w:rPr>
          <w:szCs w:val="22"/>
        </w:rPr>
        <w:t>within the same financial caps.</w:t>
      </w:r>
    </w:p>
    <w:p w:rsidR="00776DBD" w:rsidRDefault="00776DBD" w:rsidP="00C16DEA">
      <w:pPr>
        <w:widowControl/>
        <w:rPr>
          <w:szCs w:val="22"/>
        </w:rPr>
      </w:pPr>
    </w:p>
    <w:p w:rsidR="0077313A" w:rsidRDefault="0077313A" w:rsidP="00C16DEA">
      <w:pPr>
        <w:widowControl/>
        <w:rPr>
          <w:szCs w:val="22"/>
        </w:rPr>
      </w:pPr>
      <w:r>
        <w:rPr>
          <w:szCs w:val="22"/>
        </w:rPr>
        <w:t>The PBAC advised that pirfenidone is not suitable for prescribing by nurse practitioners.</w:t>
      </w:r>
    </w:p>
    <w:p w:rsidR="00813D43" w:rsidRDefault="00813D43" w:rsidP="00C16DEA">
      <w:pPr>
        <w:widowControl/>
        <w:rPr>
          <w:szCs w:val="22"/>
        </w:rPr>
      </w:pPr>
    </w:p>
    <w:p w:rsidR="00032BA8" w:rsidRPr="00E44227" w:rsidRDefault="00032BA8" w:rsidP="00032BA8">
      <w:pPr>
        <w:widowControl/>
        <w:contextualSpacing/>
        <w:rPr>
          <w:sz w:val="20"/>
          <w:szCs w:val="22"/>
        </w:rPr>
      </w:pPr>
      <w:r w:rsidRPr="00E44227">
        <w:lastRenderedPageBreak/>
        <w:t xml:space="preserve">The PBAC advised, under Section 101(3BA) of the </w:t>
      </w:r>
      <w:r w:rsidRPr="00E44227">
        <w:rPr>
          <w:i/>
        </w:rPr>
        <w:t>National Health Act 1953</w:t>
      </w:r>
      <w:r w:rsidRPr="00E44227">
        <w:t xml:space="preserve">, that </w:t>
      </w:r>
      <w:r>
        <w:t>pirfenidone and nintedanib</w:t>
      </w:r>
      <w:r w:rsidRPr="00E44227">
        <w:t xml:space="preserve"> for the treatment of </w:t>
      </w:r>
      <w:r>
        <w:t>idiopathic pulmonary fibrosis</w:t>
      </w:r>
      <w:r w:rsidRPr="00E44227">
        <w:t xml:space="preserve"> should be treated as interchangeable on an individual patient basis.</w:t>
      </w:r>
    </w:p>
    <w:p w:rsidR="0077313A" w:rsidRDefault="0077313A" w:rsidP="00C16DEA">
      <w:pPr>
        <w:widowControl/>
        <w:rPr>
          <w:szCs w:val="22"/>
        </w:rPr>
      </w:pPr>
    </w:p>
    <w:p w:rsidR="0077313A" w:rsidRDefault="0077313A" w:rsidP="00C16DEA">
      <w:pPr>
        <w:widowControl/>
        <w:rPr>
          <w:szCs w:val="22"/>
        </w:rPr>
      </w:pPr>
      <w:r>
        <w:rPr>
          <w:szCs w:val="22"/>
        </w:rPr>
        <w:t xml:space="preserve">The PBAC recommended that the </w:t>
      </w:r>
      <w:r w:rsidR="006E73CD">
        <w:rPr>
          <w:szCs w:val="22"/>
        </w:rPr>
        <w:t>Early Supply Rule</w:t>
      </w:r>
      <w:r w:rsidR="00C548A3">
        <w:rPr>
          <w:szCs w:val="22"/>
        </w:rPr>
        <w:t xml:space="preserve"> should </w:t>
      </w:r>
      <w:r>
        <w:rPr>
          <w:szCs w:val="22"/>
        </w:rPr>
        <w:t>apply</w:t>
      </w:r>
      <w:r w:rsidR="006E73CD">
        <w:rPr>
          <w:szCs w:val="22"/>
        </w:rPr>
        <w:t xml:space="preserve"> to </w:t>
      </w:r>
      <w:r w:rsidR="005915F5">
        <w:rPr>
          <w:szCs w:val="22"/>
        </w:rPr>
        <w:t>pirfenidone</w:t>
      </w:r>
      <w:r>
        <w:rPr>
          <w:szCs w:val="22"/>
        </w:rPr>
        <w:t>.</w:t>
      </w:r>
    </w:p>
    <w:p w:rsidR="0077313A" w:rsidRDefault="0077313A" w:rsidP="00C16DEA">
      <w:pPr>
        <w:widowControl/>
        <w:rPr>
          <w:szCs w:val="22"/>
        </w:rPr>
      </w:pPr>
    </w:p>
    <w:p w:rsidR="0077313A" w:rsidRPr="00D12AED" w:rsidRDefault="0077313A" w:rsidP="0077313A">
      <w:pPr>
        <w:widowControl/>
        <w:rPr>
          <w:b/>
          <w:bCs/>
          <w:szCs w:val="22"/>
          <w:lang w:val="en-GB"/>
        </w:rPr>
      </w:pPr>
      <w:r w:rsidRPr="00D12AED">
        <w:rPr>
          <w:b/>
          <w:bCs/>
          <w:szCs w:val="22"/>
          <w:lang w:val="en-GB"/>
        </w:rPr>
        <w:t>Outcome:</w:t>
      </w:r>
    </w:p>
    <w:p w:rsidR="0077313A" w:rsidRDefault="0077313A" w:rsidP="0077313A">
      <w:pPr>
        <w:widowControl/>
        <w:rPr>
          <w:bCs/>
          <w:szCs w:val="22"/>
          <w:lang w:val="en-GB"/>
        </w:rPr>
      </w:pPr>
      <w:r>
        <w:rPr>
          <w:bCs/>
          <w:szCs w:val="22"/>
          <w:lang w:val="en-GB"/>
        </w:rPr>
        <w:t>Recommended</w:t>
      </w:r>
    </w:p>
    <w:p w:rsidR="0077313A" w:rsidRDefault="0077313A" w:rsidP="0077313A">
      <w:pPr>
        <w:widowControl/>
        <w:rPr>
          <w:bCs/>
          <w:szCs w:val="22"/>
          <w:lang w:val="en-GB"/>
        </w:rPr>
      </w:pPr>
    </w:p>
    <w:p w:rsidR="00A75F8D" w:rsidRDefault="00A75F8D" w:rsidP="0077313A">
      <w:pPr>
        <w:widowControl/>
        <w:rPr>
          <w:bCs/>
          <w:szCs w:val="22"/>
          <w:lang w:val="en-GB"/>
        </w:rPr>
      </w:pPr>
    </w:p>
    <w:p w:rsidR="00957D62" w:rsidRPr="00957D62" w:rsidRDefault="00957D62" w:rsidP="004273B9">
      <w:pPr>
        <w:widowControl/>
        <w:rPr>
          <w:b/>
          <w:szCs w:val="22"/>
        </w:rPr>
      </w:pPr>
      <w:r w:rsidRPr="00957D62">
        <w:rPr>
          <w:b/>
          <w:szCs w:val="22"/>
        </w:rPr>
        <w:t>Recommended listing</w:t>
      </w:r>
    </w:p>
    <w:p w:rsidR="0077313A" w:rsidRDefault="0077313A" w:rsidP="0077313A">
      <w:pPr>
        <w:widowControl/>
        <w:rPr>
          <w:bCs/>
          <w:szCs w:val="22"/>
          <w:lang w:val="en-GB"/>
        </w:rPr>
      </w:pPr>
    </w:p>
    <w:tbl>
      <w:tblPr>
        <w:tblW w:w="9072" w:type="dxa"/>
        <w:tblInd w:w="108" w:type="dxa"/>
        <w:tblLayout w:type="fixed"/>
        <w:tblLook w:val="0000" w:firstRow="0" w:lastRow="0" w:firstColumn="0" w:lastColumn="0" w:noHBand="0" w:noVBand="0"/>
      </w:tblPr>
      <w:tblGrid>
        <w:gridCol w:w="2268"/>
        <w:gridCol w:w="1560"/>
        <w:gridCol w:w="567"/>
        <w:gridCol w:w="850"/>
        <w:gridCol w:w="851"/>
        <w:gridCol w:w="2976"/>
      </w:tblGrid>
      <w:tr w:rsidR="00A865B0" w:rsidRPr="008A0437" w:rsidTr="004273B9">
        <w:trPr>
          <w:trHeight w:val="471"/>
        </w:trPr>
        <w:tc>
          <w:tcPr>
            <w:tcW w:w="3828" w:type="dxa"/>
            <w:gridSpan w:val="2"/>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Name, Restriction,</w:t>
            </w:r>
          </w:p>
          <w:p w:rsidR="00A865B0" w:rsidRPr="008A0437" w:rsidRDefault="00A865B0" w:rsidP="004273B9">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Max.</w:t>
            </w:r>
          </w:p>
          <w:p w:rsidR="00A865B0" w:rsidRPr="008A0437" w:rsidRDefault="00A865B0" w:rsidP="004273B9">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№.of</w:t>
            </w:r>
          </w:p>
          <w:p w:rsidR="00A865B0" w:rsidRPr="008A0437" w:rsidRDefault="00A865B0" w:rsidP="004273B9">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A865B0" w:rsidRPr="008A0437" w:rsidRDefault="00A865B0" w:rsidP="004273B9">
            <w:pPr>
              <w:keepNext/>
              <w:rPr>
                <w:rFonts w:ascii="Arial Narrow" w:hAnsi="Arial Narrow"/>
                <w:sz w:val="20"/>
              </w:rPr>
            </w:pPr>
            <w:r w:rsidRPr="008A0437">
              <w:rPr>
                <w:rFonts w:ascii="Arial Narrow" w:hAnsi="Arial Narrow"/>
                <w:sz w:val="20"/>
              </w:rPr>
              <w:t>Proprietary Name and Manufacturer</w:t>
            </w:r>
          </w:p>
        </w:tc>
      </w:tr>
      <w:tr w:rsidR="00A865B0" w:rsidRPr="008A0437" w:rsidTr="004273B9">
        <w:trPr>
          <w:trHeight w:val="577"/>
        </w:trPr>
        <w:tc>
          <w:tcPr>
            <w:tcW w:w="3828" w:type="dxa"/>
            <w:gridSpan w:val="2"/>
          </w:tcPr>
          <w:p w:rsidR="00A865B0" w:rsidRPr="00260CE3" w:rsidRDefault="00A865B0" w:rsidP="004273B9">
            <w:pPr>
              <w:keepNext/>
              <w:widowControl/>
              <w:ind w:left="-108"/>
              <w:rPr>
                <w:rFonts w:ascii="Arial Narrow" w:hAnsi="Arial Narrow"/>
                <w:sz w:val="20"/>
                <w:szCs w:val="20"/>
              </w:rPr>
            </w:pPr>
            <w:r>
              <w:rPr>
                <w:rFonts w:ascii="Arial Narrow" w:hAnsi="Arial Narrow"/>
                <w:smallCaps/>
                <w:sz w:val="20"/>
                <w:szCs w:val="20"/>
              </w:rPr>
              <w:t>PIRFENIDONE</w:t>
            </w:r>
          </w:p>
          <w:p w:rsidR="00A865B0" w:rsidRPr="008A0437" w:rsidRDefault="00A865B0" w:rsidP="004273B9">
            <w:pPr>
              <w:keepNext/>
              <w:ind w:left="-108"/>
              <w:rPr>
                <w:rFonts w:ascii="Arial Narrow" w:hAnsi="Arial Narrow"/>
                <w:sz w:val="20"/>
              </w:rPr>
            </w:pPr>
            <w:r>
              <w:rPr>
                <w:rFonts w:ascii="Arial Narrow" w:hAnsi="Arial Narrow"/>
                <w:sz w:val="20"/>
                <w:szCs w:val="20"/>
              </w:rPr>
              <w:t>Capsules 267 mg, 270</w:t>
            </w:r>
          </w:p>
        </w:tc>
        <w:tc>
          <w:tcPr>
            <w:tcW w:w="567" w:type="dxa"/>
          </w:tcPr>
          <w:p w:rsidR="00A865B0" w:rsidRPr="008A0437" w:rsidRDefault="00A865B0" w:rsidP="004273B9">
            <w:pPr>
              <w:keepNext/>
              <w:ind w:left="-108"/>
              <w:rPr>
                <w:rFonts w:ascii="Arial Narrow" w:hAnsi="Arial Narrow"/>
                <w:sz w:val="20"/>
              </w:rPr>
            </w:pPr>
          </w:p>
          <w:p w:rsidR="00A865B0" w:rsidRPr="008A0437" w:rsidRDefault="00A865B0" w:rsidP="004273B9">
            <w:pPr>
              <w:keepNext/>
              <w:ind w:left="-108"/>
              <w:rPr>
                <w:rFonts w:ascii="Arial Narrow" w:hAnsi="Arial Narrow"/>
                <w:sz w:val="20"/>
              </w:rPr>
            </w:pPr>
            <w:r w:rsidRPr="008A0437">
              <w:rPr>
                <w:rFonts w:ascii="Arial Narrow" w:hAnsi="Arial Narrow"/>
                <w:sz w:val="20"/>
              </w:rPr>
              <w:t>1</w:t>
            </w:r>
          </w:p>
        </w:tc>
        <w:tc>
          <w:tcPr>
            <w:tcW w:w="850" w:type="dxa"/>
          </w:tcPr>
          <w:p w:rsidR="00A865B0" w:rsidRPr="008A0437" w:rsidRDefault="00A865B0" w:rsidP="004273B9">
            <w:pPr>
              <w:keepNext/>
              <w:ind w:left="-108"/>
              <w:rPr>
                <w:rFonts w:ascii="Arial Narrow" w:hAnsi="Arial Narrow"/>
                <w:sz w:val="20"/>
              </w:rPr>
            </w:pPr>
          </w:p>
          <w:p w:rsidR="00A865B0" w:rsidRPr="008A0437" w:rsidRDefault="00A865B0" w:rsidP="004273B9">
            <w:pPr>
              <w:keepNext/>
              <w:ind w:left="-108"/>
              <w:rPr>
                <w:rFonts w:ascii="Arial Narrow" w:hAnsi="Arial Narrow"/>
                <w:sz w:val="20"/>
              </w:rPr>
            </w:pPr>
            <w:r w:rsidRPr="008A0437">
              <w:rPr>
                <w:rFonts w:ascii="Arial Narrow" w:hAnsi="Arial Narrow"/>
                <w:sz w:val="20"/>
              </w:rPr>
              <w:t>5</w:t>
            </w:r>
          </w:p>
        </w:tc>
        <w:tc>
          <w:tcPr>
            <w:tcW w:w="851" w:type="dxa"/>
          </w:tcPr>
          <w:p w:rsidR="00A865B0" w:rsidRPr="008A0437" w:rsidRDefault="00A865B0" w:rsidP="004273B9">
            <w:pPr>
              <w:keepNext/>
              <w:rPr>
                <w:rFonts w:ascii="Arial Narrow" w:hAnsi="Arial Narrow"/>
                <w:sz w:val="20"/>
              </w:rPr>
            </w:pPr>
            <w:r w:rsidRPr="005C689D">
              <w:rPr>
                <w:rFonts w:ascii="Arial Narrow" w:hAnsi="Arial Narrow"/>
                <w:sz w:val="20"/>
              </w:rPr>
              <w:t>Esbriet®</w:t>
            </w:r>
          </w:p>
        </w:tc>
        <w:tc>
          <w:tcPr>
            <w:tcW w:w="2976" w:type="dxa"/>
          </w:tcPr>
          <w:p w:rsidR="00A865B0" w:rsidRPr="008A0437" w:rsidRDefault="00A865B0" w:rsidP="004273B9">
            <w:pPr>
              <w:keepNext/>
              <w:rPr>
                <w:rFonts w:ascii="Arial Narrow" w:hAnsi="Arial Narrow"/>
                <w:sz w:val="20"/>
              </w:rPr>
            </w:pPr>
            <w:r>
              <w:rPr>
                <w:rFonts w:ascii="Arial Narrow" w:hAnsi="Arial Narrow"/>
                <w:sz w:val="20"/>
                <w:szCs w:val="20"/>
              </w:rPr>
              <w:t>Roche Products Pty Ltd</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Category/Program</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GENERAL – General Schedule (Code GE)</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Idiopathic pulmonary fibrosis</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Idiopathic pulmonary fibrosis</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jc w:val="left"/>
              <w:rPr>
                <w:rFonts w:ascii="Arial Narrow" w:hAnsi="Arial Narrow"/>
                <w:b/>
                <w:sz w:val="20"/>
              </w:rPr>
            </w:pPr>
            <w:r w:rsidRPr="008A0437">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 xml:space="preserve">Initial </w:t>
            </w:r>
            <w:r>
              <w:rPr>
                <w:rFonts w:ascii="Arial Narrow" w:hAnsi="Arial Narrow"/>
                <w:sz w:val="20"/>
              </w:rPr>
              <w:t>1: new patient</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B57E45" w:rsidRDefault="00A865B0" w:rsidP="004273B9">
            <w:pPr>
              <w:widowControl/>
              <w:rPr>
                <w:rFonts w:ascii="Arial Narrow" w:hAnsi="Arial Narrow"/>
                <w:i/>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trike/>
                <w:sz w:val="20"/>
              </w:rPr>
            </w:pPr>
            <w:r>
              <w:rPr>
                <w:rFonts w:ascii="Arial Narrow" w:hAnsi="Arial Narrow"/>
                <w:sz w:val="20"/>
                <w:lang w:eastAsia="en-AU"/>
              </w:rPr>
              <w:t xml:space="preserve">The condition </w:t>
            </w:r>
            <w:r w:rsidRPr="008A0437">
              <w:rPr>
                <w:rFonts w:ascii="Arial Narrow" w:hAnsi="Arial Narrow"/>
                <w:sz w:val="20"/>
                <w:lang w:eastAsia="en-AU"/>
              </w:rPr>
              <w:t xml:space="preserve">must </w:t>
            </w:r>
            <w:r>
              <w:rPr>
                <w:rFonts w:ascii="Arial Narrow" w:hAnsi="Arial Narrow"/>
                <w:sz w:val="20"/>
                <w:lang w:eastAsia="en-AU"/>
              </w:rPr>
              <w:t xml:space="preserve">be </w:t>
            </w:r>
            <w:r w:rsidRPr="008A0437">
              <w:rPr>
                <w:rFonts w:ascii="Arial Narrow" w:hAnsi="Arial Narrow"/>
                <w:sz w:val="20"/>
                <w:lang w:eastAsia="en-AU"/>
              </w:rPr>
              <w:t>diagnos</w:t>
            </w:r>
            <w:r>
              <w:rPr>
                <w:rFonts w:ascii="Arial Narrow" w:hAnsi="Arial Narrow"/>
                <w:sz w:val="20"/>
                <w:lang w:eastAsia="en-AU"/>
              </w:rPr>
              <w:t xml:space="preserve">ed </w:t>
            </w:r>
            <w:r w:rsidRPr="008A0437">
              <w:rPr>
                <w:rFonts w:ascii="Arial Narrow" w:hAnsi="Arial Narrow"/>
                <w:sz w:val="20"/>
                <w:lang w:eastAsia="en-AU"/>
              </w:rPr>
              <w:t>through a multidisciplinary team.</w:t>
            </w:r>
          </w:p>
          <w:p w:rsidR="00A865B0" w:rsidRPr="008A0437" w:rsidRDefault="00A865B0" w:rsidP="004273B9">
            <w:pPr>
              <w:rPr>
                <w:rFonts w:ascii="Arial Narrow" w:hAnsi="Arial Narrow"/>
                <w:sz w:val="20"/>
              </w:rPr>
            </w:pPr>
            <w:r w:rsidRPr="008A0437">
              <w:rPr>
                <w:rFonts w:ascii="Arial Narrow" w:hAnsi="Arial Narrow"/>
                <w:sz w:val="20"/>
              </w:rPr>
              <w:t>AND</w:t>
            </w:r>
          </w:p>
          <w:p w:rsidR="00A865B0" w:rsidRPr="008A0437" w:rsidRDefault="00A865B0" w:rsidP="004273B9">
            <w:pPr>
              <w:rPr>
                <w:rFonts w:ascii="Arial Narrow" w:hAnsi="Arial Narrow"/>
                <w:sz w:val="20"/>
              </w:rPr>
            </w:pPr>
            <w:r w:rsidRPr="008A0437">
              <w:rPr>
                <w:rFonts w:ascii="Arial Narrow" w:hAnsi="Arial Narrow"/>
                <w:sz w:val="20"/>
              </w:rPr>
              <w:t>Patient must have a chest high resolution computed tomography (HRCT) consistent with diagnosis of idiopathic pulmonary fibrosi</w:t>
            </w:r>
            <w:r>
              <w:rPr>
                <w:rFonts w:ascii="Arial Narrow" w:hAnsi="Arial Narrow"/>
                <w:sz w:val="20"/>
              </w:rPr>
              <w:t>s within the previous 12 months</w:t>
            </w:r>
          </w:p>
          <w:p w:rsidR="00A865B0" w:rsidRPr="008A0437" w:rsidRDefault="00A865B0" w:rsidP="004273B9">
            <w:pPr>
              <w:rPr>
                <w:rFonts w:ascii="Arial Narrow" w:hAnsi="Arial Narrow"/>
                <w:sz w:val="20"/>
              </w:rPr>
            </w:pPr>
            <w:r w:rsidRPr="008A0437">
              <w:rPr>
                <w:rFonts w:ascii="Arial Narrow" w:hAnsi="Arial Narrow"/>
                <w:sz w:val="20"/>
              </w:rPr>
              <w:t>AND</w:t>
            </w:r>
          </w:p>
          <w:p w:rsidR="00A865B0" w:rsidRDefault="00A865B0" w:rsidP="004273B9">
            <w:pPr>
              <w:rPr>
                <w:rFonts w:ascii="Arial Narrow" w:hAnsi="Arial Narrow"/>
                <w:sz w:val="20"/>
              </w:rPr>
            </w:pPr>
            <w:r w:rsidRPr="008A0437">
              <w:rPr>
                <w:rFonts w:ascii="Arial Narrow" w:hAnsi="Arial Narrow"/>
                <w:sz w:val="20"/>
              </w:rPr>
              <w:t xml:space="preserve">Patient must have forced vital capacity (FVC) </w:t>
            </w:r>
            <w:r>
              <w:rPr>
                <w:rFonts w:ascii="Arial Narrow" w:hAnsi="Arial Narrow"/>
                <w:sz w:val="20"/>
              </w:rPr>
              <w:t xml:space="preserve">greater than or </w:t>
            </w:r>
            <w:r w:rsidRPr="008A0437">
              <w:rPr>
                <w:rFonts w:ascii="Arial Narrow" w:hAnsi="Arial Narrow"/>
                <w:sz w:val="20"/>
              </w:rPr>
              <w:t>equal to 50% predicted for age, gender and height</w:t>
            </w:r>
          </w:p>
          <w:p w:rsidR="00A865B0" w:rsidRDefault="00A865B0" w:rsidP="004273B9">
            <w:pPr>
              <w:rPr>
                <w:rFonts w:ascii="Arial Narrow" w:hAnsi="Arial Narrow"/>
                <w:sz w:val="20"/>
              </w:rPr>
            </w:pPr>
            <w:r>
              <w:rPr>
                <w:rFonts w:ascii="Arial Narrow" w:hAnsi="Arial Narrow"/>
                <w:sz w:val="20"/>
              </w:rPr>
              <w:t>AND</w:t>
            </w:r>
          </w:p>
          <w:p w:rsidR="00A865B0" w:rsidRPr="008A0437" w:rsidRDefault="00A865B0" w:rsidP="004273B9">
            <w:pPr>
              <w:rPr>
                <w:rFonts w:ascii="Arial Narrow" w:hAnsi="Arial Narrow"/>
                <w:sz w:val="20"/>
              </w:rPr>
            </w:pPr>
            <w:r>
              <w:rPr>
                <w:rFonts w:ascii="Arial Narrow" w:hAnsi="Arial Narrow"/>
                <w:sz w:val="20"/>
              </w:rPr>
              <w:t>Patient must have a</w:t>
            </w:r>
            <w:r w:rsidRPr="008A0437">
              <w:rPr>
                <w:rFonts w:ascii="Arial Narrow" w:hAnsi="Arial Narrow"/>
                <w:sz w:val="20"/>
              </w:rPr>
              <w:t xml:space="preserve"> forced expiratory volume in 1 second (FEV1)/FVC ratio greater than 0.7</w:t>
            </w:r>
          </w:p>
          <w:p w:rsidR="00A865B0" w:rsidRPr="008A0437" w:rsidRDefault="00A865B0" w:rsidP="004273B9">
            <w:pPr>
              <w:rPr>
                <w:rFonts w:ascii="Arial Narrow" w:hAnsi="Arial Narrow"/>
                <w:sz w:val="20"/>
              </w:rPr>
            </w:pPr>
            <w:r w:rsidRPr="008A0437">
              <w:rPr>
                <w:rFonts w:ascii="Arial Narrow" w:hAnsi="Arial Narrow"/>
                <w:sz w:val="20"/>
              </w:rPr>
              <w:t>AND</w:t>
            </w:r>
          </w:p>
          <w:p w:rsidR="00A865B0" w:rsidRPr="008A0437" w:rsidRDefault="00A865B0" w:rsidP="004273B9">
            <w:pPr>
              <w:rPr>
                <w:rFonts w:ascii="Arial Narrow" w:hAnsi="Arial Narrow"/>
                <w:sz w:val="20"/>
              </w:rPr>
            </w:pPr>
            <w:r w:rsidRPr="008A0437">
              <w:rPr>
                <w:rFonts w:ascii="Arial Narrow" w:hAnsi="Arial Narrow"/>
                <w:sz w:val="20"/>
              </w:rPr>
              <w:t>Patient must have diffusing capacity of the lungs for carbon monoxide (DLCO) corrected for haemoglobin equal to or greater than 30%</w:t>
            </w:r>
          </w:p>
          <w:p w:rsidR="00A865B0" w:rsidRPr="008A0437" w:rsidRDefault="00A865B0" w:rsidP="004273B9">
            <w:pPr>
              <w:rPr>
                <w:rFonts w:ascii="Arial Narrow" w:hAnsi="Arial Narrow"/>
                <w:sz w:val="20"/>
              </w:rPr>
            </w:pPr>
            <w:r w:rsidRPr="008A0437">
              <w:rPr>
                <w:rFonts w:ascii="Arial Narrow" w:hAnsi="Arial Narrow"/>
                <w:sz w:val="20"/>
              </w:rPr>
              <w:t>AND</w:t>
            </w:r>
          </w:p>
          <w:p w:rsidR="00A865B0" w:rsidRDefault="00A865B0" w:rsidP="004273B9">
            <w:pPr>
              <w:rPr>
                <w:rFonts w:ascii="Arial Narrow" w:hAnsi="Arial Narrow"/>
                <w:sz w:val="20"/>
              </w:rPr>
            </w:pPr>
            <w:r w:rsidRPr="008A0437">
              <w:rPr>
                <w:rFonts w:ascii="Arial Narrow" w:hAnsi="Arial Narrow"/>
                <w:sz w:val="20"/>
              </w:rPr>
              <w:t xml:space="preserve">Patient must not have interstitial lung disease due to other known causes including domestic and occupational environmental exposures, connective tissue disease, </w:t>
            </w:r>
            <w:r>
              <w:rPr>
                <w:rFonts w:ascii="Arial Narrow" w:hAnsi="Arial Narrow"/>
                <w:sz w:val="20"/>
              </w:rPr>
              <w:t xml:space="preserve">or </w:t>
            </w:r>
            <w:r w:rsidRPr="008A0437">
              <w:rPr>
                <w:rFonts w:ascii="Arial Narrow" w:hAnsi="Arial Narrow"/>
                <w:sz w:val="20"/>
              </w:rPr>
              <w:t>drug toxicity.</w:t>
            </w:r>
          </w:p>
          <w:p w:rsidR="00A865B0" w:rsidRDefault="00A865B0" w:rsidP="004273B9">
            <w:pPr>
              <w:rPr>
                <w:rFonts w:ascii="Arial Narrow" w:hAnsi="Arial Narrow"/>
                <w:sz w:val="20"/>
              </w:rPr>
            </w:pPr>
            <w:r>
              <w:rPr>
                <w:rFonts w:ascii="Arial Narrow" w:hAnsi="Arial Narrow"/>
                <w:sz w:val="20"/>
              </w:rPr>
              <w:t>AND</w:t>
            </w:r>
          </w:p>
          <w:p w:rsidR="00A865B0" w:rsidRPr="008A0437" w:rsidRDefault="00A865B0" w:rsidP="00987F15">
            <w:pPr>
              <w:rPr>
                <w:rFonts w:ascii="Arial Narrow" w:hAnsi="Arial Narrow"/>
                <w:sz w:val="20"/>
              </w:rPr>
            </w:pPr>
            <w:r w:rsidRPr="00A865B0">
              <w:rPr>
                <w:rFonts w:ascii="Arial Narrow" w:hAnsi="Arial Narrow"/>
                <w:sz w:val="20"/>
              </w:rPr>
              <w:t xml:space="preserve">The treatment must be </w:t>
            </w:r>
            <w:r w:rsidR="00987F15">
              <w:rPr>
                <w:rFonts w:ascii="Arial Narrow" w:hAnsi="Arial Narrow"/>
                <w:sz w:val="20"/>
              </w:rPr>
              <w:t xml:space="preserve">the sole </w:t>
            </w:r>
            <w:r w:rsidRPr="00A865B0">
              <w:rPr>
                <w:rFonts w:ascii="Arial Narrow" w:hAnsi="Arial Narrow"/>
                <w:sz w:val="20"/>
              </w:rPr>
              <w:t xml:space="preserve">PBS-subsidised </w:t>
            </w:r>
            <w:r w:rsidR="00987F15">
              <w:rPr>
                <w:rFonts w:ascii="Arial Narrow" w:hAnsi="Arial Narrow"/>
                <w:sz w:val="20"/>
              </w:rPr>
              <w:t>treatment for this condition.</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Pr>
                <w:rFonts w:ascii="Arial Narrow" w:hAnsi="Arial Narrow"/>
                <w:sz w:val="20"/>
              </w:rPr>
              <w:t>A</w:t>
            </w:r>
            <w:r w:rsidRPr="008A0437">
              <w:rPr>
                <w:rFonts w:ascii="Arial Narrow" w:hAnsi="Arial Narrow"/>
                <w:sz w:val="20"/>
              </w:rPr>
              <w:t xml:space="preserve"> multidisciplinary team </w:t>
            </w:r>
            <w:r>
              <w:rPr>
                <w:rFonts w:ascii="Arial Narrow" w:hAnsi="Arial Narrow"/>
                <w:sz w:val="20"/>
              </w:rPr>
              <w:t xml:space="preserve">is defined as </w:t>
            </w:r>
            <w:r w:rsidRPr="008A0437">
              <w:rPr>
                <w:rFonts w:ascii="Arial Narrow" w:hAnsi="Arial Narrow"/>
                <w:sz w:val="20"/>
              </w:rPr>
              <w:t>compris</w:t>
            </w:r>
            <w:r>
              <w:rPr>
                <w:rFonts w:ascii="Arial Narrow" w:hAnsi="Arial Narrow"/>
                <w:sz w:val="20"/>
              </w:rPr>
              <w:t>ing</w:t>
            </w:r>
            <w:r w:rsidRPr="008A0437">
              <w:rPr>
                <w:rFonts w:ascii="Arial Narrow" w:hAnsi="Arial Narrow"/>
                <w:sz w:val="20"/>
              </w:rPr>
              <w:t xml:space="preserve"> of at least a</w:t>
            </w:r>
            <w:r>
              <w:rPr>
                <w:rFonts w:ascii="Arial Narrow" w:hAnsi="Arial Narrow"/>
                <w:sz w:val="20"/>
              </w:rPr>
              <w:t xml:space="preserve"> specialist respiratory physician</w:t>
            </w:r>
            <w:r w:rsidRPr="008A0437">
              <w:rPr>
                <w:rFonts w:ascii="Arial Narrow" w:hAnsi="Arial Narrow"/>
                <w:sz w:val="20"/>
              </w:rPr>
              <w:t xml:space="preserve">, </w:t>
            </w:r>
            <w:r>
              <w:rPr>
                <w:rFonts w:ascii="Arial Narrow" w:hAnsi="Arial Narrow"/>
                <w:sz w:val="20"/>
              </w:rPr>
              <w:t xml:space="preserve">a </w:t>
            </w:r>
            <w:r w:rsidRPr="008A0437">
              <w:rPr>
                <w:rFonts w:ascii="Arial Narrow" w:hAnsi="Arial Narrow"/>
                <w:sz w:val="20"/>
              </w:rPr>
              <w:t>radiologist and</w:t>
            </w:r>
            <w:r>
              <w:rPr>
                <w:rFonts w:ascii="Arial Narrow" w:hAnsi="Arial Narrow"/>
                <w:sz w:val="20"/>
              </w:rPr>
              <w:t>,</w:t>
            </w:r>
            <w:r w:rsidRPr="008A0437">
              <w:rPr>
                <w:rFonts w:ascii="Arial Narrow" w:hAnsi="Arial Narrow"/>
                <w:sz w:val="20"/>
              </w:rPr>
              <w:t xml:space="preserve"> where</w:t>
            </w:r>
            <w:r>
              <w:rPr>
                <w:rFonts w:ascii="Arial Narrow" w:hAnsi="Arial Narrow"/>
                <w:sz w:val="20"/>
              </w:rPr>
              <w:t xml:space="preserve"> histological material is considered</w:t>
            </w:r>
            <w:r w:rsidRPr="008A0437">
              <w:rPr>
                <w:rFonts w:ascii="Arial Narrow" w:hAnsi="Arial Narrow"/>
                <w:sz w:val="20"/>
              </w:rPr>
              <w:t>, a pathologist. If attendance is not possible, because of geographical isolation</w:t>
            </w:r>
            <w:r>
              <w:rPr>
                <w:rFonts w:ascii="Arial Narrow" w:hAnsi="Arial Narrow"/>
                <w:sz w:val="20"/>
              </w:rPr>
              <w:t xml:space="preserve"> consultation with a multidisciplinary team is required for diagnosis.</w:t>
            </w:r>
          </w:p>
          <w:p w:rsidR="004273B9" w:rsidRDefault="004273B9" w:rsidP="004273B9">
            <w:pPr>
              <w:rPr>
                <w:rFonts w:ascii="Arial Narrow" w:hAnsi="Arial Narrow"/>
                <w:sz w:val="20"/>
              </w:rPr>
            </w:pPr>
          </w:p>
          <w:p w:rsidR="00A865B0" w:rsidRPr="008A0437" w:rsidRDefault="00A865B0" w:rsidP="004273B9">
            <w:pPr>
              <w:rPr>
                <w:rFonts w:ascii="Arial Narrow" w:hAnsi="Arial Narrow"/>
                <w:sz w:val="20"/>
              </w:rPr>
            </w:pPr>
            <w:r w:rsidRPr="008A0437">
              <w:rPr>
                <w:rFonts w:ascii="Arial Narrow" w:hAnsi="Arial Narrow"/>
                <w:sz w:val="20"/>
              </w:rPr>
              <w:t xml:space="preserve">Application for authorisation </w:t>
            </w:r>
            <w:r>
              <w:rPr>
                <w:rFonts w:ascii="Arial Narrow" w:hAnsi="Arial Narrow"/>
                <w:sz w:val="20"/>
              </w:rPr>
              <w:t xml:space="preserve">for initial treatment </w:t>
            </w:r>
            <w:r w:rsidRPr="008A0437">
              <w:rPr>
                <w:rFonts w:ascii="Arial Narrow" w:hAnsi="Arial Narrow"/>
                <w:sz w:val="20"/>
              </w:rPr>
              <w:t>must be in writing and must include:</w:t>
            </w:r>
          </w:p>
          <w:p w:rsidR="00A865B0" w:rsidRPr="008A0437" w:rsidRDefault="00A865B0" w:rsidP="00A865B0">
            <w:pPr>
              <w:pStyle w:val="ListParagraph"/>
              <w:widowControl/>
              <w:numPr>
                <w:ilvl w:val="0"/>
                <w:numId w:val="36"/>
              </w:numPr>
              <w:ind w:left="318" w:hanging="318"/>
              <w:rPr>
                <w:rFonts w:ascii="Arial Narrow" w:hAnsi="Arial Narrow"/>
                <w:sz w:val="20"/>
              </w:rPr>
            </w:pPr>
            <w:r w:rsidRPr="008A0437">
              <w:rPr>
                <w:rFonts w:ascii="Arial Narrow" w:hAnsi="Arial Narrow"/>
                <w:sz w:val="20"/>
              </w:rPr>
              <w:t>A completed authority prescription form</w:t>
            </w:r>
          </w:p>
          <w:p w:rsidR="00A865B0" w:rsidRPr="0044145D" w:rsidRDefault="00A865B0" w:rsidP="00A865B0">
            <w:pPr>
              <w:pStyle w:val="ListParagraph"/>
              <w:widowControl/>
              <w:numPr>
                <w:ilvl w:val="0"/>
                <w:numId w:val="36"/>
              </w:numPr>
              <w:ind w:left="318" w:hanging="318"/>
              <w:rPr>
                <w:rFonts w:ascii="Arial Narrow" w:hAnsi="Arial Narrow"/>
                <w:sz w:val="20"/>
              </w:rPr>
            </w:pPr>
            <w:r w:rsidRPr="008A0437">
              <w:rPr>
                <w:rFonts w:ascii="Arial Narrow" w:hAnsi="Arial Narrow"/>
                <w:sz w:val="20"/>
              </w:rPr>
              <w:lastRenderedPageBreak/>
              <w:t>A co</w:t>
            </w:r>
            <w:r w:rsidRPr="0044145D">
              <w:rPr>
                <w:rFonts w:ascii="Arial Narrow" w:hAnsi="Arial Narrow"/>
                <w:sz w:val="20"/>
              </w:rPr>
              <w:t>mpleted IPF Authority Application Supporting Information Form</w:t>
            </w:r>
            <w:r>
              <w:rPr>
                <w:rFonts w:ascii="Arial Narrow" w:hAnsi="Arial Narrow"/>
                <w:sz w:val="20"/>
              </w:rPr>
              <w:t>; and</w:t>
            </w:r>
          </w:p>
          <w:p w:rsidR="00A865B0" w:rsidRPr="0044145D" w:rsidRDefault="00A865B0" w:rsidP="00A865B0">
            <w:pPr>
              <w:pStyle w:val="ListParagraph"/>
              <w:widowControl/>
              <w:numPr>
                <w:ilvl w:val="0"/>
                <w:numId w:val="36"/>
              </w:numPr>
              <w:ind w:left="318" w:hanging="318"/>
              <w:rPr>
                <w:rFonts w:ascii="Arial Narrow" w:hAnsi="Arial Narrow"/>
                <w:sz w:val="20"/>
              </w:rPr>
            </w:pPr>
            <w:r w:rsidRPr="0044145D">
              <w:rPr>
                <w:rFonts w:ascii="Arial Narrow" w:hAnsi="Arial Narrow"/>
                <w:sz w:val="20"/>
              </w:rPr>
              <w:t>A signed patient acknowledgement.</w:t>
            </w:r>
          </w:p>
          <w:p w:rsidR="00A865B0" w:rsidRPr="008A0437" w:rsidRDefault="00A865B0" w:rsidP="004273B9">
            <w:pPr>
              <w:rPr>
                <w:rFonts w:ascii="Arial Narrow" w:hAnsi="Arial Narrow"/>
                <w:sz w:val="20"/>
              </w:rPr>
            </w:pPr>
          </w:p>
          <w:p w:rsidR="00A865B0" w:rsidRPr="008A0437" w:rsidRDefault="00A865B0" w:rsidP="004273B9">
            <w:pPr>
              <w:rPr>
                <w:rFonts w:ascii="Arial Narrow" w:hAnsi="Arial Narrow"/>
                <w:sz w:val="20"/>
              </w:rPr>
            </w:pPr>
            <w:r w:rsidRPr="008A0437">
              <w:rPr>
                <w:rFonts w:ascii="Arial Narrow" w:hAnsi="Arial Narrow"/>
                <w:sz w:val="20"/>
              </w:rPr>
              <w:t>Patient must no</w:t>
            </w:r>
            <w:r>
              <w:rPr>
                <w:rFonts w:ascii="Arial Narrow" w:hAnsi="Arial Narrow"/>
                <w:sz w:val="20"/>
              </w:rPr>
              <w:t>t have an</w:t>
            </w:r>
            <w:r w:rsidRPr="008A0437">
              <w:rPr>
                <w:rFonts w:ascii="Arial Narrow" w:hAnsi="Arial Narrow"/>
                <w:sz w:val="20"/>
              </w:rPr>
              <w:t xml:space="preserve"> acute respiratory infection at the time of FVC testing.</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lastRenderedPageBreak/>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Any queries concerning the arrangements to prescribe may be directed to the Department of Human Services on 1800 700 270 (hours of operation 8 a.m. t</w:t>
            </w:r>
            <w:r w:rsidR="00EB361A">
              <w:rPr>
                <w:rFonts w:ascii="Arial Narrow" w:hAnsi="Arial Narrow"/>
                <w:sz w:val="20"/>
                <w:lang w:eastAsia="en-AU"/>
              </w:rPr>
              <w:t>o 5 p.m. EST Monday to Friday).</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Prescribing information (including Authority Application forms and other relevant documentation as applicable) is available on the Department of Human Services website at </w:t>
            </w:r>
            <w:r w:rsidRPr="00F60B7B">
              <w:rPr>
                <w:rFonts w:ascii="Arial Narrow" w:hAnsi="Arial Narrow"/>
                <w:sz w:val="20"/>
                <w:lang w:eastAsia="en-AU"/>
              </w:rPr>
              <w:t>www.humanservices.gov.au</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Applications for authority to pr</w:t>
            </w:r>
            <w:r w:rsidR="00EB361A">
              <w:rPr>
                <w:rFonts w:ascii="Arial Narrow" w:hAnsi="Arial Narrow"/>
                <w:sz w:val="20"/>
                <w:lang w:eastAsia="en-AU"/>
              </w:rPr>
              <w:t>escribe should be forwarded to:</w:t>
            </w: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Department of Human Services</w:t>
            </w: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Prior Wr</w:t>
            </w:r>
            <w:r w:rsidR="00EB361A">
              <w:rPr>
                <w:rFonts w:ascii="Arial Narrow" w:hAnsi="Arial Narrow"/>
                <w:sz w:val="20"/>
                <w:lang w:eastAsia="en-AU"/>
              </w:rPr>
              <w:t>itten Approval of Complex Drugs</w:t>
            </w:r>
          </w:p>
          <w:p w:rsidR="00A865B0" w:rsidRPr="008A0437" w:rsidRDefault="00EB361A" w:rsidP="004273B9">
            <w:pPr>
              <w:widowControl/>
              <w:snapToGrid w:val="0"/>
              <w:spacing w:line="20" w:lineRule="atLeast"/>
              <w:jc w:val="left"/>
              <w:rPr>
                <w:rFonts w:ascii="Arial Narrow" w:hAnsi="Arial Narrow"/>
                <w:sz w:val="20"/>
                <w:lang w:eastAsia="en-AU"/>
              </w:rPr>
            </w:pPr>
            <w:r>
              <w:rPr>
                <w:rFonts w:ascii="Arial Narrow" w:hAnsi="Arial Narrow"/>
                <w:sz w:val="20"/>
                <w:lang w:eastAsia="en-AU"/>
              </w:rPr>
              <w:t>Reply Paid 9826</w:t>
            </w:r>
          </w:p>
          <w:p w:rsidR="00A865B0" w:rsidRPr="008A0437" w:rsidRDefault="00EB361A" w:rsidP="004273B9">
            <w:pPr>
              <w:widowControl/>
              <w:snapToGrid w:val="0"/>
              <w:spacing w:line="20" w:lineRule="atLeast"/>
              <w:jc w:val="left"/>
              <w:rPr>
                <w:rFonts w:ascii="Arial Narrow" w:hAnsi="Arial Narrow"/>
                <w:sz w:val="20"/>
                <w:lang w:eastAsia="en-AU"/>
              </w:rPr>
            </w:pPr>
            <w:r>
              <w:rPr>
                <w:rFonts w:ascii="Arial Narrow" w:hAnsi="Arial Narrow"/>
                <w:sz w:val="20"/>
                <w:lang w:eastAsia="en-AU"/>
              </w:rPr>
              <w:t>GPO Box 9826</w:t>
            </w:r>
          </w:p>
          <w:p w:rsidR="00A865B0" w:rsidRPr="008A0437" w:rsidRDefault="00A865B0" w:rsidP="004273B9">
            <w:pPr>
              <w:rPr>
                <w:rFonts w:ascii="Arial Narrow" w:hAnsi="Arial Narrow"/>
                <w:sz w:val="20"/>
              </w:rPr>
            </w:pPr>
            <w:r w:rsidRPr="008A0437">
              <w:rPr>
                <w:rFonts w:ascii="Arial Narrow" w:hAnsi="Arial Narrow"/>
                <w:sz w:val="20"/>
                <w:lang w:eastAsia="en-AU"/>
              </w:rPr>
              <w:t>HOBART TAS 7001</w:t>
            </w:r>
          </w:p>
        </w:tc>
      </w:tr>
    </w:tbl>
    <w:p w:rsidR="00A865B0" w:rsidRDefault="00A865B0" w:rsidP="00A865B0">
      <w:pPr>
        <w:rPr>
          <w:szCs w:val="22"/>
        </w:rPr>
      </w:pPr>
    </w:p>
    <w:tbl>
      <w:tblPr>
        <w:tblW w:w="9072" w:type="dxa"/>
        <w:tblInd w:w="108" w:type="dxa"/>
        <w:tblLayout w:type="fixed"/>
        <w:tblLook w:val="0000" w:firstRow="0" w:lastRow="0" w:firstColumn="0" w:lastColumn="0" w:noHBand="0" w:noVBand="0"/>
      </w:tblPr>
      <w:tblGrid>
        <w:gridCol w:w="2268"/>
        <w:gridCol w:w="1560"/>
        <w:gridCol w:w="567"/>
        <w:gridCol w:w="850"/>
        <w:gridCol w:w="851"/>
        <w:gridCol w:w="2976"/>
      </w:tblGrid>
      <w:tr w:rsidR="00542132" w:rsidRPr="008A0437" w:rsidTr="00D56A22">
        <w:trPr>
          <w:trHeight w:val="471"/>
        </w:trPr>
        <w:tc>
          <w:tcPr>
            <w:tcW w:w="3828" w:type="dxa"/>
            <w:gridSpan w:val="2"/>
            <w:tcBorders>
              <w:bottom w:val="single" w:sz="4" w:space="0" w:color="auto"/>
            </w:tcBorders>
          </w:tcPr>
          <w:p w:rsidR="00542132" w:rsidRPr="008A0437" w:rsidRDefault="00542132" w:rsidP="00D56A22">
            <w:pPr>
              <w:keepNext/>
              <w:ind w:left="-108"/>
              <w:rPr>
                <w:rFonts w:ascii="Arial Narrow" w:hAnsi="Arial Narrow"/>
                <w:sz w:val="20"/>
              </w:rPr>
            </w:pPr>
            <w:r w:rsidRPr="008A0437">
              <w:rPr>
                <w:rFonts w:ascii="Arial Narrow" w:hAnsi="Arial Narrow"/>
                <w:sz w:val="20"/>
              </w:rPr>
              <w:t>Name, Restriction,</w:t>
            </w:r>
          </w:p>
          <w:p w:rsidR="00542132" w:rsidRPr="008A0437" w:rsidRDefault="00542132" w:rsidP="00D56A22">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542132" w:rsidRPr="008A0437" w:rsidRDefault="00542132" w:rsidP="00D56A22">
            <w:pPr>
              <w:keepNext/>
              <w:ind w:left="-108"/>
              <w:rPr>
                <w:rFonts w:ascii="Arial Narrow" w:hAnsi="Arial Narrow"/>
                <w:sz w:val="20"/>
              </w:rPr>
            </w:pPr>
            <w:r w:rsidRPr="008A0437">
              <w:rPr>
                <w:rFonts w:ascii="Arial Narrow" w:hAnsi="Arial Narrow"/>
                <w:sz w:val="20"/>
              </w:rPr>
              <w:t>Max.</w:t>
            </w:r>
          </w:p>
          <w:p w:rsidR="00542132" w:rsidRPr="008A0437" w:rsidRDefault="00542132" w:rsidP="00D56A22">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542132" w:rsidRPr="008A0437" w:rsidRDefault="00542132" w:rsidP="00D56A22">
            <w:pPr>
              <w:keepNext/>
              <w:ind w:left="-108"/>
              <w:rPr>
                <w:rFonts w:ascii="Arial Narrow" w:hAnsi="Arial Narrow"/>
                <w:sz w:val="20"/>
              </w:rPr>
            </w:pPr>
            <w:r w:rsidRPr="008A0437">
              <w:rPr>
                <w:rFonts w:ascii="Arial Narrow" w:hAnsi="Arial Narrow"/>
                <w:sz w:val="20"/>
              </w:rPr>
              <w:t>№.of</w:t>
            </w:r>
          </w:p>
          <w:p w:rsidR="00542132" w:rsidRPr="008A0437" w:rsidRDefault="00542132" w:rsidP="00D56A22">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542132" w:rsidRPr="008A0437" w:rsidRDefault="00542132" w:rsidP="00D56A22">
            <w:pPr>
              <w:keepNext/>
              <w:rPr>
                <w:rFonts w:ascii="Arial Narrow" w:hAnsi="Arial Narrow"/>
                <w:sz w:val="20"/>
              </w:rPr>
            </w:pPr>
            <w:r w:rsidRPr="008A0437">
              <w:rPr>
                <w:rFonts w:ascii="Arial Narrow" w:hAnsi="Arial Narrow"/>
                <w:sz w:val="20"/>
              </w:rPr>
              <w:t>Proprietary Name and Manufacturer</w:t>
            </w:r>
          </w:p>
        </w:tc>
      </w:tr>
      <w:tr w:rsidR="00542132" w:rsidRPr="008A0437" w:rsidTr="00D56A22">
        <w:trPr>
          <w:trHeight w:val="577"/>
        </w:trPr>
        <w:tc>
          <w:tcPr>
            <w:tcW w:w="3828" w:type="dxa"/>
            <w:gridSpan w:val="2"/>
          </w:tcPr>
          <w:p w:rsidR="00542132" w:rsidRPr="00260CE3" w:rsidRDefault="00542132" w:rsidP="00D56A22">
            <w:pPr>
              <w:keepNext/>
              <w:widowControl/>
              <w:ind w:left="-108"/>
              <w:rPr>
                <w:rFonts w:ascii="Arial Narrow" w:hAnsi="Arial Narrow"/>
                <w:sz w:val="20"/>
                <w:szCs w:val="20"/>
              </w:rPr>
            </w:pPr>
            <w:r>
              <w:rPr>
                <w:rFonts w:ascii="Arial Narrow" w:hAnsi="Arial Narrow"/>
                <w:smallCaps/>
                <w:sz w:val="20"/>
                <w:szCs w:val="20"/>
              </w:rPr>
              <w:t>PIRFENIDONE</w:t>
            </w:r>
          </w:p>
          <w:p w:rsidR="00542132" w:rsidRPr="008A0437" w:rsidRDefault="00542132" w:rsidP="00D56A22">
            <w:pPr>
              <w:keepNext/>
              <w:ind w:left="-108"/>
              <w:rPr>
                <w:rFonts w:ascii="Arial Narrow" w:hAnsi="Arial Narrow"/>
                <w:sz w:val="20"/>
              </w:rPr>
            </w:pPr>
            <w:r>
              <w:rPr>
                <w:rFonts w:ascii="Arial Narrow" w:hAnsi="Arial Narrow"/>
                <w:sz w:val="20"/>
                <w:szCs w:val="20"/>
              </w:rPr>
              <w:t>Capsules 267 mg, 270</w:t>
            </w:r>
          </w:p>
        </w:tc>
        <w:tc>
          <w:tcPr>
            <w:tcW w:w="567" w:type="dxa"/>
          </w:tcPr>
          <w:p w:rsidR="00542132" w:rsidRPr="008A0437" w:rsidRDefault="00542132" w:rsidP="00D56A22">
            <w:pPr>
              <w:keepNext/>
              <w:ind w:left="-108"/>
              <w:rPr>
                <w:rFonts w:ascii="Arial Narrow" w:hAnsi="Arial Narrow"/>
                <w:sz w:val="20"/>
              </w:rPr>
            </w:pPr>
          </w:p>
          <w:p w:rsidR="00542132" w:rsidRPr="008A0437" w:rsidRDefault="00542132" w:rsidP="00D56A22">
            <w:pPr>
              <w:keepNext/>
              <w:ind w:left="-108"/>
              <w:rPr>
                <w:rFonts w:ascii="Arial Narrow" w:hAnsi="Arial Narrow"/>
                <w:sz w:val="20"/>
              </w:rPr>
            </w:pPr>
            <w:r w:rsidRPr="008A0437">
              <w:rPr>
                <w:rFonts w:ascii="Arial Narrow" w:hAnsi="Arial Narrow"/>
                <w:sz w:val="20"/>
              </w:rPr>
              <w:t>1</w:t>
            </w:r>
          </w:p>
        </w:tc>
        <w:tc>
          <w:tcPr>
            <w:tcW w:w="850" w:type="dxa"/>
          </w:tcPr>
          <w:p w:rsidR="00542132" w:rsidRPr="008A0437" w:rsidRDefault="00542132" w:rsidP="00D56A22">
            <w:pPr>
              <w:keepNext/>
              <w:ind w:left="-108"/>
              <w:rPr>
                <w:rFonts w:ascii="Arial Narrow" w:hAnsi="Arial Narrow"/>
                <w:sz w:val="20"/>
              </w:rPr>
            </w:pPr>
          </w:p>
          <w:p w:rsidR="00542132" w:rsidRPr="008A0437" w:rsidRDefault="00542132" w:rsidP="00D56A22">
            <w:pPr>
              <w:keepNext/>
              <w:ind w:left="-108"/>
              <w:rPr>
                <w:rFonts w:ascii="Arial Narrow" w:hAnsi="Arial Narrow"/>
                <w:sz w:val="20"/>
              </w:rPr>
            </w:pPr>
            <w:r w:rsidRPr="008A0437">
              <w:rPr>
                <w:rFonts w:ascii="Arial Narrow" w:hAnsi="Arial Narrow"/>
                <w:sz w:val="20"/>
              </w:rPr>
              <w:t>5</w:t>
            </w:r>
          </w:p>
        </w:tc>
        <w:tc>
          <w:tcPr>
            <w:tcW w:w="851" w:type="dxa"/>
          </w:tcPr>
          <w:p w:rsidR="00542132" w:rsidRPr="008A0437" w:rsidRDefault="00542132" w:rsidP="00D56A22">
            <w:pPr>
              <w:keepNext/>
              <w:rPr>
                <w:rFonts w:ascii="Arial Narrow" w:hAnsi="Arial Narrow"/>
                <w:sz w:val="20"/>
              </w:rPr>
            </w:pPr>
            <w:r w:rsidRPr="005C689D">
              <w:rPr>
                <w:rFonts w:ascii="Arial Narrow" w:hAnsi="Arial Narrow"/>
                <w:sz w:val="20"/>
              </w:rPr>
              <w:t>Esbriet®</w:t>
            </w:r>
          </w:p>
        </w:tc>
        <w:tc>
          <w:tcPr>
            <w:tcW w:w="2976" w:type="dxa"/>
          </w:tcPr>
          <w:p w:rsidR="00542132" w:rsidRPr="008A0437" w:rsidRDefault="00542132" w:rsidP="00D56A22">
            <w:pPr>
              <w:keepNext/>
              <w:rPr>
                <w:rFonts w:ascii="Arial Narrow" w:hAnsi="Arial Narrow"/>
                <w:sz w:val="20"/>
              </w:rPr>
            </w:pPr>
            <w:r>
              <w:rPr>
                <w:rFonts w:ascii="Arial Narrow" w:hAnsi="Arial Narrow"/>
                <w:sz w:val="20"/>
                <w:szCs w:val="20"/>
              </w:rPr>
              <w:t>Roche Products Pty Ltd</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Category/Program</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t>GENERAL – General Schedule (Code GE)</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542132" w:rsidRPr="008A0437" w:rsidRDefault="00542132" w:rsidP="00D56A22">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t>Idiopathic pulmonary fibrosis</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t>Idiopathic pulmonary fibrosis</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jc w:val="left"/>
              <w:rPr>
                <w:rFonts w:ascii="Arial Narrow" w:hAnsi="Arial Narrow"/>
                <w:b/>
                <w:sz w:val="20"/>
              </w:rPr>
            </w:pPr>
            <w:r w:rsidRPr="008A0437">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t xml:space="preserve">Initial </w:t>
            </w:r>
            <w:r>
              <w:rPr>
                <w:rFonts w:ascii="Arial Narrow" w:hAnsi="Arial Narrow"/>
                <w:sz w:val="20"/>
              </w:rPr>
              <w:t>2: change or re-commencement of treatment</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B57E45" w:rsidRDefault="00542132" w:rsidP="00D56A22">
            <w:pPr>
              <w:widowControl/>
              <w:rPr>
                <w:rFonts w:ascii="Arial Narrow" w:hAnsi="Arial Narrow"/>
                <w:i/>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374D3B" w:rsidRDefault="00374D3B" w:rsidP="00D56A22">
            <w:pPr>
              <w:rPr>
                <w:rFonts w:ascii="Arial Narrow" w:hAnsi="Arial Narrow"/>
                <w:sz w:val="20"/>
                <w:lang w:eastAsia="en-AU"/>
              </w:rPr>
            </w:pPr>
            <w:r>
              <w:rPr>
                <w:rFonts w:ascii="Arial Narrow" w:hAnsi="Arial Narrow"/>
                <w:sz w:val="20"/>
                <w:lang w:eastAsia="en-AU"/>
              </w:rPr>
              <w:t>Patient must have previously received PBS-subsidised treatment with nintedanib or pirfenidone for this condition</w:t>
            </w:r>
          </w:p>
          <w:p w:rsidR="00542132" w:rsidRDefault="00542132" w:rsidP="00D56A22">
            <w:pPr>
              <w:rPr>
                <w:rFonts w:ascii="Arial Narrow" w:hAnsi="Arial Narrow"/>
                <w:sz w:val="20"/>
              </w:rPr>
            </w:pPr>
            <w:r>
              <w:rPr>
                <w:rFonts w:ascii="Arial Narrow" w:hAnsi="Arial Narrow"/>
                <w:sz w:val="20"/>
              </w:rPr>
              <w:t>AND</w:t>
            </w:r>
          </w:p>
          <w:p w:rsidR="00542132" w:rsidRPr="008A0437" w:rsidRDefault="00542132" w:rsidP="00D56A22">
            <w:pPr>
              <w:rPr>
                <w:rFonts w:ascii="Arial Narrow" w:hAnsi="Arial Narrow"/>
                <w:sz w:val="20"/>
              </w:rPr>
            </w:pPr>
            <w:r w:rsidRPr="00A865B0">
              <w:rPr>
                <w:rFonts w:ascii="Arial Narrow" w:hAnsi="Arial Narrow"/>
                <w:sz w:val="20"/>
              </w:rPr>
              <w:t xml:space="preserve">The treatment must be </w:t>
            </w:r>
            <w:r>
              <w:rPr>
                <w:rFonts w:ascii="Arial Narrow" w:hAnsi="Arial Narrow"/>
                <w:sz w:val="20"/>
              </w:rPr>
              <w:t xml:space="preserve">the sole </w:t>
            </w:r>
            <w:r w:rsidRPr="00A865B0">
              <w:rPr>
                <w:rFonts w:ascii="Arial Narrow" w:hAnsi="Arial Narrow"/>
                <w:sz w:val="20"/>
              </w:rPr>
              <w:t xml:space="preserve">PBS-subsidised </w:t>
            </w:r>
            <w:r>
              <w:rPr>
                <w:rFonts w:ascii="Arial Narrow" w:hAnsi="Arial Narrow"/>
                <w:sz w:val="20"/>
              </w:rPr>
              <w:t>treatment for this condition.</w:t>
            </w: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sz w:val="20"/>
              </w:rPr>
            </w:pPr>
            <w:r w:rsidRPr="008A0437">
              <w:rPr>
                <w:rFonts w:ascii="Arial Narrow" w:hAnsi="Arial Narrow"/>
                <w:sz w:val="20"/>
              </w:rPr>
              <w:t xml:space="preserve">Application for authorisation </w:t>
            </w:r>
            <w:r>
              <w:rPr>
                <w:rFonts w:ascii="Arial Narrow" w:hAnsi="Arial Narrow"/>
                <w:sz w:val="20"/>
              </w:rPr>
              <w:t xml:space="preserve">for initial treatment </w:t>
            </w:r>
            <w:r w:rsidRPr="008A0437">
              <w:rPr>
                <w:rFonts w:ascii="Arial Narrow" w:hAnsi="Arial Narrow"/>
                <w:sz w:val="20"/>
              </w:rPr>
              <w:t>must be in writing and must include:</w:t>
            </w:r>
          </w:p>
          <w:p w:rsidR="00542132" w:rsidRPr="002652C7" w:rsidRDefault="00542132" w:rsidP="002652C7">
            <w:pPr>
              <w:pStyle w:val="ListParagraph"/>
              <w:widowControl/>
              <w:numPr>
                <w:ilvl w:val="0"/>
                <w:numId w:val="38"/>
              </w:numPr>
              <w:rPr>
                <w:rFonts w:ascii="Arial Narrow" w:hAnsi="Arial Narrow"/>
                <w:sz w:val="20"/>
              </w:rPr>
            </w:pPr>
            <w:r w:rsidRPr="002652C7">
              <w:rPr>
                <w:rFonts w:ascii="Arial Narrow" w:hAnsi="Arial Narrow"/>
                <w:sz w:val="20"/>
              </w:rPr>
              <w:t>A completed authority prescription form</w:t>
            </w:r>
            <w:r w:rsidR="00041F56" w:rsidRPr="002652C7">
              <w:rPr>
                <w:rFonts w:ascii="Arial Narrow" w:hAnsi="Arial Narrow"/>
                <w:sz w:val="20"/>
              </w:rPr>
              <w:t>; and</w:t>
            </w:r>
          </w:p>
          <w:p w:rsidR="00542132" w:rsidRPr="0044145D" w:rsidRDefault="00542132" w:rsidP="002652C7">
            <w:pPr>
              <w:pStyle w:val="ListParagraph"/>
              <w:widowControl/>
              <w:numPr>
                <w:ilvl w:val="0"/>
                <w:numId w:val="38"/>
              </w:numPr>
              <w:ind w:left="318" w:hanging="318"/>
              <w:rPr>
                <w:rFonts w:ascii="Arial Narrow" w:hAnsi="Arial Narrow"/>
                <w:sz w:val="20"/>
              </w:rPr>
            </w:pPr>
            <w:r w:rsidRPr="008A0437">
              <w:rPr>
                <w:rFonts w:ascii="Arial Narrow" w:hAnsi="Arial Narrow"/>
                <w:sz w:val="20"/>
              </w:rPr>
              <w:t>A co</w:t>
            </w:r>
            <w:r w:rsidRPr="0044145D">
              <w:rPr>
                <w:rFonts w:ascii="Arial Narrow" w:hAnsi="Arial Narrow"/>
                <w:sz w:val="20"/>
              </w:rPr>
              <w:t>mpleted IPF Authority Application Supporting Information Form</w:t>
            </w:r>
          </w:p>
          <w:p w:rsidR="00542132" w:rsidRPr="008A0437" w:rsidRDefault="00542132" w:rsidP="00D56A22">
            <w:pPr>
              <w:rPr>
                <w:rFonts w:ascii="Arial Narrow" w:hAnsi="Arial Narrow"/>
                <w:sz w:val="20"/>
              </w:rPr>
            </w:pPr>
          </w:p>
        </w:tc>
      </w:tr>
      <w:tr w:rsidR="00542132" w:rsidRPr="008A0437" w:rsidTr="00D56A22">
        <w:trPr>
          <w:trHeight w:val="360"/>
        </w:trPr>
        <w:tc>
          <w:tcPr>
            <w:tcW w:w="2268" w:type="dxa"/>
            <w:tcBorders>
              <w:top w:val="single" w:sz="4" w:space="0" w:color="auto"/>
              <w:left w:val="single" w:sz="4" w:space="0" w:color="auto"/>
              <w:bottom w:val="single" w:sz="4" w:space="0" w:color="auto"/>
              <w:right w:val="single" w:sz="4" w:space="0" w:color="auto"/>
            </w:tcBorders>
          </w:tcPr>
          <w:p w:rsidR="00542132" w:rsidRPr="008A0437" w:rsidRDefault="00542132" w:rsidP="00D56A22">
            <w:pPr>
              <w:rPr>
                <w:rFonts w:ascii="Arial Narrow" w:hAnsi="Arial Narrow"/>
                <w:b/>
                <w:sz w:val="20"/>
              </w:rPr>
            </w:pPr>
            <w:r w:rsidRPr="008A0437">
              <w:rPr>
                <w:rFonts w:ascii="Arial Narrow" w:hAnsi="Arial Narrow"/>
                <w:b/>
                <w:sz w:val="20"/>
              </w:rPr>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542132" w:rsidRPr="008A0437"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542132" w:rsidRPr="008A0437" w:rsidRDefault="00542132" w:rsidP="00D56A22">
            <w:pPr>
              <w:widowControl/>
              <w:snapToGrid w:val="0"/>
              <w:spacing w:line="20" w:lineRule="atLeast"/>
              <w:jc w:val="left"/>
              <w:rPr>
                <w:rFonts w:ascii="Arial Narrow" w:hAnsi="Arial Narrow"/>
                <w:sz w:val="20"/>
                <w:lang w:eastAsia="en-AU"/>
              </w:rPr>
            </w:pPr>
          </w:p>
          <w:p w:rsidR="00542132" w:rsidRPr="008A0437"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542132" w:rsidRPr="008A0437" w:rsidRDefault="00542132" w:rsidP="00D56A22">
            <w:pPr>
              <w:widowControl/>
              <w:snapToGrid w:val="0"/>
              <w:spacing w:line="20" w:lineRule="atLeast"/>
              <w:jc w:val="left"/>
              <w:rPr>
                <w:rFonts w:ascii="Arial Narrow" w:hAnsi="Arial Narrow"/>
                <w:sz w:val="20"/>
                <w:lang w:eastAsia="en-AU"/>
              </w:rPr>
            </w:pPr>
          </w:p>
          <w:p w:rsidR="00542132" w:rsidRPr="008A0437"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542132" w:rsidRPr="008A0437" w:rsidRDefault="00542132" w:rsidP="00D56A22">
            <w:pPr>
              <w:widowControl/>
              <w:snapToGrid w:val="0"/>
              <w:spacing w:line="20" w:lineRule="atLeast"/>
              <w:jc w:val="left"/>
              <w:rPr>
                <w:rFonts w:ascii="Arial Narrow" w:hAnsi="Arial Narrow"/>
                <w:sz w:val="20"/>
                <w:lang w:eastAsia="en-AU"/>
              </w:rPr>
            </w:pPr>
          </w:p>
          <w:p w:rsidR="00542132"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lastRenderedPageBreak/>
              <w:t>Any queries concerning the arrangements to prescribe may be directed to the Department of Human Services on 1800 700 270 (hours of operation 8 a.m. t</w:t>
            </w:r>
            <w:r w:rsidR="00EB361A">
              <w:rPr>
                <w:rFonts w:ascii="Arial Narrow" w:hAnsi="Arial Narrow"/>
                <w:sz w:val="20"/>
                <w:lang w:eastAsia="en-AU"/>
              </w:rPr>
              <w:t>o 5 p.m. EST Monday to Friday).</w:t>
            </w:r>
          </w:p>
          <w:p w:rsidR="00542132" w:rsidRPr="008A0437" w:rsidRDefault="00542132" w:rsidP="00D56A22">
            <w:pPr>
              <w:widowControl/>
              <w:snapToGrid w:val="0"/>
              <w:spacing w:line="20" w:lineRule="atLeast"/>
              <w:jc w:val="left"/>
              <w:rPr>
                <w:rFonts w:ascii="Arial Narrow" w:hAnsi="Arial Narrow"/>
                <w:sz w:val="20"/>
                <w:lang w:eastAsia="en-AU"/>
              </w:rPr>
            </w:pPr>
          </w:p>
          <w:p w:rsidR="00542132"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Prescribing information (including Authority Application forms and other relevant documentation as applicable) is available on the Department of Human Services website at </w:t>
            </w:r>
            <w:r w:rsidRPr="00F60B7B">
              <w:rPr>
                <w:rFonts w:ascii="Arial Narrow" w:hAnsi="Arial Narrow"/>
                <w:sz w:val="20"/>
                <w:lang w:eastAsia="en-AU"/>
              </w:rPr>
              <w:t>www.humanservices.gov.au</w:t>
            </w:r>
          </w:p>
          <w:p w:rsidR="00542132" w:rsidRPr="008A0437" w:rsidRDefault="00542132" w:rsidP="00D56A22">
            <w:pPr>
              <w:widowControl/>
              <w:snapToGrid w:val="0"/>
              <w:spacing w:line="20" w:lineRule="atLeast"/>
              <w:jc w:val="left"/>
              <w:rPr>
                <w:rFonts w:ascii="Arial Narrow" w:hAnsi="Arial Narrow"/>
                <w:sz w:val="20"/>
                <w:lang w:eastAsia="en-AU"/>
              </w:rPr>
            </w:pPr>
          </w:p>
          <w:p w:rsidR="00542132" w:rsidRPr="008A0437"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Applications for authority to pr</w:t>
            </w:r>
            <w:r w:rsidR="00EB361A">
              <w:rPr>
                <w:rFonts w:ascii="Arial Narrow" w:hAnsi="Arial Narrow"/>
                <w:sz w:val="20"/>
                <w:lang w:eastAsia="en-AU"/>
              </w:rPr>
              <w:t>escribe should be forwarded to:</w:t>
            </w:r>
          </w:p>
          <w:p w:rsidR="00542132" w:rsidRPr="008A0437"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Department of Human Services</w:t>
            </w:r>
          </w:p>
          <w:p w:rsidR="00542132" w:rsidRPr="008A0437" w:rsidRDefault="00542132" w:rsidP="00D56A22">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Prior Written Approval of Complex Drugs </w:t>
            </w:r>
          </w:p>
          <w:p w:rsidR="00542132" w:rsidRPr="008A0437" w:rsidRDefault="00EB361A" w:rsidP="00D56A22">
            <w:pPr>
              <w:widowControl/>
              <w:snapToGrid w:val="0"/>
              <w:spacing w:line="20" w:lineRule="atLeast"/>
              <w:jc w:val="left"/>
              <w:rPr>
                <w:rFonts w:ascii="Arial Narrow" w:hAnsi="Arial Narrow"/>
                <w:sz w:val="20"/>
                <w:lang w:eastAsia="en-AU"/>
              </w:rPr>
            </w:pPr>
            <w:r>
              <w:rPr>
                <w:rFonts w:ascii="Arial Narrow" w:hAnsi="Arial Narrow"/>
                <w:sz w:val="20"/>
                <w:lang w:eastAsia="en-AU"/>
              </w:rPr>
              <w:t>Reply Paid 9826</w:t>
            </w:r>
          </w:p>
          <w:p w:rsidR="00542132" w:rsidRPr="008A0437" w:rsidRDefault="00EB361A" w:rsidP="00D56A22">
            <w:pPr>
              <w:widowControl/>
              <w:snapToGrid w:val="0"/>
              <w:spacing w:line="20" w:lineRule="atLeast"/>
              <w:jc w:val="left"/>
              <w:rPr>
                <w:rFonts w:ascii="Arial Narrow" w:hAnsi="Arial Narrow"/>
                <w:sz w:val="20"/>
                <w:lang w:eastAsia="en-AU"/>
              </w:rPr>
            </w:pPr>
            <w:r>
              <w:rPr>
                <w:rFonts w:ascii="Arial Narrow" w:hAnsi="Arial Narrow"/>
                <w:sz w:val="20"/>
                <w:lang w:eastAsia="en-AU"/>
              </w:rPr>
              <w:t>GPO Box 9826</w:t>
            </w:r>
          </w:p>
          <w:p w:rsidR="00542132" w:rsidRPr="008A0437" w:rsidRDefault="00542132" w:rsidP="00D56A22">
            <w:pPr>
              <w:rPr>
                <w:rFonts w:ascii="Arial Narrow" w:hAnsi="Arial Narrow"/>
                <w:sz w:val="20"/>
              </w:rPr>
            </w:pPr>
            <w:r w:rsidRPr="008A0437">
              <w:rPr>
                <w:rFonts w:ascii="Arial Narrow" w:hAnsi="Arial Narrow"/>
                <w:sz w:val="20"/>
                <w:lang w:eastAsia="en-AU"/>
              </w:rPr>
              <w:t>HOBART TAS 7001</w:t>
            </w:r>
          </w:p>
        </w:tc>
      </w:tr>
    </w:tbl>
    <w:p w:rsidR="00542132" w:rsidRDefault="00542132" w:rsidP="00A865B0">
      <w:pPr>
        <w:rPr>
          <w:szCs w:val="22"/>
        </w:rPr>
      </w:pPr>
    </w:p>
    <w:tbl>
      <w:tblPr>
        <w:tblW w:w="9072" w:type="dxa"/>
        <w:tblInd w:w="108" w:type="dxa"/>
        <w:tblLayout w:type="fixed"/>
        <w:tblLook w:val="0000" w:firstRow="0" w:lastRow="0" w:firstColumn="0" w:lastColumn="0" w:noHBand="0" w:noVBand="0"/>
      </w:tblPr>
      <w:tblGrid>
        <w:gridCol w:w="2268"/>
        <w:gridCol w:w="1560"/>
        <w:gridCol w:w="567"/>
        <w:gridCol w:w="850"/>
        <w:gridCol w:w="851"/>
        <w:gridCol w:w="2976"/>
      </w:tblGrid>
      <w:tr w:rsidR="00A865B0" w:rsidRPr="008A0437" w:rsidTr="004273B9">
        <w:trPr>
          <w:cantSplit/>
          <w:trHeight w:val="471"/>
        </w:trPr>
        <w:tc>
          <w:tcPr>
            <w:tcW w:w="3828" w:type="dxa"/>
            <w:gridSpan w:val="2"/>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Name, Restriction,</w:t>
            </w:r>
          </w:p>
          <w:p w:rsidR="00A865B0" w:rsidRPr="008A0437" w:rsidRDefault="00A865B0" w:rsidP="004273B9">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Max.</w:t>
            </w:r>
          </w:p>
          <w:p w:rsidR="00A865B0" w:rsidRPr="008A0437" w:rsidRDefault="00A865B0" w:rsidP="004273B9">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№.of</w:t>
            </w:r>
          </w:p>
          <w:p w:rsidR="00A865B0" w:rsidRPr="008A0437" w:rsidRDefault="00A865B0" w:rsidP="004273B9">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A865B0" w:rsidRPr="008A0437" w:rsidRDefault="00A865B0" w:rsidP="004273B9">
            <w:pPr>
              <w:keepNext/>
              <w:rPr>
                <w:rFonts w:ascii="Arial Narrow" w:hAnsi="Arial Narrow"/>
                <w:sz w:val="20"/>
              </w:rPr>
            </w:pPr>
            <w:r w:rsidRPr="008A0437">
              <w:rPr>
                <w:rFonts w:ascii="Arial Narrow" w:hAnsi="Arial Narrow"/>
                <w:sz w:val="20"/>
              </w:rPr>
              <w:t>Proprietary Name and Manufacturer</w:t>
            </w:r>
          </w:p>
        </w:tc>
      </w:tr>
      <w:tr w:rsidR="00A865B0" w:rsidRPr="008A0437" w:rsidTr="004273B9">
        <w:trPr>
          <w:cantSplit/>
          <w:trHeight w:val="577"/>
        </w:trPr>
        <w:tc>
          <w:tcPr>
            <w:tcW w:w="3828" w:type="dxa"/>
            <w:gridSpan w:val="2"/>
          </w:tcPr>
          <w:p w:rsidR="00A865B0" w:rsidRPr="00260CE3" w:rsidRDefault="00A865B0" w:rsidP="004273B9">
            <w:pPr>
              <w:keepNext/>
              <w:widowControl/>
              <w:ind w:left="-108"/>
              <w:rPr>
                <w:rFonts w:ascii="Arial Narrow" w:hAnsi="Arial Narrow"/>
                <w:sz w:val="20"/>
                <w:szCs w:val="20"/>
              </w:rPr>
            </w:pPr>
            <w:r>
              <w:rPr>
                <w:rFonts w:ascii="Arial Narrow" w:hAnsi="Arial Narrow"/>
                <w:smallCaps/>
                <w:sz w:val="20"/>
                <w:szCs w:val="20"/>
              </w:rPr>
              <w:t>PIRFENIDONE</w:t>
            </w:r>
          </w:p>
          <w:p w:rsidR="00A865B0" w:rsidRPr="008A0437" w:rsidRDefault="00A865B0" w:rsidP="004273B9">
            <w:pPr>
              <w:keepNext/>
              <w:ind w:left="-108"/>
              <w:rPr>
                <w:rFonts w:ascii="Arial Narrow" w:hAnsi="Arial Narrow"/>
                <w:sz w:val="20"/>
              </w:rPr>
            </w:pPr>
            <w:r>
              <w:rPr>
                <w:rFonts w:ascii="Arial Narrow" w:hAnsi="Arial Narrow"/>
                <w:sz w:val="20"/>
                <w:szCs w:val="20"/>
              </w:rPr>
              <w:t>Capsules 267 mg, 270</w:t>
            </w:r>
          </w:p>
        </w:tc>
        <w:tc>
          <w:tcPr>
            <w:tcW w:w="567" w:type="dxa"/>
          </w:tcPr>
          <w:p w:rsidR="00A865B0" w:rsidRPr="008A0437" w:rsidRDefault="00A865B0" w:rsidP="004273B9">
            <w:pPr>
              <w:keepNext/>
              <w:ind w:left="-108"/>
              <w:rPr>
                <w:rFonts w:ascii="Arial Narrow" w:hAnsi="Arial Narrow"/>
                <w:sz w:val="20"/>
              </w:rPr>
            </w:pPr>
          </w:p>
          <w:p w:rsidR="00A865B0" w:rsidRPr="008A0437" w:rsidRDefault="00A865B0" w:rsidP="004273B9">
            <w:pPr>
              <w:keepNext/>
              <w:ind w:left="-108"/>
              <w:rPr>
                <w:rFonts w:ascii="Arial Narrow" w:hAnsi="Arial Narrow"/>
                <w:sz w:val="20"/>
              </w:rPr>
            </w:pPr>
            <w:r w:rsidRPr="008A0437">
              <w:rPr>
                <w:rFonts w:ascii="Arial Narrow" w:hAnsi="Arial Narrow"/>
                <w:sz w:val="20"/>
              </w:rPr>
              <w:t>1</w:t>
            </w:r>
          </w:p>
        </w:tc>
        <w:tc>
          <w:tcPr>
            <w:tcW w:w="850" w:type="dxa"/>
          </w:tcPr>
          <w:p w:rsidR="00A865B0" w:rsidRPr="008A0437" w:rsidRDefault="00A865B0" w:rsidP="004273B9">
            <w:pPr>
              <w:keepNext/>
              <w:ind w:left="-108"/>
              <w:rPr>
                <w:rFonts w:ascii="Arial Narrow" w:hAnsi="Arial Narrow"/>
                <w:sz w:val="20"/>
              </w:rPr>
            </w:pPr>
          </w:p>
          <w:p w:rsidR="00A865B0" w:rsidRPr="008A0437" w:rsidRDefault="00A865B0" w:rsidP="004273B9">
            <w:pPr>
              <w:keepNext/>
              <w:ind w:left="-108"/>
              <w:rPr>
                <w:rFonts w:ascii="Arial Narrow" w:hAnsi="Arial Narrow"/>
                <w:sz w:val="20"/>
              </w:rPr>
            </w:pPr>
            <w:r w:rsidRPr="008A0437">
              <w:rPr>
                <w:rFonts w:ascii="Arial Narrow" w:hAnsi="Arial Narrow"/>
                <w:sz w:val="20"/>
              </w:rPr>
              <w:t>5</w:t>
            </w:r>
          </w:p>
        </w:tc>
        <w:tc>
          <w:tcPr>
            <w:tcW w:w="851" w:type="dxa"/>
          </w:tcPr>
          <w:p w:rsidR="00A865B0" w:rsidRPr="008A0437" w:rsidRDefault="00A865B0" w:rsidP="004273B9">
            <w:pPr>
              <w:keepNext/>
              <w:rPr>
                <w:rFonts w:ascii="Arial Narrow" w:hAnsi="Arial Narrow"/>
                <w:sz w:val="20"/>
              </w:rPr>
            </w:pPr>
            <w:r w:rsidRPr="005C689D">
              <w:rPr>
                <w:rFonts w:ascii="Arial Narrow" w:hAnsi="Arial Narrow"/>
                <w:sz w:val="20"/>
              </w:rPr>
              <w:t>Esbriet®</w:t>
            </w:r>
          </w:p>
        </w:tc>
        <w:tc>
          <w:tcPr>
            <w:tcW w:w="2976" w:type="dxa"/>
          </w:tcPr>
          <w:p w:rsidR="00A865B0" w:rsidRPr="008A0437" w:rsidRDefault="00A865B0" w:rsidP="004273B9">
            <w:pPr>
              <w:keepNext/>
              <w:rPr>
                <w:rFonts w:ascii="Arial Narrow" w:hAnsi="Arial Narrow"/>
                <w:sz w:val="20"/>
              </w:rPr>
            </w:pPr>
            <w:r>
              <w:rPr>
                <w:rFonts w:ascii="Arial Narrow" w:hAnsi="Arial Narrow"/>
                <w:sz w:val="20"/>
                <w:szCs w:val="20"/>
              </w:rPr>
              <w:t>Roche Products Pty Ltd</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Category/Program</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GENERAL – General Schedule (Code GE)</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Idiopathic pulmonary fibrosis</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Idiopathic pulmonary fibrosis</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jc w:val="left"/>
              <w:rPr>
                <w:rFonts w:ascii="Arial Narrow" w:hAnsi="Arial Narrow"/>
                <w:b/>
                <w:sz w:val="20"/>
              </w:rPr>
            </w:pPr>
            <w:r w:rsidRPr="008A0437">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Restricted benefit</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3"/>
                  <w:enabled/>
                  <w:calcOnExit w:val="0"/>
                  <w:checkBox>
                    <w:sizeAuto/>
                    <w:default w:val="1"/>
                  </w:checkBox>
                </w:ffData>
              </w:fldChar>
            </w:r>
            <w:bookmarkStart w:id="18" w:name="Check3"/>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bookmarkEnd w:id="18"/>
            <w:r w:rsidRPr="008A0437">
              <w:rPr>
                <w:rFonts w:ascii="Arial Narrow" w:hAnsi="Arial Narrow"/>
                <w:sz w:val="20"/>
              </w:rPr>
              <w:t>Authority Required - Telephone</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Emergency</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Electronic</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Streamlined</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Continuing treatment</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A865B0" w:rsidRDefault="00A865B0" w:rsidP="004273B9">
            <w:pPr>
              <w:rPr>
                <w:rFonts w:ascii="Arial Narrow" w:hAnsi="Arial Narrow"/>
                <w:sz w:val="20"/>
              </w:rPr>
            </w:pPr>
            <w:r w:rsidRPr="008A0437">
              <w:rPr>
                <w:rFonts w:ascii="Arial Narrow" w:hAnsi="Arial Narrow"/>
                <w:sz w:val="20"/>
              </w:rPr>
              <w:t>Patient must have previously received PBS-subsidised treatment with this drug for this condition.</w:t>
            </w:r>
          </w:p>
          <w:p w:rsidR="00A865B0" w:rsidRDefault="00A865B0" w:rsidP="00A865B0">
            <w:pPr>
              <w:rPr>
                <w:rFonts w:ascii="Arial Narrow" w:hAnsi="Arial Narrow"/>
                <w:sz w:val="20"/>
              </w:rPr>
            </w:pPr>
            <w:r>
              <w:rPr>
                <w:rFonts w:ascii="Arial Narrow" w:hAnsi="Arial Narrow"/>
                <w:sz w:val="20"/>
              </w:rPr>
              <w:t>AND</w:t>
            </w:r>
          </w:p>
          <w:p w:rsidR="00A865B0" w:rsidRPr="008A0437" w:rsidRDefault="00A865B0" w:rsidP="00CF2E9B">
            <w:pPr>
              <w:rPr>
                <w:rFonts w:ascii="Arial Narrow" w:hAnsi="Arial Narrow"/>
                <w:sz w:val="20"/>
              </w:rPr>
            </w:pPr>
            <w:r w:rsidRPr="00A865B0">
              <w:rPr>
                <w:rFonts w:ascii="Arial Narrow" w:hAnsi="Arial Narrow"/>
                <w:sz w:val="20"/>
              </w:rPr>
              <w:t xml:space="preserve">The treatment must be </w:t>
            </w:r>
            <w:r w:rsidR="00CF2E9B">
              <w:rPr>
                <w:rFonts w:ascii="Arial Narrow" w:hAnsi="Arial Narrow"/>
                <w:sz w:val="20"/>
              </w:rPr>
              <w:t xml:space="preserve">the sole </w:t>
            </w:r>
            <w:r w:rsidRPr="00A865B0">
              <w:rPr>
                <w:rFonts w:ascii="Arial Narrow" w:hAnsi="Arial Narrow"/>
                <w:sz w:val="20"/>
              </w:rPr>
              <w:t xml:space="preserve">PBS-subsidised </w:t>
            </w:r>
            <w:r w:rsidR="00CF2E9B">
              <w:rPr>
                <w:rFonts w:ascii="Arial Narrow" w:hAnsi="Arial Narrow"/>
                <w:sz w:val="20"/>
              </w:rPr>
              <w:t>treatment for this condition.</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rPr>
                <w:rFonts w:ascii="Arial Narrow" w:hAnsi="Arial Narrow"/>
                <w:sz w:val="20"/>
              </w:rPr>
            </w:pPr>
            <w:r w:rsidRPr="008A0437">
              <w:rPr>
                <w:rFonts w:ascii="Arial Narrow" w:hAnsi="Arial Narrow"/>
                <w:sz w:val="20"/>
                <w:lang w:eastAsia="en-AU"/>
              </w:rPr>
              <w:t>Authority applications for continuing treatment may be made by telephone to the Department of Human Services on 1800 700 270 (hours of operation 8 a.m. to 5 p.m. EST Monday to Friday).</w:t>
            </w:r>
          </w:p>
        </w:tc>
      </w:tr>
    </w:tbl>
    <w:p w:rsidR="00A865B0" w:rsidRPr="008A0437" w:rsidRDefault="00A865B0" w:rsidP="00A865B0">
      <w:pPr>
        <w:rPr>
          <w:szCs w:val="22"/>
        </w:rPr>
      </w:pPr>
    </w:p>
    <w:tbl>
      <w:tblPr>
        <w:tblW w:w="9072" w:type="dxa"/>
        <w:tblInd w:w="108" w:type="dxa"/>
        <w:tblLayout w:type="fixed"/>
        <w:tblLook w:val="0000" w:firstRow="0" w:lastRow="0" w:firstColumn="0" w:lastColumn="0" w:noHBand="0" w:noVBand="0"/>
      </w:tblPr>
      <w:tblGrid>
        <w:gridCol w:w="2268"/>
        <w:gridCol w:w="1560"/>
        <w:gridCol w:w="567"/>
        <w:gridCol w:w="850"/>
        <w:gridCol w:w="851"/>
        <w:gridCol w:w="2976"/>
      </w:tblGrid>
      <w:tr w:rsidR="00A865B0" w:rsidRPr="008A0437" w:rsidTr="004273B9">
        <w:trPr>
          <w:cantSplit/>
          <w:trHeight w:val="471"/>
        </w:trPr>
        <w:tc>
          <w:tcPr>
            <w:tcW w:w="3828" w:type="dxa"/>
            <w:gridSpan w:val="2"/>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lastRenderedPageBreak/>
              <w:t>Name, Restriction,</w:t>
            </w:r>
          </w:p>
          <w:p w:rsidR="00A865B0" w:rsidRPr="008A0437" w:rsidRDefault="00A865B0" w:rsidP="004273B9">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Max.</w:t>
            </w:r>
          </w:p>
          <w:p w:rsidR="00A865B0" w:rsidRPr="008A0437" w:rsidRDefault="00A865B0" w:rsidP="004273B9">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A865B0" w:rsidRPr="008A0437" w:rsidRDefault="00A865B0" w:rsidP="004273B9">
            <w:pPr>
              <w:keepNext/>
              <w:ind w:left="-108"/>
              <w:rPr>
                <w:rFonts w:ascii="Arial Narrow" w:hAnsi="Arial Narrow"/>
                <w:sz w:val="20"/>
              </w:rPr>
            </w:pPr>
            <w:r w:rsidRPr="008A0437">
              <w:rPr>
                <w:rFonts w:ascii="Arial Narrow" w:hAnsi="Arial Narrow"/>
                <w:sz w:val="20"/>
              </w:rPr>
              <w:t>№.of</w:t>
            </w:r>
          </w:p>
          <w:p w:rsidR="00A865B0" w:rsidRPr="008A0437" w:rsidRDefault="00A865B0" w:rsidP="004273B9">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A865B0" w:rsidRPr="008A0437" w:rsidRDefault="00A865B0" w:rsidP="004273B9">
            <w:pPr>
              <w:keepNext/>
              <w:rPr>
                <w:rFonts w:ascii="Arial Narrow" w:hAnsi="Arial Narrow"/>
                <w:sz w:val="20"/>
              </w:rPr>
            </w:pPr>
            <w:r w:rsidRPr="008A0437">
              <w:rPr>
                <w:rFonts w:ascii="Arial Narrow" w:hAnsi="Arial Narrow"/>
                <w:sz w:val="20"/>
              </w:rPr>
              <w:t>Proprietary Name and Manufacturer</w:t>
            </w:r>
          </w:p>
        </w:tc>
      </w:tr>
      <w:tr w:rsidR="00A865B0" w:rsidRPr="008A0437" w:rsidTr="004273B9">
        <w:trPr>
          <w:cantSplit/>
          <w:trHeight w:val="577"/>
        </w:trPr>
        <w:tc>
          <w:tcPr>
            <w:tcW w:w="3828" w:type="dxa"/>
            <w:gridSpan w:val="2"/>
          </w:tcPr>
          <w:p w:rsidR="00A865B0" w:rsidRPr="00260CE3" w:rsidRDefault="00A865B0" w:rsidP="00A865B0">
            <w:pPr>
              <w:keepNext/>
              <w:widowControl/>
              <w:ind w:left="-108"/>
              <w:rPr>
                <w:rFonts w:ascii="Arial Narrow" w:hAnsi="Arial Narrow"/>
                <w:sz w:val="20"/>
                <w:szCs w:val="20"/>
              </w:rPr>
            </w:pPr>
            <w:r>
              <w:rPr>
                <w:rFonts w:ascii="Arial Narrow" w:hAnsi="Arial Narrow"/>
                <w:smallCaps/>
                <w:sz w:val="20"/>
                <w:szCs w:val="20"/>
              </w:rPr>
              <w:t>PIRFENIDONE</w:t>
            </w:r>
          </w:p>
          <w:p w:rsidR="00A865B0" w:rsidRPr="00A865B0" w:rsidRDefault="00A865B0" w:rsidP="00A865B0">
            <w:pPr>
              <w:keepNext/>
              <w:ind w:left="-108"/>
              <w:rPr>
                <w:rFonts w:ascii="Arial Narrow" w:hAnsi="Arial Narrow"/>
                <w:smallCaps/>
                <w:sz w:val="20"/>
              </w:rPr>
            </w:pPr>
            <w:r>
              <w:rPr>
                <w:rFonts w:ascii="Arial Narrow" w:hAnsi="Arial Narrow"/>
                <w:sz w:val="20"/>
                <w:szCs w:val="20"/>
              </w:rPr>
              <w:t>Capsules 267 mg, 270</w:t>
            </w:r>
          </w:p>
        </w:tc>
        <w:tc>
          <w:tcPr>
            <w:tcW w:w="567" w:type="dxa"/>
          </w:tcPr>
          <w:p w:rsidR="00A865B0" w:rsidRPr="008A0437" w:rsidRDefault="00A865B0" w:rsidP="004273B9">
            <w:pPr>
              <w:keepNext/>
              <w:ind w:left="-108"/>
              <w:rPr>
                <w:rFonts w:ascii="Arial Narrow" w:hAnsi="Arial Narrow"/>
                <w:sz w:val="20"/>
              </w:rPr>
            </w:pPr>
          </w:p>
          <w:p w:rsidR="00A865B0" w:rsidRPr="008A0437" w:rsidRDefault="00A865B0" w:rsidP="00A865B0">
            <w:pPr>
              <w:keepNext/>
              <w:ind w:left="-108"/>
              <w:rPr>
                <w:rFonts w:ascii="Arial Narrow" w:hAnsi="Arial Narrow"/>
                <w:sz w:val="20"/>
              </w:rPr>
            </w:pPr>
            <w:r w:rsidRPr="008A0437">
              <w:rPr>
                <w:rFonts w:ascii="Arial Narrow" w:hAnsi="Arial Narrow"/>
                <w:sz w:val="20"/>
              </w:rPr>
              <w:t>1</w:t>
            </w:r>
          </w:p>
        </w:tc>
        <w:tc>
          <w:tcPr>
            <w:tcW w:w="850" w:type="dxa"/>
          </w:tcPr>
          <w:p w:rsidR="00A865B0" w:rsidRPr="008A0437" w:rsidRDefault="00A865B0" w:rsidP="004273B9">
            <w:pPr>
              <w:keepNext/>
              <w:ind w:left="-108"/>
              <w:rPr>
                <w:rFonts w:ascii="Arial Narrow" w:hAnsi="Arial Narrow"/>
                <w:sz w:val="20"/>
              </w:rPr>
            </w:pPr>
          </w:p>
          <w:p w:rsidR="00A865B0" w:rsidRPr="008A0437" w:rsidRDefault="00A865B0" w:rsidP="00A865B0">
            <w:pPr>
              <w:keepNext/>
              <w:ind w:left="-108"/>
              <w:rPr>
                <w:rFonts w:ascii="Arial Narrow" w:hAnsi="Arial Narrow"/>
                <w:sz w:val="20"/>
              </w:rPr>
            </w:pPr>
            <w:r w:rsidRPr="008A0437">
              <w:rPr>
                <w:rFonts w:ascii="Arial Narrow" w:hAnsi="Arial Narrow"/>
                <w:sz w:val="20"/>
              </w:rPr>
              <w:t>5</w:t>
            </w:r>
          </w:p>
        </w:tc>
        <w:tc>
          <w:tcPr>
            <w:tcW w:w="851" w:type="dxa"/>
          </w:tcPr>
          <w:p w:rsidR="00A865B0" w:rsidRPr="008A0437" w:rsidRDefault="00A865B0" w:rsidP="004273B9">
            <w:pPr>
              <w:keepNext/>
              <w:rPr>
                <w:rFonts w:ascii="Arial Narrow" w:hAnsi="Arial Narrow"/>
                <w:sz w:val="20"/>
              </w:rPr>
            </w:pPr>
            <w:r w:rsidRPr="005C689D">
              <w:rPr>
                <w:rFonts w:ascii="Arial Narrow" w:hAnsi="Arial Narrow"/>
                <w:sz w:val="20"/>
              </w:rPr>
              <w:t>Esbriet®</w:t>
            </w:r>
          </w:p>
        </w:tc>
        <w:tc>
          <w:tcPr>
            <w:tcW w:w="2976" w:type="dxa"/>
          </w:tcPr>
          <w:p w:rsidR="00A865B0" w:rsidRPr="00A865B0" w:rsidRDefault="00A865B0" w:rsidP="00A865B0">
            <w:pPr>
              <w:keepNext/>
              <w:widowControl/>
              <w:rPr>
                <w:rFonts w:ascii="Arial Narrow" w:hAnsi="Arial Narrow"/>
                <w:sz w:val="20"/>
                <w:szCs w:val="20"/>
              </w:rPr>
            </w:pPr>
            <w:r>
              <w:rPr>
                <w:rFonts w:ascii="Arial Narrow" w:hAnsi="Arial Narrow"/>
                <w:sz w:val="20"/>
                <w:szCs w:val="20"/>
              </w:rPr>
              <w:t>Roche Products Pty Ltd</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Category/Program</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GENERAL – General Schedule (Code GE)</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Idiopathic pulmonary fibrosis</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t>Idiopathic pulmonary fibrosis</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jc w:val="left"/>
              <w:rPr>
                <w:rFonts w:ascii="Arial Narrow" w:hAnsi="Arial Narrow"/>
                <w:b/>
                <w:sz w:val="20"/>
              </w:rPr>
            </w:pPr>
            <w:r w:rsidRPr="008A0437">
              <w:rPr>
                <w:rFonts w:ascii="Arial Narrow" w:hAnsi="Arial Narrow"/>
                <w:b/>
                <w:sz w:val="20"/>
              </w:rPr>
              <w:t>Restriction Level / Method:</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Restricted benefit</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Telephone</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Emergency</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Electronic</w:t>
            </w:r>
          </w:p>
          <w:p w:rsidR="00A865B0" w:rsidRPr="008A0437" w:rsidRDefault="00A865B0" w:rsidP="004273B9">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1D56F3">
              <w:rPr>
                <w:rFonts w:ascii="Arial Narrow" w:hAnsi="Arial Narrow"/>
                <w:sz w:val="20"/>
              </w:rPr>
            </w:r>
            <w:r w:rsidR="001D56F3">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Streamlined</w:t>
            </w:r>
          </w:p>
        </w:tc>
      </w:tr>
      <w:tr w:rsidR="00A865B0" w:rsidRPr="008A0437" w:rsidTr="004273B9">
        <w:trPr>
          <w:cantSplit/>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Pr>
                <w:rFonts w:ascii="Arial Narrow" w:hAnsi="Arial Narrow"/>
                <w:sz w:val="20"/>
              </w:rPr>
              <w:t xml:space="preserve">Initial </w:t>
            </w:r>
            <w:r w:rsidR="00377624">
              <w:rPr>
                <w:rFonts w:ascii="Arial Narrow" w:hAnsi="Arial Narrow"/>
                <w:sz w:val="20"/>
              </w:rPr>
              <w:t>3</w:t>
            </w:r>
            <w:r>
              <w:rPr>
                <w:rFonts w:ascii="Arial Narrow" w:hAnsi="Arial Narrow"/>
                <w:sz w:val="20"/>
              </w:rPr>
              <w:t xml:space="preserve"> - </w:t>
            </w:r>
            <w:r w:rsidRPr="008A0437">
              <w:rPr>
                <w:rFonts w:ascii="Arial Narrow" w:hAnsi="Arial Narrow"/>
                <w:sz w:val="20"/>
              </w:rPr>
              <w:t>Grandfathering treatment</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A865B0" w:rsidRDefault="00A865B0" w:rsidP="004273B9">
            <w:pPr>
              <w:rPr>
                <w:rFonts w:ascii="Arial Narrow" w:hAnsi="Arial Narrow"/>
                <w:sz w:val="20"/>
              </w:rPr>
            </w:pPr>
            <w:r w:rsidRPr="008A0437">
              <w:rPr>
                <w:rFonts w:ascii="Arial Narrow" w:hAnsi="Arial Narrow"/>
                <w:sz w:val="20"/>
              </w:rPr>
              <w:t>Patient must have previously received non-PBS-subsidised treatment with this drug for this condition prior to [listing date].</w:t>
            </w:r>
          </w:p>
          <w:p w:rsidR="00A865B0" w:rsidRDefault="00A865B0" w:rsidP="004273B9">
            <w:pPr>
              <w:rPr>
                <w:rFonts w:ascii="Arial Narrow" w:hAnsi="Arial Narrow"/>
                <w:sz w:val="20"/>
              </w:rPr>
            </w:pPr>
            <w:r>
              <w:rPr>
                <w:rFonts w:ascii="Arial Narrow" w:hAnsi="Arial Narrow"/>
                <w:sz w:val="20"/>
              </w:rPr>
              <w:t>AND</w:t>
            </w:r>
          </w:p>
          <w:p w:rsidR="00A865B0" w:rsidRDefault="00A865B0" w:rsidP="004273B9">
            <w:pPr>
              <w:rPr>
                <w:rFonts w:ascii="Arial Narrow" w:hAnsi="Arial Narrow"/>
                <w:sz w:val="20"/>
                <w:lang w:eastAsia="en-AU"/>
              </w:rPr>
            </w:pPr>
            <w:r>
              <w:rPr>
                <w:rFonts w:ascii="Arial Narrow" w:hAnsi="Arial Narrow"/>
                <w:sz w:val="20"/>
                <w:lang w:eastAsia="en-AU"/>
              </w:rPr>
              <w:t xml:space="preserve">The condition </w:t>
            </w:r>
            <w:r w:rsidRPr="008A0437">
              <w:rPr>
                <w:rFonts w:ascii="Arial Narrow" w:hAnsi="Arial Narrow"/>
                <w:sz w:val="20"/>
                <w:lang w:eastAsia="en-AU"/>
              </w:rPr>
              <w:t xml:space="preserve">must </w:t>
            </w:r>
            <w:r>
              <w:rPr>
                <w:rFonts w:ascii="Arial Narrow" w:hAnsi="Arial Narrow"/>
                <w:sz w:val="20"/>
                <w:lang w:eastAsia="en-AU"/>
              </w:rPr>
              <w:t xml:space="preserve">have been </w:t>
            </w:r>
            <w:r w:rsidRPr="008A0437">
              <w:rPr>
                <w:rFonts w:ascii="Arial Narrow" w:hAnsi="Arial Narrow"/>
                <w:sz w:val="20"/>
                <w:lang w:eastAsia="en-AU"/>
              </w:rPr>
              <w:t>diagnos</w:t>
            </w:r>
            <w:r>
              <w:rPr>
                <w:rFonts w:ascii="Arial Narrow" w:hAnsi="Arial Narrow"/>
                <w:sz w:val="20"/>
                <w:lang w:eastAsia="en-AU"/>
              </w:rPr>
              <w:t xml:space="preserve">ed </w:t>
            </w:r>
            <w:r w:rsidRPr="008A0437">
              <w:rPr>
                <w:rFonts w:ascii="Arial Narrow" w:hAnsi="Arial Narrow"/>
                <w:sz w:val="20"/>
                <w:lang w:eastAsia="en-AU"/>
              </w:rPr>
              <w:t>through a multidisciplinary</w:t>
            </w:r>
            <w:r>
              <w:rPr>
                <w:rFonts w:ascii="Arial Narrow" w:hAnsi="Arial Narrow"/>
                <w:sz w:val="20"/>
                <w:lang w:eastAsia="en-AU"/>
              </w:rPr>
              <w:t xml:space="preserve"> </w:t>
            </w:r>
            <w:r w:rsidRPr="008A0437">
              <w:rPr>
                <w:rFonts w:ascii="Arial Narrow" w:hAnsi="Arial Narrow"/>
                <w:sz w:val="20"/>
                <w:lang w:eastAsia="en-AU"/>
              </w:rPr>
              <w:t>team.</w:t>
            </w:r>
          </w:p>
          <w:p w:rsidR="00A865B0" w:rsidRDefault="00A865B0" w:rsidP="004273B9">
            <w:pPr>
              <w:rPr>
                <w:rFonts w:ascii="Arial Narrow" w:hAnsi="Arial Narrow"/>
                <w:sz w:val="20"/>
                <w:lang w:eastAsia="en-AU"/>
              </w:rPr>
            </w:pPr>
            <w:r>
              <w:rPr>
                <w:rFonts w:ascii="Arial Narrow" w:hAnsi="Arial Narrow"/>
                <w:sz w:val="20"/>
                <w:lang w:eastAsia="en-AU"/>
              </w:rPr>
              <w:t>AND</w:t>
            </w:r>
          </w:p>
          <w:p w:rsidR="00A865B0" w:rsidRDefault="00A865B0" w:rsidP="004273B9">
            <w:pPr>
              <w:rPr>
                <w:rFonts w:ascii="Arial Narrow" w:hAnsi="Arial Narrow"/>
                <w:sz w:val="20"/>
              </w:rPr>
            </w:pPr>
            <w:r w:rsidRPr="008A0437">
              <w:rPr>
                <w:rFonts w:ascii="Arial Narrow" w:hAnsi="Arial Narrow"/>
                <w:sz w:val="20"/>
              </w:rPr>
              <w:t xml:space="preserve">Patient must have </w:t>
            </w:r>
            <w:r>
              <w:rPr>
                <w:rFonts w:ascii="Arial Narrow" w:hAnsi="Arial Narrow"/>
                <w:sz w:val="20"/>
              </w:rPr>
              <w:t xml:space="preserve">had a </w:t>
            </w:r>
            <w:r w:rsidRPr="008A0437">
              <w:rPr>
                <w:rFonts w:ascii="Arial Narrow" w:hAnsi="Arial Narrow"/>
                <w:sz w:val="20"/>
              </w:rPr>
              <w:t xml:space="preserve">forced vital capacity (FVC) </w:t>
            </w:r>
            <w:r>
              <w:rPr>
                <w:rFonts w:ascii="Arial Narrow" w:hAnsi="Arial Narrow"/>
                <w:sz w:val="20"/>
              </w:rPr>
              <w:t xml:space="preserve">greater than or </w:t>
            </w:r>
            <w:r w:rsidRPr="008A0437">
              <w:rPr>
                <w:rFonts w:ascii="Arial Narrow" w:hAnsi="Arial Narrow"/>
                <w:sz w:val="20"/>
              </w:rPr>
              <w:t>equal to 50% predicted for age, gender and height</w:t>
            </w:r>
            <w:r>
              <w:rPr>
                <w:rFonts w:ascii="Arial Narrow" w:hAnsi="Arial Narrow"/>
                <w:sz w:val="20"/>
              </w:rPr>
              <w:t xml:space="preserve"> at the time treatment with this drug for this condition was initiated.</w:t>
            </w:r>
          </w:p>
          <w:p w:rsidR="00A865B0" w:rsidRDefault="00EB361A" w:rsidP="004273B9">
            <w:pPr>
              <w:rPr>
                <w:rFonts w:ascii="Arial Narrow" w:hAnsi="Arial Narrow"/>
                <w:sz w:val="20"/>
              </w:rPr>
            </w:pPr>
            <w:r>
              <w:rPr>
                <w:rFonts w:ascii="Arial Narrow" w:hAnsi="Arial Narrow"/>
                <w:sz w:val="20"/>
              </w:rPr>
              <w:t>AND</w:t>
            </w:r>
          </w:p>
          <w:p w:rsidR="00A865B0" w:rsidRDefault="00A865B0" w:rsidP="004273B9">
            <w:pPr>
              <w:rPr>
                <w:rFonts w:ascii="Arial Narrow" w:hAnsi="Arial Narrow"/>
                <w:sz w:val="20"/>
              </w:rPr>
            </w:pPr>
            <w:r>
              <w:rPr>
                <w:rFonts w:ascii="Arial Narrow" w:hAnsi="Arial Narrow"/>
                <w:sz w:val="20"/>
              </w:rPr>
              <w:t>Patient must have had a</w:t>
            </w:r>
            <w:r w:rsidRPr="008A0437">
              <w:rPr>
                <w:rFonts w:ascii="Arial Narrow" w:hAnsi="Arial Narrow"/>
                <w:sz w:val="20"/>
              </w:rPr>
              <w:t xml:space="preserve"> forced expiratory volume in 1 second (FEV1)/FVC ratio greater than 0.7</w:t>
            </w:r>
            <w:r>
              <w:rPr>
                <w:rFonts w:ascii="Arial Narrow" w:hAnsi="Arial Narrow"/>
                <w:sz w:val="20"/>
              </w:rPr>
              <w:t xml:space="preserve"> at the time treatment with this drug for this condition was initiated.</w:t>
            </w:r>
          </w:p>
          <w:p w:rsidR="00A865B0" w:rsidRPr="008A0437" w:rsidRDefault="00A865B0" w:rsidP="004273B9">
            <w:pPr>
              <w:rPr>
                <w:rFonts w:ascii="Arial Narrow" w:hAnsi="Arial Narrow"/>
                <w:sz w:val="20"/>
              </w:rPr>
            </w:pPr>
            <w:r w:rsidRPr="008A0437">
              <w:rPr>
                <w:rFonts w:ascii="Arial Narrow" w:hAnsi="Arial Narrow"/>
                <w:sz w:val="20"/>
              </w:rPr>
              <w:t>AND</w:t>
            </w:r>
          </w:p>
          <w:p w:rsidR="00A865B0" w:rsidRDefault="00A865B0" w:rsidP="004273B9">
            <w:pPr>
              <w:rPr>
                <w:rFonts w:ascii="Arial Narrow" w:hAnsi="Arial Narrow"/>
                <w:sz w:val="20"/>
              </w:rPr>
            </w:pPr>
            <w:r w:rsidRPr="008A0437">
              <w:rPr>
                <w:rFonts w:ascii="Arial Narrow" w:hAnsi="Arial Narrow"/>
                <w:sz w:val="20"/>
              </w:rPr>
              <w:t xml:space="preserve">Patient must have </w:t>
            </w:r>
            <w:r>
              <w:rPr>
                <w:rFonts w:ascii="Arial Narrow" w:hAnsi="Arial Narrow"/>
                <w:sz w:val="20"/>
              </w:rPr>
              <w:t xml:space="preserve">had </w:t>
            </w:r>
            <w:r w:rsidRPr="008A0437">
              <w:rPr>
                <w:rFonts w:ascii="Arial Narrow" w:hAnsi="Arial Narrow"/>
                <w:sz w:val="20"/>
              </w:rPr>
              <w:t>diffusing capacity of the lungs for carbon monoxide (DLCO) corrected for haemoglobin equal to or greater than 30%</w:t>
            </w:r>
            <w:r>
              <w:rPr>
                <w:rFonts w:ascii="Arial Narrow" w:hAnsi="Arial Narrow"/>
                <w:sz w:val="20"/>
              </w:rPr>
              <w:t xml:space="preserve"> at the time treatment with this drug for this condition was initiated.</w:t>
            </w:r>
          </w:p>
          <w:p w:rsidR="00A865B0" w:rsidRPr="008A0437" w:rsidRDefault="00A865B0" w:rsidP="004273B9">
            <w:pPr>
              <w:rPr>
                <w:rFonts w:ascii="Arial Narrow" w:hAnsi="Arial Narrow"/>
                <w:sz w:val="20"/>
              </w:rPr>
            </w:pPr>
            <w:r w:rsidRPr="008A0437">
              <w:rPr>
                <w:rFonts w:ascii="Arial Narrow" w:hAnsi="Arial Narrow"/>
                <w:sz w:val="20"/>
              </w:rPr>
              <w:t>AND</w:t>
            </w:r>
          </w:p>
          <w:p w:rsidR="00A865B0" w:rsidRDefault="00A865B0" w:rsidP="004273B9">
            <w:pPr>
              <w:rPr>
                <w:rFonts w:ascii="Arial Narrow" w:hAnsi="Arial Narrow"/>
                <w:sz w:val="20"/>
              </w:rPr>
            </w:pPr>
            <w:r w:rsidRPr="008A0437">
              <w:rPr>
                <w:rFonts w:ascii="Arial Narrow" w:hAnsi="Arial Narrow"/>
                <w:sz w:val="20"/>
              </w:rPr>
              <w:t xml:space="preserve">Patient must not have interstitial lung disease due to other known causes including domestic and occupational environmental exposures, connective tissue disease, </w:t>
            </w:r>
            <w:r>
              <w:rPr>
                <w:rFonts w:ascii="Arial Narrow" w:hAnsi="Arial Narrow"/>
                <w:sz w:val="20"/>
              </w:rPr>
              <w:t xml:space="preserve">or </w:t>
            </w:r>
            <w:r w:rsidRPr="008A0437">
              <w:rPr>
                <w:rFonts w:ascii="Arial Narrow" w:hAnsi="Arial Narrow"/>
                <w:sz w:val="20"/>
              </w:rPr>
              <w:t>drug toxicity.</w:t>
            </w:r>
          </w:p>
          <w:p w:rsidR="00A865B0" w:rsidRDefault="00A865B0" w:rsidP="00A865B0">
            <w:pPr>
              <w:rPr>
                <w:rFonts w:ascii="Arial Narrow" w:hAnsi="Arial Narrow"/>
                <w:sz w:val="20"/>
              </w:rPr>
            </w:pPr>
            <w:r>
              <w:rPr>
                <w:rFonts w:ascii="Arial Narrow" w:hAnsi="Arial Narrow"/>
                <w:sz w:val="20"/>
              </w:rPr>
              <w:t>AND</w:t>
            </w:r>
          </w:p>
          <w:p w:rsidR="00A865B0" w:rsidRPr="00EC76C1" w:rsidRDefault="00A865B0" w:rsidP="006F63AC">
            <w:pPr>
              <w:rPr>
                <w:rFonts w:ascii="Arial Narrow" w:hAnsi="Arial Narrow"/>
                <w:strike/>
                <w:sz w:val="20"/>
              </w:rPr>
            </w:pPr>
            <w:r w:rsidRPr="00A865B0">
              <w:rPr>
                <w:rFonts w:ascii="Arial Narrow" w:hAnsi="Arial Narrow"/>
                <w:sz w:val="20"/>
              </w:rPr>
              <w:t xml:space="preserve">The treatment must be </w:t>
            </w:r>
            <w:r w:rsidR="006F63AC">
              <w:rPr>
                <w:rFonts w:ascii="Arial Narrow" w:hAnsi="Arial Narrow"/>
                <w:sz w:val="20"/>
              </w:rPr>
              <w:t xml:space="preserve">the sole </w:t>
            </w:r>
            <w:r w:rsidRPr="00A865B0">
              <w:rPr>
                <w:rFonts w:ascii="Arial Narrow" w:hAnsi="Arial Narrow"/>
                <w:sz w:val="20"/>
              </w:rPr>
              <w:t xml:space="preserve">PBS-subsidised </w:t>
            </w:r>
            <w:r w:rsidR="006F63AC">
              <w:rPr>
                <w:rFonts w:ascii="Arial Narrow" w:hAnsi="Arial Narrow"/>
                <w:sz w:val="20"/>
              </w:rPr>
              <w:t>treatment for this condition.</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Pr>
                <w:rFonts w:ascii="Arial Narrow" w:hAnsi="Arial Narrow"/>
                <w:b/>
                <w:sz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A865B0" w:rsidRDefault="00A865B0" w:rsidP="004273B9">
            <w:pPr>
              <w:rPr>
                <w:rFonts w:ascii="Arial Narrow" w:hAnsi="Arial Narrow"/>
                <w:sz w:val="20"/>
              </w:rPr>
            </w:pPr>
            <w:r>
              <w:rPr>
                <w:rFonts w:ascii="Arial Narrow" w:hAnsi="Arial Narrow"/>
                <w:sz w:val="20"/>
              </w:rPr>
              <w:t>A</w:t>
            </w:r>
            <w:r w:rsidRPr="008A0437">
              <w:rPr>
                <w:rFonts w:ascii="Arial Narrow" w:hAnsi="Arial Narrow"/>
                <w:sz w:val="20"/>
              </w:rPr>
              <w:t xml:space="preserve"> multidisciplinary team </w:t>
            </w:r>
            <w:r>
              <w:rPr>
                <w:rFonts w:ascii="Arial Narrow" w:hAnsi="Arial Narrow"/>
                <w:sz w:val="20"/>
              </w:rPr>
              <w:t xml:space="preserve">is defined as </w:t>
            </w:r>
            <w:r w:rsidRPr="008A0437">
              <w:rPr>
                <w:rFonts w:ascii="Arial Narrow" w:hAnsi="Arial Narrow"/>
                <w:sz w:val="20"/>
              </w:rPr>
              <w:t>compris</w:t>
            </w:r>
            <w:r>
              <w:rPr>
                <w:rFonts w:ascii="Arial Narrow" w:hAnsi="Arial Narrow"/>
                <w:sz w:val="20"/>
              </w:rPr>
              <w:t>ing</w:t>
            </w:r>
            <w:r w:rsidRPr="008A0437">
              <w:rPr>
                <w:rFonts w:ascii="Arial Narrow" w:hAnsi="Arial Narrow"/>
                <w:sz w:val="20"/>
              </w:rPr>
              <w:t xml:space="preserve"> of at least a</w:t>
            </w:r>
            <w:r>
              <w:rPr>
                <w:rFonts w:ascii="Arial Narrow" w:hAnsi="Arial Narrow"/>
                <w:sz w:val="20"/>
              </w:rPr>
              <w:t xml:space="preserve"> specialist respiratory physician</w:t>
            </w:r>
            <w:r w:rsidRPr="008A0437">
              <w:rPr>
                <w:rFonts w:ascii="Arial Narrow" w:hAnsi="Arial Narrow"/>
                <w:sz w:val="20"/>
              </w:rPr>
              <w:t xml:space="preserve">, </w:t>
            </w:r>
            <w:r>
              <w:rPr>
                <w:rFonts w:ascii="Arial Narrow" w:hAnsi="Arial Narrow"/>
                <w:sz w:val="20"/>
              </w:rPr>
              <w:t xml:space="preserve">a </w:t>
            </w:r>
            <w:r w:rsidRPr="008A0437">
              <w:rPr>
                <w:rFonts w:ascii="Arial Narrow" w:hAnsi="Arial Narrow"/>
                <w:sz w:val="20"/>
              </w:rPr>
              <w:t>radiologist and where</w:t>
            </w:r>
            <w:r>
              <w:rPr>
                <w:rFonts w:ascii="Arial Narrow" w:hAnsi="Arial Narrow"/>
                <w:sz w:val="20"/>
              </w:rPr>
              <w:t xml:space="preserve"> histological material is considered</w:t>
            </w:r>
            <w:r w:rsidRPr="008A0437">
              <w:rPr>
                <w:rFonts w:ascii="Arial Narrow" w:hAnsi="Arial Narrow"/>
                <w:sz w:val="20"/>
              </w:rPr>
              <w:t>, a pathologist. If attendance is not possible, because of geographical isolation</w:t>
            </w:r>
            <w:r>
              <w:rPr>
                <w:rFonts w:ascii="Arial Narrow" w:hAnsi="Arial Narrow"/>
                <w:sz w:val="20"/>
              </w:rPr>
              <w:t xml:space="preserve"> consultation with a multidisciplinary team is required for diagnosis.</w:t>
            </w:r>
          </w:p>
          <w:p w:rsidR="00A865B0" w:rsidRDefault="00A865B0" w:rsidP="004273B9">
            <w:pPr>
              <w:rPr>
                <w:rFonts w:ascii="Arial Narrow" w:hAnsi="Arial Narrow"/>
                <w:sz w:val="20"/>
              </w:rPr>
            </w:pPr>
          </w:p>
          <w:p w:rsidR="00A865B0" w:rsidRPr="00213F44" w:rsidRDefault="00A865B0" w:rsidP="004273B9">
            <w:pPr>
              <w:rPr>
                <w:rFonts w:ascii="Arial Narrow" w:hAnsi="Arial Narrow"/>
                <w:sz w:val="20"/>
              </w:rPr>
            </w:pPr>
            <w:r w:rsidRPr="00213F44">
              <w:rPr>
                <w:rFonts w:ascii="Arial Narrow" w:hAnsi="Arial Narrow"/>
                <w:sz w:val="20"/>
              </w:rPr>
              <w:t xml:space="preserve">Application for </w:t>
            </w:r>
            <w:r>
              <w:rPr>
                <w:rFonts w:ascii="Arial Narrow" w:hAnsi="Arial Narrow"/>
                <w:sz w:val="20"/>
              </w:rPr>
              <w:t xml:space="preserve">of initial treatment </w:t>
            </w:r>
            <w:r w:rsidRPr="00213F44">
              <w:rPr>
                <w:rFonts w:ascii="Arial Narrow" w:hAnsi="Arial Narrow"/>
                <w:sz w:val="20"/>
              </w:rPr>
              <w:t>authorisation must be in writing and must include:</w:t>
            </w:r>
          </w:p>
          <w:p w:rsidR="00A865B0" w:rsidRPr="00213F44" w:rsidRDefault="00A865B0" w:rsidP="00A865B0">
            <w:pPr>
              <w:pStyle w:val="ListParagraph"/>
              <w:widowControl/>
              <w:numPr>
                <w:ilvl w:val="0"/>
                <w:numId w:val="37"/>
              </w:numPr>
              <w:rPr>
                <w:rFonts w:ascii="Arial Narrow" w:hAnsi="Arial Narrow"/>
                <w:sz w:val="20"/>
              </w:rPr>
            </w:pPr>
            <w:r w:rsidRPr="00213F44">
              <w:rPr>
                <w:rFonts w:ascii="Arial Narrow" w:hAnsi="Arial Narrow"/>
                <w:sz w:val="20"/>
              </w:rPr>
              <w:t>A completed authority prescription form</w:t>
            </w:r>
          </w:p>
          <w:p w:rsidR="00A865B0" w:rsidRPr="00213F44" w:rsidRDefault="00A865B0" w:rsidP="00A865B0">
            <w:pPr>
              <w:pStyle w:val="ListParagraph"/>
              <w:widowControl/>
              <w:numPr>
                <w:ilvl w:val="0"/>
                <w:numId w:val="37"/>
              </w:numPr>
              <w:rPr>
                <w:rFonts w:ascii="Arial Narrow" w:hAnsi="Arial Narrow"/>
                <w:sz w:val="20"/>
              </w:rPr>
            </w:pPr>
            <w:r w:rsidRPr="00213F44">
              <w:rPr>
                <w:rFonts w:ascii="Arial Narrow" w:hAnsi="Arial Narrow"/>
                <w:sz w:val="20"/>
              </w:rPr>
              <w:t>A completed IPF Authority Application Supporting Information Form</w:t>
            </w:r>
            <w:r>
              <w:rPr>
                <w:rFonts w:ascii="Arial Narrow" w:hAnsi="Arial Narrow"/>
                <w:sz w:val="20"/>
              </w:rPr>
              <w:t>; and</w:t>
            </w:r>
          </w:p>
          <w:p w:rsidR="00A865B0" w:rsidRPr="00213F44" w:rsidRDefault="00A865B0" w:rsidP="00A865B0">
            <w:pPr>
              <w:pStyle w:val="ListParagraph"/>
              <w:widowControl/>
              <w:numPr>
                <w:ilvl w:val="0"/>
                <w:numId w:val="37"/>
              </w:numPr>
              <w:rPr>
                <w:rFonts w:ascii="Arial Narrow" w:hAnsi="Arial Narrow"/>
                <w:sz w:val="20"/>
              </w:rPr>
            </w:pPr>
            <w:r w:rsidRPr="00213F44">
              <w:rPr>
                <w:rFonts w:ascii="Arial Narrow" w:hAnsi="Arial Narrow"/>
                <w:sz w:val="20"/>
              </w:rPr>
              <w:t>A signed patient acknowledgement.</w:t>
            </w:r>
          </w:p>
          <w:p w:rsidR="00A865B0" w:rsidRPr="008A0437" w:rsidRDefault="00A865B0" w:rsidP="004273B9">
            <w:pPr>
              <w:rPr>
                <w:rFonts w:ascii="Arial Narrow" w:hAnsi="Arial Narrow"/>
                <w:sz w:val="20"/>
              </w:rPr>
            </w:pPr>
          </w:p>
          <w:p w:rsidR="00A865B0" w:rsidRPr="008A0437" w:rsidRDefault="00A865B0" w:rsidP="004273B9">
            <w:pPr>
              <w:rPr>
                <w:rFonts w:ascii="Arial Narrow" w:hAnsi="Arial Narrow"/>
                <w:sz w:val="20"/>
              </w:rPr>
            </w:pPr>
            <w:r w:rsidRPr="008A0437">
              <w:rPr>
                <w:rFonts w:ascii="Arial Narrow" w:hAnsi="Arial Narrow"/>
                <w:sz w:val="20"/>
              </w:rPr>
              <w:t xml:space="preserve">Patient must </w:t>
            </w:r>
            <w:r>
              <w:rPr>
                <w:rFonts w:ascii="Arial Narrow" w:hAnsi="Arial Narrow"/>
                <w:sz w:val="20"/>
              </w:rPr>
              <w:t xml:space="preserve">not </w:t>
            </w:r>
            <w:r w:rsidRPr="008A0437">
              <w:rPr>
                <w:rFonts w:ascii="Arial Narrow" w:hAnsi="Arial Narrow"/>
                <w:sz w:val="20"/>
              </w:rPr>
              <w:t>have</w:t>
            </w:r>
            <w:r>
              <w:rPr>
                <w:rFonts w:ascii="Arial Narrow" w:hAnsi="Arial Narrow"/>
                <w:sz w:val="20"/>
              </w:rPr>
              <w:t xml:space="preserve"> an</w:t>
            </w:r>
            <w:r w:rsidRPr="008A0437">
              <w:rPr>
                <w:rFonts w:ascii="Arial Narrow" w:hAnsi="Arial Narrow"/>
                <w:sz w:val="20"/>
              </w:rPr>
              <w:t xml:space="preserve"> acute respiratory infection at the time of FVC testing.</w:t>
            </w:r>
          </w:p>
        </w:tc>
      </w:tr>
      <w:tr w:rsidR="00A865B0" w:rsidRPr="008A0437" w:rsidTr="004273B9">
        <w:trPr>
          <w:trHeight w:val="360"/>
        </w:trPr>
        <w:tc>
          <w:tcPr>
            <w:tcW w:w="2268" w:type="dxa"/>
            <w:tcBorders>
              <w:top w:val="single" w:sz="4" w:space="0" w:color="auto"/>
              <w:left w:val="single" w:sz="4" w:space="0" w:color="auto"/>
              <w:bottom w:val="single" w:sz="4" w:space="0" w:color="auto"/>
              <w:right w:val="single" w:sz="4" w:space="0" w:color="auto"/>
            </w:tcBorders>
          </w:tcPr>
          <w:p w:rsidR="00A865B0" w:rsidRPr="008A0437" w:rsidRDefault="00A865B0" w:rsidP="004273B9">
            <w:pPr>
              <w:rPr>
                <w:rFonts w:ascii="Arial Narrow" w:hAnsi="Arial Narrow"/>
                <w:b/>
                <w:sz w:val="20"/>
              </w:rPr>
            </w:pPr>
            <w:r w:rsidRPr="008A0437">
              <w:rPr>
                <w:rFonts w:ascii="Arial Narrow" w:hAnsi="Arial Narrow"/>
                <w:b/>
                <w:sz w:val="20"/>
              </w:rPr>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Any queries concerning the arrangements to prescribe may be directed to the Department of Human Services on 1800 700 270 (hours of operation 8 a.m. t</w:t>
            </w:r>
            <w:r w:rsidR="00EB361A">
              <w:rPr>
                <w:rFonts w:ascii="Arial Narrow" w:hAnsi="Arial Narrow"/>
                <w:sz w:val="20"/>
                <w:lang w:eastAsia="en-AU"/>
              </w:rPr>
              <w:t>o 5 p.m. EST Monday to Friday).</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Prescribing information (including Authority Application forms and other relevant documentation as applicable) is available on the Department of Human Services website at </w:t>
            </w:r>
            <w:r w:rsidRPr="00F60B7B">
              <w:rPr>
                <w:rFonts w:ascii="Arial Narrow" w:hAnsi="Arial Narrow"/>
                <w:sz w:val="20"/>
                <w:lang w:eastAsia="en-AU"/>
              </w:rPr>
              <w:t>www.humanservices.gov.au</w:t>
            </w:r>
          </w:p>
          <w:p w:rsidR="00A865B0" w:rsidRPr="008A0437" w:rsidRDefault="00A865B0" w:rsidP="004273B9">
            <w:pPr>
              <w:widowControl/>
              <w:snapToGrid w:val="0"/>
              <w:spacing w:line="20" w:lineRule="atLeast"/>
              <w:jc w:val="left"/>
              <w:rPr>
                <w:rFonts w:ascii="Arial Narrow" w:hAnsi="Arial Narrow"/>
                <w:sz w:val="20"/>
                <w:lang w:eastAsia="en-AU"/>
              </w:rPr>
            </w:pP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Applications for authority to prescribe should be forwarde</w:t>
            </w:r>
            <w:r w:rsidR="00EB361A">
              <w:rPr>
                <w:rFonts w:ascii="Arial Narrow" w:hAnsi="Arial Narrow"/>
                <w:sz w:val="20"/>
                <w:lang w:eastAsia="en-AU"/>
              </w:rPr>
              <w:t>d to:</w:t>
            </w: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Department of Human Services</w:t>
            </w:r>
          </w:p>
          <w:p w:rsidR="00A865B0" w:rsidRPr="008A0437" w:rsidRDefault="00A865B0" w:rsidP="004273B9">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Prior Written Approval of Complex Drugs </w:t>
            </w:r>
          </w:p>
          <w:p w:rsidR="00A865B0" w:rsidRPr="008A0437" w:rsidRDefault="00EB361A" w:rsidP="004273B9">
            <w:pPr>
              <w:widowControl/>
              <w:snapToGrid w:val="0"/>
              <w:spacing w:line="20" w:lineRule="atLeast"/>
              <w:jc w:val="left"/>
              <w:rPr>
                <w:rFonts w:ascii="Arial Narrow" w:hAnsi="Arial Narrow"/>
                <w:sz w:val="20"/>
                <w:lang w:eastAsia="en-AU"/>
              </w:rPr>
            </w:pPr>
            <w:r>
              <w:rPr>
                <w:rFonts w:ascii="Arial Narrow" w:hAnsi="Arial Narrow"/>
                <w:sz w:val="20"/>
                <w:lang w:eastAsia="en-AU"/>
              </w:rPr>
              <w:t>Reply Paid 9826</w:t>
            </w:r>
          </w:p>
          <w:p w:rsidR="00A865B0" w:rsidRPr="008A0437" w:rsidRDefault="00EB361A" w:rsidP="004273B9">
            <w:pPr>
              <w:widowControl/>
              <w:snapToGrid w:val="0"/>
              <w:spacing w:line="20" w:lineRule="atLeast"/>
              <w:jc w:val="left"/>
              <w:rPr>
                <w:rFonts w:ascii="Arial Narrow" w:hAnsi="Arial Narrow"/>
                <w:sz w:val="20"/>
                <w:lang w:eastAsia="en-AU"/>
              </w:rPr>
            </w:pPr>
            <w:r>
              <w:rPr>
                <w:rFonts w:ascii="Arial Narrow" w:hAnsi="Arial Narrow"/>
                <w:sz w:val="20"/>
                <w:lang w:eastAsia="en-AU"/>
              </w:rPr>
              <w:t>GPO Box 9826</w:t>
            </w:r>
          </w:p>
          <w:p w:rsidR="00A865B0" w:rsidRPr="008A0437" w:rsidRDefault="00A865B0" w:rsidP="004273B9">
            <w:pPr>
              <w:rPr>
                <w:rFonts w:ascii="Arial Narrow" w:hAnsi="Arial Narrow"/>
                <w:sz w:val="20"/>
              </w:rPr>
            </w:pPr>
            <w:r w:rsidRPr="008A0437">
              <w:rPr>
                <w:rFonts w:ascii="Arial Narrow" w:hAnsi="Arial Narrow"/>
                <w:sz w:val="20"/>
                <w:lang w:eastAsia="en-AU"/>
              </w:rPr>
              <w:t>HOBART TAS 7001</w:t>
            </w:r>
          </w:p>
        </w:tc>
      </w:tr>
    </w:tbl>
    <w:p w:rsidR="00A865B0" w:rsidRDefault="00A865B0" w:rsidP="0077313A">
      <w:pPr>
        <w:widowControl/>
        <w:rPr>
          <w:bCs/>
          <w:szCs w:val="22"/>
          <w:lang w:val="en-GB"/>
        </w:rPr>
      </w:pPr>
    </w:p>
    <w:p w:rsidR="00A865B0" w:rsidRDefault="00A865B0" w:rsidP="00CE7C57">
      <w:pPr>
        <w:widowControl/>
        <w:rPr>
          <w:bCs/>
          <w:szCs w:val="22"/>
          <w:lang w:val="en-GB"/>
        </w:rPr>
      </w:pPr>
      <w:r w:rsidRPr="00CE7C57">
        <w:rPr>
          <w:bCs/>
          <w:szCs w:val="22"/>
          <w:u w:val="single"/>
          <w:lang w:val="en-GB"/>
        </w:rPr>
        <w:t>Flow on change</w:t>
      </w:r>
      <w:r w:rsidR="003D47B9">
        <w:rPr>
          <w:bCs/>
          <w:szCs w:val="22"/>
          <w:u w:val="single"/>
          <w:lang w:val="en-GB"/>
        </w:rPr>
        <w:t>s to the listing for nintedanib</w:t>
      </w:r>
      <w:r>
        <w:rPr>
          <w:bCs/>
          <w:szCs w:val="22"/>
          <w:lang w:val="en-GB"/>
        </w:rPr>
        <w:t xml:space="preserve">: </w:t>
      </w:r>
      <w:r w:rsidR="003D47B9">
        <w:rPr>
          <w:bCs/>
          <w:szCs w:val="22"/>
          <w:lang w:val="en-GB"/>
        </w:rPr>
        <w:t xml:space="preserve">include additional criterion </w:t>
      </w:r>
      <w:r w:rsidRPr="004273B9">
        <w:rPr>
          <w:bCs/>
          <w:szCs w:val="22"/>
          <w:lang w:val="en-GB"/>
        </w:rPr>
        <w:t xml:space="preserve">“The treatment must be </w:t>
      </w:r>
      <w:r w:rsidR="00914A09">
        <w:rPr>
          <w:bCs/>
          <w:szCs w:val="22"/>
          <w:lang w:val="en-GB"/>
        </w:rPr>
        <w:t xml:space="preserve">the sole </w:t>
      </w:r>
      <w:r w:rsidRPr="004273B9">
        <w:rPr>
          <w:bCs/>
          <w:szCs w:val="22"/>
          <w:lang w:val="en-GB"/>
        </w:rPr>
        <w:t>PBS-subsidised</w:t>
      </w:r>
      <w:r w:rsidR="003D47B9">
        <w:rPr>
          <w:bCs/>
          <w:szCs w:val="22"/>
          <w:lang w:val="en-GB"/>
        </w:rPr>
        <w:t xml:space="preserve"> </w:t>
      </w:r>
      <w:r w:rsidR="00914A09">
        <w:rPr>
          <w:bCs/>
          <w:szCs w:val="22"/>
          <w:lang w:val="en-GB"/>
        </w:rPr>
        <w:t>treatment for this condition</w:t>
      </w:r>
      <w:r w:rsidRPr="004273B9">
        <w:rPr>
          <w:bCs/>
          <w:szCs w:val="22"/>
          <w:lang w:val="en-GB"/>
        </w:rPr>
        <w:t>”</w:t>
      </w:r>
      <w:r w:rsidR="003D47B9">
        <w:rPr>
          <w:bCs/>
          <w:szCs w:val="22"/>
          <w:lang w:val="en-GB"/>
        </w:rPr>
        <w:t xml:space="preserve"> and include additional restriction “</w:t>
      </w:r>
      <w:r w:rsidR="003D47B9" w:rsidRPr="003D47B9">
        <w:rPr>
          <w:szCs w:val="22"/>
        </w:rPr>
        <w:t>Initial 2: change or re-commencement of treatment</w:t>
      </w:r>
      <w:r w:rsidR="003D47B9">
        <w:rPr>
          <w:szCs w:val="22"/>
        </w:rPr>
        <w:t>” to allow for switching between the nintedanib and pirfenidone.</w:t>
      </w:r>
    </w:p>
    <w:p w:rsidR="00A865B0" w:rsidRDefault="00A865B0" w:rsidP="0077313A">
      <w:pPr>
        <w:widowControl/>
        <w:rPr>
          <w:bCs/>
          <w:szCs w:val="22"/>
          <w:lang w:val="en-GB"/>
        </w:rPr>
      </w:pPr>
    </w:p>
    <w:p w:rsidR="00C16DEA" w:rsidRPr="00987F15" w:rsidRDefault="00C16DEA" w:rsidP="002F6883">
      <w:pPr>
        <w:widowControl/>
        <w:rPr>
          <w:bCs/>
          <w:szCs w:val="22"/>
        </w:rPr>
      </w:pPr>
    </w:p>
    <w:sectPr w:rsidR="00C16DEA" w:rsidRPr="00987F15" w:rsidSect="0072028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95" w:rsidRDefault="00917D95" w:rsidP="00124A51">
      <w:r>
        <w:separator/>
      </w:r>
    </w:p>
  </w:endnote>
  <w:endnote w:type="continuationSeparator" w:id="0">
    <w:p w:rsidR="00917D95" w:rsidRDefault="00917D9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5" w:rsidRDefault="00917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10737"/>
      <w:docPartObj>
        <w:docPartGallery w:val="Page Numbers (Bottom of Page)"/>
        <w:docPartUnique/>
      </w:docPartObj>
    </w:sdtPr>
    <w:sdtEndPr>
      <w:rPr>
        <w:noProof/>
      </w:rPr>
    </w:sdtEndPr>
    <w:sdtContent>
      <w:p w:rsidR="00917D95" w:rsidRDefault="00917D95" w:rsidP="00C51ABC">
        <w:pPr>
          <w:pStyle w:val="Footer"/>
          <w:jc w:val="center"/>
        </w:pPr>
      </w:p>
      <w:p w:rsidR="00917D95" w:rsidRDefault="00917D95" w:rsidP="00C51ABC">
        <w:pPr>
          <w:pStyle w:val="Footer"/>
          <w:jc w:val="center"/>
        </w:pPr>
        <w:r>
          <w:fldChar w:fldCharType="begin"/>
        </w:r>
        <w:r>
          <w:instrText xml:space="preserve"> PAGE   \* MERGEFORMAT </w:instrText>
        </w:r>
        <w:r>
          <w:fldChar w:fldCharType="separate"/>
        </w:r>
        <w:r w:rsidR="001D56F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5" w:rsidRDefault="00917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95" w:rsidRDefault="00917D95" w:rsidP="00124A51">
      <w:r>
        <w:separator/>
      </w:r>
    </w:p>
  </w:footnote>
  <w:footnote w:type="continuationSeparator" w:id="0">
    <w:p w:rsidR="00917D95" w:rsidRDefault="00917D95" w:rsidP="00124A51">
      <w:r>
        <w:continuationSeparator/>
      </w:r>
    </w:p>
  </w:footnote>
  <w:footnote w:id="1">
    <w:p w:rsidR="00917D95" w:rsidRPr="00DA187A" w:rsidRDefault="00917D95" w:rsidP="009D6B57">
      <w:pPr>
        <w:pStyle w:val="FootnoteText"/>
        <w:rPr>
          <w:lang w:val="en-US"/>
        </w:rPr>
      </w:pPr>
      <w:r w:rsidRPr="00D64ACB">
        <w:rPr>
          <w:rStyle w:val="FootnoteReference"/>
          <w:rFonts w:ascii="Arial Narrow" w:hAnsi="Arial Narrow"/>
        </w:rPr>
        <w:footnoteRef/>
      </w:r>
      <w:r w:rsidRPr="00D64ACB">
        <w:rPr>
          <w:rFonts w:ascii="Arial Narrow" w:hAnsi="Arial Narrow"/>
        </w:rPr>
        <w:t xml:space="preserve"> </w:t>
      </w:r>
      <w:r w:rsidRPr="00D64ACB">
        <w:rPr>
          <w:rFonts w:ascii="Arial Narrow" w:hAnsi="Arial Narrow"/>
          <w:sz w:val="18"/>
        </w:rPr>
        <w:t>Rochwerg B, Neupane B, Zhang Y, Garcia CC, Raghu G, Richeldi L, Brozek J, Beyene J, and Schünemann. Treatment of idiopathic pulmonary fibrosis: a network meta-analysis. BMC Medicine, 2016; 14: 18</w:t>
      </w:r>
    </w:p>
  </w:footnote>
  <w:footnote w:id="2">
    <w:p w:rsidR="00917D95" w:rsidRPr="001271A2" w:rsidRDefault="00917D95" w:rsidP="004A5276">
      <w:pPr>
        <w:pStyle w:val="FootnoteText"/>
        <w:rPr>
          <w:rFonts w:ascii="Arial Narrow" w:hAnsi="Arial Narrow"/>
          <w:sz w:val="18"/>
          <w:szCs w:val="18"/>
        </w:rPr>
      </w:pPr>
      <w:r w:rsidRPr="001271A2">
        <w:rPr>
          <w:rStyle w:val="FootnoteReference"/>
          <w:rFonts w:ascii="Arial Narrow" w:hAnsi="Arial Narrow"/>
          <w:sz w:val="18"/>
          <w:szCs w:val="18"/>
        </w:rPr>
        <w:footnoteRef/>
      </w:r>
      <w:r w:rsidRPr="001271A2">
        <w:rPr>
          <w:rFonts w:ascii="Arial Narrow" w:hAnsi="Arial Narrow"/>
          <w:sz w:val="18"/>
          <w:szCs w:val="18"/>
        </w:rPr>
        <w:t xml:space="preserve"> Rogliani P, Calzetta L, Cavalli F et al. Pirfenidone, nintedanib and N-acetylcysteine for the treatment of idiopathic pulmonary fibrosis: A systematic review and meta-analysis. Pulmonary </w:t>
      </w:r>
      <w:r>
        <w:rPr>
          <w:rFonts w:ascii="Arial Narrow" w:hAnsi="Arial Narrow"/>
          <w:sz w:val="18"/>
          <w:szCs w:val="18"/>
        </w:rPr>
        <w:t>Pharmacology &amp; Therapeutics 40(</w:t>
      </w:r>
      <w:r w:rsidRPr="001271A2">
        <w:rPr>
          <w:rFonts w:ascii="Arial Narrow" w:hAnsi="Arial Narrow"/>
          <w:sz w:val="18"/>
          <w:szCs w:val="18"/>
        </w:rPr>
        <w:t>2016): 95-103.</w:t>
      </w:r>
    </w:p>
  </w:footnote>
  <w:footnote w:id="3">
    <w:p w:rsidR="00917D95" w:rsidRPr="00D34419" w:rsidRDefault="00917D95" w:rsidP="007261C1">
      <w:pPr>
        <w:pStyle w:val="FootnoteText"/>
        <w:rPr>
          <w:rFonts w:ascii="Arial Narrow" w:hAnsi="Arial Narrow"/>
          <w:sz w:val="20"/>
          <w:szCs w:val="20"/>
          <w:lang w:val="en-US"/>
        </w:rPr>
      </w:pPr>
      <w:r w:rsidRPr="00D34419">
        <w:rPr>
          <w:rStyle w:val="FootnoteReference"/>
          <w:rFonts w:ascii="Arial Narrow" w:hAnsi="Arial Narrow"/>
          <w:sz w:val="20"/>
          <w:szCs w:val="20"/>
        </w:rPr>
        <w:footnoteRef/>
      </w:r>
      <w:r w:rsidRPr="00D34419">
        <w:rPr>
          <w:rFonts w:ascii="Arial Narrow" w:hAnsi="Arial Narrow"/>
          <w:sz w:val="20"/>
          <w:szCs w:val="20"/>
        </w:rPr>
        <w:t xml:space="preserve"> Austin PC. An introduction to propensity score methods for reducing the effects of confounding in observational studies. Multivariate Behav Res. 2011: 46(30</w:t>
      </w:r>
      <w:r>
        <w:rPr>
          <w:rFonts w:ascii="Arial Narrow" w:hAnsi="Arial Narrow"/>
          <w:sz w:val="20"/>
          <w:szCs w:val="20"/>
        </w:rPr>
        <w:t>).</w:t>
      </w:r>
    </w:p>
  </w:footnote>
  <w:footnote w:id="4">
    <w:p w:rsidR="00917D95" w:rsidRPr="002F6883" w:rsidRDefault="00917D95" w:rsidP="00FB27CB">
      <w:pPr>
        <w:pStyle w:val="FootnoteText"/>
        <w:rPr>
          <w:rFonts w:ascii="Arial Narrow" w:hAnsi="Arial Narrow"/>
          <w:sz w:val="20"/>
          <w:szCs w:val="20"/>
        </w:rPr>
      </w:pPr>
      <w:r w:rsidRPr="002F6883">
        <w:rPr>
          <w:rStyle w:val="FootnoteReference"/>
          <w:rFonts w:ascii="Arial Narrow" w:hAnsi="Arial Narrow"/>
          <w:sz w:val="20"/>
          <w:szCs w:val="20"/>
        </w:rPr>
        <w:footnoteRef/>
      </w:r>
      <w:r w:rsidRPr="002F6883">
        <w:rPr>
          <w:rFonts w:ascii="Arial Narrow" w:hAnsi="Arial Narrow"/>
          <w:sz w:val="20"/>
          <w:szCs w:val="20"/>
        </w:rPr>
        <w:t xml:space="preserve"> </w:t>
      </w:r>
      <w:r w:rsidRPr="002F6883">
        <w:rPr>
          <w:rFonts w:ascii="Arial Narrow" w:hAnsi="Arial Narrow"/>
          <w:i/>
          <w:sz w:val="20"/>
          <w:szCs w:val="20"/>
        </w:rPr>
        <w:t>An Official ATS/ERS/JRS/ALAT Clinical Practice Guideline: Treatment of Idiopathic Pulmonary Fibrosis. An Update of the 2011 Clinical Practice Guideline.</w:t>
      </w:r>
      <w:r w:rsidRPr="002F6883">
        <w:rPr>
          <w:rFonts w:ascii="Arial Narrow" w:hAnsi="Arial Narrow"/>
          <w:sz w:val="20"/>
          <w:szCs w:val="20"/>
        </w:rPr>
        <w:t xml:space="preserve"> Raghu et al. April 2015. </w:t>
      </w:r>
      <w:r w:rsidRPr="00F60B7B">
        <w:rPr>
          <w:rFonts w:ascii="Arial Narrow" w:hAnsi="Arial Narrow"/>
          <w:sz w:val="20"/>
          <w:szCs w:val="20"/>
        </w:rPr>
        <w:t>https://www.thoracic.org/statements/resources/interstitial-lung-disease/IPF-Full-length.pdf</w:t>
      </w:r>
      <w:r w:rsidRPr="002F6883">
        <w:rPr>
          <w:rFonts w:ascii="Arial Narrow" w:hAnsi="Arial Narrow"/>
          <w:sz w:val="20"/>
          <w:szCs w:val="20"/>
        </w:rPr>
        <w:t xml:space="preserve">. </w:t>
      </w:r>
    </w:p>
  </w:footnote>
  <w:footnote w:id="5">
    <w:p w:rsidR="00917D95" w:rsidRPr="00B65FB4" w:rsidRDefault="00917D95">
      <w:pPr>
        <w:pStyle w:val="FootnoteText"/>
        <w:rPr>
          <w:rFonts w:ascii="Arial Narrow" w:hAnsi="Arial Narrow"/>
          <w:sz w:val="20"/>
          <w:szCs w:val="20"/>
        </w:rPr>
      </w:pPr>
      <w:r w:rsidRPr="00B65FB4">
        <w:rPr>
          <w:rStyle w:val="FootnoteReference"/>
          <w:rFonts w:ascii="Arial Narrow" w:hAnsi="Arial Narrow"/>
          <w:sz w:val="20"/>
          <w:szCs w:val="20"/>
        </w:rPr>
        <w:footnoteRef/>
      </w:r>
      <w:r w:rsidRPr="00B65FB4">
        <w:rPr>
          <w:rFonts w:ascii="Arial Narrow" w:hAnsi="Arial Narrow"/>
          <w:sz w:val="20"/>
          <w:szCs w:val="20"/>
        </w:rPr>
        <w:t xml:space="preserve"> Karimi-Shah BA, Chowdhury BA. Forced vital capacity in idiopathic pulmonary fibrosis-FDA review of pirfenidone and nintedanib. The New England Journal of Medicine. 2015;372(13):1189-91.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5" w:rsidRDefault="00917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5" w:rsidRDefault="00917D95" w:rsidP="00A776AF">
    <w:pPr>
      <w:pStyle w:val="Header"/>
      <w:jc w:val="center"/>
      <w:rPr>
        <w:i/>
      </w:rPr>
    </w:pPr>
    <w:r>
      <w:rPr>
        <w:i/>
      </w:rPr>
      <w:t>Public Summary Document – November 2016 PBAC Meeting</w:t>
    </w:r>
  </w:p>
  <w:p w:rsidR="00917D95" w:rsidRPr="00A776AF" w:rsidRDefault="00917D95" w:rsidP="00C91E12">
    <w:pPr>
      <w:pStyle w:val="Header"/>
      <w:rPr>
        <w:i/>
      </w:rPr>
    </w:pP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5" w:rsidRDefault="00917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E16D2E"/>
    <w:multiLevelType w:val="hybridMultilevel"/>
    <w:tmpl w:val="3BC44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EB7D03"/>
    <w:multiLevelType w:val="hybridMultilevel"/>
    <w:tmpl w:val="7DA6D9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1825445"/>
    <w:multiLevelType w:val="hybridMultilevel"/>
    <w:tmpl w:val="5770F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F02D50"/>
    <w:multiLevelType w:val="hybridMultilevel"/>
    <w:tmpl w:val="05DA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870776"/>
    <w:multiLevelType w:val="hybridMultilevel"/>
    <w:tmpl w:val="B3AA3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C651AF"/>
    <w:multiLevelType w:val="hybridMultilevel"/>
    <w:tmpl w:val="21869C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FD477F"/>
    <w:multiLevelType w:val="hybridMultilevel"/>
    <w:tmpl w:val="496E90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782915"/>
    <w:multiLevelType w:val="hybridMultilevel"/>
    <w:tmpl w:val="90F478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575E4F"/>
    <w:multiLevelType w:val="hybridMultilevel"/>
    <w:tmpl w:val="F410AAA4"/>
    <w:lvl w:ilvl="0" w:tplc="A25410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C846F5"/>
    <w:multiLevelType w:val="hybridMultilevel"/>
    <w:tmpl w:val="ECECC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5F4A5B"/>
    <w:multiLevelType w:val="multilevel"/>
    <w:tmpl w:val="C7C8C6E2"/>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5716561"/>
    <w:multiLevelType w:val="hybridMultilevel"/>
    <w:tmpl w:val="25FA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397B25"/>
    <w:multiLevelType w:val="hybridMultilevel"/>
    <w:tmpl w:val="02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D2836"/>
    <w:multiLevelType w:val="hybridMultilevel"/>
    <w:tmpl w:val="A3AEC804"/>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8">
    <w:nsid w:val="478C7855"/>
    <w:multiLevelType w:val="hybridMultilevel"/>
    <w:tmpl w:val="66AEC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2E3281"/>
    <w:multiLevelType w:val="hybridMultilevel"/>
    <w:tmpl w:val="96EEB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404392"/>
    <w:multiLevelType w:val="hybridMultilevel"/>
    <w:tmpl w:val="A9F80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7D5D3F"/>
    <w:multiLevelType w:val="hybridMultilevel"/>
    <w:tmpl w:val="E9E22C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AC218FF"/>
    <w:multiLevelType w:val="hybridMultilevel"/>
    <w:tmpl w:val="25C6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26F08"/>
    <w:multiLevelType w:val="hybridMultilevel"/>
    <w:tmpl w:val="899E12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63155DDA"/>
    <w:multiLevelType w:val="hybridMultilevel"/>
    <w:tmpl w:val="61BA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8278D"/>
    <w:multiLevelType w:val="hybridMultilevel"/>
    <w:tmpl w:val="31FAC2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41F5076"/>
    <w:multiLevelType w:val="hybridMultilevel"/>
    <w:tmpl w:val="E0D6338E"/>
    <w:lvl w:ilvl="0" w:tplc="0C090001">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65053B0B"/>
    <w:multiLevelType w:val="hybridMultilevel"/>
    <w:tmpl w:val="CF42CB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C9F6F0F"/>
    <w:multiLevelType w:val="hybridMultilevel"/>
    <w:tmpl w:val="E6F04948"/>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1">
    <w:nsid w:val="77BB2001"/>
    <w:multiLevelType w:val="hybridMultilevel"/>
    <w:tmpl w:val="FF1C7E64"/>
    <w:lvl w:ilvl="0" w:tplc="0C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D033C"/>
    <w:multiLevelType w:val="multilevel"/>
    <w:tmpl w:val="3BBE6DC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C5779B4"/>
    <w:multiLevelType w:val="multilevel"/>
    <w:tmpl w:val="547CAF1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trike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E351298"/>
    <w:multiLevelType w:val="hybridMultilevel"/>
    <w:tmpl w:val="C48221BC"/>
    <w:lvl w:ilvl="0" w:tplc="0809001B">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2"/>
  </w:num>
  <w:num w:numId="3">
    <w:abstractNumId w:val="23"/>
  </w:num>
  <w:num w:numId="4">
    <w:abstractNumId w:val="14"/>
  </w:num>
  <w:num w:numId="5">
    <w:abstractNumId w:val="16"/>
  </w:num>
  <w:num w:numId="6">
    <w:abstractNumId w:val="18"/>
  </w:num>
  <w:num w:numId="7">
    <w:abstractNumId w:val="20"/>
  </w:num>
  <w:num w:numId="8">
    <w:abstractNumId w:val="21"/>
  </w:num>
  <w:num w:numId="9">
    <w:abstractNumId w:val="26"/>
  </w:num>
  <w:num w:numId="10">
    <w:abstractNumId w:val="7"/>
  </w:num>
  <w:num w:numId="11">
    <w:abstractNumId w:val="10"/>
  </w:num>
  <w:num w:numId="12">
    <w:abstractNumId w:val="24"/>
  </w:num>
  <w:num w:numId="13">
    <w:abstractNumId w:val="4"/>
  </w:num>
  <w:num w:numId="14">
    <w:abstractNumId w:val="17"/>
  </w:num>
  <w:num w:numId="15">
    <w:abstractNumId w:val="6"/>
  </w:num>
  <w:num w:numId="16">
    <w:abstractNumId w:val="19"/>
  </w:num>
  <w:num w:numId="17">
    <w:abstractNumId w:val="30"/>
  </w:num>
  <w:num w:numId="18">
    <w:abstractNumId w:val="34"/>
  </w:num>
  <w:num w:numId="19">
    <w:abstractNumId w:val="22"/>
  </w:num>
  <w:num w:numId="20">
    <w:abstractNumId w:val="3"/>
  </w:num>
  <w:num w:numId="21">
    <w:abstractNumId w:val="0"/>
  </w:num>
  <w:num w:numId="22">
    <w:abstractNumId w:val="9"/>
  </w:num>
  <w:num w:numId="23">
    <w:abstractNumId w:val="28"/>
  </w:num>
  <w:num w:numId="24">
    <w:abstractNumId w:val="32"/>
  </w:num>
  <w:num w:numId="25">
    <w:abstractNumId w:val="32"/>
  </w:num>
  <w:num w:numId="26">
    <w:abstractNumId w:val="27"/>
  </w:num>
  <w:num w:numId="27">
    <w:abstractNumId w:val="12"/>
  </w:num>
  <w:num w:numId="28">
    <w:abstractNumId w:val="11"/>
  </w:num>
  <w:num w:numId="29">
    <w:abstractNumId w:val="29"/>
  </w:num>
  <w:num w:numId="30">
    <w:abstractNumId w:val="25"/>
  </w:num>
  <w:num w:numId="31">
    <w:abstractNumId w:val="31"/>
  </w:num>
  <w:num w:numId="32">
    <w:abstractNumId w:val="13"/>
  </w:num>
  <w:num w:numId="33">
    <w:abstractNumId w:val="32"/>
  </w:num>
  <w:num w:numId="34">
    <w:abstractNumId w:val="15"/>
  </w:num>
  <w:num w:numId="35">
    <w:abstractNumId w:val="33"/>
  </w:num>
  <w:num w:numId="36">
    <w:abstractNumId w:val="8"/>
  </w:num>
  <w:num w:numId="37">
    <w:abstractNumId w:val="5"/>
  </w:num>
  <w:num w:numId="38">
    <w:abstractNumId w:val="1"/>
  </w:num>
  <w:num w:numId="39">
    <w:abstractNumId w:val="32"/>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CA7"/>
    <w:rsid w:val="0000110B"/>
    <w:rsid w:val="0000125D"/>
    <w:rsid w:val="00002CAE"/>
    <w:rsid w:val="00003BD1"/>
    <w:rsid w:val="00004C50"/>
    <w:rsid w:val="00004D1D"/>
    <w:rsid w:val="00004E6E"/>
    <w:rsid w:val="00006012"/>
    <w:rsid w:val="00007A94"/>
    <w:rsid w:val="000112E9"/>
    <w:rsid w:val="00011429"/>
    <w:rsid w:val="00013247"/>
    <w:rsid w:val="00013A45"/>
    <w:rsid w:val="000140AD"/>
    <w:rsid w:val="00015886"/>
    <w:rsid w:val="00015AEA"/>
    <w:rsid w:val="000162EF"/>
    <w:rsid w:val="0001653A"/>
    <w:rsid w:val="00021C88"/>
    <w:rsid w:val="0002225F"/>
    <w:rsid w:val="000236E9"/>
    <w:rsid w:val="00023763"/>
    <w:rsid w:val="00023EC8"/>
    <w:rsid w:val="00025FE3"/>
    <w:rsid w:val="000263A2"/>
    <w:rsid w:val="00032BA8"/>
    <w:rsid w:val="000351CE"/>
    <w:rsid w:val="0003626D"/>
    <w:rsid w:val="00036A61"/>
    <w:rsid w:val="00037E13"/>
    <w:rsid w:val="000400FE"/>
    <w:rsid w:val="00040895"/>
    <w:rsid w:val="00040999"/>
    <w:rsid w:val="00041F56"/>
    <w:rsid w:val="0004231D"/>
    <w:rsid w:val="00043C37"/>
    <w:rsid w:val="000450A7"/>
    <w:rsid w:val="00046CB0"/>
    <w:rsid w:val="00046D75"/>
    <w:rsid w:val="00050C77"/>
    <w:rsid w:val="0005400A"/>
    <w:rsid w:val="00054201"/>
    <w:rsid w:val="000546D7"/>
    <w:rsid w:val="00054891"/>
    <w:rsid w:val="00054CA9"/>
    <w:rsid w:val="000561EC"/>
    <w:rsid w:val="000561F1"/>
    <w:rsid w:val="0006040C"/>
    <w:rsid w:val="0006103E"/>
    <w:rsid w:val="0006155F"/>
    <w:rsid w:val="00063DC0"/>
    <w:rsid w:val="0006404C"/>
    <w:rsid w:val="00066225"/>
    <w:rsid w:val="00066B5E"/>
    <w:rsid w:val="00070F52"/>
    <w:rsid w:val="00071248"/>
    <w:rsid w:val="00071BF2"/>
    <w:rsid w:val="000720B9"/>
    <w:rsid w:val="0007340C"/>
    <w:rsid w:val="00074245"/>
    <w:rsid w:val="0007627C"/>
    <w:rsid w:val="00077EF3"/>
    <w:rsid w:val="000812CA"/>
    <w:rsid w:val="000824A1"/>
    <w:rsid w:val="000831D0"/>
    <w:rsid w:val="0008401F"/>
    <w:rsid w:val="000873AF"/>
    <w:rsid w:val="00090C7E"/>
    <w:rsid w:val="00091502"/>
    <w:rsid w:val="0009248F"/>
    <w:rsid w:val="0009372D"/>
    <w:rsid w:val="00094F46"/>
    <w:rsid w:val="000A010D"/>
    <w:rsid w:val="000A19B2"/>
    <w:rsid w:val="000A37A0"/>
    <w:rsid w:val="000A4C66"/>
    <w:rsid w:val="000A5896"/>
    <w:rsid w:val="000A6945"/>
    <w:rsid w:val="000B30FA"/>
    <w:rsid w:val="000B36B1"/>
    <w:rsid w:val="000B5079"/>
    <w:rsid w:val="000B56CB"/>
    <w:rsid w:val="000B69BC"/>
    <w:rsid w:val="000C0CAD"/>
    <w:rsid w:val="000C14E9"/>
    <w:rsid w:val="000C36C2"/>
    <w:rsid w:val="000C37D0"/>
    <w:rsid w:val="000C3F3A"/>
    <w:rsid w:val="000C4269"/>
    <w:rsid w:val="000C4A66"/>
    <w:rsid w:val="000C5526"/>
    <w:rsid w:val="000C599B"/>
    <w:rsid w:val="000C5B5C"/>
    <w:rsid w:val="000D1BFC"/>
    <w:rsid w:val="000D3D7A"/>
    <w:rsid w:val="000D41C7"/>
    <w:rsid w:val="000D45E5"/>
    <w:rsid w:val="000E05BF"/>
    <w:rsid w:val="000E0641"/>
    <w:rsid w:val="000E1387"/>
    <w:rsid w:val="000E1424"/>
    <w:rsid w:val="000E28B9"/>
    <w:rsid w:val="000E675F"/>
    <w:rsid w:val="000E74B7"/>
    <w:rsid w:val="000F1114"/>
    <w:rsid w:val="000F16C5"/>
    <w:rsid w:val="000F1A92"/>
    <w:rsid w:val="000F2F47"/>
    <w:rsid w:val="000F2F5C"/>
    <w:rsid w:val="000F531D"/>
    <w:rsid w:val="000F5BDF"/>
    <w:rsid w:val="000F5C03"/>
    <w:rsid w:val="000F7D3A"/>
    <w:rsid w:val="00100F8A"/>
    <w:rsid w:val="001022DC"/>
    <w:rsid w:val="00105075"/>
    <w:rsid w:val="0011032E"/>
    <w:rsid w:val="00112C90"/>
    <w:rsid w:val="00116B4C"/>
    <w:rsid w:val="00116B50"/>
    <w:rsid w:val="00116DE1"/>
    <w:rsid w:val="00117389"/>
    <w:rsid w:val="00121220"/>
    <w:rsid w:val="001214AC"/>
    <w:rsid w:val="00121799"/>
    <w:rsid w:val="001222FC"/>
    <w:rsid w:val="001229CC"/>
    <w:rsid w:val="0012442B"/>
    <w:rsid w:val="00124A51"/>
    <w:rsid w:val="00126621"/>
    <w:rsid w:val="00126E1F"/>
    <w:rsid w:val="001271A2"/>
    <w:rsid w:val="00127A17"/>
    <w:rsid w:val="00127D00"/>
    <w:rsid w:val="001301E9"/>
    <w:rsid w:val="00130352"/>
    <w:rsid w:val="0013037E"/>
    <w:rsid w:val="00130585"/>
    <w:rsid w:val="0013120D"/>
    <w:rsid w:val="0013122C"/>
    <w:rsid w:val="00136314"/>
    <w:rsid w:val="00136AE4"/>
    <w:rsid w:val="001372B3"/>
    <w:rsid w:val="00137645"/>
    <w:rsid w:val="0014015A"/>
    <w:rsid w:val="001406CF"/>
    <w:rsid w:val="00140E99"/>
    <w:rsid w:val="00141ED5"/>
    <w:rsid w:val="0014414A"/>
    <w:rsid w:val="0014543E"/>
    <w:rsid w:val="001456B0"/>
    <w:rsid w:val="00146EB1"/>
    <w:rsid w:val="001500D3"/>
    <w:rsid w:val="00152F61"/>
    <w:rsid w:val="001530E7"/>
    <w:rsid w:val="00153527"/>
    <w:rsid w:val="00154B9E"/>
    <w:rsid w:val="00155C48"/>
    <w:rsid w:val="00157130"/>
    <w:rsid w:val="00160C04"/>
    <w:rsid w:val="0016117B"/>
    <w:rsid w:val="00162913"/>
    <w:rsid w:val="00162E60"/>
    <w:rsid w:val="00163EFF"/>
    <w:rsid w:val="001661FB"/>
    <w:rsid w:val="00166265"/>
    <w:rsid w:val="00171545"/>
    <w:rsid w:val="0017201B"/>
    <w:rsid w:val="00173B11"/>
    <w:rsid w:val="00175A2D"/>
    <w:rsid w:val="00175A3B"/>
    <w:rsid w:val="00175CF6"/>
    <w:rsid w:val="00176A08"/>
    <w:rsid w:val="001801BB"/>
    <w:rsid w:val="0018022B"/>
    <w:rsid w:val="00180A43"/>
    <w:rsid w:val="00184010"/>
    <w:rsid w:val="0019247B"/>
    <w:rsid w:val="00195222"/>
    <w:rsid w:val="001971A6"/>
    <w:rsid w:val="001975D8"/>
    <w:rsid w:val="00197B92"/>
    <w:rsid w:val="001A03BC"/>
    <w:rsid w:val="001A08D1"/>
    <w:rsid w:val="001A30EB"/>
    <w:rsid w:val="001A429E"/>
    <w:rsid w:val="001A467B"/>
    <w:rsid w:val="001A692E"/>
    <w:rsid w:val="001A7709"/>
    <w:rsid w:val="001B04A2"/>
    <w:rsid w:val="001B2D68"/>
    <w:rsid w:val="001B329D"/>
    <w:rsid w:val="001B3443"/>
    <w:rsid w:val="001B37D9"/>
    <w:rsid w:val="001B4487"/>
    <w:rsid w:val="001B5137"/>
    <w:rsid w:val="001B6188"/>
    <w:rsid w:val="001B7548"/>
    <w:rsid w:val="001C0CC2"/>
    <w:rsid w:val="001C1030"/>
    <w:rsid w:val="001C1097"/>
    <w:rsid w:val="001C13FC"/>
    <w:rsid w:val="001C14B4"/>
    <w:rsid w:val="001C2D1D"/>
    <w:rsid w:val="001C41DE"/>
    <w:rsid w:val="001C4E02"/>
    <w:rsid w:val="001C5A2F"/>
    <w:rsid w:val="001C6E66"/>
    <w:rsid w:val="001D112E"/>
    <w:rsid w:val="001D1CF3"/>
    <w:rsid w:val="001D2975"/>
    <w:rsid w:val="001D36E1"/>
    <w:rsid w:val="001D4C4D"/>
    <w:rsid w:val="001D56F3"/>
    <w:rsid w:val="001D6F9F"/>
    <w:rsid w:val="001E0DB9"/>
    <w:rsid w:val="001E202C"/>
    <w:rsid w:val="001E238E"/>
    <w:rsid w:val="001E2DF1"/>
    <w:rsid w:val="001E357E"/>
    <w:rsid w:val="001E38F3"/>
    <w:rsid w:val="001E489D"/>
    <w:rsid w:val="001E4C6A"/>
    <w:rsid w:val="001E52EB"/>
    <w:rsid w:val="001E740C"/>
    <w:rsid w:val="001F1235"/>
    <w:rsid w:val="001F1CB3"/>
    <w:rsid w:val="001F4A83"/>
    <w:rsid w:val="001F7361"/>
    <w:rsid w:val="002025FE"/>
    <w:rsid w:val="00204A0F"/>
    <w:rsid w:val="002054CC"/>
    <w:rsid w:val="00206A09"/>
    <w:rsid w:val="002105C1"/>
    <w:rsid w:val="00211398"/>
    <w:rsid w:val="002209ED"/>
    <w:rsid w:val="00222705"/>
    <w:rsid w:val="00223B49"/>
    <w:rsid w:val="00224DD4"/>
    <w:rsid w:val="00225A3D"/>
    <w:rsid w:val="002301BB"/>
    <w:rsid w:val="002304E5"/>
    <w:rsid w:val="002309CC"/>
    <w:rsid w:val="002319DF"/>
    <w:rsid w:val="00231E18"/>
    <w:rsid w:val="002349A1"/>
    <w:rsid w:val="00235BF2"/>
    <w:rsid w:val="00237608"/>
    <w:rsid w:val="00242B88"/>
    <w:rsid w:val="002453E9"/>
    <w:rsid w:val="00245D4D"/>
    <w:rsid w:val="00245E48"/>
    <w:rsid w:val="002469B8"/>
    <w:rsid w:val="00246B81"/>
    <w:rsid w:val="00246BB7"/>
    <w:rsid w:val="0025012B"/>
    <w:rsid w:val="00250577"/>
    <w:rsid w:val="00250A16"/>
    <w:rsid w:val="002541F9"/>
    <w:rsid w:val="0025534B"/>
    <w:rsid w:val="002554A3"/>
    <w:rsid w:val="00255BB7"/>
    <w:rsid w:val="00256A43"/>
    <w:rsid w:val="002570C5"/>
    <w:rsid w:val="00257E58"/>
    <w:rsid w:val="002602FF"/>
    <w:rsid w:val="00261CE8"/>
    <w:rsid w:val="00262A87"/>
    <w:rsid w:val="002630C2"/>
    <w:rsid w:val="0026366B"/>
    <w:rsid w:val="0026520C"/>
    <w:rsid w:val="002652C7"/>
    <w:rsid w:val="00265CFD"/>
    <w:rsid w:val="00267AA7"/>
    <w:rsid w:val="00267DC4"/>
    <w:rsid w:val="002716D7"/>
    <w:rsid w:val="00271B6A"/>
    <w:rsid w:val="00275C5A"/>
    <w:rsid w:val="00276B7D"/>
    <w:rsid w:val="00290C20"/>
    <w:rsid w:val="00291A1C"/>
    <w:rsid w:val="00292D0F"/>
    <w:rsid w:val="0029309A"/>
    <w:rsid w:val="00293952"/>
    <w:rsid w:val="0029433D"/>
    <w:rsid w:val="00296719"/>
    <w:rsid w:val="002977EE"/>
    <w:rsid w:val="002A14AB"/>
    <w:rsid w:val="002A4D91"/>
    <w:rsid w:val="002A77F9"/>
    <w:rsid w:val="002B06A3"/>
    <w:rsid w:val="002B1C1F"/>
    <w:rsid w:val="002B2610"/>
    <w:rsid w:val="002B333A"/>
    <w:rsid w:val="002B3BD4"/>
    <w:rsid w:val="002B3D39"/>
    <w:rsid w:val="002B432F"/>
    <w:rsid w:val="002B4B14"/>
    <w:rsid w:val="002B6CCE"/>
    <w:rsid w:val="002C061B"/>
    <w:rsid w:val="002C1F5D"/>
    <w:rsid w:val="002C27C1"/>
    <w:rsid w:val="002C2923"/>
    <w:rsid w:val="002C3A23"/>
    <w:rsid w:val="002C3A68"/>
    <w:rsid w:val="002C4E4E"/>
    <w:rsid w:val="002C6B9E"/>
    <w:rsid w:val="002C7483"/>
    <w:rsid w:val="002D1171"/>
    <w:rsid w:val="002D19F1"/>
    <w:rsid w:val="002D46B3"/>
    <w:rsid w:val="002E177C"/>
    <w:rsid w:val="002E18C6"/>
    <w:rsid w:val="002E3730"/>
    <w:rsid w:val="002E60C9"/>
    <w:rsid w:val="002F02FD"/>
    <w:rsid w:val="002F342A"/>
    <w:rsid w:val="002F3ADF"/>
    <w:rsid w:val="002F4944"/>
    <w:rsid w:val="002F5C70"/>
    <w:rsid w:val="002F6883"/>
    <w:rsid w:val="002F78BD"/>
    <w:rsid w:val="00300A2A"/>
    <w:rsid w:val="00301017"/>
    <w:rsid w:val="003062DD"/>
    <w:rsid w:val="0030786C"/>
    <w:rsid w:val="0031031A"/>
    <w:rsid w:val="0031165F"/>
    <w:rsid w:val="00311AEC"/>
    <w:rsid w:val="00315498"/>
    <w:rsid w:val="00316AED"/>
    <w:rsid w:val="00317087"/>
    <w:rsid w:val="003177C3"/>
    <w:rsid w:val="00317CE1"/>
    <w:rsid w:val="00321ABB"/>
    <w:rsid w:val="0032414C"/>
    <w:rsid w:val="003247A8"/>
    <w:rsid w:val="0032558D"/>
    <w:rsid w:val="00326D4E"/>
    <w:rsid w:val="0033016A"/>
    <w:rsid w:val="00330513"/>
    <w:rsid w:val="00330DB8"/>
    <w:rsid w:val="00330E86"/>
    <w:rsid w:val="00333009"/>
    <w:rsid w:val="00333F46"/>
    <w:rsid w:val="003366C9"/>
    <w:rsid w:val="003408EF"/>
    <w:rsid w:val="003411B7"/>
    <w:rsid w:val="003432BC"/>
    <w:rsid w:val="00344FEE"/>
    <w:rsid w:val="00347D53"/>
    <w:rsid w:val="0035025A"/>
    <w:rsid w:val="00350773"/>
    <w:rsid w:val="0035114D"/>
    <w:rsid w:val="00353730"/>
    <w:rsid w:val="00353B81"/>
    <w:rsid w:val="00355229"/>
    <w:rsid w:val="00355436"/>
    <w:rsid w:val="00355577"/>
    <w:rsid w:val="0035620E"/>
    <w:rsid w:val="00356296"/>
    <w:rsid w:val="00356A05"/>
    <w:rsid w:val="00361D35"/>
    <w:rsid w:val="00370407"/>
    <w:rsid w:val="00371776"/>
    <w:rsid w:val="00372BED"/>
    <w:rsid w:val="00374D3B"/>
    <w:rsid w:val="00376A02"/>
    <w:rsid w:val="00376B73"/>
    <w:rsid w:val="00377624"/>
    <w:rsid w:val="003809CC"/>
    <w:rsid w:val="00381535"/>
    <w:rsid w:val="0038365C"/>
    <w:rsid w:val="00383714"/>
    <w:rsid w:val="003844EA"/>
    <w:rsid w:val="00390E69"/>
    <w:rsid w:val="0039273D"/>
    <w:rsid w:val="00393F75"/>
    <w:rsid w:val="0039413B"/>
    <w:rsid w:val="00395F3D"/>
    <w:rsid w:val="00396FD0"/>
    <w:rsid w:val="00397493"/>
    <w:rsid w:val="003978A1"/>
    <w:rsid w:val="003A1111"/>
    <w:rsid w:val="003A1A7A"/>
    <w:rsid w:val="003A1C7C"/>
    <w:rsid w:val="003A2C74"/>
    <w:rsid w:val="003A34D6"/>
    <w:rsid w:val="003A4BCA"/>
    <w:rsid w:val="003A5A35"/>
    <w:rsid w:val="003A7D60"/>
    <w:rsid w:val="003B3CB1"/>
    <w:rsid w:val="003B5CCF"/>
    <w:rsid w:val="003B5D2C"/>
    <w:rsid w:val="003B608B"/>
    <w:rsid w:val="003B694B"/>
    <w:rsid w:val="003B78F1"/>
    <w:rsid w:val="003C0076"/>
    <w:rsid w:val="003C17A7"/>
    <w:rsid w:val="003C549A"/>
    <w:rsid w:val="003C5F1F"/>
    <w:rsid w:val="003D03DE"/>
    <w:rsid w:val="003D110E"/>
    <w:rsid w:val="003D1828"/>
    <w:rsid w:val="003D2422"/>
    <w:rsid w:val="003D34D8"/>
    <w:rsid w:val="003D47B9"/>
    <w:rsid w:val="003D6A3B"/>
    <w:rsid w:val="003E1AFF"/>
    <w:rsid w:val="003E2452"/>
    <w:rsid w:val="003E28F7"/>
    <w:rsid w:val="003E61E5"/>
    <w:rsid w:val="003E703C"/>
    <w:rsid w:val="003E7535"/>
    <w:rsid w:val="003F01AE"/>
    <w:rsid w:val="003F1777"/>
    <w:rsid w:val="003F2B61"/>
    <w:rsid w:val="003F3DEB"/>
    <w:rsid w:val="003F4156"/>
    <w:rsid w:val="003F5526"/>
    <w:rsid w:val="003F6965"/>
    <w:rsid w:val="003F6F96"/>
    <w:rsid w:val="00402FB5"/>
    <w:rsid w:val="00403B3A"/>
    <w:rsid w:val="00407AFC"/>
    <w:rsid w:val="004102AF"/>
    <w:rsid w:val="00410EC7"/>
    <w:rsid w:val="00411535"/>
    <w:rsid w:val="00412285"/>
    <w:rsid w:val="00414370"/>
    <w:rsid w:val="00414476"/>
    <w:rsid w:val="00417E30"/>
    <w:rsid w:val="00420B9F"/>
    <w:rsid w:val="00421A7D"/>
    <w:rsid w:val="004227FC"/>
    <w:rsid w:val="00424501"/>
    <w:rsid w:val="00425CB2"/>
    <w:rsid w:val="004273B9"/>
    <w:rsid w:val="00427E0F"/>
    <w:rsid w:val="00431266"/>
    <w:rsid w:val="004319F8"/>
    <w:rsid w:val="00431C8B"/>
    <w:rsid w:val="00434601"/>
    <w:rsid w:val="00436253"/>
    <w:rsid w:val="004367A1"/>
    <w:rsid w:val="00436DD2"/>
    <w:rsid w:val="0044091F"/>
    <w:rsid w:val="004437CD"/>
    <w:rsid w:val="004443A7"/>
    <w:rsid w:val="00444C2A"/>
    <w:rsid w:val="004458AD"/>
    <w:rsid w:val="004464EB"/>
    <w:rsid w:val="004466D8"/>
    <w:rsid w:val="004473F0"/>
    <w:rsid w:val="00452C00"/>
    <w:rsid w:val="00453AB4"/>
    <w:rsid w:val="00454D64"/>
    <w:rsid w:val="00455D45"/>
    <w:rsid w:val="004569C8"/>
    <w:rsid w:val="004570D5"/>
    <w:rsid w:val="0046251C"/>
    <w:rsid w:val="00462BAD"/>
    <w:rsid w:val="0046340F"/>
    <w:rsid w:val="00464595"/>
    <w:rsid w:val="00471B74"/>
    <w:rsid w:val="00472359"/>
    <w:rsid w:val="0047456A"/>
    <w:rsid w:val="004747B6"/>
    <w:rsid w:val="004834AE"/>
    <w:rsid w:val="004838C1"/>
    <w:rsid w:val="004838D1"/>
    <w:rsid w:val="004843BD"/>
    <w:rsid w:val="004867E2"/>
    <w:rsid w:val="00486BDB"/>
    <w:rsid w:val="0048782A"/>
    <w:rsid w:val="00490813"/>
    <w:rsid w:val="00491B3A"/>
    <w:rsid w:val="00497F10"/>
    <w:rsid w:val="004A0DA1"/>
    <w:rsid w:val="004A12E8"/>
    <w:rsid w:val="004A2DC1"/>
    <w:rsid w:val="004A5276"/>
    <w:rsid w:val="004A5CFE"/>
    <w:rsid w:val="004A6010"/>
    <w:rsid w:val="004A6597"/>
    <w:rsid w:val="004A7281"/>
    <w:rsid w:val="004A7338"/>
    <w:rsid w:val="004B0D38"/>
    <w:rsid w:val="004B212C"/>
    <w:rsid w:val="004B2F18"/>
    <w:rsid w:val="004B359D"/>
    <w:rsid w:val="004B3DDB"/>
    <w:rsid w:val="004B44FD"/>
    <w:rsid w:val="004B5CFC"/>
    <w:rsid w:val="004B6FF8"/>
    <w:rsid w:val="004B7988"/>
    <w:rsid w:val="004C0B28"/>
    <w:rsid w:val="004C11FD"/>
    <w:rsid w:val="004C437A"/>
    <w:rsid w:val="004C45AB"/>
    <w:rsid w:val="004C4AED"/>
    <w:rsid w:val="004C67C2"/>
    <w:rsid w:val="004D1F96"/>
    <w:rsid w:val="004D35A8"/>
    <w:rsid w:val="004D35BD"/>
    <w:rsid w:val="004D44A7"/>
    <w:rsid w:val="004D4D5D"/>
    <w:rsid w:val="004E0451"/>
    <w:rsid w:val="004E0EB8"/>
    <w:rsid w:val="004E12FE"/>
    <w:rsid w:val="004E1778"/>
    <w:rsid w:val="004E2145"/>
    <w:rsid w:val="004E2ACA"/>
    <w:rsid w:val="004E2ADC"/>
    <w:rsid w:val="004E3C91"/>
    <w:rsid w:val="004E5B8C"/>
    <w:rsid w:val="004E7607"/>
    <w:rsid w:val="004F01B1"/>
    <w:rsid w:val="004F1D02"/>
    <w:rsid w:val="004F2679"/>
    <w:rsid w:val="004F3324"/>
    <w:rsid w:val="004F447A"/>
    <w:rsid w:val="004F4D43"/>
    <w:rsid w:val="004F531A"/>
    <w:rsid w:val="004F6E21"/>
    <w:rsid w:val="004F7083"/>
    <w:rsid w:val="004F7D03"/>
    <w:rsid w:val="005011C1"/>
    <w:rsid w:val="005029E5"/>
    <w:rsid w:val="00502FB7"/>
    <w:rsid w:val="00506E16"/>
    <w:rsid w:val="00507888"/>
    <w:rsid w:val="00507A82"/>
    <w:rsid w:val="00507CD3"/>
    <w:rsid w:val="005122DB"/>
    <w:rsid w:val="0051386F"/>
    <w:rsid w:val="005152B5"/>
    <w:rsid w:val="00516C46"/>
    <w:rsid w:val="00516F05"/>
    <w:rsid w:val="005172D4"/>
    <w:rsid w:val="005174C9"/>
    <w:rsid w:val="005212C2"/>
    <w:rsid w:val="00521319"/>
    <w:rsid w:val="00523C28"/>
    <w:rsid w:val="00530238"/>
    <w:rsid w:val="00530F02"/>
    <w:rsid w:val="005310D0"/>
    <w:rsid w:val="00531C64"/>
    <w:rsid w:val="00531F91"/>
    <w:rsid w:val="00532744"/>
    <w:rsid w:val="00533265"/>
    <w:rsid w:val="00533BFC"/>
    <w:rsid w:val="00536D07"/>
    <w:rsid w:val="0054093D"/>
    <w:rsid w:val="00542132"/>
    <w:rsid w:val="00543609"/>
    <w:rsid w:val="00543C3F"/>
    <w:rsid w:val="005516E9"/>
    <w:rsid w:val="00551727"/>
    <w:rsid w:val="0055253E"/>
    <w:rsid w:val="005532A1"/>
    <w:rsid w:val="005536C0"/>
    <w:rsid w:val="005538E9"/>
    <w:rsid w:val="00554153"/>
    <w:rsid w:val="00555109"/>
    <w:rsid w:val="00555146"/>
    <w:rsid w:val="00555C51"/>
    <w:rsid w:val="00560077"/>
    <w:rsid w:val="00560B1D"/>
    <w:rsid w:val="00561EB2"/>
    <w:rsid w:val="0056276A"/>
    <w:rsid w:val="005627F7"/>
    <w:rsid w:val="00565210"/>
    <w:rsid w:val="0056696F"/>
    <w:rsid w:val="00566F53"/>
    <w:rsid w:val="00567AB1"/>
    <w:rsid w:val="005752FD"/>
    <w:rsid w:val="005754A0"/>
    <w:rsid w:val="0057572A"/>
    <w:rsid w:val="0057586D"/>
    <w:rsid w:val="00576972"/>
    <w:rsid w:val="00577717"/>
    <w:rsid w:val="0057787E"/>
    <w:rsid w:val="005801E9"/>
    <w:rsid w:val="00581B6F"/>
    <w:rsid w:val="00582132"/>
    <w:rsid w:val="00583699"/>
    <w:rsid w:val="00584945"/>
    <w:rsid w:val="005900C6"/>
    <w:rsid w:val="005912BF"/>
    <w:rsid w:val="005915C4"/>
    <w:rsid w:val="005915F5"/>
    <w:rsid w:val="0059180A"/>
    <w:rsid w:val="0059382C"/>
    <w:rsid w:val="005938BA"/>
    <w:rsid w:val="00595E38"/>
    <w:rsid w:val="005B14F9"/>
    <w:rsid w:val="005B2DFE"/>
    <w:rsid w:val="005B377A"/>
    <w:rsid w:val="005B53D2"/>
    <w:rsid w:val="005B5857"/>
    <w:rsid w:val="005B7147"/>
    <w:rsid w:val="005B7C78"/>
    <w:rsid w:val="005C0ED8"/>
    <w:rsid w:val="005C1B83"/>
    <w:rsid w:val="005C346B"/>
    <w:rsid w:val="005D05AF"/>
    <w:rsid w:val="005D080D"/>
    <w:rsid w:val="005D18AD"/>
    <w:rsid w:val="005D1B3E"/>
    <w:rsid w:val="005D32A1"/>
    <w:rsid w:val="005D7E3E"/>
    <w:rsid w:val="005E05F4"/>
    <w:rsid w:val="005E39E1"/>
    <w:rsid w:val="005E441B"/>
    <w:rsid w:val="005E70C3"/>
    <w:rsid w:val="005F045D"/>
    <w:rsid w:val="005F079D"/>
    <w:rsid w:val="005F0821"/>
    <w:rsid w:val="005F095F"/>
    <w:rsid w:val="005F136B"/>
    <w:rsid w:val="005F2706"/>
    <w:rsid w:val="005F3F1E"/>
    <w:rsid w:val="005F6A8F"/>
    <w:rsid w:val="005F715C"/>
    <w:rsid w:val="0060082A"/>
    <w:rsid w:val="00606347"/>
    <w:rsid w:val="006064F0"/>
    <w:rsid w:val="00606B8F"/>
    <w:rsid w:val="00607669"/>
    <w:rsid w:val="006078C6"/>
    <w:rsid w:val="00610C99"/>
    <w:rsid w:val="00612773"/>
    <w:rsid w:val="00612F97"/>
    <w:rsid w:val="00613805"/>
    <w:rsid w:val="006146D0"/>
    <w:rsid w:val="0061674E"/>
    <w:rsid w:val="00616802"/>
    <w:rsid w:val="006177EE"/>
    <w:rsid w:val="00617E12"/>
    <w:rsid w:val="00621477"/>
    <w:rsid w:val="006220D2"/>
    <w:rsid w:val="00626C6B"/>
    <w:rsid w:val="00627B36"/>
    <w:rsid w:val="00631D6B"/>
    <w:rsid w:val="00634512"/>
    <w:rsid w:val="0063477C"/>
    <w:rsid w:val="0063479F"/>
    <w:rsid w:val="00635069"/>
    <w:rsid w:val="00635C43"/>
    <w:rsid w:val="006364A1"/>
    <w:rsid w:val="00637192"/>
    <w:rsid w:val="00637BFD"/>
    <w:rsid w:val="00641985"/>
    <w:rsid w:val="00641A5A"/>
    <w:rsid w:val="00641D45"/>
    <w:rsid w:val="00643313"/>
    <w:rsid w:val="00643701"/>
    <w:rsid w:val="0064435C"/>
    <w:rsid w:val="00646544"/>
    <w:rsid w:val="006471CC"/>
    <w:rsid w:val="0065079F"/>
    <w:rsid w:val="00653C6D"/>
    <w:rsid w:val="00655056"/>
    <w:rsid w:val="006560BA"/>
    <w:rsid w:val="006570FB"/>
    <w:rsid w:val="00657954"/>
    <w:rsid w:val="0066360E"/>
    <w:rsid w:val="006637FA"/>
    <w:rsid w:val="00664413"/>
    <w:rsid w:val="0066527C"/>
    <w:rsid w:val="00670EE7"/>
    <w:rsid w:val="00674E42"/>
    <w:rsid w:val="0067656E"/>
    <w:rsid w:val="00680D94"/>
    <w:rsid w:val="00682112"/>
    <w:rsid w:val="006822E3"/>
    <w:rsid w:val="00683030"/>
    <w:rsid w:val="006860C3"/>
    <w:rsid w:val="0069057C"/>
    <w:rsid w:val="00690E4E"/>
    <w:rsid w:val="006911F5"/>
    <w:rsid w:val="00691E35"/>
    <w:rsid w:val="00692A47"/>
    <w:rsid w:val="00694286"/>
    <w:rsid w:val="00694F44"/>
    <w:rsid w:val="00695FAA"/>
    <w:rsid w:val="006A18FE"/>
    <w:rsid w:val="006A1B33"/>
    <w:rsid w:val="006A2333"/>
    <w:rsid w:val="006A5769"/>
    <w:rsid w:val="006A577A"/>
    <w:rsid w:val="006A7195"/>
    <w:rsid w:val="006B04A5"/>
    <w:rsid w:val="006B1665"/>
    <w:rsid w:val="006B3032"/>
    <w:rsid w:val="006B32E0"/>
    <w:rsid w:val="006B356D"/>
    <w:rsid w:val="006B35F4"/>
    <w:rsid w:val="006B542D"/>
    <w:rsid w:val="006B64DD"/>
    <w:rsid w:val="006B6CA9"/>
    <w:rsid w:val="006C2173"/>
    <w:rsid w:val="006C2518"/>
    <w:rsid w:val="006C2A8E"/>
    <w:rsid w:val="006C781D"/>
    <w:rsid w:val="006C7BAE"/>
    <w:rsid w:val="006D3C7D"/>
    <w:rsid w:val="006D50D1"/>
    <w:rsid w:val="006D6760"/>
    <w:rsid w:val="006D67AD"/>
    <w:rsid w:val="006D7171"/>
    <w:rsid w:val="006E08B4"/>
    <w:rsid w:val="006E0DC8"/>
    <w:rsid w:val="006E21A8"/>
    <w:rsid w:val="006E232A"/>
    <w:rsid w:val="006E288B"/>
    <w:rsid w:val="006E73CD"/>
    <w:rsid w:val="006F0D7C"/>
    <w:rsid w:val="006F1E77"/>
    <w:rsid w:val="006F3B59"/>
    <w:rsid w:val="006F63A5"/>
    <w:rsid w:val="006F63AC"/>
    <w:rsid w:val="006F73C5"/>
    <w:rsid w:val="006F77A4"/>
    <w:rsid w:val="00701402"/>
    <w:rsid w:val="0070163B"/>
    <w:rsid w:val="00701897"/>
    <w:rsid w:val="0070276E"/>
    <w:rsid w:val="00703018"/>
    <w:rsid w:val="00704B89"/>
    <w:rsid w:val="00705261"/>
    <w:rsid w:val="00706AF2"/>
    <w:rsid w:val="00710493"/>
    <w:rsid w:val="00711A36"/>
    <w:rsid w:val="00712BA7"/>
    <w:rsid w:val="00712FE9"/>
    <w:rsid w:val="007140FF"/>
    <w:rsid w:val="00714CFA"/>
    <w:rsid w:val="00715259"/>
    <w:rsid w:val="00716C84"/>
    <w:rsid w:val="007172AD"/>
    <w:rsid w:val="00717CE9"/>
    <w:rsid w:val="00720288"/>
    <w:rsid w:val="007205AB"/>
    <w:rsid w:val="00723217"/>
    <w:rsid w:val="0072469D"/>
    <w:rsid w:val="00724726"/>
    <w:rsid w:val="007261C1"/>
    <w:rsid w:val="007265FB"/>
    <w:rsid w:val="0073067D"/>
    <w:rsid w:val="00731813"/>
    <w:rsid w:val="00732EAE"/>
    <w:rsid w:val="00733131"/>
    <w:rsid w:val="00735328"/>
    <w:rsid w:val="0073685B"/>
    <w:rsid w:val="00741DE6"/>
    <w:rsid w:val="00742D3B"/>
    <w:rsid w:val="0074467C"/>
    <w:rsid w:val="007461E2"/>
    <w:rsid w:val="0074651C"/>
    <w:rsid w:val="007474AD"/>
    <w:rsid w:val="007501FE"/>
    <w:rsid w:val="00751A41"/>
    <w:rsid w:val="00753DDD"/>
    <w:rsid w:val="00755E19"/>
    <w:rsid w:val="00757237"/>
    <w:rsid w:val="0076382A"/>
    <w:rsid w:val="007640CD"/>
    <w:rsid w:val="00764A8E"/>
    <w:rsid w:val="00770178"/>
    <w:rsid w:val="007703F6"/>
    <w:rsid w:val="007709DA"/>
    <w:rsid w:val="007710A5"/>
    <w:rsid w:val="00771341"/>
    <w:rsid w:val="00771808"/>
    <w:rsid w:val="0077232F"/>
    <w:rsid w:val="0077313A"/>
    <w:rsid w:val="00774620"/>
    <w:rsid w:val="00776B17"/>
    <w:rsid w:val="00776B76"/>
    <w:rsid w:val="00776DBD"/>
    <w:rsid w:val="00791088"/>
    <w:rsid w:val="00793C87"/>
    <w:rsid w:val="00793EE2"/>
    <w:rsid w:val="00795176"/>
    <w:rsid w:val="007A052E"/>
    <w:rsid w:val="007A30D5"/>
    <w:rsid w:val="007A6148"/>
    <w:rsid w:val="007A6451"/>
    <w:rsid w:val="007A6F48"/>
    <w:rsid w:val="007A7BCF"/>
    <w:rsid w:val="007A7CCB"/>
    <w:rsid w:val="007B03E9"/>
    <w:rsid w:val="007B251D"/>
    <w:rsid w:val="007B2E26"/>
    <w:rsid w:val="007B3F99"/>
    <w:rsid w:val="007B77D1"/>
    <w:rsid w:val="007B7DB3"/>
    <w:rsid w:val="007C05BD"/>
    <w:rsid w:val="007C13C1"/>
    <w:rsid w:val="007C1D36"/>
    <w:rsid w:val="007C20CE"/>
    <w:rsid w:val="007C2587"/>
    <w:rsid w:val="007C31DC"/>
    <w:rsid w:val="007C3EC6"/>
    <w:rsid w:val="007C5E3B"/>
    <w:rsid w:val="007C5EBE"/>
    <w:rsid w:val="007C6324"/>
    <w:rsid w:val="007C7B1F"/>
    <w:rsid w:val="007D0B38"/>
    <w:rsid w:val="007D26AA"/>
    <w:rsid w:val="007D5086"/>
    <w:rsid w:val="007D6C77"/>
    <w:rsid w:val="007E37B7"/>
    <w:rsid w:val="007E4E86"/>
    <w:rsid w:val="007E578B"/>
    <w:rsid w:val="007E6414"/>
    <w:rsid w:val="007E680E"/>
    <w:rsid w:val="007E7209"/>
    <w:rsid w:val="007E7848"/>
    <w:rsid w:val="007F0FE4"/>
    <w:rsid w:val="007F1017"/>
    <w:rsid w:val="007F1F2C"/>
    <w:rsid w:val="007F4213"/>
    <w:rsid w:val="007F4A3F"/>
    <w:rsid w:val="00800831"/>
    <w:rsid w:val="00800AA3"/>
    <w:rsid w:val="00801483"/>
    <w:rsid w:val="00801902"/>
    <w:rsid w:val="00805142"/>
    <w:rsid w:val="00807A8B"/>
    <w:rsid w:val="00807CBA"/>
    <w:rsid w:val="00812149"/>
    <w:rsid w:val="008137DB"/>
    <w:rsid w:val="00813D43"/>
    <w:rsid w:val="0081482F"/>
    <w:rsid w:val="008166EF"/>
    <w:rsid w:val="00816D57"/>
    <w:rsid w:val="00816FDA"/>
    <w:rsid w:val="008215F6"/>
    <w:rsid w:val="0082229B"/>
    <w:rsid w:val="00823D69"/>
    <w:rsid w:val="00825869"/>
    <w:rsid w:val="00826459"/>
    <w:rsid w:val="008264EB"/>
    <w:rsid w:val="0083048D"/>
    <w:rsid w:val="00831C1C"/>
    <w:rsid w:val="00831EC5"/>
    <w:rsid w:val="008324DE"/>
    <w:rsid w:val="008363F0"/>
    <w:rsid w:val="00840CA2"/>
    <w:rsid w:val="008448C5"/>
    <w:rsid w:val="00844ABF"/>
    <w:rsid w:val="008460C7"/>
    <w:rsid w:val="0084749A"/>
    <w:rsid w:val="00851D64"/>
    <w:rsid w:val="00852FB1"/>
    <w:rsid w:val="008537B9"/>
    <w:rsid w:val="008556A7"/>
    <w:rsid w:val="00856E9A"/>
    <w:rsid w:val="00861B5B"/>
    <w:rsid w:val="00861CD0"/>
    <w:rsid w:val="00861EC0"/>
    <w:rsid w:val="0086577F"/>
    <w:rsid w:val="00871E2E"/>
    <w:rsid w:val="00871F5B"/>
    <w:rsid w:val="0087226E"/>
    <w:rsid w:val="00872293"/>
    <w:rsid w:val="00880D50"/>
    <w:rsid w:val="00882874"/>
    <w:rsid w:val="00882E0B"/>
    <w:rsid w:val="00883787"/>
    <w:rsid w:val="00884E1E"/>
    <w:rsid w:val="00886629"/>
    <w:rsid w:val="00892558"/>
    <w:rsid w:val="00893CD0"/>
    <w:rsid w:val="008943CD"/>
    <w:rsid w:val="00895245"/>
    <w:rsid w:val="008963A5"/>
    <w:rsid w:val="008A20FF"/>
    <w:rsid w:val="008A2CD5"/>
    <w:rsid w:val="008A3990"/>
    <w:rsid w:val="008A3C3E"/>
    <w:rsid w:val="008A5EDE"/>
    <w:rsid w:val="008A79DE"/>
    <w:rsid w:val="008B0A09"/>
    <w:rsid w:val="008B1A1C"/>
    <w:rsid w:val="008B1E84"/>
    <w:rsid w:val="008B2832"/>
    <w:rsid w:val="008B722D"/>
    <w:rsid w:val="008B7D7E"/>
    <w:rsid w:val="008C057A"/>
    <w:rsid w:val="008C1997"/>
    <w:rsid w:val="008C232F"/>
    <w:rsid w:val="008C2C1E"/>
    <w:rsid w:val="008C364E"/>
    <w:rsid w:val="008C54CA"/>
    <w:rsid w:val="008C6419"/>
    <w:rsid w:val="008C78B6"/>
    <w:rsid w:val="008C7ECB"/>
    <w:rsid w:val="008D0DBB"/>
    <w:rsid w:val="008D1800"/>
    <w:rsid w:val="008D58CC"/>
    <w:rsid w:val="008D6579"/>
    <w:rsid w:val="008E0FC4"/>
    <w:rsid w:val="008E1B9E"/>
    <w:rsid w:val="008E202F"/>
    <w:rsid w:val="008E6B84"/>
    <w:rsid w:val="008F1070"/>
    <w:rsid w:val="008F25B7"/>
    <w:rsid w:val="008F461A"/>
    <w:rsid w:val="008F48EB"/>
    <w:rsid w:val="008F4F0B"/>
    <w:rsid w:val="008F5C78"/>
    <w:rsid w:val="008F6FDA"/>
    <w:rsid w:val="00900832"/>
    <w:rsid w:val="00900F19"/>
    <w:rsid w:val="00901548"/>
    <w:rsid w:val="009021AB"/>
    <w:rsid w:val="00904BE7"/>
    <w:rsid w:val="00905F5C"/>
    <w:rsid w:val="009062A5"/>
    <w:rsid w:val="00911272"/>
    <w:rsid w:val="00914A09"/>
    <w:rsid w:val="00914A4E"/>
    <w:rsid w:val="00914CE3"/>
    <w:rsid w:val="00916261"/>
    <w:rsid w:val="00917D89"/>
    <w:rsid w:val="00917D95"/>
    <w:rsid w:val="00922025"/>
    <w:rsid w:val="009255E6"/>
    <w:rsid w:val="00925B70"/>
    <w:rsid w:val="00932F41"/>
    <w:rsid w:val="009332D7"/>
    <w:rsid w:val="0093411E"/>
    <w:rsid w:val="009346F0"/>
    <w:rsid w:val="0093524A"/>
    <w:rsid w:val="00935D7C"/>
    <w:rsid w:val="009441D8"/>
    <w:rsid w:val="009459D6"/>
    <w:rsid w:val="00945BC1"/>
    <w:rsid w:val="009501F1"/>
    <w:rsid w:val="00955840"/>
    <w:rsid w:val="00956836"/>
    <w:rsid w:val="00957D62"/>
    <w:rsid w:val="00961AF9"/>
    <w:rsid w:val="00961CC3"/>
    <w:rsid w:val="00962CB9"/>
    <w:rsid w:val="00964312"/>
    <w:rsid w:val="009644D8"/>
    <w:rsid w:val="00964DE9"/>
    <w:rsid w:val="00964E3E"/>
    <w:rsid w:val="00972831"/>
    <w:rsid w:val="00973295"/>
    <w:rsid w:val="00974BC2"/>
    <w:rsid w:val="009754BF"/>
    <w:rsid w:val="00975BFB"/>
    <w:rsid w:val="00977512"/>
    <w:rsid w:val="00977B01"/>
    <w:rsid w:val="0098002F"/>
    <w:rsid w:val="00980C37"/>
    <w:rsid w:val="00982D9A"/>
    <w:rsid w:val="00983E57"/>
    <w:rsid w:val="00984E6D"/>
    <w:rsid w:val="00985503"/>
    <w:rsid w:val="00986403"/>
    <w:rsid w:val="00987F15"/>
    <w:rsid w:val="00990E05"/>
    <w:rsid w:val="00993E44"/>
    <w:rsid w:val="00996B1A"/>
    <w:rsid w:val="009A1118"/>
    <w:rsid w:val="009A19CB"/>
    <w:rsid w:val="009A6DED"/>
    <w:rsid w:val="009B3DF2"/>
    <w:rsid w:val="009B3E26"/>
    <w:rsid w:val="009B551B"/>
    <w:rsid w:val="009B57ED"/>
    <w:rsid w:val="009C3C00"/>
    <w:rsid w:val="009C6437"/>
    <w:rsid w:val="009C7581"/>
    <w:rsid w:val="009D170B"/>
    <w:rsid w:val="009D4425"/>
    <w:rsid w:val="009D4ECF"/>
    <w:rsid w:val="009D52D0"/>
    <w:rsid w:val="009D53B2"/>
    <w:rsid w:val="009D5B91"/>
    <w:rsid w:val="009D5FBF"/>
    <w:rsid w:val="009D6B57"/>
    <w:rsid w:val="009E0E96"/>
    <w:rsid w:val="009E4C07"/>
    <w:rsid w:val="009E6F9F"/>
    <w:rsid w:val="009E7C1B"/>
    <w:rsid w:val="009F159B"/>
    <w:rsid w:val="009F402A"/>
    <w:rsid w:val="009F4CA6"/>
    <w:rsid w:val="009F6755"/>
    <w:rsid w:val="00A01F61"/>
    <w:rsid w:val="00A02B4C"/>
    <w:rsid w:val="00A02E2B"/>
    <w:rsid w:val="00A03D43"/>
    <w:rsid w:val="00A04380"/>
    <w:rsid w:val="00A04763"/>
    <w:rsid w:val="00A04EF6"/>
    <w:rsid w:val="00A11F24"/>
    <w:rsid w:val="00A1235D"/>
    <w:rsid w:val="00A13948"/>
    <w:rsid w:val="00A16DD8"/>
    <w:rsid w:val="00A20748"/>
    <w:rsid w:val="00A20D9D"/>
    <w:rsid w:val="00A234E6"/>
    <w:rsid w:val="00A235EB"/>
    <w:rsid w:val="00A25574"/>
    <w:rsid w:val="00A272BD"/>
    <w:rsid w:val="00A27AEC"/>
    <w:rsid w:val="00A33B15"/>
    <w:rsid w:val="00A33D3E"/>
    <w:rsid w:val="00A35556"/>
    <w:rsid w:val="00A35D16"/>
    <w:rsid w:val="00A4122A"/>
    <w:rsid w:val="00A41F95"/>
    <w:rsid w:val="00A43C24"/>
    <w:rsid w:val="00A43C59"/>
    <w:rsid w:val="00A44C03"/>
    <w:rsid w:val="00A47EE5"/>
    <w:rsid w:val="00A50ECD"/>
    <w:rsid w:val="00A52729"/>
    <w:rsid w:val="00A5352B"/>
    <w:rsid w:val="00A53675"/>
    <w:rsid w:val="00A5401B"/>
    <w:rsid w:val="00A56B6A"/>
    <w:rsid w:val="00A57360"/>
    <w:rsid w:val="00A57455"/>
    <w:rsid w:val="00A578DC"/>
    <w:rsid w:val="00A602DD"/>
    <w:rsid w:val="00A60588"/>
    <w:rsid w:val="00A617F4"/>
    <w:rsid w:val="00A652B4"/>
    <w:rsid w:val="00A66CBF"/>
    <w:rsid w:val="00A6725B"/>
    <w:rsid w:val="00A67623"/>
    <w:rsid w:val="00A72399"/>
    <w:rsid w:val="00A73DCC"/>
    <w:rsid w:val="00A75F8D"/>
    <w:rsid w:val="00A7604B"/>
    <w:rsid w:val="00A76FDB"/>
    <w:rsid w:val="00A776AF"/>
    <w:rsid w:val="00A80A6E"/>
    <w:rsid w:val="00A80B90"/>
    <w:rsid w:val="00A81A4D"/>
    <w:rsid w:val="00A82233"/>
    <w:rsid w:val="00A829AB"/>
    <w:rsid w:val="00A82BE6"/>
    <w:rsid w:val="00A833D9"/>
    <w:rsid w:val="00A865B0"/>
    <w:rsid w:val="00A86E8B"/>
    <w:rsid w:val="00A93072"/>
    <w:rsid w:val="00A95057"/>
    <w:rsid w:val="00AA0A07"/>
    <w:rsid w:val="00AA198A"/>
    <w:rsid w:val="00AA22E8"/>
    <w:rsid w:val="00AA2ECF"/>
    <w:rsid w:val="00AA5AC6"/>
    <w:rsid w:val="00AA61FA"/>
    <w:rsid w:val="00AB042A"/>
    <w:rsid w:val="00AB19A8"/>
    <w:rsid w:val="00AB1A64"/>
    <w:rsid w:val="00AB3430"/>
    <w:rsid w:val="00AB3963"/>
    <w:rsid w:val="00AB53CD"/>
    <w:rsid w:val="00AB7CFA"/>
    <w:rsid w:val="00AC0F25"/>
    <w:rsid w:val="00AC2C9A"/>
    <w:rsid w:val="00AC4CF0"/>
    <w:rsid w:val="00AD02C6"/>
    <w:rsid w:val="00AD0D51"/>
    <w:rsid w:val="00AD22BC"/>
    <w:rsid w:val="00AD2A31"/>
    <w:rsid w:val="00AD3AA7"/>
    <w:rsid w:val="00AD3EE4"/>
    <w:rsid w:val="00AD4281"/>
    <w:rsid w:val="00AD448D"/>
    <w:rsid w:val="00AD624C"/>
    <w:rsid w:val="00AD731A"/>
    <w:rsid w:val="00AD7A6E"/>
    <w:rsid w:val="00AE0909"/>
    <w:rsid w:val="00AE3CDC"/>
    <w:rsid w:val="00AE430D"/>
    <w:rsid w:val="00AE63C1"/>
    <w:rsid w:val="00AE6B14"/>
    <w:rsid w:val="00AE7E2B"/>
    <w:rsid w:val="00AF042D"/>
    <w:rsid w:val="00AF1BE2"/>
    <w:rsid w:val="00AF379A"/>
    <w:rsid w:val="00AF37ED"/>
    <w:rsid w:val="00AF45E9"/>
    <w:rsid w:val="00B011DC"/>
    <w:rsid w:val="00B132BA"/>
    <w:rsid w:val="00B1397A"/>
    <w:rsid w:val="00B1600C"/>
    <w:rsid w:val="00B1604D"/>
    <w:rsid w:val="00B166A0"/>
    <w:rsid w:val="00B16E02"/>
    <w:rsid w:val="00B213F4"/>
    <w:rsid w:val="00B21716"/>
    <w:rsid w:val="00B244DB"/>
    <w:rsid w:val="00B244FF"/>
    <w:rsid w:val="00B24D4D"/>
    <w:rsid w:val="00B27A80"/>
    <w:rsid w:val="00B33F5D"/>
    <w:rsid w:val="00B3574F"/>
    <w:rsid w:val="00B37F0A"/>
    <w:rsid w:val="00B40902"/>
    <w:rsid w:val="00B41893"/>
    <w:rsid w:val="00B42851"/>
    <w:rsid w:val="00B46903"/>
    <w:rsid w:val="00B4737C"/>
    <w:rsid w:val="00B503FE"/>
    <w:rsid w:val="00B51EBA"/>
    <w:rsid w:val="00B51F36"/>
    <w:rsid w:val="00B52D09"/>
    <w:rsid w:val="00B5364B"/>
    <w:rsid w:val="00B54B5B"/>
    <w:rsid w:val="00B5562E"/>
    <w:rsid w:val="00B557B1"/>
    <w:rsid w:val="00B57000"/>
    <w:rsid w:val="00B608CF"/>
    <w:rsid w:val="00B60939"/>
    <w:rsid w:val="00B60AFD"/>
    <w:rsid w:val="00B62715"/>
    <w:rsid w:val="00B62E05"/>
    <w:rsid w:val="00B62F99"/>
    <w:rsid w:val="00B64AE2"/>
    <w:rsid w:val="00B65489"/>
    <w:rsid w:val="00B65FB4"/>
    <w:rsid w:val="00B6665D"/>
    <w:rsid w:val="00B72C49"/>
    <w:rsid w:val="00B733E2"/>
    <w:rsid w:val="00B73EBF"/>
    <w:rsid w:val="00B764B2"/>
    <w:rsid w:val="00B76756"/>
    <w:rsid w:val="00B768BC"/>
    <w:rsid w:val="00B77A3A"/>
    <w:rsid w:val="00B81023"/>
    <w:rsid w:val="00B818A4"/>
    <w:rsid w:val="00B822D0"/>
    <w:rsid w:val="00B828BA"/>
    <w:rsid w:val="00B84A6A"/>
    <w:rsid w:val="00B8526C"/>
    <w:rsid w:val="00B85CEC"/>
    <w:rsid w:val="00B8649C"/>
    <w:rsid w:val="00B8684A"/>
    <w:rsid w:val="00B87EDE"/>
    <w:rsid w:val="00B901D7"/>
    <w:rsid w:val="00B9044B"/>
    <w:rsid w:val="00B91717"/>
    <w:rsid w:val="00B91984"/>
    <w:rsid w:val="00B92D0B"/>
    <w:rsid w:val="00B94945"/>
    <w:rsid w:val="00B96600"/>
    <w:rsid w:val="00B9662C"/>
    <w:rsid w:val="00BA1F6E"/>
    <w:rsid w:val="00BA253E"/>
    <w:rsid w:val="00BA4D78"/>
    <w:rsid w:val="00BA534B"/>
    <w:rsid w:val="00BA644E"/>
    <w:rsid w:val="00BA70D5"/>
    <w:rsid w:val="00BB065C"/>
    <w:rsid w:val="00BB1368"/>
    <w:rsid w:val="00BB24E4"/>
    <w:rsid w:val="00BB2869"/>
    <w:rsid w:val="00BB2A29"/>
    <w:rsid w:val="00BB5DE5"/>
    <w:rsid w:val="00BB6846"/>
    <w:rsid w:val="00BC036E"/>
    <w:rsid w:val="00BC2524"/>
    <w:rsid w:val="00BC2F95"/>
    <w:rsid w:val="00BC3F4E"/>
    <w:rsid w:val="00BC5147"/>
    <w:rsid w:val="00BC52D0"/>
    <w:rsid w:val="00BD32FD"/>
    <w:rsid w:val="00BE1ADF"/>
    <w:rsid w:val="00BE2180"/>
    <w:rsid w:val="00BE3813"/>
    <w:rsid w:val="00BE4275"/>
    <w:rsid w:val="00BE44A5"/>
    <w:rsid w:val="00BE4728"/>
    <w:rsid w:val="00BE70FE"/>
    <w:rsid w:val="00BF23ED"/>
    <w:rsid w:val="00BF2433"/>
    <w:rsid w:val="00BF510D"/>
    <w:rsid w:val="00BF61C9"/>
    <w:rsid w:val="00BF7473"/>
    <w:rsid w:val="00BF767F"/>
    <w:rsid w:val="00C0012D"/>
    <w:rsid w:val="00C0033C"/>
    <w:rsid w:val="00C00B4A"/>
    <w:rsid w:val="00C0104A"/>
    <w:rsid w:val="00C051DA"/>
    <w:rsid w:val="00C05487"/>
    <w:rsid w:val="00C06CBF"/>
    <w:rsid w:val="00C07792"/>
    <w:rsid w:val="00C10055"/>
    <w:rsid w:val="00C10244"/>
    <w:rsid w:val="00C1098F"/>
    <w:rsid w:val="00C10993"/>
    <w:rsid w:val="00C10F5B"/>
    <w:rsid w:val="00C12EB2"/>
    <w:rsid w:val="00C15872"/>
    <w:rsid w:val="00C166A4"/>
    <w:rsid w:val="00C16DEA"/>
    <w:rsid w:val="00C179DA"/>
    <w:rsid w:val="00C205A1"/>
    <w:rsid w:val="00C20706"/>
    <w:rsid w:val="00C21AE9"/>
    <w:rsid w:val="00C2407F"/>
    <w:rsid w:val="00C25374"/>
    <w:rsid w:val="00C25418"/>
    <w:rsid w:val="00C255B0"/>
    <w:rsid w:val="00C257FC"/>
    <w:rsid w:val="00C25D9C"/>
    <w:rsid w:val="00C277E2"/>
    <w:rsid w:val="00C31649"/>
    <w:rsid w:val="00C31B43"/>
    <w:rsid w:val="00C35174"/>
    <w:rsid w:val="00C355C9"/>
    <w:rsid w:val="00C356F6"/>
    <w:rsid w:val="00C40385"/>
    <w:rsid w:val="00C407BB"/>
    <w:rsid w:val="00C41314"/>
    <w:rsid w:val="00C41646"/>
    <w:rsid w:val="00C4374B"/>
    <w:rsid w:val="00C44ACC"/>
    <w:rsid w:val="00C459AD"/>
    <w:rsid w:val="00C474BD"/>
    <w:rsid w:val="00C47549"/>
    <w:rsid w:val="00C51ABC"/>
    <w:rsid w:val="00C52BA9"/>
    <w:rsid w:val="00C548A3"/>
    <w:rsid w:val="00C56ADC"/>
    <w:rsid w:val="00C61B50"/>
    <w:rsid w:val="00C61C28"/>
    <w:rsid w:val="00C637B2"/>
    <w:rsid w:val="00C65576"/>
    <w:rsid w:val="00C65686"/>
    <w:rsid w:val="00C66165"/>
    <w:rsid w:val="00C74863"/>
    <w:rsid w:val="00C752C7"/>
    <w:rsid w:val="00C77FA0"/>
    <w:rsid w:val="00C8213F"/>
    <w:rsid w:val="00C85788"/>
    <w:rsid w:val="00C86967"/>
    <w:rsid w:val="00C86F9A"/>
    <w:rsid w:val="00C8797A"/>
    <w:rsid w:val="00C91E12"/>
    <w:rsid w:val="00C938CF"/>
    <w:rsid w:val="00C93E6F"/>
    <w:rsid w:val="00C965E7"/>
    <w:rsid w:val="00C968B1"/>
    <w:rsid w:val="00C96C86"/>
    <w:rsid w:val="00C9750B"/>
    <w:rsid w:val="00CA3889"/>
    <w:rsid w:val="00CA4D20"/>
    <w:rsid w:val="00CA5245"/>
    <w:rsid w:val="00CA5C8A"/>
    <w:rsid w:val="00CA68F2"/>
    <w:rsid w:val="00CA739A"/>
    <w:rsid w:val="00CA7B09"/>
    <w:rsid w:val="00CB17B1"/>
    <w:rsid w:val="00CB4B64"/>
    <w:rsid w:val="00CB5441"/>
    <w:rsid w:val="00CB55DD"/>
    <w:rsid w:val="00CB5B1A"/>
    <w:rsid w:val="00CB66BD"/>
    <w:rsid w:val="00CB76A5"/>
    <w:rsid w:val="00CC1497"/>
    <w:rsid w:val="00CC238E"/>
    <w:rsid w:val="00CC269D"/>
    <w:rsid w:val="00CC2DDB"/>
    <w:rsid w:val="00CC2EAB"/>
    <w:rsid w:val="00CC37C5"/>
    <w:rsid w:val="00CC398C"/>
    <w:rsid w:val="00CC404A"/>
    <w:rsid w:val="00CC588A"/>
    <w:rsid w:val="00CC783C"/>
    <w:rsid w:val="00CC7A8D"/>
    <w:rsid w:val="00CD18DC"/>
    <w:rsid w:val="00CD1991"/>
    <w:rsid w:val="00CD4864"/>
    <w:rsid w:val="00CD6ADC"/>
    <w:rsid w:val="00CD77C2"/>
    <w:rsid w:val="00CD7EB4"/>
    <w:rsid w:val="00CE0E26"/>
    <w:rsid w:val="00CE161F"/>
    <w:rsid w:val="00CE6274"/>
    <w:rsid w:val="00CE7C57"/>
    <w:rsid w:val="00CF0AC2"/>
    <w:rsid w:val="00CF2E9B"/>
    <w:rsid w:val="00CF456B"/>
    <w:rsid w:val="00CF46B7"/>
    <w:rsid w:val="00CF4E9B"/>
    <w:rsid w:val="00CF5A22"/>
    <w:rsid w:val="00CF718F"/>
    <w:rsid w:val="00CF7732"/>
    <w:rsid w:val="00CF78AC"/>
    <w:rsid w:val="00D0262E"/>
    <w:rsid w:val="00D03182"/>
    <w:rsid w:val="00D04C42"/>
    <w:rsid w:val="00D06FD4"/>
    <w:rsid w:val="00D0728E"/>
    <w:rsid w:val="00D07837"/>
    <w:rsid w:val="00D07E69"/>
    <w:rsid w:val="00D10B2D"/>
    <w:rsid w:val="00D110BD"/>
    <w:rsid w:val="00D1150B"/>
    <w:rsid w:val="00D128EE"/>
    <w:rsid w:val="00D12AED"/>
    <w:rsid w:val="00D12AF5"/>
    <w:rsid w:val="00D13435"/>
    <w:rsid w:val="00D13DBA"/>
    <w:rsid w:val="00D16813"/>
    <w:rsid w:val="00D16A80"/>
    <w:rsid w:val="00D16C8B"/>
    <w:rsid w:val="00D17219"/>
    <w:rsid w:val="00D17D6C"/>
    <w:rsid w:val="00D2053F"/>
    <w:rsid w:val="00D20A9A"/>
    <w:rsid w:val="00D22155"/>
    <w:rsid w:val="00D25405"/>
    <w:rsid w:val="00D306B1"/>
    <w:rsid w:val="00D326CB"/>
    <w:rsid w:val="00D34419"/>
    <w:rsid w:val="00D35012"/>
    <w:rsid w:val="00D360DA"/>
    <w:rsid w:val="00D4036D"/>
    <w:rsid w:val="00D4218B"/>
    <w:rsid w:val="00D42311"/>
    <w:rsid w:val="00D4339D"/>
    <w:rsid w:val="00D433EB"/>
    <w:rsid w:val="00D4583B"/>
    <w:rsid w:val="00D508CA"/>
    <w:rsid w:val="00D56A22"/>
    <w:rsid w:val="00D57DC7"/>
    <w:rsid w:val="00D60365"/>
    <w:rsid w:val="00D609D9"/>
    <w:rsid w:val="00D62596"/>
    <w:rsid w:val="00D663FD"/>
    <w:rsid w:val="00D7209E"/>
    <w:rsid w:val="00D753BC"/>
    <w:rsid w:val="00D76A44"/>
    <w:rsid w:val="00D76CA2"/>
    <w:rsid w:val="00D7741A"/>
    <w:rsid w:val="00D7784C"/>
    <w:rsid w:val="00D83DDB"/>
    <w:rsid w:val="00D84C28"/>
    <w:rsid w:val="00D855B4"/>
    <w:rsid w:val="00D8584F"/>
    <w:rsid w:val="00D8672F"/>
    <w:rsid w:val="00D87730"/>
    <w:rsid w:val="00D90AC7"/>
    <w:rsid w:val="00D9208E"/>
    <w:rsid w:val="00D9306B"/>
    <w:rsid w:val="00D93753"/>
    <w:rsid w:val="00D93A52"/>
    <w:rsid w:val="00D94777"/>
    <w:rsid w:val="00D957D3"/>
    <w:rsid w:val="00D95F75"/>
    <w:rsid w:val="00D96DB0"/>
    <w:rsid w:val="00DA09B1"/>
    <w:rsid w:val="00DA0F96"/>
    <w:rsid w:val="00DA1032"/>
    <w:rsid w:val="00DA125A"/>
    <w:rsid w:val="00DA22DB"/>
    <w:rsid w:val="00DA2837"/>
    <w:rsid w:val="00DA32DA"/>
    <w:rsid w:val="00DA77A5"/>
    <w:rsid w:val="00DB4BEE"/>
    <w:rsid w:val="00DB6417"/>
    <w:rsid w:val="00DB6721"/>
    <w:rsid w:val="00DB6A07"/>
    <w:rsid w:val="00DC3E5C"/>
    <w:rsid w:val="00DC5480"/>
    <w:rsid w:val="00DC5501"/>
    <w:rsid w:val="00DC732A"/>
    <w:rsid w:val="00DC780B"/>
    <w:rsid w:val="00DC7B35"/>
    <w:rsid w:val="00DC7DDE"/>
    <w:rsid w:val="00DD0444"/>
    <w:rsid w:val="00DD186D"/>
    <w:rsid w:val="00DD1BEC"/>
    <w:rsid w:val="00DD2072"/>
    <w:rsid w:val="00DD32CC"/>
    <w:rsid w:val="00DD39C6"/>
    <w:rsid w:val="00DD3F28"/>
    <w:rsid w:val="00DD4537"/>
    <w:rsid w:val="00DD4E15"/>
    <w:rsid w:val="00DD5341"/>
    <w:rsid w:val="00DD6142"/>
    <w:rsid w:val="00DD68A0"/>
    <w:rsid w:val="00DD7AB4"/>
    <w:rsid w:val="00DD7B14"/>
    <w:rsid w:val="00DE0770"/>
    <w:rsid w:val="00DE21CC"/>
    <w:rsid w:val="00DE3E3C"/>
    <w:rsid w:val="00DE4FCB"/>
    <w:rsid w:val="00DE6665"/>
    <w:rsid w:val="00DE6F9D"/>
    <w:rsid w:val="00DE7010"/>
    <w:rsid w:val="00DF0221"/>
    <w:rsid w:val="00DF14FF"/>
    <w:rsid w:val="00DF50CC"/>
    <w:rsid w:val="00DF5A75"/>
    <w:rsid w:val="00DF772D"/>
    <w:rsid w:val="00E0041C"/>
    <w:rsid w:val="00E00542"/>
    <w:rsid w:val="00E02000"/>
    <w:rsid w:val="00E02339"/>
    <w:rsid w:val="00E03D29"/>
    <w:rsid w:val="00E04640"/>
    <w:rsid w:val="00E04940"/>
    <w:rsid w:val="00E06F27"/>
    <w:rsid w:val="00E10149"/>
    <w:rsid w:val="00E11D4C"/>
    <w:rsid w:val="00E14083"/>
    <w:rsid w:val="00E154A3"/>
    <w:rsid w:val="00E15DBE"/>
    <w:rsid w:val="00E16372"/>
    <w:rsid w:val="00E172B0"/>
    <w:rsid w:val="00E20A5D"/>
    <w:rsid w:val="00E20E8B"/>
    <w:rsid w:val="00E20ED6"/>
    <w:rsid w:val="00E21358"/>
    <w:rsid w:val="00E2249B"/>
    <w:rsid w:val="00E229E6"/>
    <w:rsid w:val="00E231FC"/>
    <w:rsid w:val="00E24190"/>
    <w:rsid w:val="00E25C1E"/>
    <w:rsid w:val="00E2733E"/>
    <w:rsid w:val="00E2771E"/>
    <w:rsid w:val="00E322DC"/>
    <w:rsid w:val="00E34250"/>
    <w:rsid w:val="00E34C15"/>
    <w:rsid w:val="00E35DD5"/>
    <w:rsid w:val="00E36E9E"/>
    <w:rsid w:val="00E37569"/>
    <w:rsid w:val="00E41E30"/>
    <w:rsid w:val="00E448B8"/>
    <w:rsid w:val="00E45A4D"/>
    <w:rsid w:val="00E469F4"/>
    <w:rsid w:val="00E47B2C"/>
    <w:rsid w:val="00E5048A"/>
    <w:rsid w:val="00E5129B"/>
    <w:rsid w:val="00E55424"/>
    <w:rsid w:val="00E56A46"/>
    <w:rsid w:val="00E60468"/>
    <w:rsid w:val="00E60A4D"/>
    <w:rsid w:val="00E62709"/>
    <w:rsid w:val="00E65CEA"/>
    <w:rsid w:val="00E65E79"/>
    <w:rsid w:val="00E66798"/>
    <w:rsid w:val="00E67416"/>
    <w:rsid w:val="00E67554"/>
    <w:rsid w:val="00E70EDD"/>
    <w:rsid w:val="00E718B6"/>
    <w:rsid w:val="00E731DF"/>
    <w:rsid w:val="00E73581"/>
    <w:rsid w:val="00E81205"/>
    <w:rsid w:val="00E82E8A"/>
    <w:rsid w:val="00E832BD"/>
    <w:rsid w:val="00E83BDF"/>
    <w:rsid w:val="00E83D95"/>
    <w:rsid w:val="00E84320"/>
    <w:rsid w:val="00E85E33"/>
    <w:rsid w:val="00E91F66"/>
    <w:rsid w:val="00E93766"/>
    <w:rsid w:val="00E941D4"/>
    <w:rsid w:val="00E956C1"/>
    <w:rsid w:val="00E97C48"/>
    <w:rsid w:val="00EA206B"/>
    <w:rsid w:val="00EA3864"/>
    <w:rsid w:val="00EA5912"/>
    <w:rsid w:val="00EA6085"/>
    <w:rsid w:val="00EA7FB6"/>
    <w:rsid w:val="00EB0264"/>
    <w:rsid w:val="00EB04B2"/>
    <w:rsid w:val="00EB275A"/>
    <w:rsid w:val="00EB2977"/>
    <w:rsid w:val="00EB361A"/>
    <w:rsid w:val="00EB4CEA"/>
    <w:rsid w:val="00EB5615"/>
    <w:rsid w:val="00EB66E8"/>
    <w:rsid w:val="00EB7279"/>
    <w:rsid w:val="00EB7624"/>
    <w:rsid w:val="00EC00C9"/>
    <w:rsid w:val="00EC0246"/>
    <w:rsid w:val="00EC4AA1"/>
    <w:rsid w:val="00EC4C6E"/>
    <w:rsid w:val="00EC4ECB"/>
    <w:rsid w:val="00EC5835"/>
    <w:rsid w:val="00ED06E2"/>
    <w:rsid w:val="00ED153A"/>
    <w:rsid w:val="00ED15BC"/>
    <w:rsid w:val="00ED18CC"/>
    <w:rsid w:val="00ED20C5"/>
    <w:rsid w:val="00ED43CA"/>
    <w:rsid w:val="00ED5727"/>
    <w:rsid w:val="00ED7036"/>
    <w:rsid w:val="00ED758A"/>
    <w:rsid w:val="00ED7AC1"/>
    <w:rsid w:val="00EE07D3"/>
    <w:rsid w:val="00EE0989"/>
    <w:rsid w:val="00EE0B2C"/>
    <w:rsid w:val="00EE1E1E"/>
    <w:rsid w:val="00EE534C"/>
    <w:rsid w:val="00EE72D6"/>
    <w:rsid w:val="00EE7F86"/>
    <w:rsid w:val="00EF069D"/>
    <w:rsid w:val="00EF64B9"/>
    <w:rsid w:val="00F0113B"/>
    <w:rsid w:val="00F0193C"/>
    <w:rsid w:val="00F058C9"/>
    <w:rsid w:val="00F066DD"/>
    <w:rsid w:val="00F067A2"/>
    <w:rsid w:val="00F06B24"/>
    <w:rsid w:val="00F0778E"/>
    <w:rsid w:val="00F07E23"/>
    <w:rsid w:val="00F102F8"/>
    <w:rsid w:val="00F1062F"/>
    <w:rsid w:val="00F110AB"/>
    <w:rsid w:val="00F1224C"/>
    <w:rsid w:val="00F13857"/>
    <w:rsid w:val="00F15926"/>
    <w:rsid w:val="00F15FC2"/>
    <w:rsid w:val="00F21067"/>
    <w:rsid w:val="00F24837"/>
    <w:rsid w:val="00F24A55"/>
    <w:rsid w:val="00F250FF"/>
    <w:rsid w:val="00F2575F"/>
    <w:rsid w:val="00F268B9"/>
    <w:rsid w:val="00F27290"/>
    <w:rsid w:val="00F275EE"/>
    <w:rsid w:val="00F30F12"/>
    <w:rsid w:val="00F31AB3"/>
    <w:rsid w:val="00F338FF"/>
    <w:rsid w:val="00F33DE9"/>
    <w:rsid w:val="00F35170"/>
    <w:rsid w:val="00F3619A"/>
    <w:rsid w:val="00F366EC"/>
    <w:rsid w:val="00F37E12"/>
    <w:rsid w:val="00F418CE"/>
    <w:rsid w:val="00F41D94"/>
    <w:rsid w:val="00F428C9"/>
    <w:rsid w:val="00F42A70"/>
    <w:rsid w:val="00F42C00"/>
    <w:rsid w:val="00F42D3B"/>
    <w:rsid w:val="00F43BD7"/>
    <w:rsid w:val="00F46CB6"/>
    <w:rsid w:val="00F474AB"/>
    <w:rsid w:val="00F478EE"/>
    <w:rsid w:val="00F506A9"/>
    <w:rsid w:val="00F5216C"/>
    <w:rsid w:val="00F5345C"/>
    <w:rsid w:val="00F5532A"/>
    <w:rsid w:val="00F55E73"/>
    <w:rsid w:val="00F5605D"/>
    <w:rsid w:val="00F57369"/>
    <w:rsid w:val="00F5784E"/>
    <w:rsid w:val="00F60B7B"/>
    <w:rsid w:val="00F62FD9"/>
    <w:rsid w:val="00F64C64"/>
    <w:rsid w:val="00F651D5"/>
    <w:rsid w:val="00F6605B"/>
    <w:rsid w:val="00F66128"/>
    <w:rsid w:val="00F674B2"/>
    <w:rsid w:val="00F71D72"/>
    <w:rsid w:val="00F71F4C"/>
    <w:rsid w:val="00F7355A"/>
    <w:rsid w:val="00F73663"/>
    <w:rsid w:val="00F73AB6"/>
    <w:rsid w:val="00F73B37"/>
    <w:rsid w:val="00F80403"/>
    <w:rsid w:val="00F808C2"/>
    <w:rsid w:val="00F80E5D"/>
    <w:rsid w:val="00F84731"/>
    <w:rsid w:val="00F8502C"/>
    <w:rsid w:val="00F851CE"/>
    <w:rsid w:val="00F8542F"/>
    <w:rsid w:val="00F85B57"/>
    <w:rsid w:val="00F871BF"/>
    <w:rsid w:val="00F928C2"/>
    <w:rsid w:val="00F93C9E"/>
    <w:rsid w:val="00F974E0"/>
    <w:rsid w:val="00F97A78"/>
    <w:rsid w:val="00F97C23"/>
    <w:rsid w:val="00FA07A4"/>
    <w:rsid w:val="00FA08A6"/>
    <w:rsid w:val="00FA09C0"/>
    <w:rsid w:val="00FA0E9B"/>
    <w:rsid w:val="00FA0EE2"/>
    <w:rsid w:val="00FA208D"/>
    <w:rsid w:val="00FA397C"/>
    <w:rsid w:val="00FA6E5F"/>
    <w:rsid w:val="00FB2791"/>
    <w:rsid w:val="00FB27CB"/>
    <w:rsid w:val="00FB2FCB"/>
    <w:rsid w:val="00FB3A43"/>
    <w:rsid w:val="00FB4946"/>
    <w:rsid w:val="00FB4A4C"/>
    <w:rsid w:val="00FB5A25"/>
    <w:rsid w:val="00FC1074"/>
    <w:rsid w:val="00FC1884"/>
    <w:rsid w:val="00FC5B82"/>
    <w:rsid w:val="00FC6EDD"/>
    <w:rsid w:val="00FD192A"/>
    <w:rsid w:val="00FD2100"/>
    <w:rsid w:val="00FD403F"/>
    <w:rsid w:val="00FD446D"/>
    <w:rsid w:val="00FD50EF"/>
    <w:rsid w:val="00FD7AA8"/>
    <w:rsid w:val="00FE70B2"/>
    <w:rsid w:val="00FE7C3F"/>
    <w:rsid w:val="00FF0C66"/>
    <w:rsid w:val="00FF239B"/>
    <w:rsid w:val="00FF3DCF"/>
    <w:rsid w:val="00FF4B1D"/>
    <w:rsid w:val="00FF5AA3"/>
    <w:rsid w:val="00FF66C8"/>
    <w:rsid w:val="00FF76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2"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1C41DE"/>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C41D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0F7D3A"/>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E20A5D"/>
    <w:pPr>
      <w:numPr>
        <w:numId w:val="2"/>
      </w:numPr>
      <w:outlineLvl w:val="0"/>
    </w:pPr>
    <w:rPr>
      <w:rFonts w:ascii="Arial" w:hAnsi="Arial" w:cs="Arial"/>
      <w:snapToGrid w:val="0"/>
      <w:sz w:val="22"/>
      <w:szCs w:val="22"/>
      <w:lang w:eastAsia="en-US"/>
    </w:rPr>
  </w:style>
  <w:style w:type="paragraph" w:styleId="DocumentMap">
    <w:name w:val="Document Map"/>
    <w:basedOn w:val="Normal"/>
    <w:link w:val="DocumentMapChar"/>
    <w:semiHidden/>
    <w:unhideWhenUsed/>
    <w:rsid w:val="00F37E12"/>
    <w:rPr>
      <w:rFonts w:ascii="Lucida Grande" w:hAnsi="Lucida Grande" w:cs="Lucida Grande"/>
      <w:sz w:val="24"/>
    </w:rPr>
  </w:style>
  <w:style w:type="character" w:customStyle="1" w:styleId="DocumentMapChar">
    <w:name w:val="Document Map Char"/>
    <w:basedOn w:val="DefaultParagraphFont"/>
    <w:link w:val="DocumentMap"/>
    <w:semiHidden/>
    <w:rsid w:val="00F37E12"/>
    <w:rPr>
      <w:rFonts w:ascii="Lucida Grande" w:hAnsi="Lucida Grande" w:cs="Lucida Grande"/>
      <w:snapToGrid w:val="0"/>
      <w:sz w:val="24"/>
      <w:szCs w:val="24"/>
      <w:lang w:eastAsia="en-US"/>
    </w:rPr>
  </w:style>
  <w:style w:type="table" w:customStyle="1" w:styleId="Summarybox1">
    <w:name w:val="Summary box1"/>
    <w:basedOn w:val="TableNormal"/>
    <w:next w:val="TableGrid"/>
    <w:uiPriority w:val="59"/>
    <w:rsid w:val="005536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34"/>
    <w:rsid w:val="005536C0"/>
    <w:rPr>
      <w:rFonts w:ascii="Arial" w:hAnsi="Arial" w:cs="Arial"/>
      <w:snapToGrid w:val="0"/>
      <w:sz w:val="22"/>
      <w:lang w:eastAsia="en-US"/>
    </w:rPr>
  </w:style>
  <w:style w:type="table" w:customStyle="1" w:styleId="TableGrid8">
    <w:name w:val="Table Grid8"/>
    <w:basedOn w:val="TableNormal"/>
    <w:next w:val="TableGrid"/>
    <w:uiPriority w:val="59"/>
    <w:rsid w:val="005536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434601"/>
    <w:rPr>
      <w:b/>
      <w:bCs/>
    </w:rPr>
  </w:style>
  <w:style w:type="table" w:customStyle="1" w:styleId="Summarybox2">
    <w:name w:val="Summary box2"/>
    <w:basedOn w:val="TableNormal"/>
    <w:next w:val="TableGrid"/>
    <w:uiPriority w:val="59"/>
    <w:rsid w:val="006D7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353B81"/>
    <w:pPr>
      <w:ind w:left="720" w:hanging="720"/>
    </w:pPr>
    <w:rPr>
      <w:rFonts w:ascii="Arial" w:hAnsi="Arial" w:cs="Arial"/>
      <w:b/>
      <w:snapToGrid w:val="0"/>
      <w:sz w:val="22"/>
      <w:szCs w:val="22"/>
      <w:lang w:eastAsia="en-US"/>
    </w:rPr>
  </w:style>
  <w:style w:type="paragraph" w:styleId="FootnoteText">
    <w:name w:val="footnote text"/>
    <w:basedOn w:val="Normal"/>
    <w:link w:val="FootnoteTextChar"/>
    <w:unhideWhenUsed/>
    <w:rsid w:val="00683030"/>
    <w:rPr>
      <w:sz w:val="24"/>
    </w:rPr>
  </w:style>
  <w:style w:type="character" w:customStyle="1" w:styleId="FootnoteTextChar">
    <w:name w:val="Footnote Text Char"/>
    <w:basedOn w:val="DefaultParagraphFont"/>
    <w:link w:val="FootnoteText"/>
    <w:rsid w:val="00683030"/>
    <w:rPr>
      <w:rFonts w:ascii="Arial" w:hAnsi="Arial" w:cs="Arial"/>
      <w:snapToGrid w:val="0"/>
      <w:lang w:eastAsia="en-US"/>
    </w:rPr>
  </w:style>
  <w:style w:type="character" w:styleId="FootnoteReference">
    <w:name w:val="footnote reference"/>
    <w:basedOn w:val="DefaultParagraphFont"/>
    <w:unhideWhenUsed/>
    <w:rsid w:val="00683030"/>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A7BCF"/>
    <w:pPr>
      <w:widowControl/>
      <w:spacing w:after="160" w:line="240" w:lineRule="exact"/>
      <w:jc w:val="left"/>
    </w:pPr>
    <w:rPr>
      <w:rFonts w:ascii="Verdana" w:eastAsia="MS Mincho" w:hAnsi="Verdana" w:cs="Verdana"/>
      <w:snapToGrid/>
      <w:sz w:val="20"/>
      <w:szCs w:val="20"/>
      <w:lang w:val="en-US"/>
    </w:rPr>
  </w:style>
  <w:style w:type="character" w:customStyle="1" w:styleId="TableTextChar0">
    <w:name w:val="TableText Char"/>
    <w:link w:val="TableText0"/>
    <w:uiPriority w:val="3"/>
    <w:rsid w:val="007A7BCF"/>
    <w:rPr>
      <w:rFonts w:ascii="Arial Narrow" w:hAnsi="Arial Narrow" w:cs="Arial Narrow"/>
      <w:sz w:val="20"/>
      <w:lang w:eastAsia="en-US"/>
    </w:rPr>
  </w:style>
  <w:style w:type="paragraph" w:styleId="Subtitle">
    <w:name w:val="Subtitle"/>
    <w:basedOn w:val="Normal"/>
    <w:link w:val="SubtitleChar"/>
    <w:qFormat/>
    <w:rsid w:val="00823D69"/>
    <w:pPr>
      <w:widowControl/>
    </w:pPr>
    <w:rPr>
      <w:rFonts w:ascii="Times New Roman" w:hAnsi="Times New Roman" w:cs="Times New Roman"/>
      <w:b/>
      <w:snapToGrid/>
      <w:sz w:val="24"/>
      <w:szCs w:val="20"/>
      <w:lang w:eastAsia="en-AU"/>
    </w:rPr>
  </w:style>
  <w:style w:type="character" w:customStyle="1" w:styleId="SubtitleChar">
    <w:name w:val="Subtitle Char"/>
    <w:basedOn w:val="DefaultParagraphFont"/>
    <w:link w:val="Subtitle"/>
    <w:rsid w:val="00823D69"/>
    <w:rPr>
      <w:b/>
      <w:szCs w:val="20"/>
    </w:rPr>
  </w:style>
  <w:style w:type="paragraph" w:customStyle="1" w:styleId="TableNotes">
    <w:name w:val="TableNotes"/>
    <w:basedOn w:val="Normal"/>
    <w:next w:val="Normal"/>
    <w:link w:val="TableNotesChar"/>
    <w:uiPriority w:val="3"/>
    <w:qFormat/>
    <w:rsid w:val="00D95F75"/>
    <w:pPr>
      <w:widowControl/>
      <w:tabs>
        <w:tab w:val="left" w:pos="1134"/>
      </w:tabs>
      <w:spacing w:after="240"/>
      <w:ind w:left="1134" w:hanging="1134"/>
      <w:jc w:val="left"/>
    </w:pPr>
    <w:rPr>
      <w:rFonts w:ascii="Calibri" w:eastAsiaTheme="minorEastAsia" w:hAnsi="Calibri" w:cstheme="minorBidi"/>
      <w:snapToGrid/>
      <w:sz w:val="18"/>
      <w:szCs w:val="18"/>
    </w:rPr>
  </w:style>
  <w:style w:type="character" w:customStyle="1" w:styleId="TableNotesChar">
    <w:name w:val="TableNotes Char"/>
    <w:basedOn w:val="DefaultParagraphFont"/>
    <w:link w:val="TableNotes"/>
    <w:uiPriority w:val="3"/>
    <w:rsid w:val="00D95F75"/>
    <w:rPr>
      <w:rFonts w:ascii="Calibri" w:eastAsiaTheme="minorEastAsia" w:hAnsi="Calibri" w:cstheme="minorBidi"/>
      <w:sz w:val="18"/>
      <w:szCs w:val="18"/>
      <w:lang w:eastAsia="en-US"/>
    </w:rPr>
  </w:style>
  <w:style w:type="paragraph" w:customStyle="1" w:styleId="ESNormal">
    <w:name w:val="ES_Normal"/>
    <w:basedOn w:val="Normal"/>
    <w:link w:val="ESNormalChar"/>
    <w:qFormat/>
    <w:rsid w:val="00925B70"/>
    <w:pPr>
      <w:widowControl/>
      <w:spacing w:after="120" w:line="259" w:lineRule="auto"/>
    </w:pPr>
    <w:rPr>
      <w:rFonts w:ascii="Calibri" w:eastAsiaTheme="minorEastAsia" w:hAnsi="Calibri" w:cstheme="minorBidi"/>
      <w:snapToGrid/>
      <w:szCs w:val="22"/>
      <w:lang w:eastAsia="zh-CN"/>
    </w:rPr>
  </w:style>
  <w:style w:type="character" w:customStyle="1" w:styleId="ESNormalChar">
    <w:name w:val="ES_Normal Char"/>
    <w:basedOn w:val="DefaultParagraphFont"/>
    <w:link w:val="ESNormal"/>
    <w:rsid w:val="00925B70"/>
    <w:rPr>
      <w:rFonts w:ascii="Calibri" w:eastAsiaTheme="minorEastAsia" w:hAnsi="Calibri" w:cstheme="minorBid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2"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1C41DE"/>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C41D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0F7D3A"/>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E20A5D"/>
    <w:pPr>
      <w:numPr>
        <w:numId w:val="2"/>
      </w:numPr>
      <w:outlineLvl w:val="0"/>
    </w:pPr>
    <w:rPr>
      <w:rFonts w:ascii="Arial" w:hAnsi="Arial" w:cs="Arial"/>
      <w:snapToGrid w:val="0"/>
      <w:sz w:val="22"/>
      <w:szCs w:val="22"/>
      <w:lang w:eastAsia="en-US"/>
    </w:rPr>
  </w:style>
  <w:style w:type="paragraph" w:styleId="DocumentMap">
    <w:name w:val="Document Map"/>
    <w:basedOn w:val="Normal"/>
    <w:link w:val="DocumentMapChar"/>
    <w:semiHidden/>
    <w:unhideWhenUsed/>
    <w:rsid w:val="00F37E12"/>
    <w:rPr>
      <w:rFonts w:ascii="Lucida Grande" w:hAnsi="Lucida Grande" w:cs="Lucida Grande"/>
      <w:sz w:val="24"/>
    </w:rPr>
  </w:style>
  <w:style w:type="character" w:customStyle="1" w:styleId="DocumentMapChar">
    <w:name w:val="Document Map Char"/>
    <w:basedOn w:val="DefaultParagraphFont"/>
    <w:link w:val="DocumentMap"/>
    <w:semiHidden/>
    <w:rsid w:val="00F37E12"/>
    <w:rPr>
      <w:rFonts w:ascii="Lucida Grande" w:hAnsi="Lucida Grande" w:cs="Lucida Grande"/>
      <w:snapToGrid w:val="0"/>
      <w:sz w:val="24"/>
      <w:szCs w:val="24"/>
      <w:lang w:eastAsia="en-US"/>
    </w:rPr>
  </w:style>
  <w:style w:type="table" w:customStyle="1" w:styleId="Summarybox1">
    <w:name w:val="Summary box1"/>
    <w:basedOn w:val="TableNormal"/>
    <w:next w:val="TableGrid"/>
    <w:uiPriority w:val="59"/>
    <w:rsid w:val="005536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34"/>
    <w:rsid w:val="005536C0"/>
    <w:rPr>
      <w:rFonts w:ascii="Arial" w:hAnsi="Arial" w:cs="Arial"/>
      <w:snapToGrid w:val="0"/>
      <w:sz w:val="22"/>
      <w:lang w:eastAsia="en-US"/>
    </w:rPr>
  </w:style>
  <w:style w:type="table" w:customStyle="1" w:styleId="TableGrid8">
    <w:name w:val="Table Grid8"/>
    <w:basedOn w:val="TableNormal"/>
    <w:next w:val="TableGrid"/>
    <w:uiPriority w:val="59"/>
    <w:rsid w:val="005536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434601"/>
    <w:rPr>
      <w:b/>
      <w:bCs/>
    </w:rPr>
  </w:style>
  <w:style w:type="table" w:customStyle="1" w:styleId="Summarybox2">
    <w:name w:val="Summary box2"/>
    <w:basedOn w:val="TableNormal"/>
    <w:next w:val="TableGrid"/>
    <w:uiPriority w:val="59"/>
    <w:rsid w:val="006D7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353B81"/>
    <w:pPr>
      <w:ind w:left="720" w:hanging="720"/>
    </w:pPr>
    <w:rPr>
      <w:rFonts w:ascii="Arial" w:hAnsi="Arial" w:cs="Arial"/>
      <w:b/>
      <w:snapToGrid w:val="0"/>
      <w:sz w:val="22"/>
      <w:szCs w:val="22"/>
      <w:lang w:eastAsia="en-US"/>
    </w:rPr>
  </w:style>
  <w:style w:type="paragraph" w:styleId="FootnoteText">
    <w:name w:val="footnote text"/>
    <w:basedOn w:val="Normal"/>
    <w:link w:val="FootnoteTextChar"/>
    <w:unhideWhenUsed/>
    <w:rsid w:val="00683030"/>
    <w:rPr>
      <w:sz w:val="24"/>
    </w:rPr>
  </w:style>
  <w:style w:type="character" w:customStyle="1" w:styleId="FootnoteTextChar">
    <w:name w:val="Footnote Text Char"/>
    <w:basedOn w:val="DefaultParagraphFont"/>
    <w:link w:val="FootnoteText"/>
    <w:rsid w:val="00683030"/>
    <w:rPr>
      <w:rFonts w:ascii="Arial" w:hAnsi="Arial" w:cs="Arial"/>
      <w:snapToGrid w:val="0"/>
      <w:lang w:eastAsia="en-US"/>
    </w:rPr>
  </w:style>
  <w:style w:type="character" w:styleId="FootnoteReference">
    <w:name w:val="footnote reference"/>
    <w:basedOn w:val="DefaultParagraphFont"/>
    <w:unhideWhenUsed/>
    <w:rsid w:val="00683030"/>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A7BCF"/>
    <w:pPr>
      <w:widowControl/>
      <w:spacing w:after="160" w:line="240" w:lineRule="exact"/>
      <w:jc w:val="left"/>
    </w:pPr>
    <w:rPr>
      <w:rFonts w:ascii="Verdana" w:eastAsia="MS Mincho" w:hAnsi="Verdana" w:cs="Verdana"/>
      <w:snapToGrid/>
      <w:sz w:val="20"/>
      <w:szCs w:val="20"/>
      <w:lang w:val="en-US"/>
    </w:rPr>
  </w:style>
  <w:style w:type="character" w:customStyle="1" w:styleId="TableTextChar0">
    <w:name w:val="TableText Char"/>
    <w:link w:val="TableText0"/>
    <w:uiPriority w:val="3"/>
    <w:rsid w:val="007A7BCF"/>
    <w:rPr>
      <w:rFonts w:ascii="Arial Narrow" w:hAnsi="Arial Narrow" w:cs="Arial Narrow"/>
      <w:sz w:val="20"/>
      <w:lang w:eastAsia="en-US"/>
    </w:rPr>
  </w:style>
  <w:style w:type="paragraph" w:styleId="Subtitle">
    <w:name w:val="Subtitle"/>
    <w:basedOn w:val="Normal"/>
    <w:link w:val="SubtitleChar"/>
    <w:qFormat/>
    <w:rsid w:val="00823D69"/>
    <w:pPr>
      <w:widowControl/>
    </w:pPr>
    <w:rPr>
      <w:rFonts w:ascii="Times New Roman" w:hAnsi="Times New Roman" w:cs="Times New Roman"/>
      <w:b/>
      <w:snapToGrid/>
      <w:sz w:val="24"/>
      <w:szCs w:val="20"/>
      <w:lang w:eastAsia="en-AU"/>
    </w:rPr>
  </w:style>
  <w:style w:type="character" w:customStyle="1" w:styleId="SubtitleChar">
    <w:name w:val="Subtitle Char"/>
    <w:basedOn w:val="DefaultParagraphFont"/>
    <w:link w:val="Subtitle"/>
    <w:rsid w:val="00823D69"/>
    <w:rPr>
      <w:b/>
      <w:szCs w:val="20"/>
    </w:rPr>
  </w:style>
  <w:style w:type="paragraph" w:customStyle="1" w:styleId="TableNotes">
    <w:name w:val="TableNotes"/>
    <w:basedOn w:val="Normal"/>
    <w:next w:val="Normal"/>
    <w:link w:val="TableNotesChar"/>
    <w:uiPriority w:val="3"/>
    <w:qFormat/>
    <w:rsid w:val="00D95F75"/>
    <w:pPr>
      <w:widowControl/>
      <w:tabs>
        <w:tab w:val="left" w:pos="1134"/>
      </w:tabs>
      <w:spacing w:after="240"/>
      <w:ind w:left="1134" w:hanging="1134"/>
      <w:jc w:val="left"/>
    </w:pPr>
    <w:rPr>
      <w:rFonts w:ascii="Calibri" w:eastAsiaTheme="minorEastAsia" w:hAnsi="Calibri" w:cstheme="minorBidi"/>
      <w:snapToGrid/>
      <w:sz w:val="18"/>
      <w:szCs w:val="18"/>
    </w:rPr>
  </w:style>
  <w:style w:type="character" w:customStyle="1" w:styleId="TableNotesChar">
    <w:name w:val="TableNotes Char"/>
    <w:basedOn w:val="DefaultParagraphFont"/>
    <w:link w:val="TableNotes"/>
    <w:uiPriority w:val="3"/>
    <w:rsid w:val="00D95F75"/>
    <w:rPr>
      <w:rFonts w:ascii="Calibri" w:eastAsiaTheme="minorEastAsia" w:hAnsi="Calibri" w:cstheme="minorBidi"/>
      <w:sz w:val="18"/>
      <w:szCs w:val="18"/>
      <w:lang w:eastAsia="en-US"/>
    </w:rPr>
  </w:style>
  <w:style w:type="paragraph" w:customStyle="1" w:styleId="ESNormal">
    <w:name w:val="ES_Normal"/>
    <w:basedOn w:val="Normal"/>
    <w:link w:val="ESNormalChar"/>
    <w:qFormat/>
    <w:rsid w:val="00925B70"/>
    <w:pPr>
      <w:widowControl/>
      <w:spacing w:after="120" w:line="259" w:lineRule="auto"/>
    </w:pPr>
    <w:rPr>
      <w:rFonts w:ascii="Calibri" w:eastAsiaTheme="minorEastAsia" w:hAnsi="Calibri" w:cstheme="minorBidi"/>
      <w:snapToGrid/>
      <w:szCs w:val="22"/>
      <w:lang w:eastAsia="zh-CN"/>
    </w:rPr>
  </w:style>
  <w:style w:type="character" w:customStyle="1" w:styleId="ESNormalChar">
    <w:name w:val="ES_Normal Char"/>
    <w:basedOn w:val="DefaultParagraphFont"/>
    <w:link w:val="ESNormal"/>
    <w:rsid w:val="00925B70"/>
    <w:rPr>
      <w:rFonts w:ascii="Calibri" w:eastAsiaTheme="minorEastAsia" w:hAnsi="Calibr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72915">
      <w:bodyDiv w:val="1"/>
      <w:marLeft w:val="0"/>
      <w:marRight w:val="0"/>
      <w:marTop w:val="0"/>
      <w:marBottom w:val="0"/>
      <w:divBdr>
        <w:top w:val="none" w:sz="0" w:space="0" w:color="auto"/>
        <w:left w:val="none" w:sz="0" w:space="0" w:color="auto"/>
        <w:bottom w:val="none" w:sz="0" w:space="0" w:color="auto"/>
        <w:right w:val="none" w:sz="0" w:space="0" w:color="auto"/>
      </w:divBdr>
    </w:div>
    <w:div w:id="1184897268">
      <w:bodyDiv w:val="1"/>
      <w:marLeft w:val="0"/>
      <w:marRight w:val="0"/>
      <w:marTop w:val="0"/>
      <w:marBottom w:val="0"/>
      <w:divBdr>
        <w:top w:val="none" w:sz="0" w:space="0" w:color="auto"/>
        <w:left w:val="none" w:sz="0" w:space="0" w:color="auto"/>
        <w:bottom w:val="none" w:sz="0" w:space="0" w:color="auto"/>
        <w:right w:val="none" w:sz="0" w:space="0" w:color="auto"/>
      </w:divBdr>
    </w:div>
    <w:div w:id="1723090437">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8026-955F-423E-AA43-B988F551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11504</Words>
  <Characters>69605</Characters>
  <Application>Microsoft Office Word</Application>
  <DocSecurity>0</DocSecurity>
  <Lines>580</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2017-02-13T23:17:00Z</dcterms:created>
  <dcterms:modified xsi:type="dcterms:W3CDTF">2017-02-17T04:00:00Z</dcterms:modified>
</cp:coreProperties>
</file>