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4" w:rsidRPr="0091481E" w:rsidRDefault="00591ADE" w:rsidP="00783CB7">
      <w:pPr>
        <w:pStyle w:val="Title"/>
        <w:spacing w:after="0"/>
        <w:ind w:left="709" w:hanging="709"/>
        <w:rPr>
          <w:szCs w:val="28"/>
        </w:rPr>
      </w:pPr>
      <w:r w:rsidRPr="0091481E">
        <w:rPr>
          <w:szCs w:val="28"/>
        </w:rPr>
        <w:t>5</w:t>
      </w:r>
      <w:r w:rsidR="0004240E" w:rsidRPr="0091481E">
        <w:rPr>
          <w:szCs w:val="28"/>
        </w:rPr>
        <w:t>.</w:t>
      </w:r>
      <w:r w:rsidRPr="0091481E">
        <w:rPr>
          <w:szCs w:val="28"/>
        </w:rPr>
        <w:t>25</w:t>
      </w:r>
      <w:r w:rsidR="007C0F57" w:rsidRPr="0091481E">
        <w:rPr>
          <w:szCs w:val="28"/>
        </w:rPr>
        <w:tab/>
      </w:r>
      <w:r w:rsidR="009F467A" w:rsidRPr="0091481E">
        <w:rPr>
          <w:szCs w:val="28"/>
        </w:rPr>
        <w:t>PEMBROLIZUMAB</w:t>
      </w:r>
      <w:r w:rsidR="008A50F1" w:rsidRPr="0091481E">
        <w:rPr>
          <w:szCs w:val="28"/>
        </w:rPr>
        <w:br/>
      </w:r>
      <w:r w:rsidR="00B64110" w:rsidRPr="0091481E">
        <w:rPr>
          <w:szCs w:val="28"/>
        </w:rPr>
        <w:t>concentrated injection</w:t>
      </w:r>
      <w:r w:rsidRPr="0091481E">
        <w:rPr>
          <w:szCs w:val="28"/>
        </w:rPr>
        <w:t>, 100</w:t>
      </w:r>
      <w:r w:rsidR="009F467A" w:rsidRPr="0091481E">
        <w:rPr>
          <w:szCs w:val="28"/>
        </w:rPr>
        <w:t> </w:t>
      </w:r>
      <w:r w:rsidRPr="0091481E">
        <w:rPr>
          <w:szCs w:val="28"/>
        </w:rPr>
        <w:t>mg</w:t>
      </w:r>
      <w:r w:rsidR="008A50F1" w:rsidRPr="0091481E">
        <w:rPr>
          <w:szCs w:val="28"/>
        </w:rPr>
        <w:br/>
      </w:r>
      <w:proofErr w:type="spellStart"/>
      <w:r w:rsidRPr="0091481E">
        <w:rPr>
          <w:szCs w:val="28"/>
        </w:rPr>
        <w:t>Keytruda</w:t>
      </w:r>
      <w:proofErr w:type="spellEnd"/>
      <w:r w:rsidR="0004240E" w:rsidRPr="0091481E">
        <w:rPr>
          <w:szCs w:val="28"/>
          <w:vertAlign w:val="superscript"/>
        </w:rPr>
        <w:t>®</w:t>
      </w:r>
      <w:proofErr w:type="gramStart"/>
      <w:r w:rsidR="00FB702D">
        <w:rPr>
          <w:szCs w:val="28"/>
        </w:rPr>
        <w:t>,</w:t>
      </w:r>
      <w:proofErr w:type="gramEnd"/>
      <w:r w:rsidR="001C5A15">
        <w:rPr>
          <w:szCs w:val="28"/>
        </w:rPr>
        <w:br/>
      </w:r>
      <w:r w:rsidRPr="0091481E">
        <w:rPr>
          <w:szCs w:val="28"/>
        </w:rPr>
        <w:t>Merck Sharp and Dohme Australia Pty Ltd</w:t>
      </w:r>
      <w:r w:rsidR="001C5A15">
        <w:rPr>
          <w:szCs w:val="28"/>
        </w:rPr>
        <w:t>.</w:t>
      </w:r>
    </w:p>
    <w:p w:rsidR="00A209A7" w:rsidRDefault="00A209A7" w:rsidP="00A209A7">
      <w:pPr>
        <w:rPr>
          <w:rFonts w:ascii="Arial" w:hAnsi="Arial" w:cs="Arial"/>
          <w:sz w:val="22"/>
          <w:szCs w:val="22"/>
        </w:rPr>
      </w:pPr>
    </w:p>
    <w:p w:rsidR="006D3CBE" w:rsidRPr="006D3CBE" w:rsidRDefault="006D3CBE" w:rsidP="006D3CBE">
      <w:pPr>
        <w:rPr>
          <w:b/>
          <w:i/>
          <w:color w:val="FF0000"/>
          <w:szCs w:val="22"/>
          <w:u w:val="single"/>
        </w:rPr>
      </w:pPr>
      <w:r w:rsidRPr="00607014">
        <w:rPr>
          <w:b/>
          <w:i/>
          <w:color w:val="FF0000"/>
          <w:szCs w:val="22"/>
          <w:u w:val="single"/>
        </w:rPr>
        <w:t>Corrigendum</w:t>
      </w:r>
      <w:r w:rsidRPr="006D3CBE">
        <w:rPr>
          <w:i/>
          <w:color w:val="FF0000"/>
          <w:szCs w:val="22"/>
        </w:rPr>
        <w:t xml:space="preserve"> </w:t>
      </w:r>
      <w:r w:rsidRPr="00607014">
        <w:rPr>
          <w:i/>
          <w:color w:val="FF0000"/>
          <w:szCs w:val="22"/>
        </w:rPr>
        <w:t xml:space="preserve">Replace the </w:t>
      </w:r>
      <w:r>
        <w:rPr>
          <w:i/>
          <w:color w:val="FF0000"/>
          <w:szCs w:val="22"/>
        </w:rPr>
        <w:t>November 2016 Public Summary Document</w:t>
      </w:r>
      <w:r w:rsidRPr="00607014">
        <w:rPr>
          <w:i/>
          <w:color w:val="FF0000"/>
          <w:szCs w:val="22"/>
        </w:rPr>
        <w:t xml:space="preserve"> for</w:t>
      </w:r>
      <w:r>
        <w:rPr>
          <w:i/>
          <w:color w:val="FF0000"/>
          <w:szCs w:val="22"/>
        </w:rPr>
        <w:t xml:space="preserve"> 5.25 </w:t>
      </w:r>
      <w:proofErr w:type="spellStart"/>
      <w:r>
        <w:rPr>
          <w:i/>
          <w:color w:val="FF0000"/>
          <w:szCs w:val="22"/>
        </w:rPr>
        <w:t>pembrolizumab</w:t>
      </w:r>
      <w:proofErr w:type="spellEnd"/>
      <w:r w:rsidRPr="00DE1049">
        <w:rPr>
          <w:i/>
          <w:color w:val="FF0000"/>
          <w:szCs w:val="22"/>
        </w:rPr>
        <w:t xml:space="preserve"> </w:t>
      </w:r>
      <w:r>
        <w:rPr>
          <w:i/>
          <w:color w:val="FF0000"/>
          <w:szCs w:val="22"/>
        </w:rPr>
        <w:t xml:space="preserve">with the following revised minutes (7.1 recommended listing is revised for correct </w:t>
      </w:r>
      <w:r w:rsidR="001B6E1B">
        <w:rPr>
          <w:i/>
          <w:color w:val="FF0000"/>
          <w:szCs w:val="22"/>
        </w:rPr>
        <w:t>repeats</w:t>
      </w:r>
      <w:bookmarkStart w:id="0" w:name="_GoBack"/>
      <w:bookmarkEnd w:id="0"/>
      <w:r>
        <w:rPr>
          <w:i/>
          <w:color w:val="FF0000"/>
          <w:szCs w:val="22"/>
        </w:rPr>
        <w:t>).</w:t>
      </w:r>
    </w:p>
    <w:p w:rsidR="006D3CBE" w:rsidRPr="0091481E" w:rsidRDefault="006D3CBE" w:rsidP="00A209A7">
      <w:pPr>
        <w:rPr>
          <w:rFonts w:ascii="Arial" w:hAnsi="Arial" w:cs="Arial"/>
          <w:sz w:val="22"/>
          <w:szCs w:val="22"/>
        </w:rPr>
      </w:pPr>
    </w:p>
    <w:p w:rsidR="00A209A7" w:rsidRPr="0091481E" w:rsidRDefault="00A209A7" w:rsidP="00A209A7">
      <w:pPr>
        <w:rPr>
          <w:rFonts w:ascii="Arial" w:hAnsi="Arial" w:cs="Arial"/>
          <w:sz w:val="22"/>
          <w:szCs w:val="22"/>
        </w:rPr>
      </w:pPr>
    </w:p>
    <w:p w:rsidR="00E15627" w:rsidRPr="0091481E" w:rsidRDefault="00CE10C4" w:rsidP="00E15627">
      <w:pPr>
        <w:pStyle w:val="PBACHeading1"/>
      </w:pPr>
      <w:r w:rsidRPr="0091481E">
        <w:t xml:space="preserve">Purpose of </w:t>
      </w:r>
      <w:r w:rsidR="0004240E" w:rsidRPr="0091481E">
        <w:t>Application</w:t>
      </w:r>
    </w:p>
    <w:p w:rsidR="008A50F1" w:rsidRPr="0091481E" w:rsidRDefault="008A50F1" w:rsidP="00E15627">
      <w:pPr>
        <w:rPr>
          <w:rFonts w:ascii="Arial" w:hAnsi="Arial" w:cs="Arial"/>
          <w:sz w:val="22"/>
          <w:szCs w:val="22"/>
        </w:rPr>
      </w:pPr>
    </w:p>
    <w:p w:rsidR="00F9629A" w:rsidRPr="0091481E" w:rsidRDefault="00EF44A0" w:rsidP="00C27B58">
      <w:pPr>
        <w:pStyle w:val="ListParagraph"/>
        <w:numPr>
          <w:ilvl w:val="1"/>
          <w:numId w:val="5"/>
        </w:numPr>
        <w:rPr>
          <w:szCs w:val="22"/>
        </w:rPr>
      </w:pPr>
      <w:r w:rsidRPr="0091481E">
        <w:rPr>
          <w:szCs w:val="22"/>
        </w:rPr>
        <w:t>The mi</w:t>
      </w:r>
      <w:r w:rsidR="00FF2801" w:rsidRPr="0091481E">
        <w:rPr>
          <w:szCs w:val="22"/>
        </w:rPr>
        <w:t xml:space="preserve">nor submission </w:t>
      </w:r>
      <w:r w:rsidR="00FB702D">
        <w:rPr>
          <w:szCs w:val="22"/>
        </w:rPr>
        <w:t xml:space="preserve">requested the listing of </w:t>
      </w:r>
      <w:proofErr w:type="gramStart"/>
      <w:r w:rsidR="00FB702D">
        <w:rPr>
          <w:szCs w:val="22"/>
        </w:rPr>
        <w:t xml:space="preserve">a </w:t>
      </w:r>
      <w:r w:rsidR="00591ADE" w:rsidRPr="0091481E">
        <w:rPr>
          <w:szCs w:val="22"/>
        </w:rPr>
        <w:t>new</w:t>
      </w:r>
      <w:proofErr w:type="gramEnd"/>
      <w:r w:rsidR="009F467A" w:rsidRPr="0091481E">
        <w:rPr>
          <w:szCs w:val="22"/>
        </w:rPr>
        <w:t xml:space="preserve"> 100 </w:t>
      </w:r>
      <w:r w:rsidR="00591ADE" w:rsidRPr="0091481E">
        <w:rPr>
          <w:szCs w:val="22"/>
        </w:rPr>
        <w:t xml:space="preserve">mg strength of pembrolizumab as a </w:t>
      </w:r>
      <w:r w:rsidR="00B64110" w:rsidRPr="0091481E">
        <w:rPr>
          <w:szCs w:val="22"/>
        </w:rPr>
        <w:t>concentrated injection</w:t>
      </w:r>
      <w:r w:rsidR="00591ADE" w:rsidRPr="0091481E">
        <w:rPr>
          <w:szCs w:val="22"/>
        </w:rPr>
        <w:t>, with the same indications and dosing regimen as for th</w:t>
      </w:r>
      <w:r w:rsidR="009F467A" w:rsidRPr="0091481E">
        <w:rPr>
          <w:szCs w:val="22"/>
        </w:rPr>
        <w:t>e current PBS listing of the 50 </w:t>
      </w:r>
      <w:r w:rsidR="00591ADE" w:rsidRPr="0091481E">
        <w:rPr>
          <w:szCs w:val="22"/>
        </w:rPr>
        <w:t>mg powder for injection.</w:t>
      </w:r>
    </w:p>
    <w:p w:rsidR="00EF44A0" w:rsidRPr="0091481E" w:rsidRDefault="00EF44A0" w:rsidP="00C27B58">
      <w:pPr>
        <w:pStyle w:val="NoSpacing"/>
      </w:pPr>
    </w:p>
    <w:p w:rsidR="00A209A7" w:rsidRPr="0091481E" w:rsidRDefault="00A209A7" w:rsidP="00C27B58">
      <w:pPr>
        <w:pStyle w:val="NoSpacing"/>
      </w:pPr>
    </w:p>
    <w:p w:rsidR="00962223" w:rsidRPr="0091481E" w:rsidRDefault="006A12A5" w:rsidP="008A50F1">
      <w:pPr>
        <w:pStyle w:val="PBACHeading1"/>
      </w:pPr>
      <w:r w:rsidRPr="0091481E">
        <w:t>Requested listing</w:t>
      </w:r>
    </w:p>
    <w:p w:rsidR="006A12A5" w:rsidRPr="0091481E" w:rsidRDefault="006A12A5" w:rsidP="00882085">
      <w:pPr>
        <w:jc w:val="both"/>
        <w:rPr>
          <w:rFonts w:ascii="Arial" w:hAnsi="Arial"/>
          <w:sz w:val="22"/>
          <w:szCs w:val="22"/>
        </w:rPr>
      </w:pPr>
    </w:p>
    <w:p w:rsidR="00826F6D" w:rsidRPr="0091481E" w:rsidRDefault="00EF44A0" w:rsidP="008A50F1">
      <w:pPr>
        <w:pStyle w:val="ListParagraph"/>
        <w:numPr>
          <w:ilvl w:val="1"/>
          <w:numId w:val="5"/>
        </w:numPr>
        <w:rPr>
          <w:szCs w:val="22"/>
        </w:rPr>
      </w:pPr>
      <w:r w:rsidRPr="0091481E">
        <w:rPr>
          <w:szCs w:val="22"/>
        </w:rPr>
        <w:t xml:space="preserve">The submission </w:t>
      </w:r>
      <w:r w:rsidR="00FF2801" w:rsidRPr="0091481E">
        <w:rPr>
          <w:szCs w:val="22"/>
        </w:rPr>
        <w:t>requested</w:t>
      </w:r>
      <w:r w:rsidRPr="0091481E">
        <w:rPr>
          <w:szCs w:val="22"/>
        </w:rPr>
        <w:t xml:space="preserve"> the </w:t>
      </w:r>
      <w:r w:rsidR="00591ADE" w:rsidRPr="0091481E">
        <w:rPr>
          <w:szCs w:val="22"/>
        </w:rPr>
        <w:t xml:space="preserve">same restriction as for the currently listed </w:t>
      </w:r>
      <w:r w:rsidR="0091481E" w:rsidRPr="0091481E">
        <w:rPr>
          <w:szCs w:val="22"/>
        </w:rPr>
        <w:t>pembrolizumab</w:t>
      </w:r>
      <w:r w:rsidR="00591ADE" w:rsidRPr="0091481E">
        <w:rPr>
          <w:szCs w:val="22"/>
        </w:rPr>
        <w:t xml:space="preserve"> 50</w:t>
      </w:r>
      <w:r w:rsidR="009F467A" w:rsidRPr="0091481E">
        <w:rPr>
          <w:szCs w:val="22"/>
        </w:rPr>
        <w:t> </w:t>
      </w:r>
      <w:r w:rsidR="00591ADE" w:rsidRPr="0091481E">
        <w:rPr>
          <w:szCs w:val="22"/>
        </w:rPr>
        <w:t>mg powder for injection.</w:t>
      </w:r>
    </w:p>
    <w:p w:rsidR="00826F6D" w:rsidRPr="0091481E" w:rsidRDefault="00826F6D" w:rsidP="00C27B58">
      <w:pPr>
        <w:pStyle w:val="NoSpacing"/>
      </w:pPr>
    </w:p>
    <w:tbl>
      <w:tblPr>
        <w:tblW w:w="8363" w:type="dxa"/>
        <w:tblInd w:w="817" w:type="dxa"/>
        <w:tblLayout w:type="fixed"/>
        <w:tblLook w:val="0000" w:firstRow="0" w:lastRow="0" w:firstColumn="0" w:lastColumn="0" w:noHBand="0" w:noVBand="0"/>
      </w:tblPr>
      <w:tblGrid>
        <w:gridCol w:w="2977"/>
        <w:gridCol w:w="850"/>
        <w:gridCol w:w="709"/>
        <w:gridCol w:w="1418"/>
        <w:gridCol w:w="1134"/>
        <w:gridCol w:w="1275"/>
      </w:tblGrid>
      <w:tr w:rsidR="00826F6D" w:rsidRPr="0091481E" w:rsidTr="009F467A">
        <w:trPr>
          <w:cantSplit/>
          <w:trHeight w:val="471"/>
        </w:trPr>
        <w:tc>
          <w:tcPr>
            <w:tcW w:w="2977" w:type="dxa"/>
            <w:tcBorders>
              <w:bottom w:val="single" w:sz="4" w:space="0" w:color="auto"/>
            </w:tcBorders>
          </w:tcPr>
          <w:p w:rsidR="00826F6D" w:rsidRPr="0091481E" w:rsidRDefault="00826F6D" w:rsidP="00C27B58">
            <w:pPr>
              <w:keepNext/>
              <w:ind w:left="-108"/>
              <w:jc w:val="both"/>
              <w:rPr>
                <w:rFonts w:ascii="Arial Narrow" w:hAnsi="Arial Narrow" w:cs="Arial"/>
                <w:b/>
                <w:sz w:val="20"/>
                <w:szCs w:val="20"/>
              </w:rPr>
            </w:pPr>
            <w:r w:rsidRPr="0091481E">
              <w:rPr>
                <w:rFonts w:ascii="Arial Narrow" w:hAnsi="Arial Narrow" w:cs="Arial"/>
                <w:b/>
                <w:sz w:val="20"/>
                <w:szCs w:val="20"/>
              </w:rPr>
              <w:t>Name, Restriction,</w:t>
            </w:r>
          </w:p>
          <w:p w:rsidR="00826F6D" w:rsidRPr="0091481E" w:rsidRDefault="00826F6D" w:rsidP="00C27B58">
            <w:pPr>
              <w:keepNext/>
              <w:ind w:left="-108"/>
              <w:jc w:val="both"/>
              <w:rPr>
                <w:rFonts w:ascii="Arial Narrow" w:hAnsi="Arial Narrow" w:cs="Arial"/>
                <w:b/>
                <w:sz w:val="20"/>
                <w:szCs w:val="20"/>
              </w:rPr>
            </w:pPr>
            <w:r w:rsidRPr="0091481E">
              <w:rPr>
                <w:rFonts w:ascii="Arial Narrow" w:hAnsi="Arial Narrow" w:cs="Arial"/>
                <w:b/>
                <w:sz w:val="20"/>
                <w:szCs w:val="20"/>
              </w:rPr>
              <w:t>Manner of administration and form</w:t>
            </w:r>
          </w:p>
        </w:tc>
        <w:tc>
          <w:tcPr>
            <w:tcW w:w="850" w:type="dxa"/>
            <w:tcBorders>
              <w:bottom w:val="single" w:sz="4" w:space="0" w:color="auto"/>
            </w:tcBorders>
          </w:tcPr>
          <w:p w:rsidR="00826F6D" w:rsidRPr="0091481E" w:rsidRDefault="00826F6D" w:rsidP="00C27B58">
            <w:pPr>
              <w:keepNext/>
              <w:ind w:left="-108"/>
              <w:jc w:val="both"/>
              <w:rPr>
                <w:rFonts w:ascii="Arial Narrow" w:hAnsi="Arial Narrow" w:cs="Arial"/>
                <w:b/>
                <w:sz w:val="20"/>
                <w:szCs w:val="20"/>
              </w:rPr>
            </w:pPr>
            <w:r w:rsidRPr="0091481E">
              <w:rPr>
                <w:rFonts w:ascii="Arial Narrow" w:hAnsi="Arial Narrow" w:cs="Arial"/>
                <w:b/>
                <w:sz w:val="20"/>
                <w:szCs w:val="20"/>
              </w:rPr>
              <w:t>Max.</w:t>
            </w:r>
          </w:p>
          <w:p w:rsidR="00826F6D" w:rsidRPr="0091481E" w:rsidRDefault="0056168D" w:rsidP="00C27B58">
            <w:pPr>
              <w:keepNext/>
              <w:ind w:left="-108"/>
              <w:jc w:val="both"/>
              <w:rPr>
                <w:rFonts w:ascii="Arial Narrow" w:hAnsi="Arial Narrow" w:cs="Arial"/>
                <w:b/>
                <w:sz w:val="20"/>
                <w:szCs w:val="20"/>
              </w:rPr>
            </w:pPr>
            <w:r w:rsidRPr="0091481E">
              <w:rPr>
                <w:rFonts w:ascii="Arial Narrow" w:hAnsi="Arial Narrow" w:cs="Arial"/>
                <w:b/>
                <w:sz w:val="20"/>
                <w:szCs w:val="20"/>
              </w:rPr>
              <w:t>Amt</w:t>
            </w:r>
          </w:p>
        </w:tc>
        <w:tc>
          <w:tcPr>
            <w:tcW w:w="709" w:type="dxa"/>
            <w:tcBorders>
              <w:bottom w:val="single" w:sz="4" w:space="0" w:color="auto"/>
            </w:tcBorders>
          </w:tcPr>
          <w:p w:rsidR="00826F6D" w:rsidRPr="0091481E" w:rsidRDefault="00826F6D" w:rsidP="00C27B58">
            <w:pPr>
              <w:keepNext/>
              <w:ind w:left="-108"/>
              <w:jc w:val="both"/>
              <w:rPr>
                <w:rFonts w:ascii="Arial Narrow" w:hAnsi="Arial Narrow" w:cs="Arial"/>
                <w:b/>
                <w:sz w:val="20"/>
                <w:szCs w:val="20"/>
              </w:rPr>
            </w:pPr>
            <w:r w:rsidRPr="0091481E">
              <w:rPr>
                <w:rFonts w:ascii="Arial Narrow" w:hAnsi="Arial Narrow" w:cs="Arial"/>
                <w:b/>
                <w:sz w:val="20"/>
                <w:szCs w:val="20"/>
              </w:rPr>
              <w:t>№.of</w:t>
            </w:r>
          </w:p>
          <w:p w:rsidR="00826F6D" w:rsidRPr="0091481E" w:rsidRDefault="00826F6D" w:rsidP="00C27B58">
            <w:pPr>
              <w:keepNext/>
              <w:ind w:left="-108"/>
              <w:jc w:val="both"/>
              <w:rPr>
                <w:rFonts w:ascii="Arial Narrow" w:hAnsi="Arial Narrow" w:cs="Arial"/>
                <w:b/>
                <w:sz w:val="20"/>
                <w:szCs w:val="20"/>
              </w:rPr>
            </w:pPr>
            <w:r w:rsidRPr="0091481E">
              <w:rPr>
                <w:rFonts w:ascii="Arial Narrow" w:hAnsi="Arial Narrow" w:cs="Arial"/>
                <w:b/>
                <w:sz w:val="20"/>
                <w:szCs w:val="20"/>
              </w:rPr>
              <w:t>Rpts</w:t>
            </w:r>
          </w:p>
        </w:tc>
        <w:tc>
          <w:tcPr>
            <w:tcW w:w="1418" w:type="dxa"/>
            <w:tcBorders>
              <w:bottom w:val="single" w:sz="4" w:space="0" w:color="auto"/>
            </w:tcBorders>
          </w:tcPr>
          <w:p w:rsidR="00826F6D" w:rsidRPr="0091481E" w:rsidRDefault="00826F6D" w:rsidP="00C27B58">
            <w:pPr>
              <w:keepNext/>
              <w:ind w:left="-108"/>
              <w:jc w:val="both"/>
              <w:rPr>
                <w:rFonts w:ascii="Arial Narrow" w:hAnsi="Arial Narrow" w:cs="Arial"/>
                <w:b/>
                <w:sz w:val="20"/>
                <w:szCs w:val="20"/>
              </w:rPr>
            </w:pPr>
            <w:r w:rsidRPr="0091481E">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91481E" w:rsidRDefault="00826F6D" w:rsidP="00C27B58">
            <w:pPr>
              <w:keepNext/>
              <w:jc w:val="both"/>
              <w:rPr>
                <w:rFonts w:ascii="Arial Narrow" w:hAnsi="Arial Narrow" w:cs="Arial"/>
                <w:b/>
                <w:sz w:val="20"/>
                <w:szCs w:val="20"/>
              </w:rPr>
            </w:pPr>
            <w:r w:rsidRPr="0091481E">
              <w:rPr>
                <w:rFonts w:ascii="Arial Narrow" w:hAnsi="Arial Narrow" w:cs="Arial"/>
                <w:b/>
                <w:sz w:val="20"/>
                <w:szCs w:val="20"/>
              </w:rPr>
              <w:t>Proprietary Name and Manufacturer</w:t>
            </w:r>
          </w:p>
        </w:tc>
      </w:tr>
      <w:tr w:rsidR="00826F6D" w:rsidRPr="0091481E" w:rsidTr="009F467A">
        <w:trPr>
          <w:cantSplit/>
          <w:trHeight w:val="577"/>
        </w:trPr>
        <w:tc>
          <w:tcPr>
            <w:tcW w:w="2977" w:type="dxa"/>
          </w:tcPr>
          <w:p w:rsidR="00826F6D" w:rsidRPr="0091481E" w:rsidRDefault="00591ADE" w:rsidP="00C27B58">
            <w:pPr>
              <w:keepNext/>
              <w:ind w:left="-108"/>
              <w:jc w:val="both"/>
              <w:rPr>
                <w:rFonts w:ascii="Arial Narrow" w:hAnsi="Arial Narrow" w:cs="Arial"/>
                <w:sz w:val="20"/>
                <w:szCs w:val="20"/>
              </w:rPr>
            </w:pPr>
            <w:r w:rsidRPr="0091481E">
              <w:rPr>
                <w:rFonts w:ascii="Arial Narrow" w:hAnsi="Arial Narrow" w:cs="Arial"/>
                <w:smallCaps/>
                <w:sz w:val="20"/>
                <w:szCs w:val="20"/>
              </w:rPr>
              <w:t>PEMBROLIZUMAB</w:t>
            </w:r>
          </w:p>
          <w:p w:rsidR="00826F6D" w:rsidRPr="0091481E" w:rsidRDefault="00B64110" w:rsidP="009F467A">
            <w:pPr>
              <w:keepNext/>
              <w:ind w:left="-108"/>
              <w:jc w:val="both"/>
              <w:rPr>
                <w:rFonts w:ascii="Arial Narrow" w:hAnsi="Arial Narrow" w:cs="Arial"/>
                <w:sz w:val="20"/>
                <w:szCs w:val="20"/>
              </w:rPr>
            </w:pPr>
            <w:r w:rsidRPr="0091481E">
              <w:rPr>
                <w:rFonts w:ascii="Arial Narrow" w:hAnsi="Arial Narrow" w:cs="Arial"/>
                <w:sz w:val="20"/>
                <w:szCs w:val="20"/>
              </w:rPr>
              <w:t>Concentrated injection</w:t>
            </w:r>
            <w:r w:rsidR="00591ADE" w:rsidRPr="0091481E">
              <w:rPr>
                <w:rFonts w:ascii="Arial Narrow" w:hAnsi="Arial Narrow" w:cs="Arial"/>
                <w:sz w:val="20"/>
                <w:szCs w:val="20"/>
              </w:rPr>
              <w:t>, 100</w:t>
            </w:r>
            <w:r w:rsidR="009F467A" w:rsidRPr="0091481E">
              <w:rPr>
                <w:rFonts w:ascii="Arial Narrow" w:hAnsi="Arial Narrow" w:cs="Arial"/>
                <w:sz w:val="20"/>
                <w:szCs w:val="20"/>
              </w:rPr>
              <w:t> </w:t>
            </w:r>
            <w:r w:rsidR="00591ADE" w:rsidRPr="0091481E">
              <w:rPr>
                <w:rFonts w:ascii="Arial Narrow" w:hAnsi="Arial Narrow" w:cs="Arial"/>
                <w:sz w:val="20"/>
                <w:szCs w:val="20"/>
              </w:rPr>
              <w:t>mg</w:t>
            </w:r>
          </w:p>
        </w:tc>
        <w:tc>
          <w:tcPr>
            <w:tcW w:w="850" w:type="dxa"/>
          </w:tcPr>
          <w:p w:rsidR="00826F6D" w:rsidRPr="0091481E" w:rsidRDefault="00826F6D" w:rsidP="00C27B58">
            <w:pPr>
              <w:keepNext/>
              <w:ind w:left="-108"/>
              <w:jc w:val="both"/>
              <w:rPr>
                <w:rFonts w:ascii="Arial Narrow" w:hAnsi="Arial Narrow" w:cs="Arial"/>
                <w:sz w:val="20"/>
                <w:szCs w:val="20"/>
              </w:rPr>
            </w:pPr>
          </w:p>
          <w:p w:rsidR="00826F6D" w:rsidRPr="0091481E" w:rsidRDefault="009F467A" w:rsidP="0056168D">
            <w:pPr>
              <w:keepNext/>
              <w:ind w:left="-108"/>
              <w:jc w:val="both"/>
              <w:rPr>
                <w:rFonts w:ascii="Arial Narrow" w:hAnsi="Arial Narrow" w:cs="Arial"/>
                <w:sz w:val="20"/>
                <w:szCs w:val="20"/>
              </w:rPr>
            </w:pPr>
            <w:r w:rsidRPr="0091481E">
              <w:rPr>
                <w:rFonts w:ascii="Arial Narrow" w:hAnsi="Arial Narrow" w:cs="Arial"/>
                <w:sz w:val="20"/>
                <w:szCs w:val="20"/>
              </w:rPr>
              <w:t>240 </w:t>
            </w:r>
            <w:r w:rsidR="0056168D" w:rsidRPr="0091481E">
              <w:rPr>
                <w:rFonts w:ascii="Arial Narrow" w:hAnsi="Arial Narrow" w:cs="Arial"/>
                <w:sz w:val="20"/>
                <w:szCs w:val="20"/>
              </w:rPr>
              <w:t>mg</w:t>
            </w:r>
          </w:p>
        </w:tc>
        <w:tc>
          <w:tcPr>
            <w:tcW w:w="709" w:type="dxa"/>
          </w:tcPr>
          <w:p w:rsidR="00826F6D" w:rsidRPr="0091481E" w:rsidRDefault="00826F6D" w:rsidP="00C27B58">
            <w:pPr>
              <w:keepNext/>
              <w:ind w:left="-108"/>
              <w:jc w:val="both"/>
              <w:rPr>
                <w:rFonts w:ascii="Arial Narrow" w:hAnsi="Arial Narrow" w:cs="Arial"/>
                <w:sz w:val="20"/>
                <w:szCs w:val="20"/>
              </w:rPr>
            </w:pPr>
          </w:p>
          <w:p w:rsidR="00826F6D" w:rsidRPr="0091481E" w:rsidRDefault="0056168D" w:rsidP="00C27B58">
            <w:pPr>
              <w:keepNext/>
              <w:ind w:left="-108"/>
              <w:jc w:val="both"/>
              <w:rPr>
                <w:rFonts w:ascii="Arial Narrow" w:hAnsi="Arial Narrow" w:cs="Arial"/>
                <w:sz w:val="20"/>
                <w:szCs w:val="20"/>
              </w:rPr>
            </w:pPr>
            <w:r w:rsidRPr="0091481E">
              <w:rPr>
                <w:rFonts w:ascii="Arial Narrow" w:hAnsi="Arial Narrow" w:cs="Arial"/>
                <w:sz w:val="20"/>
                <w:szCs w:val="20"/>
              </w:rPr>
              <w:t>7</w:t>
            </w:r>
          </w:p>
        </w:tc>
        <w:tc>
          <w:tcPr>
            <w:tcW w:w="1418" w:type="dxa"/>
          </w:tcPr>
          <w:p w:rsidR="00826F6D" w:rsidRPr="0091481E" w:rsidRDefault="00826F6D" w:rsidP="00C27B58">
            <w:pPr>
              <w:keepNext/>
              <w:ind w:left="-108"/>
              <w:jc w:val="both"/>
              <w:rPr>
                <w:rFonts w:ascii="Arial Narrow" w:hAnsi="Arial Narrow" w:cs="Arial"/>
                <w:sz w:val="20"/>
                <w:szCs w:val="20"/>
              </w:rPr>
            </w:pPr>
          </w:p>
          <w:p w:rsidR="00826F6D" w:rsidRPr="0091481E" w:rsidRDefault="00591ADE" w:rsidP="00C27B58">
            <w:pPr>
              <w:keepNext/>
              <w:ind w:left="-108"/>
              <w:jc w:val="both"/>
              <w:rPr>
                <w:rFonts w:ascii="Arial Narrow" w:hAnsi="Arial Narrow" w:cs="Arial"/>
                <w:sz w:val="20"/>
                <w:szCs w:val="20"/>
              </w:rPr>
            </w:pPr>
            <w:r w:rsidRPr="0091481E">
              <w:rPr>
                <w:rFonts w:ascii="Arial Narrow" w:hAnsi="Arial Narrow" w:cs="Arial"/>
                <w:sz w:val="20"/>
                <w:szCs w:val="20"/>
              </w:rPr>
              <w:t>Public: $11,233.22</w:t>
            </w:r>
          </w:p>
          <w:p w:rsidR="00591ADE" w:rsidRPr="0091481E" w:rsidRDefault="00591ADE" w:rsidP="00C27B58">
            <w:pPr>
              <w:keepNext/>
              <w:ind w:left="-108"/>
              <w:jc w:val="both"/>
              <w:rPr>
                <w:rFonts w:ascii="Arial Narrow" w:hAnsi="Arial Narrow" w:cs="Arial"/>
                <w:sz w:val="20"/>
                <w:szCs w:val="20"/>
              </w:rPr>
            </w:pPr>
            <w:r w:rsidRPr="0091481E">
              <w:rPr>
                <w:rFonts w:ascii="Arial Narrow" w:hAnsi="Arial Narrow" w:cs="Arial"/>
                <w:sz w:val="20"/>
                <w:szCs w:val="20"/>
              </w:rPr>
              <w:t xml:space="preserve">Private: </w:t>
            </w:r>
            <w:r w:rsidR="009F467A" w:rsidRPr="0091481E">
              <w:rPr>
                <w:rFonts w:ascii="Arial Narrow" w:hAnsi="Arial Narrow" w:cs="Arial"/>
                <w:sz w:val="20"/>
                <w:szCs w:val="20"/>
              </w:rPr>
              <w:t>$</w:t>
            </w:r>
            <w:r w:rsidRPr="0091481E">
              <w:rPr>
                <w:rFonts w:ascii="Arial Narrow" w:hAnsi="Arial Narrow" w:cs="Arial"/>
                <w:sz w:val="20"/>
                <w:szCs w:val="20"/>
              </w:rPr>
              <w:t>11,427.40</w:t>
            </w:r>
          </w:p>
        </w:tc>
        <w:tc>
          <w:tcPr>
            <w:tcW w:w="1134" w:type="dxa"/>
          </w:tcPr>
          <w:p w:rsidR="00C27B58" w:rsidRPr="0091481E" w:rsidRDefault="00C27B58" w:rsidP="00C27B58">
            <w:pPr>
              <w:keepNext/>
              <w:jc w:val="both"/>
              <w:rPr>
                <w:rFonts w:ascii="Arial Narrow" w:hAnsi="Arial Narrow" w:cs="Arial"/>
                <w:sz w:val="20"/>
                <w:szCs w:val="20"/>
              </w:rPr>
            </w:pPr>
          </w:p>
          <w:p w:rsidR="00826F6D" w:rsidRPr="0091481E" w:rsidRDefault="00591ADE" w:rsidP="00C27B58">
            <w:pPr>
              <w:keepNext/>
              <w:jc w:val="both"/>
              <w:rPr>
                <w:rFonts w:ascii="Arial Narrow" w:hAnsi="Arial Narrow" w:cs="Arial"/>
                <w:sz w:val="20"/>
                <w:szCs w:val="20"/>
              </w:rPr>
            </w:pPr>
            <w:r w:rsidRPr="0091481E">
              <w:rPr>
                <w:rFonts w:ascii="Arial Narrow" w:hAnsi="Arial Narrow" w:cs="Arial"/>
                <w:sz w:val="20"/>
                <w:szCs w:val="20"/>
              </w:rPr>
              <w:t>Keytruda</w:t>
            </w:r>
            <w:r w:rsidRPr="0091481E">
              <w:rPr>
                <w:rFonts w:ascii="Arial Narrow" w:hAnsi="Arial Narrow" w:cs="Arial"/>
                <w:sz w:val="20"/>
                <w:szCs w:val="20"/>
                <w:vertAlign w:val="superscript"/>
              </w:rPr>
              <w:t>®</w:t>
            </w:r>
          </w:p>
        </w:tc>
        <w:tc>
          <w:tcPr>
            <w:tcW w:w="1275" w:type="dxa"/>
          </w:tcPr>
          <w:p w:rsidR="00C27B58" w:rsidRPr="0091481E" w:rsidRDefault="00C27B58" w:rsidP="00C27B58">
            <w:pPr>
              <w:keepNext/>
              <w:jc w:val="both"/>
              <w:rPr>
                <w:rFonts w:ascii="Arial Narrow" w:hAnsi="Arial Narrow" w:cs="Arial"/>
                <w:sz w:val="20"/>
                <w:szCs w:val="20"/>
              </w:rPr>
            </w:pPr>
          </w:p>
          <w:p w:rsidR="00826F6D" w:rsidRPr="0091481E" w:rsidRDefault="00591ADE" w:rsidP="00591ADE">
            <w:pPr>
              <w:keepNext/>
              <w:jc w:val="both"/>
              <w:rPr>
                <w:rFonts w:ascii="Arial Narrow" w:hAnsi="Arial Narrow" w:cs="Arial"/>
                <w:sz w:val="20"/>
                <w:szCs w:val="20"/>
              </w:rPr>
            </w:pPr>
            <w:r w:rsidRPr="0091481E">
              <w:rPr>
                <w:rFonts w:ascii="Arial Narrow" w:hAnsi="Arial Narrow" w:cs="Arial"/>
                <w:sz w:val="20"/>
                <w:szCs w:val="20"/>
              </w:rPr>
              <w:t>Merck, Sharp</w:t>
            </w:r>
            <w:r w:rsidR="0056168D" w:rsidRPr="0091481E">
              <w:rPr>
                <w:rFonts w:ascii="Arial Narrow" w:hAnsi="Arial Narrow" w:cs="Arial"/>
                <w:sz w:val="20"/>
                <w:szCs w:val="20"/>
              </w:rPr>
              <w:t xml:space="preserve"> &amp; Dohme Australia Pty. Ltd.</w:t>
            </w:r>
          </w:p>
        </w:tc>
      </w:tr>
    </w:tbl>
    <w:p w:rsidR="00BB7EC3" w:rsidRPr="0091481E" w:rsidRDefault="00BB7EC3" w:rsidP="00882085">
      <w:pPr>
        <w:jc w:val="both"/>
        <w:rPr>
          <w:rFonts w:ascii="Arial" w:hAnsi="Arial"/>
          <w:sz w:val="22"/>
          <w:szCs w:val="22"/>
        </w:rPr>
      </w:pPr>
    </w:p>
    <w:p w:rsidR="009F467A" w:rsidRPr="0091481E" w:rsidRDefault="009F467A" w:rsidP="00882085">
      <w:pPr>
        <w:jc w:val="both"/>
        <w:rPr>
          <w:rFonts w:ascii="Arial" w:hAnsi="Arial"/>
          <w:sz w:val="22"/>
          <w:szCs w:val="22"/>
        </w:rPr>
      </w:pPr>
    </w:p>
    <w:p w:rsidR="00CE10C4" w:rsidRPr="0091481E" w:rsidRDefault="00CE10C4" w:rsidP="008A50F1">
      <w:pPr>
        <w:pStyle w:val="PBACHeading1"/>
      </w:pPr>
      <w:r w:rsidRPr="0091481E">
        <w:t>Background</w:t>
      </w:r>
    </w:p>
    <w:p w:rsidR="00C603D4" w:rsidRPr="0091481E" w:rsidRDefault="00C603D4" w:rsidP="00C603D4">
      <w:pPr>
        <w:rPr>
          <w:rFonts w:ascii="Arial" w:hAnsi="Arial" w:cs="Arial"/>
          <w:sz w:val="22"/>
          <w:szCs w:val="22"/>
        </w:rPr>
      </w:pPr>
    </w:p>
    <w:p w:rsidR="002B1AE6" w:rsidRPr="0091481E" w:rsidRDefault="0056168D" w:rsidP="008A50F1">
      <w:pPr>
        <w:pStyle w:val="ListParagraph"/>
        <w:numPr>
          <w:ilvl w:val="1"/>
          <w:numId w:val="5"/>
        </w:numPr>
        <w:rPr>
          <w:szCs w:val="22"/>
        </w:rPr>
      </w:pPr>
      <w:r w:rsidRPr="0091481E">
        <w:rPr>
          <w:szCs w:val="22"/>
        </w:rPr>
        <w:t>The 100</w:t>
      </w:r>
      <w:r w:rsidR="009F467A" w:rsidRPr="0091481E">
        <w:rPr>
          <w:szCs w:val="22"/>
        </w:rPr>
        <w:t> </w:t>
      </w:r>
      <w:r w:rsidRPr="0091481E">
        <w:rPr>
          <w:szCs w:val="22"/>
        </w:rPr>
        <w:t xml:space="preserve">mg </w:t>
      </w:r>
      <w:r w:rsidR="00B64110" w:rsidRPr="0091481E">
        <w:rPr>
          <w:szCs w:val="22"/>
        </w:rPr>
        <w:t>concentrated injection</w:t>
      </w:r>
      <w:r w:rsidRPr="0091481E">
        <w:rPr>
          <w:szCs w:val="22"/>
        </w:rPr>
        <w:t xml:space="preserve"> presentation of pembrolizumab was registered </w:t>
      </w:r>
      <w:r w:rsidR="00B35B42" w:rsidRPr="0091481E">
        <w:rPr>
          <w:szCs w:val="22"/>
        </w:rPr>
        <w:t>i</w:t>
      </w:r>
      <w:r w:rsidRPr="0091481E">
        <w:rPr>
          <w:szCs w:val="22"/>
        </w:rPr>
        <w:t>n the ARTG on 8</w:t>
      </w:r>
      <w:r w:rsidR="009F467A" w:rsidRPr="0091481E">
        <w:rPr>
          <w:szCs w:val="22"/>
        </w:rPr>
        <w:t> </w:t>
      </w:r>
      <w:r w:rsidRPr="0091481E">
        <w:rPr>
          <w:szCs w:val="22"/>
        </w:rPr>
        <w:t>March</w:t>
      </w:r>
      <w:r w:rsidR="009F467A" w:rsidRPr="0091481E">
        <w:rPr>
          <w:szCs w:val="22"/>
        </w:rPr>
        <w:t> </w:t>
      </w:r>
      <w:r w:rsidRPr="0091481E">
        <w:rPr>
          <w:szCs w:val="22"/>
        </w:rPr>
        <w:t xml:space="preserve">2016 as monotherapy for the treatment of unresectable or metastatic melanoma in adults. This is consistent with the PBS </w:t>
      </w:r>
      <w:r w:rsidR="00B35B42" w:rsidRPr="0091481E">
        <w:rPr>
          <w:szCs w:val="22"/>
        </w:rPr>
        <w:t>restriction</w:t>
      </w:r>
      <w:r w:rsidR="002B649E" w:rsidRPr="0091481E">
        <w:rPr>
          <w:szCs w:val="22"/>
        </w:rPr>
        <w:t xml:space="preserve"> for the currently listed 50 </w:t>
      </w:r>
      <w:r w:rsidRPr="0091481E">
        <w:rPr>
          <w:szCs w:val="22"/>
        </w:rPr>
        <w:t>mg powder for injection.</w:t>
      </w:r>
    </w:p>
    <w:p w:rsidR="008A1956" w:rsidRPr="0091481E" w:rsidRDefault="008A1956" w:rsidP="00882085">
      <w:pPr>
        <w:jc w:val="both"/>
        <w:rPr>
          <w:rFonts w:ascii="Arial" w:hAnsi="Arial"/>
          <w:sz w:val="22"/>
          <w:szCs w:val="22"/>
        </w:rPr>
      </w:pPr>
    </w:p>
    <w:p w:rsidR="00785770" w:rsidRPr="0091481E" w:rsidRDefault="00785770" w:rsidP="00882085">
      <w:pPr>
        <w:jc w:val="both"/>
        <w:rPr>
          <w:rFonts w:ascii="Arial" w:hAnsi="Arial"/>
          <w:sz w:val="22"/>
          <w:szCs w:val="22"/>
        </w:rPr>
      </w:pPr>
    </w:p>
    <w:p w:rsidR="00CE10C4" w:rsidRPr="0091481E" w:rsidRDefault="00CE10C4" w:rsidP="008A50F1">
      <w:pPr>
        <w:pStyle w:val="PBACHeading1"/>
      </w:pPr>
      <w:r w:rsidRPr="0091481E">
        <w:t>Clinical place for the proposed ther</w:t>
      </w:r>
      <w:r w:rsidR="006A12A5" w:rsidRPr="0091481E">
        <w:t>apy</w:t>
      </w:r>
    </w:p>
    <w:p w:rsidR="00CE10C4" w:rsidRPr="0091481E" w:rsidRDefault="00CE10C4" w:rsidP="00882085">
      <w:pPr>
        <w:jc w:val="both"/>
        <w:rPr>
          <w:rFonts w:ascii="Arial" w:hAnsi="Arial"/>
          <w:sz w:val="22"/>
          <w:szCs w:val="22"/>
        </w:rPr>
      </w:pPr>
    </w:p>
    <w:p w:rsidR="00BB7EC3" w:rsidRPr="0091481E" w:rsidRDefault="00433C94" w:rsidP="00433C94">
      <w:pPr>
        <w:pStyle w:val="ListParagraph"/>
        <w:numPr>
          <w:ilvl w:val="1"/>
          <w:numId w:val="5"/>
        </w:numPr>
        <w:rPr>
          <w:szCs w:val="22"/>
        </w:rPr>
      </w:pPr>
      <w:r w:rsidRPr="0091481E">
        <w:rPr>
          <w:szCs w:val="22"/>
        </w:rPr>
        <w:t>The submission indicated that the 10</w:t>
      </w:r>
      <w:r w:rsidR="002B649E" w:rsidRPr="0091481E">
        <w:rPr>
          <w:szCs w:val="22"/>
        </w:rPr>
        <w:t>0</w:t>
      </w:r>
      <w:r w:rsidR="009F467A" w:rsidRPr="0091481E">
        <w:rPr>
          <w:szCs w:val="22"/>
        </w:rPr>
        <w:t> </w:t>
      </w:r>
      <w:r w:rsidRPr="0091481E">
        <w:rPr>
          <w:szCs w:val="22"/>
        </w:rPr>
        <w:t xml:space="preserve">mg </w:t>
      </w:r>
      <w:r w:rsidR="00B64110" w:rsidRPr="0091481E">
        <w:rPr>
          <w:szCs w:val="22"/>
        </w:rPr>
        <w:t>concentrated injection</w:t>
      </w:r>
      <w:r w:rsidRPr="0091481E">
        <w:rPr>
          <w:szCs w:val="22"/>
        </w:rPr>
        <w:t xml:space="preserve"> would be used as</w:t>
      </w:r>
      <w:r w:rsidR="002B649E" w:rsidRPr="0091481E">
        <w:rPr>
          <w:szCs w:val="22"/>
        </w:rPr>
        <w:t xml:space="preserve"> an alterna</w:t>
      </w:r>
      <w:r w:rsidR="009F467A" w:rsidRPr="0091481E">
        <w:rPr>
          <w:szCs w:val="22"/>
        </w:rPr>
        <w:t>tive to the currently listed 50 </w:t>
      </w:r>
      <w:r w:rsidR="002B649E" w:rsidRPr="0091481E">
        <w:rPr>
          <w:szCs w:val="22"/>
        </w:rPr>
        <w:t>mg powder</w:t>
      </w:r>
      <w:r w:rsidR="002C7C95" w:rsidRPr="0091481E">
        <w:rPr>
          <w:szCs w:val="22"/>
        </w:rPr>
        <w:t xml:space="preserve"> in order to make up</w:t>
      </w:r>
      <w:r w:rsidRPr="0091481E">
        <w:rPr>
          <w:szCs w:val="22"/>
        </w:rPr>
        <w:t xml:space="preserve"> the current dosing regimen for the treatment of unresectable or metastatic melanoma</w:t>
      </w:r>
      <w:r w:rsidR="002C7C95" w:rsidRPr="0091481E">
        <w:rPr>
          <w:szCs w:val="22"/>
        </w:rPr>
        <w:t>, which</w:t>
      </w:r>
      <w:r w:rsidRPr="0091481E">
        <w:rPr>
          <w:szCs w:val="22"/>
        </w:rPr>
        <w:t xml:space="preserve"> i</w:t>
      </w:r>
      <w:r w:rsidR="002C7C95" w:rsidRPr="0091481E">
        <w:rPr>
          <w:szCs w:val="22"/>
        </w:rPr>
        <w:t>s 2 </w:t>
      </w:r>
      <w:r w:rsidR="00FB702D">
        <w:rPr>
          <w:szCs w:val="22"/>
        </w:rPr>
        <w:t>mg/kg every three weeks.</w:t>
      </w:r>
    </w:p>
    <w:p w:rsidR="008A1956" w:rsidRPr="0091481E" w:rsidRDefault="008A1956" w:rsidP="00882085">
      <w:pPr>
        <w:pStyle w:val="Header"/>
        <w:tabs>
          <w:tab w:val="clear" w:pos="4153"/>
          <w:tab w:val="clear" w:pos="8306"/>
        </w:tabs>
        <w:jc w:val="both"/>
        <w:rPr>
          <w:rFonts w:ascii="Arial" w:hAnsi="Arial"/>
          <w:sz w:val="22"/>
          <w:szCs w:val="22"/>
        </w:rPr>
      </w:pPr>
    </w:p>
    <w:p w:rsidR="008A1956" w:rsidRPr="0091481E" w:rsidRDefault="008A1956" w:rsidP="00476245">
      <w:pPr>
        <w:jc w:val="both"/>
        <w:rPr>
          <w:rFonts w:ascii="Arial" w:hAnsi="Arial"/>
          <w:sz w:val="22"/>
          <w:szCs w:val="22"/>
        </w:rPr>
      </w:pPr>
    </w:p>
    <w:p w:rsidR="000B558D" w:rsidRPr="0091481E" w:rsidRDefault="008D7A41" w:rsidP="008A50F1">
      <w:pPr>
        <w:pStyle w:val="PBACHeading1"/>
      </w:pPr>
      <w:r w:rsidRPr="0091481E">
        <w:t>C</w:t>
      </w:r>
      <w:r w:rsidR="00D84934" w:rsidRPr="0091481E">
        <w:t>onsideration of the evidence</w:t>
      </w:r>
    </w:p>
    <w:p w:rsidR="00BB7EC3" w:rsidRPr="0091481E" w:rsidRDefault="00BB7EC3" w:rsidP="00F9629A">
      <w:pPr>
        <w:jc w:val="both"/>
        <w:rPr>
          <w:rFonts w:ascii="Arial" w:hAnsi="Arial"/>
          <w:sz w:val="22"/>
          <w:szCs w:val="22"/>
        </w:rPr>
      </w:pPr>
    </w:p>
    <w:p w:rsidR="00D10D58" w:rsidRDefault="00D10D58" w:rsidP="00785770">
      <w:pPr>
        <w:pStyle w:val="Heading2"/>
        <w:rPr>
          <w:rFonts w:cs="Arial"/>
          <w:bCs/>
          <w:snapToGrid w:val="0"/>
          <w:szCs w:val="22"/>
        </w:rPr>
      </w:pPr>
      <w:r w:rsidRPr="0091481E">
        <w:rPr>
          <w:rFonts w:cs="Arial"/>
          <w:bCs/>
          <w:snapToGrid w:val="0"/>
          <w:szCs w:val="22"/>
        </w:rPr>
        <w:lastRenderedPageBreak/>
        <w:t>Sponsor hearing</w:t>
      </w:r>
    </w:p>
    <w:p w:rsidR="00785770" w:rsidRPr="00785770" w:rsidRDefault="00785770" w:rsidP="00785770"/>
    <w:p w:rsidR="00D10D58" w:rsidRPr="0091481E" w:rsidRDefault="00D10D58" w:rsidP="00D10D58">
      <w:pPr>
        <w:widowControl w:val="0"/>
        <w:numPr>
          <w:ilvl w:val="1"/>
          <w:numId w:val="5"/>
        </w:numPr>
        <w:contextualSpacing/>
        <w:jc w:val="both"/>
        <w:rPr>
          <w:rFonts w:ascii="Arial" w:hAnsi="Arial" w:cs="Arial"/>
          <w:bCs/>
          <w:snapToGrid w:val="0"/>
          <w:sz w:val="22"/>
          <w:szCs w:val="22"/>
        </w:rPr>
      </w:pPr>
      <w:r w:rsidRPr="0091481E">
        <w:rPr>
          <w:rFonts w:ascii="Arial" w:hAnsi="Arial" w:cs="Arial"/>
          <w:bCs/>
          <w:snapToGrid w:val="0"/>
          <w:sz w:val="22"/>
          <w:szCs w:val="22"/>
        </w:rPr>
        <w:t>There was no hearing for this item as it was a minor submission.</w:t>
      </w:r>
    </w:p>
    <w:p w:rsidR="00D10D58" w:rsidRPr="0091481E" w:rsidRDefault="00D10D58" w:rsidP="00D10D58">
      <w:pPr>
        <w:jc w:val="both"/>
        <w:rPr>
          <w:rFonts w:ascii="Arial" w:hAnsi="Arial" w:cs="Arial"/>
          <w:bCs/>
          <w:snapToGrid w:val="0"/>
          <w:sz w:val="22"/>
          <w:szCs w:val="22"/>
          <w:highlight w:val="yellow"/>
        </w:rPr>
      </w:pPr>
    </w:p>
    <w:p w:rsidR="00D10D58" w:rsidRDefault="00D10D58" w:rsidP="00785770">
      <w:pPr>
        <w:pStyle w:val="Heading2"/>
        <w:rPr>
          <w:rFonts w:cs="Arial"/>
          <w:bCs/>
          <w:snapToGrid w:val="0"/>
          <w:szCs w:val="22"/>
        </w:rPr>
      </w:pPr>
      <w:r w:rsidRPr="0091481E">
        <w:rPr>
          <w:rFonts w:cs="Arial"/>
          <w:bCs/>
          <w:snapToGrid w:val="0"/>
          <w:szCs w:val="22"/>
        </w:rPr>
        <w:t>Consumer comments</w:t>
      </w:r>
    </w:p>
    <w:p w:rsidR="00785770" w:rsidRPr="00785770" w:rsidRDefault="00785770" w:rsidP="00785770"/>
    <w:p w:rsidR="007930F2" w:rsidRPr="0091481E" w:rsidRDefault="00D10D58" w:rsidP="00B64110">
      <w:pPr>
        <w:widowControl w:val="0"/>
        <w:numPr>
          <w:ilvl w:val="1"/>
          <w:numId w:val="5"/>
        </w:numPr>
        <w:contextualSpacing/>
        <w:jc w:val="both"/>
        <w:rPr>
          <w:rFonts w:ascii="Arial" w:hAnsi="Arial" w:cs="Arial"/>
          <w:bCs/>
          <w:snapToGrid w:val="0"/>
          <w:sz w:val="22"/>
          <w:szCs w:val="22"/>
        </w:rPr>
      </w:pPr>
      <w:r w:rsidRPr="0091481E">
        <w:rPr>
          <w:rFonts w:ascii="Arial" w:hAnsi="Arial" w:cs="Arial"/>
          <w:bCs/>
          <w:snapToGrid w:val="0"/>
          <w:sz w:val="22"/>
          <w:szCs w:val="22"/>
        </w:rPr>
        <w:t xml:space="preserve">The PBAC noted </w:t>
      </w:r>
      <w:r w:rsidR="00B64110" w:rsidRPr="0091481E">
        <w:rPr>
          <w:rFonts w:ascii="Arial" w:hAnsi="Arial" w:cs="Arial"/>
          <w:bCs/>
          <w:snapToGrid w:val="0"/>
          <w:sz w:val="22"/>
          <w:szCs w:val="22"/>
        </w:rPr>
        <w:t xml:space="preserve">that no comments relating to this item were received </w:t>
      </w:r>
      <w:r w:rsidRPr="0091481E">
        <w:rPr>
          <w:rFonts w:ascii="Arial" w:hAnsi="Arial" w:cs="Arial"/>
          <w:bCs/>
          <w:snapToGrid w:val="0"/>
          <w:sz w:val="22"/>
          <w:szCs w:val="22"/>
        </w:rPr>
        <w:t>via the Consumer Commen</w:t>
      </w:r>
      <w:r w:rsidR="007930F2" w:rsidRPr="0091481E">
        <w:rPr>
          <w:rFonts w:ascii="Arial" w:hAnsi="Arial" w:cs="Arial"/>
          <w:bCs/>
          <w:snapToGrid w:val="0"/>
          <w:sz w:val="22"/>
          <w:szCs w:val="22"/>
        </w:rPr>
        <w:t>ts facility on the PBS website.</w:t>
      </w:r>
      <w:r w:rsidRPr="0091481E">
        <w:rPr>
          <w:rFonts w:ascii="Arial" w:hAnsi="Arial" w:cs="Arial"/>
          <w:bCs/>
          <w:snapToGrid w:val="0"/>
          <w:sz w:val="22"/>
          <w:szCs w:val="22"/>
        </w:rPr>
        <w:t xml:space="preserve"> </w:t>
      </w:r>
      <w:r w:rsidR="007930F2" w:rsidRPr="0091481E">
        <w:rPr>
          <w:rFonts w:ascii="Arial" w:hAnsi="Arial" w:cs="Arial"/>
          <w:bCs/>
          <w:snapToGrid w:val="0"/>
          <w:sz w:val="22"/>
          <w:szCs w:val="22"/>
        </w:rPr>
        <w:t>The PBAC als</w:t>
      </w:r>
      <w:r w:rsidR="00B64110" w:rsidRPr="0091481E">
        <w:rPr>
          <w:rFonts w:ascii="Arial" w:hAnsi="Arial" w:cs="Arial"/>
          <w:bCs/>
          <w:snapToGrid w:val="0"/>
          <w:sz w:val="22"/>
          <w:szCs w:val="22"/>
        </w:rPr>
        <w:t>o noted the</w:t>
      </w:r>
      <w:r w:rsidR="007930F2" w:rsidRPr="0091481E">
        <w:rPr>
          <w:rFonts w:ascii="Arial" w:hAnsi="Arial" w:cs="Arial"/>
          <w:bCs/>
          <w:snapToGrid w:val="0"/>
          <w:sz w:val="22"/>
          <w:szCs w:val="22"/>
        </w:rPr>
        <w:t xml:space="preserve"> input from the </w:t>
      </w:r>
      <w:r w:rsidR="00B64110" w:rsidRPr="0091481E">
        <w:rPr>
          <w:rFonts w:ascii="Arial" w:hAnsi="Arial" w:cs="Arial"/>
          <w:bCs/>
          <w:snapToGrid w:val="0"/>
          <w:sz w:val="22"/>
          <w:szCs w:val="22"/>
        </w:rPr>
        <w:t>Assistant Director of Pharmacy-Cancer Services, Princess Alexandra Hospital</w:t>
      </w:r>
      <w:r w:rsidR="007930F2" w:rsidRPr="0091481E">
        <w:rPr>
          <w:rFonts w:ascii="Arial" w:hAnsi="Arial" w:cs="Arial"/>
          <w:bCs/>
          <w:snapToGrid w:val="0"/>
          <w:sz w:val="22"/>
          <w:szCs w:val="22"/>
        </w:rPr>
        <w:t xml:space="preserve"> that </w:t>
      </w:r>
      <w:r w:rsidR="00B64110" w:rsidRPr="0091481E">
        <w:rPr>
          <w:rFonts w:ascii="Arial" w:hAnsi="Arial" w:cs="Arial"/>
          <w:bCs/>
          <w:snapToGrid w:val="0"/>
          <w:sz w:val="22"/>
          <w:szCs w:val="22"/>
        </w:rPr>
        <w:t>outlined the potential efficiencies that could be gained through the use of</w:t>
      </w:r>
      <w:r w:rsidR="007930F2" w:rsidRPr="0091481E">
        <w:rPr>
          <w:rFonts w:ascii="Arial" w:hAnsi="Arial" w:cs="Arial"/>
          <w:bCs/>
          <w:snapToGrid w:val="0"/>
          <w:sz w:val="22"/>
          <w:szCs w:val="22"/>
        </w:rPr>
        <w:t xml:space="preserve"> pembrolizumab 100 mg </w:t>
      </w:r>
      <w:r w:rsidR="00B64110" w:rsidRPr="0091481E">
        <w:rPr>
          <w:rFonts w:ascii="Arial" w:hAnsi="Arial" w:cs="Arial"/>
          <w:bCs/>
          <w:snapToGrid w:val="0"/>
          <w:sz w:val="22"/>
          <w:szCs w:val="22"/>
        </w:rPr>
        <w:t>concentrated injection</w:t>
      </w:r>
      <w:r w:rsidR="007930F2" w:rsidRPr="0091481E">
        <w:rPr>
          <w:rFonts w:ascii="Arial" w:hAnsi="Arial" w:cs="Arial"/>
          <w:bCs/>
          <w:snapToGrid w:val="0"/>
          <w:sz w:val="22"/>
          <w:szCs w:val="22"/>
        </w:rPr>
        <w:t>.</w:t>
      </w:r>
    </w:p>
    <w:p w:rsidR="00D10D58" w:rsidRPr="0091481E" w:rsidRDefault="00D10D58" w:rsidP="00B35B42">
      <w:pPr>
        <w:widowControl w:val="0"/>
        <w:contextualSpacing/>
        <w:jc w:val="both"/>
        <w:rPr>
          <w:rFonts w:ascii="Arial" w:hAnsi="Arial" w:cs="Arial"/>
          <w:sz w:val="22"/>
          <w:szCs w:val="22"/>
        </w:rPr>
      </w:pPr>
    </w:p>
    <w:p w:rsidR="00D84934" w:rsidRPr="0091481E" w:rsidRDefault="00D84934" w:rsidP="00B1059E">
      <w:pPr>
        <w:pStyle w:val="Heading2"/>
      </w:pPr>
      <w:r w:rsidRPr="0091481E">
        <w:t>Clinical trials</w:t>
      </w:r>
    </w:p>
    <w:p w:rsidR="00D84934" w:rsidRPr="0091481E" w:rsidRDefault="00D84934" w:rsidP="00F9629A">
      <w:pPr>
        <w:jc w:val="both"/>
        <w:rPr>
          <w:rFonts w:ascii="Arial" w:hAnsi="Arial"/>
          <w:sz w:val="22"/>
          <w:szCs w:val="22"/>
        </w:rPr>
      </w:pPr>
    </w:p>
    <w:p w:rsidR="0076420C" w:rsidRPr="0091481E" w:rsidRDefault="0076420C" w:rsidP="008A50F1">
      <w:pPr>
        <w:pStyle w:val="ListParagraph"/>
        <w:numPr>
          <w:ilvl w:val="1"/>
          <w:numId w:val="5"/>
        </w:numPr>
        <w:rPr>
          <w:szCs w:val="22"/>
        </w:rPr>
      </w:pPr>
      <w:r w:rsidRPr="0091481E">
        <w:rPr>
          <w:szCs w:val="22"/>
        </w:rPr>
        <w:t xml:space="preserve">As a minor submission, no clinical trials </w:t>
      </w:r>
      <w:r w:rsidR="00FF2801" w:rsidRPr="0091481E">
        <w:rPr>
          <w:szCs w:val="22"/>
        </w:rPr>
        <w:t>were</w:t>
      </w:r>
      <w:r w:rsidRPr="0091481E">
        <w:rPr>
          <w:szCs w:val="22"/>
        </w:rPr>
        <w:t xml:space="preserve"> presented in the submission.</w:t>
      </w:r>
    </w:p>
    <w:p w:rsidR="00D84934" w:rsidRPr="0091481E" w:rsidRDefault="00D84934" w:rsidP="009F467A">
      <w:pPr>
        <w:rPr>
          <w:rFonts w:ascii="Arial" w:hAnsi="Arial" w:cs="Arial"/>
          <w:sz w:val="22"/>
          <w:szCs w:val="22"/>
        </w:rPr>
      </w:pPr>
    </w:p>
    <w:p w:rsidR="005A3173" w:rsidRPr="0091481E" w:rsidRDefault="005A3173" w:rsidP="00B1059E">
      <w:pPr>
        <w:pStyle w:val="Heading2"/>
      </w:pPr>
      <w:r w:rsidRPr="0091481E">
        <w:t>Economic analysis</w:t>
      </w:r>
    </w:p>
    <w:p w:rsidR="005A3173" w:rsidRPr="0091481E" w:rsidRDefault="005A3173" w:rsidP="00D84934">
      <w:pPr>
        <w:pStyle w:val="NoSpacing"/>
      </w:pPr>
    </w:p>
    <w:p w:rsidR="009B0F67" w:rsidRPr="0091481E" w:rsidRDefault="00FF2801" w:rsidP="00433C94">
      <w:pPr>
        <w:pStyle w:val="ListParagraph"/>
        <w:numPr>
          <w:ilvl w:val="1"/>
          <w:numId w:val="5"/>
        </w:numPr>
        <w:rPr>
          <w:szCs w:val="22"/>
        </w:rPr>
      </w:pPr>
      <w:r w:rsidRPr="0091481E">
        <w:rPr>
          <w:szCs w:val="22"/>
        </w:rPr>
        <w:t>As a minor submission, there wa</w:t>
      </w:r>
      <w:r w:rsidR="009B0F67" w:rsidRPr="0091481E">
        <w:rPr>
          <w:szCs w:val="22"/>
        </w:rPr>
        <w:t>s no economic comparison presented.</w:t>
      </w:r>
    </w:p>
    <w:p w:rsidR="00A55FEE" w:rsidRPr="0091481E" w:rsidRDefault="00A55FEE" w:rsidP="00A55FEE">
      <w:pPr>
        <w:ind w:left="720" w:hanging="720"/>
        <w:jc w:val="both"/>
        <w:rPr>
          <w:rFonts w:ascii="Arial" w:hAnsi="Arial"/>
          <w:sz w:val="22"/>
          <w:szCs w:val="22"/>
        </w:rPr>
      </w:pPr>
    </w:p>
    <w:p w:rsidR="005A3173" w:rsidRPr="0091481E" w:rsidRDefault="005A3173" w:rsidP="00B1059E">
      <w:pPr>
        <w:pStyle w:val="Heading2"/>
      </w:pPr>
      <w:r w:rsidRPr="0091481E">
        <w:t>Estimated PBS usage &amp; financial implications</w:t>
      </w:r>
    </w:p>
    <w:p w:rsidR="00C00DA7" w:rsidRPr="0091481E" w:rsidRDefault="00C00DA7" w:rsidP="00433C94">
      <w:pPr>
        <w:pStyle w:val="ListParagraph"/>
        <w:ind w:left="0"/>
        <w:rPr>
          <w:szCs w:val="22"/>
        </w:rPr>
      </w:pPr>
    </w:p>
    <w:p w:rsidR="007930F2" w:rsidRPr="0091481E" w:rsidRDefault="00FF2801" w:rsidP="00433C94">
      <w:pPr>
        <w:pStyle w:val="ListParagraph"/>
        <w:numPr>
          <w:ilvl w:val="1"/>
          <w:numId w:val="5"/>
        </w:numPr>
        <w:rPr>
          <w:szCs w:val="22"/>
        </w:rPr>
      </w:pPr>
      <w:r w:rsidRPr="0091481E">
        <w:rPr>
          <w:szCs w:val="22"/>
        </w:rPr>
        <w:t>The minor submission estimated</w:t>
      </w:r>
      <w:r w:rsidR="00C00DA7" w:rsidRPr="0091481E">
        <w:rPr>
          <w:szCs w:val="22"/>
        </w:rPr>
        <w:t xml:space="preserve"> there to be no financial implications to the PBS</w:t>
      </w:r>
      <w:r w:rsidR="00433C94" w:rsidRPr="0091481E">
        <w:rPr>
          <w:szCs w:val="22"/>
        </w:rPr>
        <w:t xml:space="preserve"> as the 100</w:t>
      </w:r>
      <w:r w:rsidR="009F467A" w:rsidRPr="0091481E">
        <w:rPr>
          <w:szCs w:val="22"/>
        </w:rPr>
        <w:t> </w:t>
      </w:r>
      <w:r w:rsidR="00433C94" w:rsidRPr="0091481E">
        <w:rPr>
          <w:szCs w:val="22"/>
        </w:rPr>
        <w:t xml:space="preserve">mg </w:t>
      </w:r>
      <w:r w:rsidR="00B64110" w:rsidRPr="0091481E">
        <w:rPr>
          <w:szCs w:val="22"/>
        </w:rPr>
        <w:t>concentrated injection</w:t>
      </w:r>
      <w:r w:rsidR="00433C94" w:rsidRPr="0091481E">
        <w:rPr>
          <w:szCs w:val="22"/>
        </w:rPr>
        <w:t xml:space="preserve"> will substit</w:t>
      </w:r>
      <w:r w:rsidR="009F467A" w:rsidRPr="0091481E">
        <w:rPr>
          <w:szCs w:val="22"/>
        </w:rPr>
        <w:t>ute for the currently listed 50 </w:t>
      </w:r>
      <w:r w:rsidR="00D171E3" w:rsidRPr="0091481E">
        <w:rPr>
          <w:szCs w:val="22"/>
        </w:rPr>
        <w:t>mg powder for injection. The PBAC considered that this was reasonable and noted that</w:t>
      </w:r>
      <w:r w:rsidR="00433C94" w:rsidRPr="0091481E">
        <w:rPr>
          <w:szCs w:val="22"/>
        </w:rPr>
        <w:t xml:space="preserve"> Risk Share Arrangement is currently in place for pembrolizumab for the treatment of unresectable or metastatic melanoma, and if recommended</w:t>
      </w:r>
      <w:r w:rsidR="009F467A" w:rsidRPr="0091481E">
        <w:rPr>
          <w:szCs w:val="22"/>
        </w:rPr>
        <w:t>,</w:t>
      </w:r>
      <w:r w:rsidR="002C7C95" w:rsidRPr="0091481E">
        <w:rPr>
          <w:szCs w:val="22"/>
        </w:rPr>
        <w:t xml:space="preserve"> the 100 </w:t>
      </w:r>
      <w:r w:rsidR="00433C94" w:rsidRPr="0091481E">
        <w:rPr>
          <w:szCs w:val="22"/>
        </w:rPr>
        <w:t>mg formulation will be included in this arrangement.</w:t>
      </w:r>
    </w:p>
    <w:p w:rsidR="007930F2" w:rsidRPr="0091481E" w:rsidRDefault="007930F2" w:rsidP="007930F2">
      <w:pPr>
        <w:rPr>
          <w:rFonts w:ascii="Arial" w:hAnsi="Arial" w:cs="Arial"/>
          <w:sz w:val="22"/>
          <w:szCs w:val="22"/>
        </w:rPr>
      </w:pPr>
    </w:p>
    <w:p w:rsidR="00C00DA7" w:rsidRPr="0091481E" w:rsidRDefault="00552D44" w:rsidP="00433C94">
      <w:pPr>
        <w:pStyle w:val="ListParagraph"/>
        <w:numPr>
          <w:ilvl w:val="1"/>
          <w:numId w:val="5"/>
        </w:numPr>
        <w:rPr>
          <w:szCs w:val="22"/>
        </w:rPr>
      </w:pPr>
      <w:r w:rsidRPr="0091481E">
        <w:rPr>
          <w:szCs w:val="22"/>
        </w:rPr>
        <w:t xml:space="preserve">Recent trials of pembrolizumab have adopted a fixed dose of </w:t>
      </w:r>
      <w:r w:rsidR="005B45C9" w:rsidRPr="0091481E">
        <w:rPr>
          <w:szCs w:val="22"/>
        </w:rPr>
        <w:t>2</w:t>
      </w:r>
      <w:r w:rsidRPr="0091481E">
        <w:rPr>
          <w:szCs w:val="22"/>
        </w:rPr>
        <w:t xml:space="preserve">00 mg every three weeks rather than 2 mg/kg every three weeks, which is likely to translate gradually into clinical practice across cancer indications. </w:t>
      </w:r>
      <w:r w:rsidR="009F467A" w:rsidRPr="0091481E">
        <w:rPr>
          <w:szCs w:val="22"/>
        </w:rPr>
        <w:t>The PBAC</w:t>
      </w:r>
      <w:r w:rsidR="007930F2" w:rsidRPr="0091481E">
        <w:rPr>
          <w:szCs w:val="22"/>
        </w:rPr>
        <w:t xml:space="preserve"> noted the pre-PBAC response (</w:t>
      </w:r>
      <w:r w:rsidR="00C711C6" w:rsidRPr="0091481E">
        <w:rPr>
          <w:szCs w:val="22"/>
        </w:rPr>
        <w:t>pg 3</w:t>
      </w:r>
      <w:r w:rsidR="007930F2" w:rsidRPr="0091481E">
        <w:rPr>
          <w:szCs w:val="22"/>
        </w:rPr>
        <w:t xml:space="preserve">) </w:t>
      </w:r>
      <w:r w:rsidR="00B64110" w:rsidRPr="0091481E">
        <w:rPr>
          <w:szCs w:val="22"/>
        </w:rPr>
        <w:t xml:space="preserve">confirmed that </w:t>
      </w:r>
      <w:r w:rsidR="00D171E3" w:rsidRPr="0091481E">
        <w:rPr>
          <w:szCs w:val="22"/>
        </w:rPr>
        <w:t xml:space="preserve">the dosing regimen would be unchanged, and </w:t>
      </w:r>
      <w:r w:rsidR="007930F2" w:rsidRPr="0091481E">
        <w:rPr>
          <w:szCs w:val="22"/>
        </w:rPr>
        <w:t xml:space="preserve">that </w:t>
      </w:r>
      <w:r w:rsidR="00D171E3" w:rsidRPr="0091481E">
        <w:rPr>
          <w:szCs w:val="22"/>
        </w:rPr>
        <w:t>any change to the dosing regimen would be the subject of a separate submission.</w:t>
      </w:r>
    </w:p>
    <w:p w:rsidR="000A78C0" w:rsidRPr="0091481E" w:rsidRDefault="000A78C0" w:rsidP="00785770">
      <w:pPr>
        <w:jc w:val="both"/>
        <w:rPr>
          <w:b/>
        </w:rPr>
      </w:pPr>
    </w:p>
    <w:p w:rsidR="000A78C0" w:rsidRPr="0091481E" w:rsidRDefault="000A78C0" w:rsidP="000A78C0">
      <w:pPr>
        <w:pStyle w:val="ListParagraph"/>
        <w:ind w:left="709"/>
        <w:rPr>
          <w:i/>
          <w:szCs w:val="22"/>
        </w:rPr>
      </w:pPr>
      <w:r w:rsidRPr="0091481E">
        <w:rPr>
          <w:i/>
          <w:szCs w:val="22"/>
        </w:rPr>
        <w:t>For more deta</w:t>
      </w:r>
      <w:r w:rsidR="00D171E3" w:rsidRPr="0091481E">
        <w:rPr>
          <w:i/>
          <w:szCs w:val="22"/>
        </w:rPr>
        <w:t>il on PBAC’s view, see section 6</w:t>
      </w:r>
      <w:r w:rsidRPr="0091481E">
        <w:rPr>
          <w:i/>
          <w:szCs w:val="22"/>
        </w:rPr>
        <w:t xml:space="preserve"> “PBAC outcome”</w:t>
      </w:r>
      <w:r w:rsidR="00B35B42" w:rsidRPr="0091481E">
        <w:rPr>
          <w:i/>
          <w:szCs w:val="22"/>
        </w:rPr>
        <w:t>.</w:t>
      </w:r>
    </w:p>
    <w:p w:rsidR="00BB7EC3" w:rsidRPr="0091481E" w:rsidRDefault="00BB7EC3" w:rsidP="00C00DA7">
      <w:pPr>
        <w:jc w:val="both"/>
        <w:rPr>
          <w:rFonts w:ascii="Arial" w:hAnsi="Arial"/>
          <w:sz w:val="22"/>
          <w:szCs w:val="22"/>
        </w:rPr>
      </w:pPr>
    </w:p>
    <w:p w:rsidR="00B35B42" w:rsidRPr="0091481E" w:rsidRDefault="00B35B42" w:rsidP="00C00DA7">
      <w:pPr>
        <w:jc w:val="both"/>
        <w:rPr>
          <w:rFonts w:ascii="Arial" w:hAnsi="Arial"/>
          <w:sz w:val="22"/>
          <w:szCs w:val="22"/>
        </w:rPr>
      </w:pPr>
    </w:p>
    <w:p w:rsidR="00D10D58" w:rsidRPr="0091481E" w:rsidRDefault="00D10D58" w:rsidP="00785770">
      <w:pPr>
        <w:pStyle w:val="PBACHeading1"/>
        <w:rPr>
          <w:b w:val="0"/>
          <w:bCs/>
        </w:rPr>
      </w:pPr>
      <w:r w:rsidRPr="0091481E">
        <w:rPr>
          <w:bCs/>
        </w:rPr>
        <w:t>PBAC Outcome</w:t>
      </w:r>
    </w:p>
    <w:p w:rsidR="00D10D58" w:rsidRPr="0091481E" w:rsidRDefault="00D10D58" w:rsidP="00C711C6">
      <w:pPr>
        <w:keepNext/>
        <w:widowControl w:val="0"/>
        <w:contextualSpacing/>
        <w:jc w:val="both"/>
        <w:rPr>
          <w:rFonts w:ascii="Arial" w:hAnsi="Arial" w:cs="Arial"/>
          <w:bCs/>
          <w:snapToGrid w:val="0"/>
          <w:sz w:val="22"/>
          <w:szCs w:val="22"/>
        </w:rPr>
      </w:pPr>
    </w:p>
    <w:p w:rsidR="00D10D58" w:rsidRPr="0091481E" w:rsidRDefault="00D10D58" w:rsidP="00C711C6">
      <w:pPr>
        <w:keepNext/>
        <w:widowControl w:val="0"/>
        <w:numPr>
          <w:ilvl w:val="1"/>
          <w:numId w:val="5"/>
        </w:numPr>
        <w:contextualSpacing/>
        <w:jc w:val="both"/>
        <w:rPr>
          <w:rFonts w:ascii="Arial" w:hAnsi="Arial" w:cs="Arial"/>
          <w:bCs/>
          <w:snapToGrid w:val="0"/>
          <w:sz w:val="22"/>
          <w:szCs w:val="22"/>
        </w:rPr>
      </w:pPr>
      <w:r w:rsidRPr="0091481E">
        <w:rPr>
          <w:rFonts w:ascii="Arial" w:hAnsi="Arial" w:cs="Arial"/>
          <w:bCs/>
          <w:snapToGrid w:val="0"/>
          <w:sz w:val="22"/>
          <w:szCs w:val="22"/>
        </w:rPr>
        <w:t xml:space="preserve">The PBAC recommended the listing of </w:t>
      </w:r>
      <w:r w:rsidR="007930F2" w:rsidRPr="0091481E">
        <w:rPr>
          <w:rFonts w:ascii="Arial" w:hAnsi="Arial" w:cs="Arial"/>
          <w:bCs/>
          <w:snapToGrid w:val="0"/>
          <w:sz w:val="22"/>
          <w:szCs w:val="22"/>
        </w:rPr>
        <w:t>pembrolizumab 100</w:t>
      </w:r>
      <w:r w:rsidR="00B35B42" w:rsidRPr="0091481E">
        <w:rPr>
          <w:rFonts w:ascii="Arial" w:hAnsi="Arial" w:cs="Arial"/>
          <w:bCs/>
          <w:snapToGrid w:val="0"/>
          <w:sz w:val="22"/>
          <w:szCs w:val="22"/>
        </w:rPr>
        <w:t> </w:t>
      </w:r>
      <w:r w:rsidR="007930F2" w:rsidRPr="0091481E">
        <w:rPr>
          <w:rFonts w:ascii="Arial" w:hAnsi="Arial" w:cs="Arial"/>
          <w:bCs/>
          <w:snapToGrid w:val="0"/>
          <w:sz w:val="22"/>
          <w:szCs w:val="22"/>
        </w:rPr>
        <w:t xml:space="preserve">mg </w:t>
      </w:r>
      <w:r w:rsidR="00B64110" w:rsidRPr="0091481E">
        <w:rPr>
          <w:rFonts w:ascii="Arial" w:hAnsi="Arial" w:cs="Arial"/>
          <w:bCs/>
          <w:snapToGrid w:val="0"/>
          <w:sz w:val="22"/>
          <w:szCs w:val="22"/>
        </w:rPr>
        <w:t>concentrated injection</w:t>
      </w:r>
      <w:r w:rsidR="007930F2" w:rsidRPr="0091481E">
        <w:rPr>
          <w:rFonts w:ascii="Arial" w:hAnsi="Arial" w:cs="Arial"/>
          <w:bCs/>
          <w:snapToGrid w:val="0"/>
          <w:sz w:val="22"/>
          <w:szCs w:val="22"/>
        </w:rPr>
        <w:t xml:space="preserve"> as a new form, and under the same conditions, as the curren</w:t>
      </w:r>
      <w:r w:rsidR="00B35B42" w:rsidRPr="0091481E">
        <w:rPr>
          <w:rFonts w:ascii="Arial" w:hAnsi="Arial" w:cs="Arial"/>
          <w:bCs/>
          <w:snapToGrid w:val="0"/>
          <w:sz w:val="22"/>
          <w:szCs w:val="22"/>
        </w:rPr>
        <w:t>tly PBS-listed pembrolizumab 50 </w:t>
      </w:r>
      <w:r w:rsidR="007930F2" w:rsidRPr="0091481E">
        <w:rPr>
          <w:rFonts w:ascii="Arial" w:hAnsi="Arial" w:cs="Arial"/>
          <w:bCs/>
          <w:snapToGrid w:val="0"/>
          <w:sz w:val="22"/>
          <w:szCs w:val="22"/>
        </w:rPr>
        <w:t>mg powder for infusion for the treatment of metastatic melanoma.</w:t>
      </w:r>
    </w:p>
    <w:p w:rsidR="007930F2" w:rsidRPr="0091481E" w:rsidRDefault="007930F2" w:rsidP="007930F2">
      <w:pPr>
        <w:widowControl w:val="0"/>
        <w:contextualSpacing/>
        <w:jc w:val="both"/>
        <w:rPr>
          <w:rFonts w:ascii="Arial" w:hAnsi="Arial" w:cs="Arial"/>
          <w:bCs/>
          <w:snapToGrid w:val="0"/>
          <w:sz w:val="22"/>
          <w:szCs w:val="22"/>
        </w:rPr>
      </w:pPr>
    </w:p>
    <w:p w:rsidR="00D10D58" w:rsidRPr="0091481E" w:rsidRDefault="007930F2" w:rsidP="007930F2">
      <w:pPr>
        <w:widowControl w:val="0"/>
        <w:numPr>
          <w:ilvl w:val="1"/>
          <w:numId w:val="5"/>
        </w:numPr>
        <w:contextualSpacing/>
        <w:jc w:val="both"/>
        <w:rPr>
          <w:rFonts w:ascii="Arial" w:hAnsi="Arial" w:cs="Arial"/>
          <w:bCs/>
          <w:snapToGrid w:val="0"/>
          <w:sz w:val="22"/>
          <w:szCs w:val="22"/>
        </w:rPr>
      </w:pPr>
      <w:r w:rsidRPr="0091481E">
        <w:rPr>
          <w:rFonts w:ascii="Arial" w:hAnsi="Arial" w:cs="Arial"/>
          <w:bCs/>
          <w:snapToGrid w:val="0"/>
          <w:sz w:val="22"/>
          <w:szCs w:val="22"/>
        </w:rPr>
        <w:t>The PB</w:t>
      </w:r>
      <w:r w:rsidR="00B35B42" w:rsidRPr="0091481E">
        <w:rPr>
          <w:rFonts w:ascii="Arial" w:hAnsi="Arial" w:cs="Arial"/>
          <w:bCs/>
          <w:snapToGrid w:val="0"/>
          <w:sz w:val="22"/>
          <w:szCs w:val="22"/>
        </w:rPr>
        <w:t>AC noted that pembrolizumab 100 </w:t>
      </w:r>
      <w:r w:rsidRPr="0091481E">
        <w:rPr>
          <w:rFonts w:ascii="Arial" w:hAnsi="Arial" w:cs="Arial"/>
          <w:bCs/>
          <w:snapToGrid w:val="0"/>
          <w:sz w:val="22"/>
          <w:szCs w:val="22"/>
        </w:rPr>
        <w:t xml:space="preserve">mg </w:t>
      </w:r>
      <w:r w:rsidR="00B64110" w:rsidRPr="0091481E">
        <w:rPr>
          <w:rFonts w:ascii="Arial" w:hAnsi="Arial" w:cs="Arial"/>
          <w:bCs/>
          <w:snapToGrid w:val="0"/>
          <w:sz w:val="22"/>
          <w:szCs w:val="22"/>
        </w:rPr>
        <w:t>concentrated injection</w:t>
      </w:r>
      <w:r w:rsidRPr="0091481E">
        <w:rPr>
          <w:rFonts w:ascii="Arial" w:hAnsi="Arial" w:cs="Arial"/>
          <w:bCs/>
          <w:snapToGrid w:val="0"/>
          <w:sz w:val="22"/>
          <w:szCs w:val="22"/>
        </w:rPr>
        <w:t xml:space="preserve"> would be included in the current Risk Sharing Arrangement for pembrolizumab for the treatment of metastatic melanoma, and that the cost per patient would not </w:t>
      </w:r>
      <w:r w:rsidR="00B35B42" w:rsidRPr="0091481E">
        <w:rPr>
          <w:rFonts w:ascii="Arial" w:hAnsi="Arial" w:cs="Arial"/>
          <w:bCs/>
          <w:snapToGrid w:val="0"/>
          <w:sz w:val="22"/>
          <w:szCs w:val="22"/>
        </w:rPr>
        <w:t>increase as a result of this listing.</w:t>
      </w:r>
    </w:p>
    <w:p w:rsidR="00D171E3" w:rsidRPr="0091481E" w:rsidRDefault="00D171E3" w:rsidP="00D171E3">
      <w:pPr>
        <w:widowControl w:val="0"/>
        <w:contextualSpacing/>
        <w:jc w:val="both"/>
        <w:rPr>
          <w:rFonts w:ascii="Arial" w:hAnsi="Arial" w:cs="Arial"/>
          <w:bCs/>
          <w:snapToGrid w:val="0"/>
          <w:sz w:val="22"/>
          <w:szCs w:val="22"/>
        </w:rPr>
      </w:pPr>
    </w:p>
    <w:p w:rsidR="00D171E3" w:rsidRPr="0091481E" w:rsidRDefault="00D171E3" w:rsidP="007930F2">
      <w:pPr>
        <w:widowControl w:val="0"/>
        <w:numPr>
          <w:ilvl w:val="1"/>
          <w:numId w:val="5"/>
        </w:numPr>
        <w:contextualSpacing/>
        <w:jc w:val="both"/>
        <w:rPr>
          <w:rFonts w:ascii="Arial" w:hAnsi="Arial" w:cs="Arial"/>
          <w:bCs/>
          <w:snapToGrid w:val="0"/>
          <w:sz w:val="22"/>
          <w:szCs w:val="22"/>
        </w:rPr>
      </w:pPr>
      <w:r w:rsidRPr="0091481E">
        <w:rPr>
          <w:rFonts w:ascii="Arial" w:hAnsi="Arial" w:cs="Arial"/>
          <w:bCs/>
          <w:snapToGrid w:val="0"/>
          <w:sz w:val="22"/>
          <w:szCs w:val="22"/>
        </w:rPr>
        <w:t xml:space="preserve">The PBAC considered that there would be no financial impact to the PBS as a result </w:t>
      </w:r>
      <w:r w:rsidRPr="0091481E">
        <w:rPr>
          <w:rFonts w:ascii="Arial" w:hAnsi="Arial" w:cs="Arial"/>
          <w:bCs/>
          <w:snapToGrid w:val="0"/>
          <w:sz w:val="22"/>
          <w:szCs w:val="22"/>
        </w:rPr>
        <w:lastRenderedPageBreak/>
        <w:t>of this listing</w:t>
      </w:r>
      <w:r w:rsidR="00C711C6" w:rsidRPr="0091481E">
        <w:rPr>
          <w:rFonts w:ascii="Arial" w:hAnsi="Arial" w:cs="Arial"/>
          <w:bCs/>
          <w:snapToGrid w:val="0"/>
          <w:sz w:val="22"/>
          <w:szCs w:val="22"/>
        </w:rPr>
        <w:t xml:space="preserve"> as pembrolizumab 100</w:t>
      </w:r>
      <w:r w:rsidR="00B35B42" w:rsidRPr="0091481E">
        <w:rPr>
          <w:rFonts w:ascii="Arial" w:hAnsi="Arial" w:cs="Arial"/>
          <w:bCs/>
          <w:snapToGrid w:val="0"/>
          <w:sz w:val="22"/>
          <w:szCs w:val="22"/>
        </w:rPr>
        <w:t> </w:t>
      </w:r>
      <w:r w:rsidR="00C711C6" w:rsidRPr="0091481E">
        <w:rPr>
          <w:rFonts w:ascii="Arial" w:hAnsi="Arial" w:cs="Arial"/>
          <w:bCs/>
          <w:snapToGrid w:val="0"/>
          <w:sz w:val="22"/>
          <w:szCs w:val="22"/>
        </w:rPr>
        <w:t xml:space="preserve">mg concentrated injection would be listed at the same price per mg as the currently listed form of pembrolizumab, and the cost per patient is capped under the </w:t>
      </w:r>
      <w:r w:rsidR="00B35B42" w:rsidRPr="0091481E">
        <w:rPr>
          <w:rFonts w:ascii="Arial" w:hAnsi="Arial" w:cs="Arial"/>
          <w:bCs/>
          <w:snapToGrid w:val="0"/>
          <w:sz w:val="22"/>
          <w:szCs w:val="22"/>
        </w:rPr>
        <w:t>Deed of Agreement</w:t>
      </w:r>
      <w:r w:rsidRPr="0091481E">
        <w:rPr>
          <w:rFonts w:ascii="Arial" w:hAnsi="Arial" w:cs="Arial"/>
          <w:bCs/>
          <w:snapToGrid w:val="0"/>
          <w:sz w:val="22"/>
          <w:szCs w:val="22"/>
        </w:rPr>
        <w:t>.</w:t>
      </w:r>
    </w:p>
    <w:p w:rsidR="007930F2" w:rsidRPr="0091481E" w:rsidRDefault="007930F2" w:rsidP="007930F2">
      <w:pPr>
        <w:widowControl w:val="0"/>
        <w:contextualSpacing/>
        <w:jc w:val="both"/>
        <w:rPr>
          <w:rFonts w:ascii="Arial" w:hAnsi="Arial" w:cs="Arial"/>
          <w:bCs/>
          <w:snapToGrid w:val="0"/>
          <w:sz w:val="22"/>
          <w:szCs w:val="22"/>
        </w:rPr>
      </w:pPr>
    </w:p>
    <w:p w:rsidR="00D10D58" w:rsidRPr="0091481E" w:rsidRDefault="00D10D58" w:rsidP="007930F2">
      <w:pPr>
        <w:widowControl w:val="0"/>
        <w:numPr>
          <w:ilvl w:val="1"/>
          <w:numId w:val="5"/>
        </w:numPr>
        <w:contextualSpacing/>
        <w:jc w:val="both"/>
        <w:rPr>
          <w:rFonts w:ascii="Arial" w:hAnsi="Arial" w:cs="Arial"/>
          <w:bCs/>
          <w:i/>
          <w:snapToGrid w:val="0"/>
          <w:sz w:val="22"/>
          <w:szCs w:val="22"/>
        </w:rPr>
      </w:pPr>
      <w:r w:rsidRPr="0091481E">
        <w:rPr>
          <w:rFonts w:ascii="Arial" w:hAnsi="Arial" w:cs="Arial"/>
          <w:bCs/>
          <w:snapToGrid w:val="0"/>
          <w:sz w:val="22"/>
          <w:szCs w:val="22"/>
        </w:rPr>
        <w:t>The PBA</w:t>
      </w:r>
      <w:r w:rsidR="007930F2" w:rsidRPr="0091481E">
        <w:rPr>
          <w:rFonts w:ascii="Arial" w:hAnsi="Arial" w:cs="Arial"/>
          <w:bCs/>
          <w:snapToGrid w:val="0"/>
          <w:sz w:val="22"/>
          <w:szCs w:val="22"/>
        </w:rPr>
        <w:t xml:space="preserve">C noted that this submission </w:t>
      </w:r>
      <w:r w:rsidRPr="0091481E">
        <w:rPr>
          <w:rFonts w:ascii="Arial" w:hAnsi="Arial" w:cs="Arial"/>
          <w:bCs/>
          <w:snapToGrid w:val="0"/>
          <w:sz w:val="22"/>
          <w:szCs w:val="22"/>
        </w:rPr>
        <w:t>is not elig</w:t>
      </w:r>
      <w:r w:rsidR="00C711C6" w:rsidRPr="0091481E">
        <w:rPr>
          <w:rFonts w:ascii="Arial" w:hAnsi="Arial" w:cs="Arial"/>
          <w:bCs/>
          <w:snapToGrid w:val="0"/>
          <w:sz w:val="22"/>
          <w:szCs w:val="22"/>
        </w:rPr>
        <w:t>ible for an Independent Review a</w:t>
      </w:r>
      <w:r w:rsidR="007930F2" w:rsidRPr="0091481E">
        <w:rPr>
          <w:rFonts w:ascii="Arial" w:hAnsi="Arial" w:cs="Arial"/>
          <w:bCs/>
          <w:snapToGrid w:val="0"/>
          <w:sz w:val="22"/>
          <w:szCs w:val="22"/>
        </w:rPr>
        <w:t>s it is a form of a currently listed drug.</w:t>
      </w:r>
    </w:p>
    <w:p w:rsidR="00D10D58" w:rsidRPr="0091481E" w:rsidRDefault="00D10D58" w:rsidP="00D10D58">
      <w:pPr>
        <w:jc w:val="both"/>
        <w:rPr>
          <w:rFonts w:ascii="Arial" w:hAnsi="Arial" w:cs="Arial"/>
          <w:bCs/>
          <w:snapToGrid w:val="0"/>
          <w:sz w:val="22"/>
          <w:szCs w:val="22"/>
        </w:rPr>
      </w:pPr>
    </w:p>
    <w:p w:rsidR="00C711C6" w:rsidRPr="0091481E" w:rsidRDefault="00C711C6" w:rsidP="00D10D58">
      <w:pPr>
        <w:jc w:val="both"/>
        <w:rPr>
          <w:rFonts w:ascii="Arial" w:hAnsi="Arial" w:cs="Arial"/>
          <w:bCs/>
          <w:snapToGrid w:val="0"/>
          <w:sz w:val="22"/>
          <w:szCs w:val="22"/>
        </w:rPr>
      </w:pPr>
    </w:p>
    <w:p w:rsidR="00D10D58" w:rsidRPr="0091481E" w:rsidRDefault="00D10D58" w:rsidP="00D10D58">
      <w:pPr>
        <w:jc w:val="both"/>
        <w:rPr>
          <w:rFonts w:ascii="Arial" w:hAnsi="Arial" w:cs="Arial"/>
          <w:b/>
          <w:bCs/>
          <w:snapToGrid w:val="0"/>
          <w:sz w:val="22"/>
          <w:szCs w:val="22"/>
        </w:rPr>
      </w:pPr>
      <w:r w:rsidRPr="0091481E">
        <w:rPr>
          <w:rFonts w:ascii="Arial" w:hAnsi="Arial" w:cs="Arial"/>
          <w:b/>
          <w:bCs/>
          <w:snapToGrid w:val="0"/>
          <w:sz w:val="22"/>
          <w:szCs w:val="22"/>
        </w:rPr>
        <w:t>Outcome:</w:t>
      </w:r>
    </w:p>
    <w:p w:rsidR="00D10D58" w:rsidRPr="0091481E" w:rsidRDefault="00B35B42" w:rsidP="00D10D58">
      <w:pPr>
        <w:jc w:val="both"/>
        <w:rPr>
          <w:rFonts w:ascii="Arial" w:hAnsi="Arial" w:cs="Arial"/>
          <w:bCs/>
          <w:snapToGrid w:val="0"/>
          <w:sz w:val="22"/>
          <w:szCs w:val="22"/>
        </w:rPr>
      </w:pPr>
      <w:r w:rsidRPr="0091481E">
        <w:rPr>
          <w:rFonts w:ascii="Arial" w:hAnsi="Arial" w:cs="Arial"/>
          <w:bCs/>
          <w:snapToGrid w:val="0"/>
          <w:sz w:val="22"/>
          <w:szCs w:val="22"/>
        </w:rPr>
        <w:t>Recommended</w:t>
      </w:r>
    </w:p>
    <w:p w:rsidR="00D10D58" w:rsidRPr="0091481E" w:rsidRDefault="00D10D58" w:rsidP="00D10D58">
      <w:pPr>
        <w:jc w:val="both"/>
        <w:rPr>
          <w:rFonts w:ascii="Arial" w:hAnsi="Arial" w:cs="Arial"/>
          <w:bCs/>
          <w:snapToGrid w:val="0"/>
          <w:sz w:val="22"/>
          <w:szCs w:val="22"/>
          <w:highlight w:val="yellow"/>
        </w:rPr>
      </w:pPr>
    </w:p>
    <w:p w:rsidR="00D10D58" w:rsidRPr="0091481E" w:rsidRDefault="00D10D58" w:rsidP="00D10D58">
      <w:pPr>
        <w:widowControl w:val="0"/>
        <w:jc w:val="both"/>
        <w:rPr>
          <w:rFonts w:ascii="Arial" w:hAnsi="Arial" w:cs="Arial"/>
          <w:bCs/>
          <w:snapToGrid w:val="0"/>
          <w:sz w:val="22"/>
          <w:szCs w:val="22"/>
        </w:rPr>
      </w:pPr>
    </w:p>
    <w:p w:rsidR="00D10D58" w:rsidRPr="0091481E" w:rsidRDefault="00D10D58" w:rsidP="00785770">
      <w:pPr>
        <w:pStyle w:val="PBACHeading1"/>
        <w:rPr>
          <w:b w:val="0"/>
          <w:bCs/>
          <w:i/>
        </w:rPr>
      </w:pPr>
      <w:r w:rsidRPr="0091481E">
        <w:rPr>
          <w:bCs/>
        </w:rPr>
        <w:t>Recommended listing</w:t>
      </w:r>
    </w:p>
    <w:p w:rsidR="00D10D58" w:rsidRPr="0091481E" w:rsidRDefault="00D10D58" w:rsidP="00D10D58">
      <w:pPr>
        <w:jc w:val="both"/>
        <w:rPr>
          <w:rFonts w:ascii="Arial" w:hAnsi="Arial" w:cs="Arial"/>
          <w:bCs/>
          <w:snapToGrid w:val="0"/>
          <w:sz w:val="22"/>
          <w:szCs w:val="22"/>
        </w:rPr>
      </w:pPr>
    </w:p>
    <w:p w:rsidR="00D10D58" w:rsidRPr="0091481E" w:rsidRDefault="00D10D58" w:rsidP="00F73414">
      <w:pPr>
        <w:widowControl w:val="0"/>
        <w:numPr>
          <w:ilvl w:val="1"/>
          <w:numId w:val="5"/>
        </w:numPr>
        <w:contextualSpacing/>
        <w:jc w:val="both"/>
        <w:rPr>
          <w:rFonts w:ascii="Arial" w:hAnsi="Arial" w:cs="Arial"/>
          <w:bCs/>
          <w:snapToGrid w:val="0"/>
          <w:sz w:val="22"/>
          <w:szCs w:val="22"/>
        </w:rPr>
      </w:pPr>
      <w:r w:rsidRPr="0091481E">
        <w:rPr>
          <w:rFonts w:ascii="Arial" w:hAnsi="Arial" w:cs="Arial"/>
          <w:bCs/>
          <w:snapToGrid w:val="0"/>
          <w:sz w:val="22"/>
          <w:szCs w:val="22"/>
        </w:rPr>
        <w:t>Add new item:</w:t>
      </w:r>
    </w:p>
    <w:p w:rsidR="00D10D58" w:rsidRPr="0091481E" w:rsidRDefault="00D10D58" w:rsidP="00D10D58">
      <w:pPr>
        <w:widowControl w:val="0"/>
        <w:jc w:val="both"/>
        <w:rPr>
          <w:rFonts w:ascii="Arial" w:hAnsi="Arial" w:cs="Arial"/>
          <w:bCs/>
          <w:snapToGrid w:val="0"/>
          <w:sz w:val="22"/>
          <w:szCs w:val="22"/>
          <w:highlight w:val="yellow"/>
        </w:rPr>
      </w:pPr>
    </w:p>
    <w:p w:rsidR="00534AA3" w:rsidRPr="0091481E" w:rsidRDefault="00534AA3" w:rsidP="001C5A15">
      <w:pPr>
        <w:widowControl w:val="0"/>
        <w:ind w:firstLine="720"/>
        <w:jc w:val="both"/>
        <w:rPr>
          <w:rFonts w:ascii="Arial" w:hAnsi="Arial" w:cs="Arial"/>
          <w:bCs/>
          <w:snapToGrid w:val="0"/>
          <w:sz w:val="22"/>
          <w:szCs w:val="22"/>
        </w:rPr>
      </w:pPr>
      <w:r w:rsidRPr="0091481E">
        <w:rPr>
          <w:rFonts w:ascii="Arial" w:hAnsi="Arial" w:cs="Arial"/>
          <w:bCs/>
          <w:snapToGrid w:val="0"/>
          <w:sz w:val="22"/>
          <w:szCs w:val="22"/>
        </w:rPr>
        <w:t>Initial treatment 1</w:t>
      </w:r>
    </w:p>
    <w:p w:rsidR="00D10D58" w:rsidRPr="0091481E" w:rsidRDefault="00D10D58" w:rsidP="00D10D58">
      <w:pPr>
        <w:pStyle w:val="NoSpacing"/>
      </w:pPr>
    </w:p>
    <w:tbl>
      <w:tblPr>
        <w:tblW w:w="4558" w:type="pct"/>
        <w:tblInd w:w="817" w:type="dxa"/>
        <w:tblLayout w:type="fixed"/>
        <w:tblLook w:val="04A0" w:firstRow="1" w:lastRow="0" w:firstColumn="1" w:lastColumn="0" w:noHBand="0" w:noVBand="1"/>
      </w:tblPr>
      <w:tblGrid>
        <w:gridCol w:w="2409"/>
        <w:gridCol w:w="568"/>
        <w:gridCol w:w="991"/>
        <w:gridCol w:w="708"/>
        <w:gridCol w:w="998"/>
        <w:gridCol w:w="2694"/>
        <w:gridCol w:w="57"/>
      </w:tblGrid>
      <w:tr w:rsidR="000D3F68" w:rsidRPr="0091481E" w:rsidTr="00B35B42">
        <w:trPr>
          <w:gridAfter w:val="1"/>
          <w:wAfter w:w="34" w:type="pct"/>
          <w:cantSplit/>
          <w:trHeight w:val="471"/>
        </w:trPr>
        <w:tc>
          <w:tcPr>
            <w:tcW w:w="1767" w:type="pct"/>
            <w:gridSpan w:val="2"/>
            <w:tcBorders>
              <w:bottom w:val="single" w:sz="4" w:space="0" w:color="auto"/>
            </w:tcBorders>
            <w:hideMark/>
          </w:tcPr>
          <w:p w:rsidR="000D3F68" w:rsidRPr="0091481E" w:rsidRDefault="000D3F68" w:rsidP="00F87041">
            <w:pPr>
              <w:keepNext/>
              <w:ind w:left="-108"/>
              <w:rPr>
                <w:rFonts w:ascii="Arial Narrow" w:hAnsi="Arial Narrow"/>
                <w:b/>
                <w:sz w:val="20"/>
              </w:rPr>
            </w:pPr>
            <w:r w:rsidRPr="0091481E">
              <w:rPr>
                <w:rFonts w:ascii="Arial Narrow" w:hAnsi="Arial Narrow"/>
                <w:b/>
                <w:sz w:val="20"/>
              </w:rPr>
              <w:t>Name, Restriction,</w:t>
            </w:r>
          </w:p>
          <w:p w:rsidR="000D3F68" w:rsidRPr="0091481E" w:rsidRDefault="000D3F68" w:rsidP="00F87041">
            <w:pPr>
              <w:keepNext/>
              <w:snapToGrid w:val="0"/>
              <w:ind w:left="-108"/>
              <w:rPr>
                <w:rFonts w:ascii="Arial Narrow" w:hAnsi="Arial Narrow"/>
                <w:b/>
                <w:sz w:val="20"/>
              </w:rPr>
            </w:pPr>
            <w:r w:rsidRPr="0091481E">
              <w:rPr>
                <w:rFonts w:ascii="Arial Narrow" w:hAnsi="Arial Narrow"/>
                <w:b/>
                <w:sz w:val="20"/>
              </w:rPr>
              <w:t>Manner of administration and form</w:t>
            </w:r>
          </w:p>
        </w:tc>
        <w:tc>
          <w:tcPr>
            <w:tcW w:w="588" w:type="pct"/>
            <w:tcBorders>
              <w:bottom w:val="single" w:sz="4" w:space="0" w:color="auto"/>
            </w:tcBorders>
            <w:hideMark/>
          </w:tcPr>
          <w:p w:rsidR="000D3F68" w:rsidRPr="0091481E" w:rsidRDefault="000D3F68" w:rsidP="00F87041">
            <w:pPr>
              <w:keepNext/>
              <w:ind w:left="-108"/>
              <w:rPr>
                <w:rFonts w:ascii="Arial Narrow" w:hAnsi="Arial Narrow"/>
                <w:b/>
                <w:sz w:val="20"/>
              </w:rPr>
            </w:pPr>
            <w:r w:rsidRPr="0091481E">
              <w:rPr>
                <w:rFonts w:ascii="Arial Narrow" w:hAnsi="Arial Narrow"/>
                <w:b/>
                <w:sz w:val="20"/>
              </w:rPr>
              <w:t>Max.</w:t>
            </w:r>
          </w:p>
          <w:p w:rsidR="000D3F68" w:rsidRPr="0091481E" w:rsidRDefault="000D3F68" w:rsidP="00F87041">
            <w:pPr>
              <w:keepNext/>
              <w:snapToGrid w:val="0"/>
              <w:ind w:left="-108"/>
              <w:rPr>
                <w:rFonts w:ascii="Arial Narrow" w:hAnsi="Arial Narrow"/>
                <w:b/>
                <w:sz w:val="20"/>
              </w:rPr>
            </w:pPr>
            <w:r w:rsidRPr="0091481E">
              <w:rPr>
                <w:rFonts w:ascii="Arial Narrow" w:hAnsi="Arial Narrow"/>
                <w:b/>
                <w:sz w:val="20"/>
              </w:rPr>
              <w:t>Amt.</w:t>
            </w:r>
          </w:p>
        </w:tc>
        <w:tc>
          <w:tcPr>
            <w:tcW w:w="420" w:type="pct"/>
            <w:tcBorders>
              <w:bottom w:val="single" w:sz="4" w:space="0" w:color="auto"/>
            </w:tcBorders>
            <w:hideMark/>
          </w:tcPr>
          <w:p w:rsidR="000D3F68" w:rsidRPr="0091481E" w:rsidRDefault="000D3F68" w:rsidP="00F87041">
            <w:pPr>
              <w:keepNext/>
              <w:ind w:left="-108"/>
              <w:rPr>
                <w:rFonts w:ascii="Arial Narrow" w:hAnsi="Arial Narrow"/>
                <w:b/>
                <w:sz w:val="20"/>
              </w:rPr>
            </w:pPr>
            <w:r w:rsidRPr="0091481E">
              <w:rPr>
                <w:rFonts w:ascii="Arial Narrow" w:hAnsi="Arial Narrow"/>
                <w:b/>
                <w:sz w:val="20"/>
              </w:rPr>
              <w:t>№.of</w:t>
            </w:r>
          </w:p>
          <w:p w:rsidR="000D3F68" w:rsidRPr="0091481E" w:rsidRDefault="000D3F68" w:rsidP="00F87041">
            <w:pPr>
              <w:keepNext/>
              <w:snapToGrid w:val="0"/>
              <w:ind w:left="-108"/>
              <w:rPr>
                <w:rFonts w:ascii="Arial Narrow" w:hAnsi="Arial Narrow"/>
                <w:b/>
                <w:sz w:val="20"/>
              </w:rPr>
            </w:pPr>
            <w:r w:rsidRPr="0091481E">
              <w:rPr>
                <w:rFonts w:ascii="Arial Narrow" w:hAnsi="Arial Narrow"/>
                <w:b/>
                <w:sz w:val="20"/>
              </w:rPr>
              <w:t>Rpts</w:t>
            </w:r>
          </w:p>
        </w:tc>
        <w:tc>
          <w:tcPr>
            <w:tcW w:w="2191" w:type="pct"/>
            <w:gridSpan w:val="2"/>
            <w:tcBorders>
              <w:bottom w:val="single" w:sz="4" w:space="0" w:color="auto"/>
            </w:tcBorders>
            <w:hideMark/>
          </w:tcPr>
          <w:p w:rsidR="000D3F68" w:rsidRPr="0091481E" w:rsidRDefault="000D3F68" w:rsidP="00F87041">
            <w:pPr>
              <w:keepNext/>
              <w:snapToGrid w:val="0"/>
              <w:rPr>
                <w:rFonts w:ascii="Arial Narrow" w:hAnsi="Arial Narrow"/>
                <w:b/>
                <w:sz w:val="20"/>
              </w:rPr>
            </w:pPr>
            <w:r w:rsidRPr="0091481E">
              <w:rPr>
                <w:rFonts w:ascii="Arial Narrow" w:hAnsi="Arial Narrow"/>
                <w:b/>
                <w:sz w:val="20"/>
              </w:rPr>
              <w:t>Proprietary Name and Manufacturer</w:t>
            </w:r>
          </w:p>
        </w:tc>
      </w:tr>
      <w:tr w:rsidR="000D3F68" w:rsidRPr="0091481E" w:rsidTr="00B35B42">
        <w:trPr>
          <w:gridAfter w:val="1"/>
          <w:wAfter w:w="34" w:type="pct"/>
          <w:cantSplit/>
          <w:trHeight w:val="577"/>
        </w:trPr>
        <w:tc>
          <w:tcPr>
            <w:tcW w:w="1767" w:type="pct"/>
            <w:gridSpan w:val="2"/>
            <w:tcBorders>
              <w:top w:val="single" w:sz="4" w:space="0" w:color="auto"/>
              <w:bottom w:val="single" w:sz="4" w:space="0" w:color="auto"/>
            </w:tcBorders>
            <w:hideMark/>
          </w:tcPr>
          <w:p w:rsidR="000D3F68" w:rsidRPr="0091481E" w:rsidRDefault="000D3F68" w:rsidP="000D3F68">
            <w:pPr>
              <w:keepNext/>
              <w:ind w:left="-108"/>
              <w:jc w:val="both"/>
              <w:rPr>
                <w:rFonts w:ascii="Arial Narrow" w:hAnsi="Arial Narrow" w:cs="Arial"/>
                <w:sz w:val="20"/>
                <w:szCs w:val="20"/>
              </w:rPr>
            </w:pPr>
            <w:r w:rsidRPr="0091481E">
              <w:rPr>
                <w:rFonts w:ascii="Arial Narrow" w:hAnsi="Arial Narrow" w:cs="Arial"/>
                <w:smallCaps/>
                <w:sz w:val="20"/>
                <w:szCs w:val="20"/>
              </w:rPr>
              <w:t>PEMBROLIZUMAB</w:t>
            </w:r>
          </w:p>
          <w:p w:rsidR="000D3F68" w:rsidRPr="0091481E" w:rsidRDefault="00B64110" w:rsidP="000D3F68">
            <w:pPr>
              <w:keepNext/>
              <w:ind w:left="-108"/>
              <w:rPr>
                <w:rFonts w:ascii="Arial Narrow" w:hAnsi="Arial Narrow"/>
                <w:sz w:val="20"/>
              </w:rPr>
            </w:pPr>
            <w:r w:rsidRPr="0091481E">
              <w:rPr>
                <w:rFonts w:ascii="Arial Narrow" w:hAnsi="Arial Narrow" w:cs="Arial"/>
                <w:sz w:val="20"/>
                <w:szCs w:val="20"/>
              </w:rPr>
              <w:t>Concentrated injection</w:t>
            </w:r>
            <w:r w:rsidR="000D3F68" w:rsidRPr="0091481E">
              <w:rPr>
                <w:rFonts w:ascii="Arial Narrow" w:hAnsi="Arial Narrow" w:cs="Arial"/>
                <w:sz w:val="20"/>
                <w:szCs w:val="20"/>
              </w:rPr>
              <w:t>, 100 mg</w:t>
            </w:r>
          </w:p>
        </w:tc>
        <w:tc>
          <w:tcPr>
            <w:tcW w:w="588" w:type="pct"/>
            <w:tcBorders>
              <w:top w:val="single" w:sz="4" w:space="0" w:color="auto"/>
              <w:bottom w:val="single" w:sz="4" w:space="0" w:color="auto"/>
            </w:tcBorders>
          </w:tcPr>
          <w:p w:rsidR="000D3F68" w:rsidRPr="0091481E" w:rsidRDefault="000D3F68" w:rsidP="00F87041">
            <w:pPr>
              <w:keepNext/>
              <w:rPr>
                <w:rFonts w:ascii="Arial Narrow" w:hAnsi="Arial Narrow"/>
                <w:sz w:val="20"/>
              </w:rPr>
            </w:pPr>
          </w:p>
          <w:p w:rsidR="000D3F68" w:rsidRPr="0091481E" w:rsidRDefault="00B35B42" w:rsidP="00F87041">
            <w:pPr>
              <w:keepNext/>
              <w:rPr>
                <w:rFonts w:ascii="Arial Narrow" w:hAnsi="Arial Narrow"/>
                <w:sz w:val="20"/>
              </w:rPr>
            </w:pPr>
            <w:r w:rsidRPr="0091481E">
              <w:rPr>
                <w:rFonts w:ascii="Arial Narrow" w:hAnsi="Arial Narrow"/>
                <w:sz w:val="20"/>
              </w:rPr>
              <w:t>240 </w:t>
            </w:r>
            <w:r w:rsidR="000D3F68" w:rsidRPr="0091481E">
              <w:rPr>
                <w:rFonts w:ascii="Arial Narrow" w:hAnsi="Arial Narrow"/>
                <w:sz w:val="20"/>
              </w:rPr>
              <w:t>mg</w:t>
            </w:r>
          </w:p>
        </w:tc>
        <w:tc>
          <w:tcPr>
            <w:tcW w:w="420" w:type="pct"/>
            <w:tcBorders>
              <w:top w:val="single" w:sz="4" w:space="0" w:color="auto"/>
              <w:bottom w:val="single" w:sz="4" w:space="0" w:color="auto"/>
            </w:tcBorders>
          </w:tcPr>
          <w:p w:rsidR="000D3F68" w:rsidRPr="0091481E" w:rsidRDefault="000D3F68" w:rsidP="00F87041">
            <w:pPr>
              <w:keepNext/>
              <w:ind w:left="-108"/>
              <w:rPr>
                <w:rFonts w:ascii="Arial Narrow" w:hAnsi="Arial Narrow"/>
                <w:sz w:val="20"/>
              </w:rPr>
            </w:pPr>
          </w:p>
          <w:p w:rsidR="000D3F68" w:rsidRPr="0091481E" w:rsidRDefault="006D3CBE" w:rsidP="00F87041">
            <w:pPr>
              <w:keepNext/>
              <w:ind w:left="-108"/>
              <w:rPr>
                <w:rFonts w:ascii="Arial Narrow" w:hAnsi="Arial Narrow"/>
                <w:sz w:val="20"/>
              </w:rPr>
            </w:pPr>
            <w:r>
              <w:rPr>
                <w:rFonts w:ascii="Arial Narrow" w:hAnsi="Arial Narrow"/>
                <w:sz w:val="20"/>
              </w:rPr>
              <w:t>5</w:t>
            </w:r>
          </w:p>
          <w:p w:rsidR="000D3F68" w:rsidRPr="0091481E" w:rsidRDefault="000D3F68" w:rsidP="00F87041">
            <w:pPr>
              <w:keepNext/>
              <w:ind w:left="-108"/>
              <w:rPr>
                <w:rFonts w:ascii="Arial Narrow" w:hAnsi="Arial Narrow"/>
                <w:sz w:val="20"/>
              </w:rPr>
            </w:pPr>
          </w:p>
        </w:tc>
        <w:tc>
          <w:tcPr>
            <w:tcW w:w="592" w:type="pct"/>
            <w:tcBorders>
              <w:top w:val="single" w:sz="4" w:space="0" w:color="auto"/>
              <w:bottom w:val="single" w:sz="4" w:space="0" w:color="auto"/>
            </w:tcBorders>
            <w:hideMark/>
          </w:tcPr>
          <w:p w:rsidR="000D3F68" w:rsidRPr="0091481E" w:rsidRDefault="000D3F68" w:rsidP="00F87041">
            <w:pPr>
              <w:keepNext/>
              <w:rPr>
                <w:rFonts w:ascii="Arial Narrow" w:hAnsi="Arial Narrow"/>
                <w:sz w:val="20"/>
              </w:rPr>
            </w:pPr>
            <w:r w:rsidRPr="0091481E">
              <w:rPr>
                <w:rFonts w:ascii="Arial Narrow" w:hAnsi="Arial Narrow" w:cs="Arial"/>
                <w:sz w:val="20"/>
                <w:szCs w:val="20"/>
              </w:rPr>
              <w:t>Keytruda</w:t>
            </w:r>
            <w:r w:rsidRPr="0091481E">
              <w:rPr>
                <w:rFonts w:ascii="Arial Narrow" w:hAnsi="Arial Narrow" w:cs="Arial"/>
                <w:sz w:val="20"/>
                <w:szCs w:val="20"/>
                <w:vertAlign w:val="superscript"/>
              </w:rPr>
              <w:t>®</w:t>
            </w:r>
          </w:p>
          <w:p w:rsidR="000D3F68" w:rsidRPr="0091481E" w:rsidRDefault="000D3F68" w:rsidP="00F87041">
            <w:pPr>
              <w:keepNext/>
              <w:ind w:left="-108"/>
              <w:rPr>
                <w:rFonts w:ascii="Arial Narrow" w:hAnsi="Arial Narrow"/>
                <w:sz w:val="20"/>
              </w:rPr>
            </w:pPr>
          </w:p>
        </w:tc>
        <w:tc>
          <w:tcPr>
            <w:tcW w:w="1599" w:type="pct"/>
            <w:tcBorders>
              <w:top w:val="single" w:sz="4" w:space="0" w:color="auto"/>
              <w:bottom w:val="single" w:sz="4" w:space="0" w:color="auto"/>
            </w:tcBorders>
            <w:hideMark/>
          </w:tcPr>
          <w:p w:rsidR="000D3F68" w:rsidRPr="0091481E" w:rsidRDefault="000D3F68" w:rsidP="00F87041">
            <w:pPr>
              <w:keepNext/>
              <w:rPr>
                <w:rFonts w:ascii="Arial Narrow" w:hAnsi="Arial Narrow"/>
                <w:sz w:val="20"/>
              </w:rPr>
            </w:pPr>
            <w:r w:rsidRPr="0091481E">
              <w:rPr>
                <w:rFonts w:ascii="Arial Narrow" w:hAnsi="Arial Narrow" w:cs="Arial"/>
                <w:sz w:val="20"/>
                <w:szCs w:val="20"/>
              </w:rPr>
              <w:t>Merck, Sharp &amp; Dohme Australia Pty. Ltd.</w:t>
            </w:r>
          </w:p>
        </w:tc>
      </w:tr>
      <w:tr w:rsidR="000D3F68"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hideMark/>
          </w:tcPr>
          <w:p w:rsidR="000D3F68" w:rsidRPr="0091481E" w:rsidRDefault="000D3F68" w:rsidP="00B35B42">
            <w:pPr>
              <w:rPr>
                <w:rFonts w:ascii="Arial Narrow" w:hAnsi="Arial Narrow"/>
                <w:b/>
                <w:sz w:val="20"/>
              </w:rPr>
            </w:pPr>
            <w:r w:rsidRPr="0091481E">
              <w:rPr>
                <w:rFonts w:ascii="Arial Narrow" w:hAnsi="Arial Narrow"/>
                <w:b/>
                <w:sz w:val="20"/>
              </w:rPr>
              <w:t>Category / Program</w:t>
            </w:r>
          </w:p>
        </w:tc>
        <w:tc>
          <w:tcPr>
            <w:tcW w:w="3570" w:type="pct"/>
            <w:gridSpan w:val="6"/>
            <w:tcBorders>
              <w:top w:val="single" w:sz="4" w:space="0" w:color="auto"/>
              <w:left w:val="single" w:sz="4" w:space="0" w:color="auto"/>
              <w:bottom w:val="single" w:sz="4" w:space="0" w:color="auto"/>
              <w:right w:val="single" w:sz="4" w:space="0" w:color="auto"/>
            </w:tcBorders>
          </w:tcPr>
          <w:p w:rsidR="000D3F68" w:rsidRPr="0091481E" w:rsidRDefault="000D3F68" w:rsidP="000D3F68">
            <w:pPr>
              <w:rPr>
                <w:rFonts w:ascii="Arial Narrow" w:hAnsi="Arial Narrow"/>
                <w:sz w:val="20"/>
              </w:rPr>
            </w:pPr>
            <w:r w:rsidRPr="0091481E">
              <w:rPr>
                <w:rFonts w:ascii="Arial Narrow" w:hAnsi="Arial Narrow"/>
                <w:sz w:val="20"/>
              </w:rPr>
              <w:t>Section 100 – Efficient Funding of Chemotherapy</w:t>
            </w:r>
          </w:p>
        </w:tc>
      </w:tr>
      <w:tr w:rsidR="000D3F68"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0D3F68" w:rsidRPr="0091481E" w:rsidRDefault="000D3F68" w:rsidP="00B35B42">
            <w:pPr>
              <w:rPr>
                <w:rFonts w:ascii="Arial Narrow" w:hAnsi="Arial Narrow"/>
                <w:b/>
                <w:sz w:val="20"/>
              </w:rPr>
            </w:pPr>
            <w:r w:rsidRPr="0091481E">
              <w:rPr>
                <w:rFonts w:ascii="Arial Narrow" w:hAnsi="Arial Narrow"/>
                <w:b/>
                <w:sz w:val="20"/>
              </w:rPr>
              <w:t>Prescriber type:</w:t>
            </w:r>
          </w:p>
        </w:tc>
        <w:tc>
          <w:tcPr>
            <w:tcW w:w="3570" w:type="pct"/>
            <w:gridSpan w:val="6"/>
            <w:tcBorders>
              <w:top w:val="single" w:sz="4" w:space="0" w:color="auto"/>
              <w:left w:val="single" w:sz="4" w:space="0" w:color="auto"/>
              <w:bottom w:val="single" w:sz="4" w:space="0" w:color="auto"/>
              <w:right w:val="single" w:sz="4" w:space="0" w:color="auto"/>
            </w:tcBorders>
          </w:tcPr>
          <w:p w:rsidR="000D3F68" w:rsidRPr="0091481E" w:rsidRDefault="000D3F68" w:rsidP="00F87041">
            <w:pPr>
              <w:rPr>
                <w:rFonts w:ascii="Arial Narrow" w:hAnsi="Arial Narrow"/>
                <w:sz w:val="20"/>
              </w:rPr>
            </w:pPr>
            <w:r w:rsidRPr="0091481E">
              <w:rPr>
                <w:rFonts w:ascii="Arial Narrow" w:hAnsi="Arial Narrow"/>
                <w:sz w:val="20"/>
              </w:rPr>
              <w:fldChar w:fldCharType="begin">
                <w:ffData>
                  <w:name w:val=""/>
                  <w:enabled/>
                  <w:calcOnExit w:val="0"/>
                  <w:checkBox>
                    <w:sizeAuto/>
                    <w:default w:val="1"/>
                  </w:checkBox>
                </w:ffData>
              </w:fldChar>
            </w:r>
            <w:r w:rsidRPr="0091481E">
              <w:rPr>
                <w:rFonts w:ascii="Arial Narrow" w:hAnsi="Arial Narrow"/>
                <w:sz w:val="20"/>
              </w:rPr>
              <w:instrText xml:space="preserve"> FORMCHECKBOX </w:instrText>
            </w:r>
            <w:r w:rsidR="001B6E1B">
              <w:rPr>
                <w:rFonts w:ascii="Arial Narrow" w:hAnsi="Arial Narrow"/>
                <w:sz w:val="20"/>
              </w:rPr>
            </w:r>
            <w:r w:rsidR="001B6E1B">
              <w:rPr>
                <w:rFonts w:ascii="Arial Narrow" w:hAnsi="Arial Narrow"/>
                <w:sz w:val="20"/>
              </w:rPr>
              <w:fldChar w:fldCharType="separate"/>
            </w:r>
            <w:r w:rsidRPr="0091481E">
              <w:rPr>
                <w:rFonts w:ascii="Arial Narrow" w:hAnsi="Arial Narrow"/>
                <w:sz w:val="20"/>
              </w:rPr>
              <w:fldChar w:fldCharType="end"/>
            </w:r>
            <w:r w:rsidRPr="0091481E">
              <w:rPr>
                <w:rFonts w:ascii="Arial Narrow" w:hAnsi="Arial Narrow"/>
                <w:sz w:val="20"/>
              </w:rPr>
              <w:t>Medical Practitioners</w:t>
            </w:r>
          </w:p>
        </w:tc>
      </w:tr>
      <w:tr w:rsidR="000D3F68"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hideMark/>
          </w:tcPr>
          <w:p w:rsidR="000D3F68" w:rsidRPr="0091481E" w:rsidRDefault="000D3F68" w:rsidP="00F87041">
            <w:pPr>
              <w:snapToGrid w:val="0"/>
              <w:rPr>
                <w:rFonts w:ascii="Arial Narrow" w:hAnsi="Arial Narrow"/>
                <w:b/>
                <w:sz w:val="20"/>
              </w:rPr>
            </w:pPr>
            <w:r w:rsidRPr="0091481E">
              <w:rPr>
                <w:rFonts w:ascii="Arial Narrow" w:hAnsi="Arial Narrow"/>
                <w:b/>
                <w:sz w:val="20"/>
              </w:rPr>
              <w:t>PBS Indication:</w:t>
            </w:r>
          </w:p>
        </w:tc>
        <w:tc>
          <w:tcPr>
            <w:tcW w:w="3570" w:type="pct"/>
            <w:gridSpan w:val="6"/>
            <w:tcBorders>
              <w:top w:val="single" w:sz="4" w:space="0" w:color="auto"/>
              <w:left w:val="single" w:sz="4" w:space="0" w:color="auto"/>
              <w:bottom w:val="single" w:sz="4" w:space="0" w:color="auto"/>
              <w:right w:val="single" w:sz="4" w:space="0" w:color="auto"/>
            </w:tcBorders>
          </w:tcPr>
          <w:p w:rsidR="000D3F68" w:rsidRPr="0091481E" w:rsidRDefault="00937C89" w:rsidP="00F87041">
            <w:pPr>
              <w:snapToGrid w:val="0"/>
              <w:rPr>
                <w:rFonts w:ascii="Arial Narrow" w:hAnsi="Arial Narrow"/>
                <w:sz w:val="20"/>
              </w:rPr>
            </w:pPr>
            <w:r w:rsidRPr="0091481E">
              <w:rPr>
                <w:rFonts w:ascii="Arial Narrow" w:hAnsi="Arial Narrow"/>
                <w:sz w:val="20"/>
              </w:rPr>
              <w:t>Unresectable</w:t>
            </w:r>
            <w:r w:rsidRPr="0091481E">
              <w:rPr>
                <w:rFonts w:ascii="Helvetica Neue" w:hAnsi="Helvetica Neue" w:cs="Helvetica Neue"/>
                <w:color w:val="1A1A1A"/>
                <w:sz w:val="26"/>
                <w:szCs w:val="26"/>
              </w:rPr>
              <w:t xml:space="preserve"> </w:t>
            </w:r>
            <w:r w:rsidRPr="0091481E">
              <w:rPr>
                <w:rFonts w:ascii="Arial Narrow" w:hAnsi="Arial Narrow"/>
                <w:sz w:val="20"/>
              </w:rPr>
              <w:t>Stage III or Stage IV malignant melanoma</w:t>
            </w:r>
          </w:p>
        </w:tc>
      </w:tr>
      <w:tr w:rsidR="000D3F68"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0D3F68" w:rsidRPr="0091481E" w:rsidRDefault="000D3F68" w:rsidP="00F87041">
            <w:pPr>
              <w:rPr>
                <w:rFonts w:ascii="Arial Narrow" w:hAnsi="Arial Narrow"/>
                <w:b/>
                <w:sz w:val="20"/>
              </w:rPr>
            </w:pPr>
            <w:r w:rsidRPr="0091481E">
              <w:rPr>
                <w:rFonts w:ascii="Arial Narrow" w:hAnsi="Arial Narrow"/>
                <w:b/>
                <w:sz w:val="20"/>
              </w:rPr>
              <w:t>Treatment phase:</w:t>
            </w:r>
          </w:p>
        </w:tc>
        <w:tc>
          <w:tcPr>
            <w:tcW w:w="3570" w:type="pct"/>
            <w:gridSpan w:val="6"/>
            <w:tcBorders>
              <w:top w:val="single" w:sz="4" w:space="0" w:color="auto"/>
              <w:left w:val="single" w:sz="4" w:space="0" w:color="auto"/>
              <w:bottom w:val="single" w:sz="4" w:space="0" w:color="auto"/>
              <w:right w:val="single" w:sz="4" w:space="0" w:color="auto"/>
            </w:tcBorders>
          </w:tcPr>
          <w:p w:rsidR="000D3F68" w:rsidRPr="0091481E" w:rsidRDefault="00937C89" w:rsidP="00F87041">
            <w:pPr>
              <w:snapToGrid w:val="0"/>
              <w:rPr>
                <w:rFonts w:ascii="Arial Narrow" w:hAnsi="Arial Narrow"/>
                <w:sz w:val="20"/>
              </w:rPr>
            </w:pPr>
            <w:r w:rsidRPr="0091481E">
              <w:rPr>
                <w:rFonts w:ascii="Arial Narrow" w:hAnsi="Arial Narrow"/>
                <w:sz w:val="20"/>
              </w:rPr>
              <w:t>Initial treatment 1</w:t>
            </w:r>
          </w:p>
        </w:tc>
      </w:tr>
      <w:tr w:rsidR="000D3F68"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0D3F68" w:rsidRPr="0091481E" w:rsidRDefault="000D3F68" w:rsidP="00F87041">
            <w:pPr>
              <w:rPr>
                <w:rFonts w:ascii="Arial Narrow" w:hAnsi="Arial Narrow"/>
                <w:b/>
                <w:sz w:val="20"/>
              </w:rPr>
            </w:pPr>
            <w:r w:rsidRPr="0091481E">
              <w:rPr>
                <w:rFonts w:ascii="Arial Narrow" w:hAnsi="Arial Narrow"/>
                <w:b/>
                <w:sz w:val="20"/>
              </w:rPr>
              <w:t>Restriction Level / Method:</w:t>
            </w:r>
          </w:p>
        </w:tc>
        <w:tc>
          <w:tcPr>
            <w:tcW w:w="3570" w:type="pct"/>
            <w:gridSpan w:val="6"/>
            <w:tcBorders>
              <w:top w:val="single" w:sz="4" w:space="0" w:color="auto"/>
              <w:left w:val="single" w:sz="4" w:space="0" w:color="auto"/>
              <w:bottom w:val="single" w:sz="4" w:space="0" w:color="auto"/>
              <w:right w:val="single" w:sz="4" w:space="0" w:color="auto"/>
            </w:tcBorders>
          </w:tcPr>
          <w:p w:rsidR="000D3F68" w:rsidRPr="0091481E" w:rsidRDefault="000D3F68" w:rsidP="00B35B42">
            <w:pPr>
              <w:rPr>
                <w:rFonts w:ascii="Arial Narrow" w:hAnsi="Arial Narrow"/>
                <w:sz w:val="20"/>
              </w:rPr>
            </w:pPr>
            <w:r w:rsidRPr="0091481E">
              <w:rPr>
                <w:rFonts w:ascii="Arial Narrow" w:hAnsi="Arial Narrow"/>
                <w:sz w:val="20"/>
              </w:rPr>
              <w:fldChar w:fldCharType="begin">
                <w:ffData>
                  <w:name w:val=""/>
                  <w:enabled/>
                  <w:calcOnExit w:val="0"/>
                  <w:checkBox>
                    <w:sizeAuto/>
                    <w:default w:val="1"/>
                  </w:checkBox>
                </w:ffData>
              </w:fldChar>
            </w:r>
            <w:r w:rsidRPr="0091481E">
              <w:rPr>
                <w:rFonts w:ascii="Arial Narrow" w:hAnsi="Arial Narrow"/>
                <w:sz w:val="20"/>
              </w:rPr>
              <w:instrText xml:space="preserve"> FORMCHECKBOX </w:instrText>
            </w:r>
            <w:r w:rsidR="001B6E1B">
              <w:rPr>
                <w:rFonts w:ascii="Arial Narrow" w:hAnsi="Arial Narrow"/>
                <w:sz w:val="20"/>
              </w:rPr>
            </w:r>
            <w:r w:rsidR="001B6E1B">
              <w:rPr>
                <w:rFonts w:ascii="Arial Narrow" w:hAnsi="Arial Narrow"/>
                <w:sz w:val="20"/>
              </w:rPr>
              <w:fldChar w:fldCharType="separate"/>
            </w:r>
            <w:r w:rsidRPr="0091481E">
              <w:rPr>
                <w:rFonts w:ascii="Arial Narrow" w:hAnsi="Arial Narrow"/>
                <w:sz w:val="20"/>
              </w:rPr>
              <w:fldChar w:fldCharType="end"/>
            </w:r>
            <w:r w:rsidRPr="0091481E">
              <w:rPr>
                <w:rFonts w:ascii="Arial Narrow" w:hAnsi="Arial Narrow"/>
                <w:sz w:val="20"/>
              </w:rPr>
              <w:t xml:space="preserve">Authority Required - </w:t>
            </w:r>
            <w:r w:rsidR="00937C89" w:rsidRPr="0091481E">
              <w:rPr>
                <w:rFonts w:ascii="Arial Narrow" w:hAnsi="Arial Narrow"/>
                <w:sz w:val="20"/>
              </w:rPr>
              <w:t>Streamlined</w:t>
            </w:r>
          </w:p>
        </w:tc>
      </w:tr>
      <w:tr w:rsidR="000D3F68" w:rsidRPr="0091481E" w:rsidTr="00811D48">
        <w:trPr>
          <w:trHeight w:val="360"/>
        </w:trPr>
        <w:tc>
          <w:tcPr>
            <w:tcW w:w="1430" w:type="pct"/>
            <w:tcBorders>
              <w:top w:val="single" w:sz="4" w:space="0" w:color="auto"/>
              <w:left w:val="single" w:sz="4" w:space="0" w:color="auto"/>
              <w:bottom w:val="single" w:sz="4" w:space="0" w:color="auto"/>
              <w:right w:val="single" w:sz="4" w:space="0" w:color="auto"/>
            </w:tcBorders>
          </w:tcPr>
          <w:p w:rsidR="000D3F68" w:rsidRPr="0091481E" w:rsidRDefault="000D3F68" w:rsidP="00B35B42">
            <w:pPr>
              <w:rPr>
                <w:rFonts w:ascii="Arial Narrow" w:hAnsi="Arial Narrow"/>
                <w:sz w:val="20"/>
              </w:rPr>
            </w:pPr>
            <w:r w:rsidRPr="0091481E">
              <w:rPr>
                <w:rFonts w:ascii="Arial Narrow" w:hAnsi="Arial Narrow"/>
                <w:b/>
                <w:sz w:val="20"/>
              </w:rPr>
              <w:t>Clinical criteria:</w:t>
            </w:r>
          </w:p>
        </w:tc>
        <w:tc>
          <w:tcPr>
            <w:tcW w:w="3570" w:type="pct"/>
            <w:gridSpan w:val="6"/>
            <w:tcBorders>
              <w:top w:val="single" w:sz="4" w:space="0" w:color="auto"/>
              <w:left w:val="single" w:sz="4" w:space="0" w:color="auto"/>
              <w:bottom w:val="single" w:sz="4" w:space="0" w:color="auto"/>
              <w:right w:val="single" w:sz="4" w:space="0" w:color="auto"/>
            </w:tcBorders>
          </w:tcPr>
          <w:p w:rsidR="00937C89" w:rsidRPr="0091481E" w:rsidRDefault="00937C89" w:rsidP="00534AA3">
            <w:pPr>
              <w:widowControl w:val="0"/>
              <w:tabs>
                <w:tab w:val="left" w:pos="220"/>
                <w:tab w:val="left" w:pos="720"/>
              </w:tabs>
              <w:autoSpaceDE w:val="0"/>
              <w:autoSpaceDN w:val="0"/>
              <w:adjustRightInd w:val="0"/>
              <w:rPr>
                <w:rFonts w:ascii="Arial Narrow" w:hAnsi="Arial Narrow" w:cs="Helvetica Neue"/>
                <w:color w:val="1A1A1A"/>
                <w:sz w:val="20"/>
                <w:szCs w:val="20"/>
              </w:rPr>
            </w:pPr>
            <w:r w:rsidRPr="0091481E">
              <w:rPr>
                <w:rFonts w:ascii="Arial Narrow" w:hAnsi="Arial Narrow" w:cs="Helvetica Neue"/>
                <w:color w:val="1A1A1A"/>
                <w:sz w:val="20"/>
                <w:szCs w:val="20"/>
              </w:rPr>
              <w:t>The condition must be positive for a BRAF V600 mutation,</w:t>
            </w:r>
          </w:p>
          <w:p w:rsidR="00937C89" w:rsidRPr="0091481E" w:rsidRDefault="00937C89" w:rsidP="00937C89">
            <w:pPr>
              <w:widowControl w:val="0"/>
              <w:autoSpaceDE w:val="0"/>
              <w:autoSpaceDN w:val="0"/>
              <w:adjustRightInd w:val="0"/>
              <w:rPr>
                <w:rFonts w:ascii="Arial Narrow" w:hAnsi="Arial Narrow" w:cs="Helvetica Neue"/>
                <w:color w:val="1A1A1A"/>
                <w:sz w:val="20"/>
                <w:szCs w:val="20"/>
              </w:rPr>
            </w:pPr>
            <w:r w:rsidRPr="0091481E">
              <w:rPr>
                <w:rFonts w:ascii="Arial Narrow" w:hAnsi="Arial Narrow" w:cs="Helvetica Neue"/>
                <w:bCs/>
                <w:color w:val="1A1A1A"/>
                <w:sz w:val="20"/>
                <w:szCs w:val="20"/>
              </w:rPr>
              <w:t>AND</w:t>
            </w:r>
          </w:p>
          <w:p w:rsidR="00937C89" w:rsidRPr="0091481E" w:rsidRDefault="00937C89" w:rsidP="00534AA3">
            <w:pPr>
              <w:widowControl w:val="0"/>
              <w:tabs>
                <w:tab w:val="left" w:pos="203"/>
              </w:tabs>
              <w:autoSpaceDE w:val="0"/>
              <w:autoSpaceDN w:val="0"/>
              <w:adjustRightInd w:val="0"/>
              <w:rPr>
                <w:rFonts w:ascii="Arial Narrow" w:hAnsi="Arial Narrow" w:cs="Helvetica Neue"/>
                <w:color w:val="1A1A1A"/>
                <w:sz w:val="20"/>
                <w:szCs w:val="20"/>
              </w:rPr>
            </w:pPr>
            <w:r w:rsidRPr="0091481E">
              <w:rPr>
                <w:rFonts w:ascii="Arial Narrow" w:hAnsi="Arial Narrow" w:cs="Helvetica Neue"/>
                <w:color w:val="1A1A1A"/>
                <w:sz w:val="20"/>
                <w:szCs w:val="20"/>
              </w:rPr>
              <w:t>The condition must have progressed following treatment</w:t>
            </w:r>
            <w:r w:rsidR="00534AA3" w:rsidRPr="0091481E">
              <w:rPr>
                <w:rFonts w:ascii="Arial Narrow" w:hAnsi="Arial Narrow" w:cs="Helvetica Neue"/>
                <w:color w:val="1A1A1A"/>
                <w:sz w:val="20"/>
                <w:szCs w:val="20"/>
              </w:rPr>
              <w:t xml:space="preserve"> with a BRAF inhibitor (with or </w:t>
            </w:r>
            <w:r w:rsidRPr="0091481E">
              <w:rPr>
                <w:rFonts w:ascii="Arial Narrow" w:hAnsi="Arial Narrow" w:cs="Helvetica Neue"/>
                <w:color w:val="1A1A1A"/>
                <w:sz w:val="20"/>
                <w:szCs w:val="20"/>
              </w:rPr>
              <w:t>without a MEK inhibitor) unless contraindicated or not tolerated according to the TG</w:t>
            </w:r>
            <w:r w:rsidR="00FB702D">
              <w:rPr>
                <w:rFonts w:ascii="Arial Narrow" w:hAnsi="Arial Narrow" w:cs="Helvetica Neue"/>
                <w:color w:val="1A1A1A"/>
                <w:sz w:val="20"/>
                <w:szCs w:val="20"/>
              </w:rPr>
              <w:t>A approved Product Information,</w:t>
            </w:r>
          </w:p>
          <w:p w:rsidR="00937C89" w:rsidRPr="0091481E" w:rsidRDefault="00937C89" w:rsidP="00937C89">
            <w:pPr>
              <w:widowControl w:val="0"/>
              <w:autoSpaceDE w:val="0"/>
              <w:autoSpaceDN w:val="0"/>
              <w:adjustRightInd w:val="0"/>
              <w:rPr>
                <w:rFonts w:ascii="Arial Narrow" w:hAnsi="Arial Narrow" w:cs="Helvetica Neue"/>
                <w:color w:val="1A1A1A"/>
                <w:sz w:val="20"/>
                <w:szCs w:val="20"/>
              </w:rPr>
            </w:pPr>
            <w:r w:rsidRPr="0091481E">
              <w:rPr>
                <w:rFonts w:ascii="Arial Narrow" w:hAnsi="Arial Narrow" w:cs="Helvetica Neue"/>
                <w:bCs/>
                <w:color w:val="1A1A1A"/>
                <w:sz w:val="20"/>
                <w:szCs w:val="20"/>
              </w:rPr>
              <w:t>AND</w:t>
            </w:r>
          </w:p>
          <w:p w:rsidR="00937C89" w:rsidRPr="0091481E" w:rsidRDefault="00937C89" w:rsidP="00534AA3">
            <w:pPr>
              <w:widowControl w:val="0"/>
              <w:tabs>
                <w:tab w:val="left" w:pos="220"/>
                <w:tab w:val="left" w:pos="720"/>
              </w:tabs>
              <w:autoSpaceDE w:val="0"/>
              <w:autoSpaceDN w:val="0"/>
              <w:adjustRightInd w:val="0"/>
              <w:rPr>
                <w:rFonts w:ascii="Arial Narrow" w:hAnsi="Arial Narrow" w:cs="Helvetica Neue"/>
                <w:color w:val="1A1A1A"/>
                <w:sz w:val="20"/>
                <w:szCs w:val="20"/>
              </w:rPr>
            </w:pPr>
            <w:r w:rsidRPr="0091481E">
              <w:rPr>
                <w:rFonts w:ascii="Arial Narrow" w:hAnsi="Arial Narrow" w:cs="Helvetica Neue"/>
                <w:color w:val="1A1A1A"/>
                <w:sz w:val="20"/>
                <w:szCs w:val="20"/>
              </w:rPr>
              <w:t>Patient must not have received prior treatment with ipilimumab or a PD-1 (programmed cell death-1</w:t>
            </w:r>
            <w:r w:rsidR="00FB702D">
              <w:rPr>
                <w:rFonts w:ascii="Arial Narrow" w:hAnsi="Arial Narrow" w:cs="Helvetica Neue"/>
                <w:color w:val="1A1A1A"/>
                <w:sz w:val="20"/>
                <w:szCs w:val="20"/>
              </w:rPr>
              <w:t>) inhibitor for this condition,</w:t>
            </w:r>
          </w:p>
          <w:p w:rsidR="00937C89" w:rsidRPr="0091481E" w:rsidRDefault="00937C89" w:rsidP="00937C89">
            <w:pPr>
              <w:widowControl w:val="0"/>
              <w:autoSpaceDE w:val="0"/>
              <w:autoSpaceDN w:val="0"/>
              <w:adjustRightInd w:val="0"/>
              <w:rPr>
                <w:rFonts w:ascii="Arial Narrow" w:hAnsi="Arial Narrow" w:cs="Helvetica Neue"/>
                <w:color w:val="1A1A1A"/>
                <w:sz w:val="20"/>
                <w:szCs w:val="20"/>
              </w:rPr>
            </w:pPr>
            <w:r w:rsidRPr="0091481E">
              <w:rPr>
                <w:rFonts w:ascii="Arial Narrow" w:hAnsi="Arial Narrow" w:cs="Helvetica Neue"/>
                <w:bCs/>
                <w:color w:val="1A1A1A"/>
                <w:sz w:val="20"/>
                <w:szCs w:val="20"/>
              </w:rPr>
              <w:t>AND</w:t>
            </w:r>
          </w:p>
          <w:p w:rsidR="00937C89" w:rsidRPr="0091481E" w:rsidRDefault="00937C89" w:rsidP="00534AA3">
            <w:pPr>
              <w:widowControl w:val="0"/>
              <w:tabs>
                <w:tab w:val="left" w:pos="220"/>
                <w:tab w:val="left" w:pos="720"/>
              </w:tabs>
              <w:autoSpaceDE w:val="0"/>
              <w:autoSpaceDN w:val="0"/>
              <w:adjustRightInd w:val="0"/>
              <w:rPr>
                <w:rFonts w:ascii="Arial Narrow" w:hAnsi="Arial Narrow" w:cs="Helvetica Neue"/>
                <w:color w:val="1A1A1A"/>
                <w:sz w:val="20"/>
                <w:szCs w:val="20"/>
              </w:rPr>
            </w:pPr>
            <w:r w:rsidRPr="0091481E">
              <w:rPr>
                <w:rFonts w:ascii="Arial Narrow" w:hAnsi="Arial Narrow" w:cs="Helvetica Neue"/>
                <w:color w:val="1A1A1A"/>
                <w:sz w:val="20"/>
                <w:szCs w:val="20"/>
              </w:rPr>
              <w:t>The treatment must be the sole PBS-subsidised therapy for this condition,</w:t>
            </w:r>
          </w:p>
          <w:p w:rsidR="00937C89" w:rsidRPr="0091481E" w:rsidRDefault="00937C89" w:rsidP="00937C89">
            <w:pPr>
              <w:widowControl w:val="0"/>
              <w:autoSpaceDE w:val="0"/>
              <w:autoSpaceDN w:val="0"/>
              <w:adjustRightInd w:val="0"/>
              <w:rPr>
                <w:rFonts w:ascii="Arial Narrow" w:hAnsi="Arial Narrow" w:cs="Helvetica Neue"/>
                <w:color w:val="1A1A1A"/>
                <w:sz w:val="20"/>
                <w:szCs w:val="20"/>
              </w:rPr>
            </w:pPr>
            <w:r w:rsidRPr="0091481E">
              <w:rPr>
                <w:rFonts w:ascii="Arial Narrow" w:hAnsi="Arial Narrow" w:cs="Helvetica Neue"/>
                <w:bCs/>
                <w:color w:val="1A1A1A"/>
                <w:sz w:val="20"/>
                <w:szCs w:val="20"/>
              </w:rPr>
              <w:t>AND</w:t>
            </w:r>
          </w:p>
          <w:p w:rsidR="00937C89" w:rsidRPr="0091481E" w:rsidRDefault="00937C89" w:rsidP="00534AA3">
            <w:pPr>
              <w:widowControl w:val="0"/>
              <w:tabs>
                <w:tab w:val="left" w:pos="220"/>
                <w:tab w:val="left" w:pos="720"/>
              </w:tabs>
              <w:autoSpaceDE w:val="0"/>
              <w:autoSpaceDN w:val="0"/>
              <w:adjustRightInd w:val="0"/>
              <w:rPr>
                <w:rFonts w:ascii="Arial Narrow" w:hAnsi="Arial Narrow" w:cs="Helvetica Neue"/>
                <w:color w:val="1A1A1A"/>
                <w:sz w:val="20"/>
                <w:szCs w:val="20"/>
              </w:rPr>
            </w:pPr>
            <w:r w:rsidRPr="0091481E">
              <w:rPr>
                <w:rFonts w:ascii="Arial Narrow" w:hAnsi="Arial Narrow" w:cs="Helvetica Neue"/>
                <w:color w:val="1A1A1A"/>
                <w:sz w:val="20"/>
                <w:szCs w:val="20"/>
              </w:rPr>
              <w:t>The treatment must not exceed a total of 6 doses at a maximum dose of 2</w:t>
            </w:r>
            <w:r w:rsidR="00811D48" w:rsidRPr="0091481E">
              <w:rPr>
                <w:rFonts w:ascii="Arial Narrow" w:hAnsi="Arial Narrow" w:cs="Helvetica Neue"/>
                <w:color w:val="1A1A1A"/>
                <w:sz w:val="20"/>
                <w:szCs w:val="20"/>
              </w:rPr>
              <w:t> </w:t>
            </w:r>
            <w:r w:rsidR="00FB702D">
              <w:rPr>
                <w:rFonts w:ascii="Arial Narrow" w:hAnsi="Arial Narrow" w:cs="Helvetica Neue"/>
                <w:color w:val="1A1A1A"/>
                <w:sz w:val="20"/>
                <w:szCs w:val="20"/>
              </w:rPr>
              <w:t>mg per kg every 3 weeks.</w:t>
            </w:r>
          </w:p>
          <w:p w:rsidR="00534AA3" w:rsidRPr="0091481E" w:rsidRDefault="00534AA3" w:rsidP="00937C89">
            <w:pPr>
              <w:snapToGrid w:val="0"/>
              <w:rPr>
                <w:rFonts w:ascii="Arial Narrow" w:hAnsi="Arial Narrow" w:cs="Helvetica Neue"/>
                <w:color w:val="1A1A1A"/>
                <w:sz w:val="20"/>
                <w:szCs w:val="20"/>
              </w:rPr>
            </w:pPr>
          </w:p>
          <w:p w:rsidR="000D3F68" w:rsidRPr="0091481E" w:rsidRDefault="00937C89" w:rsidP="00937C89">
            <w:pPr>
              <w:snapToGrid w:val="0"/>
              <w:rPr>
                <w:rFonts w:ascii="Arial Narrow" w:hAnsi="Arial Narrow"/>
                <w:sz w:val="20"/>
              </w:rPr>
            </w:pPr>
            <w:r w:rsidRPr="0091481E">
              <w:rPr>
                <w:rFonts w:ascii="Arial Narrow" w:hAnsi="Arial Narrow" w:cs="Helvetica Neue"/>
                <w:color w:val="1A1A1A"/>
                <w:sz w:val="20"/>
                <w:szCs w:val="20"/>
              </w:rPr>
              <w:t>The patient's body weight must be documented in the patient's medical records at the time treatment is initiated.</w:t>
            </w:r>
          </w:p>
        </w:tc>
      </w:tr>
      <w:tr w:rsidR="000D3F68" w:rsidRPr="0091481E" w:rsidTr="00811D48">
        <w:trPr>
          <w:trHeight w:val="466"/>
        </w:trPr>
        <w:tc>
          <w:tcPr>
            <w:tcW w:w="1430" w:type="pct"/>
            <w:tcBorders>
              <w:top w:val="single" w:sz="4" w:space="0" w:color="auto"/>
              <w:left w:val="single" w:sz="4" w:space="0" w:color="auto"/>
              <w:bottom w:val="single" w:sz="4" w:space="0" w:color="auto"/>
              <w:right w:val="single" w:sz="4" w:space="0" w:color="auto"/>
            </w:tcBorders>
          </w:tcPr>
          <w:p w:rsidR="000D3F68" w:rsidRPr="0091481E" w:rsidRDefault="000D3F68" w:rsidP="00F87041">
            <w:pPr>
              <w:rPr>
                <w:rFonts w:ascii="Arial Narrow" w:hAnsi="Arial Narrow"/>
                <w:b/>
                <w:sz w:val="20"/>
              </w:rPr>
            </w:pPr>
            <w:r w:rsidRPr="0091481E">
              <w:rPr>
                <w:rFonts w:ascii="Arial Narrow" w:hAnsi="Arial Narrow"/>
                <w:b/>
                <w:sz w:val="20"/>
              </w:rPr>
              <w:t>Prescriber Instruction</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Note</w:t>
            </w:r>
          </w:p>
          <w:p w:rsidR="000D3F68" w:rsidRPr="0091481E" w:rsidRDefault="00534AA3" w:rsidP="00534AA3">
            <w:pPr>
              <w:snapToGrid w:val="0"/>
              <w:rPr>
                <w:rFonts w:ascii="Arial Narrow" w:hAnsi="Arial Narrow"/>
                <w:sz w:val="20"/>
              </w:rPr>
            </w:pPr>
            <w:r w:rsidRPr="0091481E">
              <w:rPr>
                <w:rFonts w:ascii="Arial Narrow" w:hAnsi="Arial Narrow" w:cs="Helvetica Neue"/>
                <w:color w:val="1A1A1A"/>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0D3F68" w:rsidRPr="0091481E" w:rsidRDefault="000D3F68" w:rsidP="00D10D58">
      <w:pPr>
        <w:pStyle w:val="NoSpacing"/>
      </w:pPr>
    </w:p>
    <w:p w:rsidR="006456EA" w:rsidRPr="0091481E" w:rsidRDefault="006456EA" w:rsidP="00534AA3">
      <w:pPr>
        <w:widowControl w:val="0"/>
        <w:jc w:val="both"/>
        <w:rPr>
          <w:rFonts w:ascii="Arial" w:hAnsi="Arial" w:cs="Arial"/>
          <w:bCs/>
          <w:snapToGrid w:val="0"/>
          <w:sz w:val="22"/>
          <w:szCs w:val="22"/>
        </w:rPr>
      </w:pPr>
    </w:p>
    <w:p w:rsidR="001C5A15" w:rsidRDefault="001C5A15" w:rsidP="00534AA3">
      <w:pPr>
        <w:widowControl w:val="0"/>
        <w:jc w:val="both"/>
        <w:rPr>
          <w:rFonts w:ascii="Arial" w:hAnsi="Arial" w:cs="Arial"/>
          <w:bCs/>
          <w:snapToGrid w:val="0"/>
          <w:sz w:val="22"/>
          <w:szCs w:val="22"/>
        </w:rPr>
      </w:pPr>
    </w:p>
    <w:p w:rsidR="001C5A15" w:rsidRDefault="001C5A15" w:rsidP="00534AA3">
      <w:pPr>
        <w:widowControl w:val="0"/>
        <w:jc w:val="both"/>
        <w:rPr>
          <w:rFonts w:ascii="Arial" w:hAnsi="Arial" w:cs="Arial"/>
          <w:bCs/>
          <w:snapToGrid w:val="0"/>
          <w:sz w:val="22"/>
          <w:szCs w:val="22"/>
        </w:rPr>
      </w:pPr>
    </w:p>
    <w:p w:rsidR="001C5A15" w:rsidRDefault="001C5A15" w:rsidP="00534AA3">
      <w:pPr>
        <w:widowControl w:val="0"/>
        <w:jc w:val="both"/>
        <w:rPr>
          <w:rFonts w:ascii="Arial" w:hAnsi="Arial" w:cs="Arial"/>
          <w:bCs/>
          <w:snapToGrid w:val="0"/>
          <w:sz w:val="22"/>
          <w:szCs w:val="22"/>
        </w:rPr>
      </w:pPr>
    </w:p>
    <w:p w:rsidR="001C5A15" w:rsidRDefault="001C5A15" w:rsidP="00534AA3">
      <w:pPr>
        <w:widowControl w:val="0"/>
        <w:jc w:val="both"/>
        <w:rPr>
          <w:rFonts w:ascii="Arial" w:hAnsi="Arial" w:cs="Arial"/>
          <w:bCs/>
          <w:snapToGrid w:val="0"/>
          <w:sz w:val="22"/>
          <w:szCs w:val="22"/>
        </w:rPr>
      </w:pPr>
    </w:p>
    <w:p w:rsidR="00534AA3" w:rsidRPr="0091481E" w:rsidRDefault="00534AA3" w:rsidP="001C5A15">
      <w:pPr>
        <w:widowControl w:val="0"/>
        <w:ind w:firstLine="720"/>
        <w:jc w:val="both"/>
        <w:rPr>
          <w:rFonts w:ascii="Arial" w:hAnsi="Arial" w:cs="Arial"/>
          <w:bCs/>
          <w:snapToGrid w:val="0"/>
          <w:sz w:val="22"/>
          <w:szCs w:val="22"/>
        </w:rPr>
      </w:pPr>
      <w:r w:rsidRPr="0091481E">
        <w:rPr>
          <w:rFonts w:ascii="Arial" w:hAnsi="Arial" w:cs="Arial"/>
          <w:bCs/>
          <w:snapToGrid w:val="0"/>
          <w:sz w:val="22"/>
          <w:szCs w:val="22"/>
        </w:rPr>
        <w:t>Initial treatment 2</w:t>
      </w:r>
    </w:p>
    <w:p w:rsidR="00534AA3" w:rsidRPr="0091481E" w:rsidRDefault="00534AA3" w:rsidP="00534AA3">
      <w:pPr>
        <w:pStyle w:val="NoSpacing"/>
      </w:pPr>
    </w:p>
    <w:tbl>
      <w:tblPr>
        <w:tblW w:w="4558" w:type="pct"/>
        <w:tblInd w:w="817" w:type="dxa"/>
        <w:tblLayout w:type="fixed"/>
        <w:tblLook w:val="04A0" w:firstRow="1" w:lastRow="0" w:firstColumn="1" w:lastColumn="0" w:noHBand="0" w:noVBand="1"/>
      </w:tblPr>
      <w:tblGrid>
        <w:gridCol w:w="2409"/>
        <w:gridCol w:w="568"/>
        <w:gridCol w:w="992"/>
        <w:gridCol w:w="708"/>
        <w:gridCol w:w="998"/>
        <w:gridCol w:w="2694"/>
        <w:gridCol w:w="56"/>
      </w:tblGrid>
      <w:tr w:rsidR="00534AA3" w:rsidRPr="0091481E" w:rsidTr="00811D48">
        <w:trPr>
          <w:gridAfter w:val="1"/>
          <w:wAfter w:w="33" w:type="pct"/>
          <w:cantSplit/>
          <w:trHeight w:val="471"/>
        </w:trPr>
        <w:tc>
          <w:tcPr>
            <w:tcW w:w="1767" w:type="pct"/>
            <w:gridSpan w:val="2"/>
            <w:tcBorders>
              <w:bottom w:val="single" w:sz="4" w:space="0" w:color="auto"/>
            </w:tcBorders>
            <w:hideMark/>
          </w:tcPr>
          <w:p w:rsidR="00534AA3" w:rsidRPr="0091481E" w:rsidRDefault="00534AA3" w:rsidP="00F87041">
            <w:pPr>
              <w:keepNext/>
              <w:ind w:left="-108"/>
              <w:rPr>
                <w:rFonts w:ascii="Arial Narrow" w:hAnsi="Arial Narrow"/>
                <w:b/>
                <w:sz w:val="20"/>
              </w:rPr>
            </w:pPr>
            <w:r w:rsidRPr="0091481E">
              <w:rPr>
                <w:rFonts w:ascii="Arial Narrow" w:hAnsi="Arial Narrow"/>
                <w:b/>
                <w:sz w:val="20"/>
              </w:rPr>
              <w:t>Name, Restriction,</w:t>
            </w:r>
          </w:p>
          <w:p w:rsidR="00534AA3" w:rsidRPr="0091481E" w:rsidRDefault="00534AA3" w:rsidP="00F87041">
            <w:pPr>
              <w:keepNext/>
              <w:snapToGrid w:val="0"/>
              <w:ind w:left="-108"/>
              <w:rPr>
                <w:rFonts w:ascii="Arial Narrow" w:hAnsi="Arial Narrow"/>
                <w:b/>
                <w:sz w:val="20"/>
              </w:rPr>
            </w:pPr>
            <w:r w:rsidRPr="0091481E">
              <w:rPr>
                <w:rFonts w:ascii="Arial Narrow" w:hAnsi="Arial Narrow"/>
                <w:b/>
                <w:sz w:val="20"/>
              </w:rPr>
              <w:t>Manner of administration and form</w:t>
            </w:r>
          </w:p>
        </w:tc>
        <w:tc>
          <w:tcPr>
            <w:tcW w:w="589" w:type="pct"/>
            <w:tcBorders>
              <w:bottom w:val="single" w:sz="4" w:space="0" w:color="auto"/>
            </w:tcBorders>
            <w:hideMark/>
          </w:tcPr>
          <w:p w:rsidR="00534AA3" w:rsidRPr="0091481E" w:rsidRDefault="00534AA3" w:rsidP="00F87041">
            <w:pPr>
              <w:keepNext/>
              <w:ind w:left="-108"/>
              <w:rPr>
                <w:rFonts w:ascii="Arial Narrow" w:hAnsi="Arial Narrow"/>
                <w:b/>
                <w:sz w:val="20"/>
              </w:rPr>
            </w:pPr>
            <w:r w:rsidRPr="0091481E">
              <w:rPr>
                <w:rFonts w:ascii="Arial Narrow" w:hAnsi="Arial Narrow"/>
                <w:b/>
                <w:sz w:val="20"/>
              </w:rPr>
              <w:t>Max.</w:t>
            </w:r>
          </w:p>
          <w:p w:rsidR="00534AA3" w:rsidRPr="0091481E" w:rsidRDefault="00534AA3" w:rsidP="00F87041">
            <w:pPr>
              <w:keepNext/>
              <w:snapToGrid w:val="0"/>
              <w:ind w:left="-108"/>
              <w:rPr>
                <w:rFonts w:ascii="Arial Narrow" w:hAnsi="Arial Narrow"/>
                <w:b/>
                <w:sz w:val="20"/>
              </w:rPr>
            </w:pPr>
            <w:r w:rsidRPr="0091481E">
              <w:rPr>
                <w:rFonts w:ascii="Arial Narrow" w:hAnsi="Arial Narrow"/>
                <w:b/>
                <w:sz w:val="20"/>
              </w:rPr>
              <w:t>Amt.</w:t>
            </w:r>
          </w:p>
        </w:tc>
        <w:tc>
          <w:tcPr>
            <w:tcW w:w="420" w:type="pct"/>
            <w:tcBorders>
              <w:bottom w:val="single" w:sz="4" w:space="0" w:color="auto"/>
            </w:tcBorders>
            <w:hideMark/>
          </w:tcPr>
          <w:p w:rsidR="00534AA3" w:rsidRPr="0091481E" w:rsidRDefault="00534AA3" w:rsidP="00F87041">
            <w:pPr>
              <w:keepNext/>
              <w:ind w:left="-108"/>
              <w:rPr>
                <w:rFonts w:ascii="Arial Narrow" w:hAnsi="Arial Narrow"/>
                <w:b/>
                <w:sz w:val="20"/>
              </w:rPr>
            </w:pPr>
            <w:r w:rsidRPr="0091481E">
              <w:rPr>
                <w:rFonts w:ascii="Arial Narrow" w:hAnsi="Arial Narrow"/>
                <w:b/>
                <w:sz w:val="20"/>
              </w:rPr>
              <w:t>№.of</w:t>
            </w:r>
          </w:p>
          <w:p w:rsidR="00534AA3" w:rsidRPr="0091481E" w:rsidRDefault="00534AA3" w:rsidP="00F87041">
            <w:pPr>
              <w:keepNext/>
              <w:snapToGrid w:val="0"/>
              <w:ind w:left="-108"/>
              <w:rPr>
                <w:rFonts w:ascii="Arial Narrow" w:hAnsi="Arial Narrow"/>
                <w:b/>
                <w:sz w:val="20"/>
              </w:rPr>
            </w:pPr>
            <w:r w:rsidRPr="0091481E">
              <w:rPr>
                <w:rFonts w:ascii="Arial Narrow" w:hAnsi="Arial Narrow"/>
                <w:b/>
                <w:sz w:val="20"/>
              </w:rPr>
              <w:t>Rpts</w:t>
            </w:r>
          </w:p>
        </w:tc>
        <w:tc>
          <w:tcPr>
            <w:tcW w:w="2191" w:type="pct"/>
            <w:gridSpan w:val="2"/>
            <w:tcBorders>
              <w:bottom w:val="single" w:sz="4" w:space="0" w:color="auto"/>
            </w:tcBorders>
            <w:hideMark/>
          </w:tcPr>
          <w:p w:rsidR="00534AA3" w:rsidRPr="0091481E" w:rsidRDefault="00534AA3" w:rsidP="00F87041">
            <w:pPr>
              <w:keepNext/>
              <w:snapToGrid w:val="0"/>
              <w:rPr>
                <w:rFonts w:ascii="Arial Narrow" w:hAnsi="Arial Narrow"/>
                <w:b/>
                <w:sz w:val="20"/>
              </w:rPr>
            </w:pPr>
            <w:r w:rsidRPr="0091481E">
              <w:rPr>
                <w:rFonts w:ascii="Arial Narrow" w:hAnsi="Arial Narrow"/>
                <w:b/>
                <w:sz w:val="20"/>
              </w:rPr>
              <w:t>Proprietary Name and Manufacturer</w:t>
            </w:r>
          </w:p>
        </w:tc>
      </w:tr>
      <w:tr w:rsidR="00534AA3" w:rsidRPr="0091481E" w:rsidTr="00811D48">
        <w:trPr>
          <w:gridAfter w:val="1"/>
          <w:wAfter w:w="33" w:type="pct"/>
          <w:cantSplit/>
          <w:trHeight w:val="577"/>
        </w:trPr>
        <w:tc>
          <w:tcPr>
            <w:tcW w:w="1767" w:type="pct"/>
            <w:gridSpan w:val="2"/>
            <w:tcBorders>
              <w:top w:val="single" w:sz="4" w:space="0" w:color="auto"/>
              <w:bottom w:val="single" w:sz="4" w:space="0" w:color="auto"/>
            </w:tcBorders>
            <w:hideMark/>
          </w:tcPr>
          <w:p w:rsidR="00534AA3" w:rsidRPr="0091481E" w:rsidRDefault="00534AA3" w:rsidP="00F87041">
            <w:pPr>
              <w:keepNext/>
              <w:ind w:left="-108"/>
              <w:jc w:val="both"/>
              <w:rPr>
                <w:rFonts w:ascii="Arial Narrow" w:hAnsi="Arial Narrow" w:cs="Arial"/>
                <w:sz w:val="20"/>
                <w:szCs w:val="20"/>
              </w:rPr>
            </w:pPr>
            <w:r w:rsidRPr="0091481E">
              <w:rPr>
                <w:rFonts w:ascii="Arial Narrow" w:hAnsi="Arial Narrow" w:cs="Arial"/>
                <w:smallCaps/>
                <w:sz w:val="20"/>
                <w:szCs w:val="20"/>
              </w:rPr>
              <w:t>PEMBROLIZUMAB</w:t>
            </w:r>
          </w:p>
          <w:p w:rsidR="00534AA3" w:rsidRPr="0091481E" w:rsidRDefault="00B64110" w:rsidP="00F87041">
            <w:pPr>
              <w:keepNext/>
              <w:ind w:left="-108"/>
              <w:rPr>
                <w:rFonts w:ascii="Arial Narrow" w:hAnsi="Arial Narrow"/>
                <w:sz w:val="20"/>
              </w:rPr>
            </w:pPr>
            <w:r w:rsidRPr="0091481E">
              <w:rPr>
                <w:rFonts w:ascii="Arial Narrow" w:hAnsi="Arial Narrow" w:cs="Arial"/>
                <w:sz w:val="20"/>
                <w:szCs w:val="20"/>
              </w:rPr>
              <w:t>Concentrated injection</w:t>
            </w:r>
            <w:r w:rsidR="00534AA3" w:rsidRPr="0091481E">
              <w:rPr>
                <w:rFonts w:ascii="Arial Narrow" w:hAnsi="Arial Narrow" w:cs="Arial"/>
                <w:sz w:val="20"/>
                <w:szCs w:val="20"/>
              </w:rPr>
              <w:t>, 100 mg</w:t>
            </w:r>
          </w:p>
        </w:tc>
        <w:tc>
          <w:tcPr>
            <w:tcW w:w="589" w:type="pct"/>
            <w:tcBorders>
              <w:top w:val="single" w:sz="4" w:space="0" w:color="auto"/>
              <w:bottom w:val="single" w:sz="4" w:space="0" w:color="auto"/>
            </w:tcBorders>
          </w:tcPr>
          <w:p w:rsidR="00534AA3" w:rsidRPr="0091481E" w:rsidRDefault="00534AA3" w:rsidP="00F87041">
            <w:pPr>
              <w:keepNext/>
              <w:rPr>
                <w:rFonts w:ascii="Arial Narrow" w:hAnsi="Arial Narrow"/>
                <w:sz w:val="20"/>
              </w:rPr>
            </w:pPr>
          </w:p>
          <w:p w:rsidR="00534AA3" w:rsidRPr="0091481E" w:rsidRDefault="00534AA3" w:rsidP="00811D48">
            <w:pPr>
              <w:keepNext/>
              <w:rPr>
                <w:rFonts w:ascii="Arial Narrow" w:hAnsi="Arial Narrow"/>
                <w:sz w:val="20"/>
              </w:rPr>
            </w:pPr>
            <w:r w:rsidRPr="0091481E">
              <w:rPr>
                <w:rFonts w:ascii="Arial Narrow" w:hAnsi="Arial Narrow"/>
                <w:sz w:val="20"/>
              </w:rPr>
              <w:t>240</w:t>
            </w:r>
            <w:r w:rsidR="00811D48" w:rsidRPr="0091481E">
              <w:rPr>
                <w:rFonts w:ascii="Arial Narrow" w:hAnsi="Arial Narrow"/>
                <w:sz w:val="20"/>
              </w:rPr>
              <w:t> </w:t>
            </w:r>
            <w:r w:rsidRPr="0091481E">
              <w:rPr>
                <w:rFonts w:ascii="Arial Narrow" w:hAnsi="Arial Narrow"/>
                <w:sz w:val="20"/>
              </w:rPr>
              <w:t>mg</w:t>
            </w:r>
          </w:p>
        </w:tc>
        <w:tc>
          <w:tcPr>
            <w:tcW w:w="420" w:type="pct"/>
            <w:tcBorders>
              <w:top w:val="single" w:sz="4" w:space="0" w:color="auto"/>
              <w:bottom w:val="single" w:sz="4" w:space="0" w:color="auto"/>
            </w:tcBorders>
          </w:tcPr>
          <w:p w:rsidR="00534AA3" w:rsidRPr="0091481E" w:rsidRDefault="00534AA3" w:rsidP="00F87041">
            <w:pPr>
              <w:keepNext/>
              <w:ind w:left="-108"/>
              <w:rPr>
                <w:rFonts w:ascii="Arial Narrow" w:hAnsi="Arial Narrow"/>
                <w:sz w:val="20"/>
              </w:rPr>
            </w:pPr>
          </w:p>
          <w:p w:rsidR="00534AA3" w:rsidRPr="0091481E" w:rsidRDefault="006D3CBE" w:rsidP="00F87041">
            <w:pPr>
              <w:keepNext/>
              <w:ind w:left="-108"/>
              <w:rPr>
                <w:rFonts w:ascii="Arial Narrow" w:hAnsi="Arial Narrow"/>
                <w:sz w:val="20"/>
              </w:rPr>
            </w:pPr>
            <w:r>
              <w:rPr>
                <w:rFonts w:ascii="Arial Narrow" w:hAnsi="Arial Narrow"/>
                <w:sz w:val="20"/>
              </w:rPr>
              <w:t>5</w:t>
            </w:r>
          </w:p>
          <w:p w:rsidR="00534AA3" w:rsidRPr="0091481E" w:rsidRDefault="00534AA3" w:rsidP="00F87041">
            <w:pPr>
              <w:keepNext/>
              <w:ind w:left="-108"/>
              <w:rPr>
                <w:rFonts w:ascii="Arial Narrow" w:hAnsi="Arial Narrow"/>
                <w:sz w:val="20"/>
              </w:rPr>
            </w:pPr>
          </w:p>
        </w:tc>
        <w:tc>
          <w:tcPr>
            <w:tcW w:w="592" w:type="pct"/>
            <w:tcBorders>
              <w:top w:val="single" w:sz="4" w:space="0" w:color="auto"/>
              <w:bottom w:val="single" w:sz="4" w:space="0" w:color="auto"/>
            </w:tcBorders>
            <w:hideMark/>
          </w:tcPr>
          <w:p w:rsidR="00534AA3" w:rsidRPr="0091481E" w:rsidRDefault="00534AA3" w:rsidP="00F87041">
            <w:pPr>
              <w:keepNext/>
              <w:rPr>
                <w:rFonts w:ascii="Arial Narrow" w:hAnsi="Arial Narrow"/>
                <w:sz w:val="20"/>
              </w:rPr>
            </w:pPr>
            <w:r w:rsidRPr="0091481E">
              <w:rPr>
                <w:rFonts w:ascii="Arial Narrow" w:hAnsi="Arial Narrow" w:cs="Arial"/>
                <w:sz w:val="20"/>
                <w:szCs w:val="20"/>
              </w:rPr>
              <w:t>Keytruda</w:t>
            </w:r>
            <w:r w:rsidRPr="0091481E">
              <w:rPr>
                <w:rFonts w:ascii="Arial Narrow" w:hAnsi="Arial Narrow" w:cs="Arial"/>
                <w:sz w:val="20"/>
                <w:szCs w:val="20"/>
                <w:vertAlign w:val="superscript"/>
              </w:rPr>
              <w:t>®</w:t>
            </w:r>
          </w:p>
          <w:p w:rsidR="00534AA3" w:rsidRPr="0091481E" w:rsidRDefault="00534AA3" w:rsidP="00F87041">
            <w:pPr>
              <w:keepNext/>
              <w:ind w:left="-108"/>
              <w:rPr>
                <w:rFonts w:ascii="Arial Narrow" w:hAnsi="Arial Narrow"/>
                <w:sz w:val="20"/>
              </w:rPr>
            </w:pPr>
          </w:p>
        </w:tc>
        <w:tc>
          <w:tcPr>
            <w:tcW w:w="1599" w:type="pct"/>
            <w:tcBorders>
              <w:top w:val="single" w:sz="4" w:space="0" w:color="auto"/>
              <w:bottom w:val="single" w:sz="4" w:space="0" w:color="auto"/>
            </w:tcBorders>
            <w:hideMark/>
          </w:tcPr>
          <w:p w:rsidR="00534AA3" w:rsidRPr="0091481E" w:rsidRDefault="00534AA3" w:rsidP="00F87041">
            <w:pPr>
              <w:keepNext/>
              <w:rPr>
                <w:rFonts w:ascii="Arial Narrow" w:hAnsi="Arial Narrow"/>
                <w:sz w:val="20"/>
              </w:rPr>
            </w:pPr>
            <w:r w:rsidRPr="0091481E">
              <w:rPr>
                <w:rFonts w:ascii="Arial Narrow" w:hAnsi="Arial Narrow" w:cs="Arial"/>
                <w:sz w:val="20"/>
                <w:szCs w:val="20"/>
              </w:rPr>
              <w:t>Merck, Sharp &amp; Dohme Australia Pty. Ltd.</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hideMark/>
          </w:tcPr>
          <w:p w:rsidR="00534AA3" w:rsidRPr="0091481E" w:rsidRDefault="00534AA3" w:rsidP="00811D48">
            <w:pPr>
              <w:rPr>
                <w:rFonts w:ascii="Arial Narrow" w:hAnsi="Arial Narrow"/>
                <w:b/>
                <w:sz w:val="20"/>
              </w:rPr>
            </w:pPr>
            <w:r w:rsidRPr="0091481E">
              <w:rPr>
                <w:rFonts w:ascii="Arial Narrow" w:hAnsi="Arial Narrow"/>
                <w:b/>
                <w:sz w:val="20"/>
              </w:rPr>
              <w:t>Category / Program</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sz w:val="20"/>
              </w:rPr>
            </w:pPr>
            <w:r w:rsidRPr="0091481E">
              <w:rPr>
                <w:rFonts w:ascii="Arial Narrow" w:hAnsi="Arial Narrow"/>
                <w:sz w:val="20"/>
              </w:rPr>
              <w:t>Section 100 – Efficient Funding of Chemotherapy</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811D48">
            <w:pPr>
              <w:rPr>
                <w:rFonts w:ascii="Arial Narrow" w:hAnsi="Arial Narrow"/>
                <w:b/>
                <w:sz w:val="20"/>
              </w:rPr>
            </w:pPr>
            <w:r w:rsidRPr="0091481E">
              <w:rPr>
                <w:rFonts w:ascii="Arial Narrow" w:hAnsi="Arial Narrow"/>
                <w:b/>
                <w:sz w:val="20"/>
              </w:rPr>
              <w:t>Prescriber type:</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sz w:val="20"/>
              </w:rPr>
            </w:pPr>
            <w:r w:rsidRPr="0091481E">
              <w:rPr>
                <w:rFonts w:ascii="Arial Narrow" w:hAnsi="Arial Narrow"/>
                <w:sz w:val="20"/>
              </w:rPr>
              <w:fldChar w:fldCharType="begin">
                <w:ffData>
                  <w:name w:val=""/>
                  <w:enabled/>
                  <w:calcOnExit w:val="0"/>
                  <w:checkBox>
                    <w:sizeAuto/>
                    <w:default w:val="1"/>
                  </w:checkBox>
                </w:ffData>
              </w:fldChar>
            </w:r>
            <w:r w:rsidRPr="0091481E">
              <w:rPr>
                <w:rFonts w:ascii="Arial Narrow" w:hAnsi="Arial Narrow"/>
                <w:sz w:val="20"/>
              </w:rPr>
              <w:instrText xml:space="preserve"> FORMCHECKBOX </w:instrText>
            </w:r>
            <w:r w:rsidR="001B6E1B">
              <w:rPr>
                <w:rFonts w:ascii="Arial Narrow" w:hAnsi="Arial Narrow"/>
                <w:sz w:val="20"/>
              </w:rPr>
            </w:r>
            <w:r w:rsidR="001B6E1B">
              <w:rPr>
                <w:rFonts w:ascii="Arial Narrow" w:hAnsi="Arial Narrow"/>
                <w:sz w:val="20"/>
              </w:rPr>
              <w:fldChar w:fldCharType="separate"/>
            </w:r>
            <w:r w:rsidRPr="0091481E">
              <w:rPr>
                <w:rFonts w:ascii="Arial Narrow" w:hAnsi="Arial Narrow"/>
                <w:sz w:val="20"/>
              </w:rPr>
              <w:fldChar w:fldCharType="end"/>
            </w:r>
            <w:r w:rsidRPr="0091481E">
              <w:rPr>
                <w:rFonts w:ascii="Arial Narrow" w:hAnsi="Arial Narrow"/>
                <w:sz w:val="20"/>
              </w:rPr>
              <w:t>Medical Practitioners</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hideMark/>
          </w:tcPr>
          <w:p w:rsidR="00534AA3" w:rsidRPr="0091481E" w:rsidRDefault="00534AA3" w:rsidP="00F87041">
            <w:pPr>
              <w:snapToGrid w:val="0"/>
              <w:rPr>
                <w:rFonts w:ascii="Arial Narrow" w:hAnsi="Arial Narrow"/>
                <w:b/>
                <w:sz w:val="20"/>
              </w:rPr>
            </w:pPr>
            <w:r w:rsidRPr="0091481E">
              <w:rPr>
                <w:rFonts w:ascii="Arial Narrow" w:hAnsi="Arial Narrow"/>
                <w:b/>
                <w:sz w:val="20"/>
              </w:rPr>
              <w:t>PBS Indication:</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snapToGrid w:val="0"/>
              <w:rPr>
                <w:rFonts w:ascii="Arial Narrow" w:hAnsi="Arial Narrow"/>
                <w:sz w:val="20"/>
              </w:rPr>
            </w:pPr>
            <w:r w:rsidRPr="0091481E">
              <w:rPr>
                <w:rFonts w:ascii="Arial Narrow" w:hAnsi="Arial Narrow"/>
                <w:sz w:val="20"/>
              </w:rPr>
              <w:t>Unresectable</w:t>
            </w:r>
            <w:r w:rsidRPr="0091481E">
              <w:rPr>
                <w:rFonts w:ascii="Helvetica Neue" w:hAnsi="Helvetica Neue" w:cs="Helvetica Neue"/>
                <w:color w:val="1A1A1A"/>
                <w:sz w:val="26"/>
                <w:szCs w:val="26"/>
              </w:rPr>
              <w:t xml:space="preserve"> </w:t>
            </w:r>
            <w:r w:rsidRPr="0091481E">
              <w:rPr>
                <w:rFonts w:ascii="Arial Narrow" w:hAnsi="Arial Narrow"/>
                <w:sz w:val="20"/>
              </w:rPr>
              <w:t>Stage III or Stage IV malignant melanoma</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b/>
                <w:sz w:val="20"/>
              </w:rPr>
            </w:pPr>
            <w:r w:rsidRPr="0091481E">
              <w:rPr>
                <w:rFonts w:ascii="Arial Narrow" w:hAnsi="Arial Narrow"/>
                <w:b/>
                <w:sz w:val="20"/>
              </w:rPr>
              <w:t>Treatment phase:</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snapToGrid w:val="0"/>
              <w:rPr>
                <w:rFonts w:ascii="Arial Narrow" w:hAnsi="Arial Narrow"/>
                <w:sz w:val="20"/>
              </w:rPr>
            </w:pPr>
            <w:r w:rsidRPr="0091481E">
              <w:rPr>
                <w:rFonts w:ascii="Arial Narrow" w:hAnsi="Arial Narrow"/>
                <w:sz w:val="20"/>
              </w:rPr>
              <w:t>Initial treatment 2</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b/>
                <w:sz w:val="20"/>
              </w:rPr>
            </w:pPr>
            <w:r w:rsidRPr="0091481E">
              <w:rPr>
                <w:rFonts w:ascii="Arial Narrow" w:hAnsi="Arial Narrow"/>
                <w:b/>
                <w:sz w:val="20"/>
              </w:rPr>
              <w:t>Restriction Level / Method:</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811D48">
            <w:pPr>
              <w:rPr>
                <w:rFonts w:ascii="Arial Narrow" w:hAnsi="Arial Narrow"/>
                <w:sz w:val="20"/>
              </w:rPr>
            </w:pPr>
            <w:r w:rsidRPr="0091481E">
              <w:rPr>
                <w:rFonts w:ascii="Arial Narrow" w:hAnsi="Arial Narrow"/>
                <w:sz w:val="20"/>
              </w:rPr>
              <w:fldChar w:fldCharType="begin">
                <w:ffData>
                  <w:name w:val=""/>
                  <w:enabled/>
                  <w:calcOnExit w:val="0"/>
                  <w:checkBox>
                    <w:sizeAuto/>
                    <w:default w:val="1"/>
                  </w:checkBox>
                </w:ffData>
              </w:fldChar>
            </w:r>
            <w:r w:rsidRPr="0091481E">
              <w:rPr>
                <w:rFonts w:ascii="Arial Narrow" w:hAnsi="Arial Narrow"/>
                <w:sz w:val="20"/>
              </w:rPr>
              <w:instrText xml:space="preserve"> FORMCHECKBOX </w:instrText>
            </w:r>
            <w:r w:rsidR="001B6E1B">
              <w:rPr>
                <w:rFonts w:ascii="Arial Narrow" w:hAnsi="Arial Narrow"/>
                <w:sz w:val="20"/>
              </w:rPr>
            </w:r>
            <w:r w:rsidR="001B6E1B">
              <w:rPr>
                <w:rFonts w:ascii="Arial Narrow" w:hAnsi="Arial Narrow"/>
                <w:sz w:val="20"/>
              </w:rPr>
              <w:fldChar w:fldCharType="separate"/>
            </w:r>
            <w:r w:rsidRPr="0091481E">
              <w:rPr>
                <w:rFonts w:ascii="Arial Narrow" w:hAnsi="Arial Narrow"/>
                <w:sz w:val="20"/>
              </w:rPr>
              <w:fldChar w:fldCharType="end"/>
            </w:r>
            <w:r w:rsidRPr="0091481E">
              <w:rPr>
                <w:rFonts w:ascii="Arial Narrow" w:hAnsi="Arial Narrow"/>
                <w:sz w:val="20"/>
              </w:rPr>
              <w:t>Authority Required - Streamlined</w:t>
            </w:r>
          </w:p>
        </w:tc>
      </w:tr>
      <w:tr w:rsidR="00534AA3" w:rsidRPr="0091481E" w:rsidTr="00811D48">
        <w:trPr>
          <w:trHeight w:val="360"/>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811D48">
            <w:pPr>
              <w:rPr>
                <w:rFonts w:ascii="Arial Narrow" w:hAnsi="Arial Narrow"/>
                <w:sz w:val="20"/>
              </w:rPr>
            </w:pPr>
            <w:r w:rsidRPr="0091481E">
              <w:rPr>
                <w:rFonts w:ascii="Arial Narrow" w:hAnsi="Arial Narrow"/>
                <w:b/>
                <w:sz w:val="20"/>
              </w:rPr>
              <w:t>Clinical criteria:</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534AA3">
            <w:pPr>
              <w:snapToGrid w:val="0"/>
              <w:rPr>
                <w:rFonts w:ascii="Arial Narrow" w:hAnsi="Arial Narrow"/>
                <w:sz w:val="20"/>
              </w:rPr>
            </w:pPr>
            <w:r w:rsidRPr="0091481E">
              <w:rPr>
                <w:rFonts w:ascii="Arial Narrow" w:hAnsi="Arial Narrow"/>
                <w:sz w:val="20"/>
              </w:rPr>
              <w:t>The condition must be negative for a BRAF V600 mutation,</w:t>
            </w:r>
          </w:p>
          <w:p w:rsidR="00534AA3" w:rsidRPr="0091481E" w:rsidRDefault="00534AA3" w:rsidP="00534AA3">
            <w:pPr>
              <w:snapToGrid w:val="0"/>
              <w:rPr>
                <w:rFonts w:ascii="Arial Narrow" w:hAnsi="Arial Narrow"/>
                <w:sz w:val="20"/>
              </w:rPr>
            </w:pPr>
            <w:r w:rsidRPr="0091481E">
              <w:rPr>
                <w:rFonts w:ascii="Arial Narrow" w:hAnsi="Arial Narrow"/>
                <w:sz w:val="20"/>
              </w:rPr>
              <w:t>AND</w:t>
            </w:r>
          </w:p>
          <w:p w:rsidR="00534AA3" w:rsidRPr="0091481E" w:rsidRDefault="00534AA3" w:rsidP="00534AA3">
            <w:pPr>
              <w:snapToGrid w:val="0"/>
              <w:rPr>
                <w:rFonts w:ascii="Arial Narrow" w:hAnsi="Arial Narrow"/>
                <w:sz w:val="20"/>
              </w:rPr>
            </w:pPr>
            <w:r w:rsidRPr="0091481E">
              <w:rPr>
                <w:rFonts w:ascii="Arial Narrow" w:hAnsi="Arial Narrow"/>
                <w:sz w:val="20"/>
              </w:rPr>
              <w:t>Patient must not have received prior treatment with ipilimumab or a PD-1 (programmed cell death-1</w:t>
            </w:r>
            <w:r w:rsidR="00FB702D">
              <w:rPr>
                <w:rFonts w:ascii="Arial Narrow" w:hAnsi="Arial Narrow"/>
                <w:sz w:val="20"/>
              </w:rPr>
              <w:t>) inhibitor for this condition,</w:t>
            </w:r>
          </w:p>
          <w:p w:rsidR="00534AA3" w:rsidRPr="0091481E" w:rsidRDefault="00534AA3" w:rsidP="00534AA3">
            <w:pPr>
              <w:snapToGrid w:val="0"/>
              <w:rPr>
                <w:rFonts w:ascii="Arial Narrow" w:hAnsi="Arial Narrow"/>
                <w:sz w:val="20"/>
              </w:rPr>
            </w:pPr>
            <w:r w:rsidRPr="0091481E">
              <w:rPr>
                <w:rFonts w:ascii="Arial Narrow" w:hAnsi="Arial Narrow"/>
                <w:sz w:val="20"/>
              </w:rPr>
              <w:t>AND</w:t>
            </w:r>
          </w:p>
          <w:p w:rsidR="00534AA3" w:rsidRPr="0091481E" w:rsidRDefault="00534AA3" w:rsidP="00534AA3">
            <w:pPr>
              <w:snapToGrid w:val="0"/>
              <w:rPr>
                <w:rFonts w:ascii="Arial Narrow" w:hAnsi="Arial Narrow"/>
                <w:sz w:val="20"/>
              </w:rPr>
            </w:pPr>
            <w:r w:rsidRPr="0091481E">
              <w:rPr>
                <w:rFonts w:ascii="Arial Narrow" w:hAnsi="Arial Narrow"/>
                <w:sz w:val="20"/>
              </w:rPr>
              <w:t>The treatment must be the sole PBS-subsidised therapy for this condition,</w:t>
            </w:r>
          </w:p>
          <w:p w:rsidR="00534AA3" w:rsidRPr="0091481E" w:rsidRDefault="00534AA3" w:rsidP="00534AA3">
            <w:pPr>
              <w:snapToGrid w:val="0"/>
              <w:rPr>
                <w:rFonts w:ascii="Arial Narrow" w:hAnsi="Arial Narrow"/>
                <w:sz w:val="20"/>
              </w:rPr>
            </w:pPr>
            <w:r w:rsidRPr="0091481E">
              <w:rPr>
                <w:rFonts w:ascii="Arial Narrow" w:hAnsi="Arial Narrow"/>
                <w:sz w:val="20"/>
              </w:rPr>
              <w:t>AND</w:t>
            </w:r>
          </w:p>
          <w:p w:rsidR="00534AA3" w:rsidRPr="0091481E" w:rsidRDefault="00534AA3" w:rsidP="00534AA3">
            <w:pPr>
              <w:snapToGrid w:val="0"/>
              <w:rPr>
                <w:rFonts w:ascii="Arial Narrow" w:hAnsi="Arial Narrow"/>
                <w:sz w:val="20"/>
              </w:rPr>
            </w:pPr>
            <w:r w:rsidRPr="0091481E">
              <w:rPr>
                <w:rFonts w:ascii="Arial Narrow" w:hAnsi="Arial Narrow"/>
                <w:sz w:val="20"/>
              </w:rPr>
              <w:t>The treatment must not exceed a total of 6 d</w:t>
            </w:r>
            <w:r w:rsidR="00811D48" w:rsidRPr="0091481E">
              <w:rPr>
                <w:rFonts w:ascii="Arial Narrow" w:hAnsi="Arial Narrow"/>
                <w:sz w:val="20"/>
              </w:rPr>
              <w:t>oses at a maximum dose of 2 </w:t>
            </w:r>
            <w:r w:rsidR="00FB702D">
              <w:rPr>
                <w:rFonts w:ascii="Arial Narrow" w:hAnsi="Arial Narrow"/>
                <w:sz w:val="20"/>
              </w:rPr>
              <w:t>mg per kg every 3 weeks.</w:t>
            </w:r>
          </w:p>
          <w:p w:rsidR="00534AA3" w:rsidRPr="0091481E" w:rsidRDefault="00534AA3" w:rsidP="00534AA3">
            <w:pPr>
              <w:snapToGrid w:val="0"/>
              <w:rPr>
                <w:rFonts w:ascii="Helvetica Neue" w:hAnsi="Helvetica Neue" w:cs="Helvetica Neue"/>
                <w:color w:val="1A1A1A"/>
                <w:sz w:val="26"/>
                <w:szCs w:val="26"/>
              </w:rPr>
            </w:pPr>
            <w:r w:rsidRPr="0091481E">
              <w:rPr>
                <w:rFonts w:ascii="Arial Narrow" w:hAnsi="Arial Narrow"/>
                <w:sz w:val="20"/>
              </w:rPr>
              <w:t>The patient's body weight must be documented in the patient's medical records at the time treatment is initiated.</w:t>
            </w:r>
          </w:p>
        </w:tc>
      </w:tr>
      <w:tr w:rsidR="00534AA3" w:rsidRPr="0091481E" w:rsidTr="00811D48">
        <w:trPr>
          <w:trHeight w:val="466"/>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b/>
                <w:sz w:val="20"/>
              </w:rPr>
            </w:pPr>
            <w:r w:rsidRPr="0091481E">
              <w:rPr>
                <w:rFonts w:ascii="Arial Narrow" w:hAnsi="Arial Narrow"/>
                <w:b/>
                <w:sz w:val="20"/>
              </w:rPr>
              <w:t>Prescriber Instruction</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Note</w:t>
            </w:r>
          </w:p>
          <w:p w:rsidR="00534AA3" w:rsidRPr="0091481E" w:rsidRDefault="00534AA3" w:rsidP="00F87041">
            <w:pPr>
              <w:snapToGrid w:val="0"/>
              <w:rPr>
                <w:rFonts w:ascii="Arial Narrow" w:hAnsi="Arial Narrow"/>
                <w:sz w:val="20"/>
              </w:rPr>
            </w:pPr>
            <w:r w:rsidRPr="0091481E">
              <w:rPr>
                <w:rFonts w:ascii="Arial Narrow" w:hAnsi="Arial Narrow" w:cs="Helvetica Neue"/>
                <w:color w:val="1A1A1A"/>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534AA3" w:rsidRPr="0091481E" w:rsidRDefault="00534AA3" w:rsidP="00534AA3">
      <w:pPr>
        <w:pStyle w:val="NoSpacing"/>
      </w:pPr>
    </w:p>
    <w:p w:rsidR="006456EA" w:rsidRPr="0091481E" w:rsidRDefault="006456EA" w:rsidP="00534AA3">
      <w:pPr>
        <w:widowControl w:val="0"/>
        <w:jc w:val="both"/>
        <w:rPr>
          <w:rFonts w:ascii="Arial" w:hAnsi="Arial" w:cs="Arial"/>
          <w:bCs/>
          <w:snapToGrid w:val="0"/>
          <w:sz w:val="22"/>
          <w:szCs w:val="22"/>
        </w:rPr>
      </w:pPr>
    </w:p>
    <w:p w:rsidR="006456EA" w:rsidRPr="0091481E" w:rsidRDefault="006456EA" w:rsidP="00534AA3">
      <w:pPr>
        <w:widowControl w:val="0"/>
        <w:jc w:val="both"/>
        <w:rPr>
          <w:rFonts w:ascii="Arial" w:hAnsi="Arial" w:cs="Arial"/>
          <w:bCs/>
          <w:snapToGrid w:val="0"/>
          <w:sz w:val="22"/>
          <w:szCs w:val="22"/>
        </w:rPr>
      </w:pPr>
    </w:p>
    <w:p w:rsidR="006456EA" w:rsidRPr="0091481E" w:rsidRDefault="006456EA" w:rsidP="00534AA3">
      <w:pPr>
        <w:widowControl w:val="0"/>
        <w:jc w:val="both"/>
        <w:rPr>
          <w:rFonts w:ascii="Arial" w:hAnsi="Arial" w:cs="Arial"/>
          <w:bCs/>
          <w:snapToGrid w:val="0"/>
          <w:sz w:val="22"/>
          <w:szCs w:val="22"/>
        </w:rPr>
      </w:pPr>
    </w:p>
    <w:p w:rsidR="000D5CE4" w:rsidRDefault="000D5CE4">
      <w:pPr>
        <w:rPr>
          <w:rFonts w:ascii="Arial" w:hAnsi="Arial" w:cs="Arial"/>
          <w:bCs/>
          <w:snapToGrid w:val="0"/>
          <w:sz w:val="22"/>
          <w:szCs w:val="22"/>
        </w:rPr>
      </w:pPr>
      <w:r>
        <w:rPr>
          <w:rFonts w:ascii="Arial" w:hAnsi="Arial" w:cs="Arial"/>
          <w:bCs/>
          <w:snapToGrid w:val="0"/>
          <w:sz w:val="22"/>
          <w:szCs w:val="22"/>
        </w:rPr>
        <w:br w:type="page"/>
      </w:r>
    </w:p>
    <w:p w:rsidR="00534AA3" w:rsidRPr="0091481E" w:rsidRDefault="00534AA3" w:rsidP="001C5A15">
      <w:pPr>
        <w:widowControl w:val="0"/>
        <w:ind w:firstLine="720"/>
        <w:jc w:val="both"/>
        <w:rPr>
          <w:rFonts w:ascii="Arial" w:hAnsi="Arial" w:cs="Arial"/>
          <w:bCs/>
          <w:snapToGrid w:val="0"/>
          <w:sz w:val="22"/>
          <w:szCs w:val="22"/>
        </w:rPr>
      </w:pPr>
      <w:r w:rsidRPr="0091481E">
        <w:rPr>
          <w:rFonts w:ascii="Arial" w:hAnsi="Arial" w:cs="Arial"/>
          <w:bCs/>
          <w:snapToGrid w:val="0"/>
          <w:sz w:val="22"/>
          <w:szCs w:val="22"/>
        </w:rPr>
        <w:lastRenderedPageBreak/>
        <w:t>Grandfathering treatment 1</w:t>
      </w:r>
    </w:p>
    <w:p w:rsidR="00534AA3" w:rsidRPr="0091481E" w:rsidRDefault="00534AA3" w:rsidP="00534AA3">
      <w:pPr>
        <w:pStyle w:val="NoSpacing"/>
      </w:pPr>
    </w:p>
    <w:tbl>
      <w:tblPr>
        <w:tblW w:w="4558" w:type="pct"/>
        <w:tblInd w:w="817" w:type="dxa"/>
        <w:tblLayout w:type="fixed"/>
        <w:tblLook w:val="04A0" w:firstRow="1" w:lastRow="0" w:firstColumn="1" w:lastColumn="0" w:noHBand="0" w:noVBand="1"/>
      </w:tblPr>
      <w:tblGrid>
        <w:gridCol w:w="2409"/>
        <w:gridCol w:w="568"/>
        <w:gridCol w:w="992"/>
        <w:gridCol w:w="708"/>
        <w:gridCol w:w="998"/>
        <w:gridCol w:w="2694"/>
        <w:gridCol w:w="56"/>
      </w:tblGrid>
      <w:tr w:rsidR="00534AA3" w:rsidRPr="0091481E" w:rsidTr="00811D48">
        <w:trPr>
          <w:gridAfter w:val="1"/>
          <w:wAfter w:w="33" w:type="pct"/>
          <w:cantSplit/>
          <w:trHeight w:val="471"/>
        </w:trPr>
        <w:tc>
          <w:tcPr>
            <w:tcW w:w="1767" w:type="pct"/>
            <w:gridSpan w:val="2"/>
            <w:tcBorders>
              <w:bottom w:val="single" w:sz="4" w:space="0" w:color="auto"/>
            </w:tcBorders>
            <w:hideMark/>
          </w:tcPr>
          <w:p w:rsidR="00534AA3" w:rsidRPr="0091481E" w:rsidRDefault="00534AA3" w:rsidP="00F87041">
            <w:pPr>
              <w:keepNext/>
              <w:ind w:left="-108"/>
              <w:rPr>
                <w:rFonts w:ascii="Arial Narrow" w:hAnsi="Arial Narrow"/>
                <w:b/>
                <w:sz w:val="20"/>
              </w:rPr>
            </w:pPr>
            <w:r w:rsidRPr="0091481E">
              <w:rPr>
                <w:rFonts w:ascii="Arial Narrow" w:hAnsi="Arial Narrow"/>
                <w:b/>
                <w:sz w:val="20"/>
              </w:rPr>
              <w:t>Name, Restriction,</w:t>
            </w:r>
          </w:p>
          <w:p w:rsidR="00534AA3" w:rsidRPr="0091481E" w:rsidRDefault="00534AA3" w:rsidP="00F87041">
            <w:pPr>
              <w:keepNext/>
              <w:snapToGrid w:val="0"/>
              <w:ind w:left="-108"/>
              <w:rPr>
                <w:rFonts w:ascii="Arial Narrow" w:hAnsi="Arial Narrow"/>
                <w:b/>
                <w:sz w:val="20"/>
              </w:rPr>
            </w:pPr>
            <w:r w:rsidRPr="0091481E">
              <w:rPr>
                <w:rFonts w:ascii="Arial Narrow" w:hAnsi="Arial Narrow"/>
                <w:b/>
                <w:sz w:val="20"/>
              </w:rPr>
              <w:t>Manner of administration and form</w:t>
            </w:r>
          </w:p>
        </w:tc>
        <w:tc>
          <w:tcPr>
            <w:tcW w:w="589" w:type="pct"/>
            <w:tcBorders>
              <w:bottom w:val="single" w:sz="4" w:space="0" w:color="auto"/>
            </w:tcBorders>
            <w:hideMark/>
          </w:tcPr>
          <w:p w:rsidR="00534AA3" w:rsidRPr="0091481E" w:rsidRDefault="00534AA3" w:rsidP="00F87041">
            <w:pPr>
              <w:keepNext/>
              <w:ind w:left="-108"/>
              <w:rPr>
                <w:rFonts w:ascii="Arial Narrow" w:hAnsi="Arial Narrow"/>
                <w:b/>
                <w:sz w:val="20"/>
              </w:rPr>
            </w:pPr>
            <w:r w:rsidRPr="0091481E">
              <w:rPr>
                <w:rFonts w:ascii="Arial Narrow" w:hAnsi="Arial Narrow"/>
                <w:b/>
                <w:sz w:val="20"/>
              </w:rPr>
              <w:t>Max.</w:t>
            </w:r>
          </w:p>
          <w:p w:rsidR="00534AA3" w:rsidRPr="0091481E" w:rsidRDefault="00534AA3" w:rsidP="00F87041">
            <w:pPr>
              <w:keepNext/>
              <w:snapToGrid w:val="0"/>
              <w:ind w:left="-108"/>
              <w:rPr>
                <w:rFonts w:ascii="Arial Narrow" w:hAnsi="Arial Narrow"/>
                <w:b/>
                <w:sz w:val="20"/>
              </w:rPr>
            </w:pPr>
            <w:r w:rsidRPr="0091481E">
              <w:rPr>
                <w:rFonts w:ascii="Arial Narrow" w:hAnsi="Arial Narrow"/>
                <w:b/>
                <w:sz w:val="20"/>
              </w:rPr>
              <w:t>Amt.</w:t>
            </w:r>
          </w:p>
        </w:tc>
        <w:tc>
          <w:tcPr>
            <w:tcW w:w="420" w:type="pct"/>
            <w:tcBorders>
              <w:bottom w:val="single" w:sz="4" w:space="0" w:color="auto"/>
            </w:tcBorders>
            <w:hideMark/>
          </w:tcPr>
          <w:p w:rsidR="00534AA3" w:rsidRPr="0091481E" w:rsidRDefault="00534AA3" w:rsidP="00F87041">
            <w:pPr>
              <w:keepNext/>
              <w:ind w:left="-108"/>
              <w:rPr>
                <w:rFonts w:ascii="Arial Narrow" w:hAnsi="Arial Narrow"/>
                <w:b/>
                <w:sz w:val="20"/>
              </w:rPr>
            </w:pPr>
            <w:r w:rsidRPr="0091481E">
              <w:rPr>
                <w:rFonts w:ascii="Arial Narrow" w:hAnsi="Arial Narrow"/>
                <w:b/>
                <w:sz w:val="20"/>
              </w:rPr>
              <w:t>№.of</w:t>
            </w:r>
          </w:p>
          <w:p w:rsidR="00534AA3" w:rsidRPr="0091481E" w:rsidRDefault="00534AA3" w:rsidP="00F87041">
            <w:pPr>
              <w:keepNext/>
              <w:snapToGrid w:val="0"/>
              <w:ind w:left="-108"/>
              <w:rPr>
                <w:rFonts w:ascii="Arial Narrow" w:hAnsi="Arial Narrow"/>
                <w:b/>
                <w:sz w:val="20"/>
              </w:rPr>
            </w:pPr>
            <w:r w:rsidRPr="0091481E">
              <w:rPr>
                <w:rFonts w:ascii="Arial Narrow" w:hAnsi="Arial Narrow"/>
                <w:b/>
                <w:sz w:val="20"/>
              </w:rPr>
              <w:t>Rpts</w:t>
            </w:r>
          </w:p>
        </w:tc>
        <w:tc>
          <w:tcPr>
            <w:tcW w:w="2191" w:type="pct"/>
            <w:gridSpan w:val="2"/>
            <w:tcBorders>
              <w:bottom w:val="single" w:sz="4" w:space="0" w:color="auto"/>
            </w:tcBorders>
            <w:hideMark/>
          </w:tcPr>
          <w:p w:rsidR="00534AA3" w:rsidRPr="0091481E" w:rsidRDefault="00534AA3" w:rsidP="00F87041">
            <w:pPr>
              <w:keepNext/>
              <w:snapToGrid w:val="0"/>
              <w:rPr>
                <w:rFonts w:ascii="Arial Narrow" w:hAnsi="Arial Narrow"/>
                <w:b/>
                <w:sz w:val="20"/>
              </w:rPr>
            </w:pPr>
            <w:r w:rsidRPr="0091481E">
              <w:rPr>
                <w:rFonts w:ascii="Arial Narrow" w:hAnsi="Arial Narrow"/>
                <w:b/>
                <w:sz w:val="20"/>
              </w:rPr>
              <w:t>Proprietary Name and Manufacturer</w:t>
            </w:r>
          </w:p>
        </w:tc>
      </w:tr>
      <w:tr w:rsidR="00534AA3" w:rsidRPr="0091481E" w:rsidTr="00811D48">
        <w:trPr>
          <w:gridAfter w:val="1"/>
          <w:wAfter w:w="33" w:type="pct"/>
          <w:cantSplit/>
          <w:trHeight w:val="577"/>
        </w:trPr>
        <w:tc>
          <w:tcPr>
            <w:tcW w:w="1767" w:type="pct"/>
            <w:gridSpan w:val="2"/>
            <w:tcBorders>
              <w:top w:val="single" w:sz="4" w:space="0" w:color="auto"/>
              <w:bottom w:val="single" w:sz="4" w:space="0" w:color="auto"/>
            </w:tcBorders>
            <w:hideMark/>
          </w:tcPr>
          <w:p w:rsidR="00534AA3" w:rsidRPr="0091481E" w:rsidRDefault="00534AA3" w:rsidP="00F87041">
            <w:pPr>
              <w:keepNext/>
              <w:ind w:left="-108"/>
              <w:jc w:val="both"/>
              <w:rPr>
                <w:rFonts w:ascii="Arial Narrow" w:hAnsi="Arial Narrow" w:cs="Arial"/>
                <w:sz w:val="20"/>
                <w:szCs w:val="20"/>
              </w:rPr>
            </w:pPr>
            <w:r w:rsidRPr="0091481E">
              <w:rPr>
                <w:rFonts w:ascii="Arial Narrow" w:hAnsi="Arial Narrow" w:cs="Arial"/>
                <w:smallCaps/>
                <w:sz w:val="20"/>
                <w:szCs w:val="20"/>
              </w:rPr>
              <w:t>PEMBROLIZUMAB</w:t>
            </w:r>
          </w:p>
          <w:p w:rsidR="00534AA3" w:rsidRPr="0091481E" w:rsidRDefault="00B64110" w:rsidP="00F87041">
            <w:pPr>
              <w:keepNext/>
              <w:ind w:left="-108"/>
              <w:rPr>
                <w:rFonts w:ascii="Arial Narrow" w:hAnsi="Arial Narrow"/>
                <w:sz w:val="20"/>
              </w:rPr>
            </w:pPr>
            <w:r w:rsidRPr="0091481E">
              <w:rPr>
                <w:rFonts w:ascii="Arial Narrow" w:hAnsi="Arial Narrow" w:cs="Arial"/>
                <w:sz w:val="20"/>
                <w:szCs w:val="20"/>
              </w:rPr>
              <w:t>Concentrated injection</w:t>
            </w:r>
            <w:r w:rsidR="00534AA3" w:rsidRPr="0091481E">
              <w:rPr>
                <w:rFonts w:ascii="Arial Narrow" w:hAnsi="Arial Narrow" w:cs="Arial"/>
                <w:sz w:val="20"/>
                <w:szCs w:val="20"/>
              </w:rPr>
              <w:t>, 100 mg</w:t>
            </w:r>
          </w:p>
        </w:tc>
        <w:tc>
          <w:tcPr>
            <w:tcW w:w="589" w:type="pct"/>
            <w:tcBorders>
              <w:top w:val="single" w:sz="4" w:space="0" w:color="auto"/>
              <w:bottom w:val="single" w:sz="4" w:space="0" w:color="auto"/>
            </w:tcBorders>
          </w:tcPr>
          <w:p w:rsidR="00534AA3" w:rsidRPr="0091481E" w:rsidRDefault="00534AA3" w:rsidP="00F87041">
            <w:pPr>
              <w:keepNext/>
              <w:rPr>
                <w:rFonts w:ascii="Arial Narrow" w:hAnsi="Arial Narrow"/>
                <w:sz w:val="20"/>
              </w:rPr>
            </w:pPr>
          </w:p>
          <w:p w:rsidR="00534AA3" w:rsidRPr="0091481E" w:rsidRDefault="00534AA3" w:rsidP="00811D48">
            <w:pPr>
              <w:keepNext/>
              <w:rPr>
                <w:rFonts w:ascii="Arial Narrow" w:hAnsi="Arial Narrow"/>
                <w:sz w:val="20"/>
              </w:rPr>
            </w:pPr>
            <w:r w:rsidRPr="0091481E">
              <w:rPr>
                <w:rFonts w:ascii="Arial Narrow" w:hAnsi="Arial Narrow"/>
                <w:sz w:val="20"/>
              </w:rPr>
              <w:t>240</w:t>
            </w:r>
            <w:r w:rsidR="00811D48" w:rsidRPr="0091481E">
              <w:rPr>
                <w:rFonts w:ascii="Arial Narrow" w:hAnsi="Arial Narrow"/>
                <w:sz w:val="20"/>
              </w:rPr>
              <w:t> </w:t>
            </w:r>
            <w:r w:rsidRPr="0091481E">
              <w:rPr>
                <w:rFonts w:ascii="Arial Narrow" w:hAnsi="Arial Narrow"/>
                <w:sz w:val="20"/>
              </w:rPr>
              <w:t>mg</w:t>
            </w:r>
          </w:p>
        </w:tc>
        <w:tc>
          <w:tcPr>
            <w:tcW w:w="420" w:type="pct"/>
            <w:tcBorders>
              <w:top w:val="single" w:sz="4" w:space="0" w:color="auto"/>
              <w:bottom w:val="single" w:sz="4" w:space="0" w:color="auto"/>
            </w:tcBorders>
          </w:tcPr>
          <w:p w:rsidR="00534AA3" w:rsidRPr="0091481E" w:rsidRDefault="00534AA3" w:rsidP="00F87041">
            <w:pPr>
              <w:keepNext/>
              <w:ind w:left="-108"/>
              <w:rPr>
                <w:rFonts w:ascii="Arial Narrow" w:hAnsi="Arial Narrow"/>
                <w:sz w:val="20"/>
              </w:rPr>
            </w:pPr>
          </w:p>
          <w:p w:rsidR="00534AA3" w:rsidRPr="0091481E" w:rsidRDefault="006D3CBE" w:rsidP="00F87041">
            <w:pPr>
              <w:keepNext/>
              <w:ind w:left="-108"/>
              <w:rPr>
                <w:rFonts w:ascii="Arial Narrow" w:hAnsi="Arial Narrow"/>
                <w:sz w:val="20"/>
              </w:rPr>
            </w:pPr>
            <w:r>
              <w:rPr>
                <w:rFonts w:ascii="Arial Narrow" w:hAnsi="Arial Narrow"/>
                <w:sz w:val="20"/>
              </w:rPr>
              <w:t>5</w:t>
            </w:r>
          </w:p>
          <w:p w:rsidR="00534AA3" w:rsidRPr="0091481E" w:rsidRDefault="00534AA3" w:rsidP="00F87041">
            <w:pPr>
              <w:keepNext/>
              <w:ind w:left="-108"/>
              <w:rPr>
                <w:rFonts w:ascii="Arial Narrow" w:hAnsi="Arial Narrow"/>
                <w:sz w:val="20"/>
              </w:rPr>
            </w:pPr>
          </w:p>
        </w:tc>
        <w:tc>
          <w:tcPr>
            <w:tcW w:w="592" w:type="pct"/>
            <w:tcBorders>
              <w:top w:val="single" w:sz="4" w:space="0" w:color="auto"/>
              <w:bottom w:val="single" w:sz="4" w:space="0" w:color="auto"/>
            </w:tcBorders>
            <w:hideMark/>
          </w:tcPr>
          <w:p w:rsidR="00534AA3" w:rsidRPr="0091481E" w:rsidRDefault="00534AA3" w:rsidP="00F87041">
            <w:pPr>
              <w:keepNext/>
              <w:rPr>
                <w:rFonts w:ascii="Arial Narrow" w:hAnsi="Arial Narrow"/>
                <w:sz w:val="20"/>
              </w:rPr>
            </w:pPr>
            <w:r w:rsidRPr="0091481E">
              <w:rPr>
                <w:rFonts w:ascii="Arial Narrow" w:hAnsi="Arial Narrow" w:cs="Arial"/>
                <w:sz w:val="20"/>
                <w:szCs w:val="20"/>
              </w:rPr>
              <w:t>Keytruda</w:t>
            </w:r>
            <w:r w:rsidRPr="0091481E">
              <w:rPr>
                <w:rFonts w:ascii="Arial Narrow" w:hAnsi="Arial Narrow" w:cs="Arial"/>
                <w:sz w:val="20"/>
                <w:szCs w:val="20"/>
                <w:vertAlign w:val="superscript"/>
              </w:rPr>
              <w:t>®</w:t>
            </w:r>
          </w:p>
          <w:p w:rsidR="00534AA3" w:rsidRPr="0091481E" w:rsidRDefault="00534AA3" w:rsidP="00F87041">
            <w:pPr>
              <w:keepNext/>
              <w:ind w:left="-108"/>
              <w:rPr>
                <w:rFonts w:ascii="Arial Narrow" w:hAnsi="Arial Narrow"/>
                <w:sz w:val="20"/>
              </w:rPr>
            </w:pPr>
          </w:p>
        </w:tc>
        <w:tc>
          <w:tcPr>
            <w:tcW w:w="1599" w:type="pct"/>
            <w:tcBorders>
              <w:top w:val="single" w:sz="4" w:space="0" w:color="auto"/>
              <w:bottom w:val="single" w:sz="4" w:space="0" w:color="auto"/>
            </w:tcBorders>
            <w:hideMark/>
          </w:tcPr>
          <w:p w:rsidR="00534AA3" w:rsidRPr="0091481E" w:rsidRDefault="00534AA3" w:rsidP="00F87041">
            <w:pPr>
              <w:keepNext/>
              <w:rPr>
                <w:rFonts w:ascii="Arial Narrow" w:hAnsi="Arial Narrow"/>
                <w:sz w:val="20"/>
              </w:rPr>
            </w:pPr>
            <w:r w:rsidRPr="0091481E">
              <w:rPr>
                <w:rFonts w:ascii="Arial Narrow" w:hAnsi="Arial Narrow" w:cs="Arial"/>
                <w:sz w:val="20"/>
                <w:szCs w:val="20"/>
              </w:rPr>
              <w:t>Merck, Sharp &amp; Dohme Australia Pty. Ltd.</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hideMark/>
          </w:tcPr>
          <w:p w:rsidR="00534AA3" w:rsidRPr="0091481E" w:rsidRDefault="00534AA3" w:rsidP="00811D48">
            <w:pPr>
              <w:rPr>
                <w:rFonts w:ascii="Arial Narrow" w:hAnsi="Arial Narrow"/>
                <w:b/>
                <w:sz w:val="20"/>
              </w:rPr>
            </w:pPr>
            <w:r w:rsidRPr="0091481E">
              <w:rPr>
                <w:rFonts w:ascii="Arial Narrow" w:hAnsi="Arial Narrow"/>
                <w:b/>
                <w:sz w:val="20"/>
              </w:rPr>
              <w:t>Category / Program</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sz w:val="20"/>
              </w:rPr>
            </w:pPr>
            <w:r w:rsidRPr="0091481E">
              <w:rPr>
                <w:rFonts w:ascii="Arial Narrow" w:hAnsi="Arial Narrow"/>
                <w:sz w:val="20"/>
              </w:rPr>
              <w:t>Section 100 – Efficient Funding of Chemotherapy</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811D48">
            <w:pPr>
              <w:rPr>
                <w:rFonts w:ascii="Arial Narrow" w:hAnsi="Arial Narrow"/>
                <w:b/>
                <w:sz w:val="20"/>
              </w:rPr>
            </w:pPr>
            <w:r w:rsidRPr="0091481E">
              <w:rPr>
                <w:rFonts w:ascii="Arial Narrow" w:hAnsi="Arial Narrow"/>
                <w:b/>
                <w:sz w:val="20"/>
              </w:rPr>
              <w:t>Prescriber type:</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sz w:val="20"/>
              </w:rPr>
            </w:pPr>
            <w:r w:rsidRPr="0091481E">
              <w:rPr>
                <w:rFonts w:ascii="Arial Narrow" w:hAnsi="Arial Narrow"/>
                <w:sz w:val="20"/>
              </w:rPr>
              <w:fldChar w:fldCharType="begin">
                <w:ffData>
                  <w:name w:val=""/>
                  <w:enabled/>
                  <w:calcOnExit w:val="0"/>
                  <w:checkBox>
                    <w:sizeAuto/>
                    <w:default w:val="1"/>
                  </w:checkBox>
                </w:ffData>
              </w:fldChar>
            </w:r>
            <w:r w:rsidRPr="0091481E">
              <w:rPr>
                <w:rFonts w:ascii="Arial Narrow" w:hAnsi="Arial Narrow"/>
                <w:sz w:val="20"/>
              </w:rPr>
              <w:instrText xml:space="preserve"> FORMCHECKBOX </w:instrText>
            </w:r>
            <w:r w:rsidR="001B6E1B">
              <w:rPr>
                <w:rFonts w:ascii="Arial Narrow" w:hAnsi="Arial Narrow"/>
                <w:sz w:val="20"/>
              </w:rPr>
            </w:r>
            <w:r w:rsidR="001B6E1B">
              <w:rPr>
                <w:rFonts w:ascii="Arial Narrow" w:hAnsi="Arial Narrow"/>
                <w:sz w:val="20"/>
              </w:rPr>
              <w:fldChar w:fldCharType="separate"/>
            </w:r>
            <w:r w:rsidRPr="0091481E">
              <w:rPr>
                <w:rFonts w:ascii="Arial Narrow" w:hAnsi="Arial Narrow"/>
                <w:sz w:val="20"/>
              </w:rPr>
              <w:fldChar w:fldCharType="end"/>
            </w:r>
            <w:r w:rsidRPr="0091481E">
              <w:rPr>
                <w:rFonts w:ascii="Arial Narrow" w:hAnsi="Arial Narrow"/>
                <w:sz w:val="20"/>
              </w:rPr>
              <w:t>Medical Practitioners</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hideMark/>
          </w:tcPr>
          <w:p w:rsidR="00534AA3" w:rsidRPr="0091481E" w:rsidRDefault="00534AA3" w:rsidP="00F87041">
            <w:pPr>
              <w:snapToGrid w:val="0"/>
              <w:rPr>
                <w:rFonts w:ascii="Arial Narrow" w:hAnsi="Arial Narrow"/>
                <w:b/>
                <w:sz w:val="20"/>
              </w:rPr>
            </w:pPr>
            <w:r w:rsidRPr="0091481E">
              <w:rPr>
                <w:rFonts w:ascii="Arial Narrow" w:hAnsi="Arial Narrow"/>
                <w:b/>
                <w:sz w:val="20"/>
              </w:rPr>
              <w:t>PBS Indication:</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snapToGrid w:val="0"/>
              <w:rPr>
                <w:rFonts w:ascii="Arial Narrow" w:hAnsi="Arial Narrow"/>
                <w:sz w:val="20"/>
              </w:rPr>
            </w:pPr>
            <w:r w:rsidRPr="0091481E">
              <w:rPr>
                <w:rFonts w:ascii="Arial Narrow" w:hAnsi="Arial Narrow"/>
                <w:sz w:val="20"/>
              </w:rPr>
              <w:t>Unresectable</w:t>
            </w:r>
            <w:r w:rsidRPr="0091481E">
              <w:rPr>
                <w:rFonts w:ascii="Helvetica Neue" w:hAnsi="Helvetica Neue" w:cs="Helvetica Neue"/>
                <w:color w:val="1A1A1A"/>
                <w:sz w:val="26"/>
                <w:szCs w:val="26"/>
              </w:rPr>
              <w:t xml:space="preserve"> </w:t>
            </w:r>
            <w:r w:rsidRPr="0091481E">
              <w:rPr>
                <w:rFonts w:ascii="Arial Narrow" w:hAnsi="Arial Narrow"/>
                <w:sz w:val="20"/>
              </w:rPr>
              <w:t>Stage III or Stage IV malignant melanoma</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b/>
                <w:sz w:val="20"/>
              </w:rPr>
            </w:pPr>
            <w:r w:rsidRPr="0091481E">
              <w:rPr>
                <w:rFonts w:ascii="Arial Narrow" w:hAnsi="Arial Narrow"/>
                <w:b/>
                <w:sz w:val="20"/>
              </w:rPr>
              <w:t>Treatment phase:</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snapToGrid w:val="0"/>
              <w:rPr>
                <w:rFonts w:ascii="Arial Narrow" w:hAnsi="Arial Narrow"/>
                <w:sz w:val="20"/>
              </w:rPr>
            </w:pPr>
            <w:r w:rsidRPr="0091481E">
              <w:rPr>
                <w:rFonts w:ascii="Arial Narrow" w:hAnsi="Arial Narrow"/>
                <w:sz w:val="20"/>
              </w:rPr>
              <w:t>Grandfathering treatment 1</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b/>
                <w:sz w:val="20"/>
              </w:rPr>
            </w:pPr>
            <w:r w:rsidRPr="0091481E">
              <w:rPr>
                <w:rFonts w:ascii="Arial Narrow" w:hAnsi="Arial Narrow"/>
                <w:b/>
                <w:sz w:val="20"/>
              </w:rPr>
              <w:t>Restriction Level / Method:</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811D48">
            <w:pPr>
              <w:rPr>
                <w:rFonts w:ascii="Arial Narrow" w:hAnsi="Arial Narrow"/>
                <w:sz w:val="20"/>
              </w:rPr>
            </w:pPr>
            <w:r w:rsidRPr="0091481E">
              <w:rPr>
                <w:rFonts w:ascii="Arial Narrow" w:hAnsi="Arial Narrow"/>
                <w:sz w:val="20"/>
              </w:rPr>
              <w:fldChar w:fldCharType="begin">
                <w:ffData>
                  <w:name w:val=""/>
                  <w:enabled/>
                  <w:calcOnExit w:val="0"/>
                  <w:checkBox>
                    <w:sizeAuto/>
                    <w:default w:val="1"/>
                  </w:checkBox>
                </w:ffData>
              </w:fldChar>
            </w:r>
            <w:r w:rsidRPr="0091481E">
              <w:rPr>
                <w:rFonts w:ascii="Arial Narrow" w:hAnsi="Arial Narrow"/>
                <w:sz w:val="20"/>
              </w:rPr>
              <w:instrText xml:space="preserve"> FORMCHECKBOX </w:instrText>
            </w:r>
            <w:r w:rsidR="001B6E1B">
              <w:rPr>
                <w:rFonts w:ascii="Arial Narrow" w:hAnsi="Arial Narrow"/>
                <w:sz w:val="20"/>
              </w:rPr>
            </w:r>
            <w:r w:rsidR="001B6E1B">
              <w:rPr>
                <w:rFonts w:ascii="Arial Narrow" w:hAnsi="Arial Narrow"/>
                <w:sz w:val="20"/>
              </w:rPr>
              <w:fldChar w:fldCharType="separate"/>
            </w:r>
            <w:r w:rsidRPr="0091481E">
              <w:rPr>
                <w:rFonts w:ascii="Arial Narrow" w:hAnsi="Arial Narrow"/>
                <w:sz w:val="20"/>
              </w:rPr>
              <w:fldChar w:fldCharType="end"/>
            </w:r>
            <w:r w:rsidRPr="0091481E">
              <w:rPr>
                <w:rFonts w:ascii="Arial Narrow" w:hAnsi="Arial Narrow"/>
                <w:sz w:val="20"/>
              </w:rPr>
              <w:t>Authority Required - Streamlined</w:t>
            </w:r>
          </w:p>
        </w:tc>
      </w:tr>
      <w:tr w:rsidR="00534AA3" w:rsidRPr="0091481E" w:rsidTr="00811D48">
        <w:trPr>
          <w:trHeight w:val="360"/>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811D48">
            <w:pPr>
              <w:rPr>
                <w:rFonts w:ascii="Arial Narrow" w:hAnsi="Arial Narrow"/>
                <w:sz w:val="20"/>
              </w:rPr>
            </w:pPr>
            <w:r w:rsidRPr="0091481E">
              <w:rPr>
                <w:rFonts w:ascii="Arial Narrow" w:hAnsi="Arial Narrow"/>
                <w:b/>
                <w:sz w:val="20"/>
              </w:rPr>
              <w:t>Clinical criteria:</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The condition must be positive for a BRAF V600 mutation,</w:t>
            </w:r>
          </w:p>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AND</w:t>
            </w:r>
          </w:p>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The condition must have progressed following treatment with a BRAF inhibitor (with or without a MEK inhibitor) unless contraindicated or not tolerated according to the TG</w:t>
            </w:r>
            <w:r w:rsidR="00FB702D">
              <w:rPr>
                <w:rFonts w:ascii="Arial Narrow" w:hAnsi="Arial Narrow" w:cs="Helvetica Neue"/>
                <w:color w:val="1A1A1A"/>
                <w:sz w:val="20"/>
                <w:szCs w:val="20"/>
              </w:rPr>
              <w:t>A approved Product Information,</w:t>
            </w:r>
          </w:p>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AND</w:t>
            </w:r>
          </w:p>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Patient must have previously received non-PBS subsidised treatment with this drug for this condi</w:t>
            </w:r>
            <w:r w:rsidR="00FB702D">
              <w:rPr>
                <w:rFonts w:ascii="Arial Narrow" w:hAnsi="Arial Narrow" w:cs="Helvetica Neue"/>
                <w:color w:val="1A1A1A"/>
                <w:sz w:val="20"/>
                <w:szCs w:val="20"/>
              </w:rPr>
              <w:t>tion prior to 1 September 2015,</w:t>
            </w:r>
          </w:p>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AND</w:t>
            </w:r>
          </w:p>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Patient must not have received prior treatment with ipilimumab or any other PD-1 (programmed cell death-1</w:t>
            </w:r>
            <w:r w:rsidR="00FB702D">
              <w:rPr>
                <w:rFonts w:ascii="Arial Narrow" w:hAnsi="Arial Narrow" w:cs="Helvetica Neue"/>
                <w:color w:val="1A1A1A"/>
                <w:sz w:val="20"/>
                <w:szCs w:val="20"/>
              </w:rPr>
              <w:t>) inhibitor for this condition,</w:t>
            </w:r>
          </w:p>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AND</w:t>
            </w:r>
          </w:p>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Patient must have stable or responding disease,</w:t>
            </w:r>
          </w:p>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AND</w:t>
            </w:r>
          </w:p>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The treatment must be the sole PBS-subsidised therapy for this condition,</w:t>
            </w:r>
          </w:p>
          <w:p w:rsidR="00534AA3" w:rsidRPr="0091481E" w:rsidRDefault="00534AA3" w:rsidP="00534AA3">
            <w:pPr>
              <w:snapToGrid w:val="0"/>
              <w:rPr>
                <w:rFonts w:ascii="Arial Narrow" w:hAnsi="Arial Narrow" w:cs="Helvetica Neue"/>
                <w:color w:val="1A1A1A"/>
                <w:sz w:val="20"/>
                <w:szCs w:val="20"/>
              </w:rPr>
            </w:pPr>
            <w:r w:rsidRPr="0091481E">
              <w:rPr>
                <w:rFonts w:ascii="Arial Narrow" w:hAnsi="Arial Narrow" w:cs="Helvetica Neue"/>
                <w:color w:val="1A1A1A"/>
                <w:sz w:val="20"/>
                <w:szCs w:val="20"/>
              </w:rPr>
              <w:t>AND</w:t>
            </w:r>
          </w:p>
          <w:p w:rsidR="00534AA3" w:rsidRPr="0091481E" w:rsidRDefault="00534AA3" w:rsidP="00534AA3">
            <w:pPr>
              <w:snapToGrid w:val="0"/>
              <w:rPr>
                <w:rFonts w:ascii="Helvetica Neue" w:hAnsi="Helvetica Neue" w:cs="Helvetica Neue"/>
                <w:color w:val="1A1A1A"/>
                <w:sz w:val="26"/>
                <w:szCs w:val="26"/>
              </w:rPr>
            </w:pPr>
            <w:r w:rsidRPr="0091481E">
              <w:rPr>
                <w:rFonts w:ascii="Arial Narrow" w:hAnsi="Arial Narrow" w:cs="Helvetica Neue"/>
                <w:color w:val="1A1A1A"/>
                <w:sz w:val="20"/>
                <w:szCs w:val="20"/>
              </w:rPr>
              <w:t>The treatment must not exceed a maximum dose of 2 mg per kg every 3 weeks.</w:t>
            </w:r>
          </w:p>
        </w:tc>
      </w:tr>
    </w:tbl>
    <w:p w:rsidR="00534AA3" w:rsidRPr="0091481E" w:rsidRDefault="00534AA3" w:rsidP="00534AA3">
      <w:pPr>
        <w:pStyle w:val="NoSpacing"/>
      </w:pPr>
    </w:p>
    <w:p w:rsidR="00534AA3" w:rsidRPr="0091481E" w:rsidRDefault="00534AA3" w:rsidP="001C5A15">
      <w:pPr>
        <w:widowControl w:val="0"/>
        <w:ind w:firstLine="720"/>
        <w:jc w:val="both"/>
        <w:rPr>
          <w:rFonts w:ascii="Arial" w:hAnsi="Arial" w:cs="Arial"/>
          <w:bCs/>
          <w:snapToGrid w:val="0"/>
          <w:sz w:val="22"/>
          <w:szCs w:val="22"/>
        </w:rPr>
      </w:pPr>
      <w:r w:rsidRPr="0091481E">
        <w:rPr>
          <w:rFonts w:ascii="Arial" w:hAnsi="Arial" w:cs="Arial"/>
          <w:bCs/>
          <w:snapToGrid w:val="0"/>
          <w:sz w:val="22"/>
          <w:szCs w:val="22"/>
        </w:rPr>
        <w:t>Grandfathering treatment 2</w:t>
      </w:r>
    </w:p>
    <w:p w:rsidR="00534AA3" w:rsidRPr="0091481E" w:rsidRDefault="00534AA3" w:rsidP="00534AA3">
      <w:pPr>
        <w:pStyle w:val="NoSpacing"/>
      </w:pPr>
    </w:p>
    <w:tbl>
      <w:tblPr>
        <w:tblW w:w="4558" w:type="pct"/>
        <w:tblInd w:w="817" w:type="dxa"/>
        <w:tblLayout w:type="fixed"/>
        <w:tblLook w:val="04A0" w:firstRow="1" w:lastRow="0" w:firstColumn="1" w:lastColumn="0" w:noHBand="0" w:noVBand="1"/>
      </w:tblPr>
      <w:tblGrid>
        <w:gridCol w:w="2409"/>
        <w:gridCol w:w="568"/>
        <w:gridCol w:w="991"/>
        <w:gridCol w:w="708"/>
        <w:gridCol w:w="998"/>
        <w:gridCol w:w="2694"/>
        <w:gridCol w:w="57"/>
      </w:tblGrid>
      <w:tr w:rsidR="00534AA3" w:rsidRPr="0091481E" w:rsidTr="00811D48">
        <w:trPr>
          <w:gridAfter w:val="1"/>
          <w:wAfter w:w="34" w:type="pct"/>
          <w:cantSplit/>
          <w:trHeight w:val="471"/>
        </w:trPr>
        <w:tc>
          <w:tcPr>
            <w:tcW w:w="1767" w:type="pct"/>
            <w:gridSpan w:val="2"/>
            <w:tcBorders>
              <w:bottom w:val="single" w:sz="4" w:space="0" w:color="auto"/>
            </w:tcBorders>
            <w:hideMark/>
          </w:tcPr>
          <w:p w:rsidR="00534AA3" w:rsidRPr="0091481E" w:rsidRDefault="00534AA3" w:rsidP="00F87041">
            <w:pPr>
              <w:keepNext/>
              <w:ind w:left="-108"/>
              <w:rPr>
                <w:rFonts w:ascii="Arial Narrow" w:hAnsi="Arial Narrow"/>
                <w:b/>
                <w:sz w:val="20"/>
              </w:rPr>
            </w:pPr>
            <w:r w:rsidRPr="0091481E">
              <w:rPr>
                <w:rFonts w:ascii="Arial Narrow" w:hAnsi="Arial Narrow"/>
                <w:b/>
                <w:sz w:val="20"/>
              </w:rPr>
              <w:t>Name, Restriction,</w:t>
            </w:r>
          </w:p>
          <w:p w:rsidR="00534AA3" w:rsidRPr="0091481E" w:rsidRDefault="00534AA3" w:rsidP="00F87041">
            <w:pPr>
              <w:keepNext/>
              <w:snapToGrid w:val="0"/>
              <w:ind w:left="-108"/>
              <w:rPr>
                <w:rFonts w:ascii="Arial Narrow" w:hAnsi="Arial Narrow"/>
                <w:b/>
                <w:sz w:val="20"/>
              </w:rPr>
            </w:pPr>
            <w:r w:rsidRPr="0091481E">
              <w:rPr>
                <w:rFonts w:ascii="Arial Narrow" w:hAnsi="Arial Narrow"/>
                <w:b/>
                <w:sz w:val="20"/>
              </w:rPr>
              <w:t>Manner of administration and form</w:t>
            </w:r>
          </w:p>
        </w:tc>
        <w:tc>
          <w:tcPr>
            <w:tcW w:w="588" w:type="pct"/>
            <w:tcBorders>
              <w:bottom w:val="single" w:sz="4" w:space="0" w:color="auto"/>
            </w:tcBorders>
            <w:hideMark/>
          </w:tcPr>
          <w:p w:rsidR="00534AA3" w:rsidRPr="0091481E" w:rsidRDefault="00534AA3" w:rsidP="00F87041">
            <w:pPr>
              <w:keepNext/>
              <w:ind w:left="-108"/>
              <w:rPr>
                <w:rFonts w:ascii="Arial Narrow" w:hAnsi="Arial Narrow"/>
                <w:b/>
                <w:sz w:val="20"/>
              </w:rPr>
            </w:pPr>
            <w:r w:rsidRPr="0091481E">
              <w:rPr>
                <w:rFonts w:ascii="Arial Narrow" w:hAnsi="Arial Narrow"/>
                <w:b/>
                <w:sz w:val="20"/>
              </w:rPr>
              <w:t>Max.</w:t>
            </w:r>
          </w:p>
          <w:p w:rsidR="00534AA3" w:rsidRPr="0091481E" w:rsidRDefault="00534AA3" w:rsidP="00F87041">
            <w:pPr>
              <w:keepNext/>
              <w:snapToGrid w:val="0"/>
              <w:ind w:left="-108"/>
              <w:rPr>
                <w:rFonts w:ascii="Arial Narrow" w:hAnsi="Arial Narrow"/>
                <w:b/>
                <w:sz w:val="20"/>
              </w:rPr>
            </w:pPr>
            <w:r w:rsidRPr="0091481E">
              <w:rPr>
                <w:rFonts w:ascii="Arial Narrow" w:hAnsi="Arial Narrow"/>
                <w:b/>
                <w:sz w:val="20"/>
              </w:rPr>
              <w:t>Amt.</w:t>
            </w:r>
          </w:p>
        </w:tc>
        <w:tc>
          <w:tcPr>
            <w:tcW w:w="420" w:type="pct"/>
            <w:tcBorders>
              <w:bottom w:val="single" w:sz="4" w:space="0" w:color="auto"/>
            </w:tcBorders>
            <w:hideMark/>
          </w:tcPr>
          <w:p w:rsidR="00534AA3" w:rsidRPr="0091481E" w:rsidRDefault="00534AA3" w:rsidP="00F87041">
            <w:pPr>
              <w:keepNext/>
              <w:ind w:left="-108"/>
              <w:rPr>
                <w:rFonts w:ascii="Arial Narrow" w:hAnsi="Arial Narrow"/>
                <w:b/>
                <w:sz w:val="20"/>
              </w:rPr>
            </w:pPr>
            <w:r w:rsidRPr="0091481E">
              <w:rPr>
                <w:rFonts w:ascii="Arial Narrow" w:hAnsi="Arial Narrow"/>
                <w:b/>
                <w:sz w:val="20"/>
              </w:rPr>
              <w:t>№.of</w:t>
            </w:r>
          </w:p>
          <w:p w:rsidR="00534AA3" w:rsidRPr="0091481E" w:rsidRDefault="00534AA3" w:rsidP="00F87041">
            <w:pPr>
              <w:keepNext/>
              <w:snapToGrid w:val="0"/>
              <w:ind w:left="-108"/>
              <w:rPr>
                <w:rFonts w:ascii="Arial Narrow" w:hAnsi="Arial Narrow"/>
                <w:b/>
                <w:sz w:val="20"/>
              </w:rPr>
            </w:pPr>
            <w:r w:rsidRPr="0091481E">
              <w:rPr>
                <w:rFonts w:ascii="Arial Narrow" w:hAnsi="Arial Narrow"/>
                <w:b/>
                <w:sz w:val="20"/>
              </w:rPr>
              <w:t>Rpts</w:t>
            </w:r>
          </w:p>
        </w:tc>
        <w:tc>
          <w:tcPr>
            <w:tcW w:w="2191" w:type="pct"/>
            <w:gridSpan w:val="2"/>
            <w:tcBorders>
              <w:bottom w:val="single" w:sz="4" w:space="0" w:color="auto"/>
            </w:tcBorders>
            <w:hideMark/>
          </w:tcPr>
          <w:p w:rsidR="00534AA3" w:rsidRPr="0091481E" w:rsidRDefault="00534AA3" w:rsidP="00F87041">
            <w:pPr>
              <w:keepNext/>
              <w:snapToGrid w:val="0"/>
              <w:rPr>
                <w:rFonts w:ascii="Arial Narrow" w:hAnsi="Arial Narrow"/>
                <w:b/>
                <w:sz w:val="20"/>
              </w:rPr>
            </w:pPr>
            <w:r w:rsidRPr="0091481E">
              <w:rPr>
                <w:rFonts w:ascii="Arial Narrow" w:hAnsi="Arial Narrow"/>
                <w:b/>
                <w:sz w:val="20"/>
              </w:rPr>
              <w:t>Proprietary Name and Manufacturer</w:t>
            </w:r>
          </w:p>
        </w:tc>
      </w:tr>
      <w:tr w:rsidR="00534AA3" w:rsidRPr="0091481E" w:rsidTr="00811D48">
        <w:trPr>
          <w:gridAfter w:val="1"/>
          <w:wAfter w:w="34" w:type="pct"/>
          <w:cantSplit/>
          <w:trHeight w:val="577"/>
        </w:trPr>
        <w:tc>
          <w:tcPr>
            <w:tcW w:w="1767" w:type="pct"/>
            <w:gridSpan w:val="2"/>
            <w:tcBorders>
              <w:top w:val="single" w:sz="4" w:space="0" w:color="auto"/>
              <w:bottom w:val="single" w:sz="4" w:space="0" w:color="auto"/>
            </w:tcBorders>
            <w:hideMark/>
          </w:tcPr>
          <w:p w:rsidR="00534AA3" w:rsidRPr="0091481E" w:rsidRDefault="00534AA3" w:rsidP="00F87041">
            <w:pPr>
              <w:keepNext/>
              <w:ind w:left="-108"/>
              <w:jc w:val="both"/>
              <w:rPr>
                <w:rFonts w:ascii="Arial Narrow" w:hAnsi="Arial Narrow" w:cs="Arial"/>
                <w:sz w:val="20"/>
                <w:szCs w:val="20"/>
              </w:rPr>
            </w:pPr>
            <w:r w:rsidRPr="0091481E">
              <w:rPr>
                <w:rFonts w:ascii="Arial Narrow" w:hAnsi="Arial Narrow" w:cs="Arial"/>
                <w:smallCaps/>
                <w:sz w:val="20"/>
                <w:szCs w:val="20"/>
              </w:rPr>
              <w:t>PEMBROLIZUMAB</w:t>
            </w:r>
          </w:p>
          <w:p w:rsidR="00534AA3" w:rsidRPr="0091481E" w:rsidRDefault="00B64110" w:rsidP="00F87041">
            <w:pPr>
              <w:keepNext/>
              <w:ind w:left="-108"/>
              <w:rPr>
                <w:rFonts w:ascii="Arial Narrow" w:hAnsi="Arial Narrow"/>
                <w:sz w:val="20"/>
              </w:rPr>
            </w:pPr>
            <w:r w:rsidRPr="0091481E">
              <w:rPr>
                <w:rFonts w:ascii="Arial Narrow" w:hAnsi="Arial Narrow" w:cs="Arial"/>
                <w:sz w:val="20"/>
                <w:szCs w:val="20"/>
              </w:rPr>
              <w:t>Concentrated injection</w:t>
            </w:r>
            <w:r w:rsidR="00534AA3" w:rsidRPr="0091481E">
              <w:rPr>
                <w:rFonts w:ascii="Arial Narrow" w:hAnsi="Arial Narrow" w:cs="Arial"/>
                <w:sz w:val="20"/>
                <w:szCs w:val="20"/>
              </w:rPr>
              <w:t>, 100 mg</w:t>
            </w:r>
          </w:p>
        </w:tc>
        <w:tc>
          <w:tcPr>
            <w:tcW w:w="588" w:type="pct"/>
            <w:tcBorders>
              <w:top w:val="single" w:sz="4" w:space="0" w:color="auto"/>
              <w:bottom w:val="single" w:sz="4" w:space="0" w:color="auto"/>
            </w:tcBorders>
          </w:tcPr>
          <w:p w:rsidR="00534AA3" w:rsidRPr="0091481E" w:rsidRDefault="00534AA3" w:rsidP="00F87041">
            <w:pPr>
              <w:keepNext/>
              <w:rPr>
                <w:rFonts w:ascii="Arial Narrow" w:hAnsi="Arial Narrow"/>
                <w:sz w:val="20"/>
              </w:rPr>
            </w:pPr>
          </w:p>
          <w:p w:rsidR="00534AA3" w:rsidRPr="0091481E" w:rsidRDefault="00811D48" w:rsidP="00F87041">
            <w:pPr>
              <w:keepNext/>
              <w:rPr>
                <w:rFonts w:ascii="Arial Narrow" w:hAnsi="Arial Narrow"/>
                <w:sz w:val="20"/>
              </w:rPr>
            </w:pPr>
            <w:r w:rsidRPr="0091481E">
              <w:rPr>
                <w:rFonts w:ascii="Arial Narrow" w:hAnsi="Arial Narrow"/>
                <w:sz w:val="20"/>
              </w:rPr>
              <w:t>240 </w:t>
            </w:r>
            <w:r w:rsidR="00534AA3" w:rsidRPr="0091481E">
              <w:rPr>
                <w:rFonts w:ascii="Arial Narrow" w:hAnsi="Arial Narrow"/>
                <w:sz w:val="20"/>
              </w:rPr>
              <w:t>mg</w:t>
            </w:r>
          </w:p>
        </w:tc>
        <w:tc>
          <w:tcPr>
            <w:tcW w:w="420" w:type="pct"/>
            <w:tcBorders>
              <w:top w:val="single" w:sz="4" w:space="0" w:color="auto"/>
              <w:bottom w:val="single" w:sz="4" w:space="0" w:color="auto"/>
            </w:tcBorders>
          </w:tcPr>
          <w:p w:rsidR="00534AA3" w:rsidRPr="0091481E" w:rsidRDefault="00534AA3" w:rsidP="00F87041">
            <w:pPr>
              <w:keepNext/>
              <w:ind w:left="-108"/>
              <w:rPr>
                <w:rFonts w:ascii="Arial Narrow" w:hAnsi="Arial Narrow"/>
                <w:sz w:val="20"/>
              </w:rPr>
            </w:pPr>
          </w:p>
          <w:p w:rsidR="00534AA3" w:rsidRPr="0091481E" w:rsidRDefault="006D3CBE" w:rsidP="00F87041">
            <w:pPr>
              <w:keepNext/>
              <w:ind w:left="-108"/>
              <w:rPr>
                <w:rFonts w:ascii="Arial Narrow" w:hAnsi="Arial Narrow"/>
                <w:sz w:val="20"/>
              </w:rPr>
            </w:pPr>
            <w:r>
              <w:rPr>
                <w:rFonts w:ascii="Arial Narrow" w:hAnsi="Arial Narrow"/>
                <w:sz w:val="20"/>
              </w:rPr>
              <w:t>5</w:t>
            </w:r>
          </w:p>
          <w:p w:rsidR="00534AA3" w:rsidRPr="0091481E" w:rsidRDefault="00534AA3" w:rsidP="00F87041">
            <w:pPr>
              <w:keepNext/>
              <w:ind w:left="-108"/>
              <w:rPr>
                <w:rFonts w:ascii="Arial Narrow" w:hAnsi="Arial Narrow"/>
                <w:sz w:val="20"/>
              </w:rPr>
            </w:pPr>
          </w:p>
        </w:tc>
        <w:tc>
          <w:tcPr>
            <w:tcW w:w="592" w:type="pct"/>
            <w:tcBorders>
              <w:top w:val="single" w:sz="4" w:space="0" w:color="auto"/>
              <w:bottom w:val="single" w:sz="4" w:space="0" w:color="auto"/>
            </w:tcBorders>
            <w:hideMark/>
          </w:tcPr>
          <w:p w:rsidR="00534AA3" w:rsidRPr="0091481E" w:rsidRDefault="00534AA3" w:rsidP="00F87041">
            <w:pPr>
              <w:keepNext/>
              <w:rPr>
                <w:rFonts w:ascii="Arial Narrow" w:hAnsi="Arial Narrow"/>
                <w:sz w:val="20"/>
              </w:rPr>
            </w:pPr>
            <w:r w:rsidRPr="0091481E">
              <w:rPr>
                <w:rFonts w:ascii="Arial Narrow" w:hAnsi="Arial Narrow" w:cs="Arial"/>
                <w:sz w:val="20"/>
                <w:szCs w:val="20"/>
              </w:rPr>
              <w:t>Keytruda</w:t>
            </w:r>
            <w:r w:rsidRPr="0091481E">
              <w:rPr>
                <w:rFonts w:ascii="Arial Narrow" w:hAnsi="Arial Narrow" w:cs="Arial"/>
                <w:sz w:val="20"/>
                <w:szCs w:val="20"/>
                <w:vertAlign w:val="superscript"/>
              </w:rPr>
              <w:t>®</w:t>
            </w:r>
          </w:p>
          <w:p w:rsidR="00534AA3" w:rsidRPr="0091481E" w:rsidRDefault="00534AA3" w:rsidP="00F87041">
            <w:pPr>
              <w:keepNext/>
              <w:ind w:left="-108"/>
              <w:rPr>
                <w:rFonts w:ascii="Arial Narrow" w:hAnsi="Arial Narrow"/>
                <w:sz w:val="20"/>
              </w:rPr>
            </w:pPr>
          </w:p>
        </w:tc>
        <w:tc>
          <w:tcPr>
            <w:tcW w:w="1599" w:type="pct"/>
            <w:tcBorders>
              <w:top w:val="single" w:sz="4" w:space="0" w:color="auto"/>
              <w:bottom w:val="single" w:sz="4" w:space="0" w:color="auto"/>
            </w:tcBorders>
            <w:hideMark/>
          </w:tcPr>
          <w:p w:rsidR="00534AA3" w:rsidRPr="0091481E" w:rsidRDefault="00534AA3" w:rsidP="00F87041">
            <w:pPr>
              <w:keepNext/>
              <w:rPr>
                <w:rFonts w:ascii="Arial Narrow" w:hAnsi="Arial Narrow"/>
                <w:sz w:val="20"/>
              </w:rPr>
            </w:pPr>
            <w:r w:rsidRPr="0091481E">
              <w:rPr>
                <w:rFonts w:ascii="Arial Narrow" w:hAnsi="Arial Narrow" w:cs="Arial"/>
                <w:sz w:val="20"/>
                <w:szCs w:val="20"/>
              </w:rPr>
              <w:t>Merck, Sharp &amp; Dohme Australia Pty. Ltd.</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hideMark/>
          </w:tcPr>
          <w:p w:rsidR="00534AA3" w:rsidRPr="0091481E" w:rsidRDefault="00534AA3" w:rsidP="00811D48">
            <w:pPr>
              <w:rPr>
                <w:rFonts w:ascii="Arial Narrow" w:hAnsi="Arial Narrow"/>
                <w:b/>
                <w:sz w:val="20"/>
              </w:rPr>
            </w:pPr>
            <w:r w:rsidRPr="0091481E">
              <w:rPr>
                <w:rFonts w:ascii="Arial Narrow" w:hAnsi="Arial Narrow"/>
                <w:b/>
                <w:sz w:val="20"/>
              </w:rPr>
              <w:t>Category / Program</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sz w:val="20"/>
              </w:rPr>
            </w:pPr>
            <w:r w:rsidRPr="0091481E">
              <w:rPr>
                <w:rFonts w:ascii="Arial Narrow" w:hAnsi="Arial Narrow"/>
                <w:sz w:val="20"/>
              </w:rPr>
              <w:t>Section 100 – Efficient Funding of Chemotherapy</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811D48">
            <w:pPr>
              <w:rPr>
                <w:rFonts w:ascii="Arial Narrow" w:hAnsi="Arial Narrow"/>
                <w:b/>
                <w:sz w:val="20"/>
              </w:rPr>
            </w:pPr>
            <w:r w:rsidRPr="0091481E">
              <w:rPr>
                <w:rFonts w:ascii="Arial Narrow" w:hAnsi="Arial Narrow"/>
                <w:b/>
                <w:sz w:val="20"/>
              </w:rPr>
              <w:t>Prescriber type:</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sz w:val="20"/>
              </w:rPr>
            </w:pPr>
            <w:r w:rsidRPr="0091481E">
              <w:rPr>
                <w:rFonts w:ascii="Arial Narrow" w:hAnsi="Arial Narrow"/>
                <w:sz w:val="20"/>
              </w:rPr>
              <w:fldChar w:fldCharType="begin">
                <w:ffData>
                  <w:name w:val=""/>
                  <w:enabled/>
                  <w:calcOnExit w:val="0"/>
                  <w:checkBox>
                    <w:sizeAuto/>
                    <w:default w:val="1"/>
                  </w:checkBox>
                </w:ffData>
              </w:fldChar>
            </w:r>
            <w:r w:rsidRPr="0091481E">
              <w:rPr>
                <w:rFonts w:ascii="Arial Narrow" w:hAnsi="Arial Narrow"/>
                <w:sz w:val="20"/>
              </w:rPr>
              <w:instrText xml:space="preserve"> FORMCHECKBOX </w:instrText>
            </w:r>
            <w:r w:rsidR="001B6E1B">
              <w:rPr>
                <w:rFonts w:ascii="Arial Narrow" w:hAnsi="Arial Narrow"/>
                <w:sz w:val="20"/>
              </w:rPr>
            </w:r>
            <w:r w:rsidR="001B6E1B">
              <w:rPr>
                <w:rFonts w:ascii="Arial Narrow" w:hAnsi="Arial Narrow"/>
                <w:sz w:val="20"/>
              </w:rPr>
              <w:fldChar w:fldCharType="separate"/>
            </w:r>
            <w:r w:rsidRPr="0091481E">
              <w:rPr>
                <w:rFonts w:ascii="Arial Narrow" w:hAnsi="Arial Narrow"/>
                <w:sz w:val="20"/>
              </w:rPr>
              <w:fldChar w:fldCharType="end"/>
            </w:r>
            <w:r w:rsidRPr="0091481E">
              <w:rPr>
                <w:rFonts w:ascii="Arial Narrow" w:hAnsi="Arial Narrow"/>
                <w:sz w:val="20"/>
              </w:rPr>
              <w:t>Medical Practitioners</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hideMark/>
          </w:tcPr>
          <w:p w:rsidR="00534AA3" w:rsidRPr="0091481E" w:rsidRDefault="00534AA3" w:rsidP="00F87041">
            <w:pPr>
              <w:snapToGrid w:val="0"/>
              <w:rPr>
                <w:rFonts w:ascii="Arial Narrow" w:hAnsi="Arial Narrow"/>
                <w:b/>
                <w:sz w:val="20"/>
              </w:rPr>
            </w:pPr>
            <w:r w:rsidRPr="0091481E">
              <w:rPr>
                <w:rFonts w:ascii="Arial Narrow" w:hAnsi="Arial Narrow"/>
                <w:b/>
                <w:sz w:val="20"/>
              </w:rPr>
              <w:t>PBS Indication:</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snapToGrid w:val="0"/>
              <w:rPr>
                <w:rFonts w:ascii="Arial Narrow" w:hAnsi="Arial Narrow"/>
                <w:sz w:val="20"/>
              </w:rPr>
            </w:pPr>
            <w:r w:rsidRPr="0091481E">
              <w:rPr>
                <w:rFonts w:ascii="Arial Narrow" w:hAnsi="Arial Narrow"/>
                <w:sz w:val="20"/>
              </w:rPr>
              <w:t>Unresectable</w:t>
            </w:r>
            <w:r w:rsidRPr="0091481E">
              <w:rPr>
                <w:rFonts w:ascii="Helvetica Neue" w:hAnsi="Helvetica Neue" w:cs="Helvetica Neue"/>
                <w:color w:val="1A1A1A"/>
                <w:sz w:val="26"/>
                <w:szCs w:val="26"/>
              </w:rPr>
              <w:t xml:space="preserve"> </w:t>
            </w:r>
            <w:r w:rsidRPr="0091481E">
              <w:rPr>
                <w:rFonts w:ascii="Arial Narrow" w:hAnsi="Arial Narrow"/>
                <w:sz w:val="20"/>
              </w:rPr>
              <w:t>Stage III or Stage IV malignant melanoma</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b/>
                <w:sz w:val="20"/>
              </w:rPr>
            </w:pPr>
            <w:r w:rsidRPr="0091481E">
              <w:rPr>
                <w:rFonts w:ascii="Arial Narrow" w:hAnsi="Arial Narrow"/>
                <w:b/>
                <w:sz w:val="20"/>
              </w:rPr>
              <w:t>Treatment phase:</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F87041">
            <w:pPr>
              <w:snapToGrid w:val="0"/>
              <w:rPr>
                <w:rFonts w:ascii="Arial Narrow" w:hAnsi="Arial Narrow"/>
                <w:sz w:val="20"/>
              </w:rPr>
            </w:pPr>
            <w:r w:rsidRPr="0091481E">
              <w:rPr>
                <w:rFonts w:ascii="Arial Narrow" w:hAnsi="Arial Narrow"/>
                <w:sz w:val="20"/>
              </w:rPr>
              <w:t>Grandfathering treatment 2</w:t>
            </w:r>
          </w:p>
        </w:tc>
      </w:tr>
      <w:tr w:rsidR="00534AA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F87041">
            <w:pPr>
              <w:rPr>
                <w:rFonts w:ascii="Arial Narrow" w:hAnsi="Arial Narrow"/>
                <w:b/>
                <w:sz w:val="20"/>
              </w:rPr>
            </w:pPr>
            <w:r w:rsidRPr="0091481E">
              <w:rPr>
                <w:rFonts w:ascii="Arial Narrow" w:hAnsi="Arial Narrow"/>
                <w:b/>
                <w:sz w:val="20"/>
              </w:rPr>
              <w:t>Restriction Level / Method:</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811D48">
            <w:pPr>
              <w:rPr>
                <w:rFonts w:ascii="Arial Narrow" w:hAnsi="Arial Narrow"/>
                <w:sz w:val="20"/>
              </w:rPr>
            </w:pPr>
            <w:r w:rsidRPr="0091481E">
              <w:rPr>
                <w:rFonts w:ascii="Arial Narrow" w:hAnsi="Arial Narrow"/>
                <w:sz w:val="20"/>
              </w:rPr>
              <w:fldChar w:fldCharType="begin">
                <w:ffData>
                  <w:name w:val=""/>
                  <w:enabled/>
                  <w:calcOnExit w:val="0"/>
                  <w:checkBox>
                    <w:sizeAuto/>
                    <w:default w:val="1"/>
                  </w:checkBox>
                </w:ffData>
              </w:fldChar>
            </w:r>
            <w:r w:rsidRPr="0091481E">
              <w:rPr>
                <w:rFonts w:ascii="Arial Narrow" w:hAnsi="Arial Narrow"/>
                <w:sz w:val="20"/>
              </w:rPr>
              <w:instrText xml:space="preserve"> FORMCHECKBOX </w:instrText>
            </w:r>
            <w:r w:rsidR="001B6E1B">
              <w:rPr>
                <w:rFonts w:ascii="Arial Narrow" w:hAnsi="Arial Narrow"/>
                <w:sz w:val="20"/>
              </w:rPr>
            </w:r>
            <w:r w:rsidR="001B6E1B">
              <w:rPr>
                <w:rFonts w:ascii="Arial Narrow" w:hAnsi="Arial Narrow"/>
                <w:sz w:val="20"/>
              </w:rPr>
              <w:fldChar w:fldCharType="separate"/>
            </w:r>
            <w:r w:rsidRPr="0091481E">
              <w:rPr>
                <w:rFonts w:ascii="Arial Narrow" w:hAnsi="Arial Narrow"/>
                <w:sz w:val="20"/>
              </w:rPr>
              <w:fldChar w:fldCharType="end"/>
            </w:r>
            <w:r w:rsidRPr="0091481E">
              <w:rPr>
                <w:rFonts w:ascii="Arial Narrow" w:hAnsi="Arial Narrow"/>
                <w:sz w:val="20"/>
              </w:rPr>
              <w:t>Authority Required - Streamlined</w:t>
            </w:r>
          </w:p>
        </w:tc>
      </w:tr>
      <w:tr w:rsidR="00534AA3" w:rsidRPr="0091481E" w:rsidTr="00811D48">
        <w:trPr>
          <w:trHeight w:val="360"/>
        </w:trPr>
        <w:tc>
          <w:tcPr>
            <w:tcW w:w="1430" w:type="pct"/>
            <w:tcBorders>
              <w:top w:val="single" w:sz="4" w:space="0" w:color="auto"/>
              <w:left w:val="single" w:sz="4" w:space="0" w:color="auto"/>
              <w:bottom w:val="single" w:sz="4" w:space="0" w:color="auto"/>
              <w:right w:val="single" w:sz="4" w:space="0" w:color="auto"/>
            </w:tcBorders>
          </w:tcPr>
          <w:p w:rsidR="00534AA3" w:rsidRPr="0091481E" w:rsidRDefault="00534AA3" w:rsidP="00811D48">
            <w:pPr>
              <w:rPr>
                <w:rFonts w:ascii="Arial Narrow" w:hAnsi="Arial Narrow"/>
                <w:sz w:val="20"/>
              </w:rPr>
            </w:pPr>
            <w:r w:rsidRPr="0091481E">
              <w:rPr>
                <w:rFonts w:ascii="Arial Narrow" w:hAnsi="Arial Narrow"/>
                <w:b/>
                <w:sz w:val="20"/>
              </w:rPr>
              <w:t>Clinical criteria:</w:t>
            </w:r>
          </w:p>
        </w:tc>
        <w:tc>
          <w:tcPr>
            <w:tcW w:w="3570" w:type="pct"/>
            <w:gridSpan w:val="6"/>
            <w:tcBorders>
              <w:top w:val="single" w:sz="4" w:space="0" w:color="auto"/>
              <w:left w:val="single" w:sz="4" w:space="0" w:color="auto"/>
              <w:bottom w:val="single" w:sz="4" w:space="0" w:color="auto"/>
              <w:right w:val="single" w:sz="4" w:space="0" w:color="auto"/>
            </w:tcBorders>
          </w:tcPr>
          <w:p w:rsidR="00534AA3" w:rsidRPr="0091481E" w:rsidRDefault="00534AA3" w:rsidP="00534AA3">
            <w:pPr>
              <w:rPr>
                <w:rFonts w:ascii="Arial Narrow" w:hAnsi="Arial Narrow"/>
                <w:sz w:val="20"/>
              </w:rPr>
            </w:pPr>
            <w:r w:rsidRPr="0091481E">
              <w:rPr>
                <w:rFonts w:ascii="Arial Narrow" w:hAnsi="Arial Narrow"/>
                <w:sz w:val="20"/>
              </w:rPr>
              <w:t>The condition must be negative for a BRAF V600 mutation,</w:t>
            </w:r>
          </w:p>
          <w:p w:rsidR="00534AA3" w:rsidRPr="0091481E" w:rsidRDefault="00534AA3" w:rsidP="00534AA3">
            <w:pPr>
              <w:rPr>
                <w:rFonts w:ascii="Arial Narrow" w:hAnsi="Arial Narrow"/>
                <w:sz w:val="20"/>
              </w:rPr>
            </w:pPr>
            <w:r w:rsidRPr="0091481E">
              <w:rPr>
                <w:rFonts w:ascii="Arial Narrow" w:hAnsi="Arial Narrow"/>
                <w:sz w:val="20"/>
              </w:rPr>
              <w:t>AND</w:t>
            </w:r>
          </w:p>
          <w:p w:rsidR="00534AA3" w:rsidRPr="0091481E" w:rsidRDefault="00534AA3" w:rsidP="00534AA3">
            <w:pPr>
              <w:rPr>
                <w:rFonts w:ascii="Arial Narrow" w:hAnsi="Arial Narrow"/>
                <w:sz w:val="20"/>
              </w:rPr>
            </w:pPr>
            <w:r w:rsidRPr="0091481E">
              <w:rPr>
                <w:rFonts w:ascii="Arial Narrow" w:hAnsi="Arial Narrow"/>
                <w:sz w:val="20"/>
              </w:rPr>
              <w:t>Patient must have previously received non-PBS subsidised treatment with this drug for this condi</w:t>
            </w:r>
            <w:r w:rsidR="00FB702D">
              <w:rPr>
                <w:rFonts w:ascii="Arial Narrow" w:hAnsi="Arial Narrow"/>
                <w:sz w:val="20"/>
              </w:rPr>
              <w:t>tion prior to 1 September 2015,</w:t>
            </w:r>
          </w:p>
          <w:p w:rsidR="00534AA3" w:rsidRPr="0091481E" w:rsidRDefault="00534AA3" w:rsidP="00534AA3">
            <w:pPr>
              <w:rPr>
                <w:rFonts w:ascii="Arial Narrow" w:hAnsi="Arial Narrow"/>
                <w:sz w:val="20"/>
              </w:rPr>
            </w:pPr>
            <w:r w:rsidRPr="0091481E">
              <w:rPr>
                <w:rFonts w:ascii="Arial Narrow" w:hAnsi="Arial Narrow"/>
                <w:sz w:val="20"/>
              </w:rPr>
              <w:t>AND</w:t>
            </w:r>
          </w:p>
          <w:p w:rsidR="00534AA3" w:rsidRPr="0091481E" w:rsidRDefault="00534AA3" w:rsidP="00534AA3">
            <w:pPr>
              <w:rPr>
                <w:rFonts w:ascii="Arial Narrow" w:hAnsi="Arial Narrow"/>
                <w:sz w:val="20"/>
              </w:rPr>
            </w:pPr>
            <w:r w:rsidRPr="0091481E">
              <w:rPr>
                <w:rFonts w:ascii="Arial Narrow" w:hAnsi="Arial Narrow"/>
                <w:sz w:val="20"/>
              </w:rPr>
              <w:t>Patient must not have received prior treatment with ipilimumab or any other PD-1 (programmed cell death-1) inhibitor for th</w:t>
            </w:r>
            <w:r w:rsidR="00FB702D">
              <w:rPr>
                <w:rFonts w:ascii="Arial Narrow" w:hAnsi="Arial Narrow"/>
                <w:sz w:val="20"/>
              </w:rPr>
              <w:t>is condition,</w:t>
            </w:r>
          </w:p>
          <w:p w:rsidR="00534AA3" w:rsidRPr="0091481E" w:rsidRDefault="00534AA3" w:rsidP="00534AA3">
            <w:pPr>
              <w:rPr>
                <w:rFonts w:ascii="Arial Narrow" w:hAnsi="Arial Narrow"/>
                <w:sz w:val="20"/>
              </w:rPr>
            </w:pPr>
            <w:r w:rsidRPr="0091481E">
              <w:rPr>
                <w:rFonts w:ascii="Arial Narrow" w:hAnsi="Arial Narrow"/>
                <w:sz w:val="20"/>
              </w:rPr>
              <w:lastRenderedPageBreak/>
              <w:t>AND</w:t>
            </w:r>
          </w:p>
          <w:p w:rsidR="00534AA3" w:rsidRPr="0091481E" w:rsidRDefault="00534AA3" w:rsidP="00534AA3">
            <w:pPr>
              <w:rPr>
                <w:rFonts w:ascii="Arial Narrow" w:hAnsi="Arial Narrow"/>
                <w:sz w:val="20"/>
              </w:rPr>
            </w:pPr>
            <w:r w:rsidRPr="0091481E">
              <w:rPr>
                <w:rFonts w:ascii="Arial Narrow" w:hAnsi="Arial Narrow"/>
                <w:sz w:val="20"/>
              </w:rPr>
              <w:t>Patient must have stable or responding disease,</w:t>
            </w:r>
          </w:p>
          <w:p w:rsidR="00534AA3" w:rsidRPr="0091481E" w:rsidRDefault="00534AA3" w:rsidP="00534AA3">
            <w:pPr>
              <w:rPr>
                <w:rFonts w:ascii="Arial Narrow" w:hAnsi="Arial Narrow"/>
                <w:sz w:val="20"/>
              </w:rPr>
            </w:pPr>
            <w:r w:rsidRPr="0091481E">
              <w:rPr>
                <w:rFonts w:ascii="Arial Narrow" w:hAnsi="Arial Narrow"/>
                <w:sz w:val="20"/>
              </w:rPr>
              <w:t>AND</w:t>
            </w:r>
          </w:p>
          <w:p w:rsidR="00534AA3" w:rsidRPr="0091481E" w:rsidRDefault="00534AA3" w:rsidP="00534AA3">
            <w:pPr>
              <w:rPr>
                <w:rFonts w:ascii="Arial Narrow" w:hAnsi="Arial Narrow"/>
                <w:sz w:val="20"/>
              </w:rPr>
            </w:pPr>
            <w:r w:rsidRPr="0091481E">
              <w:rPr>
                <w:rFonts w:ascii="Arial Narrow" w:hAnsi="Arial Narrow"/>
                <w:sz w:val="20"/>
              </w:rPr>
              <w:t>The treatment must be the sole PBS-subsidised therapy for this condition,</w:t>
            </w:r>
          </w:p>
          <w:p w:rsidR="00534AA3" w:rsidRPr="0091481E" w:rsidRDefault="00534AA3" w:rsidP="00534AA3">
            <w:pPr>
              <w:rPr>
                <w:rFonts w:ascii="Arial Narrow" w:hAnsi="Arial Narrow"/>
                <w:sz w:val="20"/>
              </w:rPr>
            </w:pPr>
            <w:r w:rsidRPr="0091481E">
              <w:rPr>
                <w:rFonts w:ascii="Arial Narrow" w:hAnsi="Arial Narrow"/>
                <w:sz w:val="20"/>
              </w:rPr>
              <w:t>AND</w:t>
            </w:r>
          </w:p>
          <w:p w:rsidR="00534AA3" w:rsidRPr="0091481E" w:rsidRDefault="00534AA3" w:rsidP="00534AA3">
            <w:pPr>
              <w:rPr>
                <w:rFonts w:ascii="Helvetica Neue" w:hAnsi="Helvetica Neue" w:cs="Helvetica Neue"/>
                <w:color w:val="1A1A1A"/>
                <w:sz w:val="26"/>
                <w:szCs w:val="26"/>
              </w:rPr>
            </w:pPr>
            <w:r w:rsidRPr="0091481E">
              <w:rPr>
                <w:rFonts w:ascii="Arial Narrow" w:hAnsi="Arial Narrow"/>
                <w:sz w:val="20"/>
              </w:rPr>
              <w:t>The treatment must not exceed a maximum dose of 2 mg per kg every 3 weeks.</w:t>
            </w:r>
          </w:p>
        </w:tc>
      </w:tr>
    </w:tbl>
    <w:p w:rsidR="00534AA3" w:rsidRPr="0091481E" w:rsidRDefault="00534AA3" w:rsidP="00534AA3">
      <w:pPr>
        <w:pStyle w:val="NoSpacing"/>
      </w:pPr>
    </w:p>
    <w:p w:rsidR="00D171E3" w:rsidRPr="0091481E" w:rsidRDefault="00D171E3" w:rsidP="001C5A15">
      <w:pPr>
        <w:widowControl w:val="0"/>
        <w:ind w:firstLine="720"/>
        <w:jc w:val="both"/>
        <w:rPr>
          <w:rFonts w:ascii="Arial" w:hAnsi="Arial" w:cs="Arial"/>
          <w:bCs/>
          <w:snapToGrid w:val="0"/>
          <w:sz w:val="22"/>
          <w:szCs w:val="22"/>
        </w:rPr>
      </w:pPr>
      <w:r w:rsidRPr="0091481E">
        <w:rPr>
          <w:rFonts w:ascii="Arial" w:hAnsi="Arial" w:cs="Arial"/>
          <w:bCs/>
          <w:snapToGrid w:val="0"/>
          <w:sz w:val="22"/>
          <w:szCs w:val="22"/>
        </w:rPr>
        <w:t>Continuing treatment</w:t>
      </w:r>
    </w:p>
    <w:p w:rsidR="00D171E3" w:rsidRPr="0091481E" w:rsidRDefault="00D171E3" w:rsidP="00D171E3">
      <w:pPr>
        <w:pStyle w:val="NoSpacing"/>
      </w:pPr>
    </w:p>
    <w:tbl>
      <w:tblPr>
        <w:tblW w:w="4558" w:type="pct"/>
        <w:tblInd w:w="817" w:type="dxa"/>
        <w:tblLayout w:type="fixed"/>
        <w:tblLook w:val="04A0" w:firstRow="1" w:lastRow="0" w:firstColumn="1" w:lastColumn="0" w:noHBand="0" w:noVBand="1"/>
      </w:tblPr>
      <w:tblGrid>
        <w:gridCol w:w="2409"/>
        <w:gridCol w:w="568"/>
        <w:gridCol w:w="992"/>
        <w:gridCol w:w="708"/>
        <w:gridCol w:w="998"/>
        <w:gridCol w:w="2694"/>
        <w:gridCol w:w="56"/>
      </w:tblGrid>
      <w:tr w:rsidR="00D171E3" w:rsidRPr="0091481E" w:rsidTr="00811D48">
        <w:trPr>
          <w:gridAfter w:val="1"/>
          <w:wAfter w:w="33" w:type="pct"/>
          <w:cantSplit/>
          <w:trHeight w:val="471"/>
        </w:trPr>
        <w:tc>
          <w:tcPr>
            <w:tcW w:w="1767" w:type="pct"/>
            <w:gridSpan w:val="2"/>
            <w:tcBorders>
              <w:bottom w:val="single" w:sz="4" w:space="0" w:color="auto"/>
            </w:tcBorders>
            <w:hideMark/>
          </w:tcPr>
          <w:p w:rsidR="00D171E3" w:rsidRPr="0091481E" w:rsidRDefault="00D171E3" w:rsidP="00F87041">
            <w:pPr>
              <w:keepNext/>
              <w:ind w:left="-108"/>
              <w:rPr>
                <w:rFonts w:ascii="Arial Narrow" w:hAnsi="Arial Narrow"/>
                <w:b/>
                <w:sz w:val="20"/>
              </w:rPr>
            </w:pPr>
            <w:r w:rsidRPr="0091481E">
              <w:rPr>
                <w:rFonts w:ascii="Arial Narrow" w:hAnsi="Arial Narrow"/>
                <w:b/>
                <w:sz w:val="20"/>
              </w:rPr>
              <w:t>Name, Restriction,</w:t>
            </w:r>
          </w:p>
          <w:p w:rsidR="00D171E3" w:rsidRPr="0091481E" w:rsidRDefault="00D171E3" w:rsidP="00F87041">
            <w:pPr>
              <w:keepNext/>
              <w:snapToGrid w:val="0"/>
              <w:ind w:left="-108"/>
              <w:rPr>
                <w:rFonts w:ascii="Arial Narrow" w:hAnsi="Arial Narrow"/>
                <w:b/>
                <w:sz w:val="20"/>
              </w:rPr>
            </w:pPr>
            <w:r w:rsidRPr="0091481E">
              <w:rPr>
                <w:rFonts w:ascii="Arial Narrow" w:hAnsi="Arial Narrow"/>
                <w:b/>
                <w:sz w:val="20"/>
              </w:rPr>
              <w:t>Manner of administration and form</w:t>
            </w:r>
          </w:p>
        </w:tc>
        <w:tc>
          <w:tcPr>
            <w:tcW w:w="589" w:type="pct"/>
            <w:tcBorders>
              <w:bottom w:val="single" w:sz="4" w:space="0" w:color="auto"/>
            </w:tcBorders>
            <w:hideMark/>
          </w:tcPr>
          <w:p w:rsidR="00D171E3" w:rsidRPr="0091481E" w:rsidRDefault="00D171E3" w:rsidP="00F87041">
            <w:pPr>
              <w:keepNext/>
              <w:ind w:left="-108"/>
              <w:rPr>
                <w:rFonts w:ascii="Arial Narrow" w:hAnsi="Arial Narrow"/>
                <w:b/>
                <w:sz w:val="20"/>
              </w:rPr>
            </w:pPr>
            <w:r w:rsidRPr="0091481E">
              <w:rPr>
                <w:rFonts w:ascii="Arial Narrow" w:hAnsi="Arial Narrow"/>
                <w:b/>
                <w:sz w:val="20"/>
              </w:rPr>
              <w:t>Max.</w:t>
            </w:r>
          </w:p>
          <w:p w:rsidR="00D171E3" w:rsidRPr="0091481E" w:rsidRDefault="00D171E3" w:rsidP="00F87041">
            <w:pPr>
              <w:keepNext/>
              <w:snapToGrid w:val="0"/>
              <w:ind w:left="-108"/>
              <w:rPr>
                <w:rFonts w:ascii="Arial Narrow" w:hAnsi="Arial Narrow"/>
                <w:b/>
                <w:sz w:val="20"/>
              </w:rPr>
            </w:pPr>
            <w:r w:rsidRPr="0091481E">
              <w:rPr>
                <w:rFonts w:ascii="Arial Narrow" w:hAnsi="Arial Narrow"/>
                <w:b/>
                <w:sz w:val="20"/>
              </w:rPr>
              <w:t>Amt.</w:t>
            </w:r>
          </w:p>
        </w:tc>
        <w:tc>
          <w:tcPr>
            <w:tcW w:w="420" w:type="pct"/>
            <w:tcBorders>
              <w:bottom w:val="single" w:sz="4" w:space="0" w:color="auto"/>
            </w:tcBorders>
            <w:hideMark/>
          </w:tcPr>
          <w:p w:rsidR="00D171E3" w:rsidRPr="0091481E" w:rsidRDefault="00D171E3" w:rsidP="00F87041">
            <w:pPr>
              <w:keepNext/>
              <w:ind w:left="-108"/>
              <w:rPr>
                <w:rFonts w:ascii="Arial Narrow" w:hAnsi="Arial Narrow"/>
                <w:b/>
                <w:sz w:val="20"/>
              </w:rPr>
            </w:pPr>
            <w:r w:rsidRPr="0091481E">
              <w:rPr>
                <w:rFonts w:ascii="Arial Narrow" w:hAnsi="Arial Narrow"/>
                <w:b/>
                <w:sz w:val="20"/>
              </w:rPr>
              <w:t>№.of</w:t>
            </w:r>
          </w:p>
          <w:p w:rsidR="00D171E3" w:rsidRPr="0091481E" w:rsidRDefault="00D171E3" w:rsidP="00F87041">
            <w:pPr>
              <w:keepNext/>
              <w:snapToGrid w:val="0"/>
              <w:ind w:left="-108"/>
              <w:rPr>
                <w:rFonts w:ascii="Arial Narrow" w:hAnsi="Arial Narrow"/>
                <w:b/>
                <w:sz w:val="20"/>
              </w:rPr>
            </w:pPr>
            <w:r w:rsidRPr="0091481E">
              <w:rPr>
                <w:rFonts w:ascii="Arial Narrow" w:hAnsi="Arial Narrow"/>
                <w:b/>
                <w:sz w:val="20"/>
              </w:rPr>
              <w:t>Rpts</w:t>
            </w:r>
          </w:p>
        </w:tc>
        <w:tc>
          <w:tcPr>
            <w:tcW w:w="2191" w:type="pct"/>
            <w:gridSpan w:val="2"/>
            <w:tcBorders>
              <w:bottom w:val="single" w:sz="4" w:space="0" w:color="auto"/>
            </w:tcBorders>
            <w:hideMark/>
          </w:tcPr>
          <w:p w:rsidR="00D171E3" w:rsidRPr="0091481E" w:rsidRDefault="00D171E3" w:rsidP="00F87041">
            <w:pPr>
              <w:keepNext/>
              <w:snapToGrid w:val="0"/>
              <w:rPr>
                <w:rFonts w:ascii="Arial Narrow" w:hAnsi="Arial Narrow"/>
                <w:b/>
                <w:sz w:val="20"/>
              </w:rPr>
            </w:pPr>
            <w:r w:rsidRPr="0091481E">
              <w:rPr>
                <w:rFonts w:ascii="Arial Narrow" w:hAnsi="Arial Narrow"/>
                <w:b/>
                <w:sz w:val="20"/>
              </w:rPr>
              <w:t>Proprietary Name and Manufacturer</w:t>
            </w:r>
          </w:p>
        </w:tc>
      </w:tr>
      <w:tr w:rsidR="00D171E3" w:rsidRPr="0091481E" w:rsidTr="00811D48">
        <w:trPr>
          <w:gridAfter w:val="1"/>
          <w:wAfter w:w="33" w:type="pct"/>
          <w:cantSplit/>
          <w:trHeight w:val="577"/>
        </w:trPr>
        <w:tc>
          <w:tcPr>
            <w:tcW w:w="1767" w:type="pct"/>
            <w:gridSpan w:val="2"/>
            <w:tcBorders>
              <w:top w:val="single" w:sz="4" w:space="0" w:color="auto"/>
              <w:bottom w:val="single" w:sz="4" w:space="0" w:color="auto"/>
            </w:tcBorders>
            <w:hideMark/>
          </w:tcPr>
          <w:p w:rsidR="00D171E3" w:rsidRPr="0091481E" w:rsidRDefault="00D171E3" w:rsidP="00F87041">
            <w:pPr>
              <w:keepNext/>
              <w:ind w:left="-108"/>
              <w:jc w:val="both"/>
              <w:rPr>
                <w:rFonts w:ascii="Arial Narrow" w:hAnsi="Arial Narrow" w:cs="Arial"/>
                <w:sz w:val="20"/>
                <w:szCs w:val="20"/>
              </w:rPr>
            </w:pPr>
            <w:r w:rsidRPr="0091481E">
              <w:rPr>
                <w:rFonts w:ascii="Arial Narrow" w:hAnsi="Arial Narrow" w:cs="Arial"/>
                <w:smallCaps/>
                <w:sz w:val="20"/>
                <w:szCs w:val="20"/>
              </w:rPr>
              <w:t>PEMBROLIZUMAB</w:t>
            </w:r>
          </w:p>
          <w:p w:rsidR="00D171E3" w:rsidRPr="0091481E" w:rsidRDefault="00B64110" w:rsidP="00F87041">
            <w:pPr>
              <w:keepNext/>
              <w:ind w:left="-108"/>
              <w:rPr>
                <w:rFonts w:ascii="Arial Narrow" w:hAnsi="Arial Narrow"/>
                <w:sz w:val="20"/>
              </w:rPr>
            </w:pPr>
            <w:r w:rsidRPr="0091481E">
              <w:rPr>
                <w:rFonts w:ascii="Arial Narrow" w:hAnsi="Arial Narrow" w:cs="Arial"/>
                <w:sz w:val="20"/>
                <w:szCs w:val="20"/>
              </w:rPr>
              <w:t>Concentrated injection</w:t>
            </w:r>
            <w:r w:rsidR="00D171E3" w:rsidRPr="0091481E">
              <w:rPr>
                <w:rFonts w:ascii="Arial Narrow" w:hAnsi="Arial Narrow" w:cs="Arial"/>
                <w:sz w:val="20"/>
                <w:szCs w:val="20"/>
              </w:rPr>
              <w:t>, 100 mg</w:t>
            </w:r>
          </w:p>
        </w:tc>
        <w:tc>
          <w:tcPr>
            <w:tcW w:w="589" w:type="pct"/>
            <w:tcBorders>
              <w:top w:val="single" w:sz="4" w:space="0" w:color="auto"/>
              <w:bottom w:val="single" w:sz="4" w:space="0" w:color="auto"/>
            </w:tcBorders>
          </w:tcPr>
          <w:p w:rsidR="00D171E3" w:rsidRPr="0091481E" w:rsidRDefault="00D171E3" w:rsidP="00F87041">
            <w:pPr>
              <w:keepNext/>
              <w:rPr>
                <w:rFonts w:ascii="Arial Narrow" w:hAnsi="Arial Narrow"/>
                <w:sz w:val="20"/>
              </w:rPr>
            </w:pPr>
          </w:p>
          <w:p w:rsidR="00D171E3" w:rsidRPr="0091481E" w:rsidRDefault="00D171E3" w:rsidP="00811D48">
            <w:pPr>
              <w:keepNext/>
              <w:rPr>
                <w:rFonts w:ascii="Arial Narrow" w:hAnsi="Arial Narrow"/>
                <w:sz w:val="20"/>
              </w:rPr>
            </w:pPr>
            <w:r w:rsidRPr="0091481E">
              <w:rPr>
                <w:rFonts w:ascii="Arial Narrow" w:hAnsi="Arial Narrow"/>
                <w:sz w:val="20"/>
              </w:rPr>
              <w:t>240</w:t>
            </w:r>
            <w:r w:rsidR="00811D48" w:rsidRPr="0091481E">
              <w:rPr>
                <w:rFonts w:ascii="Arial Narrow" w:hAnsi="Arial Narrow"/>
                <w:sz w:val="20"/>
              </w:rPr>
              <w:t> </w:t>
            </w:r>
            <w:r w:rsidRPr="0091481E">
              <w:rPr>
                <w:rFonts w:ascii="Arial Narrow" w:hAnsi="Arial Narrow"/>
                <w:sz w:val="20"/>
              </w:rPr>
              <w:t>mg</w:t>
            </w:r>
          </w:p>
        </w:tc>
        <w:tc>
          <w:tcPr>
            <w:tcW w:w="420" w:type="pct"/>
            <w:tcBorders>
              <w:top w:val="single" w:sz="4" w:space="0" w:color="auto"/>
              <w:bottom w:val="single" w:sz="4" w:space="0" w:color="auto"/>
            </w:tcBorders>
          </w:tcPr>
          <w:p w:rsidR="00D171E3" w:rsidRPr="0091481E" w:rsidRDefault="00D171E3" w:rsidP="00F87041">
            <w:pPr>
              <w:keepNext/>
              <w:ind w:left="-108"/>
              <w:rPr>
                <w:rFonts w:ascii="Arial Narrow" w:hAnsi="Arial Narrow"/>
                <w:sz w:val="20"/>
              </w:rPr>
            </w:pPr>
          </w:p>
          <w:p w:rsidR="00D171E3" w:rsidRPr="0091481E" w:rsidRDefault="00D171E3" w:rsidP="00F87041">
            <w:pPr>
              <w:keepNext/>
              <w:ind w:left="-108"/>
              <w:rPr>
                <w:rFonts w:ascii="Arial Narrow" w:hAnsi="Arial Narrow"/>
                <w:sz w:val="20"/>
              </w:rPr>
            </w:pPr>
            <w:r w:rsidRPr="0091481E">
              <w:rPr>
                <w:rFonts w:ascii="Arial Narrow" w:hAnsi="Arial Narrow"/>
                <w:sz w:val="20"/>
              </w:rPr>
              <w:t>7</w:t>
            </w:r>
          </w:p>
          <w:p w:rsidR="00D171E3" w:rsidRPr="0091481E" w:rsidRDefault="00D171E3" w:rsidP="00F87041">
            <w:pPr>
              <w:keepNext/>
              <w:ind w:left="-108"/>
              <w:rPr>
                <w:rFonts w:ascii="Arial Narrow" w:hAnsi="Arial Narrow"/>
                <w:sz w:val="20"/>
              </w:rPr>
            </w:pPr>
          </w:p>
        </w:tc>
        <w:tc>
          <w:tcPr>
            <w:tcW w:w="592" w:type="pct"/>
            <w:tcBorders>
              <w:top w:val="single" w:sz="4" w:space="0" w:color="auto"/>
              <w:bottom w:val="single" w:sz="4" w:space="0" w:color="auto"/>
            </w:tcBorders>
            <w:hideMark/>
          </w:tcPr>
          <w:p w:rsidR="00D171E3" w:rsidRPr="0091481E" w:rsidRDefault="00D171E3" w:rsidP="00F87041">
            <w:pPr>
              <w:keepNext/>
              <w:rPr>
                <w:rFonts w:ascii="Arial Narrow" w:hAnsi="Arial Narrow"/>
                <w:sz w:val="20"/>
              </w:rPr>
            </w:pPr>
            <w:r w:rsidRPr="0091481E">
              <w:rPr>
                <w:rFonts w:ascii="Arial Narrow" w:hAnsi="Arial Narrow" w:cs="Arial"/>
                <w:sz w:val="20"/>
                <w:szCs w:val="20"/>
              </w:rPr>
              <w:t>Keytruda</w:t>
            </w:r>
            <w:r w:rsidRPr="0091481E">
              <w:rPr>
                <w:rFonts w:ascii="Arial Narrow" w:hAnsi="Arial Narrow" w:cs="Arial"/>
                <w:sz w:val="20"/>
                <w:szCs w:val="20"/>
                <w:vertAlign w:val="superscript"/>
              </w:rPr>
              <w:t>®</w:t>
            </w:r>
          </w:p>
          <w:p w:rsidR="00D171E3" w:rsidRPr="0091481E" w:rsidRDefault="00D171E3" w:rsidP="00F87041">
            <w:pPr>
              <w:keepNext/>
              <w:ind w:left="-108"/>
              <w:rPr>
                <w:rFonts w:ascii="Arial Narrow" w:hAnsi="Arial Narrow"/>
                <w:sz w:val="20"/>
              </w:rPr>
            </w:pPr>
          </w:p>
        </w:tc>
        <w:tc>
          <w:tcPr>
            <w:tcW w:w="1599" w:type="pct"/>
            <w:tcBorders>
              <w:top w:val="single" w:sz="4" w:space="0" w:color="auto"/>
              <w:bottom w:val="single" w:sz="4" w:space="0" w:color="auto"/>
            </w:tcBorders>
            <w:hideMark/>
          </w:tcPr>
          <w:p w:rsidR="00D171E3" w:rsidRPr="0091481E" w:rsidRDefault="00D171E3" w:rsidP="00F87041">
            <w:pPr>
              <w:keepNext/>
              <w:rPr>
                <w:rFonts w:ascii="Arial Narrow" w:hAnsi="Arial Narrow"/>
                <w:sz w:val="20"/>
              </w:rPr>
            </w:pPr>
            <w:r w:rsidRPr="0091481E">
              <w:rPr>
                <w:rFonts w:ascii="Arial Narrow" w:hAnsi="Arial Narrow" w:cs="Arial"/>
                <w:sz w:val="20"/>
                <w:szCs w:val="20"/>
              </w:rPr>
              <w:t>Merck, Sharp &amp; Dohme Australia Pty. Ltd.</w:t>
            </w:r>
          </w:p>
        </w:tc>
      </w:tr>
      <w:tr w:rsidR="00D171E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hideMark/>
          </w:tcPr>
          <w:p w:rsidR="00D171E3" w:rsidRPr="0091481E" w:rsidRDefault="00D171E3" w:rsidP="00811D48">
            <w:pPr>
              <w:rPr>
                <w:rFonts w:ascii="Arial Narrow" w:hAnsi="Arial Narrow"/>
                <w:b/>
                <w:sz w:val="20"/>
              </w:rPr>
            </w:pPr>
            <w:r w:rsidRPr="0091481E">
              <w:rPr>
                <w:rFonts w:ascii="Arial Narrow" w:hAnsi="Arial Narrow"/>
                <w:b/>
                <w:sz w:val="20"/>
              </w:rPr>
              <w:t>Category / Program</w:t>
            </w:r>
          </w:p>
        </w:tc>
        <w:tc>
          <w:tcPr>
            <w:tcW w:w="3570" w:type="pct"/>
            <w:gridSpan w:val="6"/>
            <w:tcBorders>
              <w:top w:val="single" w:sz="4" w:space="0" w:color="auto"/>
              <w:left w:val="single" w:sz="4" w:space="0" w:color="auto"/>
              <w:bottom w:val="single" w:sz="4" w:space="0" w:color="auto"/>
              <w:right w:val="single" w:sz="4" w:space="0" w:color="auto"/>
            </w:tcBorders>
          </w:tcPr>
          <w:p w:rsidR="00D171E3" w:rsidRPr="0091481E" w:rsidRDefault="00D171E3" w:rsidP="00F87041">
            <w:pPr>
              <w:rPr>
                <w:rFonts w:ascii="Arial Narrow" w:hAnsi="Arial Narrow"/>
                <w:sz w:val="20"/>
              </w:rPr>
            </w:pPr>
            <w:r w:rsidRPr="0091481E">
              <w:rPr>
                <w:rFonts w:ascii="Arial Narrow" w:hAnsi="Arial Narrow"/>
                <w:sz w:val="20"/>
              </w:rPr>
              <w:t>Section 100 – Efficient Funding of Chemotherapy</w:t>
            </w:r>
          </w:p>
        </w:tc>
      </w:tr>
      <w:tr w:rsidR="00D171E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D171E3" w:rsidRPr="0091481E" w:rsidRDefault="00D171E3" w:rsidP="00811D48">
            <w:pPr>
              <w:rPr>
                <w:rFonts w:ascii="Arial Narrow" w:hAnsi="Arial Narrow"/>
                <w:b/>
                <w:sz w:val="20"/>
              </w:rPr>
            </w:pPr>
            <w:r w:rsidRPr="0091481E">
              <w:rPr>
                <w:rFonts w:ascii="Arial Narrow" w:hAnsi="Arial Narrow"/>
                <w:b/>
                <w:sz w:val="20"/>
              </w:rPr>
              <w:t>Prescriber type:</w:t>
            </w:r>
          </w:p>
        </w:tc>
        <w:tc>
          <w:tcPr>
            <w:tcW w:w="3570" w:type="pct"/>
            <w:gridSpan w:val="6"/>
            <w:tcBorders>
              <w:top w:val="single" w:sz="4" w:space="0" w:color="auto"/>
              <w:left w:val="single" w:sz="4" w:space="0" w:color="auto"/>
              <w:bottom w:val="single" w:sz="4" w:space="0" w:color="auto"/>
              <w:right w:val="single" w:sz="4" w:space="0" w:color="auto"/>
            </w:tcBorders>
          </w:tcPr>
          <w:p w:rsidR="00D171E3" w:rsidRPr="0091481E" w:rsidRDefault="00D171E3" w:rsidP="00F87041">
            <w:pPr>
              <w:rPr>
                <w:rFonts w:ascii="Arial Narrow" w:hAnsi="Arial Narrow"/>
                <w:sz w:val="20"/>
              </w:rPr>
            </w:pPr>
            <w:r w:rsidRPr="0091481E">
              <w:rPr>
                <w:rFonts w:ascii="Arial Narrow" w:hAnsi="Arial Narrow"/>
                <w:sz w:val="20"/>
              </w:rPr>
              <w:fldChar w:fldCharType="begin">
                <w:ffData>
                  <w:name w:val=""/>
                  <w:enabled/>
                  <w:calcOnExit w:val="0"/>
                  <w:checkBox>
                    <w:sizeAuto/>
                    <w:default w:val="1"/>
                  </w:checkBox>
                </w:ffData>
              </w:fldChar>
            </w:r>
            <w:r w:rsidRPr="0091481E">
              <w:rPr>
                <w:rFonts w:ascii="Arial Narrow" w:hAnsi="Arial Narrow"/>
                <w:sz w:val="20"/>
              </w:rPr>
              <w:instrText xml:space="preserve"> FORMCHECKBOX </w:instrText>
            </w:r>
            <w:r w:rsidR="001B6E1B">
              <w:rPr>
                <w:rFonts w:ascii="Arial Narrow" w:hAnsi="Arial Narrow"/>
                <w:sz w:val="20"/>
              </w:rPr>
            </w:r>
            <w:r w:rsidR="001B6E1B">
              <w:rPr>
                <w:rFonts w:ascii="Arial Narrow" w:hAnsi="Arial Narrow"/>
                <w:sz w:val="20"/>
              </w:rPr>
              <w:fldChar w:fldCharType="separate"/>
            </w:r>
            <w:r w:rsidRPr="0091481E">
              <w:rPr>
                <w:rFonts w:ascii="Arial Narrow" w:hAnsi="Arial Narrow"/>
                <w:sz w:val="20"/>
              </w:rPr>
              <w:fldChar w:fldCharType="end"/>
            </w:r>
            <w:r w:rsidRPr="0091481E">
              <w:rPr>
                <w:rFonts w:ascii="Arial Narrow" w:hAnsi="Arial Narrow"/>
                <w:sz w:val="20"/>
              </w:rPr>
              <w:t>Medical Practitioners</w:t>
            </w:r>
          </w:p>
        </w:tc>
      </w:tr>
      <w:tr w:rsidR="00D171E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hideMark/>
          </w:tcPr>
          <w:p w:rsidR="00D171E3" w:rsidRPr="0091481E" w:rsidRDefault="00D171E3" w:rsidP="00F87041">
            <w:pPr>
              <w:snapToGrid w:val="0"/>
              <w:rPr>
                <w:rFonts w:ascii="Arial Narrow" w:hAnsi="Arial Narrow"/>
                <w:b/>
                <w:sz w:val="20"/>
              </w:rPr>
            </w:pPr>
            <w:r w:rsidRPr="0091481E">
              <w:rPr>
                <w:rFonts w:ascii="Arial Narrow" w:hAnsi="Arial Narrow"/>
                <w:b/>
                <w:sz w:val="20"/>
              </w:rPr>
              <w:t>PBS Indication:</w:t>
            </w:r>
          </w:p>
        </w:tc>
        <w:tc>
          <w:tcPr>
            <w:tcW w:w="3570" w:type="pct"/>
            <w:gridSpan w:val="6"/>
            <w:tcBorders>
              <w:top w:val="single" w:sz="4" w:space="0" w:color="auto"/>
              <w:left w:val="single" w:sz="4" w:space="0" w:color="auto"/>
              <w:bottom w:val="single" w:sz="4" w:space="0" w:color="auto"/>
              <w:right w:val="single" w:sz="4" w:space="0" w:color="auto"/>
            </w:tcBorders>
          </w:tcPr>
          <w:p w:rsidR="00D171E3" w:rsidRPr="0091481E" w:rsidRDefault="00D171E3" w:rsidP="00F87041">
            <w:pPr>
              <w:snapToGrid w:val="0"/>
              <w:rPr>
                <w:rFonts w:ascii="Arial Narrow" w:hAnsi="Arial Narrow"/>
                <w:sz w:val="20"/>
              </w:rPr>
            </w:pPr>
            <w:r w:rsidRPr="0091481E">
              <w:rPr>
                <w:rFonts w:ascii="Arial Narrow" w:hAnsi="Arial Narrow"/>
                <w:sz w:val="20"/>
              </w:rPr>
              <w:t>Unresectable</w:t>
            </w:r>
            <w:r w:rsidRPr="0091481E">
              <w:rPr>
                <w:rFonts w:ascii="Helvetica Neue" w:hAnsi="Helvetica Neue" w:cs="Helvetica Neue"/>
                <w:color w:val="1A1A1A"/>
                <w:sz w:val="26"/>
                <w:szCs w:val="26"/>
              </w:rPr>
              <w:t xml:space="preserve"> </w:t>
            </w:r>
            <w:r w:rsidRPr="0091481E">
              <w:rPr>
                <w:rFonts w:ascii="Arial Narrow" w:hAnsi="Arial Narrow"/>
                <w:sz w:val="20"/>
              </w:rPr>
              <w:t>Stage III or Stage IV malignant melanoma</w:t>
            </w:r>
          </w:p>
        </w:tc>
      </w:tr>
      <w:tr w:rsidR="00D171E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D171E3" w:rsidRPr="0091481E" w:rsidRDefault="00D171E3" w:rsidP="00F87041">
            <w:pPr>
              <w:rPr>
                <w:rFonts w:ascii="Arial Narrow" w:hAnsi="Arial Narrow"/>
                <w:b/>
                <w:sz w:val="20"/>
              </w:rPr>
            </w:pPr>
            <w:r w:rsidRPr="0091481E">
              <w:rPr>
                <w:rFonts w:ascii="Arial Narrow" w:hAnsi="Arial Narrow"/>
                <w:b/>
                <w:sz w:val="20"/>
              </w:rPr>
              <w:t>Treatment phase:</w:t>
            </w:r>
          </w:p>
        </w:tc>
        <w:tc>
          <w:tcPr>
            <w:tcW w:w="3570" w:type="pct"/>
            <w:gridSpan w:val="6"/>
            <w:tcBorders>
              <w:top w:val="single" w:sz="4" w:space="0" w:color="auto"/>
              <w:left w:val="single" w:sz="4" w:space="0" w:color="auto"/>
              <w:bottom w:val="single" w:sz="4" w:space="0" w:color="auto"/>
              <w:right w:val="single" w:sz="4" w:space="0" w:color="auto"/>
            </w:tcBorders>
          </w:tcPr>
          <w:p w:rsidR="00D171E3" w:rsidRPr="0091481E" w:rsidRDefault="00D171E3" w:rsidP="00F87041">
            <w:pPr>
              <w:snapToGrid w:val="0"/>
              <w:rPr>
                <w:rFonts w:ascii="Arial Narrow" w:hAnsi="Arial Narrow"/>
                <w:sz w:val="20"/>
              </w:rPr>
            </w:pPr>
            <w:r w:rsidRPr="0091481E">
              <w:rPr>
                <w:rFonts w:ascii="Arial Narrow" w:hAnsi="Arial Narrow"/>
                <w:sz w:val="20"/>
              </w:rPr>
              <w:t>Continuing treatment</w:t>
            </w:r>
          </w:p>
        </w:tc>
      </w:tr>
      <w:tr w:rsidR="00D171E3" w:rsidRPr="0091481E" w:rsidTr="00811D48">
        <w:trPr>
          <w:cantSplit/>
          <w:trHeight w:val="360"/>
        </w:trPr>
        <w:tc>
          <w:tcPr>
            <w:tcW w:w="1430" w:type="pct"/>
            <w:tcBorders>
              <w:top w:val="single" w:sz="4" w:space="0" w:color="auto"/>
              <w:left w:val="single" w:sz="4" w:space="0" w:color="auto"/>
              <w:bottom w:val="single" w:sz="4" w:space="0" w:color="auto"/>
              <w:right w:val="single" w:sz="4" w:space="0" w:color="auto"/>
            </w:tcBorders>
          </w:tcPr>
          <w:p w:rsidR="00D171E3" w:rsidRPr="0091481E" w:rsidRDefault="00D171E3" w:rsidP="00F87041">
            <w:pPr>
              <w:rPr>
                <w:rFonts w:ascii="Arial Narrow" w:hAnsi="Arial Narrow"/>
                <w:b/>
                <w:sz w:val="20"/>
              </w:rPr>
            </w:pPr>
            <w:r w:rsidRPr="0091481E">
              <w:rPr>
                <w:rFonts w:ascii="Arial Narrow" w:hAnsi="Arial Narrow"/>
                <w:b/>
                <w:sz w:val="20"/>
              </w:rPr>
              <w:t>Restriction Level / Method:</w:t>
            </w:r>
          </w:p>
        </w:tc>
        <w:tc>
          <w:tcPr>
            <w:tcW w:w="3570" w:type="pct"/>
            <w:gridSpan w:val="6"/>
            <w:tcBorders>
              <w:top w:val="single" w:sz="4" w:space="0" w:color="auto"/>
              <w:left w:val="single" w:sz="4" w:space="0" w:color="auto"/>
              <w:bottom w:val="single" w:sz="4" w:space="0" w:color="auto"/>
              <w:right w:val="single" w:sz="4" w:space="0" w:color="auto"/>
            </w:tcBorders>
          </w:tcPr>
          <w:p w:rsidR="00D171E3" w:rsidRPr="0091481E" w:rsidRDefault="00D171E3" w:rsidP="00811D48">
            <w:pPr>
              <w:rPr>
                <w:rFonts w:ascii="Arial Narrow" w:hAnsi="Arial Narrow"/>
                <w:sz w:val="20"/>
              </w:rPr>
            </w:pPr>
            <w:r w:rsidRPr="0091481E">
              <w:rPr>
                <w:rFonts w:ascii="Arial Narrow" w:hAnsi="Arial Narrow"/>
                <w:sz w:val="20"/>
              </w:rPr>
              <w:fldChar w:fldCharType="begin">
                <w:ffData>
                  <w:name w:val=""/>
                  <w:enabled/>
                  <w:calcOnExit w:val="0"/>
                  <w:checkBox>
                    <w:sizeAuto/>
                    <w:default w:val="1"/>
                  </w:checkBox>
                </w:ffData>
              </w:fldChar>
            </w:r>
            <w:r w:rsidRPr="0091481E">
              <w:rPr>
                <w:rFonts w:ascii="Arial Narrow" w:hAnsi="Arial Narrow"/>
                <w:sz w:val="20"/>
              </w:rPr>
              <w:instrText xml:space="preserve"> FORMCHECKBOX </w:instrText>
            </w:r>
            <w:r w:rsidR="001B6E1B">
              <w:rPr>
                <w:rFonts w:ascii="Arial Narrow" w:hAnsi="Arial Narrow"/>
                <w:sz w:val="20"/>
              </w:rPr>
            </w:r>
            <w:r w:rsidR="001B6E1B">
              <w:rPr>
                <w:rFonts w:ascii="Arial Narrow" w:hAnsi="Arial Narrow"/>
                <w:sz w:val="20"/>
              </w:rPr>
              <w:fldChar w:fldCharType="separate"/>
            </w:r>
            <w:r w:rsidRPr="0091481E">
              <w:rPr>
                <w:rFonts w:ascii="Arial Narrow" w:hAnsi="Arial Narrow"/>
                <w:sz w:val="20"/>
              </w:rPr>
              <w:fldChar w:fldCharType="end"/>
            </w:r>
            <w:r w:rsidRPr="0091481E">
              <w:rPr>
                <w:rFonts w:ascii="Arial Narrow" w:hAnsi="Arial Narrow"/>
                <w:sz w:val="20"/>
              </w:rPr>
              <w:t>Authority Required - Streamlined</w:t>
            </w:r>
          </w:p>
        </w:tc>
      </w:tr>
      <w:tr w:rsidR="00D171E3" w:rsidRPr="0091481E" w:rsidTr="00811D48">
        <w:trPr>
          <w:trHeight w:val="360"/>
        </w:trPr>
        <w:tc>
          <w:tcPr>
            <w:tcW w:w="1430" w:type="pct"/>
            <w:tcBorders>
              <w:top w:val="single" w:sz="4" w:space="0" w:color="auto"/>
              <w:left w:val="single" w:sz="4" w:space="0" w:color="auto"/>
              <w:bottom w:val="single" w:sz="4" w:space="0" w:color="auto"/>
              <w:right w:val="single" w:sz="4" w:space="0" w:color="auto"/>
            </w:tcBorders>
          </w:tcPr>
          <w:p w:rsidR="00D171E3" w:rsidRPr="0091481E" w:rsidRDefault="00D171E3" w:rsidP="00811D48">
            <w:pPr>
              <w:rPr>
                <w:rFonts w:ascii="Arial Narrow" w:hAnsi="Arial Narrow"/>
                <w:sz w:val="20"/>
              </w:rPr>
            </w:pPr>
            <w:r w:rsidRPr="0091481E">
              <w:rPr>
                <w:rFonts w:ascii="Arial Narrow" w:hAnsi="Arial Narrow"/>
                <w:b/>
                <w:sz w:val="20"/>
              </w:rPr>
              <w:t>Clinical criteria:</w:t>
            </w:r>
          </w:p>
        </w:tc>
        <w:tc>
          <w:tcPr>
            <w:tcW w:w="3570" w:type="pct"/>
            <w:gridSpan w:val="6"/>
            <w:tcBorders>
              <w:top w:val="single" w:sz="4" w:space="0" w:color="auto"/>
              <w:left w:val="single" w:sz="4" w:space="0" w:color="auto"/>
              <w:bottom w:val="single" w:sz="4" w:space="0" w:color="auto"/>
              <w:right w:val="single" w:sz="4" w:space="0" w:color="auto"/>
            </w:tcBorders>
          </w:tcPr>
          <w:p w:rsidR="00D171E3" w:rsidRPr="0091481E" w:rsidRDefault="00D171E3" w:rsidP="00D171E3">
            <w:pPr>
              <w:rPr>
                <w:rFonts w:ascii="Arial Narrow" w:hAnsi="Arial Narrow"/>
                <w:sz w:val="20"/>
              </w:rPr>
            </w:pPr>
            <w:r w:rsidRPr="0091481E">
              <w:rPr>
                <w:rFonts w:ascii="Arial Narrow" w:hAnsi="Arial Narrow"/>
                <w:sz w:val="20"/>
              </w:rPr>
              <w:t>The treatment must be the sole PBS-subsidised therapy for this condition,</w:t>
            </w:r>
          </w:p>
          <w:p w:rsidR="00D171E3" w:rsidRPr="0091481E" w:rsidRDefault="00D171E3" w:rsidP="00D171E3">
            <w:pPr>
              <w:rPr>
                <w:rFonts w:ascii="Arial Narrow" w:hAnsi="Arial Narrow"/>
                <w:sz w:val="20"/>
              </w:rPr>
            </w:pPr>
            <w:r w:rsidRPr="0091481E">
              <w:rPr>
                <w:rFonts w:ascii="Arial Narrow" w:hAnsi="Arial Narrow"/>
                <w:sz w:val="20"/>
              </w:rPr>
              <w:t>AND</w:t>
            </w:r>
          </w:p>
          <w:p w:rsidR="00D171E3" w:rsidRPr="0091481E" w:rsidRDefault="00D171E3" w:rsidP="00D171E3">
            <w:pPr>
              <w:rPr>
                <w:rFonts w:ascii="Arial Narrow" w:hAnsi="Arial Narrow"/>
                <w:sz w:val="20"/>
              </w:rPr>
            </w:pPr>
            <w:r w:rsidRPr="0091481E">
              <w:rPr>
                <w:rFonts w:ascii="Arial Narrow" w:hAnsi="Arial Narrow"/>
                <w:sz w:val="20"/>
              </w:rPr>
              <w:t>Patient must have previously been issued with an authority prescription fo</w:t>
            </w:r>
            <w:r w:rsidR="00FB702D">
              <w:rPr>
                <w:rFonts w:ascii="Arial Narrow" w:hAnsi="Arial Narrow"/>
                <w:sz w:val="20"/>
              </w:rPr>
              <w:t>r this drug for this condition,</w:t>
            </w:r>
          </w:p>
          <w:p w:rsidR="00D171E3" w:rsidRPr="0091481E" w:rsidRDefault="00D171E3" w:rsidP="00D171E3">
            <w:pPr>
              <w:rPr>
                <w:rFonts w:ascii="Arial Narrow" w:hAnsi="Arial Narrow"/>
                <w:sz w:val="20"/>
              </w:rPr>
            </w:pPr>
            <w:r w:rsidRPr="0091481E">
              <w:rPr>
                <w:rFonts w:ascii="Arial Narrow" w:hAnsi="Arial Narrow"/>
                <w:sz w:val="20"/>
              </w:rPr>
              <w:t>AND</w:t>
            </w:r>
          </w:p>
          <w:p w:rsidR="00D171E3" w:rsidRPr="0091481E" w:rsidRDefault="00D171E3" w:rsidP="00D171E3">
            <w:pPr>
              <w:rPr>
                <w:rFonts w:ascii="Arial Narrow" w:hAnsi="Arial Narrow"/>
                <w:sz w:val="20"/>
              </w:rPr>
            </w:pPr>
            <w:r w:rsidRPr="0091481E">
              <w:rPr>
                <w:rFonts w:ascii="Arial Narrow" w:hAnsi="Arial Narrow"/>
                <w:sz w:val="20"/>
              </w:rPr>
              <w:t>Patient must have stable or responding disease,</w:t>
            </w:r>
          </w:p>
          <w:p w:rsidR="00D171E3" w:rsidRPr="0091481E" w:rsidRDefault="00D171E3" w:rsidP="00D171E3">
            <w:pPr>
              <w:rPr>
                <w:rFonts w:ascii="Arial Narrow" w:hAnsi="Arial Narrow"/>
                <w:sz w:val="20"/>
              </w:rPr>
            </w:pPr>
            <w:r w:rsidRPr="0091481E">
              <w:rPr>
                <w:rFonts w:ascii="Arial Narrow" w:hAnsi="Arial Narrow"/>
                <w:sz w:val="20"/>
              </w:rPr>
              <w:t>AND</w:t>
            </w:r>
          </w:p>
          <w:p w:rsidR="00D171E3" w:rsidRPr="0091481E" w:rsidRDefault="00D171E3" w:rsidP="00D171E3">
            <w:pPr>
              <w:rPr>
                <w:rFonts w:ascii="Helvetica Neue" w:hAnsi="Helvetica Neue" w:cs="Helvetica Neue"/>
                <w:color w:val="1A1A1A"/>
                <w:sz w:val="26"/>
                <w:szCs w:val="26"/>
              </w:rPr>
            </w:pPr>
            <w:r w:rsidRPr="0091481E">
              <w:rPr>
                <w:rFonts w:ascii="Arial Narrow" w:hAnsi="Arial Narrow"/>
                <w:sz w:val="20"/>
              </w:rPr>
              <w:t>The treatment must not exceed a maximum dose of 2 mg per kg every 3 weeks.</w:t>
            </w:r>
          </w:p>
        </w:tc>
      </w:tr>
    </w:tbl>
    <w:p w:rsidR="00534AA3" w:rsidRPr="0091481E" w:rsidRDefault="00534AA3" w:rsidP="00D10D58">
      <w:pPr>
        <w:pStyle w:val="ListParagraph"/>
        <w:ind w:left="360"/>
        <w:rPr>
          <w:rFonts w:ascii="Calibri" w:hAnsi="Calibri" w:cs="Calibri"/>
          <w:b/>
        </w:rPr>
      </w:pPr>
    </w:p>
    <w:p w:rsidR="00783CB7" w:rsidRPr="001C5A15" w:rsidRDefault="00783CB7" w:rsidP="001C5A15">
      <w:pPr>
        <w:pStyle w:val="PBACHeading1"/>
        <w:rPr>
          <w:bCs/>
        </w:rPr>
      </w:pPr>
      <w:r w:rsidRPr="001C5A15">
        <w:rPr>
          <w:bCs/>
        </w:rPr>
        <w:t>Context for Decision</w:t>
      </w:r>
    </w:p>
    <w:p w:rsidR="00783CB7" w:rsidRDefault="00783CB7" w:rsidP="00783CB7">
      <w:pPr>
        <w:ind w:left="426"/>
      </w:pPr>
    </w:p>
    <w:p w:rsidR="00783CB7" w:rsidRPr="00783CB7" w:rsidRDefault="00783CB7" w:rsidP="001C5A15">
      <w:pPr>
        <w:ind w:left="709"/>
        <w:jc w:val="both"/>
        <w:rPr>
          <w:rFonts w:ascii="Arial" w:hAnsi="Arial" w:cs="Arial"/>
          <w:sz w:val="22"/>
          <w:szCs w:val="22"/>
        </w:rPr>
      </w:pPr>
      <w:r w:rsidRPr="00783CB7">
        <w:rPr>
          <w:rFonts w:ascii="Arial"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83CB7" w:rsidRDefault="00783CB7" w:rsidP="00783CB7">
      <w:pPr>
        <w:ind w:left="426"/>
      </w:pPr>
    </w:p>
    <w:p w:rsidR="00783CB7" w:rsidRPr="001C5A15" w:rsidRDefault="00783CB7" w:rsidP="001C5A15">
      <w:pPr>
        <w:pStyle w:val="PBACHeading1"/>
        <w:rPr>
          <w:bCs/>
        </w:rPr>
      </w:pPr>
      <w:r w:rsidRPr="001C5A15">
        <w:rPr>
          <w:bCs/>
        </w:rPr>
        <w:t>Sponsor’s Comment</w:t>
      </w:r>
    </w:p>
    <w:p w:rsidR="00783CB7" w:rsidRPr="00783CB7" w:rsidRDefault="00783CB7" w:rsidP="002A707E">
      <w:pPr>
        <w:jc w:val="both"/>
        <w:rPr>
          <w:rFonts w:ascii="Arial" w:hAnsi="Arial" w:cs="Arial"/>
          <w:sz w:val="22"/>
          <w:szCs w:val="22"/>
        </w:rPr>
      </w:pPr>
    </w:p>
    <w:p w:rsidR="00783CB7" w:rsidRPr="00783CB7" w:rsidRDefault="00783CB7" w:rsidP="001C5A15">
      <w:pPr>
        <w:ind w:left="709"/>
        <w:jc w:val="both"/>
        <w:rPr>
          <w:rFonts w:ascii="Arial" w:hAnsi="Arial" w:cs="Arial"/>
          <w:sz w:val="22"/>
          <w:szCs w:val="22"/>
        </w:rPr>
      </w:pPr>
      <w:r w:rsidRPr="00783CB7">
        <w:rPr>
          <w:rFonts w:ascii="Arial" w:hAnsi="Arial" w:cs="Arial"/>
          <w:sz w:val="22"/>
          <w:szCs w:val="22"/>
        </w:rPr>
        <w:t>The sponsor had no comment.</w:t>
      </w:r>
    </w:p>
    <w:p w:rsidR="00F64CC1" w:rsidRPr="0091481E" w:rsidRDefault="00F64CC1" w:rsidP="00F64CC1">
      <w:pPr>
        <w:jc w:val="both"/>
        <w:rPr>
          <w:rFonts w:ascii="Arial" w:hAnsi="Arial"/>
          <w:sz w:val="22"/>
          <w:szCs w:val="22"/>
        </w:rPr>
      </w:pPr>
    </w:p>
    <w:sectPr w:rsidR="00F64CC1" w:rsidRPr="0091481E"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BFC" w:rsidRDefault="00B92BFC">
      <w:r>
        <w:separator/>
      </w:r>
    </w:p>
    <w:p w:rsidR="00B92BFC" w:rsidRDefault="00B92BFC"/>
  </w:endnote>
  <w:endnote w:type="continuationSeparator" w:id="0">
    <w:p w:rsidR="00B92BFC" w:rsidRDefault="00B92BFC">
      <w:r>
        <w:continuationSeparator/>
      </w:r>
    </w:p>
    <w:p w:rsidR="00B92BFC" w:rsidRDefault="00B92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91ADE" w:rsidTr="005A3173">
      <w:trPr>
        <w:trHeight w:val="151"/>
      </w:trPr>
      <w:tc>
        <w:tcPr>
          <w:tcW w:w="2250" w:type="pct"/>
          <w:tcBorders>
            <w:top w:val="nil"/>
            <w:left w:val="nil"/>
            <w:bottom w:val="single" w:sz="4" w:space="0" w:color="4F81BD"/>
            <w:right w:val="nil"/>
          </w:tcBorders>
        </w:tcPr>
        <w:p w:rsidR="00591ADE" w:rsidRPr="005A3173" w:rsidRDefault="00591AD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91ADE" w:rsidRPr="005A3173" w:rsidRDefault="00591AD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91ADE" w:rsidRPr="005A3173" w:rsidRDefault="00591ADE" w:rsidP="005A3173">
          <w:pPr>
            <w:pStyle w:val="Header"/>
            <w:spacing w:line="276" w:lineRule="auto"/>
            <w:rPr>
              <w:rFonts w:ascii="Calibri" w:eastAsia="MS Gothic" w:hAnsi="Calibri"/>
              <w:b/>
              <w:bCs/>
              <w:color w:val="4F81BD"/>
            </w:rPr>
          </w:pPr>
        </w:p>
      </w:tc>
    </w:tr>
    <w:tr w:rsidR="00591ADE" w:rsidTr="005A3173">
      <w:trPr>
        <w:trHeight w:val="150"/>
      </w:trPr>
      <w:tc>
        <w:tcPr>
          <w:tcW w:w="2250" w:type="pct"/>
          <w:tcBorders>
            <w:top w:val="single" w:sz="4" w:space="0" w:color="4F81BD"/>
            <w:left w:val="nil"/>
            <w:bottom w:val="nil"/>
            <w:right w:val="nil"/>
          </w:tcBorders>
        </w:tcPr>
        <w:p w:rsidR="00591ADE" w:rsidRPr="005A3173" w:rsidRDefault="00591ADE" w:rsidP="005A3173">
          <w:pPr>
            <w:pStyle w:val="Header"/>
            <w:spacing w:line="276" w:lineRule="auto"/>
            <w:rPr>
              <w:rFonts w:ascii="Calibri" w:eastAsia="MS Gothic" w:hAnsi="Calibri"/>
              <w:b/>
              <w:bCs/>
              <w:color w:val="4F81BD"/>
            </w:rPr>
          </w:pPr>
        </w:p>
      </w:tc>
      <w:tc>
        <w:tcPr>
          <w:tcW w:w="0" w:type="auto"/>
          <w:vMerge/>
          <w:vAlign w:val="center"/>
          <w:hideMark/>
        </w:tcPr>
        <w:p w:rsidR="00591ADE" w:rsidRPr="005A3173" w:rsidRDefault="00591ADE" w:rsidP="005A3173">
          <w:pPr>
            <w:rPr>
              <w:rFonts w:ascii="Calibri" w:hAnsi="Calibri"/>
              <w:color w:val="365F91"/>
              <w:sz w:val="22"/>
              <w:szCs w:val="22"/>
            </w:rPr>
          </w:pPr>
        </w:p>
      </w:tc>
      <w:tc>
        <w:tcPr>
          <w:tcW w:w="2250" w:type="pct"/>
          <w:tcBorders>
            <w:top w:val="single" w:sz="4" w:space="0" w:color="4F81BD"/>
            <w:left w:val="nil"/>
            <w:bottom w:val="nil"/>
            <w:right w:val="nil"/>
          </w:tcBorders>
        </w:tcPr>
        <w:p w:rsidR="00591ADE" w:rsidRPr="005A3173" w:rsidRDefault="00591ADE" w:rsidP="005A3173">
          <w:pPr>
            <w:pStyle w:val="Header"/>
            <w:spacing w:line="276" w:lineRule="auto"/>
            <w:rPr>
              <w:rFonts w:ascii="Calibri" w:eastAsia="MS Gothic" w:hAnsi="Calibri"/>
              <w:b/>
              <w:bCs/>
              <w:color w:val="4F81BD"/>
            </w:rPr>
          </w:pPr>
        </w:p>
      </w:tc>
    </w:tr>
  </w:tbl>
  <w:p w:rsidR="00591ADE" w:rsidRDefault="00591AD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59C1">
      <w:rPr>
        <w:rStyle w:val="PageNumber"/>
        <w:noProof/>
      </w:rPr>
      <w:t>6</w:t>
    </w:r>
    <w:r>
      <w:rPr>
        <w:rStyle w:val="PageNumber"/>
      </w:rPr>
      <w:fldChar w:fldCharType="end"/>
    </w:r>
  </w:p>
  <w:p w:rsidR="00591ADE" w:rsidRDefault="00591ADE">
    <w:pPr>
      <w:pStyle w:val="Footer"/>
    </w:pPr>
  </w:p>
  <w:p w:rsidR="00591ADE" w:rsidRDefault="00591A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721827"/>
      <w:docPartObj>
        <w:docPartGallery w:val="Page Numbers (Bottom of Page)"/>
        <w:docPartUnique/>
      </w:docPartObj>
    </w:sdtPr>
    <w:sdtEndPr>
      <w:rPr>
        <w:noProof/>
      </w:rPr>
    </w:sdtEndPr>
    <w:sdtContent>
      <w:p w:rsidR="000A78C0" w:rsidRDefault="000A78C0">
        <w:pPr>
          <w:pStyle w:val="Footer"/>
          <w:jc w:val="center"/>
        </w:pPr>
        <w:r>
          <w:fldChar w:fldCharType="begin"/>
        </w:r>
        <w:r>
          <w:instrText xml:space="preserve"> PAGE   \* MERGEFORMAT </w:instrText>
        </w:r>
        <w:r>
          <w:fldChar w:fldCharType="separate"/>
        </w:r>
        <w:r w:rsidR="001B6E1B">
          <w:rPr>
            <w:noProof/>
          </w:rPr>
          <w:t>1</w:t>
        </w:r>
        <w:r>
          <w:rPr>
            <w:noProof/>
          </w:rPr>
          <w:fldChar w:fldCharType="end"/>
        </w:r>
      </w:p>
    </w:sdtContent>
  </w:sdt>
  <w:p w:rsidR="00591ADE" w:rsidRDefault="00591ADE"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91ADE" w:rsidTr="005A3173">
      <w:trPr>
        <w:trHeight w:val="151"/>
      </w:trPr>
      <w:tc>
        <w:tcPr>
          <w:tcW w:w="2250" w:type="pct"/>
          <w:tcBorders>
            <w:top w:val="nil"/>
            <w:left w:val="nil"/>
            <w:bottom w:val="single" w:sz="4" w:space="0" w:color="4F81BD"/>
            <w:right w:val="nil"/>
          </w:tcBorders>
        </w:tcPr>
        <w:p w:rsidR="00591ADE" w:rsidRPr="005A3173" w:rsidRDefault="00591AD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91ADE" w:rsidRPr="005A3173" w:rsidRDefault="00591AD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91ADE" w:rsidRPr="005A3173" w:rsidRDefault="00591ADE" w:rsidP="005A3173">
          <w:pPr>
            <w:pStyle w:val="Header"/>
            <w:spacing w:line="276" w:lineRule="auto"/>
            <w:rPr>
              <w:rFonts w:ascii="Calibri" w:eastAsia="MS Gothic" w:hAnsi="Calibri"/>
              <w:b/>
              <w:bCs/>
              <w:color w:val="4F81BD"/>
            </w:rPr>
          </w:pPr>
        </w:p>
      </w:tc>
    </w:tr>
    <w:tr w:rsidR="00591ADE" w:rsidTr="005A3173">
      <w:trPr>
        <w:trHeight w:val="150"/>
      </w:trPr>
      <w:tc>
        <w:tcPr>
          <w:tcW w:w="2250" w:type="pct"/>
          <w:tcBorders>
            <w:top w:val="single" w:sz="4" w:space="0" w:color="4F81BD"/>
            <w:left w:val="nil"/>
            <w:bottom w:val="nil"/>
            <w:right w:val="nil"/>
          </w:tcBorders>
        </w:tcPr>
        <w:p w:rsidR="00591ADE" w:rsidRPr="005A3173" w:rsidRDefault="00591ADE" w:rsidP="005A3173">
          <w:pPr>
            <w:pStyle w:val="Header"/>
            <w:spacing w:line="276" w:lineRule="auto"/>
            <w:rPr>
              <w:rFonts w:ascii="Calibri" w:eastAsia="MS Gothic" w:hAnsi="Calibri"/>
              <w:b/>
              <w:bCs/>
              <w:color w:val="4F81BD"/>
            </w:rPr>
          </w:pPr>
        </w:p>
      </w:tc>
      <w:tc>
        <w:tcPr>
          <w:tcW w:w="0" w:type="auto"/>
          <w:vMerge/>
          <w:vAlign w:val="center"/>
          <w:hideMark/>
        </w:tcPr>
        <w:p w:rsidR="00591ADE" w:rsidRPr="005A3173" w:rsidRDefault="00591ADE" w:rsidP="005A3173">
          <w:pPr>
            <w:rPr>
              <w:rFonts w:ascii="Calibri" w:hAnsi="Calibri"/>
              <w:color w:val="365F91"/>
              <w:sz w:val="22"/>
              <w:szCs w:val="22"/>
            </w:rPr>
          </w:pPr>
        </w:p>
      </w:tc>
      <w:tc>
        <w:tcPr>
          <w:tcW w:w="2250" w:type="pct"/>
          <w:tcBorders>
            <w:top w:val="single" w:sz="4" w:space="0" w:color="4F81BD"/>
            <w:left w:val="nil"/>
            <w:bottom w:val="nil"/>
            <w:right w:val="nil"/>
          </w:tcBorders>
        </w:tcPr>
        <w:p w:rsidR="00591ADE" w:rsidRPr="005A3173" w:rsidRDefault="00591AD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91ADE" w:rsidTr="005A3173">
      <w:trPr>
        <w:trHeight w:val="151"/>
      </w:trPr>
      <w:tc>
        <w:tcPr>
          <w:tcW w:w="2250" w:type="pct"/>
          <w:tcBorders>
            <w:top w:val="nil"/>
            <w:left w:val="nil"/>
            <w:bottom w:val="single" w:sz="4" w:space="0" w:color="4F81BD"/>
            <w:right w:val="nil"/>
          </w:tcBorders>
        </w:tcPr>
        <w:p w:rsidR="00591ADE" w:rsidRPr="005A3173" w:rsidRDefault="00591AD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91ADE" w:rsidRPr="005A3173" w:rsidRDefault="00591AD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91ADE" w:rsidRPr="005A3173" w:rsidRDefault="00591ADE" w:rsidP="005A3173">
          <w:pPr>
            <w:pStyle w:val="Header"/>
            <w:spacing w:line="276" w:lineRule="auto"/>
            <w:rPr>
              <w:rFonts w:ascii="Calibri" w:eastAsia="MS Gothic" w:hAnsi="Calibri"/>
              <w:b/>
              <w:bCs/>
              <w:color w:val="4F81BD"/>
            </w:rPr>
          </w:pPr>
        </w:p>
      </w:tc>
    </w:tr>
    <w:tr w:rsidR="00591ADE" w:rsidTr="005A3173">
      <w:trPr>
        <w:trHeight w:val="150"/>
      </w:trPr>
      <w:tc>
        <w:tcPr>
          <w:tcW w:w="2250" w:type="pct"/>
          <w:tcBorders>
            <w:top w:val="single" w:sz="4" w:space="0" w:color="4F81BD"/>
            <w:left w:val="nil"/>
            <w:bottom w:val="nil"/>
            <w:right w:val="nil"/>
          </w:tcBorders>
        </w:tcPr>
        <w:p w:rsidR="00591ADE" w:rsidRPr="005A3173" w:rsidRDefault="00591ADE" w:rsidP="005A3173">
          <w:pPr>
            <w:pStyle w:val="Header"/>
            <w:spacing w:line="276" w:lineRule="auto"/>
            <w:rPr>
              <w:rFonts w:ascii="Calibri" w:eastAsia="MS Gothic" w:hAnsi="Calibri"/>
              <w:b/>
              <w:bCs/>
              <w:color w:val="4F81BD"/>
            </w:rPr>
          </w:pPr>
        </w:p>
      </w:tc>
      <w:tc>
        <w:tcPr>
          <w:tcW w:w="0" w:type="auto"/>
          <w:vMerge/>
          <w:vAlign w:val="center"/>
          <w:hideMark/>
        </w:tcPr>
        <w:p w:rsidR="00591ADE" w:rsidRPr="005A3173" w:rsidRDefault="00591ADE" w:rsidP="005A3173">
          <w:pPr>
            <w:rPr>
              <w:rFonts w:ascii="Calibri" w:hAnsi="Calibri"/>
              <w:color w:val="365F91"/>
              <w:sz w:val="22"/>
              <w:szCs w:val="22"/>
            </w:rPr>
          </w:pPr>
        </w:p>
      </w:tc>
      <w:tc>
        <w:tcPr>
          <w:tcW w:w="2250" w:type="pct"/>
          <w:tcBorders>
            <w:top w:val="single" w:sz="4" w:space="0" w:color="4F81BD"/>
            <w:left w:val="nil"/>
            <w:bottom w:val="nil"/>
            <w:right w:val="nil"/>
          </w:tcBorders>
        </w:tcPr>
        <w:p w:rsidR="00591ADE" w:rsidRPr="005A3173" w:rsidRDefault="00591ADE" w:rsidP="005A3173">
          <w:pPr>
            <w:pStyle w:val="Header"/>
            <w:spacing w:line="276" w:lineRule="auto"/>
            <w:rPr>
              <w:rFonts w:ascii="Calibri" w:eastAsia="MS Gothic" w:hAnsi="Calibri"/>
              <w:b/>
              <w:bCs/>
              <w:color w:val="4F81BD"/>
            </w:rPr>
          </w:pPr>
        </w:p>
      </w:tc>
    </w:tr>
  </w:tbl>
  <w:p w:rsidR="00591ADE" w:rsidRPr="007C0F57" w:rsidRDefault="00591AD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5659C1">
      <w:rPr>
        <w:rStyle w:val="PageNumber"/>
        <w:noProof/>
      </w:rPr>
      <w:t>6</w:t>
    </w:r>
    <w:r>
      <w:rPr>
        <w:rStyle w:val="PageNumber"/>
      </w:rPr>
      <w:fldChar w:fldCharType="end"/>
    </w:r>
    <w:r w:rsidRPr="007C0F57">
      <w:rPr>
        <w:b/>
        <w:i/>
        <w:sz w:val="20"/>
        <w:szCs w:val="20"/>
      </w:rPr>
      <w:t>BAC Meeting</w:t>
    </w:r>
  </w:p>
  <w:p w:rsidR="00591ADE" w:rsidRPr="007C0F57" w:rsidRDefault="00591ADE" w:rsidP="007C0F57">
    <w:pPr>
      <w:pStyle w:val="Footer"/>
      <w:jc w:val="center"/>
      <w:rPr>
        <w:b/>
        <w:i/>
        <w:sz w:val="20"/>
        <w:szCs w:val="20"/>
      </w:rPr>
    </w:pPr>
    <w:r w:rsidRPr="007C0F57">
      <w:rPr>
        <w:b/>
        <w:i/>
        <w:sz w:val="20"/>
        <w:szCs w:val="20"/>
      </w:rPr>
      <w:t>Commercial-in-Confidence</w:t>
    </w:r>
  </w:p>
  <w:p w:rsidR="00591ADE" w:rsidRDefault="00591A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BFC" w:rsidRDefault="00B92BFC">
      <w:r>
        <w:separator/>
      </w:r>
    </w:p>
    <w:p w:rsidR="00B92BFC" w:rsidRDefault="00B92BFC"/>
  </w:footnote>
  <w:footnote w:type="continuationSeparator" w:id="0">
    <w:p w:rsidR="00B92BFC" w:rsidRDefault="00B92BFC">
      <w:r>
        <w:continuationSeparator/>
      </w:r>
    </w:p>
    <w:p w:rsidR="00B92BFC" w:rsidRDefault="00B92B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91ADE" w:rsidRPr="008E0D90" w:rsidTr="00A06225">
      <w:trPr>
        <w:trHeight w:val="151"/>
      </w:trPr>
      <w:tc>
        <w:tcPr>
          <w:tcW w:w="2389" w:type="pct"/>
          <w:tcBorders>
            <w:top w:val="nil"/>
            <w:left w:val="nil"/>
            <w:bottom w:val="single" w:sz="4" w:space="0" w:color="4F81BD"/>
            <w:right w:val="nil"/>
          </w:tcBorders>
        </w:tcPr>
        <w:p w:rsidR="00591ADE" w:rsidRPr="00A06225" w:rsidRDefault="00591ADE">
          <w:pPr>
            <w:pStyle w:val="Header"/>
            <w:spacing w:line="276" w:lineRule="auto"/>
            <w:rPr>
              <w:rFonts w:ascii="Cambria" w:eastAsia="MS Gothic" w:hAnsi="Cambria"/>
              <w:b/>
              <w:bCs/>
              <w:color w:val="4F81BD"/>
            </w:rPr>
          </w:pPr>
        </w:p>
      </w:tc>
      <w:tc>
        <w:tcPr>
          <w:tcW w:w="333" w:type="pct"/>
          <w:vMerge w:val="restart"/>
          <w:noWrap/>
          <w:vAlign w:val="center"/>
          <w:hideMark/>
        </w:tcPr>
        <w:p w:rsidR="00591ADE" w:rsidRPr="00A06225" w:rsidRDefault="00591AD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91ADE" w:rsidRPr="00A06225" w:rsidRDefault="00591ADE">
          <w:pPr>
            <w:pStyle w:val="Header"/>
            <w:spacing w:line="276" w:lineRule="auto"/>
            <w:rPr>
              <w:rFonts w:ascii="Cambria" w:eastAsia="MS Gothic" w:hAnsi="Cambria"/>
              <w:b/>
              <w:bCs/>
              <w:color w:val="4F81BD"/>
            </w:rPr>
          </w:pPr>
        </w:p>
      </w:tc>
    </w:tr>
    <w:tr w:rsidR="00591ADE" w:rsidRPr="008E0D90" w:rsidTr="00A06225">
      <w:trPr>
        <w:trHeight w:val="150"/>
      </w:trPr>
      <w:tc>
        <w:tcPr>
          <w:tcW w:w="2389" w:type="pct"/>
          <w:tcBorders>
            <w:top w:val="single" w:sz="4" w:space="0" w:color="4F81BD"/>
            <w:left w:val="nil"/>
            <w:bottom w:val="nil"/>
            <w:right w:val="nil"/>
          </w:tcBorders>
        </w:tcPr>
        <w:p w:rsidR="00591ADE" w:rsidRPr="00A06225" w:rsidRDefault="00591ADE">
          <w:pPr>
            <w:pStyle w:val="Header"/>
            <w:spacing w:line="276" w:lineRule="auto"/>
            <w:rPr>
              <w:rFonts w:ascii="Cambria" w:eastAsia="MS Gothic" w:hAnsi="Cambria"/>
              <w:b/>
              <w:bCs/>
              <w:color w:val="4F81BD"/>
            </w:rPr>
          </w:pPr>
        </w:p>
      </w:tc>
      <w:tc>
        <w:tcPr>
          <w:tcW w:w="0" w:type="auto"/>
          <w:vMerge/>
          <w:vAlign w:val="center"/>
          <w:hideMark/>
        </w:tcPr>
        <w:p w:rsidR="00591ADE" w:rsidRPr="00A06225" w:rsidRDefault="00591ADE">
          <w:pPr>
            <w:rPr>
              <w:rFonts w:ascii="Cambria" w:hAnsi="Cambria"/>
              <w:color w:val="4F81BD"/>
              <w:sz w:val="22"/>
              <w:szCs w:val="22"/>
            </w:rPr>
          </w:pPr>
        </w:p>
      </w:tc>
      <w:tc>
        <w:tcPr>
          <w:tcW w:w="2278" w:type="pct"/>
          <w:tcBorders>
            <w:top w:val="single" w:sz="4" w:space="0" w:color="4F81BD"/>
            <w:left w:val="nil"/>
            <w:bottom w:val="nil"/>
            <w:right w:val="nil"/>
          </w:tcBorders>
        </w:tcPr>
        <w:p w:rsidR="00591ADE" w:rsidRPr="00A06225" w:rsidRDefault="00591ADE">
          <w:pPr>
            <w:pStyle w:val="Header"/>
            <w:spacing w:line="276" w:lineRule="auto"/>
            <w:rPr>
              <w:rFonts w:ascii="Cambria" w:eastAsia="MS Gothic" w:hAnsi="Cambria"/>
              <w:b/>
              <w:bCs/>
              <w:color w:val="4F81BD"/>
            </w:rPr>
          </w:pPr>
        </w:p>
      </w:tc>
    </w:tr>
  </w:tbl>
  <w:p w:rsidR="00591ADE" w:rsidRDefault="00591ADE">
    <w:pPr>
      <w:pStyle w:val="Header"/>
    </w:pPr>
  </w:p>
  <w:p w:rsidR="00591ADE" w:rsidRDefault="00591A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C0" w:rsidRPr="00DF217D" w:rsidRDefault="00783CB7" w:rsidP="000A78C0">
    <w:pPr>
      <w:pStyle w:val="Header"/>
      <w:ind w:left="360"/>
      <w:jc w:val="center"/>
      <w:rPr>
        <w:rFonts w:ascii="Arial" w:hAnsi="Arial" w:cs="Arial"/>
        <w:i/>
        <w:color w:val="808080"/>
        <w:sz w:val="22"/>
      </w:rPr>
    </w:pPr>
    <w:r>
      <w:rPr>
        <w:rFonts w:ascii="Arial" w:hAnsi="Arial" w:cs="Arial"/>
        <w:i/>
        <w:color w:val="808080"/>
        <w:sz w:val="22"/>
      </w:rPr>
      <w:t>Public Summary Document</w:t>
    </w:r>
    <w:r w:rsidR="000A78C0" w:rsidRPr="00DF217D">
      <w:rPr>
        <w:rFonts w:ascii="Arial" w:hAnsi="Arial" w:cs="Arial"/>
        <w:i/>
        <w:color w:val="808080"/>
        <w:sz w:val="22"/>
      </w:rPr>
      <w:t xml:space="preserve"> – </w:t>
    </w:r>
    <w:r w:rsidR="000A78C0">
      <w:rPr>
        <w:rFonts w:ascii="Arial" w:hAnsi="Arial" w:cs="Arial"/>
        <w:i/>
        <w:color w:val="808080"/>
        <w:sz w:val="22"/>
      </w:rPr>
      <w:t xml:space="preserve">November 2016 </w:t>
    </w:r>
    <w:r w:rsidR="000A78C0" w:rsidRPr="00DF217D">
      <w:rPr>
        <w:rFonts w:ascii="Arial" w:hAnsi="Arial" w:cs="Arial"/>
        <w:i/>
        <w:color w:val="808080"/>
        <w:sz w:val="22"/>
      </w:rPr>
      <w:t>PBAC</w:t>
    </w:r>
    <w:r w:rsidR="000A78C0">
      <w:rPr>
        <w:rFonts w:ascii="Arial" w:hAnsi="Arial" w:cs="Arial"/>
        <w:i/>
        <w:color w:val="808080"/>
        <w:sz w:val="22"/>
      </w:rPr>
      <w:t xml:space="preserve"> </w:t>
    </w:r>
    <w:r w:rsidR="000A78C0" w:rsidRPr="00DF217D">
      <w:rPr>
        <w:rFonts w:ascii="Arial" w:hAnsi="Arial" w:cs="Arial"/>
        <w:i/>
        <w:color w:val="808080"/>
        <w:sz w:val="22"/>
      </w:rPr>
      <w:t>Meeting</w:t>
    </w:r>
  </w:p>
  <w:p w:rsidR="000A78C0" w:rsidRPr="000A78C0" w:rsidRDefault="000A78C0" w:rsidP="000A78C0">
    <w:pPr>
      <w:pStyle w:val="Header"/>
      <w:ind w:left="360"/>
      <w:jc w:val="center"/>
      <w:rPr>
        <w:rFonts w:ascii="Arial" w:hAnsi="Arial" w:cs="Arial"/>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7E" w:rsidRDefault="002A7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CEA5C8E"/>
    <w:lvl w:ilvl="0">
      <w:start w:val="6"/>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3">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84D033C"/>
    <w:multiLevelType w:val="multilevel"/>
    <w:tmpl w:val="27AAEEF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9"/>
  </w:num>
  <w:num w:numId="3">
    <w:abstractNumId w:val="12"/>
  </w:num>
  <w:num w:numId="4">
    <w:abstractNumId w:val="20"/>
  </w:num>
  <w:num w:numId="5">
    <w:abstractNumId w:val="23"/>
  </w:num>
  <w:num w:numId="6">
    <w:abstractNumId w:val="13"/>
  </w:num>
  <w:num w:numId="7">
    <w:abstractNumId w:val="19"/>
  </w:num>
  <w:num w:numId="8">
    <w:abstractNumId w:val="10"/>
  </w:num>
  <w:num w:numId="9">
    <w:abstractNumId w:val="18"/>
  </w:num>
  <w:num w:numId="10">
    <w:abstractNumId w:val="17"/>
  </w:num>
  <w:num w:numId="11">
    <w:abstractNumId w:val="16"/>
  </w:num>
  <w:num w:numId="12">
    <w:abstractNumId w:val="1"/>
  </w:num>
  <w:num w:numId="13">
    <w:abstractNumId w:val="0"/>
  </w:num>
  <w:num w:numId="14">
    <w:abstractNumId w:val="23"/>
  </w:num>
  <w:num w:numId="15">
    <w:abstractNumId w:val="21"/>
  </w:num>
  <w:num w:numId="16">
    <w:abstractNumId w:val="22"/>
  </w:num>
  <w:num w:numId="17">
    <w:abstractNumId w:val="11"/>
  </w:num>
  <w:num w:numId="18">
    <w:abstractNumId w:val="8"/>
  </w:num>
  <w:num w:numId="19">
    <w:abstractNumId w:val="15"/>
  </w:num>
  <w:num w:numId="20">
    <w:abstractNumId w:val="2"/>
  </w:num>
  <w:num w:numId="21">
    <w:abstractNumId w:val="3"/>
  </w:num>
  <w:num w:numId="22">
    <w:abstractNumId w:val="4"/>
  </w:num>
  <w:num w:numId="23">
    <w:abstractNumId w:val="5"/>
  </w:num>
  <w:num w:numId="24">
    <w:abstractNumId w:val="6"/>
  </w:num>
  <w:num w:numId="25">
    <w:abstractNumId w:val="7"/>
  </w:num>
  <w:num w:numId="26">
    <w:abstractNumId w:val="23"/>
  </w:num>
  <w:num w:numId="27">
    <w:abstractNumId w:val="23"/>
  </w:num>
  <w:num w:numId="28">
    <w:abstractNumId w:val="23"/>
  </w:num>
  <w:num w:numId="2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77143"/>
    <w:rsid w:val="000969AD"/>
    <w:rsid w:val="000A78C0"/>
    <w:rsid w:val="000B558D"/>
    <w:rsid w:val="000C6996"/>
    <w:rsid w:val="000D23BA"/>
    <w:rsid w:val="000D3F68"/>
    <w:rsid w:val="000D5CE4"/>
    <w:rsid w:val="000E681E"/>
    <w:rsid w:val="000F4E6A"/>
    <w:rsid w:val="001107BF"/>
    <w:rsid w:val="0012417C"/>
    <w:rsid w:val="00124F95"/>
    <w:rsid w:val="00142395"/>
    <w:rsid w:val="00142714"/>
    <w:rsid w:val="001452ED"/>
    <w:rsid w:val="00154685"/>
    <w:rsid w:val="0017467C"/>
    <w:rsid w:val="001830CE"/>
    <w:rsid w:val="0018643B"/>
    <w:rsid w:val="00196307"/>
    <w:rsid w:val="001B017F"/>
    <w:rsid w:val="001B5129"/>
    <w:rsid w:val="001B6E1B"/>
    <w:rsid w:val="001C1195"/>
    <w:rsid w:val="001C5A15"/>
    <w:rsid w:val="00213CFB"/>
    <w:rsid w:val="002216BA"/>
    <w:rsid w:val="00223551"/>
    <w:rsid w:val="00271BA1"/>
    <w:rsid w:val="00277505"/>
    <w:rsid w:val="0029458F"/>
    <w:rsid w:val="002A104C"/>
    <w:rsid w:val="002A4960"/>
    <w:rsid w:val="002A707E"/>
    <w:rsid w:val="002B1AE6"/>
    <w:rsid w:val="002B30F8"/>
    <w:rsid w:val="002B649E"/>
    <w:rsid w:val="002C212F"/>
    <w:rsid w:val="002C7C95"/>
    <w:rsid w:val="002E3153"/>
    <w:rsid w:val="002E72CA"/>
    <w:rsid w:val="00300AD6"/>
    <w:rsid w:val="00326E79"/>
    <w:rsid w:val="003367EF"/>
    <w:rsid w:val="00341AE4"/>
    <w:rsid w:val="003461BD"/>
    <w:rsid w:val="003872CF"/>
    <w:rsid w:val="0039782C"/>
    <w:rsid w:val="003A5B4A"/>
    <w:rsid w:val="003B23C5"/>
    <w:rsid w:val="003B2A75"/>
    <w:rsid w:val="003D4AC4"/>
    <w:rsid w:val="003D63B7"/>
    <w:rsid w:val="003E468B"/>
    <w:rsid w:val="003E4B1A"/>
    <w:rsid w:val="003F5C8C"/>
    <w:rsid w:val="00433C94"/>
    <w:rsid w:val="004465BD"/>
    <w:rsid w:val="00466ADA"/>
    <w:rsid w:val="00476245"/>
    <w:rsid w:val="00485940"/>
    <w:rsid w:val="004A2484"/>
    <w:rsid w:val="004A5A85"/>
    <w:rsid w:val="004B5640"/>
    <w:rsid w:val="004C1BD7"/>
    <w:rsid w:val="004C691D"/>
    <w:rsid w:val="004E692D"/>
    <w:rsid w:val="00501554"/>
    <w:rsid w:val="00514CD7"/>
    <w:rsid w:val="005319B2"/>
    <w:rsid w:val="00532C74"/>
    <w:rsid w:val="00534AA3"/>
    <w:rsid w:val="00534E2E"/>
    <w:rsid w:val="00544552"/>
    <w:rsid w:val="00552D44"/>
    <w:rsid w:val="0056168D"/>
    <w:rsid w:val="005659C1"/>
    <w:rsid w:val="00581932"/>
    <w:rsid w:val="00591ADE"/>
    <w:rsid w:val="005963BB"/>
    <w:rsid w:val="0059725C"/>
    <w:rsid w:val="005A3173"/>
    <w:rsid w:val="005A3223"/>
    <w:rsid w:val="005A3DA3"/>
    <w:rsid w:val="005A52C4"/>
    <w:rsid w:val="005B45C9"/>
    <w:rsid w:val="005D03AB"/>
    <w:rsid w:val="005D5017"/>
    <w:rsid w:val="00601A91"/>
    <w:rsid w:val="00602BA3"/>
    <w:rsid w:val="00614159"/>
    <w:rsid w:val="00617C00"/>
    <w:rsid w:val="006263BF"/>
    <w:rsid w:val="0062748A"/>
    <w:rsid w:val="00630A2C"/>
    <w:rsid w:val="006456EA"/>
    <w:rsid w:val="00651169"/>
    <w:rsid w:val="00653D69"/>
    <w:rsid w:val="00670A76"/>
    <w:rsid w:val="006711AA"/>
    <w:rsid w:val="00672B57"/>
    <w:rsid w:val="00675622"/>
    <w:rsid w:val="006906DB"/>
    <w:rsid w:val="006A12A5"/>
    <w:rsid w:val="006B0D94"/>
    <w:rsid w:val="006B485D"/>
    <w:rsid w:val="006C708E"/>
    <w:rsid w:val="006D3CBE"/>
    <w:rsid w:val="006D6EC7"/>
    <w:rsid w:val="006F5125"/>
    <w:rsid w:val="007174BB"/>
    <w:rsid w:val="00742C37"/>
    <w:rsid w:val="0076420C"/>
    <w:rsid w:val="007753C2"/>
    <w:rsid w:val="007838B8"/>
    <w:rsid w:val="00783CB7"/>
    <w:rsid w:val="00785770"/>
    <w:rsid w:val="007930F2"/>
    <w:rsid w:val="007C0F57"/>
    <w:rsid w:val="007C40B6"/>
    <w:rsid w:val="007C729F"/>
    <w:rsid w:val="007E1D28"/>
    <w:rsid w:val="007F2641"/>
    <w:rsid w:val="007F7C36"/>
    <w:rsid w:val="00806796"/>
    <w:rsid w:val="00811D48"/>
    <w:rsid w:val="008151D6"/>
    <w:rsid w:val="00826F6D"/>
    <w:rsid w:val="00856DDD"/>
    <w:rsid w:val="00863E68"/>
    <w:rsid w:val="00874078"/>
    <w:rsid w:val="00882085"/>
    <w:rsid w:val="00883188"/>
    <w:rsid w:val="00897D58"/>
    <w:rsid w:val="008A1956"/>
    <w:rsid w:val="008A39E2"/>
    <w:rsid w:val="008A4937"/>
    <w:rsid w:val="008A50F1"/>
    <w:rsid w:val="008D1B5C"/>
    <w:rsid w:val="008D3C82"/>
    <w:rsid w:val="008D447E"/>
    <w:rsid w:val="008D7A41"/>
    <w:rsid w:val="008E3680"/>
    <w:rsid w:val="008E5870"/>
    <w:rsid w:val="008F1434"/>
    <w:rsid w:val="008F4411"/>
    <w:rsid w:val="008F7355"/>
    <w:rsid w:val="009067B7"/>
    <w:rsid w:val="0091481E"/>
    <w:rsid w:val="00930937"/>
    <w:rsid w:val="00933E6C"/>
    <w:rsid w:val="00937C89"/>
    <w:rsid w:val="00942160"/>
    <w:rsid w:val="0095146F"/>
    <w:rsid w:val="009602C5"/>
    <w:rsid w:val="00962223"/>
    <w:rsid w:val="00974C21"/>
    <w:rsid w:val="009B0F67"/>
    <w:rsid w:val="009C703C"/>
    <w:rsid w:val="009D3CAA"/>
    <w:rsid w:val="009F467A"/>
    <w:rsid w:val="009F4E46"/>
    <w:rsid w:val="009F5B65"/>
    <w:rsid w:val="009F5F2E"/>
    <w:rsid w:val="00A06225"/>
    <w:rsid w:val="00A128E6"/>
    <w:rsid w:val="00A209A7"/>
    <w:rsid w:val="00A37C8D"/>
    <w:rsid w:val="00A5273B"/>
    <w:rsid w:val="00A53A9D"/>
    <w:rsid w:val="00A55DFB"/>
    <w:rsid w:val="00A55FEE"/>
    <w:rsid w:val="00A62C1A"/>
    <w:rsid w:val="00A6426D"/>
    <w:rsid w:val="00A70622"/>
    <w:rsid w:val="00A70977"/>
    <w:rsid w:val="00A77613"/>
    <w:rsid w:val="00A8390C"/>
    <w:rsid w:val="00A928BD"/>
    <w:rsid w:val="00AA4D1C"/>
    <w:rsid w:val="00AC193C"/>
    <w:rsid w:val="00AC5206"/>
    <w:rsid w:val="00AE11A5"/>
    <w:rsid w:val="00AE13E2"/>
    <w:rsid w:val="00AF68CC"/>
    <w:rsid w:val="00B1059E"/>
    <w:rsid w:val="00B205AA"/>
    <w:rsid w:val="00B22E84"/>
    <w:rsid w:val="00B25F75"/>
    <w:rsid w:val="00B35B42"/>
    <w:rsid w:val="00B43E90"/>
    <w:rsid w:val="00B467DC"/>
    <w:rsid w:val="00B56118"/>
    <w:rsid w:val="00B64110"/>
    <w:rsid w:val="00B6773F"/>
    <w:rsid w:val="00B801BA"/>
    <w:rsid w:val="00B92BFC"/>
    <w:rsid w:val="00BB69F5"/>
    <w:rsid w:val="00BB7EC3"/>
    <w:rsid w:val="00BC4B9A"/>
    <w:rsid w:val="00BD784C"/>
    <w:rsid w:val="00BF4CB6"/>
    <w:rsid w:val="00C00DA7"/>
    <w:rsid w:val="00C12768"/>
    <w:rsid w:val="00C27B58"/>
    <w:rsid w:val="00C35996"/>
    <w:rsid w:val="00C5342C"/>
    <w:rsid w:val="00C603D4"/>
    <w:rsid w:val="00C6256A"/>
    <w:rsid w:val="00C711C6"/>
    <w:rsid w:val="00C91449"/>
    <w:rsid w:val="00C92D10"/>
    <w:rsid w:val="00CE10C4"/>
    <w:rsid w:val="00CE27B5"/>
    <w:rsid w:val="00D0321E"/>
    <w:rsid w:val="00D106B6"/>
    <w:rsid w:val="00D10D58"/>
    <w:rsid w:val="00D1455A"/>
    <w:rsid w:val="00D171E3"/>
    <w:rsid w:val="00D3138B"/>
    <w:rsid w:val="00D3280C"/>
    <w:rsid w:val="00D3406A"/>
    <w:rsid w:val="00D469B2"/>
    <w:rsid w:val="00D741EB"/>
    <w:rsid w:val="00D84934"/>
    <w:rsid w:val="00D91271"/>
    <w:rsid w:val="00DA2CB5"/>
    <w:rsid w:val="00DA4BAC"/>
    <w:rsid w:val="00DE6D27"/>
    <w:rsid w:val="00DF217D"/>
    <w:rsid w:val="00DF26A7"/>
    <w:rsid w:val="00E15627"/>
    <w:rsid w:val="00E164B3"/>
    <w:rsid w:val="00E16910"/>
    <w:rsid w:val="00E65E54"/>
    <w:rsid w:val="00E80155"/>
    <w:rsid w:val="00E848C0"/>
    <w:rsid w:val="00E91B96"/>
    <w:rsid w:val="00E941A1"/>
    <w:rsid w:val="00E95CE3"/>
    <w:rsid w:val="00EA194A"/>
    <w:rsid w:val="00EA2825"/>
    <w:rsid w:val="00EB5088"/>
    <w:rsid w:val="00ED1644"/>
    <w:rsid w:val="00ED2593"/>
    <w:rsid w:val="00EF44A0"/>
    <w:rsid w:val="00EF4FED"/>
    <w:rsid w:val="00F050BD"/>
    <w:rsid w:val="00F05657"/>
    <w:rsid w:val="00F25578"/>
    <w:rsid w:val="00F258E5"/>
    <w:rsid w:val="00F300BC"/>
    <w:rsid w:val="00F3334E"/>
    <w:rsid w:val="00F50EC4"/>
    <w:rsid w:val="00F57A6D"/>
    <w:rsid w:val="00F638CC"/>
    <w:rsid w:val="00F64CC1"/>
    <w:rsid w:val="00F70E21"/>
    <w:rsid w:val="00F73414"/>
    <w:rsid w:val="00F8247A"/>
    <w:rsid w:val="00F9629A"/>
    <w:rsid w:val="00FA5883"/>
    <w:rsid w:val="00FA6055"/>
    <w:rsid w:val="00FB322F"/>
    <w:rsid w:val="00FB442F"/>
    <w:rsid w:val="00FB702D"/>
    <w:rsid w:val="00FC1929"/>
    <w:rsid w:val="00FC5B46"/>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171E3"/>
    <w:rPr>
      <w:sz w:val="24"/>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PBACheading10">
    <w:name w:val="PBAC heading 1"/>
    <w:qFormat/>
    <w:rsid w:val="00783CB7"/>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171E3"/>
    <w:rPr>
      <w:sz w:val="24"/>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PBACheading10">
    <w:name w:val="PBAC heading 1"/>
    <w:qFormat/>
    <w:rsid w:val="00783CB7"/>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4323C-BF46-4621-A4ED-B71C29AF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1647</Words>
  <Characters>9246</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2016-11-23T02:36:00Z</dcterms:created>
  <dcterms:modified xsi:type="dcterms:W3CDTF">2017-05-29T01:47:00Z</dcterms:modified>
</cp:coreProperties>
</file>