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931642" w:rsidRDefault="004F57EC" w:rsidP="006504C4">
      <w:pPr>
        <w:pStyle w:val="Heading1"/>
        <w:rPr>
          <w:sz w:val="28"/>
        </w:rPr>
      </w:pPr>
      <w:bookmarkStart w:id="0" w:name="_Toc461530909"/>
      <w:r w:rsidRPr="00931642">
        <w:rPr>
          <w:sz w:val="28"/>
        </w:rPr>
        <w:t>5.12</w:t>
      </w:r>
      <w:r w:rsidR="00B60939" w:rsidRPr="00931642">
        <w:rPr>
          <w:sz w:val="28"/>
        </w:rPr>
        <w:tab/>
      </w:r>
      <w:r w:rsidR="007B4664" w:rsidRPr="00931642">
        <w:rPr>
          <w:sz w:val="28"/>
        </w:rPr>
        <w:t>PEGVISOMANT</w:t>
      </w:r>
      <w:r w:rsidR="007D4EE9" w:rsidRPr="00931642">
        <w:rPr>
          <w:sz w:val="28"/>
        </w:rPr>
        <w:t xml:space="preserve">, </w:t>
      </w:r>
      <w:r w:rsidR="007D4EE9" w:rsidRPr="00931642">
        <w:rPr>
          <w:sz w:val="28"/>
        </w:rPr>
        <w:br/>
      </w:r>
      <w:r w:rsidR="000439CE" w:rsidRPr="00931642">
        <w:rPr>
          <w:sz w:val="28"/>
        </w:rPr>
        <w:t xml:space="preserve">Powder for injection 10 mg, powder for injection 15 mg, </w:t>
      </w:r>
      <w:r w:rsidR="001A1044" w:rsidRPr="00931642">
        <w:rPr>
          <w:sz w:val="28"/>
        </w:rPr>
        <w:t>p</w:t>
      </w:r>
      <w:r w:rsidR="007D4EE9" w:rsidRPr="00931642">
        <w:rPr>
          <w:sz w:val="28"/>
        </w:rPr>
        <w:t xml:space="preserve">owder for injection 20 mg, </w:t>
      </w:r>
      <w:r w:rsidR="007D4EE9" w:rsidRPr="00931642">
        <w:rPr>
          <w:sz w:val="28"/>
        </w:rPr>
        <w:br/>
      </w:r>
      <w:r w:rsidR="007B4664" w:rsidRPr="00931642">
        <w:rPr>
          <w:sz w:val="28"/>
        </w:rPr>
        <w:t>Somavert</w:t>
      </w:r>
      <w:r w:rsidR="00B60939" w:rsidRPr="00931642">
        <w:rPr>
          <w:sz w:val="28"/>
        </w:rPr>
        <w:t>®</w:t>
      </w:r>
      <w:r w:rsidR="007D4EE9" w:rsidRPr="00931642">
        <w:rPr>
          <w:sz w:val="28"/>
        </w:rPr>
        <w:t xml:space="preserve">, </w:t>
      </w:r>
      <w:bookmarkEnd w:id="0"/>
      <w:r w:rsidR="00260357" w:rsidRPr="00931642">
        <w:rPr>
          <w:sz w:val="28"/>
        </w:rPr>
        <w:br/>
      </w:r>
      <w:r w:rsidR="001A1044" w:rsidRPr="00931642">
        <w:rPr>
          <w:sz w:val="28"/>
        </w:rPr>
        <w:t>Pfizer Australia Pty Ltd</w:t>
      </w:r>
      <w:r w:rsidR="00260357" w:rsidRPr="00931642">
        <w:rPr>
          <w:sz w:val="28"/>
        </w:rPr>
        <w:t>.</w:t>
      </w:r>
    </w:p>
    <w:p w:rsidR="00F827FA" w:rsidRPr="00931642" w:rsidRDefault="00F827FA" w:rsidP="006504C4">
      <w:pPr>
        <w:widowControl/>
      </w:pPr>
    </w:p>
    <w:p w:rsidR="00320095" w:rsidRPr="00931642" w:rsidRDefault="00320095" w:rsidP="006504C4">
      <w:pPr>
        <w:widowControl/>
      </w:pPr>
    </w:p>
    <w:p w:rsidR="00B50DB8" w:rsidRPr="00931642" w:rsidRDefault="00B50DB8" w:rsidP="001E6680">
      <w:pPr>
        <w:pStyle w:val="PBACheading10"/>
        <w:numPr>
          <w:ilvl w:val="0"/>
          <w:numId w:val="6"/>
        </w:numPr>
      </w:pPr>
      <w:bookmarkStart w:id="1" w:name="_Toc461530911"/>
      <w:r w:rsidRPr="00931642">
        <w:t>Purpose of Application</w:t>
      </w:r>
      <w:bookmarkEnd w:id="1"/>
    </w:p>
    <w:p w:rsidR="00B60939" w:rsidRPr="00931642" w:rsidRDefault="00B60939" w:rsidP="006504C4">
      <w:pPr>
        <w:widowControl/>
        <w:rPr>
          <w:szCs w:val="22"/>
        </w:rPr>
      </w:pPr>
    </w:p>
    <w:p w:rsidR="002C2775" w:rsidRPr="00931642" w:rsidRDefault="001E238E" w:rsidP="006504C4">
      <w:pPr>
        <w:pStyle w:val="ListParagraph"/>
        <w:widowControl/>
        <w:numPr>
          <w:ilvl w:val="1"/>
          <w:numId w:val="6"/>
        </w:numPr>
        <w:rPr>
          <w:szCs w:val="22"/>
        </w:rPr>
      </w:pPr>
      <w:r w:rsidRPr="00931642">
        <w:t xml:space="preserve">Section 100 </w:t>
      </w:r>
      <w:r w:rsidR="004F57EC" w:rsidRPr="00931642">
        <w:t xml:space="preserve">(Highly Specialised Drugs) Authority </w:t>
      </w:r>
      <w:proofErr w:type="gramStart"/>
      <w:r w:rsidR="004F57EC" w:rsidRPr="00931642">
        <w:t>Required</w:t>
      </w:r>
      <w:proofErr w:type="gramEnd"/>
      <w:r w:rsidR="004F57EC" w:rsidRPr="00931642">
        <w:t xml:space="preserve"> </w:t>
      </w:r>
      <w:r w:rsidRPr="00931642">
        <w:t xml:space="preserve">listing </w:t>
      </w:r>
      <w:r w:rsidR="008F0429" w:rsidRPr="00931642">
        <w:t>of</w:t>
      </w:r>
      <w:r w:rsidR="00113B63" w:rsidRPr="00931642">
        <w:t xml:space="preserve"> pegvisomant</w:t>
      </w:r>
      <w:r w:rsidRPr="00931642">
        <w:t xml:space="preserve"> for </w:t>
      </w:r>
      <w:r w:rsidR="004F57EC" w:rsidRPr="00931642">
        <w:t xml:space="preserve">the </w:t>
      </w:r>
      <w:r w:rsidRPr="00931642">
        <w:t xml:space="preserve">treatment of </w:t>
      </w:r>
      <w:r w:rsidR="00113B63" w:rsidRPr="00931642">
        <w:t>active acromegaly</w:t>
      </w:r>
      <w:r w:rsidR="0007397F" w:rsidRPr="00931642">
        <w:t xml:space="preserve"> in patients who have failed to achieve biochemical control with somatostatin analogues (SSAs)</w:t>
      </w:r>
      <w:r w:rsidRPr="00931642">
        <w:t>.</w:t>
      </w:r>
    </w:p>
    <w:p w:rsidR="00B60939" w:rsidRPr="00931642" w:rsidRDefault="00B60939" w:rsidP="006504C4">
      <w:pPr>
        <w:widowControl/>
      </w:pPr>
    </w:p>
    <w:p w:rsidR="004E43B2" w:rsidRPr="00931642" w:rsidRDefault="004E43B2" w:rsidP="006504C4">
      <w:pPr>
        <w:widowControl/>
      </w:pPr>
    </w:p>
    <w:p w:rsidR="00B50DB8" w:rsidRPr="00931642" w:rsidRDefault="00B50DB8" w:rsidP="001E6680">
      <w:pPr>
        <w:pStyle w:val="PBACheading10"/>
        <w:numPr>
          <w:ilvl w:val="0"/>
          <w:numId w:val="6"/>
        </w:numPr>
      </w:pPr>
      <w:bookmarkStart w:id="2" w:name="_Toc461530912"/>
      <w:r w:rsidRPr="00931642">
        <w:t>Requested listing</w:t>
      </w:r>
      <w:bookmarkEnd w:id="2"/>
    </w:p>
    <w:p w:rsidR="00B60939" w:rsidRPr="00931642" w:rsidRDefault="00B60939" w:rsidP="006504C4">
      <w:pPr>
        <w:widowControl/>
      </w:pPr>
    </w:p>
    <w:p w:rsidR="00DB7784" w:rsidRPr="00931642" w:rsidRDefault="00842BC9" w:rsidP="006504C4">
      <w:pPr>
        <w:pStyle w:val="ListParagraph"/>
        <w:widowControl/>
        <w:numPr>
          <w:ilvl w:val="1"/>
          <w:numId w:val="6"/>
        </w:numPr>
      </w:pPr>
      <w:r w:rsidRPr="00931642">
        <w:t xml:space="preserve">An abbreviated version of the requested listing is below. </w:t>
      </w:r>
      <w:r w:rsidR="00DB7784" w:rsidRPr="00931642">
        <w:rPr>
          <w:rFonts w:eastAsia="SimSun"/>
          <w:iCs/>
          <w:color w:val="000000"/>
          <w:szCs w:val="22"/>
        </w:rPr>
        <w:t>Suggestions and additions proposed by the Secretariat are added in italics and suggested deletions are crossed out with strikethrough</w:t>
      </w:r>
      <w:r w:rsidR="004D2314" w:rsidRPr="00931642">
        <w:rPr>
          <w:rFonts w:eastAsia="SimSun"/>
          <w:iCs/>
          <w:color w:val="000000"/>
          <w:szCs w:val="22"/>
        </w:rPr>
        <w:t xml:space="preserve"> to the following abbreviated version</w:t>
      </w:r>
      <w:r w:rsidR="00240451" w:rsidRPr="00931642">
        <w:rPr>
          <w:rFonts w:eastAsia="SimSun"/>
          <w:iCs/>
          <w:color w:val="000000"/>
          <w:szCs w:val="22"/>
        </w:rPr>
        <w:t xml:space="preserve"> of the requested listing</w:t>
      </w:r>
      <w:r w:rsidR="00DB7784" w:rsidRPr="00931642">
        <w:rPr>
          <w:rFonts w:eastAsia="SimSun"/>
          <w:iCs/>
          <w:color w:val="000000"/>
          <w:szCs w:val="22"/>
        </w:rPr>
        <w:t>.</w:t>
      </w:r>
    </w:p>
    <w:p w:rsidR="006916BB" w:rsidRPr="00931642" w:rsidRDefault="006916BB" w:rsidP="006504C4">
      <w:pPr>
        <w:widowControl/>
      </w:pPr>
    </w:p>
    <w:tbl>
      <w:tblPr>
        <w:tblW w:w="4558" w:type="pct"/>
        <w:tblInd w:w="817" w:type="dxa"/>
        <w:tblLook w:val="04A0" w:firstRow="1" w:lastRow="0" w:firstColumn="1" w:lastColumn="0" w:noHBand="0" w:noVBand="1"/>
      </w:tblPr>
      <w:tblGrid>
        <w:gridCol w:w="1700"/>
        <w:gridCol w:w="849"/>
        <w:gridCol w:w="543"/>
        <w:gridCol w:w="875"/>
        <w:gridCol w:w="1559"/>
        <w:gridCol w:w="1714"/>
        <w:gridCol w:w="1186"/>
      </w:tblGrid>
      <w:tr w:rsidR="006641E9" w:rsidRPr="00931642" w:rsidTr="00676BF5">
        <w:trPr>
          <w:cantSplit/>
          <w:trHeight w:val="471"/>
        </w:trPr>
        <w:tc>
          <w:tcPr>
            <w:tcW w:w="1513" w:type="pct"/>
            <w:gridSpan w:val="2"/>
            <w:tcBorders>
              <w:bottom w:val="single" w:sz="4" w:space="0" w:color="auto"/>
            </w:tcBorders>
            <w:hideMark/>
          </w:tcPr>
          <w:p w:rsidR="006641E9" w:rsidRPr="00931642" w:rsidRDefault="006641E9" w:rsidP="006504C4">
            <w:pPr>
              <w:keepNext/>
              <w:widowControl/>
              <w:ind w:left="-108"/>
              <w:rPr>
                <w:rFonts w:ascii="Arial Narrow" w:hAnsi="Arial Narrow"/>
                <w:b/>
                <w:sz w:val="20"/>
              </w:rPr>
            </w:pPr>
            <w:r w:rsidRPr="00931642">
              <w:rPr>
                <w:rFonts w:ascii="Arial Narrow" w:hAnsi="Arial Narrow"/>
                <w:b/>
                <w:sz w:val="20"/>
              </w:rPr>
              <w:t>Name, Restriction,</w:t>
            </w:r>
          </w:p>
          <w:p w:rsidR="006641E9" w:rsidRPr="00931642" w:rsidRDefault="006641E9" w:rsidP="006504C4">
            <w:pPr>
              <w:keepNext/>
              <w:widowControl/>
              <w:snapToGrid w:val="0"/>
              <w:ind w:left="-108"/>
              <w:rPr>
                <w:rFonts w:ascii="Arial Narrow" w:hAnsi="Arial Narrow"/>
                <w:b/>
                <w:sz w:val="20"/>
              </w:rPr>
            </w:pPr>
            <w:r w:rsidRPr="00931642">
              <w:rPr>
                <w:rFonts w:ascii="Arial Narrow" w:hAnsi="Arial Narrow"/>
                <w:b/>
                <w:sz w:val="20"/>
              </w:rPr>
              <w:t>Manner of administration and form</w:t>
            </w:r>
          </w:p>
        </w:tc>
        <w:tc>
          <w:tcPr>
            <w:tcW w:w="322" w:type="pct"/>
            <w:tcBorders>
              <w:bottom w:val="single" w:sz="4" w:space="0" w:color="auto"/>
            </w:tcBorders>
            <w:hideMark/>
          </w:tcPr>
          <w:p w:rsidR="006641E9" w:rsidRPr="00931642" w:rsidRDefault="006641E9" w:rsidP="006504C4">
            <w:pPr>
              <w:keepNext/>
              <w:widowControl/>
              <w:ind w:left="-108"/>
              <w:rPr>
                <w:rFonts w:ascii="Arial Narrow" w:hAnsi="Arial Narrow"/>
                <w:b/>
                <w:sz w:val="20"/>
              </w:rPr>
            </w:pPr>
            <w:r w:rsidRPr="00931642">
              <w:rPr>
                <w:rFonts w:ascii="Arial Narrow" w:hAnsi="Arial Narrow"/>
                <w:b/>
                <w:sz w:val="20"/>
              </w:rPr>
              <w:t>Max.</w:t>
            </w:r>
          </w:p>
          <w:p w:rsidR="006641E9" w:rsidRPr="00931642" w:rsidRDefault="006641E9" w:rsidP="006504C4">
            <w:pPr>
              <w:keepNext/>
              <w:widowControl/>
              <w:snapToGrid w:val="0"/>
              <w:ind w:left="-108"/>
              <w:rPr>
                <w:rFonts w:ascii="Arial Narrow" w:hAnsi="Arial Narrow"/>
                <w:b/>
                <w:sz w:val="20"/>
              </w:rPr>
            </w:pPr>
            <w:r w:rsidRPr="00931642">
              <w:rPr>
                <w:rFonts w:ascii="Arial Narrow" w:hAnsi="Arial Narrow"/>
                <w:b/>
                <w:sz w:val="20"/>
              </w:rPr>
              <w:t>Qty</w:t>
            </w:r>
          </w:p>
        </w:tc>
        <w:tc>
          <w:tcPr>
            <w:tcW w:w="519" w:type="pct"/>
            <w:tcBorders>
              <w:bottom w:val="single" w:sz="4" w:space="0" w:color="auto"/>
            </w:tcBorders>
            <w:hideMark/>
          </w:tcPr>
          <w:p w:rsidR="006641E9" w:rsidRPr="00931642" w:rsidRDefault="006641E9" w:rsidP="006504C4">
            <w:pPr>
              <w:keepNext/>
              <w:widowControl/>
              <w:ind w:left="-108"/>
              <w:rPr>
                <w:rFonts w:ascii="Arial Narrow" w:hAnsi="Arial Narrow"/>
                <w:b/>
                <w:sz w:val="20"/>
              </w:rPr>
            </w:pPr>
            <w:r w:rsidRPr="00931642">
              <w:rPr>
                <w:rFonts w:ascii="Arial Narrow" w:hAnsi="Arial Narrow"/>
                <w:b/>
                <w:sz w:val="20"/>
              </w:rPr>
              <w:t>№.of</w:t>
            </w:r>
          </w:p>
          <w:p w:rsidR="006641E9" w:rsidRPr="00931642" w:rsidRDefault="006641E9" w:rsidP="006504C4">
            <w:pPr>
              <w:keepNext/>
              <w:widowControl/>
              <w:snapToGrid w:val="0"/>
              <w:ind w:left="-108"/>
              <w:rPr>
                <w:rFonts w:ascii="Arial Narrow" w:hAnsi="Arial Narrow"/>
                <w:b/>
                <w:sz w:val="20"/>
              </w:rPr>
            </w:pPr>
            <w:r w:rsidRPr="00931642">
              <w:rPr>
                <w:rFonts w:ascii="Arial Narrow" w:hAnsi="Arial Narrow"/>
                <w:b/>
                <w:sz w:val="20"/>
              </w:rPr>
              <w:t>Rpts</w:t>
            </w:r>
          </w:p>
        </w:tc>
        <w:tc>
          <w:tcPr>
            <w:tcW w:w="925" w:type="pct"/>
            <w:tcBorders>
              <w:bottom w:val="single" w:sz="4" w:space="0" w:color="auto"/>
            </w:tcBorders>
          </w:tcPr>
          <w:p w:rsidR="006641E9" w:rsidRPr="00931642" w:rsidRDefault="006641E9" w:rsidP="006504C4">
            <w:pPr>
              <w:keepNext/>
              <w:widowControl/>
              <w:snapToGrid w:val="0"/>
              <w:ind w:left="-108"/>
              <w:rPr>
                <w:rFonts w:ascii="Arial Narrow" w:hAnsi="Arial Narrow"/>
                <w:b/>
                <w:sz w:val="20"/>
              </w:rPr>
            </w:pPr>
            <w:r w:rsidRPr="00931642">
              <w:rPr>
                <w:rFonts w:ascii="Arial Narrow" w:hAnsi="Arial Narrow"/>
                <w:b/>
                <w:sz w:val="20"/>
              </w:rPr>
              <w:t>Dispensed Price for Max. Qty</w:t>
            </w:r>
          </w:p>
        </w:tc>
        <w:tc>
          <w:tcPr>
            <w:tcW w:w="1720" w:type="pct"/>
            <w:gridSpan w:val="2"/>
            <w:tcBorders>
              <w:bottom w:val="single" w:sz="4" w:space="0" w:color="auto"/>
            </w:tcBorders>
            <w:hideMark/>
          </w:tcPr>
          <w:p w:rsidR="006641E9" w:rsidRPr="00931642" w:rsidRDefault="006641E9" w:rsidP="006504C4">
            <w:pPr>
              <w:keepNext/>
              <w:widowControl/>
              <w:snapToGrid w:val="0"/>
              <w:jc w:val="left"/>
              <w:rPr>
                <w:rFonts w:ascii="Arial Narrow" w:hAnsi="Arial Narrow"/>
                <w:b/>
                <w:sz w:val="20"/>
              </w:rPr>
            </w:pPr>
            <w:r w:rsidRPr="00931642">
              <w:rPr>
                <w:rFonts w:ascii="Arial Narrow" w:hAnsi="Arial Narrow"/>
                <w:b/>
                <w:sz w:val="20"/>
              </w:rPr>
              <w:t>Proprietary Name and Manufacturer</w:t>
            </w:r>
          </w:p>
        </w:tc>
      </w:tr>
      <w:tr w:rsidR="006641E9" w:rsidRPr="00931642" w:rsidTr="00676BF5">
        <w:trPr>
          <w:cantSplit/>
          <w:trHeight w:val="577"/>
        </w:trPr>
        <w:tc>
          <w:tcPr>
            <w:tcW w:w="1513" w:type="pct"/>
            <w:gridSpan w:val="2"/>
            <w:tcBorders>
              <w:top w:val="single" w:sz="4" w:space="0" w:color="auto"/>
              <w:bottom w:val="single" w:sz="4" w:space="0" w:color="auto"/>
            </w:tcBorders>
            <w:hideMark/>
          </w:tcPr>
          <w:p w:rsidR="006641E9" w:rsidRPr="00931642" w:rsidRDefault="00676BF5" w:rsidP="006504C4">
            <w:pPr>
              <w:keepNext/>
              <w:widowControl/>
              <w:ind w:left="-108"/>
              <w:rPr>
                <w:rFonts w:ascii="Arial Narrow" w:hAnsi="Arial Narrow"/>
                <w:sz w:val="20"/>
              </w:rPr>
            </w:pPr>
            <w:r w:rsidRPr="00931642">
              <w:rPr>
                <w:rFonts w:ascii="Arial Narrow" w:hAnsi="Arial Narrow"/>
                <w:sz w:val="20"/>
              </w:rPr>
              <w:t>PEGVISOMANT</w:t>
            </w:r>
          </w:p>
          <w:p w:rsidR="006641E9" w:rsidRPr="00931642" w:rsidRDefault="006641E9" w:rsidP="006504C4">
            <w:pPr>
              <w:keepNext/>
              <w:widowControl/>
              <w:ind w:left="-108"/>
              <w:rPr>
                <w:rFonts w:ascii="Arial Narrow" w:hAnsi="Arial Narrow"/>
                <w:sz w:val="20"/>
              </w:rPr>
            </w:pPr>
            <w:r w:rsidRPr="00931642">
              <w:rPr>
                <w:rFonts w:ascii="Arial Narrow" w:hAnsi="Arial Narrow"/>
                <w:sz w:val="20"/>
              </w:rPr>
              <w:t>20 mg</w:t>
            </w:r>
            <w:r w:rsidR="00676BF5" w:rsidRPr="00931642">
              <w:rPr>
                <w:rFonts w:ascii="Arial Narrow" w:hAnsi="Arial Narrow"/>
                <w:sz w:val="20"/>
              </w:rPr>
              <w:t>, powder for injection</w:t>
            </w:r>
          </w:p>
          <w:p w:rsidR="006641E9" w:rsidRPr="00931642" w:rsidRDefault="006641E9" w:rsidP="006504C4">
            <w:pPr>
              <w:keepNext/>
              <w:widowControl/>
              <w:ind w:left="-108"/>
              <w:rPr>
                <w:rFonts w:ascii="Arial Narrow" w:hAnsi="Arial Narrow"/>
                <w:sz w:val="20"/>
              </w:rPr>
            </w:pPr>
          </w:p>
        </w:tc>
        <w:tc>
          <w:tcPr>
            <w:tcW w:w="322" w:type="pct"/>
            <w:tcBorders>
              <w:top w:val="single" w:sz="4" w:space="0" w:color="auto"/>
              <w:bottom w:val="single" w:sz="4" w:space="0" w:color="auto"/>
            </w:tcBorders>
          </w:tcPr>
          <w:p w:rsidR="006641E9" w:rsidRPr="00931642" w:rsidRDefault="006641E9" w:rsidP="006504C4">
            <w:pPr>
              <w:keepNext/>
              <w:widowControl/>
              <w:rPr>
                <w:rFonts w:ascii="Arial Narrow" w:hAnsi="Arial Narrow"/>
                <w:sz w:val="20"/>
              </w:rPr>
            </w:pPr>
          </w:p>
          <w:p w:rsidR="006641E9" w:rsidRPr="00931642" w:rsidRDefault="006641E9" w:rsidP="006504C4">
            <w:pPr>
              <w:keepNext/>
              <w:widowControl/>
              <w:rPr>
                <w:rFonts w:ascii="Arial Narrow" w:hAnsi="Arial Narrow"/>
                <w:sz w:val="20"/>
              </w:rPr>
            </w:pPr>
            <w:r w:rsidRPr="00931642">
              <w:rPr>
                <w:rFonts w:ascii="Arial Narrow" w:hAnsi="Arial Narrow"/>
                <w:sz w:val="20"/>
              </w:rPr>
              <w:t>4</w:t>
            </w:r>
          </w:p>
        </w:tc>
        <w:tc>
          <w:tcPr>
            <w:tcW w:w="519" w:type="pct"/>
            <w:tcBorders>
              <w:top w:val="single" w:sz="4" w:space="0" w:color="auto"/>
              <w:bottom w:val="single" w:sz="4" w:space="0" w:color="auto"/>
            </w:tcBorders>
          </w:tcPr>
          <w:p w:rsidR="006641E9" w:rsidRPr="00931642" w:rsidRDefault="006641E9" w:rsidP="006504C4">
            <w:pPr>
              <w:keepNext/>
              <w:widowControl/>
              <w:ind w:left="-108"/>
              <w:rPr>
                <w:rFonts w:ascii="Arial Narrow" w:hAnsi="Arial Narrow"/>
                <w:sz w:val="20"/>
              </w:rPr>
            </w:pPr>
          </w:p>
          <w:p w:rsidR="006641E9" w:rsidRPr="00931642" w:rsidRDefault="006641E9" w:rsidP="006504C4">
            <w:pPr>
              <w:keepNext/>
              <w:widowControl/>
              <w:ind w:left="-108"/>
              <w:rPr>
                <w:rFonts w:ascii="Arial Narrow" w:hAnsi="Arial Narrow"/>
                <w:sz w:val="20"/>
              </w:rPr>
            </w:pPr>
            <w:r w:rsidRPr="00931642">
              <w:rPr>
                <w:rFonts w:ascii="Arial Narrow" w:hAnsi="Arial Narrow"/>
                <w:sz w:val="20"/>
              </w:rPr>
              <w:t>0</w:t>
            </w:r>
          </w:p>
          <w:p w:rsidR="006641E9" w:rsidRPr="00931642" w:rsidRDefault="006641E9" w:rsidP="006504C4">
            <w:pPr>
              <w:keepNext/>
              <w:widowControl/>
              <w:ind w:left="-108"/>
              <w:rPr>
                <w:rFonts w:ascii="Arial Narrow" w:hAnsi="Arial Narrow"/>
                <w:sz w:val="20"/>
              </w:rPr>
            </w:pPr>
          </w:p>
        </w:tc>
        <w:tc>
          <w:tcPr>
            <w:tcW w:w="925" w:type="pct"/>
            <w:tcBorders>
              <w:top w:val="single" w:sz="4" w:space="0" w:color="auto"/>
              <w:bottom w:val="single" w:sz="4" w:space="0" w:color="auto"/>
            </w:tcBorders>
          </w:tcPr>
          <w:p w:rsidR="006641E9" w:rsidRPr="00931642" w:rsidRDefault="006641E9" w:rsidP="006504C4">
            <w:pPr>
              <w:keepNext/>
              <w:widowControl/>
              <w:ind w:left="-108"/>
              <w:rPr>
                <w:rFonts w:ascii="Arial Narrow" w:hAnsi="Arial Narrow"/>
                <w:sz w:val="20"/>
              </w:rPr>
            </w:pPr>
            <w:r w:rsidRPr="00931642">
              <w:rPr>
                <w:rFonts w:ascii="Arial Narrow" w:hAnsi="Arial Narrow"/>
                <w:sz w:val="20"/>
              </w:rPr>
              <w:t>Public $</w:t>
            </w:r>
            <w:r w:rsidR="00356AF3">
              <w:rPr>
                <w:rFonts w:ascii="Arial Narrow" w:hAnsi="Arial Narrow"/>
                <w:noProof/>
                <w:color w:val="000000"/>
                <w:sz w:val="20"/>
                <w:highlight w:val="black"/>
              </w:rPr>
              <w:t>'''''''''''''''</w:t>
            </w:r>
          </w:p>
          <w:p w:rsidR="006641E9" w:rsidRPr="00931642" w:rsidRDefault="006641E9" w:rsidP="006504C4">
            <w:pPr>
              <w:keepNext/>
              <w:widowControl/>
              <w:ind w:left="-108"/>
              <w:rPr>
                <w:rFonts w:ascii="Arial Narrow" w:hAnsi="Arial Narrow"/>
                <w:sz w:val="20"/>
              </w:rPr>
            </w:pPr>
            <w:r w:rsidRPr="00931642">
              <w:rPr>
                <w:rFonts w:ascii="Arial Narrow" w:hAnsi="Arial Narrow"/>
                <w:sz w:val="20"/>
              </w:rPr>
              <w:t>Private $</w:t>
            </w:r>
            <w:r w:rsidR="00356AF3">
              <w:rPr>
                <w:rFonts w:ascii="Arial Narrow" w:hAnsi="Arial Narrow"/>
                <w:noProof/>
                <w:color w:val="000000"/>
                <w:sz w:val="20"/>
                <w:highlight w:val="black"/>
              </w:rPr>
              <w:t>'''''''''''''''''</w:t>
            </w:r>
          </w:p>
        </w:tc>
        <w:tc>
          <w:tcPr>
            <w:tcW w:w="1017" w:type="pct"/>
            <w:tcBorders>
              <w:top w:val="single" w:sz="4" w:space="0" w:color="auto"/>
              <w:bottom w:val="single" w:sz="4" w:space="0" w:color="auto"/>
            </w:tcBorders>
            <w:hideMark/>
          </w:tcPr>
          <w:p w:rsidR="006641E9" w:rsidRPr="00931642" w:rsidRDefault="006641E9" w:rsidP="006504C4">
            <w:pPr>
              <w:keepNext/>
              <w:widowControl/>
              <w:rPr>
                <w:rFonts w:ascii="Arial Narrow" w:hAnsi="Arial Narrow"/>
                <w:sz w:val="20"/>
              </w:rPr>
            </w:pPr>
            <w:r w:rsidRPr="00931642">
              <w:rPr>
                <w:rFonts w:ascii="Arial Narrow" w:hAnsi="Arial Narrow"/>
                <w:sz w:val="20"/>
              </w:rPr>
              <w:t>Somavert</w:t>
            </w:r>
            <w:r w:rsidR="009A1821" w:rsidRPr="00931642">
              <w:rPr>
                <w:rFonts w:ascii="Arial Narrow" w:hAnsi="Arial Narrow"/>
                <w:sz w:val="20"/>
              </w:rPr>
              <w:t>®</w:t>
            </w:r>
            <w:r w:rsidRPr="00931642">
              <w:rPr>
                <w:rFonts w:ascii="Arial Narrow" w:hAnsi="Arial Narrow"/>
                <w:sz w:val="20"/>
              </w:rPr>
              <w:t xml:space="preserve"> </w:t>
            </w:r>
          </w:p>
          <w:p w:rsidR="006641E9" w:rsidRPr="00931642" w:rsidRDefault="006641E9" w:rsidP="006504C4">
            <w:pPr>
              <w:keepNext/>
              <w:widowControl/>
              <w:rPr>
                <w:rFonts w:ascii="Arial Narrow" w:hAnsi="Arial Narrow"/>
                <w:sz w:val="20"/>
              </w:rPr>
            </w:pPr>
          </w:p>
          <w:p w:rsidR="006641E9" w:rsidRPr="00931642" w:rsidRDefault="006641E9" w:rsidP="006504C4">
            <w:pPr>
              <w:keepNext/>
              <w:widowControl/>
              <w:ind w:left="-108"/>
              <w:rPr>
                <w:rFonts w:ascii="Arial Narrow" w:hAnsi="Arial Narrow"/>
                <w:sz w:val="20"/>
              </w:rPr>
            </w:pPr>
          </w:p>
        </w:tc>
        <w:tc>
          <w:tcPr>
            <w:tcW w:w="703" w:type="pct"/>
            <w:tcBorders>
              <w:top w:val="single" w:sz="4" w:space="0" w:color="auto"/>
              <w:bottom w:val="single" w:sz="4" w:space="0" w:color="auto"/>
            </w:tcBorders>
            <w:hideMark/>
          </w:tcPr>
          <w:p w:rsidR="006641E9" w:rsidRPr="00931642" w:rsidRDefault="006641E9" w:rsidP="006504C4">
            <w:pPr>
              <w:keepNext/>
              <w:widowControl/>
              <w:rPr>
                <w:rFonts w:ascii="Arial Narrow" w:hAnsi="Arial Narrow"/>
                <w:sz w:val="20"/>
              </w:rPr>
            </w:pPr>
            <w:r w:rsidRPr="00931642">
              <w:rPr>
                <w:rFonts w:ascii="Arial Narrow" w:hAnsi="Arial Narrow"/>
                <w:sz w:val="20"/>
              </w:rPr>
              <w:t>Pfizer</w:t>
            </w:r>
          </w:p>
        </w:tc>
      </w:tr>
      <w:tr w:rsidR="006641E9" w:rsidRPr="00931642" w:rsidTr="00676BF5">
        <w:trPr>
          <w:cantSplit/>
          <w:trHeight w:val="360"/>
        </w:trPr>
        <w:tc>
          <w:tcPr>
            <w:tcW w:w="1009" w:type="pct"/>
            <w:tcBorders>
              <w:top w:val="single" w:sz="4" w:space="0" w:color="auto"/>
              <w:left w:val="single" w:sz="4" w:space="0" w:color="auto"/>
              <w:bottom w:val="single" w:sz="4" w:space="0" w:color="auto"/>
              <w:right w:val="single" w:sz="4" w:space="0" w:color="auto"/>
            </w:tcBorders>
            <w:hideMark/>
          </w:tcPr>
          <w:p w:rsidR="006641E9" w:rsidRPr="00931642" w:rsidRDefault="006641E9" w:rsidP="006504C4">
            <w:pPr>
              <w:widowControl/>
              <w:rPr>
                <w:rFonts w:ascii="Arial Narrow" w:hAnsi="Arial Narrow"/>
                <w:b/>
                <w:sz w:val="20"/>
              </w:rPr>
            </w:pPr>
            <w:r w:rsidRPr="00931642">
              <w:rPr>
                <w:rFonts w:ascii="Arial Narrow" w:hAnsi="Arial Narrow"/>
                <w:b/>
                <w:sz w:val="20"/>
              </w:rPr>
              <w:t xml:space="preserve">Category / </w:t>
            </w:r>
          </w:p>
          <w:p w:rsidR="006641E9" w:rsidRPr="00931642" w:rsidRDefault="006641E9" w:rsidP="006504C4">
            <w:pPr>
              <w:widowControl/>
              <w:snapToGrid w:val="0"/>
              <w:rPr>
                <w:rFonts w:ascii="Arial Narrow" w:hAnsi="Arial Narrow"/>
                <w:b/>
                <w:sz w:val="20"/>
              </w:rPr>
            </w:pPr>
            <w:r w:rsidRPr="00931642">
              <w:rPr>
                <w:rFonts w:ascii="Arial Narrow" w:hAnsi="Arial Narrow"/>
                <w:b/>
                <w:sz w:val="20"/>
              </w:rPr>
              <w:t>Program</w:t>
            </w:r>
          </w:p>
        </w:tc>
        <w:tc>
          <w:tcPr>
            <w:tcW w:w="3991" w:type="pct"/>
            <w:gridSpan w:val="6"/>
            <w:tcBorders>
              <w:top w:val="single" w:sz="4" w:space="0" w:color="auto"/>
              <w:left w:val="single" w:sz="4" w:space="0" w:color="auto"/>
              <w:bottom w:val="single" w:sz="4" w:space="0" w:color="auto"/>
              <w:right w:val="single" w:sz="4" w:space="0" w:color="auto"/>
            </w:tcBorders>
          </w:tcPr>
          <w:p w:rsidR="006641E9" w:rsidRPr="00931642" w:rsidRDefault="006641E9" w:rsidP="006504C4">
            <w:pPr>
              <w:widowControl/>
              <w:rPr>
                <w:rFonts w:ascii="Arial Narrow" w:hAnsi="Arial Narrow"/>
                <w:i/>
                <w:sz w:val="20"/>
              </w:rPr>
            </w:pPr>
            <w:r w:rsidRPr="00931642">
              <w:rPr>
                <w:rFonts w:ascii="Arial Narrow" w:hAnsi="Arial Narrow"/>
                <w:i/>
                <w:sz w:val="20"/>
              </w:rPr>
              <w:t>Section 100 – Highly Specialised Drugs Program</w:t>
            </w:r>
          </w:p>
        </w:tc>
      </w:tr>
      <w:tr w:rsidR="006641E9" w:rsidRPr="00931642" w:rsidTr="00676BF5">
        <w:trPr>
          <w:cantSplit/>
          <w:trHeight w:val="360"/>
        </w:trPr>
        <w:tc>
          <w:tcPr>
            <w:tcW w:w="1009" w:type="pct"/>
            <w:tcBorders>
              <w:top w:val="single" w:sz="4" w:space="0" w:color="auto"/>
              <w:left w:val="single" w:sz="4" w:space="0" w:color="auto"/>
              <w:bottom w:val="single" w:sz="4" w:space="0" w:color="auto"/>
              <w:right w:val="single" w:sz="4" w:space="0" w:color="auto"/>
            </w:tcBorders>
          </w:tcPr>
          <w:p w:rsidR="006641E9" w:rsidRPr="00931642" w:rsidRDefault="006641E9" w:rsidP="006504C4">
            <w:pPr>
              <w:widowControl/>
              <w:rPr>
                <w:rFonts w:ascii="Arial Narrow" w:hAnsi="Arial Narrow"/>
                <w:b/>
                <w:sz w:val="20"/>
              </w:rPr>
            </w:pPr>
            <w:r w:rsidRPr="00931642">
              <w:rPr>
                <w:rFonts w:ascii="Arial Narrow" w:hAnsi="Arial Narrow"/>
                <w:b/>
                <w:sz w:val="20"/>
              </w:rPr>
              <w:t>Prescriber type:</w:t>
            </w:r>
          </w:p>
          <w:p w:rsidR="006641E9" w:rsidRPr="00931642" w:rsidRDefault="006641E9" w:rsidP="006504C4">
            <w:pPr>
              <w:widowControl/>
              <w:snapToGrid w:val="0"/>
              <w:rPr>
                <w:rFonts w:ascii="Arial Narrow" w:hAnsi="Arial Narrow"/>
                <w:b/>
                <w:sz w:val="20"/>
              </w:rPr>
            </w:pPr>
          </w:p>
        </w:tc>
        <w:tc>
          <w:tcPr>
            <w:tcW w:w="3991" w:type="pct"/>
            <w:gridSpan w:val="6"/>
            <w:tcBorders>
              <w:top w:val="single" w:sz="4" w:space="0" w:color="auto"/>
              <w:left w:val="single" w:sz="4" w:space="0" w:color="auto"/>
              <w:bottom w:val="single" w:sz="4" w:space="0" w:color="auto"/>
              <w:right w:val="single" w:sz="4" w:space="0" w:color="auto"/>
            </w:tcBorders>
          </w:tcPr>
          <w:p w:rsidR="006641E9" w:rsidRPr="00931642" w:rsidRDefault="006641E9" w:rsidP="006504C4">
            <w:pPr>
              <w:widowControl/>
              <w:rPr>
                <w:rFonts w:ascii="Arial Narrow" w:hAnsi="Arial Narrow"/>
                <w:i/>
                <w:sz w:val="20"/>
              </w:rPr>
            </w:pPr>
            <w:r w:rsidRPr="00931642">
              <w:rPr>
                <w:rFonts w:ascii="Arial Narrow" w:hAnsi="Arial Narrow"/>
                <w:i/>
                <w:sz w:val="20"/>
              </w:rPr>
              <w:t xml:space="preserve"> </w:t>
            </w:r>
            <w:r w:rsidRPr="00931642">
              <w:rPr>
                <w:rFonts w:ascii="Arial Narrow" w:hAnsi="Arial Narrow"/>
                <w:i/>
                <w:sz w:val="20"/>
              </w:rPr>
              <w:fldChar w:fldCharType="begin">
                <w:ffData>
                  <w:name w:val=""/>
                  <w:enabled/>
                  <w:calcOnExit w:val="0"/>
                  <w:checkBox>
                    <w:sizeAuto/>
                    <w:default w:val="1"/>
                  </w:checkBox>
                </w:ffData>
              </w:fldChar>
            </w:r>
            <w:r w:rsidRPr="00931642">
              <w:rPr>
                <w:rFonts w:ascii="Arial Narrow" w:hAnsi="Arial Narrow"/>
                <w:i/>
                <w:sz w:val="20"/>
              </w:rPr>
              <w:instrText xml:space="preserve"> FORMCHECKBOX </w:instrText>
            </w:r>
            <w:r w:rsidR="00451B88">
              <w:rPr>
                <w:rFonts w:ascii="Arial Narrow" w:hAnsi="Arial Narrow"/>
                <w:i/>
                <w:sz w:val="20"/>
              </w:rPr>
            </w:r>
            <w:r w:rsidR="00451B88">
              <w:rPr>
                <w:rFonts w:ascii="Arial Narrow" w:hAnsi="Arial Narrow"/>
                <w:i/>
                <w:sz w:val="20"/>
              </w:rPr>
              <w:fldChar w:fldCharType="separate"/>
            </w:r>
            <w:r w:rsidRPr="00931642">
              <w:rPr>
                <w:rFonts w:ascii="Arial Narrow" w:hAnsi="Arial Narrow"/>
                <w:i/>
                <w:sz w:val="20"/>
              </w:rPr>
              <w:fldChar w:fldCharType="end"/>
            </w:r>
            <w:r w:rsidRPr="00931642">
              <w:rPr>
                <w:rFonts w:ascii="Arial Narrow" w:hAnsi="Arial Narrow"/>
                <w:i/>
                <w:sz w:val="20"/>
              </w:rPr>
              <w:t xml:space="preserve">Medical Practitioners  </w:t>
            </w:r>
          </w:p>
        </w:tc>
      </w:tr>
      <w:tr w:rsidR="006641E9" w:rsidRPr="00931642" w:rsidTr="00676BF5">
        <w:trPr>
          <w:cantSplit/>
          <w:trHeight w:val="360"/>
        </w:trPr>
        <w:tc>
          <w:tcPr>
            <w:tcW w:w="1009" w:type="pct"/>
            <w:tcBorders>
              <w:top w:val="single" w:sz="4" w:space="0" w:color="auto"/>
              <w:left w:val="single" w:sz="4" w:space="0" w:color="auto"/>
              <w:bottom w:val="single" w:sz="4" w:space="0" w:color="auto"/>
              <w:right w:val="single" w:sz="4" w:space="0" w:color="auto"/>
            </w:tcBorders>
            <w:hideMark/>
          </w:tcPr>
          <w:p w:rsidR="006641E9" w:rsidRPr="00931642" w:rsidRDefault="006641E9" w:rsidP="006504C4">
            <w:pPr>
              <w:widowControl/>
              <w:snapToGrid w:val="0"/>
              <w:rPr>
                <w:rFonts w:ascii="Arial Narrow" w:hAnsi="Arial Narrow"/>
                <w:b/>
                <w:sz w:val="20"/>
              </w:rPr>
            </w:pPr>
            <w:r w:rsidRPr="00931642">
              <w:rPr>
                <w:rFonts w:ascii="Arial Narrow" w:hAnsi="Arial Narrow"/>
                <w:b/>
                <w:sz w:val="20"/>
              </w:rPr>
              <w:t>PBS Indication:</w:t>
            </w:r>
          </w:p>
        </w:tc>
        <w:tc>
          <w:tcPr>
            <w:tcW w:w="3991" w:type="pct"/>
            <w:gridSpan w:val="6"/>
            <w:tcBorders>
              <w:top w:val="single" w:sz="4" w:space="0" w:color="auto"/>
              <w:left w:val="single" w:sz="4" w:space="0" w:color="auto"/>
              <w:bottom w:val="single" w:sz="4" w:space="0" w:color="auto"/>
              <w:right w:val="single" w:sz="4" w:space="0" w:color="auto"/>
            </w:tcBorders>
          </w:tcPr>
          <w:p w:rsidR="006641E9" w:rsidRPr="00931642" w:rsidRDefault="006641E9" w:rsidP="006504C4">
            <w:pPr>
              <w:widowControl/>
              <w:snapToGrid w:val="0"/>
              <w:rPr>
                <w:rFonts w:ascii="Arial Narrow" w:hAnsi="Arial Narrow"/>
                <w:i/>
                <w:sz w:val="20"/>
              </w:rPr>
            </w:pPr>
            <w:r w:rsidRPr="00931642">
              <w:rPr>
                <w:rFonts w:ascii="Arial Narrow" w:hAnsi="Arial Narrow"/>
                <w:i/>
                <w:sz w:val="20"/>
              </w:rPr>
              <w:t>Acromegaly</w:t>
            </w:r>
          </w:p>
        </w:tc>
      </w:tr>
      <w:tr w:rsidR="006641E9" w:rsidRPr="00931642" w:rsidTr="00676BF5">
        <w:trPr>
          <w:cantSplit/>
          <w:trHeight w:val="360"/>
        </w:trPr>
        <w:tc>
          <w:tcPr>
            <w:tcW w:w="1009" w:type="pct"/>
            <w:tcBorders>
              <w:top w:val="single" w:sz="4" w:space="0" w:color="auto"/>
              <w:left w:val="single" w:sz="4" w:space="0" w:color="auto"/>
              <w:bottom w:val="single" w:sz="4" w:space="0" w:color="auto"/>
              <w:right w:val="single" w:sz="4" w:space="0" w:color="auto"/>
            </w:tcBorders>
          </w:tcPr>
          <w:p w:rsidR="006641E9" w:rsidRPr="00931642" w:rsidRDefault="006641E9" w:rsidP="006504C4">
            <w:pPr>
              <w:widowControl/>
              <w:rPr>
                <w:rFonts w:ascii="Arial Narrow" w:hAnsi="Arial Narrow"/>
                <w:b/>
                <w:sz w:val="20"/>
              </w:rPr>
            </w:pPr>
            <w:r w:rsidRPr="00931642">
              <w:rPr>
                <w:rFonts w:ascii="Arial Narrow" w:hAnsi="Arial Narrow"/>
                <w:b/>
                <w:sz w:val="20"/>
              </w:rPr>
              <w:t>Treatment phase:</w:t>
            </w:r>
          </w:p>
        </w:tc>
        <w:tc>
          <w:tcPr>
            <w:tcW w:w="3991" w:type="pct"/>
            <w:gridSpan w:val="6"/>
            <w:tcBorders>
              <w:top w:val="single" w:sz="4" w:space="0" w:color="auto"/>
              <w:left w:val="single" w:sz="4" w:space="0" w:color="auto"/>
              <w:bottom w:val="single" w:sz="4" w:space="0" w:color="auto"/>
              <w:right w:val="single" w:sz="4" w:space="0" w:color="auto"/>
            </w:tcBorders>
          </w:tcPr>
          <w:p w:rsidR="006641E9" w:rsidRPr="00931642" w:rsidRDefault="006641E9" w:rsidP="006504C4">
            <w:pPr>
              <w:widowControl/>
              <w:snapToGrid w:val="0"/>
              <w:rPr>
                <w:rFonts w:ascii="Arial Narrow" w:hAnsi="Arial Narrow"/>
                <w:i/>
                <w:sz w:val="20"/>
              </w:rPr>
            </w:pPr>
            <w:r w:rsidRPr="00931642">
              <w:rPr>
                <w:rFonts w:ascii="Arial Narrow" w:hAnsi="Arial Narrow"/>
                <w:i/>
                <w:sz w:val="20"/>
              </w:rPr>
              <w:t>Loading dose</w:t>
            </w:r>
          </w:p>
        </w:tc>
      </w:tr>
      <w:tr w:rsidR="006641E9" w:rsidRPr="00931642" w:rsidTr="00676BF5">
        <w:trPr>
          <w:cantSplit/>
          <w:trHeight w:val="360"/>
        </w:trPr>
        <w:tc>
          <w:tcPr>
            <w:tcW w:w="1009" w:type="pct"/>
            <w:tcBorders>
              <w:top w:val="single" w:sz="4" w:space="0" w:color="auto"/>
              <w:left w:val="single" w:sz="4" w:space="0" w:color="auto"/>
              <w:bottom w:val="single" w:sz="4" w:space="0" w:color="auto"/>
              <w:right w:val="single" w:sz="4" w:space="0" w:color="auto"/>
            </w:tcBorders>
          </w:tcPr>
          <w:p w:rsidR="006641E9" w:rsidRPr="00931642" w:rsidRDefault="006641E9" w:rsidP="006504C4">
            <w:pPr>
              <w:widowControl/>
              <w:jc w:val="left"/>
              <w:rPr>
                <w:rFonts w:ascii="Arial Narrow" w:hAnsi="Arial Narrow"/>
                <w:b/>
                <w:sz w:val="20"/>
              </w:rPr>
            </w:pPr>
            <w:r w:rsidRPr="00931642">
              <w:rPr>
                <w:rFonts w:ascii="Arial Narrow" w:hAnsi="Arial Narrow"/>
                <w:b/>
                <w:sz w:val="20"/>
              </w:rPr>
              <w:t>Restriction Level / Method:</w:t>
            </w:r>
          </w:p>
        </w:tc>
        <w:tc>
          <w:tcPr>
            <w:tcW w:w="3991" w:type="pct"/>
            <w:gridSpan w:val="6"/>
            <w:tcBorders>
              <w:top w:val="single" w:sz="4" w:space="0" w:color="auto"/>
              <w:left w:val="single" w:sz="4" w:space="0" w:color="auto"/>
              <w:bottom w:val="single" w:sz="4" w:space="0" w:color="auto"/>
              <w:right w:val="single" w:sz="4" w:space="0" w:color="auto"/>
            </w:tcBorders>
          </w:tcPr>
          <w:p w:rsidR="006641E9" w:rsidRPr="00931642" w:rsidRDefault="006641E9" w:rsidP="006504C4">
            <w:pPr>
              <w:widowControl/>
              <w:rPr>
                <w:rFonts w:ascii="Arial Narrow" w:hAnsi="Arial Narrow"/>
                <w:i/>
                <w:sz w:val="20"/>
              </w:rPr>
            </w:pPr>
            <w:r w:rsidRPr="00931642">
              <w:rPr>
                <w:rFonts w:ascii="Arial Narrow" w:hAnsi="Arial Narrow"/>
                <w:i/>
                <w:sz w:val="20"/>
              </w:rPr>
              <w:fldChar w:fldCharType="begin">
                <w:ffData>
                  <w:name w:val=""/>
                  <w:enabled/>
                  <w:calcOnExit w:val="0"/>
                  <w:checkBox>
                    <w:sizeAuto/>
                    <w:default w:val="1"/>
                  </w:checkBox>
                </w:ffData>
              </w:fldChar>
            </w:r>
            <w:r w:rsidRPr="00931642">
              <w:rPr>
                <w:rFonts w:ascii="Arial Narrow" w:hAnsi="Arial Narrow"/>
                <w:i/>
                <w:sz w:val="20"/>
              </w:rPr>
              <w:instrText xml:space="preserve"> FORMCHECKBOX </w:instrText>
            </w:r>
            <w:r w:rsidR="00451B88">
              <w:rPr>
                <w:rFonts w:ascii="Arial Narrow" w:hAnsi="Arial Narrow"/>
                <w:i/>
                <w:sz w:val="20"/>
              </w:rPr>
            </w:r>
            <w:r w:rsidR="00451B88">
              <w:rPr>
                <w:rFonts w:ascii="Arial Narrow" w:hAnsi="Arial Narrow"/>
                <w:i/>
                <w:sz w:val="20"/>
              </w:rPr>
              <w:fldChar w:fldCharType="separate"/>
            </w:r>
            <w:r w:rsidRPr="00931642">
              <w:rPr>
                <w:rFonts w:ascii="Arial Narrow" w:hAnsi="Arial Narrow"/>
                <w:i/>
                <w:sz w:val="20"/>
              </w:rPr>
              <w:fldChar w:fldCharType="end"/>
            </w:r>
            <w:r w:rsidRPr="00931642">
              <w:rPr>
                <w:rFonts w:ascii="Arial Narrow" w:hAnsi="Arial Narrow"/>
                <w:i/>
                <w:sz w:val="20"/>
              </w:rPr>
              <w:t>Authority Required - In Writing</w:t>
            </w:r>
          </w:p>
          <w:p w:rsidR="006641E9" w:rsidRPr="00931642" w:rsidRDefault="006641E9" w:rsidP="006504C4">
            <w:pPr>
              <w:widowControl/>
              <w:snapToGrid w:val="0"/>
              <w:rPr>
                <w:rFonts w:ascii="Arial Narrow" w:hAnsi="Arial Narrow"/>
                <w:i/>
                <w:sz w:val="20"/>
              </w:rPr>
            </w:pPr>
          </w:p>
        </w:tc>
      </w:tr>
      <w:tr w:rsidR="006641E9" w:rsidRPr="00931642" w:rsidTr="00676BF5">
        <w:trPr>
          <w:trHeight w:val="360"/>
        </w:trPr>
        <w:tc>
          <w:tcPr>
            <w:tcW w:w="1009" w:type="pct"/>
            <w:tcBorders>
              <w:top w:val="single" w:sz="4" w:space="0" w:color="auto"/>
              <w:left w:val="single" w:sz="4" w:space="0" w:color="auto"/>
              <w:bottom w:val="single" w:sz="4" w:space="0" w:color="auto"/>
              <w:right w:val="single" w:sz="4" w:space="0" w:color="auto"/>
            </w:tcBorders>
          </w:tcPr>
          <w:p w:rsidR="006641E9" w:rsidRPr="00931642" w:rsidRDefault="006641E9" w:rsidP="006504C4">
            <w:pPr>
              <w:widowControl/>
              <w:rPr>
                <w:rFonts w:ascii="Arial Narrow" w:hAnsi="Arial Narrow"/>
                <w:b/>
                <w:sz w:val="20"/>
              </w:rPr>
            </w:pPr>
            <w:r w:rsidRPr="00931642">
              <w:rPr>
                <w:rFonts w:ascii="Arial Narrow" w:hAnsi="Arial Narrow"/>
                <w:b/>
                <w:sz w:val="20"/>
              </w:rPr>
              <w:t>Clinical criteria:</w:t>
            </w:r>
          </w:p>
          <w:p w:rsidR="006641E9" w:rsidRPr="00931642" w:rsidRDefault="006641E9" w:rsidP="006504C4">
            <w:pPr>
              <w:widowControl/>
              <w:rPr>
                <w:rFonts w:ascii="Arial Narrow" w:hAnsi="Arial Narrow"/>
                <w:sz w:val="20"/>
              </w:rPr>
            </w:pPr>
          </w:p>
          <w:p w:rsidR="006641E9" w:rsidRPr="00931642" w:rsidRDefault="006641E9" w:rsidP="006504C4">
            <w:pPr>
              <w:widowControl/>
              <w:snapToGrid w:val="0"/>
              <w:rPr>
                <w:rFonts w:ascii="Arial Narrow" w:hAnsi="Arial Narrow"/>
                <w:sz w:val="20"/>
              </w:rPr>
            </w:pPr>
          </w:p>
        </w:tc>
        <w:tc>
          <w:tcPr>
            <w:tcW w:w="3991" w:type="pct"/>
            <w:gridSpan w:val="6"/>
            <w:tcBorders>
              <w:top w:val="single" w:sz="4" w:space="0" w:color="auto"/>
              <w:left w:val="single" w:sz="4" w:space="0" w:color="auto"/>
              <w:bottom w:val="single" w:sz="4" w:space="0" w:color="auto"/>
              <w:right w:val="single" w:sz="4" w:space="0" w:color="auto"/>
            </w:tcBorders>
          </w:tcPr>
          <w:p w:rsidR="00DC5049" w:rsidRPr="00931642" w:rsidRDefault="00DC5049" w:rsidP="006504C4">
            <w:pPr>
              <w:widowControl/>
              <w:snapToGrid w:val="0"/>
              <w:rPr>
                <w:rFonts w:ascii="Arial Narrow" w:hAnsi="Arial Narrow"/>
                <w:i/>
                <w:strike/>
                <w:sz w:val="20"/>
              </w:rPr>
            </w:pPr>
            <w:r w:rsidRPr="00931642">
              <w:rPr>
                <w:rFonts w:ascii="Arial Narrow" w:hAnsi="Arial Narrow"/>
                <w:i/>
                <w:strike/>
                <w:sz w:val="20"/>
              </w:rPr>
              <w:t>Patient must have active acromegaly</w:t>
            </w:r>
          </w:p>
          <w:p w:rsidR="00DC5049" w:rsidRPr="00931642" w:rsidRDefault="00DC5049" w:rsidP="006504C4">
            <w:pPr>
              <w:widowControl/>
              <w:snapToGrid w:val="0"/>
              <w:rPr>
                <w:rFonts w:ascii="Arial Narrow" w:hAnsi="Arial Narrow"/>
                <w:i/>
                <w:strike/>
                <w:sz w:val="20"/>
              </w:rPr>
            </w:pPr>
            <w:r w:rsidRPr="00931642">
              <w:rPr>
                <w:rFonts w:ascii="Arial Narrow" w:hAnsi="Arial Narrow"/>
                <w:i/>
                <w:strike/>
                <w:sz w:val="20"/>
              </w:rPr>
              <w:t>AND</w:t>
            </w:r>
          </w:p>
          <w:p w:rsidR="00DC5049" w:rsidRPr="00931642" w:rsidRDefault="00DC5049" w:rsidP="006504C4">
            <w:pPr>
              <w:widowControl/>
              <w:snapToGrid w:val="0"/>
              <w:rPr>
                <w:rFonts w:ascii="Arial Narrow" w:hAnsi="Arial Narrow"/>
                <w:i/>
                <w:strike/>
                <w:sz w:val="20"/>
              </w:rPr>
            </w:pPr>
            <w:r w:rsidRPr="00931642">
              <w:rPr>
                <w:rFonts w:ascii="Arial Narrow" w:hAnsi="Arial Narrow"/>
                <w:i/>
                <w:strike/>
                <w:sz w:val="20"/>
              </w:rPr>
              <w:t xml:space="preserve">Patient must have had surgery OR patient is unfit or unwilling to undergo surgery </w:t>
            </w:r>
          </w:p>
          <w:p w:rsidR="00DC5049" w:rsidRPr="00931642" w:rsidRDefault="00DC5049" w:rsidP="006504C4">
            <w:pPr>
              <w:widowControl/>
              <w:snapToGrid w:val="0"/>
              <w:rPr>
                <w:rFonts w:ascii="Arial Narrow" w:hAnsi="Arial Narrow"/>
                <w:i/>
                <w:strike/>
                <w:sz w:val="20"/>
              </w:rPr>
            </w:pPr>
            <w:r w:rsidRPr="00931642">
              <w:rPr>
                <w:rFonts w:ascii="Arial Narrow" w:hAnsi="Arial Narrow"/>
                <w:i/>
                <w:strike/>
                <w:sz w:val="20"/>
              </w:rPr>
              <w:t>AND</w:t>
            </w:r>
          </w:p>
          <w:p w:rsidR="00DC5049" w:rsidRPr="00931642" w:rsidRDefault="00DC5049" w:rsidP="006504C4">
            <w:pPr>
              <w:widowControl/>
              <w:snapToGrid w:val="0"/>
              <w:rPr>
                <w:rFonts w:ascii="Arial Narrow" w:hAnsi="Arial Narrow"/>
                <w:i/>
                <w:strike/>
                <w:sz w:val="20"/>
              </w:rPr>
            </w:pPr>
            <w:r w:rsidRPr="00931642">
              <w:rPr>
                <w:rFonts w:ascii="Arial Narrow" w:hAnsi="Arial Narrow"/>
                <w:i/>
                <w:strike/>
                <w:sz w:val="20"/>
              </w:rPr>
              <w:t>Radiotherapy is contraindicated or patient is unfit or unwilling to undergo radiotherapy OR patient is receiving this drug as interim treatment while waiting the effects of radiotherapy</w:t>
            </w:r>
          </w:p>
          <w:p w:rsidR="00DC5049" w:rsidRPr="00931642" w:rsidRDefault="00DC5049" w:rsidP="006504C4">
            <w:pPr>
              <w:widowControl/>
              <w:snapToGrid w:val="0"/>
              <w:rPr>
                <w:rFonts w:ascii="Arial Narrow" w:hAnsi="Arial Narrow"/>
                <w:i/>
                <w:strike/>
                <w:sz w:val="20"/>
              </w:rPr>
            </w:pPr>
            <w:r w:rsidRPr="00931642">
              <w:rPr>
                <w:rFonts w:ascii="Arial Narrow" w:hAnsi="Arial Narrow"/>
                <w:i/>
                <w:strike/>
                <w:sz w:val="20"/>
              </w:rPr>
              <w:t>AND</w:t>
            </w:r>
          </w:p>
          <w:p w:rsidR="00DC5049" w:rsidRPr="00931642" w:rsidRDefault="00DC5049" w:rsidP="006504C4">
            <w:pPr>
              <w:widowControl/>
              <w:snapToGrid w:val="0"/>
              <w:rPr>
                <w:rFonts w:ascii="Arial Narrow" w:hAnsi="Arial Narrow"/>
                <w:i/>
                <w:strike/>
                <w:sz w:val="20"/>
              </w:rPr>
            </w:pPr>
            <w:r w:rsidRPr="00931642">
              <w:rPr>
                <w:rFonts w:ascii="Arial Narrow" w:hAnsi="Arial Narrow"/>
                <w:i/>
                <w:strike/>
                <w:sz w:val="20"/>
              </w:rPr>
              <w:t>Patient must have failed dopamine agonists</w:t>
            </w:r>
          </w:p>
          <w:p w:rsidR="006641E9" w:rsidRPr="00931642" w:rsidRDefault="006641E9" w:rsidP="006504C4">
            <w:pPr>
              <w:widowControl/>
              <w:snapToGrid w:val="0"/>
              <w:rPr>
                <w:i/>
                <w:color w:val="222222"/>
                <w:sz w:val="21"/>
                <w:szCs w:val="21"/>
              </w:rPr>
            </w:pPr>
            <w:r w:rsidRPr="00931642">
              <w:rPr>
                <w:rFonts w:ascii="Arial Narrow" w:hAnsi="Arial Narrow"/>
                <w:i/>
                <w:sz w:val="20"/>
              </w:rPr>
              <w:t>Patient must not have previously received PBS-subsidised treatment with this drug for this condition</w:t>
            </w:r>
          </w:p>
          <w:p w:rsidR="006641E9" w:rsidRPr="00931642" w:rsidRDefault="006641E9" w:rsidP="006504C4">
            <w:pPr>
              <w:widowControl/>
              <w:snapToGrid w:val="0"/>
              <w:rPr>
                <w:rFonts w:ascii="Arial Narrow" w:hAnsi="Arial Narrow"/>
                <w:i/>
                <w:sz w:val="20"/>
              </w:rPr>
            </w:pPr>
            <w:r w:rsidRPr="00931642">
              <w:rPr>
                <w:rFonts w:ascii="Arial Narrow" w:hAnsi="Arial Narrow"/>
                <w:i/>
                <w:sz w:val="20"/>
              </w:rPr>
              <w:t>AND</w:t>
            </w:r>
          </w:p>
          <w:p w:rsidR="00DC5049" w:rsidRPr="00931642" w:rsidRDefault="00DC5049" w:rsidP="006504C4">
            <w:pPr>
              <w:widowControl/>
              <w:snapToGrid w:val="0"/>
              <w:rPr>
                <w:rFonts w:ascii="Arial Narrow" w:hAnsi="Arial Narrow"/>
                <w:sz w:val="20"/>
              </w:rPr>
            </w:pPr>
            <w:r w:rsidRPr="00931642">
              <w:rPr>
                <w:rFonts w:ascii="Arial Narrow" w:hAnsi="Arial Narrow"/>
                <w:sz w:val="20"/>
              </w:rPr>
              <w:t xml:space="preserve">Patient must have </w:t>
            </w:r>
            <w:r w:rsidRPr="00931642">
              <w:rPr>
                <w:rFonts w:ascii="Arial Narrow" w:hAnsi="Arial Narrow"/>
                <w:i/>
                <w:sz w:val="20"/>
              </w:rPr>
              <w:t>an age- and sex-adjusted insulin-like growth factor 1 (</w:t>
            </w:r>
            <w:r w:rsidRPr="00931642">
              <w:rPr>
                <w:rFonts w:ascii="Arial Narrow" w:hAnsi="Arial Narrow"/>
                <w:sz w:val="20"/>
              </w:rPr>
              <w:t xml:space="preserve">IGF-1) concentration  ≥ 1.3 times </w:t>
            </w:r>
            <w:r w:rsidRPr="00931642">
              <w:rPr>
                <w:rFonts w:ascii="Arial Narrow" w:hAnsi="Arial Narrow"/>
                <w:i/>
                <w:sz w:val="20"/>
              </w:rPr>
              <w:t>upper limit of normal (</w:t>
            </w:r>
            <w:r w:rsidRPr="00931642">
              <w:rPr>
                <w:rFonts w:ascii="Arial Narrow" w:hAnsi="Arial Narrow"/>
                <w:sz w:val="20"/>
              </w:rPr>
              <w:t>ULN).</w:t>
            </w:r>
          </w:p>
          <w:p w:rsidR="00DC5049" w:rsidRPr="00931642" w:rsidRDefault="00DC5049" w:rsidP="006504C4">
            <w:pPr>
              <w:widowControl/>
              <w:snapToGrid w:val="0"/>
              <w:rPr>
                <w:rFonts w:ascii="Arial Narrow" w:hAnsi="Arial Narrow"/>
                <w:i/>
                <w:strike/>
                <w:sz w:val="20"/>
              </w:rPr>
            </w:pPr>
            <w:r w:rsidRPr="00931642">
              <w:rPr>
                <w:rFonts w:ascii="Arial Narrow" w:hAnsi="Arial Narrow"/>
                <w:i/>
                <w:strike/>
                <w:sz w:val="20"/>
              </w:rPr>
              <w:t>AND</w:t>
            </w:r>
          </w:p>
          <w:p w:rsidR="00DC5049" w:rsidRPr="00931642" w:rsidRDefault="00DC5049" w:rsidP="006504C4">
            <w:pPr>
              <w:widowControl/>
              <w:snapToGrid w:val="0"/>
              <w:rPr>
                <w:rFonts w:ascii="Arial Narrow" w:hAnsi="Arial Narrow"/>
                <w:i/>
                <w:strike/>
                <w:sz w:val="20"/>
              </w:rPr>
            </w:pPr>
            <w:r w:rsidRPr="00931642">
              <w:rPr>
                <w:rFonts w:ascii="Arial Narrow" w:hAnsi="Arial Narrow"/>
                <w:i/>
                <w:strike/>
                <w:sz w:val="20"/>
              </w:rPr>
              <w:t>Treatment must cease if IGF-1 is not lower after 3 months of pegvisomant at 30 mg daily.</w:t>
            </w:r>
          </w:p>
          <w:p w:rsidR="00DC5049" w:rsidRPr="00931642" w:rsidRDefault="00DC5049" w:rsidP="006504C4">
            <w:pPr>
              <w:widowControl/>
              <w:snapToGrid w:val="0"/>
              <w:rPr>
                <w:rFonts w:ascii="Arial Narrow" w:hAnsi="Arial Narrow"/>
                <w:i/>
                <w:strike/>
                <w:sz w:val="20"/>
              </w:rPr>
            </w:pPr>
            <w:r w:rsidRPr="00931642">
              <w:rPr>
                <w:rFonts w:ascii="Arial Narrow" w:hAnsi="Arial Narrow"/>
                <w:i/>
                <w:strike/>
                <w:sz w:val="20"/>
              </w:rPr>
              <w:t xml:space="preserve">AND </w:t>
            </w:r>
          </w:p>
          <w:p w:rsidR="00DC5049" w:rsidRPr="00931642" w:rsidRDefault="00DC5049" w:rsidP="006504C4">
            <w:pPr>
              <w:widowControl/>
              <w:snapToGrid w:val="0"/>
              <w:rPr>
                <w:rFonts w:ascii="Arial Narrow" w:hAnsi="Arial Narrow"/>
                <w:i/>
                <w:strike/>
                <w:sz w:val="20"/>
              </w:rPr>
            </w:pPr>
            <w:r w:rsidRPr="00931642">
              <w:rPr>
                <w:rFonts w:ascii="Arial Narrow" w:hAnsi="Arial Narrow"/>
                <w:i/>
                <w:strike/>
                <w:sz w:val="20"/>
              </w:rPr>
              <w:t xml:space="preserve">Patient must have failed treatment with either octreotide LAR 30 mg or lanreotide ATG </w:t>
            </w:r>
            <w:r w:rsidRPr="00931642">
              <w:rPr>
                <w:rFonts w:ascii="Arial Narrow" w:hAnsi="Arial Narrow"/>
                <w:i/>
                <w:strike/>
                <w:sz w:val="20"/>
              </w:rPr>
              <w:lastRenderedPageBreak/>
              <w:t xml:space="preserve">120 mg  OR patient is intolerant or contraindicated to octreotide LAR 30 mg or lanreotide ATG 120 mg </w:t>
            </w:r>
          </w:p>
          <w:p w:rsidR="006641E9" w:rsidRPr="00931642" w:rsidRDefault="006641E9" w:rsidP="006504C4">
            <w:pPr>
              <w:widowControl/>
              <w:snapToGrid w:val="0"/>
              <w:rPr>
                <w:rFonts w:ascii="Arial Narrow" w:hAnsi="Arial Narrow"/>
                <w:i/>
                <w:sz w:val="20"/>
              </w:rPr>
            </w:pPr>
            <w:r w:rsidRPr="00931642">
              <w:rPr>
                <w:rFonts w:ascii="Arial Narrow" w:hAnsi="Arial Narrow"/>
                <w:i/>
                <w:sz w:val="20"/>
              </w:rPr>
              <w:t>AND</w:t>
            </w:r>
          </w:p>
          <w:p w:rsidR="006641E9" w:rsidRPr="00931642" w:rsidRDefault="006641E9" w:rsidP="006504C4">
            <w:pPr>
              <w:widowControl/>
              <w:snapToGrid w:val="0"/>
              <w:rPr>
                <w:rFonts w:ascii="Arial Narrow" w:hAnsi="Arial Narrow"/>
                <w:i/>
                <w:sz w:val="20"/>
              </w:rPr>
            </w:pPr>
            <w:r w:rsidRPr="00931642">
              <w:rPr>
                <w:rFonts w:ascii="Arial Narrow" w:hAnsi="Arial Narrow"/>
                <w:i/>
                <w:sz w:val="20"/>
              </w:rPr>
              <w:t>The treatment must be after failure to achieve biochemical control with a maximum indicated dose of either 30 mg octreotide or 120 mg lanreotide every 28 days for 24 weeks, unless contraindicated or not tolerated according to the TGA approved Product Information</w:t>
            </w:r>
          </w:p>
          <w:p w:rsidR="00DC5049" w:rsidRPr="00931642" w:rsidRDefault="00DC5049" w:rsidP="006504C4">
            <w:pPr>
              <w:widowControl/>
              <w:snapToGrid w:val="0"/>
              <w:rPr>
                <w:rFonts w:ascii="Arial Narrow" w:hAnsi="Arial Narrow"/>
                <w:i/>
                <w:strike/>
                <w:sz w:val="20"/>
              </w:rPr>
            </w:pPr>
            <w:r w:rsidRPr="00931642">
              <w:rPr>
                <w:rFonts w:ascii="Arial Narrow" w:hAnsi="Arial Narrow"/>
                <w:i/>
                <w:strike/>
                <w:sz w:val="20"/>
              </w:rPr>
              <w:t xml:space="preserve">AND </w:t>
            </w:r>
          </w:p>
          <w:p w:rsidR="00DC5049" w:rsidRPr="00931642" w:rsidRDefault="00DC5049" w:rsidP="006504C4">
            <w:pPr>
              <w:widowControl/>
              <w:snapToGrid w:val="0"/>
              <w:rPr>
                <w:rFonts w:ascii="Arial Narrow" w:hAnsi="Arial Narrow"/>
                <w:i/>
                <w:strike/>
                <w:sz w:val="20"/>
              </w:rPr>
            </w:pPr>
            <w:r w:rsidRPr="00931642">
              <w:rPr>
                <w:rFonts w:ascii="Arial Narrow" w:hAnsi="Arial Narrow"/>
                <w:i/>
                <w:strike/>
                <w:sz w:val="20"/>
              </w:rPr>
              <w:t>Patient must have failed treatment with pasireotide LAR OR patient must have been intolerant or contraindicated to pasireotide LAR or it is considered inappropriate</w:t>
            </w:r>
          </w:p>
          <w:p w:rsidR="006641E9" w:rsidRPr="00931642" w:rsidRDefault="006641E9" w:rsidP="006504C4">
            <w:pPr>
              <w:widowControl/>
              <w:snapToGrid w:val="0"/>
              <w:rPr>
                <w:rFonts w:ascii="Arial Narrow" w:hAnsi="Arial Narrow"/>
                <w:i/>
                <w:sz w:val="20"/>
              </w:rPr>
            </w:pPr>
            <w:r w:rsidRPr="00931642">
              <w:rPr>
                <w:rFonts w:ascii="Arial Narrow" w:hAnsi="Arial Narrow"/>
                <w:i/>
                <w:sz w:val="20"/>
              </w:rPr>
              <w:t>AND</w:t>
            </w:r>
          </w:p>
          <w:p w:rsidR="006641E9" w:rsidRPr="00931642" w:rsidRDefault="006641E9" w:rsidP="006504C4">
            <w:pPr>
              <w:widowControl/>
              <w:snapToGrid w:val="0"/>
              <w:rPr>
                <w:rFonts w:ascii="Arial Narrow" w:hAnsi="Arial Narrow"/>
                <w:i/>
                <w:sz w:val="20"/>
              </w:rPr>
            </w:pPr>
            <w:r w:rsidRPr="00931642">
              <w:rPr>
                <w:rFonts w:ascii="Arial Narrow" w:hAnsi="Arial Narrow"/>
                <w:i/>
                <w:sz w:val="20"/>
              </w:rPr>
              <w:t>The treatment must be after failure to achieve biochemical control with a maximum indicated dose of pasireotide, unless contraindicated or not tolerated according to the TGA approved Product Information</w:t>
            </w:r>
          </w:p>
          <w:p w:rsidR="006641E9" w:rsidRPr="00931642" w:rsidRDefault="006641E9" w:rsidP="006504C4">
            <w:pPr>
              <w:widowControl/>
              <w:snapToGrid w:val="0"/>
              <w:rPr>
                <w:rFonts w:ascii="Arial Narrow" w:hAnsi="Arial Narrow"/>
                <w:i/>
                <w:sz w:val="20"/>
              </w:rPr>
            </w:pPr>
            <w:r w:rsidRPr="00931642">
              <w:rPr>
                <w:rFonts w:ascii="Arial Narrow" w:hAnsi="Arial Narrow"/>
                <w:i/>
                <w:sz w:val="20"/>
              </w:rPr>
              <w:t xml:space="preserve">AND </w:t>
            </w:r>
          </w:p>
          <w:p w:rsidR="006641E9" w:rsidRPr="00931642" w:rsidRDefault="006641E9" w:rsidP="006504C4">
            <w:pPr>
              <w:widowControl/>
              <w:snapToGrid w:val="0"/>
              <w:rPr>
                <w:rFonts w:ascii="Arial Narrow" w:hAnsi="Arial Narrow"/>
                <w:i/>
                <w:sz w:val="20"/>
              </w:rPr>
            </w:pPr>
            <w:r w:rsidRPr="00931642">
              <w:rPr>
                <w:rFonts w:ascii="Arial Narrow" w:hAnsi="Arial Narrow"/>
                <w:i/>
                <w:sz w:val="20"/>
              </w:rPr>
              <w:t>This treatment must be the sole PBS-subsidised therapy for this condition</w:t>
            </w:r>
          </w:p>
        </w:tc>
        <w:bookmarkStart w:id="3" w:name="_GoBack"/>
        <w:bookmarkEnd w:id="3"/>
      </w:tr>
      <w:tr w:rsidR="006641E9" w:rsidRPr="00931642" w:rsidTr="00676BF5">
        <w:trPr>
          <w:cantSplit/>
          <w:trHeight w:val="360"/>
        </w:trPr>
        <w:tc>
          <w:tcPr>
            <w:tcW w:w="1009" w:type="pct"/>
            <w:tcBorders>
              <w:top w:val="single" w:sz="4" w:space="0" w:color="auto"/>
              <w:left w:val="single" w:sz="4" w:space="0" w:color="auto"/>
              <w:bottom w:val="single" w:sz="4" w:space="0" w:color="auto"/>
              <w:right w:val="single" w:sz="4" w:space="0" w:color="auto"/>
            </w:tcBorders>
          </w:tcPr>
          <w:p w:rsidR="006641E9" w:rsidRPr="00931642" w:rsidRDefault="006641E9" w:rsidP="006504C4">
            <w:pPr>
              <w:widowControl/>
              <w:rPr>
                <w:rFonts w:ascii="Arial Narrow" w:hAnsi="Arial Narrow"/>
                <w:b/>
                <w:sz w:val="20"/>
              </w:rPr>
            </w:pPr>
            <w:r w:rsidRPr="00931642">
              <w:rPr>
                <w:rFonts w:ascii="Arial Narrow" w:hAnsi="Arial Narrow"/>
                <w:b/>
                <w:sz w:val="20"/>
              </w:rPr>
              <w:lastRenderedPageBreak/>
              <w:t>Population criteria:</w:t>
            </w:r>
          </w:p>
        </w:tc>
        <w:tc>
          <w:tcPr>
            <w:tcW w:w="3991" w:type="pct"/>
            <w:gridSpan w:val="6"/>
            <w:tcBorders>
              <w:top w:val="single" w:sz="4" w:space="0" w:color="auto"/>
              <w:left w:val="single" w:sz="4" w:space="0" w:color="auto"/>
              <w:bottom w:val="single" w:sz="4" w:space="0" w:color="auto"/>
              <w:right w:val="single" w:sz="4" w:space="0" w:color="auto"/>
            </w:tcBorders>
          </w:tcPr>
          <w:p w:rsidR="006641E9" w:rsidRPr="00931642" w:rsidRDefault="006641E9" w:rsidP="006504C4">
            <w:pPr>
              <w:widowControl/>
              <w:jc w:val="left"/>
              <w:rPr>
                <w:rFonts w:ascii="Arial Narrow" w:hAnsi="Arial Narrow"/>
                <w:i/>
                <w:sz w:val="20"/>
              </w:rPr>
            </w:pPr>
            <w:r w:rsidRPr="00931642">
              <w:rPr>
                <w:rFonts w:ascii="Arial Narrow" w:hAnsi="Arial Narrow"/>
                <w:i/>
                <w:sz w:val="20"/>
              </w:rPr>
              <w:t>Patient must be 18 years or older</w:t>
            </w:r>
          </w:p>
        </w:tc>
      </w:tr>
      <w:tr w:rsidR="006641E9" w:rsidRPr="00931642" w:rsidTr="00676BF5">
        <w:trPr>
          <w:trHeight w:val="466"/>
        </w:trPr>
        <w:tc>
          <w:tcPr>
            <w:tcW w:w="1009" w:type="pct"/>
            <w:tcBorders>
              <w:top w:val="single" w:sz="4" w:space="0" w:color="auto"/>
              <w:left w:val="single" w:sz="4" w:space="0" w:color="auto"/>
              <w:bottom w:val="single" w:sz="4" w:space="0" w:color="auto"/>
              <w:right w:val="single" w:sz="4" w:space="0" w:color="auto"/>
            </w:tcBorders>
          </w:tcPr>
          <w:p w:rsidR="006641E9" w:rsidRPr="00931642" w:rsidRDefault="006641E9" w:rsidP="006504C4">
            <w:pPr>
              <w:widowControl/>
              <w:rPr>
                <w:rFonts w:ascii="Arial Narrow" w:hAnsi="Arial Narrow"/>
                <w:b/>
                <w:sz w:val="20"/>
              </w:rPr>
            </w:pPr>
            <w:r w:rsidRPr="00931642">
              <w:rPr>
                <w:rFonts w:ascii="Arial Narrow" w:hAnsi="Arial Narrow"/>
                <w:b/>
                <w:sz w:val="20"/>
              </w:rPr>
              <w:t>Prescriber Instruction</w:t>
            </w:r>
          </w:p>
        </w:tc>
        <w:tc>
          <w:tcPr>
            <w:tcW w:w="3991" w:type="pct"/>
            <w:gridSpan w:val="6"/>
            <w:tcBorders>
              <w:top w:val="single" w:sz="4" w:space="0" w:color="auto"/>
              <w:left w:val="single" w:sz="4" w:space="0" w:color="auto"/>
              <w:bottom w:val="single" w:sz="4" w:space="0" w:color="auto"/>
              <w:right w:val="single" w:sz="4" w:space="0" w:color="auto"/>
            </w:tcBorders>
          </w:tcPr>
          <w:p w:rsidR="006641E9" w:rsidRPr="00931642" w:rsidRDefault="006641E9" w:rsidP="006504C4">
            <w:pPr>
              <w:widowControl/>
              <w:snapToGrid w:val="0"/>
              <w:rPr>
                <w:rFonts w:ascii="Arial Narrow" w:hAnsi="Arial Narrow"/>
                <w:i/>
                <w:sz w:val="20"/>
              </w:rPr>
            </w:pPr>
            <w:r w:rsidRPr="00931642">
              <w:rPr>
                <w:rFonts w:ascii="Arial Narrow" w:hAnsi="Arial Narrow"/>
                <w:i/>
                <w:sz w:val="20"/>
              </w:rPr>
              <w:t>If treatment with octreotide, lanreotide or pasireotide is contraindicated according to the relevant TGA-approved Product Information, the application must provide details of contraindication.</w:t>
            </w:r>
          </w:p>
          <w:p w:rsidR="006641E9" w:rsidRPr="00931642" w:rsidRDefault="006641E9" w:rsidP="006504C4">
            <w:pPr>
              <w:widowControl/>
              <w:snapToGrid w:val="0"/>
              <w:rPr>
                <w:rFonts w:ascii="Arial Narrow" w:hAnsi="Arial Narrow"/>
                <w:i/>
                <w:sz w:val="20"/>
              </w:rPr>
            </w:pPr>
          </w:p>
          <w:p w:rsidR="006641E9" w:rsidRPr="00931642" w:rsidRDefault="006641E9" w:rsidP="006504C4">
            <w:pPr>
              <w:widowControl/>
              <w:snapToGrid w:val="0"/>
              <w:rPr>
                <w:rFonts w:ascii="Arial Narrow" w:hAnsi="Arial Narrow"/>
                <w:i/>
                <w:sz w:val="20"/>
              </w:rPr>
            </w:pPr>
            <w:r w:rsidRPr="00931642">
              <w:rPr>
                <w:rFonts w:ascii="Arial Narrow" w:hAnsi="Arial Narrow"/>
                <w:i/>
                <w:sz w:val="20"/>
              </w:rPr>
              <w:t xml:space="preserve">If intolerance to either octreotide, lanreotide or pasireotide treatment develops during the relevant period of use which is of a severity to necessitate withdrawal of the treatment, the application must provide details of the nature and severity of this intolerance. </w:t>
            </w:r>
          </w:p>
          <w:p w:rsidR="006641E9" w:rsidRPr="00931642" w:rsidRDefault="006641E9" w:rsidP="006504C4">
            <w:pPr>
              <w:widowControl/>
              <w:snapToGrid w:val="0"/>
              <w:rPr>
                <w:rFonts w:ascii="Arial Narrow" w:hAnsi="Arial Narrow"/>
                <w:i/>
                <w:sz w:val="20"/>
              </w:rPr>
            </w:pPr>
          </w:p>
          <w:p w:rsidR="006641E9" w:rsidRPr="00931642" w:rsidRDefault="006641E9" w:rsidP="006504C4">
            <w:pPr>
              <w:widowControl/>
              <w:rPr>
                <w:rFonts w:ascii="Arial Narrow" w:hAnsi="Arial Narrow"/>
                <w:i/>
                <w:sz w:val="20"/>
              </w:rPr>
            </w:pPr>
            <w:r w:rsidRPr="00931642">
              <w:rPr>
                <w:rFonts w:ascii="Arial Narrow" w:hAnsi="Arial Narrow"/>
                <w:i/>
                <w:sz w:val="20"/>
              </w:rPr>
              <w:t xml:space="preserve">In a patient treated with radiotherapy, pegvisomant should be withdrawn every 2 years in the 10 years after completion of radiotherapy for assessment of remission. Pegvisomant should be withdrawn at least 8 weeks prior to the assessment of remission. </w:t>
            </w:r>
          </w:p>
          <w:p w:rsidR="00DC5049" w:rsidRPr="00931642" w:rsidRDefault="00DC5049" w:rsidP="006504C4">
            <w:pPr>
              <w:widowControl/>
              <w:rPr>
                <w:rFonts w:ascii="Arial Narrow" w:hAnsi="Arial Narrow"/>
                <w:i/>
                <w:sz w:val="20"/>
              </w:rPr>
            </w:pPr>
          </w:p>
          <w:p w:rsidR="00DC5049" w:rsidRPr="00931642" w:rsidRDefault="00DC5049" w:rsidP="006504C4">
            <w:pPr>
              <w:widowControl/>
              <w:rPr>
                <w:rFonts w:ascii="Arial Narrow" w:hAnsi="Arial Narrow"/>
                <w:i/>
                <w:sz w:val="20"/>
              </w:rPr>
            </w:pPr>
            <w:r w:rsidRPr="00931642">
              <w:rPr>
                <w:rFonts w:ascii="Arial Narrow" w:hAnsi="Arial Narrow"/>
                <w:i/>
                <w:sz w:val="20"/>
              </w:rPr>
              <w:t xml:space="preserve">In a patient who has been previously treated with radiotherapy for this condition, the date of completion of radiotherapy must be provided; and a copy of IGF-1 level taken at the most recent two yearly </w:t>
            </w:r>
            <w:proofErr w:type="gramStart"/>
            <w:r w:rsidRPr="00931642">
              <w:rPr>
                <w:rFonts w:ascii="Arial Narrow" w:hAnsi="Arial Narrow"/>
                <w:i/>
                <w:sz w:val="20"/>
              </w:rPr>
              <w:t>assessment</w:t>
            </w:r>
            <w:proofErr w:type="gramEnd"/>
            <w:r w:rsidRPr="00931642">
              <w:rPr>
                <w:rFonts w:ascii="Arial Narrow" w:hAnsi="Arial Narrow"/>
                <w:i/>
                <w:sz w:val="20"/>
              </w:rPr>
              <w:t xml:space="preserve"> in the 10 years after completion of radiotherapy must be provided at the time of approval.</w:t>
            </w:r>
          </w:p>
          <w:p w:rsidR="006641E9" w:rsidRPr="00931642" w:rsidRDefault="006641E9" w:rsidP="006504C4">
            <w:pPr>
              <w:widowControl/>
              <w:rPr>
                <w:rFonts w:ascii="Arial Narrow" w:hAnsi="Arial Narrow"/>
                <w:i/>
                <w:sz w:val="20"/>
              </w:rPr>
            </w:pPr>
          </w:p>
          <w:p w:rsidR="006641E9" w:rsidRPr="00931642" w:rsidRDefault="006641E9" w:rsidP="006504C4">
            <w:pPr>
              <w:widowControl/>
              <w:rPr>
                <w:rFonts w:ascii="Arial Narrow" w:hAnsi="Arial Narrow"/>
                <w:i/>
                <w:sz w:val="20"/>
              </w:rPr>
            </w:pPr>
            <w:r w:rsidRPr="00931642">
              <w:rPr>
                <w:rFonts w:ascii="Arial Narrow" w:hAnsi="Arial Narrow"/>
                <w:i/>
                <w:sz w:val="20"/>
              </w:rPr>
              <w:t>Biochemical evidence of remission is defined as normalisation of sex- and age- adjusted insulin-like growth factor 1 (IGF-1)</w:t>
            </w:r>
          </w:p>
          <w:p w:rsidR="006641E9" w:rsidRPr="00931642" w:rsidRDefault="006641E9" w:rsidP="006504C4">
            <w:pPr>
              <w:widowControl/>
              <w:rPr>
                <w:rFonts w:ascii="Arial Narrow" w:hAnsi="Arial Narrow"/>
                <w:i/>
                <w:sz w:val="20"/>
              </w:rPr>
            </w:pPr>
          </w:p>
          <w:p w:rsidR="006641E9" w:rsidRPr="00931642" w:rsidRDefault="006641E9" w:rsidP="006504C4">
            <w:pPr>
              <w:widowControl/>
              <w:rPr>
                <w:rFonts w:ascii="Arial Narrow" w:hAnsi="Arial Narrow"/>
                <w:i/>
                <w:sz w:val="20"/>
              </w:rPr>
            </w:pPr>
            <w:r w:rsidRPr="00931642">
              <w:rPr>
                <w:rFonts w:ascii="Arial Narrow" w:hAnsi="Arial Narrow"/>
                <w:i/>
                <w:sz w:val="20"/>
              </w:rPr>
              <w:t>Treatment must cease if IGF-1 is not normalised after 3 months of pegvisomant treatment at a dose of 30 mg daily.</w:t>
            </w:r>
          </w:p>
        </w:tc>
      </w:tr>
    </w:tbl>
    <w:p w:rsidR="00DB7784" w:rsidRPr="00931642" w:rsidRDefault="00DB7784" w:rsidP="006504C4">
      <w:pPr>
        <w:widowControl/>
        <w:rPr>
          <w:rStyle w:val="IntenseReference"/>
          <w:rFonts w:ascii="Arial Narrow" w:hAnsi="Arial Narrow"/>
          <w:b w:val="0"/>
          <w:bCs w:val="0"/>
          <w:smallCaps w:val="0"/>
          <w:sz w:val="20"/>
        </w:rPr>
      </w:pPr>
    </w:p>
    <w:tbl>
      <w:tblPr>
        <w:tblW w:w="8505" w:type="dxa"/>
        <w:tblInd w:w="817" w:type="dxa"/>
        <w:tblLayout w:type="fixed"/>
        <w:tblLook w:val="0000" w:firstRow="0" w:lastRow="0" w:firstColumn="0" w:lastColumn="0" w:noHBand="0" w:noVBand="0"/>
      </w:tblPr>
      <w:tblGrid>
        <w:gridCol w:w="1701"/>
        <w:gridCol w:w="851"/>
        <w:gridCol w:w="567"/>
        <w:gridCol w:w="850"/>
        <w:gridCol w:w="1701"/>
        <w:gridCol w:w="1559"/>
        <w:gridCol w:w="1276"/>
      </w:tblGrid>
      <w:tr w:rsidR="00DB7784" w:rsidRPr="00931642" w:rsidTr="00676BF5">
        <w:trPr>
          <w:cantSplit/>
          <w:trHeight w:val="471"/>
        </w:trPr>
        <w:tc>
          <w:tcPr>
            <w:tcW w:w="2552" w:type="dxa"/>
            <w:gridSpan w:val="2"/>
            <w:tcBorders>
              <w:bottom w:val="single" w:sz="4" w:space="0" w:color="auto"/>
            </w:tcBorders>
          </w:tcPr>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Name, Restriction,</w:t>
            </w:r>
          </w:p>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Manner of administration and form</w:t>
            </w:r>
          </w:p>
        </w:tc>
        <w:tc>
          <w:tcPr>
            <w:tcW w:w="567" w:type="dxa"/>
            <w:tcBorders>
              <w:bottom w:val="single" w:sz="4" w:space="0" w:color="auto"/>
            </w:tcBorders>
          </w:tcPr>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Max.</w:t>
            </w:r>
          </w:p>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Qty</w:t>
            </w:r>
          </w:p>
        </w:tc>
        <w:tc>
          <w:tcPr>
            <w:tcW w:w="850" w:type="dxa"/>
            <w:tcBorders>
              <w:bottom w:val="single" w:sz="4" w:space="0" w:color="auto"/>
            </w:tcBorders>
          </w:tcPr>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№.of</w:t>
            </w:r>
          </w:p>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Rpts</w:t>
            </w:r>
          </w:p>
        </w:tc>
        <w:tc>
          <w:tcPr>
            <w:tcW w:w="1701" w:type="dxa"/>
            <w:tcBorders>
              <w:bottom w:val="single" w:sz="4" w:space="0" w:color="auto"/>
            </w:tcBorders>
          </w:tcPr>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Dispensed Price for Max. Qty</w:t>
            </w:r>
          </w:p>
        </w:tc>
        <w:tc>
          <w:tcPr>
            <w:tcW w:w="2835" w:type="dxa"/>
            <w:gridSpan w:val="2"/>
            <w:tcBorders>
              <w:bottom w:val="single" w:sz="4" w:space="0" w:color="auto"/>
            </w:tcBorders>
          </w:tcPr>
          <w:p w:rsidR="00DB7784" w:rsidRPr="00931642" w:rsidRDefault="00DB7784" w:rsidP="006504C4">
            <w:pPr>
              <w:keepNext/>
              <w:widowControl/>
              <w:rPr>
                <w:rFonts w:ascii="Arial Narrow" w:hAnsi="Arial Narrow"/>
                <w:b/>
                <w:sz w:val="20"/>
              </w:rPr>
            </w:pPr>
            <w:r w:rsidRPr="00931642">
              <w:rPr>
                <w:rFonts w:ascii="Arial Narrow" w:hAnsi="Arial Narrow"/>
                <w:b/>
                <w:sz w:val="20"/>
              </w:rPr>
              <w:t>Proprietary Name and Manufacturer</w:t>
            </w:r>
          </w:p>
        </w:tc>
      </w:tr>
      <w:tr w:rsidR="00DB7784" w:rsidRPr="00931642" w:rsidTr="00676BF5">
        <w:trPr>
          <w:cantSplit/>
          <w:trHeight w:val="750"/>
        </w:trPr>
        <w:tc>
          <w:tcPr>
            <w:tcW w:w="2552" w:type="dxa"/>
            <w:gridSpan w:val="2"/>
            <w:tcBorders>
              <w:top w:val="single" w:sz="4" w:space="0" w:color="auto"/>
            </w:tcBorders>
          </w:tcPr>
          <w:p w:rsidR="00DB7784" w:rsidRPr="00931642" w:rsidRDefault="00DB7784" w:rsidP="006504C4">
            <w:pPr>
              <w:keepNext/>
              <w:widowControl/>
              <w:ind w:left="-108"/>
              <w:rPr>
                <w:rFonts w:ascii="Arial Narrow" w:hAnsi="Arial Narrow"/>
                <w:sz w:val="20"/>
              </w:rPr>
            </w:pPr>
            <w:r w:rsidRPr="00931642">
              <w:rPr>
                <w:rFonts w:ascii="Arial Narrow" w:hAnsi="Arial Narrow"/>
                <w:sz w:val="20"/>
              </w:rPr>
              <w:t xml:space="preserve">PEGVISOMANT </w:t>
            </w:r>
          </w:p>
          <w:p w:rsidR="00DB7784" w:rsidRPr="00931642" w:rsidRDefault="00DB7784" w:rsidP="006504C4">
            <w:pPr>
              <w:keepNext/>
              <w:widowControl/>
              <w:ind w:left="-108"/>
              <w:rPr>
                <w:rFonts w:ascii="Arial Narrow" w:hAnsi="Arial Narrow"/>
                <w:sz w:val="20"/>
              </w:rPr>
            </w:pPr>
            <w:r w:rsidRPr="00931642">
              <w:rPr>
                <w:rFonts w:ascii="Arial Narrow" w:hAnsi="Arial Narrow"/>
                <w:sz w:val="20"/>
              </w:rPr>
              <w:t>10 mg</w:t>
            </w:r>
            <w:r w:rsidR="00676BF5" w:rsidRPr="00931642">
              <w:rPr>
                <w:rFonts w:ascii="Arial Narrow" w:hAnsi="Arial Narrow"/>
                <w:sz w:val="20"/>
              </w:rPr>
              <w:t>, powder for injection</w:t>
            </w:r>
          </w:p>
        </w:tc>
        <w:tc>
          <w:tcPr>
            <w:tcW w:w="567" w:type="dxa"/>
            <w:tcBorders>
              <w:top w:val="single" w:sz="4" w:space="0" w:color="auto"/>
            </w:tcBorders>
          </w:tcPr>
          <w:p w:rsidR="00DB7784" w:rsidRPr="00931642" w:rsidRDefault="00DB7784" w:rsidP="006504C4">
            <w:pPr>
              <w:keepNext/>
              <w:widowControl/>
              <w:rPr>
                <w:rFonts w:ascii="Arial Narrow" w:hAnsi="Arial Narrow"/>
                <w:sz w:val="20"/>
              </w:rPr>
            </w:pPr>
          </w:p>
          <w:p w:rsidR="00DB7784" w:rsidRPr="00931642" w:rsidRDefault="00DB7784" w:rsidP="006504C4">
            <w:pPr>
              <w:keepNext/>
              <w:widowControl/>
              <w:rPr>
                <w:rFonts w:ascii="Arial Narrow" w:hAnsi="Arial Narrow"/>
                <w:sz w:val="20"/>
              </w:rPr>
            </w:pPr>
            <w:r w:rsidRPr="00931642">
              <w:rPr>
                <w:rFonts w:ascii="Arial Narrow" w:hAnsi="Arial Narrow"/>
                <w:sz w:val="20"/>
              </w:rPr>
              <w:t>30</w:t>
            </w:r>
          </w:p>
        </w:tc>
        <w:tc>
          <w:tcPr>
            <w:tcW w:w="850" w:type="dxa"/>
            <w:tcBorders>
              <w:top w:val="single" w:sz="4" w:space="0" w:color="auto"/>
            </w:tcBorders>
          </w:tcPr>
          <w:p w:rsidR="00DB7784" w:rsidRPr="00931642" w:rsidRDefault="00DB7784" w:rsidP="006504C4">
            <w:pPr>
              <w:keepNext/>
              <w:widowControl/>
              <w:ind w:left="-108"/>
              <w:rPr>
                <w:rFonts w:ascii="Arial Narrow" w:hAnsi="Arial Narrow"/>
                <w:sz w:val="20"/>
              </w:rPr>
            </w:pPr>
          </w:p>
          <w:p w:rsidR="00DB7784" w:rsidRPr="00931642" w:rsidRDefault="00DB7784" w:rsidP="006504C4">
            <w:pPr>
              <w:keepNext/>
              <w:widowControl/>
              <w:ind w:left="-108"/>
              <w:rPr>
                <w:rFonts w:ascii="Arial Narrow" w:hAnsi="Arial Narrow"/>
                <w:sz w:val="20"/>
              </w:rPr>
            </w:pPr>
            <w:r w:rsidRPr="00931642">
              <w:rPr>
                <w:rFonts w:ascii="Arial Narrow" w:hAnsi="Arial Narrow"/>
                <w:sz w:val="20"/>
              </w:rPr>
              <w:t>5</w:t>
            </w:r>
          </w:p>
        </w:tc>
        <w:tc>
          <w:tcPr>
            <w:tcW w:w="1701" w:type="dxa"/>
            <w:tcBorders>
              <w:top w:val="single" w:sz="4" w:space="0" w:color="auto"/>
            </w:tcBorders>
          </w:tcPr>
          <w:p w:rsidR="00DB7784" w:rsidRPr="00931642" w:rsidRDefault="00DB7784" w:rsidP="006504C4">
            <w:pPr>
              <w:keepNext/>
              <w:widowControl/>
              <w:ind w:left="-108"/>
              <w:rPr>
                <w:rFonts w:ascii="Arial Narrow" w:hAnsi="Arial Narrow"/>
                <w:sz w:val="20"/>
              </w:rPr>
            </w:pPr>
          </w:p>
          <w:p w:rsidR="00DB7784" w:rsidRPr="00356AF3" w:rsidRDefault="00DB7784" w:rsidP="006504C4">
            <w:pPr>
              <w:keepNext/>
              <w:widowControl/>
              <w:ind w:left="-108"/>
              <w:rPr>
                <w:rFonts w:ascii="Arial Narrow" w:hAnsi="Arial Narrow"/>
                <w:sz w:val="20"/>
              </w:rPr>
            </w:pPr>
            <w:r w:rsidRPr="00931642">
              <w:rPr>
                <w:rFonts w:ascii="Arial Narrow" w:hAnsi="Arial Narrow"/>
                <w:sz w:val="20"/>
              </w:rPr>
              <w:t>Public $</w:t>
            </w:r>
            <w:r w:rsidR="00356AF3">
              <w:rPr>
                <w:rFonts w:ascii="Arial Narrow" w:hAnsi="Arial Narrow"/>
                <w:noProof/>
                <w:color w:val="000000"/>
                <w:sz w:val="20"/>
                <w:highlight w:val="black"/>
              </w:rPr>
              <w:t>'''''''''''''''''''''</w:t>
            </w:r>
          </w:p>
          <w:p w:rsidR="00DB7784" w:rsidRPr="00931642" w:rsidRDefault="00DB7784" w:rsidP="006504C4">
            <w:pPr>
              <w:keepNext/>
              <w:widowControl/>
              <w:ind w:left="-108"/>
              <w:rPr>
                <w:rFonts w:ascii="Arial Narrow" w:hAnsi="Arial Narrow"/>
                <w:sz w:val="20"/>
              </w:rPr>
            </w:pPr>
            <w:r w:rsidRPr="00931642">
              <w:rPr>
                <w:rFonts w:ascii="Arial Narrow" w:hAnsi="Arial Narrow"/>
                <w:sz w:val="20"/>
              </w:rPr>
              <w:t>Private $</w:t>
            </w:r>
            <w:r w:rsidR="00356AF3">
              <w:rPr>
                <w:rFonts w:ascii="Arial Narrow" w:hAnsi="Arial Narrow"/>
                <w:noProof/>
                <w:color w:val="000000"/>
                <w:sz w:val="20"/>
                <w:highlight w:val="black"/>
              </w:rPr>
              <w:t>'''''''''''''''''''</w:t>
            </w:r>
          </w:p>
        </w:tc>
        <w:tc>
          <w:tcPr>
            <w:tcW w:w="1559" w:type="dxa"/>
            <w:tcBorders>
              <w:top w:val="single" w:sz="4" w:space="0" w:color="auto"/>
            </w:tcBorders>
          </w:tcPr>
          <w:p w:rsidR="00DB7784" w:rsidRPr="00931642" w:rsidRDefault="00DB7784" w:rsidP="006504C4">
            <w:pPr>
              <w:keepNext/>
              <w:widowControl/>
              <w:rPr>
                <w:rFonts w:ascii="Arial Narrow" w:hAnsi="Arial Narrow"/>
                <w:sz w:val="20"/>
              </w:rPr>
            </w:pPr>
            <w:r w:rsidRPr="00931642">
              <w:rPr>
                <w:rFonts w:ascii="Arial Narrow" w:hAnsi="Arial Narrow"/>
                <w:sz w:val="20"/>
              </w:rPr>
              <w:t>Somavert</w:t>
            </w:r>
            <w:r w:rsidR="009A1821" w:rsidRPr="00931642">
              <w:rPr>
                <w:rFonts w:ascii="Arial Narrow" w:hAnsi="Arial Narrow"/>
                <w:sz w:val="20"/>
              </w:rPr>
              <w:t>®</w:t>
            </w:r>
          </w:p>
        </w:tc>
        <w:tc>
          <w:tcPr>
            <w:tcW w:w="1276" w:type="dxa"/>
            <w:tcBorders>
              <w:top w:val="single" w:sz="4" w:space="0" w:color="auto"/>
            </w:tcBorders>
          </w:tcPr>
          <w:p w:rsidR="00DB7784" w:rsidRPr="00931642" w:rsidRDefault="00DB7784" w:rsidP="006504C4">
            <w:pPr>
              <w:keepNext/>
              <w:widowControl/>
              <w:rPr>
                <w:rFonts w:ascii="Arial Narrow" w:hAnsi="Arial Narrow"/>
                <w:sz w:val="20"/>
              </w:rPr>
            </w:pPr>
            <w:r w:rsidRPr="00931642">
              <w:rPr>
                <w:rFonts w:ascii="Arial Narrow" w:hAnsi="Arial Narrow"/>
                <w:sz w:val="20"/>
              </w:rPr>
              <w:t>Pfizer</w:t>
            </w:r>
          </w:p>
        </w:tc>
      </w:tr>
      <w:tr w:rsidR="00DB7784" w:rsidRPr="00931642" w:rsidTr="00676BF5">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b/>
                <w:sz w:val="20"/>
              </w:rPr>
            </w:pPr>
            <w:r w:rsidRPr="00931642">
              <w:rPr>
                <w:rFonts w:ascii="Arial Narrow" w:hAnsi="Arial Narrow"/>
                <w:b/>
                <w:sz w:val="20"/>
              </w:rPr>
              <w:t xml:space="preserve">Category / </w:t>
            </w:r>
          </w:p>
          <w:p w:rsidR="00DB7784" w:rsidRPr="00931642" w:rsidRDefault="00DB7784" w:rsidP="006504C4">
            <w:pPr>
              <w:widowControl/>
              <w:rPr>
                <w:rFonts w:ascii="Arial Narrow" w:hAnsi="Arial Narrow"/>
                <w:b/>
                <w:sz w:val="20"/>
              </w:rPr>
            </w:pPr>
            <w:r w:rsidRPr="00931642">
              <w:rPr>
                <w:rFonts w:ascii="Arial Narrow" w:hAnsi="Arial Narrow"/>
                <w:b/>
                <w:sz w:val="20"/>
              </w:rPr>
              <w:t>Program</w:t>
            </w:r>
          </w:p>
        </w:tc>
        <w:tc>
          <w:tcPr>
            <w:tcW w:w="6804" w:type="dxa"/>
            <w:gridSpan w:val="6"/>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sz w:val="20"/>
              </w:rPr>
            </w:pPr>
            <w:r w:rsidRPr="00931642">
              <w:rPr>
                <w:rFonts w:ascii="Arial Narrow" w:hAnsi="Arial Narrow"/>
                <w:sz w:val="20"/>
              </w:rPr>
              <w:t>Section 100 – Highly Specialised Drugs Program</w:t>
            </w:r>
          </w:p>
        </w:tc>
      </w:tr>
      <w:tr w:rsidR="00DB7784" w:rsidRPr="00931642" w:rsidTr="00676BF5">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b/>
                <w:sz w:val="20"/>
              </w:rPr>
            </w:pPr>
            <w:r w:rsidRPr="00931642">
              <w:rPr>
                <w:rFonts w:ascii="Arial Narrow" w:hAnsi="Arial Narrow"/>
                <w:b/>
                <w:sz w:val="20"/>
              </w:rPr>
              <w:t>Prescriber type:</w:t>
            </w:r>
          </w:p>
          <w:p w:rsidR="00DB7784" w:rsidRPr="00931642" w:rsidRDefault="00DB7784" w:rsidP="006504C4">
            <w:pPr>
              <w:widowControl/>
              <w:rPr>
                <w:rFonts w:ascii="Arial Narrow" w:hAnsi="Arial Narrow"/>
                <w:b/>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sz w:val="20"/>
              </w:rPr>
            </w:pPr>
            <w:r w:rsidRPr="00931642">
              <w:rPr>
                <w:rFonts w:ascii="Arial Narrow" w:hAnsi="Arial Narrow"/>
                <w:sz w:val="20"/>
              </w:rPr>
              <w:fldChar w:fldCharType="begin">
                <w:ffData>
                  <w:name w:val=""/>
                  <w:enabled/>
                  <w:calcOnExit w:val="0"/>
                  <w:checkBox>
                    <w:sizeAuto/>
                    <w:default w:val="1"/>
                  </w:checkBox>
                </w:ffData>
              </w:fldChar>
            </w:r>
            <w:r w:rsidRPr="00931642">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931642">
              <w:rPr>
                <w:rFonts w:ascii="Arial Narrow" w:hAnsi="Arial Narrow"/>
                <w:sz w:val="20"/>
              </w:rPr>
              <w:fldChar w:fldCharType="end"/>
            </w:r>
            <w:r w:rsidRPr="00931642">
              <w:rPr>
                <w:rFonts w:ascii="Arial Narrow" w:hAnsi="Arial Narrow"/>
                <w:sz w:val="20"/>
              </w:rPr>
              <w:t>Medical Practitioners</w:t>
            </w:r>
          </w:p>
        </w:tc>
      </w:tr>
      <w:tr w:rsidR="00DB7784" w:rsidRPr="00931642" w:rsidTr="00676BF5">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b/>
                <w:sz w:val="20"/>
              </w:rPr>
            </w:pPr>
            <w:r w:rsidRPr="00931642">
              <w:rPr>
                <w:rFonts w:ascii="Arial Narrow" w:hAnsi="Arial Narrow"/>
                <w:b/>
                <w:sz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sz w:val="20"/>
              </w:rPr>
            </w:pPr>
            <w:r w:rsidRPr="00931642">
              <w:rPr>
                <w:rFonts w:ascii="Arial Narrow" w:hAnsi="Arial Narrow"/>
                <w:sz w:val="20"/>
              </w:rPr>
              <w:t>Acromegaly</w:t>
            </w:r>
          </w:p>
        </w:tc>
      </w:tr>
      <w:tr w:rsidR="00DB7784" w:rsidRPr="00931642" w:rsidTr="00676BF5">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b/>
                <w:sz w:val="20"/>
              </w:rPr>
            </w:pPr>
            <w:r w:rsidRPr="00931642">
              <w:rPr>
                <w:rFonts w:ascii="Arial Narrow" w:hAnsi="Arial Narrow"/>
                <w:b/>
                <w:sz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sz w:val="20"/>
              </w:rPr>
            </w:pPr>
            <w:r w:rsidRPr="00931642">
              <w:rPr>
                <w:rFonts w:ascii="Arial Narrow" w:hAnsi="Arial Narrow"/>
                <w:sz w:val="20"/>
              </w:rPr>
              <w:t>Acromegaly</w:t>
            </w:r>
          </w:p>
        </w:tc>
      </w:tr>
      <w:tr w:rsidR="00DB7784" w:rsidRPr="00931642" w:rsidTr="00676BF5">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b/>
                <w:sz w:val="20"/>
              </w:rPr>
            </w:pPr>
            <w:r w:rsidRPr="00931642">
              <w:rPr>
                <w:rFonts w:ascii="Arial Narrow" w:hAnsi="Arial Narrow"/>
                <w:b/>
                <w:sz w:val="20"/>
              </w:rPr>
              <w:lastRenderedPageBreak/>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i/>
                <w:sz w:val="20"/>
              </w:rPr>
            </w:pPr>
            <w:r w:rsidRPr="00931642">
              <w:rPr>
                <w:rFonts w:ascii="Arial Narrow" w:hAnsi="Arial Narrow"/>
                <w:i/>
                <w:sz w:val="20"/>
              </w:rPr>
              <w:t>Initial treatment</w:t>
            </w:r>
          </w:p>
        </w:tc>
      </w:tr>
      <w:tr w:rsidR="00DB7784" w:rsidRPr="00931642" w:rsidTr="00676BF5">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i/>
                <w:sz w:val="20"/>
              </w:rPr>
            </w:pPr>
            <w:r w:rsidRPr="00931642">
              <w:rPr>
                <w:rFonts w:ascii="Arial Narrow" w:hAnsi="Arial Narrow"/>
                <w:b/>
                <w:sz w:val="20"/>
              </w:rPr>
              <w:t>Restriction Level / Method:</w:t>
            </w:r>
          </w:p>
        </w:tc>
        <w:tc>
          <w:tcPr>
            <w:tcW w:w="6804" w:type="dxa"/>
            <w:gridSpan w:val="6"/>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sz w:val="20"/>
              </w:rPr>
            </w:pPr>
            <w:r w:rsidRPr="00931642">
              <w:rPr>
                <w:rFonts w:ascii="Arial Narrow" w:hAnsi="Arial Narrow"/>
                <w:sz w:val="20"/>
              </w:rPr>
              <w:fldChar w:fldCharType="begin">
                <w:ffData>
                  <w:name w:val=""/>
                  <w:enabled/>
                  <w:calcOnExit w:val="0"/>
                  <w:checkBox>
                    <w:sizeAuto/>
                    <w:default w:val="1"/>
                  </w:checkBox>
                </w:ffData>
              </w:fldChar>
            </w:r>
            <w:r w:rsidRPr="00931642">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931642">
              <w:rPr>
                <w:rFonts w:ascii="Arial Narrow" w:hAnsi="Arial Narrow"/>
                <w:sz w:val="20"/>
              </w:rPr>
              <w:fldChar w:fldCharType="end"/>
            </w:r>
            <w:r w:rsidRPr="00931642">
              <w:rPr>
                <w:rFonts w:ascii="Arial Narrow" w:hAnsi="Arial Narrow"/>
                <w:sz w:val="20"/>
              </w:rPr>
              <w:t>Authority Required - In Writing</w:t>
            </w:r>
          </w:p>
          <w:p w:rsidR="00DB7784" w:rsidRPr="00931642" w:rsidRDefault="00DB7784" w:rsidP="006504C4">
            <w:pPr>
              <w:widowControl/>
              <w:rPr>
                <w:rFonts w:ascii="Arial Narrow" w:hAnsi="Arial Narrow"/>
                <w:sz w:val="20"/>
              </w:rPr>
            </w:pPr>
            <w:r w:rsidRPr="00931642">
              <w:rPr>
                <w:rFonts w:ascii="Arial Narrow" w:hAnsi="Arial Narrow"/>
                <w:sz w:val="20"/>
              </w:rPr>
              <w:fldChar w:fldCharType="begin">
                <w:ffData>
                  <w:name w:val="Check3"/>
                  <w:enabled/>
                  <w:calcOnExit w:val="0"/>
                  <w:checkBox>
                    <w:sizeAuto/>
                    <w:default w:val="1"/>
                  </w:checkBox>
                </w:ffData>
              </w:fldChar>
            </w:r>
            <w:bookmarkStart w:id="4" w:name="Check3"/>
            <w:r w:rsidRPr="00931642">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931642">
              <w:rPr>
                <w:rFonts w:ascii="Arial Narrow" w:hAnsi="Arial Narrow"/>
                <w:sz w:val="20"/>
              </w:rPr>
              <w:fldChar w:fldCharType="end"/>
            </w:r>
            <w:bookmarkEnd w:id="4"/>
            <w:r w:rsidRPr="00931642">
              <w:rPr>
                <w:rFonts w:ascii="Arial Narrow" w:hAnsi="Arial Narrow"/>
                <w:sz w:val="20"/>
              </w:rPr>
              <w:t>Authority Required - Telephone</w:t>
            </w:r>
          </w:p>
        </w:tc>
      </w:tr>
      <w:tr w:rsidR="00DB7784" w:rsidRPr="00931642" w:rsidTr="00676BF5">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b/>
                <w:sz w:val="20"/>
              </w:rPr>
            </w:pPr>
            <w:r w:rsidRPr="00931642">
              <w:rPr>
                <w:rFonts w:ascii="Arial Narrow" w:hAnsi="Arial Narrow"/>
                <w:b/>
                <w:sz w:val="20"/>
              </w:rPr>
              <w:t>Clinical criteria:</w:t>
            </w:r>
          </w:p>
          <w:p w:rsidR="00DB7784" w:rsidRPr="00931642" w:rsidRDefault="00DB7784" w:rsidP="006504C4">
            <w:pPr>
              <w:widowControl/>
              <w:rPr>
                <w:rFonts w:ascii="Arial Narrow" w:hAnsi="Arial Narrow"/>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sz w:val="20"/>
              </w:rPr>
            </w:pPr>
            <w:r w:rsidRPr="00931642">
              <w:rPr>
                <w:rFonts w:ascii="Arial Narrow" w:hAnsi="Arial Narrow"/>
                <w:sz w:val="20"/>
              </w:rPr>
              <w:t>Patient must have received a PBS-subsidised loading dose with this  drug for this condition</w:t>
            </w:r>
          </w:p>
          <w:p w:rsidR="00DB7784" w:rsidRPr="00931642" w:rsidRDefault="00DB7784" w:rsidP="006504C4">
            <w:pPr>
              <w:widowControl/>
              <w:snapToGrid w:val="0"/>
              <w:rPr>
                <w:rFonts w:ascii="Arial Narrow" w:hAnsi="Arial Narrow"/>
                <w:i/>
                <w:sz w:val="20"/>
              </w:rPr>
            </w:pPr>
            <w:r w:rsidRPr="00931642">
              <w:rPr>
                <w:rFonts w:ascii="Arial Narrow" w:hAnsi="Arial Narrow"/>
                <w:i/>
                <w:sz w:val="20"/>
              </w:rPr>
              <w:t>AND</w:t>
            </w:r>
          </w:p>
          <w:p w:rsidR="00DB7784" w:rsidRPr="00931642" w:rsidRDefault="00DB7784" w:rsidP="006504C4">
            <w:pPr>
              <w:widowControl/>
              <w:snapToGrid w:val="0"/>
              <w:rPr>
                <w:rFonts w:ascii="Arial Narrow" w:hAnsi="Arial Narrow"/>
                <w:i/>
                <w:sz w:val="20"/>
              </w:rPr>
            </w:pPr>
            <w:r w:rsidRPr="00931642">
              <w:rPr>
                <w:rFonts w:ascii="Arial Narrow" w:hAnsi="Arial Narrow"/>
                <w:i/>
                <w:sz w:val="20"/>
              </w:rPr>
              <w:t>The patient must have an age- and sex-adjusted insulin-like growth factor 1 (IGF-1) level greater than 1.3 times the upper limit of normal (ULN)</w:t>
            </w:r>
          </w:p>
          <w:p w:rsidR="00DB7784" w:rsidRPr="00931642" w:rsidRDefault="00DB7784" w:rsidP="006504C4">
            <w:pPr>
              <w:widowControl/>
              <w:snapToGrid w:val="0"/>
              <w:rPr>
                <w:rFonts w:ascii="Arial Narrow" w:hAnsi="Arial Narrow"/>
                <w:i/>
                <w:sz w:val="20"/>
              </w:rPr>
            </w:pPr>
            <w:r w:rsidRPr="00931642">
              <w:rPr>
                <w:rFonts w:ascii="Arial Narrow" w:hAnsi="Arial Narrow"/>
                <w:i/>
                <w:sz w:val="20"/>
              </w:rPr>
              <w:t>AND</w:t>
            </w:r>
          </w:p>
          <w:p w:rsidR="00DB7784" w:rsidRPr="00931642" w:rsidRDefault="00DB7784" w:rsidP="006504C4">
            <w:pPr>
              <w:widowControl/>
              <w:snapToGrid w:val="0"/>
              <w:rPr>
                <w:rFonts w:ascii="Arial Narrow" w:hAnsi="Arial Narrow"/>
                <w:i/>
                <w:sz w:val="20"/>
              </w:rPr>
            </w:pPr>
            <w:r w:rsidRPr="00931642">
              <w:rPr>
                <w:rFonts w:ascii="Arial Narrow" w:hAnsi="Arial Narrow"/>
                <w:i/>
                <w:sz w:val="20"/>
              </w:rPr>
              <w:t>The treatment must be after failure to achieve biochemical control with a maximum indicated dose of either 30 mg octreotide or 120 mg lanreotide every 28 days for 24 weeks, unless contraindicated or not tolerated according to the TGA approved Product Information</w:t>
            </w:r>
          </w:p>
          <w:p w:rsidR="00DB7784" w:rsidRPr="00931642" w:rsidRDefault="00DB7784" w:rsidP="006504C4">
            <w:pPr>
              <w:widowControl/>
              <w:snapToGrid w:val="0"/>
              <w:rPr>
                <w:rFonts w:ascii="Arial Narrow" w:hAnsi="Arial Narrow"/>
                <w:i/>
                <w:sz w:val="20"/>
              </w:rPr>
            </w:pPr>
            <w:r w:rsidRPr="00931642">
              <w:rPr>
                <w:rFonts w:ascii="Arial Narrow" w:hAnsi="Arial Narrow"/>
                <w:i/>
                <w:sz w:val="20"/>
              </w:rPr>
              <w:t>AND</w:t>
            </w:r>
          </w:p>
          <w:p w:rsidR="00DB7784" w:rsidRPr="00931642" w:rsidRDefault="00DB7784" w:rsidP="006504C4">
            <w:pPr>
              <w:widowControl/>
              <w:snapToGrid w:val="0"/>
              <w:rPr>
                <w:rFonts w:ascii="Arial Narrow" w:hAnsi="Arial Narrow"/>
                <w:i/>
                <w:sz w:val="20"/>
              </w:rPr>
            </w:pPr>
            <w:r w:rsidRPr="00931642">
              <w:rPr>
                <w:rFonts w:ascii="Arial Narrow" w:hAnsi="Arial Narrow"/>
                <w:i/>
                <w:sz w:val="20"/>
              </w:rPr>
              <w:t>The treatment must be after failure to achieve biochemical control with a maximum indicated dose of pasireotide, unless contraindicated or not tolerated according to the TGA approved Product Information</w:t>
            </w:r>
          </w:p>
          <w:p w:rsidR="00DB7784" w:rsidRPr="00931642" w:rsidRDefault="00DB7784" w:rsidP="006504C4">
            <w:pPr>
              <w:widowControl/>
              <w:rPr>
                <w:rFonts w:ascii="Arial Narrow" w:hAnsi="Arial Narrow"/>
                <w:sz w:val="20"/>
              </w:rPr>
            </w:pPr>
            <w:r w:rsidRPr="00931642">
              <w:rPr>
                <w:rFonts w:ascii="Arial Narrow" w:hAnsi="Arial Narrow"/>
                <w:sz w:val="20"/>
              </w:rPr>
              <w:t>AND</w:t>
            </w:r>
          </w:p>
          <w:p w:rsidR="00DB7784" w:rsidRPr="00931642" w:rsidRDefault="00DB7784" w:rsidP="006504C4">
            <w:pPr>
              <w:widowControl/>
              <w:rPr>
                <w:rFonts w:ascii="Arial Narrow" w:hAnsi="Arial Narrow"/>
                <w:sz w:val="20"/>
              </w:rPr>
            </w:pPr>
            <w:r w:rsidRPr="00931642">
              <w:rPr>
                <w:rFonts w:ascii="Arial Narrow" w:hAnsi="Arial Narrow"/>
                <w:sz w:val="20"/>
              </w:rPr>
              <w:t>This treatment must be the sole PBS-subsidised therapy for this condition</w:t>
            </w:r>
          </w:p>
        </w:tc>
      </w:tr>
      <w:tr w:rsidR="00DB7784" w:rsidRPr="00931642" w:rsidTr="00676BF5">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b/>
                <w:sz w:val="20"/>
              </w:rPr>
            </w:pPr>
            <w:r w:rsidRPr="00931642">
              <w:rPr>
                <w:rFonts w:ascii="Arial Narrow" w:hAnsi="Arial Narrow"/>
                <w:b/>
                <w:sz w:val="20"/>
              </w:rPr>
              <w:t>Population criteria:</w:t>
            </w:r>
          </w:p>
        </w:tc>
        <w:tc>
          <w:tcPr>
            <w:tcW w:w="6804" w:type="dxa"/>
            <w:gridSpan w:val="6"/>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sz w:val="20"/>
              </w:rPr>
            </w:pPr>
            <w:r w:rsidRPr="00931642">
              <w:rPr>
                <w:rFonts w:ascii="Arial Narrow" w:hAnsi="Arial Narrow"/>
                <w:sz w:val="20"/>
              </w:rPr>
              <w:t>Patient must be over 18 years of age</w:t>
            </w:r>
          </w:p>
        </w:tc>
      </w:tr>
      <w:tr w:rsidR="00DB7784" w:rsidRPr="00931642" w:rsidTr="00676BF5">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b/>
                <w:sz w:val="20"/>
              </w:rPr>
            </w:pPr>
            <w:r w:rsidRPr="00931642">
              <w:rPr>
                <w:rFonts w:ascii="Arial Narrow" w:hAnsi="Arial Narrow"/>
                <w:b/>
                <w:sz w:val="20"/>
              </w:rPr>
              <w:t>Prescriber Instructions</w:t>
            </w:r>
          </w:p>
          <w:p w:rsidR="00DB7784" w:rsidRPr="00931642" w:rsidRDefault="00DB7784" w:rsidP="006504C4">
            <w:pPr>
              <w:widowControl/>
              <w:rPr>
                <w:rFonts w:ascii="Arial Narrow" w:hAnsi="Arial Narrow"/>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DB7784" w:rsidRPr="00931642" w:rsidRDefault="00DC5049" w:rsidP="006504C4">
            <w:pPr>
              <w:widowControl/>
              <w:rPr>
                <w:rFonts w:ascii="Arial Narrow" w:hAnsi="Arial Narrow"/>
                <w:i/>
                <w:sz w:val="20"/>
              </w:rPr>
            </w:pPr>
            <w:r w:rsidRPr="00931642">
              <w:rPr>
                <w:rFonts w:ascii="Arial Narrow" w:hAnsi="Arial Narrow"/>
                <w:i/>
                <w:sz w:val="20"/>
              </w:rPr>
              <w:t>&lt;contraindication instructions as per loading dose restriction&gt;</w:t>
            </w:r>
          </w:p>
          <w:p w:rsidR="00DC5049" w:rsidRPr="00931642" w:rsidRDefault="00DC5049" w:rsidP="006504C4">
            <w:pPr>
              <w:widowControl/>
              <w:rPr>
                <w:rFonts w:ascii="Arial Narrow" w:hAnsi="Arial Narrow"/>
                <w:i/>
                <w:sz w:val="20"/>
              </w:rPr>
            </w:pPr>
            <w:r w:rsidRPr="00931642">
              <w:rPr>
                <w:rFonts w:ascii="Arial Narrow" w:hAnsi="Arial Narrow"/>
                <w:i/>
                <w:sz w:val="20"/>
              </w:rPr>
              <w:t>&lt;withdrawal every 2 years after radiotherapy, definition of biochemical remission, and stopping rule as per loading dose restriction&gt;</w:t>
            </w:r>
          </w:p>
          <w:p w:rsidR="00DB7784" w:rsidRPr="00931642" w:rsidRDefault="00DB7784" w:rsidP="006504C4">
            <w:pPr>
              <w:widowControl/>
              <w:rPr>
                <w:rFonts w:ascii="Arial Narrow" w:hAnsi="Arial Narrow"/>
                <w:i/>
                <w:sz w:val="20"/>
              </w:rPr>
            </w:pPr>
          </w:p>
          <w:p w:rsidR="00DB7784" w:rsidRPr="00931642" w:rsidRDefault="00DB7784" w:rsidP="006504C4">
            <w:pPr>
              <w:widowControl/>
              <w:rPr>
                <w:rFonts w:ascii="Arial Narrow" w:hAnsi="Arial Narrow"/>
                <w:sz w:val="20"/>
              </w:rPr>
            </w:pPr>
            <w:r w:rsidRPr="00931642">
              <w:rPr>
                <w:rFonts w:ascii="Arial Narrow" w:hAnsi="Arial Narrow"/>
                <w:i/>
                <w:sz w:val="20"/>
              </w:rPr>
              <w:t>Two completed authority prescriptions must be submitted with every initial application for this drug. The first authority prescription is for loading dose, and the second authority prescription is for initial treatment.</w:t>
            </w:r>
          </w:p>
        </w:tc>
      </w:tr>
    </w:tbl>
    <w:p w:rsidR="00DB7784" w:rsidRPr="00931642" w:rsidRDefault="00DB7784" w:rsidP="006504C4">
      <w:pPr>
        <w:widowControl/>
        <w:spacing w:after="200" w:line="276" w:lineRule="auto"/>
        <w:rPr>
          <w:rStyle w:val="IntenseReference"/>
          <w:rFonts w:ascii="Arial Narrow" w:hAnsi="Arial Narrow"/>
          <w:b w:val="0"/>
          <w:bCs w:val="0"/>
          <w:smallCaps w:val="0"/>
          <w:sz w:val="20"/>
        </w:rPr>
      </w:pPr>
    </w:p>
    <w:tbl>
      <w:tblPr>
        <w:tblW w:w="8505" w:type="dxa"/>
        <w:tblInd w:w="817" w:type="dxa"/>
        <w:tblLayout w:type="fixed"/>
        <w:tblLook w:val="0000" w:firstRow="0" w:lastRow="0" w:firstColumn="0" w:lastColumn="0" w:noHBand="0" w:noVBand="0"/>
      </w:tblPr>
      <w:tblGrid>
        <w:gridCol w:w="1701"/>
        <w:gridCol w:w="851"/>
        <w:gridCol w:w="567"/>
        <w:gridCol w:w="850"/>
        <w:gridCol w:w="1701"/>
        <w:gridCol w:w="1559"/>
        <w:gridCol w:w="1276"/>
      </w:tblGrid>
      <w:tr w:rsidR="00DB7784" w:rsidRPr="00931642" w:rsidTr="00676BF5">
        <w:trPr>
          <w:cantSplit/>
          <w:trHeight w:val="471"/>
        </w:trPr>
        <w:tc>
          <w:tcPr>
            <w:tcW w:w="2552" w:type="dxa"/>
            <w:gridSpan w:val="2"/>
            <w:tcBorders>
              <w:bottom w:val="single" w:sz="4" w:space="0" w:color="auto"/>
            </w:tcBorders>
          </w:tcPr>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Name, Restriction,</w:t>
            </w:r>
          </w:p>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Manner of administration and form</w:t>
            </w:r>
          </w:p>
        </w:tc>
        <w:tc>
          <w:tcPr>
            <w:tcW w:w="567" w:type="dxa"/>
            <w:tcBorders>
              <w:bottom w:val="single" w:sz="4" w:space="0" w:color="auto"/>
            </w:tcBorders>
          </w:tcPr>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Max.</w:t>
            </w:r>
          </w:p>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Qty</w:t>
            </w:r>
          </w:p>
        </w:tc>
        <w:tc>
          <w:tcPr>
            <w:tcW w:w="850" w:type="dxa"/>
            <w:tcBorders>
              <w:bottom w:val="single" w:sz="4" w:space="0" w:color="auto"/>
            </w:tcBorders>
          </w:tcPr>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№.of</w:t>
            </w:r>
          </w:p>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Rpts</w:t>
            </w:r>
          </w:p>
        </w:tc>
        <w:tc>
          <w:tcPr>
            <w:tcW w:w="1701" w:type="dxa"/>
            <w:tcBorders>
              <w:bottom w:val="single" w:sz="4" w:space="0" w:color="auto"/>
            </w:tcBorders>
          </w:tcPr>
          <w:p w:rsidR="00DB7784" w:rsidRPr="00931642" w:rsidRDefault="00DB7784" w:rsidP="006504C4">
            <w:pPr>
              <w:keepNext/>
              <w:widowControl/>
              <w:ind w:left="-108"/>
              <w:rPr>
                <w:rFonts w:ascii="Arial Narrow" w:hAnsi="Arial Narrow"/>
                <w:b/>
                <w:sz w:val="20"/>
              </w:rPr>
            </w:pPr>
            <w:r w:rsidRPr="00931642">
              <w:rPr>
                <w:rFonts w:ascii="Arial Narrow" w:hAnsi="Arial Narrow"/>
                <w:b/>
                <w:sz w:val="20"/>
              </w:rPr>
              <w:t>Dispensed Price for Max. Qty</w:t>
            </w:r>
          </w:p>
        </w:tc>
        <w:tc>
          <w:tcPr>
            <w:tcW w:w="2835" w:type="dxa"/>
            <w:gridSpan w:val="2"/>
            <w:tcBorders>
              <w:bottom w:val="single" w:sz="4" w:space="0" w:color="auto"/>
            </w:tcBorders>
          </w:tcPr>
          <w:p w:rsidR="00DB7784" w:rsidRPr="00931642" w:rsidRDefault="00DB7784" w:rsidP="006504C4">
            <w:pPr>
              <w:keepNext/>
              <w:widowControl/>
              <w:rPr>
                <w:rFonts w:ascii="Arial Narrow" w:hAnsi="Arial Narrow"/>
                <w:b/>
                <w:sz w:val="20"/>
              </w:rPr>
            </w:pPr>
            <w:r w:rsidRPr="00931642">
              <w:rPr>
                <w:rFonts w:ascii="Arial Narrow" w:hAnsi="Arial Narrow"/>
                <w:b/>
                <w:sz w:val="20"/>
              </w:rPr>
              <w:t>Proprietary Name and Manufacturer</w:t>
            </w:r>
          </w:p>
        </w:tc>
      </w:tr>
      <w:tr w:rsidR="00DB7784" w:rsidRPr="00931642" w:rsidTr="00676BF5">
        <w:trPr>
          <w:cantSplit/>
          <w:trHeight w:val="1713"/>
        </w:trPr>
        <w:tc>
          <w:tcPr>
            <w:tcW w:w="2552" w:type="dxa"/>
            <w:gridSpan w:val="2"/>
          </w:tcPr>
          <w:p w:rsidR="00DB7784" w:rsidRPr="00931642" w:rsidRDefault="00DB7784" w:rsidP="006504C4">
            <w:pPr>
              <w:keepNext/>
              <w:widowControl/>
              <w:ind w:left="-108"/>
              <w:rPr>
                <w:rFonts w:ascii="Arial Narrow" w:hAnsi="Arial Narrow"/>
                <w:sz w:val="20"/>
              </w:rPr>
            </w:pPr>
            <w:r w:rsidRPr="00931642">
              <w:rPr>
                <w:rFonts w:ascii="Arial Narrow" w:hAnsi="Arial Narrow"/>
                <w:sz w:val="20"/>
              </w:rPr>
              <w:t xml:space="preserve">PEGVISOMANT </w:t>
            </w:r>
          </w:p>
          <w:p w:rsidR="00DB7784" w:rsidRPr="00931642" w:rsidRDefault="00DB7784" w:rsidP="006504C4">
            <w:pPr>
              <w:keepNext/>
              <w:widowControl/>
              <w:ind w:left="-108"/>
              <w:rPr>
                <w:rFonts w:ascii="Arial Narrow" w:hAnsi="Arial Narrow"/>
                <w:sz w:val="20"/>
              </w:rPr>
            </w:pPr>
            <w:r w:rsidRPr="00931642">
              <w:rPr>
                <w:rFonts w:ascii="Arial Narrow" w:hAnsi="Arial Narrow"/>
                <w:sz w:val="20"/>
              </w:rPr>
              <w:t>10 mg</w:t>
            </w:r>
            <w:r w:rsidR="00676BF5" w:rsidRPr="00931642">
              <w:rPr>
                <w:rFonts w:ascii="Arial Narrow" w:hAnsi="Arial Narrow"/>
                <w:sz w:val="20"/>
              </w:rPr>
              <w:t>, powder for injection</w:t>
            </w:r>
          </w:p>
          <w:p w:rsidR="00DB7784" w:rsidRPr="00931642" w:rsidRDefault="00DB7784" w:rsidP="006504C4">
            <w:pPr>
              <w:keepNext/>
              <w:widowControl/>
              <w:ind w:left="-108"/>
              <w:rPr>
                <w:rFonts w:ascii="Arial Narrow" w:hAnsi="Arial Narrow"/>
                <w:sz w:val="20"/>
              </w:rPr>
            </w:pPr>
          </w:p>
          <w:p w:rsidR="00DB7784" w:rsidRPr="00931642" w:rsidRDefault="00DB7784" w:rsidP="006504C4">
            <w:pPr>
              <w:keepNext/>
              <w:widowControl/>
              <w:ind w:left="-108"/>
              <w:rPr>
                <w:rFonts w:ascii="Arial Narrow" w:hAnsi="Arial Narrow"/>
                <w:sz w:val="20"/>
              </w:rPr>
            </w:pPr>
            <w:r w:rsidRPr="00931642">
              <w:rPr>
                <w:rFonts w:ascii="Arial Narrow" w:hAnsi="Arial Narrow"/>
                <w:sz w:val="20"/>
              </w:rPr>
              <w:t>15 mg</w:t>
            </w:r>
            <w:r w:rsidR="00676BF5" w:rsidRPr="00931642">
              <w:rPr>
                <w:rFonts w:ascii="Arial Narrow" w:hAnsi="Arial Narrow"/>
                <w:sz w:val="20"/>
              </w:rPr>
              <w:t>, powder for injection</w:t>
            </w:r>
          </w:p>
          <w:p w:rsidR="00DB7784" w:rsidRPr="00931642" w:rsidRDefault="00DB7784" w:rsidP="006504C4">
            <w:pPr>
              <w:keepNext/>
              <w:widowControl/>
              <w:ind w:left="-108"/>
              <w:rPr>
                <w:rFonts w:ascii="Arial Narrow" w:hAnsi="Arial Narrow"/>
                <w:sz w:val="20"/>
              </w:rPr>
            </w:pPr>
          </w:p>
          <w:p w:rsidR="00DB7784" w:rsidRPr="00931642" w:rsidRDefault="00DB7784" w:rsidP="006504C4">
            <w:pPr>
              <w:keepNext/>
              <w:widowControl/>
              <w:ind w:left="-108"/>
              <w:rPr>
                <w:rFonts w:ascii="Arial Narrow" w:hAnsi="Arial Narrow"/>
                <w:sz w:val="20"/>
              </w:rPr>
            </w:pPr>
            <w:r w:rsidRPr="00931642">
              <w:rPr>
                <w:rFonts w:ascii="Arial Narrow" w:hAnsi="Arial Narrow"/>
                <w:sz w:val="20"/>
              </w:rPr>
              <w:t>20 mg</w:t>
            </w:r>
            <w:r w:rsidR="00676BF5" w:rsidRPr="00931642">
              <w:rPr>
                <w:rFonts w:ascii="Arial Narrow" w:hAnsi="Arial Narrow"/>
                <w:sz w:val="20"/>
              </w:rPr>
              <w:t>, powder for injection</w:t>
            </w:r>
          </w:p>
        </w:tc>
        <w:tc>
          <w:tcPr>
            <w:tcW w:w="567" w:type="dxa"/>
          </w:tcPr>
          <w:p w:rsidR="00DB7784" w:rsidRPr="00931642" w:rsidRDefault="00DB7784" w:rsidP="006504C4">
            <w:pPr>
              <w:keepNext/>
              <w:widowControl/>
              <w:rPr>
                <w:rFonts w:ascii="Arial Narrow" w:hAnsi="Arial Narrow"/>
                <w:sz w:val="20"/>
              </w:rPr>
            </w:pPr>
          </w:p>
          <w:p w:rsidR="00DB7784" w:rsidRPr="00931642" w:rsidRDefault="00DB7784" w:rsidP="006504C4">
            <w:pPr>
              <w:keepNext/>
              <w:widowControl/>
              <w:rPr>
                <w:rFonts w:ascii="Arial Narrow" w:hAnsi="Arial Narrow"/>
                <w:sz w:val="20"/>
              </w:rPr>
            </w:pPr>
            <w:r w:rsidRPr="00931642">
              <w:rPr>
                <w:rFonts w:ascii="Arial Narrow" w:hAnsi="Arial Narrow"/>
                <w:sz w:val="20"/>
              </w:rPr>
              <w:t>30</w:t>
            </w:r>
          </w:p>
          <w:p w:rsidR="00DB7784" w:rsidRPr="00931642" w:rsidRDefault="00DB7784" w:rsidP="006504C4">
            <w:pPr>
              <w:keepNext/>
              <w:widowControl/>
              <w:rPr>
                <w:rFonts w:ascii="Arial Narrow" w:hAnsi="Arial Narrow"/>
                <w:sz w:val="20"/>
              </w:rPr>
            </w:pPr>
          </w:p>
          <w:p w:rsidR="00DB7784" w:rsidRPr="00931642" w:rsidRDefault="00DB7784" w:rsidP="006504C4">
            <w:pPr>
              <w:keepNext/>
              <w:widowControl/>
              <w:rPr>
                <w:rFonts w:ascii="Arial Narrow" w:hAnsi="Arial Narrow"/>
                <w:sz w:val="20"/>
              </w:rPr>
            </w:pPr>
            <w:r w:rsidRPr="00931642">
              <w:rPr>
                <w:rFonts w:ascii="Arial Narrow" w:hAnsi="Arial Narrow"/>
                <w:sz w:val="20"/>
              </w:rPr>
              <w:t>30</w:t>
            </w:r>
          </w:p>
          <w:p w:rsidR="00DB7784" w:rsidRPr="00931642" w:rsidRDefault="00DB7784" w:rsidP="006504C4">
            <w:pPr>
              <w:keepNext/>
              <w:widowControl/>
              <w:rPr>
                <w:rFonts w:ascii="Arial Narrow" w:hAnsi="Arial Narrow"/>
                <w:sz w:val="20"/>
              </w:rPr>
            </w:pPr>
          </w:p>
          <w:p w:rsidR="00DB7784" w:rsidRPr="00931642" w:rsidRDefault="00DB7784" w:rsidP="006504C4">
            <w:pPr>
              <w:keepNext/>
              <w:widowControl/>
              <w:rPr>
                <w:rFonts w:ascii="Arial Narrow" w:hAnsi="Arial Narrow"/>
                <w:sz w:val="20"/>
              </w:rPr>
            </w:pPr>
            <w:r w:rsidRPr="00931642">
              <w:rPr>
                <w:rFonts w:ascii="Arial Narrow" w:hAnsi="Arial Narrow"/>
                <w:sz w:val="20"/>
              </w:rPr>
              <w:t>30</w:t>
            </w:r>
          </w:p>
        </w:tc>
        <w:tc>
          <w:tcPr>
            <w:tcW w:w="850" w:type="dxa"/>
          </w:tcPr>
          <w:p w:rsidR="00DB7784" w:rsidRPr="00931642" w:rsidRDefault="00DB7784" w:rsidP="006504C4">
            <w:pPr>
              <w:keepNext/>
              <w:widowControl/>
              <w:ind w:left="-108"/>
              <w:rPr>
                <w:rFonts w:ascii="Arial Narrow" w:hAnsi="Arial Narrow"/>
                <w:sz w:val="20"/>
              </w:rPr>
            </w:pPr>
          </w:p>
          <w:p w:rsidR="00DB7784" w:rsidRPr="00931642" w:rsidRDefault="00DB7784" w:rsidP="006504C4">
            <w:pPr>
              <w:keepNext/>
              <w:widowControl/>
              <w:ind w:left="-108"/>
              <w:rPr>
                <w:rFonts w:ascii="Arial Narrow" w:hAnsi="Arial Narrow"/>
                <w:sz w:val="20"/>
              </w:rPr>
            </w:pPr>
            <w:r w:rsidRPr="00931642">
              <w:rPr>
                <w:rFonts w:ascii="Arial Narrow" w:hAnsi="Arial Narrow"/>
                <w:sz w:val="20"/>
              </w:rPr>
              <w:t>5</w:t>
            </w:r>
          </w:p>
          <w:p w:rsidR="00DB7784" w:rsidRPr="00931642" w:rsidRDefault="00DB7784" w:rsidP="006504C4">
            <w:pPr>
              <w:keepNext/>
              <w:widowControl/>
              <w:ind w:left="-108"/>
              <w:rPr>
                <w:rFonts w:ascii="Arial Narrow" w:hAnsi="Arial Narrow"/>
                <w:sz w:val="20"/>
              </w:rPr>
            </w:pPr>
          </w:p>
          <w:p w:rsidR="00DB7784" w:rsidRPr="00931642" w:rsidRDefault="00DB7784" w:rsidP="006504C4">
            <w:pPr>
              <w:keepNext/>
              <w:widowControl/>
              <w:ind w:left="-108"/>
              <w:rPr>
                <w:rFonts w:ascii="Arial Narrow" w:hAnsi="Arial Narrow"/>
                <w:sz w:val="20"/>
              </w:rPr>
            </w:pPr>
            <w:r w:rsidRPr="00931642">
              <w:rPr>
                <w:rFonts w:ascii="Arial Narrow" w:hAnsi="Arial Narrow"/>
                <w:sz w:val="20"/>
              </w:rPr>
              <w:t>5</w:t>
            </w:r>
          </w:p>
          <w:p w:rsidR="00DB7784" w:rsidRPr="00931642" w:rsidRDefault="00DB7784" w:rsidP="006504C4">
            <w:pPr>
              <w:keepNext/>
              <w:widowControl/>
              <w:ind w:left="-108"/>
              <w:rPr>
                <w:rFonts w:ascii="Arial Narrow" w:hAnsi="Arial Narrow"/>
                <w:sz w:val="20"/>
              </w:rPr>
            </w:pPr>
          </w:p>
          <w:p w:rsidR="00DB7784" w:rsidRPr="00931642" w:rsidRDefault="00DB7784" w:rsidP="006504C4">
            <w:pPr>
              <w:keepNext/>
              <w:widowControl/>
              <w:ind w:left="-108"/>
              <w:rPr>
                <w:rFonts w:ascii="Arial Narrow" w:hAnsi="Arial Narrow"/>
                <w:sz w:val="20"/>
              </w:rPr>
            </w:pPr>
            <w:r w:rsidRPr="00931642">
              <w:rPr>
                <w:rFonts w:ascii="Arial Narrow" w:hAnsi="Arial Narrow"/>
                <w:sz w:val="20"/>
              </w:rPr>
              <w:t>5</w:t>
            </w:r>
          </w:p>
        </w:tc>
        <w:tc>
          <w:tcPr>
            <w:tcW w:w="1701" w:type="dxa"/>
          </w:tcPr>
          <w:p w:rsidR="00DB7784" w:rsidRPr="00931642" w:rsidRDefault="00DB7784" w:rsidP="006504C4">
            <w:pPr>
              <w:keepNext/>
              <w:widowControl/>
              <w:ind w:left="-108"/>
              <w:rPr>
                <w:rFonts w:ascii="Arial Narrow" w:hAnsi="Arial Narrow"/>
                <w:sz w:val="20"/>
              </w:rPr>
            </w:pPr>
          </w:p>
          <w:p w:rsidR="00DB7784" w:rsidRPr="00356AF3" w:rsidRDefault="00DB7784" w:rsidP="006504C4">
            <w:pPr>
              <w:keepNext/>
              <w:widowControl/>
              <w:ind w:left="-108"/>
              <w:rPr>
                <w:rFonts w:ascii="Arial Narrow" w:hAnsi="Arial Narrow"/>
                <w:sz w:val="20"/>
              </w:rPr>
            </w:pPr>
            <w:r w:rsidRPr="00931642">
              <w:rPr>
                <w:rFonts w:ascii="Arial Narrow" w:hAnsi="Arial Narrow"/>
                <w:sz w:val="20"/>
              </w:rPr>
              <w:t>Public $</w:t>
            </w:r>
            <w:r w:rsidR="00356AF3">
              <w:rPr>
                <w:rFonts w:ascii="Arial Narrow" w:hAnsi="Arial Narrow"/>
                <w:noProof/>
                <w:color w:val="000000"/>
                <w:sz w:val="20"/>
                <w:highlight w:val="black"/>
              </w:rPr>
              <w:t>'''''''''''''''''''''</w:t>
            </w:r>
          </w:p>
          <w:p w:rsidR="00DB7784" w:rsidRPr="00931642" w:rsidRDefault="00DB7784" w:rsidP="006504C4">
            <w:pPr>
              <w:keepNext/>
              <w:widowControl/>
              <w:ind w:left="-108"/>
              <w:rPr>
                <w:rFonts w:ascii="Arial Narrow" w:hAnsi="Arial Narrow"/>
                <w:sz w:val="20"/>
              </w:rPr>
            </w:pPr>
            <w:r w:rsidRPr="00931642">
              <w:rPr>
                <w:rFonts w:ascii="Arial Narrow" w:hAnsi="Arial Narrow"/>
                <w:sz w:val="20"/>
              </w:rPr>
              <w:t>Private $</w:t>
            </w:r>
            <w:r w:rsidR="00356AF3">
              <w:rPr>
                <w:rFonts w:ascii="Arial Narrow" w:hAnsi="Arial Narrow"/>
                <w:noProof/>
                <w:color w:val="000000"/>
                <w:sz w:val="20"/>
                <w:highlight w:val="black"/>
              </w:rPr>
              <w:t>''''''''''''''''''''''</w:t>
            </w:r>
          </w:p>
          <w:p w:rsidR="00DB7784" w:rsidRPr="00931642" w:rsidRDefault="00DB7784" w:rsidP="006504C4">
            <w:pPr>
              <w:keepNext/>
              <w:widowControl/>
              <w:ind w:left="-108"/>
              <w:rPr>
                <w:rFonts w:ascii="Arial Narrow" w:hAnsi="Arial Narrow"/>
                <w:sz w:val="20"/>
              </w:rPr>
            </w:pPr>
            <w:r w:rsidRPr="00931642">
              <w:rPr>
                <w:rFonts w:ascii="Arial Narrow" w:hAnsi="Arial Narrow"/>
                <w:sz w:val="20"/>
              </w:rPr>
              <w:t>Public $</w:t>
            </w:r>
            <w:r w:rsidR="00356AF3">
              <w:rPr>
                <w:rFonts w:ascii="Arial Narrow" w:hAnsi="Arial Narrow"/>
                <w:noProof/>
                <w:color w:val="000000"/>
                <w:sz w:val="20"/>
                <w:highlight w:val="black"/>
              </w:rPr>
              <w:t>'''''''''''''''''''''</w:t>
            </w:r>
          </w:p>
          <w:p w:rsidR="00DB7784" w:rsidRPr="00356AF3" w:rsidRDefault="00DB7784" w:rsidP="006504C4">
            <w:pPr>
              <w:keepNext/>
              <w:widowControl/>
              <w:ind w:left="-108"/>
              <w:rPr>
                <w:rFonts w:ascii="Arial Narrow" w:hAnsi="Arial Narrow"/>
                <w:sz w:val="20"/>
              </w:rPr>
            </w:pPr>
            <w:r w:rsidRPr="00931642">
              <w:rPr>
                <w:rFonts w:ascii="Arial Narrow" w:hAnsi="Arial Narrow"/>
                <w:sz w:val="20"/>
              </w:rPr>
              <w:t>Private $</w:t>
            </w:r>
            <w:r w:rsidR="00356AF3">
              <w:rPr>
                <w:rFonts w:ascii="Arial Narrow" w:hAnsi="Arial Narrow"/>
                <w:noProof/>
                <w:color w:val="000000"/>
                <w:sz w:val="20"/>
                <w:highlight w:val="black"/>
              </w:rPr>
              <w:t>''''''''''''''''''''</w:t>
            </w:r>
          </w:p>
          <w:p w:rsidR="00DB7784" w:rsidRPr="00931642" w:rsidRDefault="00DB7784" w:rsidP="006504C4">
            <w:pPr>
              <w:keepNext/>
              <w:widowControl/>
              <w:ind w:left="-108"/>
              <w:rPr>
                <w:rFonts w:ascii="Arial Narrow" w:hAnsi="Arial Narrow"/>
                <w:sz w:val="20"/>
              </w:rPr>
            </w:pPr>
            <w:r w:rsidRPr="00931642">
              <w:rPr>
                <w:rFonts w:ascii="Arial Narrow" w:hAnsi="Arial Narrow"/>
                <w:sz w:val="20"/>
              </w:rPr>
              <w:t>Public $</w:t>
            </w:r>
            <w:r w:rsidR="00356AF3">
              <w:rPr>
                <w:rFonts w:ascii="Arial Narrow" w:hAnsi="Arial Narrow"/>
                <w:noProof/>
                <w:color w:val="000000"/>
                <w:sz w:val="20"/>
                <w:highlight w:val="black"/>
              </w:rPr>
              <w:t>'''''''''''''''''''''''</w:t>
            </w:r>
          </w:p>
          <w:p w:rsidR="00DB7784" w:rsidRPr="00931642" w:rsidRDefault="00DB7784" w:rsidP="006504C4">
            <w:pPr>
              <w:keepNext/>
              <w:widowControl/>
              <w:ind w:left="-108"/>
              <w:rPr>
                <w:rFonts w:ascii="Arial Narrow" w:hAnsi="Arial Narrow"/>
                <w:sz w:val="20"/>
              </w:rPr>
            </w:pPr>
            <w:r w:rsidRPr="00931642">
              <w:rPr>
                <w:rFonts w:ascii="Arial Narrow" w:hAnsi="Arial Narrow"/>
                <w:sz w:val="20"/>
              </w:rPr>
              <w:t>Private $</w:t>
            </w:r>
            <w:r w:rsidR="00356AF3">
              <w:rPr>
                <w:rFonts w:ascii="Arial Narrow" w:hAnsi="Arial Narrow"/>
                <w:noProof/>
                <w:color w:val="000000"/>
                <w:sz w:val="20"/>
                <w:highlight w:val="black"/>
              </w:rPr>
              <w:t>'''''''''''''''''''</w:t>
            </w:r>
          </w:p>
        </w:tc>
        <w:tc>
          <w:tcPr>
            <w:tcW w:w="1559" w:type="dxa"/>
          </w:tcPr>
          <w:p w:rsidR="00DB7784" w:rsidRPr="00931642" w:rsidRDefault="00DB7784" w:rsidP="006504C4">
            <w:pPr>
              <w:keepNext/>
              <w:widowControl/>
              <w:rPr>
                <w:rFonts w:ascii="Arial Narrow" w:hAnsi="Arial Narrow"/>
                <w:sz w:val="20"/>
              </w:rPr>
            </w:pPr>
            <w:r w:rsidRPr="00931642">
              <w:rPr>
                <w:rFonts w:ascii="Arial Narrow" w:hAnsi="Arial Narrow"/>
                <w:sz w:val="20"/>
              </w:rPr>
              <w:t>Somavert</w:t>
            </w:r>
            <w:r w:rsidR="009A1821" w:rsidRPr="00931642">
              <w:rPr>
                <w:rFonts w:ascii="Arial Narrow" w:hAnsi="Arial Narrow"/>
                <w:sz w:val="20"/>
              </w:rPr>
              <w:t>®</w:t>
            </w:r>
          </w:p>
        </w:tc>
        <w:tc>
          <w:tcPr>
            <w:tcW w:w="1276" w:type="dxa"/>
          </w:tcPr>
          <w:p w:rsidR="00DB7784" w:rsidRPr="00931642" w:rsidRDefault="00DB7784" w:rsidP="006504C4">
            <w:pPr>
              <w:keepNext/>
              <w:widowControl/>
              <w:rPr>
                <w:rFonts w:ascii="Arial Narrow" w:hAnsi="Arial Narrow"/>
                <w:sz w:val="20"/>
              </w:rPr>
            </w:pPr>
            <w:r w:rsidRPr="00931642">
              <w:rPr>
                <w:rFonts w:ascii="Arial Narrow" w:hAnsi="Arial Narrow"/>
                <w:sz w:val="20"/>
              </w:rPr>
              <w:t>Pfizer</w:t>
            </w:r>
          </w:p>
        </w:tc>
      </w:tr>
      <w:tr w:rsidR="00DB7784" w:rsidRPr="00931642" w:rsidTr="00676BF5">
        <w:tblPrEx>
          <w:tblLook w:val="04A0" w:firstRow="1" w:lastRow="0" w:firstColumn="1" w:lastColumn="0" w:noHBand="0" w:noVBand="1"/>
        </w:tblPrEx>
        <w:trPr>
          <w:cantSplit/>
          <w:trHeight w:val="360"/>
        </w:trPr>
        <w:tc>
          <w:tcPr>
            <w:tcW w:w="1701" w:type="dxa"/>
            <w:tcBorders>
              <w:top w:val="single" w:sz="4" w:space="0" w:color="auto"/>
              <w:left w:val="single" w:sz="4" w:space="0" w:color="auto"/>
              <w:bottom w:val="single" w:sz="4" w:space="0" w:color="auto"/>
              <w:right w:val="single" w:sz="4" w:space="0" w:color="auto"/>
            </w:tcBorders>
            <w:hideMark/>
          </w:tcPr>
          <w:p w:rsidR="00DB7784" w:rsidRPr="00931642" w:rsidRDefault="00DB7784" w:rsidP="006504C4">
            <w:pPr>
              <w:widowControl/>
              <w:rPr>
                <w:rFonts w:ascii="Arial Narrow" w:hAnsi="Arial Narrow"/>
                <w:b/>
                <w:sz w:val="20"/>
              </w:rPr>
            </w:pPr>
            <w:r w:rsidRPr="00931642">
              <w:rPr>
                <w:rFonts w:ascii="Arial Narrow" w:hAnsi="Arial Narrow"/>
                <w:b/>
                <w:sz w:val="20"/>
              </w:rPr>
              <w:t xml:space="preserve">Category / </w:t>
            </w:r>
          </w:p>
          <w:p w:rsidR="00DB7784" w:rsidRPr="00931642" w:rsidRDefault="00DB7784" w:rsidP="006504C4">
            <w:pPr>
              <w:widowControl/>
              <w:snapToGrid w:val="0"/>
              <w:rPr>
                <w:rFonts w:ascii="Arial Narrow" w:hAnsi="Arial Narrow"/>
                <w:b/>
                <w:sz w:val="20"/>
              </w:rPr>
            </w:pPr>
            <w:r w:rsidRPr="00931642">
              <w:rPr>
                <w:rFonts w:ascii="Arial Narrow" w:hAnsi="Arial Narrow"/>
                <w:b/>
                <w:sz w:val="20"/>
              </w:rPr>
              <w:t>Program</w:t>
            </w:r>
          </w:p>
        </w:tc>
        <w:tc>
          <w:tcPr>
            <w:tcW w:w="6804" w:type="dxa"/>
            <w:gridSpan w:val="6"/>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i/>
                <w:sz w:val="20"/>
              </w:rPr>
            </w:pPr>
            <w:r w:rsidRPr="00931642">
              <w:rPr>
                <w:rFonts w:ascii="Arial Narrow" w:hAnsi="Arial Narrow"/>
                <w:i/>
                <w:sz w:val="20"/>
              </w:rPr>
              <w:t>Section 100 – Highly Specialised Drugs Program</w:t>
            </w:r>
          </w:p>
          <w:p w:rsidR="00DB7784" w:rsidRPr="00931642" w:rsidRDefault="00DB7784" w:rsidP="006504C4">
            <w:pPr>
              <w:widowControl/>
              <w:snapToGrid w:val="0"/>
              <w:rPr>
                <w:rFonts w:ascii="Arial Narrow" w:hAnsi="Arial Narrow"/>
                <w:i/>
                <w:sz w:val="20"/>
              </w:rPr>
            </w:pPr>
          </w:p>
        </w:tc>
      </w:tr>
      <w:tr w:rsidR="00DB7784" w:rsidRPr="00931642" w:rsidTr="00676BF5">
        <w:tblPrEx>
          <w:tblLook w:val="04A0" w:firstRow="1" w:lastRow="0" w:firstColumn="1" w:lastColumn="0" w:noHBand="0" w:noVBand="1"/>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b/>
                <w:sz w:val="20"/>
              </w:rPr>
            </w:pPr>
            <w:r w:rsidRPr="00931642">
              <w:rPr>
                <w:rFonts w:ascii="Arial Narrow" w:hAnsi="Arial Narrow"/>
                <w:b/>
                <w:sz w:val="20"/>
              </w:rPr>
              <w:t>Prescriber type:</w:t>
            </w:r>
          </w:p>
          <w:p w:rsidR="00DB7784" w:rsidRPr="00931642" w:rsidRDefault="00DB7784" w:rsidP="006504C4">
            <w:pPr>
              <w:widowControl/>
              <w:snapToGrid w:val="0"/>
              <w:rPr>
                <w:rFonts w:ascii="Arial Narrow" w:hAnsi="Arial Narrow"/>
                <w:b/>
                <w:sz w:val="20"/>
              </w:rPr>
            </w:pPr>
          </w:p>
        </w:tc>
        <w:tc>
          <w:tcPr>
            <w:tcW w:w="6804" w:type="dxa"/>
            <w:gridSpan w:val="6"/>
            <w:tcBorders>
              <w:top w:val="single" w:sz="4" w:space="0" w:color="auto"/>
              <w:left w:val="single" w:sz="4" w:space="0" w:color="auto"/>
              <w:bottom w:val="single" w:sz="4" w:space="0" w:color="auto"/>
              <w:right w:val="single" w:sz="4" w:space="0" w:color="auto"/>
            </w:tcBorders>
            <w:hideMark/>
          </w:tcPr>
          <w:p w:rsidR="00DB7784" w:rsidRPr="00931642" w:rsidRDefault="00DB7784" w:rsidP="006504C4">
            <w:pPr>
              <w:widowControl/>
              <w:rPr>
                <w:rFonts w:ascii="Arial Narrow" w:hAnsi="Arial Narrow"/>
                <w:i/>
                <w:sz w:val="20"/>
              </w:rPr>
            </w:pPr>
            <w:r w:rsidRPr="00931642">
              <w:rPr>
                <w:rFonts w:ascii="Arial Narrow" w:hAnsi="Arial Narrow"/>
                <w:i/>
                <w:sz w:val="20"/>
              </w:rPr>
              <w:fldChar w:fldCharType="begin">
                <w:ffData>
                  <w:name w:val="Check1"/>
                  <w:enabled/>
                  <w:calcOnExit w:val="0"/>
                  <w:checkBox>
                    <w:sizeAuto/>
                    <w:default w:val="0"/>
                  </w:checkBox>
                </w:ffData>
              </w:fldChar>
            </w:r>
            <w:r w:rsidRPr="00931642">
              <w:rPr>
                <w:rFonts w:ascii="Arial Narrow" w:hAnsi="Arial Narrow"/>
                <w:i/>
                <w:sz w:val="20"/>
              </w:rPr>
              <w:instrText xml:space="preserve"> FORMCHECKBOX </w:instrText>
            </w:r>
            <w:r w:rsidR="00451B88">
              <w:rPr>
                <w:rFonts w:ascii="Arial Narrow" w:hAnsi="Arial Narrow"/>
                <w:i/>
                <w:sz w:val="20"/>
              </w:rPr>
            </w:r>
            <w:r w:rsidR="00451B88">
              <w:rPr>
                <w:rFonts w:ascii="Arial Narrow" w:hAnsi="Arial Narrow"/>
                <w:i/>
                <w:sz w:val="20"/>
              </w:rPr>
              <w:fldChar w:fldCharType="separate"/>
            </w:r>
            <w:r w:rsidRPr="00931642">
              <w:rPr>
                <w:rFonts w:ascii="Arial Narrow" w:hAnsi="Arial Narrow"/>
                <w:i/>
                <w:sz w:val="20"/>
              </w:rPr>
              <w:fldChar w:fldCharType="end"/>
            </w:r>
            <w:r w:rsidRPr="00931642">
              <w:rPr>
                <w:rFonts w:ascii="Arial Narrow" w:hAnsi="Arial Narrow"/>
                <w:i/>
                <w:sz w:val="20"/>
              </w:rPr>
              <w:t xml:space="preserve">Dental  </w:t>
            </w:r>
            <w:r w:rsidRPr="00931642">
              <w:rPr>
                <w:rFonts w:ascii="Arial Narrow" w:hAnsi="Arial Narrow"/>
                <w:i/>
                <w:sz w:val="20"/>
              </w:rPr>
              <w:fldChar w:fldCharType="begin">
                <w:ffData>
                  <w:name w:val=""/>
                  <w:enabled/>
                  <w:calcOnExit w:val="0"/>
                  <w:checkBox>
                    <w:sizeAuto/>
                    <w:default w:val="1"/>
                  </w:checkBox>
                </w:ffData>
              </w:fldChar>
            </w:r>
            <w:r w:rsidRPr="00931642">
              <w:rPr>
                <w:rFonts w:ascii="Arial Narrow" w:hAnsi="Arial Narrow"/>
                <w:i/>
                <w:sz w:val="20"/>
              </w:rPr>
              <w:instrText xml:space="preserve"> FORMCHECKBOX </w:instrText>
            </w:r>
            <w:r w:rsidR="00451B88">
              <w:rPr>
                <w:rFonts w:ascii="Arial Narrow" w:hAnsi="Arial Narrow"/>
                <w:i/>
                <w:sz w:val="20"/>
              </w:rPr>
            </w:r>
            <w:r w:rsidR="00451B88">
              <w:rPr>
                <w:rFonts w:ascii="Arial Narrow" w:hAnsi="Arial Narrow"/>
                <w:i/>
                <w:sz w:val="20"/>
              </w:rPr>
              <w:fldChar w:fldCharType="separate"/>
            </w:r>
            <w:r w:rsidRPr="00931642">
              <w:rPr>
                <w:rFonts w:ascii="Arial Narrow" w:hAnsi="Arial Narrow"/>
                <w:i/>
                <w:sz w:val="20"/>
              </w:rPr>
              <w:fldChar w:fldCharType="end"/>
            </w:r>
            <w:r w:rsidRPr="00931642">
              <w:rPr>
                <w:rFonts w:ascii="Arial Narrow" w:hAnsi="Arial Narrow"/>
                <w:i/>
                <w:sz w:val="20"/>
              </w:rPr>
              <w:t xml:space="preserve">Medical Practitioners  </w:t>
            </w:r>
            <w:r w:rsidRPr="00931642">
              <w:rPr>
                <w:rFonts w:ascii="Arial Narrow" w:hAnsi="Arial Narrow"/>
                <w:i/>
                <w:sz w:val="20"/>
              </w:rPr>
              <w:fldChar w:fldCharType="begin">
                <w:ffData>
                  <w:name w:val="Check3"/>
                  <w:enabled/>
                  <w:calcOnExit w:val="0"/>
                  <w:checkBox>
                    <w:sizeAuto/>
                    <w:default w:val="0"/>
                  </w:checkBox>
                </w:ffData>
              </w:fldChar>
            </w:r>
            <w:r w:rsidRPr="00931642">
              <w:rPr>
                <w:rFonts w:ascii="Arial Narrow" w:hAnsi="Arial Narrow"/>
                <w:i/>
                <w:sz w:val="20"/>
              </w:rPr>
              <w:instrText xml:space="preserve"> FORMCHECKBOX </w:instrText>
            </w:r>
            <w:r w:rsidR="00451B88">
              <w:rPr>
                <w:rFonts w:ascii="Arial Narrow" w:hAnsi="Arial Narrow"/>
                <w:i/>
                <w:sz w:val="20"/>
              </w:rPr>
            </w:r>
            <w:r w:rsidR="00451B88">
              <w:rPr>
                <w:rFonts w:ascii="Arial Narrow" w:hAnsi="Arial Narrow"/>
                <w:i/>
                <w:sz w:val="20"/>
              </w:rPr>
              <w:fldChar w:fldCharType="separate"/>
            </w:r>
            <w:r w:rsidRPr="00931642">
              <w:rPr>
                <w:rFonts w:ascii="Arial Narrow" w:hAnsi="Arial Narrow"/>
                <w:i/>
                <w:sz w:val="20"/>
              </w:rPr>
              <w:fldChar w:fldCharType="end"/>
            </w:r>
            <w:r w:rsidRPr="00931642">
              <w:rPr>
                <w:rFonts w:ascii="Arial Narrow" w:hAnsi="Arial Narrow"/>
                <w:i/>
                <w:sz w:val="20"/>
              </w:rPr>
              <w:t xml:space="preserve">Nurse practitioners  </w:t>
            </w:r>
            <w:r w:rsidRPr="00931642">
              <w:rPr>
                <w:rFonts w:ascii="Arial Narrow" w:hAnsi="Arial Narrow"/>
                <w:i/>
                <w:sz w:val="20"/>
              </w:rPr>
              <w:fldChar w:fldCharType="begin">
                <w:ffData>
                  <w:name w:val=""/>
                  <w:enabled/>
                  <w:calcOnExit w:val="0"/>
                  <w:checkBox>
                    <w:sizeAuto/>
                    <w:default w:val="0"/>
                  </w:checkBox>
                </w:ffData>
              </w:fldChar>
            </w:r>
            <w:r w:rsidRPr="00931642">
              <w:rPr>
                <w:rFonts w:ascii="Arial Narrow" w:hAnsi="Arial Narrow"/>
                <w:i/>
                <w:sz w:val="20"/>
              </w:rPr>
              <w:instrText xml:space="preserve"> FORMCHECKBOX </w:instrText>
            </w:r>
            <w:r w:rsidR="00451B88">
              <w:rPr>
                <w:rFonts w:ascii="Arial Narrow" w:hAnsi="Arial Narrow"/>
                <w:i/>
                <w:sz w:val="20"/>
              </w:rPr>
            </w:r>
            <w:r w:rsidR="00451B88">
              <w:rPr>
                <w:rFonts w:ascii="Arial Narrow" w:hAnsi="Arial Narrow"/>
                <w:i/>
                <w:sz w:val="20"/>
              </w:rPr>
              <w:fldChar w:fldCharType="separate"/>
            </w:r>
            <w:r w:rsidRPr="00931642">
              <w:rPr>
                <w:rFonts w:ascii="Arial Narrow" w:hAnsi="Arial Narrow"/>
                <w:i/>
                <w:sz w:val="20"/>
              </w:rPr>
              <w:fldChar w:fldCharType="end"/>
            </w:r>
            <w:r w:rsidRPr="00931642">
              <w:rPr>
                <w:rFonts w:ascii="Arial Narrow" w:hAnsi="Arial Narrow"/>
                <w:i/>
                <w:sz w:val="20"/>
              </w:rPr>
              <w:t>Optometrists</w:t>
            </w:r>
          </w:p>
          <w:p w:rsidR="00DB7784" w:rsidRPr="00931642" w:rsidRDefault="00DB7784" w:rsidP="006504C4">
            <w:pPr>
              <w:widowControl/>
              <w:snapToGrid w:val="0"/>
              <w:rPr>
                <w:rFonts w:ascii="Arial Narrow" w:hAnsi="Arial Narrow"/>
                <w:i/>
                <w:sz w:val="20"/>
              </w:rPr>
            </w:pPr>
            <w:r w:rsidRPr="00931642">
              <w:rPr>
                <w:rFonts w:ascii="Arial Narrow" w:hAnsi="Arial Narrow"/>
                <w:i/>
                <w:sz w:val="20"/>
              </w:rPr>
              <w:fldChar w:fldCharType="begin">
                <w:ffData>
                  <w:name w:val="Check5"/>
                  <w:enabled/>
                  <w:calcOnExit w:val="0"/>
                  <w:checkBox>
                    <w:sizeAuto/>
                    <w:default w:val="0"/>
                  </w:checkBox>
                </w:ffData>
              </w:fldChar>
            </w:r>
            <w:r w:rsidRPr="00931642">
              <w:rPr>
                <w:rFonts w:ascii="Arial Narrow" w:hAnsi="Arial Narrow"/>
                <w:i/>
                <w:sz w:val="20"/>
              </w:rPr>
              <w:instrText xml:space="preserve"> FORMCHECKBOX </w:instrText>
            </w:r>
            <w:r w:rsidR="00451B88">
              <w:rPr>
                <w:rFonts w:ascii="Arial Narrow" w:hAnsi="Arial Narrow"/>
                <w:i/>
                <w:sz w:val="20"/>
              </w:rPr>
            </w:r>
            <w:r w:rsidR="00451B88">
              <w:rPr>
                <w:rFonts w:ascii="Arial Narrow" w:hAnsi="Arial Narrow"/>
                <w:i/>
                <w:sz w:val="20"/>
              </w:rPr>
              <w:fldChar w:fldCharType="separate"/>
            </w:r>
            <w:r w:rsidRPr="00931642">
              <w:rPr>
                <w:rFonts w:ascii="Arial Narrow" w:hAnsi="Arial Narrow"/>
                <w:i/>
                <w:sz w:val="20"/>
              </w:rPr>
              <w:fldChar w:fldCharType="end"/>
            </w:r>
            <w:r w:rsidRPr="00931642">
              <w:rPr>
                <w:rFonts w:ascii="Arial Narrow" w:hAnsi="Arial Narrow"/>
                <w:i/>
                <w:sz w:val="20"/>
              </w:rPr>
              <w:t>Midwives</w:t>
            </w:r>
          </w:p>
        </w:tc>
      </w:tr>
      <w:tr w:rsidR="00DB7784" w:rsidRPr="00931642" w:rsidTr="00676BF5">
        <w:tblPrEx>
          <w:tblLook w:val="04A0" w:firstRow="1" w:lastRow="0" w:firstColumn="1" w:lastColumn="0" w:noHBand="0" w:noVBand="1"/>
        </w:tblPrEx>
        <w:trPr>
          <w:cantSplit/>
          <w:trHeight w:val="360"/>
        </w:trPr>
        <w:tc>
          <w:tcPr>
            <w:tcW w:w="1701" w:type="dxa"/>
            <w:tcBorders>
              <w:top w:val="single" w:sz="4" w:space="0" w:color="auto"/>
              <w:left w:val="single" w:sz="4" w:space="0" w:color="auto"/>
              <w:bottom w:val="single" w:sz="4" w:space="0" w:color="auto"/>
              <w:right w:val="single" w:sz="4" w:space="0" w:color="auto"/>
            </w:tcBorders>
            <w:hideMark/>
          </w:tcPr>
          <w:p w:rsidR="00DB7784" w:rsidRPr="00931642" w:rsidRDefault="00DB7784" w:rsidP="006504C4">
            <w:pPr>
              <w:widowControl/>
              <w:snapToGrid w:val="0"/>
              <w:rPr>
                <w:rFonts w:ascii="Arial Narrow" w:hAnsi="Arial Narrow"/>
                <w:b/>
                <w:sz w:val="20"/>
              </w:rPr>
            </w:pPr>
            <w:r w:rsidRPr="00931642">
              <w:rPr>
                <w:rFonts w:ascii="Arial Narrow" w:hAnsi="Arial Narrow"/>
                <w:b/>
                <w:sz w:val="20"/>
              </w:rPr>
              <w:t>PBS Indication:</w:t>
            </w:r>
          </w:p>
        </w:tc>
        <w:tc>
          <w:tcPr>
            <w:tcW w:w="6804" w:type="dxa"/>
            <w:gridSpan w:val="6"/>
            <w:tcBorders>
              <w:top w:val="single" w:sz="4" w:space="0" w:color="auto"/>
              <w:left w:val="single" w:sz="4" w:space="0" w:color="auto"/>
              <w:bottom w:val="single" w:sz="4" w:space="0" w:color="auto"/>
              <w:right w:val="single" w:sz="4" w:space="0" w:color="auto"/>
            </w:tcBorders>
            <w:hideMark/>
          </w:tcPr>
          <w:p w:rsidR="00DB7784" w:rsidRPr="00931642" w:rsidRDefault="00DB7784" w:rsidP="006504C4">
            <w:pPr>
              <w:widowControl/>
              <w:snapToGrid w:val="0"/>
              <w:rPr>
                <w:rFonts w:ascii="Arial Narrow" w:hAnsi="Arial Narrow"/>
                <w:i/>
                <w:sz w:val="20"/>
              </w:rPr>
            </w:pPr>
            <w:r w:rsidRPr="00931642">
              <w:rPr>
                <w:rFonts w:ascii="Arial Narrow" w:hAnsi="Arial Narrow"/>
                <w:i/>
                <w:sz w:val="20"/>
              </w:rPr>
              <w:t>Acromegaly</w:t>
            </w:r>
          </w:p>
        </w:tc>
      </w:tr>
      <w:tr w:rsidR="00DB7784" w:rsidRPr="00931642" w:rsidTr="00676BF5">
        <w:tblPrEx>
          <w:tblLook w:val="04A0" w:firstRow="1" w:lastRow="0" w:firstColumn="1" w:lastColumn="0" w:noHBand="0" w:noVBand="1"/>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b/>
                <w:sz w:val="20"/>
              </w:rPr>
            </w:pPr>
            <w:r w:rsidRPr="00931642">
              <w:rPr>
                <w:rFonts w:ascii="Arial Narrow" w:hAnsi="Arial Narrow"/>
                <w:b/>
                <w:sz w:val="20"/>
              </w:rPr>
              <w:t>Treatment phase:</w:t>
            </w:r>
          </w:p>
        </w:tc>
        <w:tc>
          <w:tcPr>
            <w:tcW w:w="6804" w:type="dxa"/>
            <w:gridSpan w:val="6"/>
            <w:tcBorders>
              <w:top w:val="single" w:sz="4" w:space="0" w:color="auto"/>
              <w:left w:val="single" w:sz="4" w:space="0" w:color="auto"/>
              <w:bottom w:val="single" w:sz="4" w:space="0" w:color="auto"/>
              <w:right w:val="single" w:sz="4" w:space="0" w:color="auto"/>
            </w:tcBorders>
            <w:hideMark/>
          </w:tcPr>
          <w:p w:rsidR="00DB7784" w:rsidRPr="00931642" w:rsidRDefault="00DB7784" w:rsidP="006504C4">
            <w:pPr>
              <w:widowControl/>
              <w:snapToGrid w:val="0"/>
              <w:rPr>
                <w:rFonts w:ascii="Arial Narrow" w:hAnsi="Arial Narrow"/>
                <w:i/>
                <w:sz w:val="20"/>
              </w:rPr>
            </w:pPr>
            <w:r w:rsidRPr="00931642">
              <w:rPr>
                <w:rFonts w:ascii="Arial Narrow" w:hAnsi="Arial Narrow"/>
                <w:i/>
                <w:sz w:val="20"/>
              </w:rPr>
              <w:t>Continuing treatment</w:t>
            </w:r>
          </w:p>
        </w:tc>
      </w:tr>
      <w:tr w:rsidR="00DB7784" w:rsidRPr="00931642" w:rsidTr="00676BF5">
        <w:tblPrEx>
          <w:tblLook w:val="04A0" w:firstRow="1" w:lastRow="0" w:firstColumn="1" w:lastColumn="0" w:noHBand="0" w:noVBand="1"/>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jc w:val="left"/>
              <w:rPr>
                <w:rFonts w:ascii="Arial Narrow" w:hAnsi="Arial Narrow"/>
                <w:b/>
                <w:sz w:val="20"/>
              </w:rPr>
            </w:pPr>
            <w:r w:rsidRPr="00931642">
              <w:rPr>
                <w:rFonts w:ascii="Arial Narrow" w:hAnsi="Arial Narrow"/>
                <w:b/>
                <w:sz w:val="20"/>
              </w:rPr>
              <w:t>Restriction Level / Method:</w:t>
            </w:r>
          </w:p>
        </w:tc>
        <w:tc>
          <w:tcPr>
            <w:tcW w:w="6804" w:type="dxa"/>
            <w:gridSpan w:val="6"/>
            <w:tcBorders>
              <w:top w:val="single" w:sz="4" w:space="0" w:color="auto"/>
              <w:left w:val="single" w:sz="4" w:space="0" w:color="auto"/>
              <w:bottom w:val="single" w:sz="4" w:space="0" w:color="auto"/>
              <w:right w:val="single" w:sz="4" w:space="0" w:color="auto"/>
            </w:tcBorders>
            <w:hideMark/>
          </w:tcPr>
          <w:p w:rsidR="00DB7784" w:rsidRPr="00931642" w:rsidRDefault="00DB7784" w:rsidP="006504C4">
            <w:pPr>
              <w:widowControl/>
              <w:rPr>
                <w:rFonts w:ascii="Arial Narrow" w:hAnsi="Arial Narrow"/>
                <w:i/>
                <w:sz w:val="20"/>
              </w:rPr>
            </w:pPr>
            <w:r w:rsidRPr="00931642">
              <w:rPr>
                <w:rFonts w:ascii="Arial Narrow" w:hAnsi="Arial Narrow"/>
                <w:i/>
                <w:sz w:val="20"/>
              </w:rPr>
              <w:fldChar w:fldCharType="begin">
                <w:ffData>
                  <w:name w:val=""/>
                  <w:enabled/>
                  <w:calcOnExit w:val="0"/>
                  <w:checkBox>
                    <w:sizeAuto/>
                    <w:default w:val="1"/>
                  </w:checkBox>
                </w:ffData>
              </w:fldChar>
            </w:r>
            <w:r w:rsidRPr="00931642">
              <w:rPr>
                <w:rFonts w:ascii="Arial Narrow" w:hAnsi="Arial Narrow"/>
                <w:i/>
                <w:sz w:val="20"/>
              </w:rPr>
              <w:instrText xml:space="preserve"> FORMCHECKBOX </w:instrText>
            </w:r>
            <w:r w:rsidR="00451B88">
              <w:rPr>
                <w:rFonts w:ascii="Arial Narrow" w:hAnsi="Arial Narrow"/>
                <w:i/>
                <w:sz w:val="20"/>
              </w:rPr>
            </w:r>
            <w:r w:rsidR="00451B88">
              <w:rPr>
                <w:rFonts w:ascii="Arial Narrow" w:hAnsi="Arial Narrow"/>
                <w:i/>
                <w:sz w:val="20"/>
              </w:rPr>
              <w:fldChar w:fldCharType="separate"/>
            </w:r>
            <w:r w:rsidRPr="00931642">
              <w:rPr>
                <w:rFonts w:ascii="Arial Narrow" w:hAnsi="Arial Narrow"/>
                <w:i/>
                <w:sz w:val="20"/>
              </w:rPr>
              <w:fldChar w:fldCharType="end"/>
            </w:r>
            <w:r w:rsidRPr="00931642">
              <w:rPr>
                <w:rFonts w:ascii="Arial Narrow" w:hAnsi="Arial Narrow"/>
                <w:i/>
                <w:sz w:val="20"/>
              </w:rPr>
              <w:t xml:space="preserve">Authority Required - </w:t>
            </w:r>
            <w:r w:rsidR="0044310C" w:rsidRPr="00931642">
              <w:rPr>
                <w:rFonts w:ascii="Arial Narrow" w:hAnsi="Arial Narrow"/>
                <w:i/>
                <w:sz w:val="20"/>
              </w:rPr>
              <w:t>T</w:t>
            </w:r>
            <w:r w:rsidRPr="00931642">
              <w:rPr>
                <w:rFonts w:ascii="Arial Narrow" w:hAnsi="Arial Narrow"/>
                <w:i/>
                <w:sz w:val="20"/>
              </w:rPr>
              <w:t>elephone</w:t>
            </w:r>
          </w:p>
          <w:p w:rsidR="00DB7784" w:rsidRPr="00931642" w:rsidRDefault="00DB7784" w:rsidP="006504C4">
            <w:pPr>
              <w:widowControl/>
              <w:snapToGrid w:val="0"/>
              <w:rPr>
                <w:rFonts w:ascii="Arial Narrow" w:hAnsi="Arial Narrow"/>
                <w:i/>
                <w:sz w:val="20"/>
              </w:rPr>
            </w:pPr>
          </w:p>
        </w:tc>
      </w:tr>
      <w:tr w:rsidR="00DB7784" w:rsidRPr="00931642" w:rsidTr="00676BF5">
        <w:tblPrEx>
          <w:tblLook w:val="04A0" w:firstRow="1" w:lastRow="0" w:firstColumn="1" w:lastColumn="0" w:noHBand="0" w:noVBand="1"/>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b/>
                <w:sz w:val="20"/>
              </w:rPr>
            </w:pPr>
            <w:r w:rsidRPr="00931642">
              <w:rPr>
                <w:rFonts w:ascii="Arial Narrow" w:hAnsi="Arial Narrow"/>
                <w:b/>
                <w:sz w:val="20"/>
              </w:rPr>
              <w:lastRenderedPageBreak/>
              <w:t>Clinical criteria:</w:t>
            </w:r>
          </w:p>
          <w:p w:rsidR="00DB7784" w:rsidRPr="00931642" w:rsidRDefault="00DB7784" w:rsidP="006504C4">
            <w:pPr>
              <w:widowControl/>
              <w:rPr>
                <w:rFonts w:ascii="Arial Narrow" w:hAnsi="Arial Narrow"/>
                <w:sz w:val="20"/>
              </w:rPr>
            </w:pPr>
          </w:p>
          <w:p w:rsidR="00DB7784" w:rsidRPr="00931642" w:rsidRDefault="00DB7784" w:rsidP="006504C4">
            <w:pPr>
              <w:widowControl/>
              <w:snapToGrid w:val="0"/>
              <w:rPr>
                <w:rFonts w:ascii="Arial Narrow" w:hAnsi="Arial Narrow"/>
                <w:sz w:val="20"/>
              </w:rPr>
            </w:pPr>
          </w:p>
        </w:tc>
        <w:tc>
          <w:tcPr>
            <w:tcW w:w="6804" w:type="dxa"/>
            <w:gridSpan w:val="6"/>
            <w:tcBorders>
              <w:top w:val="single" w:sz="4" w:space="0" w:color="auto"/>
              <w:left w:val="single" w:sz="4" w:space="0" w:color="auto"/>
              <w:bottom w:val="single" w:sz="4" w:space="0" w:color="auto"/>
              <w:right w:val="single" w:sz="4" w:space="0" w:color="auto"/>
            </w:tcBorders>
            <w:hideMark/>
          </w:tcPr>
          <w:p w:rsidR="00DB7784" w:rsidRPr="00931642" w:rsidRDefault="00DB7784" w:rsidP="006504C4">
            <w:pPr>
              <w:widowControl/>
              <w:snapToGrid w:val="0"/>
              <w:rPr>
                <w:rFonts w:ascii="Arial Narrow" w:hAnsi="Arial Narrow"/>
                <w:i/>
                <w:sz w:val="20"/>
              </w:rPr>
            </w:pPr>
            <w:r w:rsidRPr="00931642">
              <w:rPr>
                <w:rFonts w:ascii="Arial Narrow" w:hAnsi="Arial Narrow"/>
                <w:i/>
                <w:sz w:val="20"/>
              </w:rPr>
              <w:t>Patient must have previously received PBS-subsidised treatment with this drug for this condition</w:t>
            </w:r>
          </w:p>
          <w:p w:rsidR="00DB7784" w:rsidRPr="00931642" w:rsidRDefault="00DB7784" w:rsidP="006504C4">
            <w:pPr>
              <w:widowControl/>
              <w:snapToGrid w:val="0"/>
              <w:rPr>
                <w:rFonts w:ascii="Arial Narrow" w:hAnsi="Arial Narrow"/>
                <w:i/>
                <w:sz w:val="20"/>
              </w:rPr>
            </w:pPr>
            <w:r w:rsidRPr="00931642">
              <w:rPr>
                <w:rFonts w:ascii="Arial Narrow" w:hAnsi="Arial Narrow"/>
                <w:i/>
                <w:sz w:val="20"/>
              </w:rPr>
              <w:t>AND</w:t>
            </w:r>
          </w:p>
          <w:p w:rsidR="00DB7784" w:rsidRPr="00931642" w:rsidRDefault="00DB7784" w:rsidP="006504C4">
            <w:pPr>
              <w:widowControl/>
              <w:snapToGrid w:val="0"/>
              <w:rPr>
                <w:rFonts w:ascii="Arial Narrow" w:hAnsi="Arial Narrow"/>
                <w:i/>
                <w:sz w:val="20"/>
              </w:rPr>
            </w:pPr>
            <w:r w:rsidRPr="00931642">
              <w:rPr>
                <w:rFonts w:ascii="Arial Narrow" w:hAnsi="Arial Narrow"/>
                <w:i/>
                <w:sz w:val="20"/>
              </w:rPr>
              <w:t>Patient must have a normalised age- and sex-adjusted insulin-like growth factor 1 (IGF</w:t>
            </w:r>
            <w:r w:rsidRPr="00931642">
              <w:rPr>
                <w:rFonts w:ascii="Arial Narrow" w:hAnsi="Arial Narrow"/>
                <w:i/>
                <w:sz w:val="20"/>
              </w:rPr>
              <w:noBreakHyphen/>
              <w:t>1) after 3 months of therapy of pegvisomant at 30 mg daily</w:t>
            </w:r>
          </w:p>
          <w:p w:rsidR="00DB7784" w:rsidRPr="00931642" w:rsidRDefault="00DB7784" w:rsidP="006504C4">
            <w:pPr>
              <w:widowControl/>
              <w:snapToGrid w:val="0"/>
              <w:rPr>
                <w:rFonts w:ascii="Arial Narrow" w:hAnsi="Arial Narrow"/>
                <w:i/>
                <w:sz w:val="20"/>
              </w:rPr>
            </w:pPr>
            <w:r w:rsidRPr="00931642">
              <w:rPr>
                <w:rFonts w:ascii="Arial Narrow" w:hAnsi="Arial Narrow"/>
                <w:i/>
                <w:sz w:val="20"/>
              </w:rPr>
              <w:t xml:space="preserve">AND </w:t>
            </w:r>
          </w:p>
          <w:p w:rsidR="00DB7784" w:rsidRPr="00931642" w:rsidRDefault="00DB7784" w:rsidP="006504C4">
            <w:pPr>
              <w:widowControl/>
              <w:rPr>
                <w:rFonts w:ascii="Arial Narrow" w:hAnsi="Arial Narrow"/>
                <w:i/>
                <w:sz w:val="20"/>
              </w:rPr>
            </w:pPr>
            <w:r w:rsidRPr="00931642">
              <w:rPr>
                <w:rFonts w:ascii="Arial Narrow" w:hAnsi="Arial Narrow"/>
                <w:i/>
                <w:sz w:val="20"/>
              </w:rPr>
              <w:t>This treatment must be the sole PBS-subsidised therapy for this condition</w:t>
            </w:r>
          </w:p>
        </w:tc>
      </w:tr>
      <w:tr w:rsidR="00DB7784" w:rsidRPr="00931642" w:rsidTr="00676BF5">
        <w:tblPrEx>
          <w:tblLook w:val="04A0" w:firstRow="1" w:lastRow="0" w:firstColumn="1" w:lastColumn="0" w:noHBand="0" w:noVBand="1"/>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b/>
                <w:sz w:val="20"/>
              </w:rPr>
            </w:pPr>
            <w:r w:rsidRPr="00931642">
              <w:rPr>
                <w:rFonts w:ascii="Arial Narrow" w:hAnsi="Arial Narrow"/>
                <w:b/>
                <w:sz w:val="20"/>
              </w:rPr>
              <w:t>Population criteria:</w:t>
            </w:r>
          </w:p>
        </w:tc>
        <w:tc>
          <w:tcPr>
            <w:tcW w:w="6804" w:type="dxa"/>
            <w:gridSpan w:val="6"/>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i/>
                <w:sz w:val="20"/>
              </w:rPr>
            </w:pPr>
            <w:r w:rsidRPr="00931642">
              <w:rPr>
                <w:rFonts w:ascii="Arial Narrow" w:hAnsi="Arial Narrow"/>
                <w:i/>
                <w:sz w:val="20"/>
              </w:rPr>
              <w:t>Patient must be 18 years or older</w:t>
            </w:r>
          </w:p>
        </w:tc>
      </w:tr>
      <w:tr w:rsidR="00DB7784" w:rsidRPr="00931642" w:rsidTr="00676BF5">
        <w:tblPrEx>
          <w:tblLook w:val="04A0" w:firstRow="1" w:lastRow="0" w:firstColumn="1" w:lastColumn="0" w:noHBand="0" w:noVBand="1"/>
        </w:tblPrEx>
        <w:trPr>
          <w:cantSplit/>
          <w:trHeight w:val="489"/>
        </w:trPr>
        <w:tc>
          <w:tcPr>
            <w:tcW w:w="1701" w:type="dxa"/>
            <w:tcBorders>
              <w:top w:val="single" w:sz="4" w:space="0" w:color="auto"/>
              <w:left w:val="single" w:sz="4" w:space="0" w:color="auto"/>
              <w:bottom w:val="single" w:sz="4" w:space="0" w:color="auto"/>
              <w:right w:val="single" w:sz="4" w:space="0" w:color="auto"/>
            </w:tcBorders>
          </w:tcPr>
          <w:p w:rsidR="00DB7784" w:rsidRPr="00931642" w:rsidRDefault="00DB7784" w:rsidP="006504C4">
            <w:pPr>
              <w:widowControl/>
              <w:rPr>
                <w:rFonts w:ascii="Arial Narrow" w:hAnsi="Arial Narrow"/>
                <w:b/>
                <w:sz w:val="20"/>
              </w:rPr>
            </w:pPr>
            <w:r w:rsidRPr="00931642">
              <w:rPr>
                <w:rFonts w:ascii="Arial Narrow" w:hAnsi="Arial Narrow"/>
                <w:b/>
                <w:sz w:val="20"/>
              </w:rPr>
              <w:t>Prescriber Instruction</w:t>
            </w:r>
          </w:p>
        </w:tc>
        <w:tc>
          <w:tcPr>
            <w:tcW w:w="6804" w:type="dxa"/>
            <w:gridSpan w:val="6"/>
            <w:tcBorders>
              <w:top w:val="single" w:sz="4" w:space="0" w:color="auto"/>
              <w:left w:val="single" w:sz="4" w:space="0" w:color="auto"/>
              <w:bottom w:val="single" w:sz="4" w:space="0" w:color="auto"/>
              <w:right w:val="single" w:sz="4" w:space="0" w:color="auto"/>
            </w:tcBorders>
          </w:tcPr>
          <w:p w:rsidR="00DC5049" w:rsidRPr="00931642" w:rsidRDefault="00DC5049" w:rsidP="006504C4">
            <w:pPr>
              <w:widowControl/>
              <w:rPr>
                <w:rFonts w:ascii="Arial Narrow" w:hAnsi="Arial Narrow"/>
                <w:i/>
                <w:sz w:val="20"/>
              </w:rPr>
            </w:pPr>
            <w:r w:rsidRPr="00931642">
              <w:rPr>
                <w:rFonts w:ascii="Arial Narrow" w:hAnsi="Arial Narrow"/>
                <w:i/>
                <w:sz w:val="20"/>
              </w:rPr>
              <w:t>&lt;withdrawal every 2 years after radiotherapy, definition of biochemical remission, and stopping rule as per loading dose restriction&gt;</w:t>
            </w:r>
          </w:p>
          <w:p w:rsidR="00DB7784" w:rsidRPr="00931642" w:rsidRDefault="00DB7784" w:rsidP="006504C4">
            <w:pPr>
              <w:widowControl/>
              <w:rPr>
                <w:rFonts w:ascii="Arial Narrow" w:hAnsi="Arial Narrow"/>
                <w:i/>
                <w:sz w:val="20"/>
              </w:rPr>
            </w:pPr>
          </w:p>
        </w:tc>
      </w:tr>
    </w:tbl>
    <w:p w:rsidR="008F0429" w:rsidRPr="00931642" w:rsidRDefault="008F0429" w:rsidP="006504C4">
      <w:pPr>
        <w:widowControl/>
        <w:rPr>
          <w:szCs w:val="22"/>
        </w:rPr>
      </w:pPr>
    </w:p>
    <w:p w:rsidR="0016318D" w:rsidRPr="00931642" w:rsidRDefault="00690A7B" w:rsidP="006504C4">
      <w:pPr>
        <w:pStyle w:val="ListParagraph"/>
        <w:widowControl/>
        <w:numPr>
          <w:ilvl w:val="1"/>
          <w:numId w:val="6"/>
        </w:numPr>
        <w:rPr>
          <w:szCs w:val="22"/>
        </w:rPr>
      </w:pPr>
      <w:r w:rsidRPr="00931642">
        <w:rPr>
          <w:szCs w:val="22"/>
        </w:rPr>
        <w:t>The PSCR (p</w:t>
      </w:r>
      <w:r w:rsidR="00907350" w:rsidRPr="00931642">
        <w:rPr>
          <w:szCs w:val="22"/>
        </w:rPr>
        <w:t>2)</w:t>
      </w:r>
      <w:r w:rsidR="000F474C" w:rsidRPr="00931642">
        <w:rPr>
          <w:szCs w:val="22"/>
        </w:rPr>
        <w:t xml:space="preserve"> and pre-PBAC responses confirmed the submission wa</w:t>
      </w:r>
      <w:r w:rsidR="00907350" w:rsidRPr="00931642">
        <w:rPr>
          <w:szCs w:val="22"/>
        </w:rPr>
        <w:t xml:space="preserve">s not seeking reimbursement for combination therapy with pasireotide, octreotide or lanreotide. </w:t>
      </w:r>
    </w:p>
    <w:p w:rsidR="00C33493" w:rsidRPr="00931642" w:rsidRDefault="00C33493" w:rsidP="00C33493">
      <w:pPr>
        <w:pStyle w:val="ListParagraph"/>
        <w:widowControl/>
        <w:rPr>
          <w:szCs w:val="22"/>
        </w:rPr>
      </w:pPr>
    </w:p>
    <w:p w:rsidR="00C33493" w:rsidRPr="00931642" w:rsidRDefault="00C33493" w:rsidP="006504C4">
      <w:pPr>
        <w:pStyle w:val="ListParagraph"/>
        <w:widowControl/>
        <w:numPr>
          <w:ilvl w:val="1"/>
          <w:numId w:val="6"/>
        </w:numPr>
        <w:rPr>
          <w:szCs w:val="22"/>
        </w:rPr>
      </w:pPr>
      <w:r w:rsidRPr="00931642">
        <w:rPr>
          <w:szCs w:val="22"/>
        </w:rPr>
        <w:t>The submission also indicated that some patients were receiving pegvisomant under a special access scheme, and requested that they be grandfathered on to the PBS. No further details or a proposed grandfather restriction were provided.</w:t>
      </w:r>
    </w:p>
    <w:p w:rsidR="000F474C" w:rsidRPr="00931642" w:rsidRDefault="000F474C" w:rsidP="006504C4">
      <w:pPr>
        <w:pStyle w:val="ListParagraph"/>
        <w:widowControl/>
        <w:ind w:left="0"/>
        <w:rPr>
          <w:szCs w:val="22"/>
        </w:rPr>
      </w:pPr>
    </w:p>
    <w:p w:rsidR="00113B63" w:rsidRPr="00931642" w:rsidRDefault="00243E1A" w:rsidP="006504C4">
      <w:pPr>
        <w:pStyle w:val="ListParagraph"/>
        <w:widowControl/>
        <w:numPr>
          <w:ilvl w:val="1"/>
          <w:numId w:val="6"/>
        </w:numPr>
        <w:rPr>
          <w:szCs w:val="22"/>
        </w:rPr>
      </w:pPr>
      <w:r w:rsidRPr="00931642">
        <w:rPr>
          <w:szCs w:val="22"/>
        </w:rPr>
        <w:t>The submission presented a c</w:t>
      </w:r>
      <w:r w:rsidR="00113B63" w:rsidRPr="00931642">
        <w:rPr>
          <w:szCs w:val="22"/>
        </w:rPr>
        <w:t>ost-utility analysis of pegvisomant (10-30mg) compared with pasireotide (40mg or 60mg)</w:t>
      </w:r>
      <w:r w:rsidR="00714A2D" w:rsidRPr="00931642">
        <w:rPr>
          <w:szCs w:val="22"/>
        </w:rPr>
        <w:t xml:space="preserve"> and</w:t>
      </w:r>
      <w:r w:rsidR="00113B63" w:rsidRPr="00931642">
        <w:rPr>
          <w:szCs w:val="22"/>
        </w:rPr>
        <w:t xml:space="preserve"> octreotide long-acting release (30mg)</w:t>
      </w:r>
      <w:r w:rsidR="00F70A48" w:rsidRPr="00931642">
        <w:rPr>
          <w:szCs w:val="22"/>
        </w:rPr>
        <w:t xml:space="preserve"> /</w:t>
      </w:r>
      <w:r w:rsidR="00113B63" w:rsidRPr="00931642">
        <w:rPr>
          <w:szCs w:val="22"/>
        </w:rPr>
        <w:t>lanreotide autogel (120mg).</w:t>
      </w:r>
    </w:p>
    <w:p w:rsidR="00714A2D" w:rsidRPr="00931642" w:rsidRDefault="00714A2D" w:rsidP="006504C4">
      <w:pPr>
        <w:pStyle w:val="ListParagraph"/>
        <w:widowControl/>
        <w:rPr>
          <w:szCs w:val="22"/>
        </w:rPr>
      </w:pPr>
    </w:p>
    <w:p w:rsidR="00714A2D" w:rsidRPr="00931642" w:rsidRDefault="00714A2D" w:rsidP="006504C4">
      <w:pPr>
        <w:pStyle w:val="ListParagraph"/>
        <w:widowControl/>
        <w:numPr>
          <w:ilvl w:val="1"/>
          <w:numId w:val="6"/>
        </w:numPr>
        <w:rPr>
          <w:szCs w:val="22"/>
        </w:rPr>
      </w:pPr>
      <w:r w:rsidRPr="00931642">
        <w:rPr>
          <w:szCs w:val="22"/>
        </w:rPr>
        <w:t>The pre-PBAC response changed the basis on which listing for pe</w:t>
      </w:r>
      <w:r w:rsidR="009E57AE" w:rsidRPr="00931642">
        <w:rPr>
          <w:szCs w:val="22"/>
        </w:rPr>
        <w:t xml:space="preserve">gvisomant was being sought to </w:t>
      </w:r>
      <w:r w:rsidR="00A204DE" w:rsidRPr="00931642">
        <w:rPr>
          <w:szCs w:val="22"/>
        </w:rPr>
        <w:t xml:space="preserve">a </w:t>
      </w:r>
      <w:r w:rsidRPr="00931642">
        <w:rPr>
          <w:szCs w:val="22"/>
        </w:rPr>
        <w:t>cost-minim</w:t>
      </w:r>
      <w:r w:rsidR="00903D37" w:rsidRPr="00931642">
        <w:rPr>
          <w:szCs w:val="22"/>
        </w:rPr>
        <w:t>i</w:t>
      </w:r>
      <w:r w:rsidRPr="00931642">
        <w:rPr>
          <w:szCs w:val="22"/>
        </w:rPr>
        <w:t>sation to pasireotide (excluding cost offsets for diabetes). In conjunction with this change, the pre-PBAC response requested a PBS restriction consistent with pasireotide (</w:t>
      </w:r>
      <w:r w:rsidR="000F06E6" w:rsidRPr="00931642">
        <w:rPr>
          <w:szCs w:val="22"/>
        </w:rPr>
        <w:t xml:space="preserve">with the exception of the restriction to </w:t>
      </w:r>
      <w:r w:rsidR="00A204DE" w:rsidRPr="00931642">
        <w:rPr>
          <w:szCs w:val="22"/>
        </w:rPr>
        <w:t xml:space="preserve">patients </w:t>
      </w:r>
      <w:r w:rsidR="000F06E6" w:rsidRPr="00931642">
        <w:rPr>
          <w:szCs w:val="22"/>
        </w:rPr>
        <w:t xml:space="preserve">aged </w:t>
      </w:r>
      <w:r w:rsidRPr="00931642">
        <w:rPr>
          <w:szCs w:val="22"/>
        </w:rPr>
        <w:t>18 years or older).</w:t>
      </w:r>
    </w:p>
    <w:p w:rsidR="00F70A48" w:rsidRPr="00931642" w:rsidRDefault="00F70A48" w:rsidP="006504C4">
      <w:pPr>
        <w:widowControl/>
      </w:pPr>
    </w:p>
    <w:p w:rsidR="006E21FC" w:rsidRPr="00931642" w:rsidRDefault="006E21FC" w:rsidP="006504C4">
      <w:pPr>
        <w:pStyle w:val="ListParagraph"/>
        <w:widowControl/>
        <w:ind w:left="709"/>
        <w:rPr>
          <w:i/>
          <w:szCs w:val="22"/>
        </w:rPr>
      </w:pPr>
      <w:r w:rsidRPr="00931642">
        <w:rPr>
          <w:i/>
          <w:szCs w:val="22"/>
        </w:rPr>
        <w:t>For more detail on PBAC’s view, see section 7 “PBAC outcome”</w:t>
      </w:r>
      <w:r w:rsidR="00043A0B">
        <w:rPr>
          <w:i/>
          <w:szCs w:val="22"/>
        </w:rPr>
        <w:t>.</w:t>
      </w:r>
    </w:p>
    <w:p w:rsidR="001A4304" w:rsidRPr="00931642" w:rsidRDefault="001A4304" w:rsidP="006504C4">
      <w:pPr>
        <w:widowControl/>
      </w:pPr>
    </w:p>
    <w:p w:rsidR="00714A2D" w:rsidRPr="00931642" w:rsidRDefault="00714A2D" w:rsidP="006504C4">
      <w:pPr>
        <w:widowControl/>
      </w:pPr>
    </w:p>
    <w:p w:rsidR="00B50DB8" w:rsidRPr="00931642" w:rsidRDefault="00B50DB8" w:rsidP="001E6680">
      <w:pPr>
        <w:pStyle w:val="PBACheading10"/>
        <w:numPr>
          <w:ilvl w:val="0"/>
          <w:numId w:val="6"/>
        </w:numPr>
      </w:pPr>
      <w:bookmarkStart w:id="5" w:name="_Toc461530913"/>
      <w:r w:rsidRPr="00931642">
        <w:t>Background</w:t>
      </w:r>
      <w:bookmarkEnd w:id="5"/>
    </w:p>
    <w:p w:rsidR="00B60939" w:rsidRPr="00931642" w:rsidRDefault="00B60939" w:rsidP="006504C4">
      <w:pPr>
        <w:widowControl/>
        <w:rPr>
          <w:szCs w:val="22"/>
        </w:rPr>
      </w:pPr>
    </w:p>
    <w:p w:rsidR="00113B63" w:rsidRPr="00931642" w:rsidRDefault="00113B63" w:rsidP="006504C4">
      <w:pPr>
        <w:pStyle w:val="ListParagraph"/>
        <w:widowControl/>
        <w:numPr>
          <w:ilvl w:val="1"/>
          <w:numId w:val="6"/>
        </w:numPr>
      </w:pPr>
      <w:r w:rsidRPr="00931642">
        <w:t xml:space="preserve">Pegvisomant was </w:t>
      </w:r>
      <w:r w:rsidR="004F57EC" w:rsidRPr="00931642">
        <w:t xml:space="preserve">registered </w:t>
      </w:r>
      <w:r w:rsidRPr="00931642">
        <w:t>by the TGA on 7</w:t>
      </w:r>
      <w:r w:rsidR="0007397F" w:rsidRPr="00931642">
        <w:t> </w:t>
      </w:r>
      <w:r w:rsidRPr="00931642">
        <w:t>December 2005 for the treatment of acromegaly in patients who have had inadequate response to surgery and/or radiation and/or other medical therapies or for whom these therapies are not appropriate.</w:t>
      </w:r>
    </w:p>
    <w:p w:rsidR="00B60939" w:rsidRPr="00931642" w:rsidRDefault="00B60939" w:rsidP="006504C4">
      <w:pPr>
        <w:pStyle w:val="ListParagraph"/>
        <w:widowControl/>
        <w:rPr>
          <w:szCs w:val="22"/>
        </w:rPr>
      </w:pPr>
    </w:p>
    <w:p w:rsidR="002C2775" w:rsidRPr="00931642" w:rsidRDefault="00113B63" w:rsidP="006504C4">
      <w:pPr>
        <w:pStyle w:val="ListParagraph"/>
        <w:widowControl/>
        <w:numPr>
          <w:ilvl w:val="1"/>
          <w:numId w:val="6"/>
        </w:numPr>
        <w:rPr>
          <w:szCs w:val="22"/>
        </w:rPr>
      </w:pPr>
      <w:r w:rsidRPr="00931642">
        <w:rPr>
          <w:szCs w:val="22"/>
        </w:rPr>
        <w:t>Pegvisomant ha</w:t>
      </w:r>
      <w:r w:rsidR="00714A2D" w:rsidRPr="00931642">
        <w:rPr>
          <w:szCs w:val="22"/>
        </w:rPr>
        <w:t>d</w:t>
      </w:r>
      <w:r w:rsidRPr="00931642">
        <w:rPr>
          <w:szCs w:val="22"/>
        </w:rPr>
        <w:t xml:space="preserve"> not been considered </w:t>
      </w:r>
      <w:r w:rsidR="00714A2D" w:rsidRPr="00931642">
        <w:rPr>
          <w:szCs w:val="22"/>
        </w:rPr>
        <w:t xml:space="preserve">previously </w:t>
      </w:r>
      <w:r w:rsidRPr="00931642">
        <w:rPr>
          <w:szCs w:val="22"/>
        </w:rPr>
        <w:t>by the PBAC.</w:t>
      </w:r>
    </w:p>
    <w:p w:rsidR="00E55BB5" w:rsidRPr="00931642" w:rsidRDefault="00E55BB5" w:rsidP="006504C4">
      <w:pPr>
        <w:widowControl/>
      </w:pPr>
    </w:p>
    <w:p w:rsidR="004F57EC" w:rsidRPr="00931642" w:rsidRDefault="004F57EC" w:rsidP="006504C4">
      <w:pPr>
        <w:widowControl/>
      </w:pPr>
    </w:p>
    <w:p w:rsidR="00B50DB8" w:rsidRPr="00931642" w:rsidRDefault="00B50DB8" w:rsidP="001E6680">
      <w:pPr>
        <w:pStyle w:val="PBACheading10"/>
        <w:numPr>
          <w:ilvl w:val="0"/>
          <w:numId w:val="6"/>
        </w:numPr>
      </w:pPr>
      <w:bookmarkStart w:id="6" w:name="_Toc461530914"/>
      <w:r w:rsidRPr="00931642">
        <w:t>Clinical place for the proposed therapy</w:t>
      </w:r>
      <w:bookmarkEnd w:id="6"/>
    </w:p>
    <w:p w:rsidR="00B60939" w:rsidRPr="00931642" w:rsidRDefault="00B60939" w:rsidP="006504C4">
      <w:pPr>
        <w:keepNext/>
        <w:widowControl/>
        <w:rPr>
          <w:szCs w:val="22"/>
        </w:rPr>
      </w:pPr>
    </w:p>
    <w:p w:rsidR="00B60939" w:rsidRPr="00931642" w:rsidRDefault="00113B63" w:rsidP="006504C4">
      <w:pPr>
        <w:pStyle w:val="ListParagraph"/>
        <w:widowControl/>
        <w:numPr>
          <w:ilvl w:val="1"/>
          <w:numId w:val="6"/>
        </w:numPr>
        <w:rPr>
          <w:szCs w:val="22"/>
        </w:rPr>
      </w:pPr>
      <w:r w:rsidRPr="00931642">
        <w:t xml:space="preserve">Acromegaly is a rare condition characterised by a consistently high level of circulating growth hormone, primarily caused by benign tumours in the pituitary gland. As a result of increased growth hormone, there is also increased secretion of insulin-like growth factor-1 (IGF-1). Excess growth hormone and IGF-1 results in enlargement of the jaw and extremities, and over a prolonged period may lead to multiple significant comorbidities including cardiovascular complications, cerebrovascular events, gonadal dysfunction, impaired glucose tolerance and </w:t>
      </w:r>
      <w:r w:rsidRPr="00931642">
        <w:lastRenderedPageBreak/>
        <w:t>diabetes, sleep apnoea, impaired respiratory function, colonic neoplasms, and bone and joint diseases.</w:t>
      </w:r>
    </w:p>
    <w:p w:rsidR="00894489" w:rsidRPr="00931642" w:rsidRDefault="00894489" w:rsidP="006504C4">
      <w:pPr>
        <w:widowControl/>
        <w:rPr>
          <w:szCs w:val="22"/>
        </w:rPr>
      </w:pPr>
    </w:p>
    <w:p w:rsidR="002C2775" w:rsidRPr="00931642" w:rsidRDefault="0007397F" w:rsidP="006504C4">
      <w:pPr>
        <w:pStyle w:val="ListParagraph"/>
        <w:widowControl/>
        <w:numPr>
          <w:ilvl w:val="1"/>
          <w:numId w:val="6"/>
        </w:numPr>
        <w:rPr>
          <w:szCs w:val="22"/>
        </w:rPr>
      </w:pPr>
      <w:r w:rsidRPr="00931642">
        <w:rPr>
          <w:szCs w:val="22"/>
        </w:rPr>
        <w:t>The submission positioned p</w:t>
      </w:r>
      <w:r w:rsidR="009D0162" w:rsidRPr="00931642">
        <w:rPr>
          <w:szCs w:val="22"/>
        </w:rPr>
        <w:t>egvisomant as either second-line therapy in patients for whom long</w:t>
      </w:r>
      <w:r w:rsidRPr="00931642">
        <w:rPr>
          <w:szCs w:val="22"/>
        </w:rPr>
        <w:noBreakHyphen/>
      </w:r>
      <w:r w:rsidR="009D0162" w:rsidRPr="00931642">
        <w:rPr>
          <w:szCs w:val="22"/>
        </w:rPr>
        <w:t xml:space="preserve">acting octreotide or lanreotide was unsuccessful or contraindicated, and for whom pasireotide therapy was considered inappropriate; or third-line therapy in patients for whom both octreotide/lanreotide and pasireotide were unsuccessful. </w:t>
      </w:r>
      <w:r w:rsidR="00295AC4" w:rsidRPr="00931642">
        <w:rPr>
          <w:szCs w:val="22"/>
        </w:rPr>
        <w:t xml:space="preserve">The submission also suggested that </w:t>
      </w:r>
      <w:r w:rsidR="008F0429" w:rsidRPr="00931642">
        <w:rPr>
          <w:szCs w:val="22"/>
        </w:rPr>
        <w:t xml:space="preserve">patients failing to achieve IGF-1 control with pasireotide or pegvisomant monotherapy would revert to treatment with a first generation </w:t>
      </w:r>
      <w:r w:rsidRPr="00931642">
        <w:rPr>
          <w:szCs w:val="22"/>
        </w:rPr>
        <w:t>SSA</w:t>
      </w:r>
      <w:r w:rsidR="008F0429" w:rsidRPr="00931642">
        <w:rPr>
          <w:szCs w:val="22"/>
        </w:rPr>
        <w:t xml:space="preserve"> (long-acting</w:t>
      </w:r>
      <w:r w:rsidR="00295AC4" w:rsidRPr="00931642">
        <w:rPr>
          <w:szCs w:val="22"/>
        </w:rPr>
        <w:t xml:space="preserve"> octreotide or lanreotide</w:t>
      </w:r>
      <w:r w:rsidR="008F0429" w:rsidRPr="00931642">
        <w:rPr>
          <w:szCs w:val="22"/>
        </w:rPr>
        <w:t>)</w:t>
      </w:r>
      <w:r w:rsidR="00295AC4" w:rsidRPr="00931642">
        <w:rPr>
          <w:szCs w:val="22"/>
        </w:rPr>
        <w:t>.</w:t>
      </w:r>
      <w:r w:rsidR="000F474C" w:rsidRPr="00931642">
        <w:rPr>
          <w:szCs w:val="22"/>
        </w:rPr>
        <w:t xml:space="preserve"> The pre-PBAC response</w:t>
      </w:r>
      <w:r w:rsidR="00874548" w:rsidRPr="00931642">
        <w:rPr>
          <w:szCs w:val="22"/>
        </w:rPr>
        <w:t xml:space="preserve"> (pg 2)</w:t>
      </w:r>
      <w:r w:rsidR="000F474C" w:rsidRPr="00931642">
        <w:rPr>
          <w:szCs w:val="22"/>
        </w:rPr>
        <w:t xml:space="preserve"> </w:t>
      </w:r>
      <w:r w:rsidR="00874548" w:rsidRPr="00931642">
        <w:rPr>
          <w:szCs w:val="22"/>
        </w:rPr>
        <w:t xml:space="preserve">revised the proposed clinical place in therapy, positioning it as </w:t>
      </w:r>
      <w:r w:rsidR="00A969D6" w:rsidRPr="00931642">
        <w:rPr>
          <w:szCs w:val="22"/>
        </w:rPr>
        <w:t xml:space="preserve">a </w:t>
      </w:r>
      <w:r w:rsidR="00874548" w:rsidRPr="00931642">
        <w:rPr>
          <w:szCs w:val="22"/>
        </w:rPr>
        <w:t>second-line therapy</w:t>
      </w:r>
      <w:r w:rsidR="00A969D6" w:rsidRPr="00931642">
        <w:rPr>
          <w:szCs w:val="22"/>
        </w:rPr>
        <w:t xml:space="preserve"> following failure with </w:t>
      </w:r>
      <w:r w:rsidR="00A204DE" w:rsidRPr="00931642">
        <w:rPr>
          <w:szCs w:val="22"/>
        </w:rPr>
        <w:t xml:space="preserve">or contraindication to </w:t>
      </w:r>
      <w:r w:rsidR="00A969D6" w:rsidRPr="00931642">
        <w:rPr>
          <w:szCs w:val="22"/>
        </w:rPr>
        <w:t>octreotide/lanreotide,</w:t>
      </w:r>
      <w:r w:rsidR="00903D37" w:rsidRPr="00931642">
        <w:rPr>
          <w:szCs w:val="22"/>
        </w:rPr>
        <w:t xml:space="preserve"> </w:t>
      </w:r>
      <w:r w:rsidR="00A969D6" w:rsidRPr="00931642">
        <w:rPr>
          <w:szCs w:val="22"/>
        </w:rPr>
        <w:t xml:space="preserve">as an alternative to </w:t>
      </w:r>
      <w:r w:rsidR="00874548" w:rsidRPr="00931642">
        <w:rPr>
          <w:szCs w:val="22"/>
        </w:rPr>
        <w:t>pasireotide.</w:t>
      </w:r>
    </w:p>
    <w:p w:rsidR="0069357D" w:rsidRPr="00931642" w:rsidRDefault="0069357D" w:rsidP="006504C4">
      <w:pPr>
        <w:pStyle w:val="ListParagraph"/>
        <w:widowControl/>
        <w:rPr>
          <w:szCs w:val="22"/>
        </w:rPr>
      </w:pPr>
    </w:p>
    <w:p w:rsidR="00E55BB5" w:rsidRPr="00931642" w:rsidRDefault="0069357D" w:rsidP="006504C4">
      <w:pPr>
        <w:pStyle w:val="ListParagraph"/>
        <w:widowControl/>
        <w:numPr>
          <w:ilvl w:val="1"/>
          <w:numId w:val="6"/>
        </w:numPr>
        <w:rPr>
          <w:szCs w:val="22"/>
        </w:rPr>
      </w:pPr>
      <w:r w:rsidRPr="00931642">
        <w:rPr>
          <w:szCs w:val="22"/>
        </w:rPr>
        <w:t>The ESC noted the difference in the mechanism of action for pegvisomant and S</w:t>
      </w:r>
      <w:r w:rsidR="003D7855" w:rsidRPr="00931642">
        <w:rPr>
          <w:szCs w:val="22"/>
        </w:rPr>
        <w:t>SAs;</w:t>
      </w:r>
      <w:r w:rsidRPr="00931642">
        <w:rPr>
          <w:szCs w:val="22"/>
        </w:rPr>
        <w:t xml:space="preserve"> </w:t>
      </w:r>
      <w:r w:rsidR="003D7855" w:rsidRPr="00931642">
        <w:rPr>
          <w:szCs w:val="22"/>
        </w:rPr>
        <w:t>p</w:t>
      </w:r>
      <w:r w:rsidRPr="00931642">
        <w:rPr>
          <w:szCs w:val="22"/>
        </w:rPr>
        <w:t>egvisomant blo</w:t>
      </w:r>
      <w:r w:rsidR="0007397F" w:rsidRPr="00931642">
        <w:rPr>
          <w:szCs w:val="22"/>
        </w:rPr>
        <w:t>cks the growth hormone receptor</w:t>
      </w:r>
      <w:r w:rsidRPr="00931642">
        <w:rPr>
          <w:szCs w:val="22"/>
        </w:rPr>
        <w:t>, reducing the effects of excess growth hormone and decreasing secretion of IGF-1</w:t>
      </w:r>
      <w:r w:rsidR="003D7855" w:rsidRPr="00931642">
        <w:rPr>
          <w:szCs w:val="22"/>
        </w:rPr>
        <w:t>,</w:t>
      </w:r>
      <w:r w:rsidRPr="00931642">
        <w:rPr>
          <w:szCs w:val="22"/>
        </w:rPr>
        <w:t xml:space="preserve"> while SSAs</w:t>
      </w:r>
      <w:r w:rsidR="00E37B5E" w:rsidRPr="00931642">
        <w:rPr>
          <w:szCs w:val="22"/>
        </w:rPr>
        <w:t xml:space="preserve"> reduce secretion of growth hormone. </w:t>
      </w:r>
      <w:r w:rsidR="00E97393" w:rsidRPr="00931642">
        <w:rPr>
          <w:szCs w:val="22"/>
        </w:rPr>
        <w:t xml:space="preserve">The ESC </w:t>
      </w:r>
      <w:r w:rsidR="00DF35D1" w:rsidRPr="00931642">
        <w:rPr>
          <w:szCs w:val="22"/>
        </w:rPr>
        <w:t>noted that i</w:t>
      </w:r>
      <w:r w:rsidR="00DF35D1" w:rsidRPr="00931642">
        <w:t>nternational guidelines</w:t>
      </w:r>
      <w:r w:rsidR="00532033" w:rsidRPr="00931642">
        <w:rPr>
          <w:rStyle w:val="FootnoteReference"/>
        </w:rPr>
        <w:footnoteReference w:id="1"/>
      </w:r>
      <w:r w:rsidR="00DF35D1" w:rsidRPr="00931642">
        <w:t xml:space="preserve"> suggest that for patients who partially respond to SSA therapy, combination therapy with pegvisomant and a SSA should be considered</w:t>
      </w:r>
      <w:r w:rsidR="004D1A8F" w:rsidRPr="00931642">
        <w:t>,</w:t>
      </w:r>
      <w:r w:rsidR="00DF35D1" w:rsidRPr="00931642">
        <w:t xml:space="preserve"> and noted that </w:t>
      </w:r>
      <w:r w:rsidR="00A2210A" w:rsidRPr="00931642">
        <w:rPr>
          <w:szCs w:val="22"/>
        </w:rPr>
        <w:t xml:space="preserve">clinical trials </w:t>
      </w:r>
      <w:r w:rsidR="00DF35D1" w:rsidRPr="00931642">
        <w:rPr>
          <w:szCs w:val="22"/>
        </w:rPr>
        <w:t xml:space="preserve">investigating combination therapy </w:t>
      </w:r>
      <w:r w:rsidR="00A2210A" w:rsidRPr="00931642">
        <w:rPr>
          <w:szCs w:val="22"/>
        </w:rPr>
        <w:t>are currently underway</w:t>
      </w:r>
      <w:r w:rsidR="00532033" w:rsidRPr="00931642">
        <w:rPr>
          <w:rStyle w:val="FootnoteReference"/>
          <w:szCs w:val="22"/>
        </w:rPr>
        <w:footnoteReference w:id="2"/>
      </w:r>
      <w:r w:rsidR="00A0065F" w:rsidRPr="00931642">
        <w:rPr>
          <w:szCs w:val="22"/>
        </w:rPr>
        <w:t>.</w:t>
      </w:r>
      <w:r w:rsidR="00874548" w:rsidRPr="00931642">
        <w:rPr>
          <w:szCs w:val="22"/>
        </w:rPr>
        <w:t xml:space="preserve"> </w:t>
      </w:r>
      <w:r w:rsidR="00A969D6" w:rsidRPr="00931642">
        <w:rPr>
          <w:szCs w:val="22"/>
        </w:rPr>
        <w:t>The pre-PBAC response stated that a restriction for combination therapy with pegvisomant and a SSA is not requested.</w:t>
      </w:r>
    </w:p>
    <w:p w:rsidR="003C78DC" w:rsidRPr="00931642" w:rsidRDefault="003C78DC" w:rsidP="003C78DC">
      <w:pPr>
        <w:pStyle w:val="ListParagraph"/>
        <w:rPr>
          <w:szCs w:val="22"/>
        </w:rPr>
      </w:pPr>
    </w:p>
    <w:p w:rsidR="003C78DC" w:rsidRPr="00931642" w:rsidRDefault="003C78DC" w:rsidP="007243AA">
      <w:pPr>
        <w:pStyle w:val="ListParagraph"/>
        <w:widowControl/>
        <w:numPr>
          <w:ilvl w:val="1"/>
          <w:numId w:val="6"/>
        </w:numPr>
        <w:rPr>
          <w:szCs w:val="22"/>
        </w:rPr>
      </w:pPr>
      <w:r w:rsidRPr="00931642">
        <w:rPr>
          <w:szCs w:val="22"/>
        </w:rPr>
        <w:t xml:space="preserve">The PBAC noted that the loading dose of 80 mg </w:t>
      </w:r>
      <w:r w:rsidR="00903D37" w:rsidRPr="00931642">
        <w:rPr>
          <w:szCs w:val="22"/>
        </w:rPr>
        <w:t xml:space="preserve">of pegvisomant </w:t>
      </w:r>
      <w:r w:rsidRPr="00931642">
        <w:rPr>
          <w:szCs w:val="22"/>
        </w:rPr>
        <w:t xml:space="preserve">is administered by subcutaneous injection under medical supervision, followed by daily subcutaneous injections of pegvisomant 10 mg. </w:t>
      </w:r>
      <w:r w:rsidR="007243AA" w:rsidRPr="00931642">
        <w:rPr>
          <w:szCs w:val="22"/>
        </w:rPr>
        <w:t>Serum IGF-1 levels should</w:t>
      </w:r>
      <w:r w:rsidR="005738EF">
        <w:rPr>
          <w:szCs w:val="22"/>
        </w:rPr>
        <w:t xml:space="preserve"> be obtained every 4</w:t>
      </w:r>
      <w:r w:rsidR="005738EF">
        <w:rPr>
          <w:szCs w:val="22"/>
        </w:rPr>
        <w:noBreakHyphen/>
        <w:t>6 </w:t>
      </w:r>
      <w:r w:rsidR="007243AA" w:rsidRPr="00931642">
        <w:rPr>
          <w:szCs w:val="22"/>
        </w:rPr>
        <w:t>weeks and appropriate dose adjustments made in increments of 5</w:t>
      </w:r>
      <w:r w:rsidR="00377F0E" w:rsidRPr="00931642">
        <w:rPr>
          <w:szCs w:val="22"/>
        </w:rPr>
        <w:t xml:space="preserve"> </w:t>
      </w:r>
      <w:r w:rsidR="007243AA" w:rsidRPr="00931642">
        <w:rPr>
          <w:szCs w:val="22"/>
        </w:rPr>
        <w:t>mg/day to maintain serum IGF-1 levels within age-adjusted normal ranges and</w:t>
      </w:r>
      <w:r w:rsidR="00903D37" w:rsidRPr="00931642">
        <w:rPr>
          <w:szCs w:val="22"/>
        </w:rPr>
        <w:t xml:space="preserve"> to</w:t>
      </w:r>
      <w:r w:rsidR="007243AA" w:rsidRPr="00931642">
        <w:rPr>
          <w:szCs w:val="22"/>
        </w:rPr>
        <w:t xml:space="preserve"> alleviate signs and symptoms of acromegaly. The maximum daily maintenance dose should not exceed 30mg/day. Treatment is ongoing while the patient shows a response to treatment.</w:t>
      </w:r>
    </w:p>
    <w:p w:rsidR="00CF6653" w:rsidRPr="00931642" w:rsidRDefault="00CF6653" w:rsidP="006504C4">
      <w:pPr>
        <w:pStyle w:val="Header"/>
        <w:widowControl/>
        <w:rPr>
          <w:szCs w:val="22"/>
        </w:rPr>
      </w:pPr>
    </w:p>
    <w:p w:rsidR="006E21FC" w:rsidRPr="00931642" w:rsidRDefault="006E21FC" w:rsidP="006504C4">
      <w:pPr>
        <w:pStyle w:val="ListParagraph"/>
        <w:widowControl/>
        <w:ind w:left="709"/>
        <w:rPr>
          <w:i/>
          <w:szCs w:val="22"/>
        </w:rPr>
      </w:pPr>
      <w:r w:rsidRPr="00931642">
        <w:rPr>
          <w:i/>
          <w:szCs w:val="22"/>
        </w:rPr>
        <w:t>For more detail on PBAC’s view, see section 7 “PBAC outcome”</w:t>
      </w:r>
      <w:r w:rsidR="00043A0B">
        <w:rPr>
          <w:i/>
          <w:szCs w:val="22"/>
        </w:rPr>
        <w:t>.</w:t>
      </w:r>
    </w:p>
    <w:p w:rsidR="009A1821" w:rsidRPr="00931642" w:rsidRDefault="009A1821" w:rsidP="006504C4">
      <w:pPr>
        <w:pStyle w:val="Header"/>
        <w:widowControl/>
        <w:rPr>
          <w:szCs w:val="22"/>
        </w:rPr>
      </w:pPr>
    </w:p>
    <w:p w:rsidR="00A969D6" w:rsidRPr="00931642" w:rsidRDefault="00A969D6" w:rsidP="006504C4">
      <w:pPr>
        <w:pStyle w:val="Header"/>
        <w:widowControl/>
        <w:rPr>
          <w:szCs w:val="22"/>
        </w:rPr>
      </w:pPr>
    </w:p>
    <w:p w:rsidR="00B50DB8" w:rsidRPr="00931642" w:rsidRDefault="00B50DB8" w:rsidP="001E6680">
      <w:pPr>
        <w:pStyle w:val="PBACheading10"/>
        <w:numPr>
          <w:ilvl w:val="0"/>
          <w:numId w:val="6"/>
        </w:numPr>
      </w:pPr>
      <w:bookmarkStart w:id="7" w:name="_Toc461530915"/>
      <w:r w:rsidRPr="00931642">
        <w:t>Comparator</w:t>
      </w:r>
      <w:bookmarkEnd w:id="7"/>
    </w:p>
    <w:p w:rsidR="00113B63" w:rsidRPr="00931642" w:rsidRDefault="00113B63" w:rsidP="006504C4">
      <w:pPr>
        <w:widowControl/>
      </w:pPr>
    </w:p>
    <w:p w:rsidR="002C2775" w:rsidRPr="00931642" w:rsidRDefault="00113B63" w:rsidP="006504C4">
      <w:pPr>
        <w:pStyle w:val="ListParagraph"/>
        <w:widowControl/>
        <w:numPr>
          <w:ilvl w:val="1"/>
          <w:numId w:val="6"/>
        </w:numPr>
        <w:rPr>
          <w:szCs w:val="22"/>
        </w:rPr>
      </w:pPr>
      <w:r w:rsidRPr="00931642">
        <w:t xml:space="preserve">The submission nominated the long-acting </w:t>
      </w:r>
      <w:r w:rsidR="00E37B5E" w:rsidRPr="00931642">
        <w:t xml:space="preserve">SSAs, </w:t>
      </w:r>
      <w:r w:rsidRPr="00931642">
        <w:t>pasireotide, octreotide and lanreotide</w:t>
      </w:r>
      <w:r w:rsidR="0091690C" w:rsidRPr="00931642">
        <w:t xml:space="preserve"> </w:t>
      </w:r>
      <w:r w:rsidRPr="00931642">
        <w:t>as the main comparators.</w:t>
      </w:r>
      <w:r w:rsidR="00EB2908" w:rsidRPr="00931642">
        <w:t xml:space="preserve"> </w:t>
      </w:r>
      <w:r w:rsidRPr="00931642">
        <w:t>The main argument provided in support of this nomination was that these therapies were the most likely to be replaced in practice</w:t>
      </w:r>
      <w:r w:rsidR="00E80D98" w:rsidRPr="00931642">
        <w:t xml:space="preserve">, </w:t>
      </w:r>
      <w:r w:rsidR="00AC0918" w:rsidRPr="00931642">
        <w:t xml:space="preserve">and in the absence of alternative treatments, octreotide and lanreotide would be continued even if responses to these treatments are inadequate. </w:t>
      </w:r>
      <w:r w:rsidR="00014CAE" w:rsidRPr="00931642">
        <w:t xml:space="preserve">The PBAC accepted this argument in its consideration of pasireotide (PSD, November 2015), while noting the uncertain cost-effectiveness of the continued use of lanreotide and </w:t>
      </w:r>
      <w:r w:rsidR="00014CAE" w:rsidRPr="00931642">
        <w:lastRenderedPageBreak/>
        <w:t xml:space="preserve">octreotide as comparators for pasireotide despite suboptimal biochemical control. </w:t>
      </w:r>
      <w:r w:rsidR="00E80D98" w:rsidRPr="00931642">
        <w:t>Accordingly,</w:t>
      </w:r>
      <w:r w:rsidR="00E37B5E" w:rsidRPr="00931642">
        <w:t xml:space="preserve"> the ESC con</w:t>
      </w:r>
      <w:r w:rsidR="004D1A8F" w:rsidRPr="00931642">
        <w:t>si</w:t>
      </w:r>
      <w:r w:rsidR="00E37B5E" w:rsidRPr="00931642">
        <w:t>dered that</w:t>
      </w:r>
      <w:r w:rsidR="00E80D98" w:rsidRPr="00931642">
        <w:t xml:space="preserve"> pasireotide, octreotide and lanreotide </w:t>
      </w:r>
      <w:r w:rsidRPr="00931642">
        <w:t>were appropriate comparators</w:t>
      </w:r>
      <w:r w:rsidR="00E80D98" w:rsidRPr="00931642">
        <w:t xml:space="preserve"> for pegvisomant</w:t>
      </w:r>
      <w:r w:rsidR="00E33BA9" w:rsidRPr="00931642">
        <w:t xml:space="preserve"> with a similar caveat regarding the cost</w:t>
      </w:r>
      <w:r w:rsidR="00E33BA9" w:rsidRPr="00931642">
        <w:noBreakHyphen/>
        <w:t>effectiveness of their continued use</w:t>
      </w:r>
      <w:r w:rsidR="001A4304" w:rsidRPr="00931642">
        <w:t xml:space="preserve"> despite suboptimal biochemical control</w:t>
      </w:r>
      <w:r w:rsidRPr="00931642">
        <w:t>.</w:t>
      </w:r>
      <w:r w:rsidR="00C31365" w:rsidRPr="00931642">
        <w:t xml:space="preserve"> </w:t>
      </w:r>
    </w:p>
    <w:p w:rsidR="00B60939" w:rsidRPr="00931642" w:rsidRDefault="00B60939" w:rsidP="006504C4">
      <w:pPr>
        <w:widowControl/>
        <w:rPr>
          <w:szCs w:val="22"/>
        </w:rPr>
      </w:pPr>
    </w:p>
    <w:p w:rsidR="006E21FC" w:rsidRPr="00931642" w:rsidRDefault="006E21FC" w:rsidP="006504C4">
      <w:pPr>
        <w:pStyle w:val="ListParagraph"/>
        <w:widowControl/>
        <w:ind w:left="709"/>
        <w:rPr>
          <w:i/>
          <w:szCs w:val="22"/>
        </w:rPr>
      </w:pPr>
      <w:r w:rsidRPr="00931642">
        <w:rPr>
          <w:i/>
          <w:szCs w:val="22"/>
        </w:rPr>
        <w:t>For more detail on PBAC’s view, see section 7 “PBAC outcome”</w:t>
      </w:r>
      <w:r w:rsidR="00043A0B">
        <w:rPr>
          <w:i/>
          <w:szCs w:val="22"/>
        </w:rPr>
        <w:t>.</w:t>
      </w:r>
    </w:p>
    <w:p w:rsidR="00B23764" w:rsidRPr="00931642" w:rsidRDefault="00B23764" w:rsidP="006504C4">
      <w:pPr>
        <w:widowControl/>
        <w:rPr>
          <w:szCs w:val="22"/>
        </w:rPr>
      </w:pPr>
    </w:p>
    <w:p w:rsidR="00A969D6" w:rsidRPr="00931642" w:rsidRDefault="00A969D6" w:rsidP="006504C4">
      <w:pPr>
        <w:widowControl/>
        <w:rPr>
          <w:szCs w:val="22"/>
        </w:rPr>
      </w:pPr>
    </w:p>
    <w:p w:rsidR="006E21FC" w:rsidRPr="00931642" w:rsidRDefault="00BD6CF3" w:rsidP="001E6680">
      <w:pPr>
        <w:pStyle w:val="PBACheading10"/>
        <w:numPr>
          <w:ilvl w:val="0"/>
          <w:numId w:val="6"/>
        </w:numPr>
      </w:pPr>
      <w:bookmarkStart w:id="8" w:name="_Toc461530916"/>
      <w:r w:rsidRPr="00931642">
        <w:t>C</w:t>
      </w:r>
      <w:r w:rsidR="00B50DB8" w:rsidRPr="00931642">
        <w:t>onsideration of the evidence</w:t>
      </w:r>
      <w:bookmarkEnd w:id="8"/>
    </w:p>
    <w:p w:rsidR="00C31365" w:rsidRPr="00931642" w:rsidRDefault="00C31365" w:rsidP="006504C4">
      <w:pPr>
        <w:widowControl/>
        <w:rPr>
          <w:b/>
          <w:bCs/>
          <w:i/>
          <w:szCs w:val="22"/>
        </w:rPr>
      </w:pPr>
    </w:p>
    <w:p w:rsidR="006E21FC" w:rsidRPr="00931642" w:rsidRDefault="006E21FC" w:rsidP="00F67573">
      <w:pPr>
        <w:pStyle w:val="Heading3"/>
        <w:keepNext/>
      </w:pPr>
      <w:r w:rsidRPr="00931642">
        <w:t>Sponsor hearing</w:t>
      </w:r>
    </w:p>
    <w:p w:rsidR="00F67573" w:rsidRPr="00931642" w:rsidRDefault="00F67573" w:rsidP="00F67573"/>
    <w:p w:rsidR="006E21FC" w:rsidRPr="00931642" w:rsidRDefault="006E21FC" w:rsidP="00A204DE">
      <w:pPr>
        <w:keepNext/>
        <w:widowControl/>
        <w:numPr>
          <w:ilvl w:val="1"/>
          <w:numId w:val="6"/>
        </w:numPr>
        <w:contextualSpacing/>
        <w:rPr>
          <w:bCs/>
          <w:szCs w:val="22"/>
        </w:rPr>
      </w:pPr>
      <w:r w:rsidRPr="00931642">
        <w:rPr>
          <w:bCs/>
          <w:szCs w:val="22"/>
        </w:rPr>
        <w:t>The sponsor requested a hearing for this item. The clinician discussed the</w:t>
      </w:r>
      <w:r w:rsidR="00874548" w:rsidRPr="00931642">
        <w:rPr>
          <w:bCs/>
          <w:szCs w:val="22"/>
        </w:rPr>
        <w:t xml:space="preserve"> place in therapy and clinical need for the drug, particularly in children</w:t>
      </w:r>
      <w:r w:rsidR="00A969D6" w:rsidRPr="00931642">
        <w:rPr>
          <w:bCs/>
          <w:szCs w:val="22"/>
        </w:rPr>
        <w:t xml:space="preserve"> (who are </w:t>
      </w:r>
      <w:r w:rsidR="0006642C" w:rsidRPr="00931642">
        <w:rPr>
          <w:bCs/>
          <w:szCs w:val="22"/>
        </w:rPr>
        <w:t xml:space="preserve">not included in the TGA registered indication </w:t>
      </w:r>
      <w:r w:rsidR="00455B8E" w:rsidRPr="00931642">
        <w:rPr>
          <w:bCs/>
          <w:szCs w:val="22"/>
        </w:rPr>
        <w:t>and are excluded from</w:t>
      </w:r>
      <w:r w:rsidR="00377F0E" w:rsidRPr="00931642">
        <w:rPr>
          <w:bCs/>
          <w:szCs w:val="22"/>
        </w:rPr>
        <w:t xml:space="preserve"> the</w:t>
      </w:r>
      <w:r w:rsidR="00FE39B0" w:rsidRPr="00931642">
        <w:rPr>
          <w:bCs/>
          <w:szCs w:val="22"/>
        </w:rPr>
        <w:t xml:space="preserve"> </w:t>
      </w:r>
      <w:r w:rsidR="00A969D6" w:rsidRPr="00931642">
        <w:rPr>
          <w:bCs/>
          <w:szCs w:val="22"/>
        </w:rPr>
        <w:t>PBS</w:t>
      </w:r>
      <w:r w:rsidR="00FE39B0" w:rsidRPr="00931642">
        <w:rPr>
          <w:bCs/>
          <w:szCs w:val="22"/>
        </w:rPr>
        <w:t xml:space="preserve"> listing for </w:t>
      </w:r>
      <w:r w:rsidR="00A969D6" w:rsidRPr="00931642">
        <w:rPr>
          <w:bCs/>
          <w:szCs w:val="22"/>
        </w:rPr>
        <w:t>pasireotide)</w:t>
      </w:r>
      <w:r w:rsidR="00874548" w:rsidRPr="00931642">
        <w:rPr>
          <w:bCs/>
          <w:szCs w:val="22"/>
        </w:rPr>
        <w:t>, the impact of high IGF</w:t>
      </w:r>
      <w:r w:rsidR="00874548" w:rsidRPr="00931642">
        <w:rPr>
          <w:bCs/>
          <w:szCs w:val="22"/>
        </w:rPr>
        <w:noBreakHyphen/>
        <w:t xml:space="preserve">1 levels on mortality, </w:t>
      </w:r>
      <w:r w:rsidRPr="00931642">
        <w:rPr>
          <w:bCs/>
          <w:szCs w:val="22"/>
        </w:rPr>
        <w:t>and addressed matters</w:t>
      </w:r>
      <w:r w:rsidR="00C31365" w:rsidRPr="00931642">
        <w:rPr>
          <w:bCs/>
          <w:szCs w:val="22"/>
        </w:rPr>
        <w:t xml:space="preserve"> </w:t>
      </w:r>
      <w:r w:rsidRPr="00931642">
        <w:rPr>
          <w:bCs/>
          <w:szCs w:val="22"/>
        </w:rPr>
        <w:t>in response to the Committee’s questions.</w:t>
      </w:r>
      <w:r w:rsidR="00874548" w:rsidRPr="00931642">
        <w:rPr>
          <w:bCs/>
          <w:szCs w:val="22"/>
        </w:rPr>
        <w:t xml:space="preserve"> </w:t>
      </w:r>
      <w:r w:rsidR="00FE39B0" w:rsidRPr="00931642">
        <w:rPr>
          <w:bCs/>
          <w:szCs w:val="22"/>
        </w:rPr>
        <w:t xml:space="preserve">The </w:t>
      </w:r>
      <w:r w:rsidR="004B567E" w:rsidRPr="00931642">
        <w:rPr>
          <w:bCs/>
          <w:szCs w:val="22"/>
        </w:rPr>
        <w:t>clinician</w:t>
      </w:r>
      <w:r w:rsidR="00FE39B0" w:rsidRPr="00931642">
        <w:rPr>
          <w:bCs/>
          <w:szCs w:val="22"/>
        </w:rPr>
        <w:t xml:space="preserve"> </w:t>
      </w:r>
      <w:r w:rsidR="00A204DE" w:rsidRPr="00931642">
        <w:rPr>
          <w:bCs/>
          <w:szCs w:val="22"/>
        </w:rPr>
        <w:t>also advised</w:t>
      </w:r>
      <w:r w:rsidR="00FE39B0" w:rsidRPr="00931642">
        <w:rPr>
          <w:bCs/>
          <w:szCs w:val="22"/>
        </w:rPr>
        <w:t xml:space="preserve"> that </w:t>
      </w:r>
      <w:r w:rsidR="00A204DE" w:rsidRPr="00931642">
        <w:rPr>
          <w:bCs/>
          <w:szCs w:val="22"/>
        </w:rPr>
        <w:t xml:space="preserve">most clinicians would prefer to prescribe combination therapy with pegvisomant and a SSA to </w:t>
      </w:r>
      <w:r w:rsidR="00FE39B0" w:rsidRPr="00931642">
        <w:rPr>
          <w:bCs/>
          <w:szCs w:val="22"/>
        </w:rPr>
        <w:t xml:space="preserve">a significant proportion of </w:t>
      </w:r>
      <w:r w:rsidR="00A204DE" w:rsidRPr="00931642">
        <w:rPr>
          <w:bCs/>
          <w:szCs w:val="22"/>
        </w:rPr>
        <w:t xml:space="preserve">their </w:t>
      </w:r>
      <w:r w:rsidR="00FE39B0" w:rsidRPr="00931642">
        <w:rPr>
          <w:bCs/>
          <w:szCs w:val="22"/>
        </w:rPr>
        <w:t>patients</w:t>
      </w:r>
      <w:r w:rsidR="00A204DE" w:rsidRPr="00931642">
        <w:rPr>
          <w:bCs/>
          <w:szCs w:val="22"/>
        </w:rPr>
        <w:t>,</w:t>
      </w:r>
      <w:r w:rsidR="00FE39B0" w:rsidRPr="00931642">
        <w:rPr>
          <w:bCs/>
          <w:szCs w:val="22"/>
        </w:rPr>
        <w:t xml:space="preserve"> but advised </w:t>
      </w:r>
      <w:r w:rsidR="00A204DE" w:rsidRPr="00931642">
        <w:rPr>
          <w:bCs/>
          <w:szCs w:val="22"/>
        </w:rPr>
        <w:t xml:space="preserve">that clinicians </w:t>
      </w:r>
      <w:r w:rsidR="00FE39B0" w:rsidRPr="00931642">
        <w:rPr>
          <w:bCs/>
          <w:szCs w:val="22"/>
        </w:rPr>
        <w:t xml:space="preserve">would prefer to </w:t>
      </w:r>
      <w:r w:rsidR="00A204DE" w:rsidRPr="00931642">
        <w:rPr>
          <w:bCs/>
          <w:szCs w:val="22"/>
        </w:rPr>
        <w:t xml:space="preserve">have pegvisomant subsidised for use </w:t>
      </w:r>
      <w:r w:rsidR="0090101F" w:rsidRPr="00931642">
        <w:rPr>
          <w:bCs/>
          <w:szCs w:val="22"/>
        </w:rPr>
        <w:t xml:space="preserve">only </w:t>
      </w:r>
      <w:r w:rsidR="00A204DE" w:rsidRPr="00931642">
        <w:rPr>
          <w:bCs/>
          <w:szCs w:val="22"/>
        </w:rPr>
        <w:t xml:space="preserve">as </w:t>
      </w:r>
      <w:r w:rsidR="00FE39B0" w:rsidRPr="00931642">
        <w:rPr>
          <w:bCs/>
          <w:szCs w:val="22"/>
        </w:rPr>
        <w:t xml:space="preserve">monotherapy </w:t>
      </w:r>
      <w:r w:rsidR="00A204DE" w:rsidRPr="00931642">
        <w:rPr>
          <w:bCs/>
          <w:szCs w:val="22"/>
        </w:rPr>
        <w:t xml:space="preserve">rather </w:t>
      </w:r>
      <w:r w:rsidR="00FE39B0" w:rsidRPr="00931642">
        <w:rPr>
          <w:bCs/>
          <w:szCs w:val="22"/>
        </w:rPr>
        <w:t xml:space="preserve">than not at all. </w:t>
      </w:r>
      <w:r w:rsidRPr="00931642">
        <w:rPr>
          <w:bCs/>
          <w:szCs w:val="22"/>
        </w:rPr>
        <w:t xml:space="preserve">The PBAC considered that the hearing was informative as it provided a clinical perspective on </w:t>
      </w:r>
      <w:r w:rsidR="00FE39B0" w:rsidRPr="00931642">
        <w:rPr>
          <w:bCs/>
          <w:szCs w:val="22"/>
        </w:rPr>
        <w:t xml:space="preserve">the clinical place of pegvisomant in </w:t>
      </w:r>
      <w:r w:rsidRPr="00931642">
        <w:rPr>
          <w:bCs/>
          <w:szCs w:val="22"/>
        </w:rPr>
        <w:t>treating this disease.</w:t>
      </w:r>
    </w:p>
    <w:p w:rsidR="006E21FC" w:rsidRPr="00931642" w:rsidRDefault="006E21FC" w:rsidP="006504C4">
      <w:pPr>
        <w:widowControl/>
        <w:rPr>
          <w:bCs/>
          <w:szCs w:val="22"/>
          <w:highlight w:val="yellow"/>
        </w:rPr>
      </w:pPr>
    </w:p>
    <w:p w:rsidR="006E21FC" w:rsidRPr="00931642" w:rsidRDefault="006E21FC" w:rsidP="00F67573">
      <w:pPr>
        <w:pStyle w:val="Heading3"/>
        <w:keepNext/>
      </w:pPr>
      <w:r w:rsidRPr="00931642">
        <w:t>Consumer comments</w:t>
      </w:r>
    </w:p>
    <w:p w:rsidR="00F67573" w:rsidRPr="00931642" w:rsidRDefault="00F67573" w:rsidP="00F67573"/>
    <w:p w:rsidR="006E21FC" w:rsidRPr="00931642" w:rsidRDefault="006E21FC" w:rsidP="006504C4">
      <w:pPr>
        <w:widowControl/>
        <w:numPr>
          <w:ilvl w:val="1"/>
          <w:numId w:val="6"/>
        </w:numPr>
        <w:contextualSpacing/>
        <w:rPr>
          <w:bCs/>
          <w:szCs w:val="22"/>
        </w:rPr>
      </w:pPr>
      <w:r w:rsidRPr="00931642">
        <w:rPr>
          <w:bCs/>
          <w:szCs w:val="22"/>
        </w:rPr>
        <w:t>The PBAC noted and welcomed the input from individuals (</w:t>
      </w:r>
      <w:r w:rsidR="0052134F" w:rsidRPr="00931642">
        <w:rPr>
          <w:bCs/>
          <w:szCs w:val="22"/>
        </w:rPr>
        <w:t>3</w:t>
      </w:r>
      <w:r w:rsidRPr="00931642">
        <w:rPr>
          <w:bCs/>
          <w:szCs w:val="22"/>
        </w:rPr>
        <w:t>), health car</w:t>
      </w:r>
      <w:r w:rsidR="0052134F" w:rsidRPr="00931642">
        <w:rPr>
          <w:bCs/>
          <w:szCs w:val="22"/>
        </w:rPr>
        <w:t>e professionals (1</w:t>
      </w:r>
      <w:r w:rsidRPr="00931642">
        <w:rPr>
          <w:bCs/>
          <w:szCs w:val="22"/>
        </w:rPr>
        <w:t>) and organisations (</w:t>
      </w:r>
      <w:r w:rsidR="0052134F" w:rsidRPr="00931642">
        <w:rPr>
          <w:bCs/>
          <w:szCs w:val="22"/>
        </w:rPr>
        <w:t>2</w:t>
      </w:r>
      <w:r w:rsidRPr="00931642">
        <w:rPr>
          <w:bCs/>
          <w:szCs w:val="22"/>
        </w:rPr>
        <w:t xml:space="preserve">) via the Consumer Comments facility on the PBS website. The comments described a range of benefits of treatment with </w:t>
      </w:r>
      <w:r w:rsidR="0052134F" w:rsidRPr="00931642">
        <w:rPr>
          <w:bCs/>
          <w:szCs w:val="22"/>
        </w:rPr>
        <w:t>pegvisomant</w:t>
      </w:r>
      <w:r w:rsidRPr="00931642">
        <w:rPr>
          <w:bCs/>
          <w:szCs w:val="22"/>
        </w:rPr>
        <w:t xml:space="preserve"> including </w:t>
      </w:r>
      <w:r w:rsidR="0052134F" w:rsidRPr="00931642">
        <w:rPr>
          <w:bCs/>
          <w:szCs w:val="22"/>
        </w:rPr>
        <w:t>reduction in growth velocity, reduced pain</w:t>
      </w:r>
      <w:r w:rsidR="00CF03D5" w:rsidRPr="00931642">
        <w:rPr>
          <w:bCs/>
          <w:szCs w:val="22"/>
        </w:rPr>
        <w:t xml:space="preserve"> and</w:t>
      </w:r>
      <w:r w:rsidR="0052134F" w:rsidRPr="00931642">
        <w:rPr>
          <w:bCs/>
          <w:szCs w:val="22"/>
        </w:rPr>
        <w:t xml:space="preserve"> improved </w:t>
      </w:r>
      <w:r w:rsidR="00CF03D5" w:rsidRPr="00931642">
        <w:rPr>
          <w:bCs/>
          <w:szCs w:val="22"/>
        </w:rPr>
        <w:t>quality of life</w:t>
      </w:r>
      <w:r w:rsidR="0052134F" w:rsidRPr="00931642">
        <w:rPr>
          <w:bCs/>
          <w:szCs w:val="22"/>
        </w:rPr>
        <w:t>.</w:t>
      </w:r>
    </w:p>
    <w:p w:rsidR="006E21FC" w:rsidRPr="00931642" w:rsidRDefault="006E21FC" w:rsidP="006504C4">
      <w:pPr>
        <w:widowControl/>
        <w:contextualSpacing/>
        <w:rPr>
          <w:bCs/>
          <w:szCs w:val="22"/>
        </w:rPr>
      </w:pPr>
    </w:p>
    <w:p w:rsidR="006E21FC" w:rsidRPr="00931642" w:rsidRDefault="006E21FC" w:rsidP="006504C4">
      <w:pPr>
        <w:widowControl/>
        <w:numPr>
          <w:ilvl w:val="1"/>
          <w:numId w:val="6"/>
        </w:numPr>
        <w:contextualSpacing/>
        <w:rPr>
          <w:bCs/>
          <w:szCs w:val="22"/>
        </w:rPr>
      </w:pPr>
      <w:r w:rsidRPr="00931642">
        <w:rPr>
          <w:bCs/>
          <w:szCs w:val="22"/>
        </w:rPr>
        <w:t xml:space="preserve">The PBAC noted the advice received from </w:t>
      </w:r>
      <w:r w:rsidR="0052134F" w:rsidRPr="00931642">
        <w:rPr>
          <w:bCs/>
          <w:szCs w:val="22"/>
        </w:rPr>
        <w:t>the Endocrine Society of Australia</w:t>
      </w:r>
      <w:r w:rsidRPr="00931642">
        <w:rPr>
          <w:bCs/>
          <w:szCs w:val="22"/>
        </w:rPr>
        <w:t xml:space="preserve"> </w:t>
      </w:r>
      <w:r w:rsidR="0052134F" w:rsidRPr="00931642">
        <w:rPr>
          <w:bCs/>
          <w:szCs w:val="22"/>
        </w:rPr>
        <w:t>supporting the use of pegvisomant. The Endocrine Society of Australia indicated that</w:t>
      </w:r>
      <w:r w:rsidR="00D661C0" w:rsidRPr="00931642">
        <w:rPr>
          <w:bCs/>
          <w:szCs w:val="22"/>
        </w:rPr>
        <w:t xml:space="preserve"> some tumour types do not respond well to SSAs, and that pegvisomant is a good treatment option in these cases. The</w:t>
      </w:r>
      <w:r w:rsidR="00F20325" w:rsidRPr="00931642">
        <w:rPr>
          <w:bCs/>
          <w:szCs w:val="22"/>
        </w:rPr>
        <w:t xml:space="preserve"> advice</w:t>
      </w:r>
      <w:r w:rsidR="00D661C0" w:rsidRPr="00931642">
        <w:rPr>
          <w:bCs/>
          <w:szCs w:val="22"/>
        </w:rPr>
        <w:t xml:space="preserve"> also </w:t>
      </w:r>
      <w:r w:rsidR="00F20325" w:rsidRPr="00931642">
        <w:rPr>
          <w:bCs/>
          <w:szCs w:val="22"/>
        </w:rPr>
        <w:t xml:space="preserve">stated that </w:t>
      </w:r>
      <w:r w:rsidR="0052134F" w:rsidRPr="00931642">
        <w:rPr>
          <w:bCs/>
          <w:szCs w:val="22"/>
        </w:rPr>
        <w:t xml:space="preserve">biochemical control </w:t>
      </w:r>
      <w:r w:rsidR="00F20325" w:rsidRPr="00931642">
        <w:rPr>
          <w:bCs/>
          <w:szCs w:val="22"/>
        </w:rPr>
        <w:t xml:space="preserve">with pegvisomant is greater when it is used in combination with long-acting </w:t>
      </w:r>
      <w:r w:rsidR="0052134F" w:rsidRPr="00931642">
        <w:rPr>
          <w:bCs/>
          <w:szCs w:val="22"/>
        </w:rPr>
        <w:t>SSA</w:t>
      </w:r>
      <w:r w:rsidR="00F20325" w:rsidRPr="00931642">
        <w:rPr>
          <w:bCs/>
          <w:szCs w:val="22"/>
        </w:rPr>
        <w:t>s and combination therapy allows for pegvisomant to be prescribed at a lower weekly dose</w:t>
      </w:r>
      <w:r w:rsidR="00D661C0" w:rsidRPr="00931642">
        <w:rPr>
          <w:bCs/>
          <w:szCs w:val="22"/>
        </w:rPr>
        <w:t>.</w:t>
      </w:r>
      <w:r w:rsidR="00F20325" w:rsidRPr="00931642">
        <w:rPr>
          <w:bCs/>
          <w:szCs w:val="22"/>
        </w:rPr>
        <w:t xml:space="preserve"> The PBAC also</w:t>
      </w:r>
      <w:r w:rsidR="00D661C0" w:rsidRPr="00931642">
        <w:rPr>
          <w:bCs/>
          <w:szCs w:val="22"/>
        </w:rPr>
        <w:t xml:space="preserve"> noted the advice received from the Australian Pituitary Foundation supporting the use of pegvisomant, and providing additional comments from patients </w:t>
      </w:r>
      <w:r w:rsidR="00F20325" w:rsidRPr="00931642">
        <w:rPr>
          <w:bCs/>
          <w:szCs w:val="22"/>
        </w:rPr>
        <w:t>(</w:t>
      </w:r>
      <w:r w:rsidR="00D661C0" w:rsidRPr="00931642">
        <w:rPr>
          <w:bCs/>
          <w:szCs w:val="22"/>
        </w:rPr>
        <w:t xml:space="preserve">included </w:t>
      </w:r>
      <w:r w:rsidR="00C31365" w:rsidRPr="00931642">
        <w:rPr>
          <w:bCs/>
          <w:szCs w:val="22"/>
        </w:rPr>
        <w:t>with</w:t>
      </w:r>
      <w:r w:rsidR="00D661C0" w:rsidRPr="00931642">
        <w:rPr>
          <w:bCs/>
          <w:szCs w:val="22"/>
        </w:rPr>
        <w:t xml:space="preserve"> the summary </w:t>
      </w:r>
      <w:r w:rsidR="00C31365" w:rsidRPr="00931642">
        <w:rPr>
          <w:bCs/>
          <w:szCs w:val="22"/>
        </w:rPr>
        <w:t xml:space="preserve">of patient comments </w:t>
      </w:r>
      <w:r w:rsidR="00D661C0" w:rsidRPr="00931642">
        <w:rPr>
          <w:bCs/>
          <w:szCs w:val="22"/>
        </w:rPr>
        <w:t>above</w:t>
      </w:r>
      <w:r w:rsidR="00F20325" w:rsidRPr="00931642">
        <w:rPr>
          <w:bCs/>
          <w:szCs w:val="22"/>
        </w:rPr>
        <w:t>)</w:t>
      </w:r>
      <w:r w:rsidR="00D661C0" w:rsidRPr="00931642">
        <w:rPr>
          <w:bCs/>
          <w:szCs w:val="22"/>
        </w:rPr>
        <w:t>.</w:t>
      </w:r>
      <w:r w:rsidR="00F20325" w:rsidRPr="00931642">
        <w:rPr>
          <w:bCs/>
          <w:szCs w:val="22"/>
        </w:rPr>
        <w:t xml:space="preserve"> The PBAC noted that this advice was supportive of the evidence provided in the submission.</w:t>
      </w:r>
    </w:p>
    <w:p w:rsidR="00B60939" w:rsidRPr="00931642" w:rsidRDefault="00B60939" w:rsidP="006504C4">
      <w:pPr>
        <w:keepNext/>
        <w:widowControl/>
      </w:pPr>
    </w:p>
    <w:p w:rsidR="00B60939" w:rsidRPr="00931642" w:rsidRDefault="00B60939" w:rsidP="006504C4">
      <w:pPr>
        <w:pStyle w:val="Heading3"/>
        <w:keepNext/>
      </w:pPr>
      <w:bookmarkStart w:id="9" w:name="_Toc461530917"/>
      <w:r w:rsidRPr="00931642">
        <w:t>Clinical trials</w:t>
      </w:r>
      <w:bookmarkEnd w:id="9"/>
    </w:p>
    <w:p w:rsidR="00B60939" w:rsidRPr="00931642" w:rsidRDefault="00B60939" w:rsidP="006504C4">
      <w:pPr>
        <w:keepNext/>
        <w:widowControl/>
        <w:rPr>
          <w:szCs w:val="22"/>
        </w:rPr>
      </w:pPr>
    </w:p>
    <w:p w:rsidR="007D0389" w:rsidRPr="00931642" w:rsidRDefault="003B7943" w:rsidP="006504C4">
      <w:pPr>
        <w:pStyle w:val="ListParagraph"/>
        <w:widowControl/>
        <w:numPr>
          <w:ilvl w:val="1"/>
          <w:numId w:val="6"/>
        </w:numPr>
      </w:pPr>
      <w:r w:rsidRPr="00931642">
        <w:t xml:space="preserve">The submission was based on a naïve indirect comparison of a </w:t>
      </w:r>
      <w:r w:rsidR="00EB2908" w:rsidRPr="00931642">
        <w:t>post hoc</w:t>
      </w:r>
      <w:r w:rsidRPr="00931642">
        <w:t xml:space="preserve"> sub-group from one placebo-controlled pegvisomant trial (Trial 3614) and one trial of pasireotide v</w:t>
      </w:r>
      <w:r w:rsidR="00935905" w:rsidRPr="00931642">
        <w:t>ersu</w:t>
      </w:r>
      <w:r w:rsidRPr="00931642">
        <w:t>s an active control arm of either long-acting octreotide or lanreotide (Gadelha 2014). Additional efficacy and safety data were included from one supplementary trial of pegvisomant</w:t>
      </w:r>
      <w:r w:rsidR="001D5111" w:rsidRPr="00931642">
        <w:t xml:space="preserve"> monotherapy</w:t>
      </w:r>
      <w:r w:rsidR="00243E1A" w:rsidRPr="00931642">
        <w:t xml:space="preserve"> v</w:t>
      </w:r>
      <w:r w:rsidR="00935905" w:rsidRPr="00931642">
        <w:t>ersu</w:t>
      </w:r>
      <w:r w:rsidR="00243E1A" w:rsidRPr="00931642">
        <w:t>s octreotide</w:t>
      </w:r>
      <w:r w:rsidR="00935905" w:rsidRPr="00931642">
        <w:t xml:space="preserve"> </w:t>
      </w:r>
      <w:r w:rsidR="00243E1A" w:rsidRPr="00931642">
        <w:t>+</w:t>
      </w:r>
      <w:r w:rsidR="00935905" w:rsidRPr="00931642">
        <w:t xml:space="preserve"> </w:t>
      </w:r>
      <w:r w:rsidRPr="00931642">
        <w:t xml:space="preserve">pegvisomant </w:t>
      </w:r>
      <w:r w:rsidR="001D5111" w:rsidRPr="00931642">
        <w:t>v</w:t>
      </w:r>
      <w:r w:rsidR="00935905" w:rsidRPr="00931642">
        <w:t>ersu</w:t>
      </w:r>
      <w:r w:rsidR="001D5111" w:rsidRPr="00931642">
        <w:t xml:space="preserve">s octreotide monotherapy </w:t>
      </w:r>
      <w:r w:rsidRPr="00931642">
        <w:t xml:space="preserve">(Trial 1006); </w:t>
      </w:r>
      <w:r w:rsidR="00F16A40" w:rsidRPr="00931642">
        <w:t xml:space="preserve">and </w:t>
      </w:r>
      <w:r w:rsidR="0076319E" w:rsidRPr="00931642">
        <w:t xml:space="preserve">14 </w:t>
      </w:r>
      <w:r w:rsidRPr="00931642">
        <w:t xml:space="preserve">non-randomised studies assessing long-term </w:t>
      </w:r>
      <w:r w:rsidRPr="00931642">
        <w:lastRenderedPageBreak/>
        <w:t xml:space="preserve">efficacy and safety of pegvisomant, </w:t>
      </w:r>
      <w:r w:rsidR="00F16A40" w:rsidRPr="00931642">
        <w:t>including</w:t>
      </w:r>
      <w:r w:rsidRPr="00931642">
        <w:t xml:space="preserve"> ACROSTUDY, a multicentre long-term post-marketing surveillance study of pegvisomant.</w:t>
      </w:r>
    </w:p>
    <w:p w:rsidR="00862502" w:rsidRPr="00931642" w:rsidRDefault="00862502" w:rsidP="006504C4">
      <w:pPr>
        <w:widowControl/>
        <w:rPr>
          <w:szCs w:val="22"/>
        </w:rPr>
      </w:pPr>
    </w:p>
    <w:p w:rsidR="00862502" w:rsidRPr="00931642" w:rsidRDefault="00862502" w:rsidP="006504C4">
      <w:pPr>
        <w:pStyle w:val="ListParagraph"/>
        <w:widowControl/>
        <w:numPr>
          <w:ilvl w:val="1"/>
          <w:numId w:val="6"/>
        </w:numPr>
        <w:rPr>
          <w:szCs w:val="22"/>
        </w:rPr>
      </w:pPr>
      <w:r w:rsidRPr="00931642">
        <w:rPr>
          <w:szCs w:val="22"/>
        </w:rPr>
        <w:t>Details of the trials presented in the submission ar</w:t>
      </w:r>
      <w:r w:rsidR="001D5111" w:rsidRPr="00931642">
        <w:rPr>
          <w:szCs w:val="22"/>
        </w:rPr>
        <w:t xml:space="preserve">e provided in </w:t>
      </w:r>
      <w:r w:rsidR="006B48A2" w:rsidRPr="00931642">
        <w:rPr>
          <w:szCs w:val="22"/>
        </w:rPr>
        <w:t>Table 1</w:t>
      </w:r>
      <w:r w:rsidR="001D5111" w:rsidRPr="00931642">
        <w:rPr>
          <w:szCs w:val="22"/>
        </w:rPr>
        <w:t>.</w:t>
      </w:r>
    </w:p>
    <w:p w:rsidR="00862502" w:rsidRPr="00931642" w:rsidRDefault="00862502" w:rsidP="006504C4">
      <w:pPr>
        <w:widowControl/>
        <w:rPr>
          <w:szCs w:val="22"/>
        </w:rPr>
      </w:pPr>
    </w:p>
    <w:p w:rsidR="008F120A" w:rsidRPr="00931642" w:rsidRDefault="008F120A" w:rsidP="006504C4">
      <w:pPr>
        <w:keepNext/>
        <w:widowControl/>
        <w:ind w:firstLine="720"/>
        <w:rPr>
          <w:rStyle w:val="CommentReference"/>
        </w:rPr>
      </w:pPr>
      <w:r w:rsidRPr="00931642">
        <w:rPr>
          <w:rStyle w:val="CommentReference"/>
        </w:rPr>
        <w:t xml:space="preserve">Table </w:t>
      </w:r>
      <w:r w:rsidR="00243E1A" w:rsidRPr="00931642">
        <w:rPr>
          <w:rStyle w:val="CommentReference"/>
        </w:rPr>
        <w:t>1</w:t>
      </w:r>
      <w:r w:rsidRPr="00931642">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86"/>
        <w:gridCol w:w="4585"/>
        <w:gridCol w:w="2674"/>
      </w:tblGrid>
      <w:tr w:rsidR="00906FD4" w:rsidRPr="00931642" w:rsidTr="00E80D98">
        <w:trPr>
          <w:cantSplit/>
          <w:tblHeader/>
        </w:trPr>
        <w:tc>
          <w:tcPr>
            <w:tcW w:w="651" w:type="pct"/>
          </w:tcPr>
          <w:p w:rsidR="00906FD4" w:rsidRPr="00931642" w:rsidRDefault="00906FD4" w:rsidP="006504C4">
            <w:pPr>
              <w:keepNext/>
              <w:widowControl/>
              <w:jc w:val="left"/>
              <w:rPr>
                <w:rFonts w:ascii="Arial Narrow" w:hAnsi="Arial Narrow"/>
                <w:b/>
                <w:sz w:val="20"/>
              </w:rPr>
            </w:pPr>
            <w:r w:rsidRPr="00931642">
              <w:rPr>
                <w:rFonts w:ascii="Arial Narrow" w:hAnsi="Arial Narrow"/>
                <w:b/>
                <w:sz w:val="20"/>
              </w:rPr>
              <w:t>Trial ID</w:t>
            </w:r>
          </w:p>
        </w:tc>
        <w:tc>
          <w:tcPr>
            <w:tcW w:w="2747" w:type="pct"/>
          </w:tcPr>
          <w:p w:rsidR="00906FD4" w:rsidRPr="00931642" w:rsidRDefault="00906FD4" w:rsidP="006504C4">
            <w:pPr>
              <w:keepNext/>
              <w:widowControl/>
              <w:jc w:val="center"/>
              <w:rPr>
                <w:rFonts w:ascii="Arial Narrow" w:hAnsi="Arial Narrow"/>
                <w:b/>
                <w:sz w:val="20"/>
              </w:rPr>
            </w:pPr>
            <w:r w:rsidRPr="00931642">
              <w:rPr>
                <w:rFonts w:ascii="Arial Narrow" w:hAnsi="Arial Narrow"/>
                <w:b/>
                <w:sz w:val="20"/>
              </w:rPr>
              <w:t>Protocol title/ Publication title</w:t>
            </w:r>
          </w:p>
        </w:tc>
        <w:tc>
          <w:tcPr>
            <w:tcW w:w="1602" w:type="pct"/>
          </w:tcPr>
          <w:p w:rsidR="00906FD4" w:rsidRPr="00931642" w:rsidRDefault="00906FD4" w:rsidP="006504C4">
            <w:pPr>
              <w:keepNext/>
              <w:widowControl/>
              <w:jc w:val="center"/>
              <w:rPr>
                <w:rFonts w:ascii="Arial Narrow" w:hAnsi="Arial Narrow"/>
                <w:b/>
                <w:sz w:val="20"/>
              </w:rPr>
            </w:pPr>
            <w:r w:rsidRPr="00931642">
              <w:rPr>
                <w:rFonts w:ascii="Arial Narrow" w:hAnsi="Arial Narrow"/>
                <w:b/>
                <w:sz w:val="20"/>
              </w:rPr>
              <w:t>Publication citation</w:t>
            </w:r>
          </w:p>
        </w:tc>
      </w:tr>
      <w:tr w:rsidR="00906FD4" w:rsidRPr="00931642" w:rsidTr="00E80D98">
        <w:trPr>
          <w:cantSplit/>
        </w:trPr>
        <w:tc>
          <w:tcPr>
            <w:tcW w:w="5000" w:type="pct"/>
            <w:gridSpan w:val="3"/>
          </w:tcPr>
          <w:p w:rsidR="00906FD4" w:rsidRPr="00931642" w:rsidRDefault="00906FD4" w:rsidP="006504C4">
            <w:pPr>
              <w:keepNext/>
              <w:widowControl/>
              <w:jc w:val="left"/>
              <w:rPr>
                <w:rFonts w:ascii="Arial Narrow" w:hAnsi="Arial Narrow"/>
                <w:b/>
                <w:sz w:val="20"/>
              </w:rPr>
            </w:pPr>
            <w:r w:rsidRPr="00931642">
              <w:rPr>
                <w:rFonts w:ascii="Arial Narrow" w:hAnsi="Arial Narrow"/>
                <w:b/>
                <w:sz w:val="20"/>
              </w:rPr>
              <w:t>Randomised trials</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3614</w:t>
            </w:r>
          </w:p>
        </w:tc>
        <w:tc>
          <w:tcPr>
            <w:tcW w:w="2747"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A randomized, multicenter, double-blind, placebo-controlled study of B2036-PEG in the treatment of acromegaly. </w:t>
            </w:r>
          </w:p>
          <w:p w:rsidR="00906FD4" w:rsidRPr="00931642" w:rsidRDefault="00906FD4" w:rsidP="006504C4">
            <w:pPr>
              <w:widowControl/>
              <w:jc w:val="left"/>
              <w:rPr>
                <w:rFonts w:ascii="Arial Narrow" w:hAnsi="Arial Narrow"/>
                <w:sz w:val="20"/>
              </w:rPr>
            </w:pPr>
          </w:p>
          <w:p w:rsidR="00906FD4" w:rsidRPr="00931642" w:rsidRDefault="00906FD4" w:rsidP="006504C4">
            <w:pPr>
              <w:widowControl/>
              <w:jc w:val="left"/>
              <w:rPr>
                <w:rFonts w:ascii="Arial Narrow" w:hAnsi="Arial Narrow"/>
                <w:b/>
                <w:sz w:val="20"/>
              </w:rPr>
            </w:pPr>
            <w:r w:rsidRPr="00931642">
              <w:rPr>
                <w:rFonts w:ascii="Arial Narrow" w:hAnsi="Arial Narrow"/>
                <w:sz w:val="20"/>
              </w:rPr>
              <w:t xml:space="preserve">Trainer PJ, Drake WM, </w:t>
            </w:r>
            <w:proofErr w:type="spellStart"/>
            <w:r w:rsidRPr="00931642">
              <w:rPr>
                <w:rFonts w:ascii="Arial Narrow" w:hAnsi="Arial Narrow"/>
                <w:sz w:val="20"/>
              </w:rPr>
              <w:t>Katznelson</w:t>
            </w:r>
            <w:proofErr w:type="spellEnd"/>
            <w:r w:rsidRPr="00931642">
              <w:rPr>
                <w:rFonts w:ascii="Arial Narrow" w:hAnsi="Arial Narrow"/>
                <w:sz w:val="20"/>
              </w:rPr>
              <w:t xml:space="preserve"> L, </w:t>
            </w:r>
            <w:r w:rsidR="001C5AC9" w:rsidRPr="00931642">
              <w:rPr>
                <w:rFonts w:ascii="Arial Narrow" w:hAnsi="Arial Narrow"/>
                <w:sz w:val="20"/>
              </w:rPr>
              <w:t>et al</w:t>
            </w:r>
            <w:r w:rsidRPr="00931642">
              <w:rPr>
                <w:rFonts w:ascii="Arial Narrow" w:hAnsi="Arial Narrow"/>
                <w:sz w:val="20"/>
              </w:rPr>
              <w:t xml:space="preserve">. Treatment of acromegaly with the growth hormone-receptor antagonist pegvisomant.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Clinical Study Report, December 31, 1999.</w:t>
            </w:r>
          </w:p>
          <w:p w:rsidR="00906FD4" w:rsidRPr="00931642" w:rsidRDefault="00906FD4" w:rsidP="006504C4">
            <w:pPr>
              <w:widowControl/>
              <w:jc w:val="left"/>
              <w:rPr>
                <w:rFonts w:ascii="Arial Narrow" w:hAnsi="Arial Narrow"/>
                <w:sz w:val="20"/>
              </w:rPr>
            </w:pPr>
          </w:p>
          <w:p w:rsidR="00906FD4" w:rsidRPr="00931642" w:rsidRDefault="00906FD4" w:rsidP="006504C4">
            <w:pPr>
              <w:widowControl/>
              <w:jc w:val="left"/>
              <w:rPr>
                <w:rFonts w:ascii="Arial Narrow" w:hAnsi="Arial Narrow"/>
                <w:b/>
                <w:sz w:val="20"/>
              </w:rPr>
            </w:pPr>
            <w:r w:rsidRPr="00931642">
              <w:rPr>
                <w:rFonts w:ascii="Arial Narrow" w:hAnsi="Arial Narrow"/>
                <w:i/>
                <w:sz w:val="20"/>
              </w:rPr>
              <w:t>New England Journal of Medicine</w:t>
            </w:r>
            <w:r w:rsidRPr="00931642">
              <w:rPr>
                <w:rFonts w:ascii="Arial Narrow" w:hAnsi="Arial Narrow"/>
                <w:sz w:val="20"/>
              </w:rPr>
              <w:t xml:space="preserve"> 2000; 342(16):1171-1177.</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Gadelha 2014</w:t>
            </w:r>
          </w:p>
        </w:tc>
        <w:tc>
          <w:tcPr>
            <w:tcW w:w="2747" w:type="pct"/>
          </w:tcPr>
          <w:p w:rsidR="00906FD4" w:rsidRPr="00931642" w:rsidRDefault="00906FD4" w:rsidP="006504C4">
            <w:pPr>
              <w:widowControl/>
              <w:jc w:val="left"/>
              <w:rPr>
                <w:rFonts w:ascii="Arial Narrow" w:hAnsi="Arial Narrow"/>
                <w:b/>
                <w:sz w:val="20"/>
              </w:rPr>
            </w:pPr>
            <w:r w:rsidRPr="00931642">
              <w:rPr>
                <w:rFonts w:ascii="Arial Narrow" w:hAnsi="Arial Narrow"/>
                <w:sz w:val="20"/>
              </w:rPr>
              <w:t xml:space="preserve">Gadelha MR, Bronstein MD, Brue T, </w:t>
            </w:r>
            <w:r w:rsidR="001C5AC9" w:rsidRPr="00931642">
              <w:rPr>
                <w:rFonts w:ascii="Arial Narrow" w:hAnsi="Arial Narrow"/>
                <w:sz w:val="20"/>
              </w:rPr>
              <w:t>et al,</w:t>
            </w:r>
            <w:r w:rsidRPr="00931642">
              <w:rPr>
                <w:rFonts w:ascii="Arial Narrow" w:hAnsi="Arial Narrow"/>
                <w:sz w:val="20"/>
              </w:rPr>
              <w:t xml:space="preserve"> on behalf of the Pasireotide C2402 Study Group. Pasireotide versus continued treatment with octreotide or lanreotide in patients with inadequately controlled acromegaly (PAOLA): a randomised, phase 3 trial.</w:t>
            </w:r>
          </w:p>
        </w:tc>
        <w:tc>
          <w:tcPr>
            <w:tcW w:w="1602" w:type="pct"/>
          </w:tcPr>
          <w:p w:rsidR="00906FD4" w:rsidRPr="00931642" w:rsidRDefault="00906FD4" w:rsidP="006504C4">
            <w:pPr>
              <w:widowControl/>
              <w:jc w:val="left"/>
              <w:rPr>
                <w:rFonts w:ascii="Arial Narrow" w:hAnsi="Arial Narrow"/>
                <w:b/>
                <w:sz w:val="20"/>
              </w:rPr>
            </w:pPr>
            <w:r w:rsidRPr="00931642">
              <w:rPr>
                <w:rFonts w:ascii="Arial Narrow" w:hAnsi="Arial Narrow"/>
                <w:i/>
                <w:sz w:val="20"/>
              </w:rPr>
              <w:t xml:space="preserve">Lancet Diabetes </w:t>
            </w:r>
            <w:proofErr w:type="spellStart"/>
            <w:r w:rsidRPr="00931642">
              <w:rPr>
                <w:rFonts w:ascii="Arial Narrow" w:hAnsi="Arial Narrow"/>
                <w:i/>
                <w:sz w:val="20"/>
              </w:rPr>
              <w:t>Endocrinol</w:t>
            </w:r>
            <w:proofErr w:type="spellEnd"/>
            <w:r w:rsidRPr="00931642">
              <w:rPr>
                <w:rFonts w:ascii="Arial Narrow" w:hAnsi="Arial Narrow"/>
                <w:sz w:val="20"/>
              </w:rPr>
              <w:t xml:space="preserve"> 2014; 2:875–884.</w:t>
            </w:r>
          </w:p>
        </w:tc>
      </w:tr>
      <w:tr w:rsidR="00906FD4" w:rsidRPr="00931642" w:rsidTr="000E5EAA">
        <w:trPr>
          <w:cantSplit/>
        </w:trPr>
        <w:tc>
          <w:tcPr>
            <w:tcW w:w="5000" w:type="pct"/>
            <w:gridSpan w:val="3"/>
            <w:tcBorders>
              <w:bottom w:val="single" w:sz="4" w:space="0" w:color="auto"/>
            </w:tcBorders>
          </w:tcPr>
          <w:p w:rsidR="00906FD4" w:rsidRPr="00931642" w:rsidRDefault="00906FD4" w:rsidP="006504C4">
            <w:pPr>
              <w:keepNext/>
              <w:widowControl/>
              <w:jc w:val="left"/>
              <w:rPr>
                <w:rFonts w:ascii="Arial Narrow" w:hAnsi="Arial Narrow"/>
                <w:b/>
                <w:sz w:val="20"/>
              </w:rPr>
            </w:pPr>
            <w:r w:rsidRPr="00931642">
              <w:rPr>
                <w:rFonts w:ascii="Arial Narrow" w:hAnsi="Arial Narrow"/>
                <w:b/>
                <w:sz w:val="20"/>
              </w:rPr>
              <w:t>Supplementary randomised trial</w:t>
            </w:r>
          </w:p>
        </w:tc>
      </w:tr>
      <w:tr w:rsidR="00906FD4" w:rsidRPr="00931642" w:rsidTr="000E5EAA">
        <w:trPr>
          <w:cantSplit/>
        </w:trPr>
        <w:tc>
          <w:tcPr>
            <w:tcW w:w="651" w:type="pct"/>
            <w:tcBorders>
              <w:bottom w:val="nil"/>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1006</w:t>
            </w:r>
          </w:p>
        </w:tc>
        <w:tc>
          <w:tcPr>
            <w:tcW w:w="2747" w:type="pct"/>
            <w:tcBorders>
              <w:bottom w:val="nil"/>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Protocol number: A6291006. A randomized, parallel group, three-arm study to evaluate treatment with a combination of </w:t>
            </w:r>
            <w:proofErr w:type="spellStart"/>
            <w:r w:rsidRPr="00931642">
              <w:rPr>
                <w:rFonts w:ascii="Arial Narrow" w:hAnsi="Arial Narrow"/>
                <w:sz w:val="20"/>
              </w:rPr>
              <w:t>pegvisomant</w:t>
            </w:r>
            <w:proofErr w:type="spellEnd"/>
            <w:r w:rsidRPr="00931642">
              <w:rPr>
                <w:rFonts w:ascii="Arial Narrow" w:hAnsi="Arial Narrow"/>
                <w:sz w:val="20"/>
              </w:rPr>
              <w:t xml:space="preserve"> plus </w:t>
            </w:r>
            <w:proofErr w:type="spellStart"/>
            <w:r w:rsidRPr="00931642">
              <w:rPr>
                <w:rFonts w:ascii="Arial Narrow" w:hAnsi="Arial Narrow"/>
                <w:sz w:val="20"/>
              </w:rPr>
              <w:t>Sandostatin</w:t>
            </w:r>
            <w:proofErr w:type="spellEnd"/>
            <w:r w:rsidRPr="00931642">
              <w:rPr>
                <w:rFonts w:ascii="Arial Narrow" w:hAnsi="Arial Narrow"/>
                <w:sz w:val="20"/>
              </w:rPr>
              <w:t xml:space="preserve"> LAR</w:t>
            </w:r>
            <w:r w:rsidRPr="00931642">
              <w:rPr>
                <w:rFonts w:ascii="Arial Narrow" w:hAnsi="Arial Narrow"/>
                <w:sz w:val="20"/>
                <w:vertAlign w:val="superscript"/>
              </w:rPr>
              <w:t>®</w:t>
            </w:r>
            <w:r w:rsidRPr="00931642">
              <w:rPr>
                <w:rFonts w:ascii="Arial Narrow" w:hAnsi="Arial Narrow"/>
                <w:sz w:val="20"/>
              </w:rPr>
              <w:t xml:space="preserve">, </w:t>
            </w:r>
            <w:proofErr w:type="spellStart"/>
            <w:r w:rsidRPr="00931642">
              <w:rPr>
                <w:rFonts w:ascii="Arial Narrow" w:hAnsi="Arial Narrow"/>
                <w:sz w:val="20"/>
              </w:rPr>
              <w:t>pegvisomant</w:t>
            </w:r>
            <w:proofErr w:type="spellEnd"/>
            <w:r w:rsidRPr="00931642">
              <w:rPr>
                <w:rFonts w:ascii="Arial Narrow" w:hAnsi="Arial Narrow"/>
                <w:sz w:val="20"/>
              </w:rPr>
              <w:t xml:space="preserve"> (alone), and </w:t>
            </w:r>
            <w:proofErr w:type="spellStart"/>
            <w:r w:rsidRPr="00931642">
              <w:rPr>
                <w:rFonts w:ascii="Arial Narrow" w:hAnsi="Arial Narrow"/>
                <w:sz w:val="20"/>
              </w:rPr>
              <w:t>Sandostatin</w:t>
            </w:r>
            <w:proofErr w:type="spellEnd"/>
            <w:r w:rsidRPr="00931642">
              <w:rPr>
                <w:rFonts w:ascii="Arial Narrow" w:hAnsi="Arial Narrow"/>
                <w:sz w:val="20"/>
              </w:rPr>
              <w:t xml:space="preserve"> LAR</w:t>
            </w:r>
            <w:r w:rsidRPr="00931642">
              <w:rPr>
                <w:rFonts w:ascii="Arial Narrow" w:hAnsi="Arial Narrow"/>
                <w:sz w:val="20"/>
                <w:vertAlign w:val="superscript"/>
              </w:rPr>
              <w:t>®</w:t>
            </w:r>
            <w:r w:rsidRPr="00931642">
              <w:rPr>
                <w:rFonts w:ascii="Arial Narrow" w:hAnsi="Arial Narrow"/>
                <w:sz w:val="20"/>
              </w:rPr>
              <w:t xml:space="preserve"> (alone) in patients with acromegaly. </w:t>
            </w:r>
          </w:p>
          <w:p w:rsidR="000E5EAA" w:rsidRPr="00931642" w:rsidRDefault="000E5EAA" w:rsidP="006504C4">
            <w:pPr>
              <w:widowControl/>
              <w:jc w:val="left"/>
              <w:rPr>
                <w:rFonts w:ascii="Arial Narrow" w:hAnsi="Arial Narrow"/>
                <w:sz w:val="20"/>
              </w:rPr>
            </w:pPr>
          </w:p>
        </w:tc>
        <w:tc>
          <w:tcPr>
            <w:tcW w:w="1602" w:type="pct"/>
            <w:tcBorders>
              <w:bottom w:val="nil"/>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Clinical Study Report, </w:t>
            </w:r>
            <w:r w:rsidR="00935905" w:rsidRPr="00931642">
              <w:rPr>
                <w:rFonts w:ascii="Arial Narrow" w:hAnsi="Arial Narrow"/>
                <w:sz w:val="20"/>
              </w:rPr>
              <w:t>25</w:t>
            </w:r>
            <w:r w:rsidRPr="00931642">
              <w:rPr>
                <w:rFonts w:ascii="Arial Narrow" w:hAnsi="Arial Narrow"/>
                <w:sz w:val="20"/>
              </w:rPr>
              <w:t xml:space="preserve"> October 2006.</w:t>
            </w:r>
          </w:p>
          <w:p w:rsidR="00906FD4" w:rsidRPr="00931642" w:rsidRDefault="00906FD4" w:rsidP="006504C4">
            <w:pPr>
              <w:widowControl/>
              <w:jc w:val="left"/>
              <w:rPr>
                <w:rFonts w:ascii="Arial Narrow" w:hAnsi="Arial Narrow"/>
                <w:b/>
                <w:sz w:val="20"/>
              </w:rPr>
            </w:pPr>
          </w:p>
        </w:tc>
      </w:tr>
      <w:tr w:rsidR="000E5EAA" w:rsidRPr="00931642" w:rsidTr="000E5EAA">
        <w:trPr>
          <w:cantSplit/>
        </w:trPr>
        <w:tc>
          <w:tcPr>
            <w:tcW w:w="651" w:type="pct"/>
            <w:tcBorders>
              <w:top w:val="nil"/>
            </w:tcBorders>
          </w:tcPr>
          <w:p w:rsidR="000E5EAA" w:rsidRPr="00931642" w:rsidRDefault="000E5EAA" w:rsidP="006504C4">
            <w:pPr>
              <w:widowControl/>
              <w:jc w:val="left"/>
              <w:rPr>
                <w:rFonts w:ascii="Arial Narrow" w:hAnsi="Arial Narrow"/>
                <w:sz w:val="20"/>
              </w:rPr>
            </w:pPr>
          </w:p>
        </w:tc>
        <w:tc>
          <w:tcPr>
            <w:tcW w:w="2747" w:type="pct"/>
            <w:tcBorders>
              <w:top w:val="nil"/>
            </w:tcBorders>
          </w:tcPr>
          <w:p w:rsidR="000E5EAA" w:rsidRPr="00931642" w:rsidRDefault="000E5EAA" w:rsidP="006504C4">
            <w:pPr>
              <w:widowControl/>
              <w:jc w:val="left"/>
              <w:rPr>
                <w:rFonts w:ascii="Arial Narrow" w:hAnsi="Arial Narrow"/>
                <w:sz w:val="20"/>
              </w:rPr>
            </w:pPr>
            <w:r w:rsidRPr="00931642">
              <w:rPr>
                <w:rFonts w:ascii="Arial Narrow" w:hAnsi="Arial Narrow"/>
                <w:sz w:val="20"/>
              </w:rPr>
              <w:t xml:space="preserve">Trainer PJ, </w:t>
            </w:r>
            <w:proofErr w:type="spellStart"/>
            <w:r w:rsidRPr="00931642">
              <w:rPr>
                <w:rFonts w:ascii="Arial Narrow" w:hAnsi="Arial Narrow"/>
                <w:sz w:val="20"/>
              </w:rPr>
              <w:t>Ezzat</w:t>
            </w:r>
            <w:proofErr w:type="spellEnd"/>
            <w:r w:rsidRPr="00931642">
              <w:rPr>
                <w:rFonts w:ascii="Arial Narrow" w:hAnsi="Arial Narrow"/>
                <w:sz w:val="20"/>
              </w:rPr>
              <w:t xml:space="preserve"> S, D’Souza GA, et al. A randomized, controlled, multicentre trial comparing pegvisomant alone with combination therapy of pegvisomant and long-acting octreotide in patients with acromegaly.</w:t>
            </w:r>
          </w:p>
        </w:tc>
        <w:tc>
          <w:tcPr>
            <w:tcW w:w="1602" w:type="pct"/>
            <w:tcBorders>
              <w:top w:val="nil"/>
            </w:tcBorders>
          </w:tcPr>
          <w:p w:rsidR="000E5EAA" w:rsidRPr="00931642" w:rsidRDefault="000E5EAA" w:rsidP="006504C4">
            <w:pPr>
              <w:widowControl/>
              <w:jc w:val="left"/>
              <w:rPr>
                <w:rFonts w:ascii="Arial Narrow" w:hAnsi="Arial Narrow"/>
                <w:sz w:val="20"/>
              </w:rPr>
            </w:pPr>
            <w:r w:rsidRPr="00931642">
              <w:rPr>
                <w:rFonts w:ascii="Arial Narrow" w:hAnsi="Arial Narrow"/>
                <w:i/>
                <w:sz w:val="20"/>
              </w:rPr>
              <w:t>Clinical Endocrinology</w:t>
            </w:r>
            <w:r w:rsidRPr="00931642">
              <w:rPr>
                <w:rFonts w:ascii="Arial Narrow" w:hAnsi="Arial Narrow"/>
                <w:sz w:val="20"/>
              </w:rPr>
              <w:t xml:space="preserve"> 2009; 71, 549–557.</w:t>
            </w:r>
          </w:p>
        </w:tc>
      </w:tr>
      <w:tr w:rsidR="00906FD4" w:rsidRPr="00931642" w:rsidTr="00E80D98">
        <w:trPr>
          <w:cantSplit/>
        </w:trPr>
        <w:tc>
          <w:tcPr>
            <w:tcW w:w="5000" w:type="pct"/>
            <w:gridSpan w:val="3"/>
          </w:tcPr>
          <w:p w:rsidR="00906FD4" w:rsidRPr="00931642" w:rsidRDefault="00906FD4" w:rsidP="006504C4">
            <w:pPr>
              <w:keepNext/>
              <w:widowControl/>
              <w:jc w:val="left"/>
              <w:rPr>
                <w:rFonts w:ascii="Arial Narrow" w:hAnsi="Arial Narrow"/>
                <w:b/>
                <w:sz w:val="20"/>
              </w:rPr>
            </w:pPr>
            <w:r w:rsidRPr="00931642">
              <w:rPr>
                <w:rFonts w:ascii="Arial Narrow" w:hAnsi="Arial Narrow"/>
                <w:b/>
                <w:sz w:val="20"/>
              </w:rPr>
              <w:t>Non-randomised studies</w:t>
            </w:r>
          </w:p>
        </w:tc>
      </w:tr>
      <w:tr w:rsidR="00906FD4" w:rsidRPr="00931642" w:rsidTr="000E5EAA">
        <w:trPr>
          <w:cantSplit/>
        </w:trPr>
        <w:tc>
          <w:tcPr>
            <w:tcW w:w="651" w:type="pct"/>
            <w:tcBorders>
              <w:bottom w:val="single" w:sz="4" w:space="0" w:color="auto"/>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1002</w:t>
            </w:r>
          </w:p>
        </w:tc>
        <w:tc>
          <w:tcPr>
            <w:tcW w:w="2747" w:type="pct"/>
            <w:tcBorders>
              <w:bottom w:val="single" w:sz="4" w:space="0" w:color="auto"/>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Protocol number: A6291002 (467-MET-9119-008). Investigation of the effects of pegvisomant on cardiac mass and cardiac function and on cardiovascular risk factors in patients with active acromegaly. </w:t>
            </w:r>
          </w:p>
        </w:tc>
        <w:tc>
          <w:tcPr>
            <w:tcW w:w="1602" w:type="pct"/>
            <w:tcBorders>
              <w:bottom w:val="single" w:sz="4" w:space="0" w:color="auto"/>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Clinical Study Report, 2 March 2007.</w:t>
            </w:r>
          </w:p>
        </w:tc>
      </w:tr>
      <w:tr w:rsidR="00906FD4" w:rsidRPr="00931642" w:rsidTr="000E5EAA">
        <w:trPr>
          <w:cantSplit/>
        </w:trPr>
        <w:tc>
          <w:tcPr>
            <w:tcW w:w="651" w:type="pct"/>
            <w:tcBorders>
              <w:bottom w:val="nil"/>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1007/1008</w:t>
            </w:r>
          </w:p>
        </w:tc>
        <w:tc>
          <w:tcPr>
            <w:tcW w:w="2747" w:type="pct"/>
            <w:tcBorders>
              <w:bottom w:val="nil"/>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Protocol number: A6291007 (SOMAV-9119-010). A multi-center, open-label compassionate use program to provide pegvisomant to acromegaly </w:t>
            </w:r>
            <w:proofErr w:type="gramStart"/>
            <w:r w:rsidRPr="00931642">
              <w:rPr>
                <w:rFonts w:ascii="Arial Narrow" w:hAnsi="Arial Narrow"/>
                <w:sz w:val="20"/>
              </w:rPr>
              <w:t>patients</w:t>
            </w:r>
            <w:proofErr w:type="gramEnd"/>
            <w:r w:rsidRPr="00931642">
              <w:rPr>
                <w:rFonts w:ascii="Arial Narrow" w:hAnsi="Arial Narrow"/>
                <w:sz w:val="20"/>
              </w:rPr>
              <w:t xml:space="preserve"> refractory to conventional therapy.</w:t>
            </w:r>
          </w:p>
          <w:p w:rsidR="000E5EAA" w:rsidRPr="00931642" w:rsidRDefault="000E5EAA" w:rsidP="006504C4">
            <w:pPr>
              <w:widowControl/>
              <w:jc w:val="left"/>
              <w:rPr>
                <w:rFonts w:ascii="Arial Narrow" w:hAnsi="Arial Narrow"/>
                <w:sz w:val="20"/>
              </w:rPr>
            </w:pPr>
          </w:p>
        </w:tc>
        <w:tc>
          <w:tcPr>
            <w:tcW w:w="1602" w:type="pct"/>
            <w:tcBorders>
              <w:bottom w:val="nil"/>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Clinical Study Report, 27 March 2006. </w:t>
            </w:r>
          </w:p>
          <w:p w:rsidR="00906FD4" w:rsidRPr="00931642" w:rsidRDefault="00906FD4" w:rsidP="006504C4">
            <w:pPr>
              <w:widowControl/>
              <w:jc w:val="left"/>
              <w:rPr>
                <w:rFonts w:ascii="Arial Narrow" w:hAnsi="Arial Narrow"/>
                <w:sz w:val="20"/>
              </w:rPr>
            </w:pPr>
          </w:p>
        </w:tc>
      </w:tr>
      <w:tr w:rsidR="000E5EAA" w:rsidRPr="00931642" w:rsidTr="000E5EAA">
        <w:trPr>
          <w:cantSplit/>
        </w:trPr>
        <w:tc>
          <w:tcPr>
            <w:tcW w:w="651" w:type="pct"/>
            <w:tcBorders>
              <w:top w:val="nil"/>
              <w:bottom w:val="single" w:sz="4" w:space="0" w:color="auto"/>
            </w:tcBorders>
          </w:tcPr>
          <w:p w:rsidR="000E5EAA" w:rsidRPr="00931642" w:rsidRDefault="000E5EAA" w:rsidP="006504C4">
            <w:pPr>
              <w:widowControl/>
              <w:jc w:val="left"/>
              <w:rPr>
                <w:rFonts w:ascii="Arial Narrow" w:hAnsi="Arial Narrow"/>
                <w:sz w:val="20"/>
              </w:rPr>
            </w:pPr>
          </w:p>
        </w:tc>
        <w:tc>
          <w:tcPr>
            <w:tcW w:w="2747" w:type="pct"/>
            <w:tcBorders>
              <w:top w:val="nil"/>
              <w:bottom w:val="single" w:sz="4" w:space="0" w:color="auto"/>
            </w:tcBorders>
          </w:tcPr>
          <w:p w:rsidR="000E5EAA" w:rsidRPr="00931642" w:rsidRDefault="000E5EAA" w:rsidP="006504C4">
            <w:pPr>
              <w:widowControl/>
              <w:jc w:val="left"/>
              <w:rPr>
                <w:rFonts w:ascii="Arial Narrow" w:hAnsi="Arial Narrow"/>
                <w:sz w:val="20"/>
              </w:rPr>
            </w:pPr>
            <w:r w:rsidRPr="00931642">
              <w:rPr>
                <w:rFonts w:ascii="Arial Narrow" w:hAnsi="Arial Narrow"/>
                <w:sz w:val="20"/>
              </w:rPr>
              <w:t xml:space="preserve">Protocol number: A6291008 (SOMAV-9119-011). A multi-center, open-label clinical study to provide pegvisomant to acromegaly in </w:t>
            </w:r>
            <w:proofErr w:type="gramStart"/>
            <w:r w:rsidRPr="00931642">
              <w:rPr>
                <w:rFonts w:ascii="Arial Narrow" w:hAnsi="Arial Narrow"/>
                <w:sz w:val="20"/>
              </w:rPr>
              <w:t>patients</w:t>
            </w:r>
            <w:proofErr w:type="gramEnd"/>
            <w:r w:rsidRPr="00931642">
              <w:rPr>
                <w:rFonts w:ascii="Arial Narrow" w:hAnsi="Arial Narrow"/>
                <w:sz w:val="20"/>
              </w:rPr>
              <w:t xml:space="preserve"> refractory to conventional therapy.</w:t>
            </w:r>
          </w:p>
        </w:tc>
        <w:tc>
          <w:tcPr>
            <w:tcW w:w="1602" w:type="pct"/>
            <w:tcBorders>
              <w:top w:val="nil"/>
              <w:bottom w:val="single" w:sz="4" w:space="0" w:color="auto"/>
            </w:tcBorders>
          </w:tcPr>
          <w:p w:rsidR="000E5EAA" w:rsidRPr="00931642" w:rsidRDefault="000E5EAA" w:rsidP="006504C4">
            <w:pPr>
              <w:widowControl/>
              <w:jc w:val="left"/>
              <w:rPr>
                <w:rFonts w:ascii="Arial Narrow" w:hAnsi="Arial Narrow"/>
                <w:sz w:val="20"/>
              </w:rPr>
            </w:pPr>
            <w:r w:rsidRPr="00931642">
              <w:rPr>
                <w:rFonts w:ascii="Arial Narrow" w:hAnsi="Arial Narrow"/>
                <w:sz w:val="20"/>
              </w:rPr>
              <w:t>Clinical Study Report, 27 March 2006.</w:t>
            </w:r>
          </w:p>
        </w:tc>
      </w:tr>
      <w:tr w:rsidR="00906FD4" w:rsidRPr="00931642" w:rsidTr="000E5EAA">
        <w:trPr>
          <w:cantSplit/>
        </w:trPr>
        <w:tc>
          <w:tcPr>
            <w:tcW w:w="651" w:type="pct"/>
            <w:tcBorders>
              <w:bottom w:val="nil"/>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1017</w:t>
            </w:r>
          </w:p>
        </w:tc>
        <w:tc>
          <w:tcPr>
            <w:tcW w:w="2747" w:type="pct"/>
            <w:tcBorders>
              <w:bottom w:val="nil"/>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Protocol number: A6291017. A multi-centre, open-label study for the compassionate use of </w:t>
            </w:r>
            <w:proofErr w:type="spellStart"/>
            <w:r w:rsidRPr="00931642">
              <w:rPr>
                <w:rFonts w:ascii="Arial Narrow" w:hAnsi="Arial Narrow"/>
                <w:sz w:val="20"/>
              </w:rPr>
              <w:t>pegvisomant</w:t>
            </w:r>
            <w:proofErr w:type="spellEnd"/>
            <w:r w:rsidRPr="00931642">
              <w:rPr>
                <w:rFonts w:ascii="Arial Narrow" w:hAnsi="Arial Narrow"/>
                <w:sz w:val="20"/>
              </w:rPr>
              <w:t xml:space="preserve"> in </w:t>
            </w:r>
            <w:proofErr w:type="spellStart"/>
            <w:r w:rsidRPr="00931642">
              <w:rPr>
                <w:rFonts w:ascii="Arial Narrow" w:hAnsi="Arial Narrow"/>
                <w:sz w:val="20"/>
              </w:rPr>
              <w:t>acromegalic</w:t>
            </w:r>
            <w:proofErr w:type="spellEnd"/>
            <w:r w:rsidRPr="00931642">
              <w:rPr>
                <w:rFonts w:ascii="Arial Narrow" w:hAnsi="Arial Narrow"/>
                <w:sz w:val="20"/>
              </w:rPr>
              <w:t xml:space="preserve"> </w:t>
            </w:r>
            <w:proofErr w:type="gramStart"/>
            <w:r w:rsidRPr="00931642">
              <w:rPr>
                <w:rFonts w:ascii="Arial Narrow" w:hAnsi="Arial Narrow"/>
                <w:sz w:val="20"/>
              </w:rPr>
              <w:t>patients</w:t>
            </w:r>
            <w:proofErr w:type="gramEnd"/>
            <w:r w:rsidRPr="00931642">
              <w:rPr>
                <w:rFonts w:ascii="Arial Narrow" w:hAnsi="Arial Narrow"/>
                <w:sz w:val="20"/>
              </w:rPr>
              <w:t xml:space="preserve"> refractory to conventional therapy and for patients who received the product during the clinical development program. </w:t>
            </w:r>
          </w:p>
          <w:p w:rsidR="000E5EAA" w:rsidRPr="00931642" w:rsidRDefault="000E5EAA" w:rsidP="006504C4">
            <w:pPr>
              <w:widowControl/>
              <w:jc w:val="left"/>
              <w:rPr>
                <w:rFonts w:ascii="Arial Narrow" w:hAnsi="Arial Narrow"/>
                <w:sz w:val="20"/>
              </w:rPr>
            </w:pPr>
          </w:p>
        </w:tc>
        <w:tc>
          <w:tcPr>
            <w:tcW w:w="1602" w:type="pct"/>
            <w:tcBorders>
              <w:bottom w:val="nil"/>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Clinical Study Report, 20 January 2008.</w:t>
            </w:r>
          </w:p>
        </w:tc>
      </w:tr>
      <w:tr w:rsidR="000E5EAA" w:rsidRPr="00931642" w:rsidTr="000E5EAA">
        <w:trPr>
          <w:cantSplit/>
        </w:trPr>
        <w:tc>
          <w:tcPr>
            <w:tcW w:w="651" w:type="pct"/>
            <w:tcBorders>
              <w:top w:val="nil"/>
            </w:tcBorders>
          </w:tcPr>
          <w:p w:rsidR="000E5EAA" w:rsidRPr="00931642" w:rsidRDefault="000E5EAA" w:rsidP="006504C4">
            <w:pPr>
              <w:widowControl/>
              <w:jc w:val="left"/>
              <w:rPr>
                <w:rFonts w:ascii="Arial Narrow" w:hAnsi="Arial Narrow"/>
                <w:sz w:val="20"/>
              </w:rPr>
            </w:pPr>
          </w:p>
        </w:tc>
        <w:tc>
          <w:tcPr>
            <w:tcW w:w="2747" w:type="pct"/>
            <w:tcBorders>
              <w:top w:val="nil"/>
            </w:tcBorders>
          </w:tcPr>
          <w:p w:rsidR="000E5EAA" w:rsidRPr="00931642" w:rsidRDefault="000E5EAA" w:rsidP="006504C4">
            <w:pPr>
              <w:widowControl/>
              <w:jc w:val="left"/>
              <w:rPr>
                <w:rFonts w:ascii="Arial Narrow" w:hAnsi="Arial Narrow"/>
                <w:sz w:val="20"/>
              </w:rPr>
            </w:pPr>
            <w:proofErr w:type="spellStart"/>
            <w:r w:rsidRPr="00931642">
              <w:rPr>
                <w:rFonts w:ascii="Arial Narrow" w:hAnsi="Arial Narrow"/>
                <w:sz w:val="20"/>
              </w:rPr>
              <w:t>Ezzat</w:t>
            </w:r>
            <w:proofErr w:type="spellEnd"/>
            <w:r w:rsidRPr="00931642">
              <w:rPr>
                <w:rFonts w:ascii="Arial Narrow" w:hAnsi="Arial Narrow"/>
                <w:sz w:val="20"/>
              </w:rPr>
              <w:t xml:space="preserve"> S, </w:t>
            </w:r>
            <w:proofErr w:type="spellStart"/>
            <w:r w:rsidRPr="00931642">
              <w:rPr>
                <w:rFonts w:ascii="Arial Narrow" w:hAnsi="Arial Narrow"/>
                <w:sz w:val="20"/>
              </w:rPr>
              <w:t>Gaspo</w:t>
            </w:r>
            <w:proofErr w:type="spellEnd"/>
            <w:r w:rsidRPr="00931642">
              <w:rPr>
                <w:rFonts w:ascii="Arial Narrow" w:hAnsi="Arial Narrow"/>
                <w:sz w:val="20"/>
              </w:rPr>
              <w:t xml:space="preserve"> R, </w:t>
            </w:r>
            <w:proofErr w:type="spellStart"/>
            <w:r w:rsidRPr="00931642">
              <w:rPr>
                <w:rFonts w:ascii="Arial Narrow" w:hAnsi="Arial Narrow"/>
                <w:sz w:val="20"/>
              </w:rPr>
              <w:t>Serri</w:t>
            </w:r>
            <w:proofErr w:type="spellEnd"/>
            <w:r w:rsidRPr="00931642">
              <w:rPr>
                <w:rFonts w:ascii="Arial Narrow" w:hAnsi="Arial Narrow"/>
                <w:sz w:val="20"/>
              </w:rPr>
              <w:t xml:space="preserve"> O, et al. A Canadian multi-centre, open-label long-term study of pegvisomant treatment in refractory acromegaly.</w:t>
            </w:r>
          </w:p>
        </w:tc>
        <w:tc>
          <w:tcPr>
            <w:tcW w:w="1602" w:type="pct"/>
            <w:tcBorders>
              <w:top w:val="nil"/>
            </w:tcBorders>
          </w:tcPr>
          <w:p w:rsidR="000E5EAA" w:rsidRPr="00931642" w:rsidRDefault="000E5EAA" w:rsidP="006504C4">
            <w:pPr>
              <w:widowControl/>
              <w:jc w:val="left"/>
              <w:rPr>
                <w:rFonts w:ascii="Arial Narrow" w:hAnsi="Arial Narrow"/>
                <w:sz w:val="20"/>
              </w:rPr>
            </w:pPr>
            <w:proofErr w:type="spellStart"/>
            <w:r w:rsidRPr="00931642">
              <w:rPr>
                <w:rFonts w:ascii="Arial Narrow" w:hAnsi="Arial Narrow"/>
                <w:i/>
                <w:sz w:val="20"/>
              </w:rPr>
              <w:t>Clin</w:t>
            </w:r>
            <w:proofErr w:type="spellEnd"/>
            <w:r w:rsidRPr="00931642">
              <w:rPr>
                <w:rFonts w:ascii="Arial Narrow" w:hAnsi="Arial Narrow"/>
                <w:i/>
                <w:sz w:val="20"/>
              </w:rPr>
              <w:t xml:space="preserve"> Invest Med</w:t>
            </w:r>
            <w:r w:rsidRPr="00931642">
              <w:rPr>
                <w:rFonts w:ascii="Arial Narrow" w:hAnsi="Arial Narrow"/>
                <w:sz w:val="20"/>
              </w:rPr>
              <w:t xml:space="preserve"> 2009; 32(6):E265-E277.</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highlight w:val="yellow"/>
              </w:rPr>
            </w:pPr>
            <w:r w:rsidRPr="00931642">
              <w:rPr>
                <w:rFonts w:ascii="Arial Narrow" w:hAnsi="Arial Narrow"/>
                <w:sz w:val="20"/>
              </w:rPr>
              <w:t>3613A</w:t>
            </w:r>
          </w:p>
        </w:tc>
        <w:tc>
          <w:tcPr>
            <w:tcW w:w="2747"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Protocol number: SEN-3613A. An open-label extension study of pegvisomant in the treatment of acromegaly (amendment).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Clinical Study Report, 13 December 2002.</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3615</w:t>
            </w:r>
          </w:p>
        </w:tc>
        <w:tc>
          <w:tcPr>
            <w:tcW w:w="2747"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Protocol number: SEN-3615. An open-label extension study of pegvisomant in the treatment of acromegaly.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Clinical Study Report, 17 December 2002.</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lastRenderedPageBreak/>
              <w:t>Basavilbaso</w:t>
            </w:r>
            <w:proofErr w:type="spellEnd"/>
            <w:r w:rsidRPr="00931642">
              <w:rPr>
                <w:rFonts w:ascii="Arial Narrow" w:hAnsi="Arial Narrow"/>
                <w:sz w:val="20"/>
              </w:rPr>
              <w:t xml:space="preserve"> 2010</w:t>
            </w:r>
          </w:p>
        </w:tc>
        <w:tc>
          <w:tcPr>
            <w:tcW w:w="2747"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Basavilbaso</w:t>
            </w:r>
            <w:proofErr w:type="spellEnd"/>
            <w:r w:rsidRPr="00931642">
              <w:rPr>
                <w:rFonts w:ascii="Arial Narrow" w:hAnsi="Arial Narrow"/>
                <w:sz w:val="20"/>
              </w:rPr>
              <w:t xml:space="preserve"> NG, </w:t>
            </w:r>
            <w:proofErr w:type="spellStart"/>
            <w:r w:rsidRPr="00931642">
              <w:rPr>
                <w:rFonts w:ascii="Arial Narrow" w:hAnsi="Arial Narrow"/>
                <w:sz w:val="20"/>
              </w:rPr>
              <w:t>Guitelman</w:t>
            </w:r>
            <w:proofErr w:type="spellEnd"/>
            <w:r w:rsidRPr="00931642">
              <w:rPr>
                <w:rFonts w:ascii="Arial Narrow" w:hAnsi="Arial Narrow"/>
                <w:sz w:val="20"/>
              </w:rPr>
              <w:t xml:space="preserve"> N, </w:t>
            </w:r>
            <w:proofErr w:type="spellStart"/>
            <w:r w:rsidRPr="00931642">
              <w:rPr>
                <w:rFonts w:ascii="Arial Narrow" w:hAnsi="Arial Narrow"/>
                <w:sz w:val="20"/>
              </w:rPr>
              <w:t>Nagelberg</w:t>
            </w:r>
            <w:proofErr w:type="spellEnd"/>
            <w:r w:rsidRPr="00931642">
              <w:rPr>
                <w:rFonts w:ascii="Arial Narrow" w:hAnsi="Arial Narrow"/>
                <w:sz w:val="20"/>
              </w:rPr>
              <w:t xml:space="preserve"> A, </w:t>
            </w:r>
            <w:r w:rsidR="001C5AC9" w:rsidRPr="00931642">
              <w:rPr>
                <w:rFonts w:ascii="Arial Narrow" w:hAnsi="Arial Narrow"/>
                <w:sz w:val="20"/>
              </w:rPr>
              <w:t>et al</w:t>
            </w:r>
            <w:r w:rsidRPr="00931642">
              <w:rPr>
                <w:rFonts w:ascii="Arial Narrow" w:hAnsi="Arial Narrow"/>
                <w:sz w:val="20"/>
              </w:rPr>
              <w:t>.</w:t>
            </w:r>
            <w:r w:rsidR="00EB2908" w:rsidRPr="00931642">
              <w:rPr>
                <w:rFonts w:ascii="Arial Narrow" w:hAnsi="Arial Narrow"/>
                <w:sz w:val="20"/>
              </w:rPr>
              <w:t xml:space="preserve"> </w:t>
            </w:r>
            <w:r w:rsidRPr="00931642">
              <w:rPr>
                <w:rFonts w:ascii="Arial Narrow" w:hAnsi="Arial Narrow"/>
                <w:sz w:val="20"/>
              </w:rPr>
              <w:t>Experience from the Argentine pegvisomant observational study: preliminary data.</w:t>
            </w:r>
            <w:r w:rsidR="00EB2908" w:rsidRPr="00931642">
              <w:rPr>
                <w:rFonts w:ascii="Arial Narrow" w:hAnsi="Arial Narrow"/>
                <w:sz w:val="20"/>
              </w:rPr>
              <w:t xml:space="preserve">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In </w:t>
            </w:r>
            <w:proofErr w:type="spellStart"/>
            <w:r w:rsidRPr="00931642">
              <w:rPr>
                <w:rFonts w:ascii="Arial Narrow" w:hAnsi="Arial Narrow"/>
                <w:sz w:val="20"/>
              </w:rPr>
              <w:t>Arzt</w:t>
            </w:r>
            <w:proofErr w:type="spellEnd"/>
            <w:r w:rsidRPr="00931642">
              <w:rPr>
                <w:rFonts w:ascii="Arial Narrow" w:hAnsi="Arial Narrow"/>
                <w:sz w:val="20"/>
              </w:rPr>
              <w:t xml:space="preserve"> E, Bronstein M, </w:t>
            </w:r>
            <w:proofErr w:type="spellStart"/>
            <w:r w:rsidRPr="00931642">
              <w:rPr>
                <w:rFonts w:ascii="Arial Narrow" w:hAnsi="Arial Narrow"/>
                <w:sz w:val="20"/>
              </w:rPr>
              <w:t>Guitelman</w:t>
            </w:r>
            <w:proofErr w:type="spellEnd"/>
            <w:r w:rsidRPr="00931642">
              <w:rPr>
                <w:rFonts w:ascii="Arial Narrow" w:hAnsi="Arial Narrow"/>
                <w:sz w:val="20"/>
              </w:rPr>
              <w:t xml:space="preserve"> M (</w:t>
            </w:r>
            <w:proofErr w:type="spellStart"/>
            <w:r w:rsidRPr="00931642">
              <w:rPr>
                <w:rFonts w:ascii="Arial Narrow" w:hAnsi="Arial Narrow"/>
                <w:sz w:val="20"/>
              </w:rPr>
              <w:t>eds</w:t>
            </w:r>
            <w:proofErr w:type="spellEnd"/>
            <w:r w:rsidRPr="00931642">
              <w:rPr>
                <w:rFonts w:ascii="Arial Narrow" w:hAnsi="Arial Narrow"/>
                <w:sz w:val="20"/>
              </w:rPr>
              <w:t xml:space="preserve">). </w:t>
            </w:r>
            <w:r w:rsidRPr="00931642">
              <w:rPr>
                <w:rFonts w:ascii="Arial Narrow" w:hAnsi="Arial Narrow"/>
                <w:i/>
                <w:sz w:val="20"/>
              </w:rPr>
              <w:t>Pituitary Today II: New Molecular, Physiological and Clinical Aspects. Frontiers of Hormone Research</w:t>
            </w:r>
            <w:r w:rsidRPr="00931642">
              <w:rPr>
                <w:rFonts w:ascii="Arial Narrow" w:hAnsi="Arial Narrow"/>
                <w:sz w:val="20"/>
              </w:rPr>
              <w:t xml:space="preserve"> 2010; 38:42-49, </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Colao</w:t>
            </w:r>
            <w:proofErr w:type="spellEnd"/>
            <w:r w:rsidRPr="00931642">
              <w:rPr>
                <w:rFonts w:ascii="Arial Narrow" w:hAnsi="Arial Narrow"/>
                <w:sz w:val="20"/>
              </w:rPr>
              <w:t xml:space="preserve"> 2006</w:t>
            </w:r>
          </w:p>
        </w:tc>
        <w:tc>
          <w:tcPr>
            <w:tcW w:w="2747"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Colao</w:t>
            </w:r>
            <w:proofErr w:type="spellEnd"/>
            <w:r w:rsidRPr="00931642">
              <w:rPr>
                <w:rFonts w:ascii="Arial Narrow" w:hAnsi="Arial Narrow"/>
                <w:sz w:val="20"/>
              </w:rPr>
              <w:t xml:space="preserve"> A, </w:t>
            </w:r>
            <w:proofErr w:type="spellStart"/>
            <w:r w:rsidRPr="00931642">
              <w:rPr>
                <w:rFonts w:ascii="Arial Narrow" w:hAnsi="Arial Narrow"/>
                <w:sz w:val="20"/>
              </w:rPr>
              <w:t>Pivonello</w:t>
            </w:r>
            <w:proofErr w:type="spellEnd"/>
            <w:r w:rsidRPr="00931642">
              <w:rPr>
                <w:rFonts w:ascii="Arial Narrow" w:hAnsi="Arial Narrow"/>
                <w:sz w:val="20"/>
              </w:rPr>
              <w:t xml:space="preserve"> R, </w:t>
            </w:r>
            <w:proofErr w:type="spellStart"/>
            <w:r w:rsidRPr="00931642">
              <w:rPr>
                <w:rFonts w:ascii="Arial Narrow" w:hAnsi="Arial Narrow"/>
                <w:sz w:val="20"/>
              </w:rPr>
              <w:t>Auriemma</w:t>
            </w:r>
            <w:proofErr w:type="spellEnd"/>
            <w:r w:rsidRPr="00931642">
              <w:rPr>
                <w:rFonts w:ascii="Arial Narrow" w:hAnsi="Arial Narrow"/>
                <w:sz w:val="20"/>
              </w:rPr>
              <w:t xml:space="preserve"> RS, </w:t>
            </w:r>
            <w:r w:rsidR="001C5AC9" w:rsidRPr="00931642">
              <w:rPr>
                <w:rFonts w:ascii="Arial Narrow" w:hAnsi="Arial Narrow"/>
                <w:sz w:val="20"/>
              </w:rPr>
              <w:t>et al</w:t>
            </w:r>
            <w:r w:rsidRPr="00931642">
              <w:rPr>
                <w:rFonts w:ascii="Arial Narrow" w:hAnsi="Arial Narrow"/>
                <w:sz w:val="20"/>
              </w:rPr>
              <w:t xml:space="preserve">. Efficacy of 12-month treatment with the GH receptor antagonist pegvisomant in patients with acromegaly resistant to long-term, high-dose somatostatin </w:t>
            </w:r>
            <w:proofErr w:type="spellStart"/>
            <w:r w:rsidRPr="00931642">
              <w:rPr>
                <w:rFonts w:ascii="Arial Narrow" w:hAnsi="Arial Narrow"/>
                <w:sz w:val="20"/>
              </w:rPr>
              <w:t>analog</w:t>
            </w:r>
            <w:proofErr w:type="spellEnd"/>
            <w:r w:rsidRPr="00931642">
              <w:rPr>
                <w:rFonts w:ascii="Arial Narrow" w:hAnsi="Arial Narrow"/>
                <w:sz w:val="20"/>
              </w:rPr>
              <w:t xml:space="preserve"> treatment: effect on IGF-1 levels, </w:t>
            </w:r>
            <w:proofErr w:type="spellStart"/>
            <w:r w:rsidRPr="00931642">
              <w:rPr>
                <w:rFonts w:ascii="Arial Narrow" w:hAnsi="Arial Narrow"/>
                <w:sz w:val="20"/>
              </w:rPr>
              <w:t>tumor</w:t>
            </w:r>
            <w:proofErr w:type="spellEnd"/>
            <w:r w:rsidRPr="00931642">
              <w:rPr>
                <w:rFonts w:ascii="Arial Narrow" w:hAnsi="Arial Narrow"/>
                <w:sz w:val="20"/>
              </w:rPr>
              <w:t xml:space="preserve"> mass, hypertension and glucose tolerance.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i/>
                <w:sz w:val="20"/>
              </w:rPr>
              <w:t xml:space="preserve">European Journal of Endocrinology </w:t>
            </w:r>
            <w:r w:rsidRPr="00931642">
              <w:rPr>
                <w:rFonts w:ascii="Arial Narrow" w:hAnsi="Arial Narrow"/>
                <w:sz w:val="20"/>
              </w:rPr>
              <w:t>2006; 154:467–477.</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De </w:t>
            </w:r>
            <w:proofErr w:type="spellStart"/>
            <w:r w:rsidRPr="00931642">
              <w:rPr>
                <w:rFonts w:ascii="Arial Narrow" w:hAnsi="Arial Narrow"/>
                <w:sz w:val="20"/>
              </w:rPr>
              <w:t>Marinis</w:t>
            </w:r>
            <w:proofErr w:type="spellEnd"/>
            <w:r w:rsidRPr="00931642">
              <w:rPr>
                <w:rFonts w:ascii="Arial Narrow" w:hAnsi="Arial Narrow"/>
                <w:sz w:val="20"/>
              </w:rPr>
              <w:t xml:space="preserve"> 2007</w:t>
            </w:r>
          </w:p>
        </w:tc>
        <w:tc>
          <w:tcPr>
            <w:tcW w:w="2747"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De </w:t>
            </w:r>
            <w:proofErr w:type="spellStart"/>
            <w:r w:rsidRPr="00931642">
              <w:rPr>
                <w:rFonts w:ascii="Arial Narrow" w:hAnsi="Arial Narrow"/>
                <w:sz w:val="20"/>
              </w:rPr>
              <w:t>Marinis</w:t>
            </w:r>
            <w:proofErr w:type="spellEnd"/>
            <w:r w:rsidRPr="00931642">
              <w:rPr>
                <w:rFonts w:ascii="Arial Narrow" w:hAnsi="Arial Narrow"/>
                <w:sz w:val="20"/>
              </w:rPr>
              <w:t xml:space="preserve"> L, Bianchi A, Fusco A, </w:t>
            </w:r>
            <w:r w:rsidR="001C5AC9" w:rsidRPr="00931642">
              <w:rPr>
                <w:rFonts w:ascii="Arial Narrow" w:hAnsi="Arial Narrow"/>
                <w:sz w:val="20"/>
              </w:rPr>
              <w:t>et al</w:t>
            </w:r>
            <w:r w:rsidRPr="00931642">
              <w:rPr>
                <w:rFonts w:ascii="Arial Narrow" w:hAnsi="Arial Narrow"/>
                <w:sz w:val="20"/>
              </w:rPr>
              <w:t xml:space="preserve">. Long-term effects of the combination of </w:t>
            </w:r>
            <w:proofErr w:type="spellStart"/>
            <w:r w:rsidRPr="00931642">
              <w:rPr>
                <w:rFonts w:ascii="Arial Narrow" w:hAnsi="Arial Narrow"/>
                <w:sz w:val="20"/>
              </w:rPr>
              <w:t>pegvisomant</w:t>
            </w:r>
            <w:proofErr w:type="spellEnd"/>
            <w:r w:rsidRPr="00931642">
              <w:rPr>
                <w:rFonts w:ascii="Arial Narrow" w:hAnsi="Arial Narrow"/>
                <w:sz w:val="20"/>
              </w:rPr>
              <w:t xml:space="preserve"> with somatostatin </w:t>
            </w:r>
            <w:proofErr w:type="spellStart"/>
            <w:r w:rsidRPr="00931642">
              <w:rPr>
                <w:rFonts w:ascii="Arial Narrow" w:hAnsi="Arial Narrow"/>
                <w:sz w:val="20"/>
              </w:rPr>
              <w:t>analogs</w:t>
            </w:r>
            <w:proofErr w:type="spellEnd"/>
            <w:r w:rsidRPr="00931642">
              <w:rPr>
                <w:rFonts w:ascii="Arial Narrow" w:hAnsi="Arial Narrow"/>
                <w:sz w:val="20"/>
              </w:rPr>
              <w:t xml:space="preserve"> (SSA) on glucose homeostasis in non-diabetic patients with active acromegaly partially resistant to SSA.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i/>
                <w:sz w:val="20"/>
              </w:rPr>
              <w:t>Pituitary</w:t>
            </w:r>
            <w:r w:rsidRPr="00931642">
              <w:rPr>
                <w:rFonts w:ascii="Arial Narrow" w:hAnsi="Arial Narrow"/>
                <w:sz w:val="20"/>
              </w:rPr>
              <w:t xml:space="preserve"> 2007; 10:227–232.</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Filopanti</w:t>
            </w:r>
            <w:proofErr w:type="spellEnd"/>
            <w:r w:rsidRPr="00931642">
              <w:rPr>
                <w:rFonts w:ascii="Arial Narrow" w:hAnsi="Arial Narrow"/>
                <w:sz w:val="20"/>
              </w:rPr>
              <w:t xml:space="preserve"> 2012</w:t>
            </w:r>
          </w:p>
        </w:tc>
        <w:tc>
          <w:tcPr>
            <w:tcW w:w="2747"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Filopanti</w:t>
            </w:r>
            <w:proofErr w:type="spellEnd"/>
            <w:r w:rsidRPr="00931642">
              <w:rPr>
                <w:rFonts w:ascii="Arial Narrow" w:hAnsi="Arial Narrow"/>
                <w:sz w:val="20"/>
              </w:rPr>
              <w:t xml:space="preserve"> M, </w:t>
            </w:r>
            <w:proofErr w:type="spellStart"/>
            <w:r w:rsidRPr="00931642">
              <w:rPr>
                <w:rFonts w:ascii="Arial Narrow" w:hAnsi="Arial Narrow"/>
                <w:sz w:val="20"/>
              </w:rPr>
              <w:t>Olgiati</w:t>
            </w:r>
            <w:proofErr w:type="spellEnd"/>
            <w:r w:rsidRPr="00931642">
              <w:rPr>
                <w:rFonts w:ascii="Arial Narrow" w:hAnsi="Arial Narrow"/>
                <w:sz w:val="20"/>
              </w:rPr>
              <w:t xml:space="preserve"> L, </w:t>
            </w:r>
            <w:proofErr w:type="spellStart"/>
            <w:r w:rsidRPr="00931642">
              <w:rPr>
                <w:rFonts w:ascii="Arial Narrow" w:hAnsi="Arial Narrow"/>
                <w:sz w:val="20"/>
              </w:rPr>
              <w:t>Mantovani</w:t>
            </w:r>
            <w:proofErr w:type="spellEnd"/>
            <w:r w:rsidRPr="00931642">
              <w:rPr>
                <w:rFonts w:ascii="Arial Narrow" w:hAnsi="Arial Narrow"/>
                <w:sz w:val="20"/>
              </w:rPr>
              <w:t xml:space="preserve"> G, </w:t>
            </w:r>
            <w:r w:rsidR="001C5AC9" w:rsidRPr="00931642">
              <w:rPr>
                <w:rFonts w:ascii="Arial Narrow" w:hAnsi="Arial Narrow"/>
                <w:sz w:val="20"/>
              </w:rPr>
              <w:t>et al</w:t>
            </w:r>
            <w:r w:rsidRPr="00931642">
              <w:rPr>
                <w:rFonts w:ascii="Arial Narrow" w:hAnsi="Arial Narrow"/>
                <w:sz w:val="20"/>
              </w:rPr>
              <w:t xml:space="preserve">. Growth hormone receptor variants and response to pegvisomant in monotherapy or in combination with somatostatin </w:t>
            </w:r>
            <w:proofErr w:type="spellStart"/>
            <w:r w:rsidRPr="00931642">
              <w:rPr>
                <w:rFonts w:ascii="Arial Narrow" w:hAnsi="Arial Narrow"/>
                <w:sz w:val="20"/>
              </w:rPr>
              <w:t>analogs</w:t>
            </w:r>
            <w:proofErr w:type="spellEnd"/>
            <w:r w:rsidRPr="00931642">
              <w:rPr>
                <w:rFonts w:ascii="Arial Narrow" w:hAnsi="Arial Narrow"/>
                <w:sz w:val="20"/>
              </w:rPr>
              <w:t xml:space="preserve"> in </w:t>
            </w:r>
            <w:proofErr w:type="spellStart"/>
            <w:r w:rsidRPr="00931642">
              <w:rPr>
                <w:rFonts w:ascii="Arial Narrow" w:hAnsi="Arial Narrow"/>
                <w:sz w:val="20"/>
              </w:rPr>
              <w:t>acromegalic</w:t>
            </w:r>
            <w:proofErr w:type="spellEnd"/>
            <w:r w:rsidRPr="00931642">
              <w:rPr>
                <w:rFonts w:ascii="Arial Narrow" w:hAnsi="Arial Narrow"/>
                <w:sz w:val="20"/>
              </w:rPr>
              <w:t xml:space="preserve"> patients: a multicenter study.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i/>
                <w:sz w:val="20"/>
              </w:rPr>
              <w:t xml:space="preserve">J </w:t>
            </w:r>
            <w:proofErr w:type="spellStart"/>
            <w:r w:rsidRPr="00931642">
              <w:rPr>
                <w:rFonts w:ascii="Arial Narrow" w:hAnsi="Arial Narrow"/>
                <w:i/>
                <w:sz w:val="20"/>
              </w:rPr>
              <w:t>Clin</w:t>
            </w:r>
            <w:proofErr w:type="spellEnd"/>
            <w:r w:rsidRPr="00931642">
              <w:rPr>
                <w:rFonts w:ascii="Arial Narrow" w:hAnsi="Arial Narrow"/>
                <w:i/>
                <w:sz w:val="20"/>
              </w:rPr>
              <w:t xml:space="preserve"> </w:t>
            </w:r>
            <w:proofErr w:type="spellStart"/>
            <w:r w:rsidRPr="00931642">
              <w:rPr>
                <w:rFonts w:ascii="Arial Narrow" w:hAnsi="Arial Narrow"/>
                <w:i/>
                <w:sz w:val="20"/>
              </w:rPr>
              <w:t>Endocrinol</w:t>
            </w:r>
            <w:proofErr w:type="spellEnd"/>
            <w:r w:rsidRPr="00931642">
              <w:rPr>
                <w:rFonts w:ascii="Arial Narrow" w:hAnsi="Arial Narrow"/>
                <w:i/>
                <w:sz w:val="20"/>
              </w:rPr>
              <w:t xml:space="preserve"> </w:t>
            </w:r>
            <w:proofErr w:type="spellStart"/>
            <w:r w:rsidRPr="00931642">
              <w:rPr>
                <w:rFonts w:ascii="Arial Narrow" w:hAnsi="Arial Narrow"/>
                <w:i/>
                <w:sz w:val="20"/>
              </w:rPr>
              <w:t>Metab</w:t>
            </w:r>
            <w:proofErr w:type="spellEnd"/>
            <w:r w:rsidRPr="00931642">
              <w:rPr>
                <w:rFonts w:ascii="Arial Narrow" w:hAnsi="Arial Narrow"/>
                <w:sz w:val="20"/>
              </w:rPr>
              <w:t xml:space="preserve"> 2012; 97:E165–E172.</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Jorgensen 2005</w:t>
            </w:r>
          </w:p>
        </w:tc>
        <w:tc>
          <w:tcPr>
            <w:tcW w:w="2747"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Jørgensen</w:t>
            </w:r>
            <w:proofErr w:type="spellEnd"/>
            <w:r w:rsidRPr="00931642">
              <w:rPr>
                <w:rFonts w:ascii="Arial Narrow" w:hAnsi="Arial Narrow"/>
                <w:sz w:val="20"/>
              </w:rPr>
              <w:t xml:space="preserve"> JO, </w:t>
            </w:r>
            <w:proofErr w:type="spellStart"/>
            <w:r w:rsidRPr="00931642">
              <w:rPr>
                <w:rFonts w:ascii="Arial Narrow" w:hAnsi="Arial Narrow"/>
                <w:sz w:val="20"/>
              </w:rPr>
              <w:t>Feldt</w:t>
            </w:r>
            <w:proofErr w:type="spellEnd"/>
            <w:r w:rsidRPr="00931642">
              <w:rPr>
                <w:rFonts w:ascii="Arial Narrow" w:hAnsi="Arial Narrow"/>
                <w:sz w:val="20"/>
              </w:rPr>
              <w:t xml:space="preserve">-Rasmussen U, </w:t>
            </w:r>
            <w:proofErr w:type="spellStart"/>
            <w:r w:rsidRPr="00931642">
              <w:rPr>
                <w:rFonts w:ascii="Arial Narrow" w:hAnsi="Arial Narrow"/>
                <w:sz w:val="20"/>
              </w:rPr>
              <w:t>Frystyk</w:t>
            </w:r>
            <w:proofErr w:type="spellEnd"/>
            <w:r w:rsidRPr="00931642">
              <w:rPr>
                <w:rFonts w:ascii="Arial Narrow" w:hAnsi="Arial Narrow"/>
                <w:sz w:val="20"/>
              </w:rPr>
              <w:t xml:space="preserve"> J, </w:t>
            </w:r>
            <w:r w:rsidR="001C5AC9" w:rsidRPr="00931642">
              <w:rPr>
                <w:rFonts w:ascii="Arial Narrow" w:hAnsi="Arial Narrow"/>
                <w:sz w:val="20"/>
              </w:rPr>
              <w:t>et al</w:t>
            </w:r>
            <w:r w:rsidRPr="00931642">
              <w:rPr>
                <w:rFonts w:ascii="Arial Narrow" w:hAnsi="Arial Narrow"/>
                <w:sz w:val="20"/>
              </w:rPr>
              <w:t>.</w:t>
            </w:r>
            <w:r w:rsidR="00EB2908" w:rsidRPr="00931642">
              <w:rPr>
                <w:rFonts w:ascii="Arial Narrow" w:hAnsi="Arial Narrow"/>
                <w:sz w:val="20"/>
              </w:rPr>
              <w:t xml:space="preserve"> </w:t>
            </w:r>
            <w:proofErr w:type="spellStart"/>
            <w:r w:rsidRPr="00931642">
              <w:rPr>
                <w:rFonts w:ascii="Arial Narrow" w:hAnsi="Arial Narrow"/>
                <w:sz w:val="20"/>
              </w:rPr>
              <w:t>Cotreatment</w:t>
            </w:r>
            <w:proofErr w:type="spellEnd"/>
            <w:r w:rsidRPr="00931642">
              <w:rPr>
                <w:rFonts w:ascii="Arial Narrow" w:hAnsi="Arial Narrow"/>
                <w:sz w:val="20"/>
              </w:rPr>
              <w:t xml:space="preserve"> of acromegaly with a somatostatin </w:t>
            </w:r>
            <w:proofErr w:type="spellStart"/>
            <w:r w:rsidRPr="00931642">
              <w:rPr>
                <w:rFonts w:ascii="Arial Narrow" w:hAnsi="Arial Narrow"/>
                <w:sz w:val="20"/>
              </w:rPr>
              <w:t>analog</w:t>
            </w:r>
            <w:proofErr w:type="spellEnd"/>
            <w:r w:rsidRPr="00931642">
              <w:rPr>
                <w:rFonts w:ascii="Arial Narrow" w:hAnsi="Arial Narrow"/>
                <w:sz w:val="20"/>
              </w:rPr>
              <w:t xml:space="preserve"> and a growth hormone receptor antagonist.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i/>
                <w:sz w:val="20"/>
              </w:rPr>
              <w:t xml:space="preserve">J </w:t>
            </w:r>
            <w:proofErr w:type="spellStart"/>
            <w:r w:rsidRPr="00931642">
              <w:rPr>
                <w:rFonts w:ascii="Arial Narrow" w:hAnsi="Arial Narrow"/>
                <w:i/>
                <w:sz w:val="20"/>
              </w:rPr>
              <w:t>Clin</w:t>
            </w:r>
            <w:proofErr w:type="spellEnd"/>
            <w:r w:rsidRPr="00931642">
              <w:rPr>
                <w:rFonts w:ascii="Arial Narrow" w:hAnsi="Arial Narrow"/>
                <w:i/>
                <w:sz w:val="20"/>
              </w:rPr>
              <w:t xml:space="preserve"> </w:t>
            </w:r>
            <w:proofErr w:type="spellStart"/>
            <w:r w:rsidRPr="00931642">
              <w:rPr>
                <w:rFonts w:ascii="Arial Narrow" w:hAnsi="Arial Narrow"/>
                <w:i/>
                <w:sz w:val="20"/>
              </w:rPr>
              <w:t>Endocrinol</w:t>
            </w:r>
            <w:proofErr w:type="spellEnd"/>
            <w:r w:rsidRPr="00931642">
              <w:rPr>
                <w:rFonts w:ascii="Arial Narrow" w:hAnsi="Arial Narrow"/>
                <w:i/>
                <w:sz w:val="20"/>
              </w:rPr>
              <w:t xml:space="preserve"> </w:t>
            </w:r>
            <w:proofErr w:type="spellStart"/>
            <w:r w:rsidRPr="00931642">
              <w:rPr>
                <w:rFonts w:ascii="Arial Narrow" w:hAnsi="Arial Narrow"/>
                <w:i/>
                <w:sz w:val="20"/>
              </w:rPr>
              <w:t>Metab</w:t>
            </w:r>
            <w:proofErr w:type="spellEnd"/>
            <w:r w:rsidRPr="00931642">
              <w:rPr>
                <w:rFonts w:ascii="Arial Narrow" w:hAnsi="Arial Narrow"/>
                <w:sz w:val="20"/>
              </w:rPr>
              <w:t xml:space="preserve"> 2005; 90(10):5627–5631.</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Marazuela</w:t>
            </w:r>
            <w:proofErr w:type="spellEnd"/>
            <w:r w:rsidRPr="00931642">
              <w:rPr>
                <w:rFonts w:ascii="Arial Narrow" w:hAnsi="Arial Narrow"/>
                <w:sz w:val="20"/>
              </w:rPr>
              <w:t xml:space="preserve"> 2011</w:t>
            </w:r>
          </w:p>
        </w:tc>
        <w:tc>
          <w:tcPr>
            <w:tcW w:w="2747"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Marazuela</w:t>
            </w:r>
            <w:proofErr w:type="spellEnd"/>
            <w:r w:rsidRPr="00931642">
              <w:rPr>
                <w:rFonts w:ascii="Arial Narrow" w:hAnsi="Arial Narrow"/>
                <w:sz w:val="20"/>
              </w:rPr>
              <w:t xml:space="preserve"> M. </w:t>
            </w:r>
            <w:proofErr w:type="spellStart"/>
            <w:r w:rsidRPr="00931642">
              <w:rPr>
                <w:rFonts w:ascii="Arial Narrow" w:hAnsi="Arial Narrow"/>
                <w:sz w:val="20"/>
              </w:rPr>
              <w:t>Paniagua</w:t>
            </w:r>
            <w:proofErr w:type="spellEnd"/>
            <w:r w:rsidRPr="00931642">
              <w:rPr>
                <w:rFonts w:ascii="Arial Narrow" w:hAnsi="Arial Narrow"/>
                <w:sz w:val="20"/>
              </w:rPr>
              <w:t xml:space="preserve"> AE, </w:t>
            </w:r>
            <w:proofErr w:type="spellStart"/>
            <w:r w:rsidRPr="00931642">
              <w:rPr>
                <w:rFonts w:ascii="Arial Narrow" w:hAnsi="Arial Narrow"/>
                <w:sz w:val="20"/>
              </w:rPr>
              <w:t>Gahete</w:t>
            </w:r>
            <w:proofErr w:type="spellEnd"/>
            <w:r w:rsidRPr="00931642">
              <w:rPr>
                <w:rFonts w:ascii="Arial Narrow" w:hAnsi="Arial Narrow"/>
                <w:sz w:val="20"/>
              </w:rPr>
              <w:t xml:space="preserve"> MD</w:t>
            </w:r>
            <w:r w:rsidR="001C5AC9" w:rsidRPr="00931642">
              <w:rPr>
                <w:rFonts w:ascii="Arial Narrow" w:hAnsi="Arial Narrow"/>
                <w:sz w:val="20"/>
              </w:rPr>
              <w:t xml:space="preserve"> et al</w:t>
            </w:r>
            <w:r w:rsidRPr="00931642">
              <w:rPr>
                <w:rFonts w:ascii="Arial Narrow" w:hAnsi="Arial Narrow"/>
                <w:sz w:val="20"/>
              </w:rPr>
              <w:t xml:space="preserve">. </w:t>
            </w:r>
            <w:proofErr w:type="spellStart"/>
            <w:r w:rsidRPr="00931642">
              <w:rPr>
                <w:rFonts w:ascii="Arial Narrow" w:hAnsi="Arial Narrow"/>
                <w:sz w:val="20"/>
              </w:rPr>
              <w:t>Somatotroph</w:t>
            </w:r>
            <w:proofErr w:type="spellEnd"/>
            <w:r w:rsidRPr="00931642">
              <w:rPr>
                <w:rFonts w:ascii="Arial Narrow" w:hAnsi="Arial Narrow"/>
                <w:sz w:val="20"/>
              </w:rPr>
              <w:t xml:space="preserve"> </w:t>
            </w:r>
            <w:proofErr w:type="spellStart"/>
            <w:r w:rsidRPr="00931642">
              <w:rPr>
                <w:rFonts w:ascii="Arial Narrow" w:hAnsi="Arial Narrow"/>
                <w:sz w:val="20"/>
              </w:rPr>
              <w:t>tumor</w:t>
            </w:r>
            <w:proofErr w:type="spellEnd"/>
            <w:r w:rsidRPr="00931642">
              <w:rPr>
                <w:rFonts w:ascii="Arial Narrow" w:hAnsi="Arial Narrow"/>
                <w:sz w:val="20"/>
              </w:rPr>
              <w:t xml:space="preserve"> progression during pegvisomant therapy: a clinical and molecular study.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i/>
                <w:sz w:val="20"/>
              </w:rPr>
              <w:t xml:space="preserve">J </w:t>
            </w:r>
            <w:proofErr w:type="spellStart"/>
            <w:r w:rsidRPr="00931642">
              <w:rPr>
                <w:rFonts w:ascii="Arial Narrow" w:hAnsi="Arial Narrow"/>
                <w:i/>
                <w:sz w:val="20"/>
              </w:rPr>
              <w:t>Clin</w:t>
            </w:r>
            <w:proofErr w:type="spellEnd"/>
            <w:r w:rsidRPr="00931642">
              <w:rPr>
                <w:rFonts w:ascii="Arial Narrow" w:hAnsi="Arial Narrow"/>
                <w:i/>
                <w:sz w:val="20"/>
              </w:rPr>
              <w:t xml:space="preserve"> </w:t>
            </w:r>
            <w:proofErr w:type="spellStart"/>
            <w:r w:rsidRPr="00931642">
              <w:rPr>
                <w:rFonts w:ascii="Arial Narrow" w:hAnsi="Arial Narrow"/>
                <w:i/>
                <w:sz w:val="20"/>
              </w:rPr>
              <w:t>Endocrinol</w:t>
            </w:r>
            <w:proofErr w:type="spellEnd"/>
            <w:r w:rsidRPr="00931642">
              <w:rPr>
                <w:rFonts w:ascii="Arial Narrow" w:hAnsi="Arial Narrow"/>
                <w:i/>
                <w:sz w:val="20"/>
              </w:rPr>
              <w:t xml:space="preserve"> </w:t>
            </w:r>
            <w:proofErr w:type="spellStart"/>
            <w:r w:rsidRPr="00931642">
              <w:rPr>
                <w:rFonts w:ascii="Arial Narrow" w:hAnsi="Arial Narrow"/>
                <w:i/>
                <w:sz w:val="20"/>
              </w:rPr>
              <w:t>Metab</w:t>
            </w:r>
            <w:proofErr w:type="spellEnd"/>
            <w:r w:rsidRPr="00931642">
              <w:rPr>
                <w:rFonts w:ascii="Arial Narrow" w:hAnsi="Arial Narrow"/>
                <w:sz w:val="20"/>
              </w:rPr>
              <w:t xml:space="preserve"> 2011; 96:E251–E259.</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Ramos-Levi 2016</w:t>
            </w:r>
          </w:p>
        </w:tc>
        <w:tc>
          <w:tcPr>
            <w:tcW w:w="2747"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Ramos-Levi A, </w:t>
            </w:r>
            <w:proofErr w:type="spellStart"/>
            <w:r w:rsidRPr="00931642">
              <w:rPr>
                <w:rFonts w:ascii="Arial Narrow" w:hAnsi="Arial Narrow"/>
                <w:sz w:val="20"/>
              </w:rPr>
              <w:t>Bernabeu</w:t>
            </w:r>
            <w:proofErr w:type="spellEnd"/>
            <w:r w:rsidRPr="00931642">
              <w:rPr>
                <w:rFonts w:ascii="Arial Narrow" w:hAnsi="Arial Narrow"/>
                <w:sz w:val="20"/>
              </w:rPr>
              <w:t xml:space="preserve"> I, </w:t>
            </w:r>
            <w:proofErr w:type="spellStart"/>
            <w:r w:rsidRPr="00931642">
              <w:rPr>
                <w:rFonts w:ascii="Arial Narrow" w:hAnsi="Arial Narrow"/>
                <w:sz w:val="20"/>
              </w:rPr>
              <w:t>Álvarez-Escolá</w:t>
            </w:r>
            <w:proofErr w:type="spellEnd"/>
            <w:r w:rsidRPr="00931642">
              <w:rPr>
                <w:rFonts w:ascii="Arial Narrow" w:hAnsi="Arial Narrow"/>
                <w:sz w:val="20"/>
              </w:rPr>
              <w:t xml:space="preserve"> C, </w:t>
            </w:r>
            <w:r w:rsidR="001C5AC9" w:rsidRPr="00931642">
              <w:rPr>
                <w:rFonts w:ascii="Arial Narrow" w:hAnsi="Arial Narrow"/>
                <w:sz w:val="20"/>
              </w:rPr>
              <w:t>et al</w:t>
            </w:r>
            <w:r w:rsidRPr="00931642">
              <w:rPr>
                <w:rFonts w:ascii="Arial Narrow" w:hAnsi="Arial Narrow"/>
                <w:sz w:val="20"/>
              </w:rPr>
              <w:t xml:space="preserve">. Long-term treatment with pegvisomant for acromegaly: a 10-year experience.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i/>
                <w:sz w:val="20"/>
              </w:rPr>
              <w:t>Clinical Endocrinology</w:t>
            </w:r>
            <w:r w:rsidRPr="00931642">
              <w:rPr>
                <w:rFonts w:ascii="Arial Narrow" w:hAnsi="Arial Narrow"/>
                <w:sz w:val="20"/>
              </w:rPr>
              <w:t xml:space="preserve"> 2016; 84(4):540.</w:t>
            </w:r>
          </w:p>
        </w:tc>
      </w:tr>
      <w:tr w:rsidR="00906FD4" w:rsidRPr="00931642" w:rsidTr="000E5EAA">
        <w:trPr>
          <w:cantSplit/>
        </w:trPr>
        <w:tc>
          <w:tcPr>
            <w:tcW w:w="651" w:type="pct"/>
            <w:tcBorders>
              <w:bottom w:val="single" w:sz="4" w:space="0" w:color="auto"/>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Schreiber 2007</w:t>
            </w:r>
          </w:p>
        </w:tc>
        <w:tc>
          <w:tcPr>
            <w:tcW w:w="2747" w:type="pct"/>
            <w:tcBorders>
              <w:bottom w:val="single" w:sz="4" w:space="0" w:color="auto"/>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Schreiber I, </w:t>
            </w:r>
            <w:proofErr w:type="spellStart"/>
            <w:r w:rsidRPr="00931642">
              <w:rPr>
                <w:rFonts w:ascii="Arial Narrow" w:hAnsi="Arial Narrow"/>
                <w:sz w:val="20"/>
              </w:rPr>
              <w:t>Buchfelder</w:t>
            </w:r>
            <w:proofErr w:type="spellEnd"/>
            <w:r w:rsidRPr="00931642">
              <w:rPr>
                <w:rFonts w:ascii="Arial Narrow" w:hAnsi="Arial Narrow"/>
                <w:sz w:val="20"/>
              </w:rPr>
              <w:t xml:space="preserve"> M, </w:t>
            </w:r>
            <w:proofErr w:type="spellStart"/>
            <w:r w:rsidRPr="00931642">
              <w:rPr>
                <w:rFonts w:ascii="Arial Narrow" w:hAnsi="Arial Narrow"/>
                <w:sz w:val="20"/>
              </w:rPr>
              <w:t>Droste</w:t>
            </w:r>
            <w:proofErr w:type="spellEnd"/>
            <w:r w:rsidRPr="00931642">
              <w:rPr>
                <w:rFonts w:ascii="Arial Narrow" w:hAnsi="Arial Narrow"/>
                <w:sz w:val="20"/>
              </w:rPr>
              <w:t xml:space="preserve"> M, </w:t>
            </w:r>
            <w:r w:rsidR="001C5AC9" w:rsidRPr="00931642">
              <w:rPr>
                <w:rFonts w:ascii="Arial Narrow" w:hAnsi="Arial Narrow"/>
                <w:sz w:val="20"/>
              </w:rPr>
              <w:t>et al</w:t>
            </w:r>
            <w:r w:rsidRPr="00931642">
              <w:rPr>
                <w:rFonts w:ascii="Arial Narrow" w:hAnsi="Arial Narrow"/>
                <w:sz w:val="20"/>
              </w:rPr>
              <w:t xml:space="preserve">. Treatment of acromegaly with the GH receptor antagonist pegvisomant in clinical practice: Safety and efficacy evaluation from the German pegvisomant observational study. </w:t>
            </w:r>
          </w:p>
        </w:tc>
        <w:tc>
          <w:tcPr>
            <w:tcW w:w="1602" w:type="pct"/>
            <w:tcBorders>
              <w:bottom w:val="single" w:sz="4" w:space="0" w:color="auto"/>
            </w:tcBorders>
          </w:tcPr>
          <w:p w:rsidR="00906FD4" w:rsidRPr="00931642" w:rsidRDefault="00906FD4" w:rsidP="006504C4">
            <w:pPr>
              <w:widowControl/>
              <w:jc w:val="left"/>
              <w:rPr>
                <w:rFonts w:ascii="Arial Narrow" w:hAnsi="Arial Narrow"/>
                <w:sz w:val="20"/>
              </w:rPr>
            </w:pPr>
            <w:r w:rsidRPr="00931642">
              <w:rPr>
                <w:rFonts w:ascii="Arial Narrow" w:hAnsi="Arial Narrow"/>
                <w:i/>
                <w:sz w:val="20"/>
              </w:rPr>
              <w:t>European Journal of Endocrinology</w:t>
            </w:r>
            <w:r w:rsidRPr="00931642">
              <w:rPr>
                <w:rFonts w:ascii="Arial Narrow" w:hAnsi="Arial Narrow"/>
                <w:sz w:val="20"/>
              </w:rPr>
              <w:t xml:space="preserve"> 2007; 156:75–82.</w:t>
            </w:r>
          </w:p>
        </w:tc>
      </w:tr>
      <w:tr w:rsidR="00906FD4" w:rsidRPr="00931642" w:rsidTr="000E5EAA">
        <w:trPr>
          <w:cantSplit/>
        </w:trPr>
        <w:tc>
          <w:tcPr>
            <w:tcW w:w="651" w:type="pct"/>
            <w:tcBorders>
              <w:bottom w:val="nil"/>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ACROSTUDY / Trial 1010</w:t>
            </w:r>
          </w:p>
        </w:tc>
        <w:tc>
          <w:tcPr>
            <w:tcW w:w="2747" w:type="pct"/>
            <w:tcBorders>
              <w:bottom w:val="nil"/>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Protocol: A6291010. ACROSTUDY – A multicenter, post marketing surveillance study of Somavert therapy in patients with acromegaly. </w:t>
            </w:r>
          </w:p>
          <w:p w:rsidR="00906FD4" w:rsidRPr="00931642" w:rsidRDefault="00906FD4" w:rsidP="006504C4">
            <w:pPr>
              <w:widowControl/>
              <w:jc w:val="left"/>
              <w:rPr>
                <w:rFonts w:ascii="Arial Narrow" w:hAnsi="Arial Narrow"/>
                <w:sz w:val="20"/>
              </w:rPr>
            </w:pPr>
          </w:p>
        </w:tc>
        <w:tc>
          <w:tcPr>
            <w:tcW w:w="1602" w:type="pct"/>
            <w:tcBorders>
              <w:bottom w:val="nil"/>
            </w:tcBorders>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Clinical Study Report, 25 January 2011. </w:t>
            </w:r>
          </w:p>
        </w:tc>
      </w:tr>
      <w:tr w:rsidR="000E5EAA" w:rsidRPr="00931642" w:rsidTr="000E5EAA">
        <w:trPr>
          <w:cantSplit/>
        </w:trPr>
        <w:tc>
          <w:tcPr>
            <w:tcW w:w="651" w:type="pct"/>
            <w:tcBorders>
              <w:top w:val="nil"/>
            </w:tcBorders>
          </w:tcPr>
          <w:p w:rsidR="000E5EAA" w:rsidRPr="00931642" w:rsidRDefault="000E5EAA" w:rsidP="006504C4">
            <w:pPr>
              <w:widowControl/>
              <w:jc w:val="left"/>
              <w:rPr>
                <w:rFonts w:ascii="Arial Narrow" w:hAnsi="Arial Narrow"/>
                <w:sz w:val="20"/>
              </w:rPr>
            </w:pPr>
          </w:p>
        </w:tc>
        <w:tc>
          <w:tcPr>
            <w:tcW w:w="2747" w:type="pct"/>
            <w:tcBorders>
              <w:top w:val="nil"/>
            </w:tcBorders>
          </w:tcPr>
          <w:p w:rsidR="000E5EAA" w:rsidRPr="00931642" w:rsidRDefault="000E5EAA" w:rsidP="006504C4">
            <w:pPr>
              <w:widowControl/>
              <w:jc w:val="left"/>
              <w:rPr>
                <w:rFonts w:ascii="Arial Narrow" w:hAnsi="Arial Narrow"/>
                <w:sz w:val="20"/>
              </w:rPr>
            </w:pPr>
            <w:r w:rsidRPr="00931642">
              <w:rPr>
                <w:rFonts w:ascii="Arial Narrow" w:hAnsi="Arial Narrow"/>
                <w:sz w:val="20"/>
              </w:rPr>
              <w:t>van der Lely AJ, Biller BMK, Brue T, et al. Long-term safety of pegvisomant in patients with acromegaly: comprehensive review of 1288 subjects in ACROSTUDY.</w:t>
            </w:r>
          </w:p>
        </w:tc>
        <w:tc>
          <w:tcPr>
            <w:tcW w:w="1602" w:type="pct"/>
            <w:tcBorders>
              <w:top w:val="nil"/>
            </w:tcBorders>
          </w:tcPr>
          <w:p w:rsidR="000E5EAA" w:rsidRPr="00931642" w:rsidRDefault="000E5EAA" w:rsidP="006504C4">
            <w:pPr>
              <w:widowControl/>
              <w:jc w:val="left"/>
              <w:rPr>
                <w:rFonts w:ascii="Arial Narrow" w:hAnsi="Arial Narrow"/>
                <w:sz w:val="20"/>
              </w:rPr>
            </w:pPr>
            <w:r w:rsidRPr="00931642">
              <w:rPr>
                <w:rFonts w:ascii="Arial Narrow" w:hAnsi="Arial Narrow"/>
                <w:i/>
                <w:sz w:val="20"/>
              </w:rPr>
              <w:t xml:space="preserve">J </w:t>
            </w:r>
            <w:proofErr w:type="spellStart"/>
            <w:r w:rsidRPr="00931642">
              <w:rPr>
                <w:rFonts w:ascii="Arial Narrow" w:hAnsi="Arial Narrow"/>
                <w:i/>
                <w:sz w:val="20"/>
              </w:rPr>
              <w:t>Clin</w:t>
            </w:r>
            <w:proofErr w:type="spellEnd"/>
            <w:r w:rsidRPr="00931642">
              <w:rPr>
                <w:rFonts w:ascii="Arial Narrow" w:hAnsi="Arial Narrow"/>
                <w:i/>
                <w:sz w:val="20"/>
              </w:rPr>
              <w:t xml:space="preserve"> </w:t>
            </w:r>
            <w:proofErr w:type="spellStart"/>
            <w:r w:rsidRPr="00931642">
              <w:rPr>
                <w:rFonts w:ascii="Arial Narrow" w:hAnsi="Arial Narrow"/>
                <w:i/>
                <w:sz w:val="20"/>
              </w:rPr>
              <w:t>Endocrinol</w:t>
            </w:r>
            <w:proofErr w:type="spellEnd"/>
            <w:r w:rsidRPr="00931642">
              <w:rPr>
                <w:rFonts w:ascii="Arial Narrow" w:hAnsi="Arial Narrow"/>
                <w:i/>
                <w:sz w:val="20"/>
              </w:rPr>
              <w:t xml:space="preserve"> </w:t>
            </w:r>
            <w:proofErr w:type="spellStart"/>
            <w:r w:rsidRPr="00931642">
              <w:rPr>
                <w:rFonts w:ascii="Arial Narrow" w:hAnsi="Arial Narrow"/>
                <w:i/>
                <w:sz w:val="20"/>
              </w:rPr>
              <w:t>Metab</w:t>
            </w:r>
            <w:proofErr w:type="spellEnd"/>
            <w:r w:rsidRPr="00931642">
              <w:rPr>
                <w:rFonts w:ascii="Arial Narrow" w:hAnsi="Arial Narrow"/>
                <w:i/>
                <w:sz w:val="20"/>
              </w:rPr>
              <w:t xml:space="preserve"> </w:t>
            </w:r>
            <w:r w:rsidRPr="00931642">
              <w:rPr>
                <w:rFonts w:ascii="Arial Narrow" w:hAnsi="Arial Narrow"/>
                <w:sz w:val="20"/>
              </w:rPr>
              <w:t>2012, 97(5):1589–1597.</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Bernabeu</w:t>
            </w:r>
            <w:proofErr w:type="spellEnd"/>
            <w:r w:rsidRPr="00931642">
              <w:rPr>
                <w:rFonts w:ascii="Arial Narrow" w:hAnsi="Arial Narrow"/>
                <w:sz w:val="20"/>
              </w:rPr>
              <w:t xml:space="preserve"> 2016</w:t>
            </w:r>
          </w:p>
        </w:tc>
        <w:tc>
          <w:tcPr>
            <w:tcW w:w="2747"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Bernabeu</w:t>
            </w:r>
            <w:proofErr w:type="spellEnd"/>
            <w:r w:rsidRPr="00931642">
              <w:rPr>
                <w:rFonts w:ascii="Arial Narrow" w:hAnsi="Arial Narrow"/>
                <w:sz w:val="20"/>
              </w:rPr>
              <w:t xml:space="preserve"> I, Pico A, Venegas E, </w:t>
            </w:r>
            <w:r w:rsidR="001C5AC9" w:rsidRPr="00931642">
              <w:rPr>
                <w:rFonts w:ascii="Arial Narrow" w:hAnsi="Arial Narrow"/>
                <w:sz w:val="20"/>
              </w:rPr>
              <w:t>et al</w:t>
            </w:r>
            <w:r w:rsidRPr="00931642">
              <w:rPr>
                <w:rFonts w:ascii="Arial Narrow" w:hAnsi="Arial Narrow"/>
                <w:sz w:val="20"/>
              </w:rPr>
              <w:t>,</w:t>
            </w:r>
            <w:r w:rsidR="00EB2908" w:rsidRPr="00931642">
              <w:rPr>
                <w:rFonts w:ascii="Arial Narrow" w:hAnsi="Arial Narrow"/>
                <w:sz w:val="20"/>
              </w:rPr>
              <w:t xml:space="preserve"> </w:t>
            </w:r>
            <w:r w:rsidRPr="00931642">
              <w:rPr>
                <w:rFonts w:ascii="Arial Narrow" w:hAnsi="Arial Narrow"/>
                <w:sz w:val="20"/>
              </w:rPr>
              <w:t>Spanish ACROSTUDY Group.</w:t>
            </w:r>
            <w:r w:rsidR="00EB2908" w:rsidRPr="00931642">
              <w:rPr>
                <w:rFonts w:ascii="Arial Narrow" w:hAnsi="Arial Narrow"/>
                <w:sz w:val="20"/>
              </w:rPr>
              <w:t xml:space="preserve"> </w:t>
            </w:r>
            <w:r w:rsidRPr="00931642">
              <w:rPr>
                <w:rFonts w:ascii="Arial Narrow" w:hAnsi="Arial Narrow"/>
                <w:sz w:val="20"/>
              </w:rPr>
              <w:t xml:space="preserve">Safety of long-term treatment with pegvisomant: analysis of Spanish patients included in global ACROSTUDY.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i/>
                <w:sz w:val="20"/>
              </w:rPr>
              <w:t>Pituitary</w:t>
            </w:r>
            <w:r w:rsidRPr="00931642">
              <w:rPr>
                <w:rFonts w:ascii="Arial Narrow" w:hAnsi="Arial Narrow"/>
                <w:sz w:val="20"/>
              </w:rPr>
              <w:t xml:space="preserve"> 2016; 19(2):127-37.</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Brue 2009</w:t>
            </w:r>
          </w:p>
        </w:tc>
        <w:tc>
          <w:tcPr>
            <w:tcW w:w="2747"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Brue T. ACROSTUDY: Status update on 469 patients.</w:t>
            </w:r>
            <w:r w:rsidR="00EB2908" w:rsidRPr="00931642">
              <w:rPr>
                <w:rFonts w:ascii="Arial Narrow" w:hAnsi="Arial Narrow"/>
                <w:sz w:val="20"/>
              </w:rPr>
              <w:t xml:space="preserve">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i/>
                <w:sz w:val="20"/>
              </w:rPr>
              <w:t>Hormone Research</w:t>
            </w:r>
            <w:r w:rsidRPr="00931642">
              <w:rPr>
                <w:rFonts w:ascii="Arial Narrow" w:hAnsi="Arial Narrow"/>
                <w:sz w:val="20"/>
              </w:rPr>
              <w:t xml:space="preserve"> 2009; (Suppl 1):34-38).</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Buchfelder</w:t>
            </w:r>
            <w:proofErr w:type="spellEnd"/>
            <w:r w:rsidRPr="00931642">
              <w:rPr>
                <w:rFonts w:ascii="Arial Narrow" w:hAnsi="Arial Narrow"/>
                <w:sz w:val="20"/>
              </w:rPr>
              <w:t xml:space="preserve"> 2009 </w:t>
            </w:r>
          </w:p>
        </w:tc>
        <w:tc>
          <w:tcPr>
            <w:tcW w:w="2747"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Buchfelder</w:t>
            </w:r>
            <w:proofErr w:type="spellEnd"/>
            <w:r w:rsidRPr="00931642">
              <w:rPr>
                <w:rFonts w:ascii="Arial Narrow" w:hAnsi="Arial Narrow"/>
                <w:sz w:val="20"/>
              </w:rPr>
              <w:t xml:space="preserve"> M, </w:t>
            </w:r>
            <w:proofErr w:type="spellStart"/>
            <w:r w:rsidRPr="00931642">
              <w:rPr>
                <w:rFonts w:ascii="Arial Narrow" w:hAnsi="Arial Narrow"/>
                <w:sz w:val="20"/>
              </w:rPr>
              <w:t>Schlaffer</w:t>
            </w:r>
            <w:proofErr w:type="spellEnd"/>
            <w:r w:rsidRPr="00931642">
              <w:rPr>
                <w:rFonts w:ascii="Arial Narrow" w:hAnsi="Arial Narrow"/>
                <w:sz w:val="20"/>
              </w:rPr>
              <w:t xml:space="preserve"> S, </w:t>
            </w:r>
            <w:proofErr w:type="spellStart"/>
            <w:r w:rsidRPr="00931642">
              <w:rPr>
                <w:rFonts w:ascii="Arial Narrow" w:hAnsi="Arial Narrow"/>
                <w:sz w:val="20"/>
              </w:rPr>
              <w:t>Droste</w:t>
            </w:r>
            <w:proofErr w:type="spellEnd"/>
            <w:r w:rsidRPr="00931642">
              <w:rPr>
                <w:rFonts w:ascii="Arial Narrow" w:hAnsi="Arial Narrow"/>
                <w:sz w:val="20"/>
              </w:rPr>
              <w:t xml:space="preserve"> M, </w:t>
            </w:r>
            <w:r w:rsidR="001C5AC9" w:rsidRPr="00931642">
              <w:rPr>
                <w:rFonts w:ascii="Arial Narrow" w:hAnsi="Arial Narrow"/>
                <w:sz w:val="20"/>
              </w:rPr>
              <w:t>et al.,</w:t>
            </w:r>
            <w:r w:rsidRPr="00931642">
              <w:rPr>
                <w:rFonts w:ascii="Arial Narrow" w:hAnsi="Arial Narrow"/>
                <w:sz w:val="20"/>
              </w:rPr>
              <w:t xml:space="preserve"> on behalf of the investigators of the German Pegvisomant Observational Study. The German ACROSTUDY: past and present.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i/>
                <w:sz w:val="20"/>
              </w:rPr>
              <w:t>European Journal of Endocrinology</w:t>
            </w:r>
            <w:r w:rsidRPr="00931642">
              <w:rPr>
                <w:rFonts w:ascii="Arial Narrow" w:hAnsi="Arial Narrow"/>
                <w:sz w:val="20"/>
              </w:rPr>
              <w:t xml:space="preserve"> 2009; 161:S3–S10.</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Chanson 2015</w:t>
            </w:r>
          </w:p>
        </w:tc>
        <w:tc>
          <w:tcPr>
            <w:tcW w:w="2747"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Chanson P, Brue T, </w:t>
            </w:r>
            <w:proofErr w:type="spellStart"/>
            <w:r w:rsidRPr="00931642">
              <w:rPr>
                <w:rFonts w:ascii="Arial Narrow" w:hAnsi="Arial Narrow"/>
                <w:sz w:val="20"/>
              </w:rPr>
              <w:t>Delemer</w:t>
            </w:r>
            <w:proofErr w:type="spellEnd"/>
            <w:r w:rsidRPr="00931642">
              <w:rPr>
                <w:rFonts w:ascii="Arial Narrow" w:hAnsi="Arial Narrow"/>
                <w:sz w:val="20"/>
              </w:rPr>
              <w:t xml:space="preserve"> B, </w:t>
            </w:r>
            <w:r w:rsidR="001C5AC9" w:rsidRPr="00931642">
              <w:rPr>
                <w:rFonts w:ascii="Arial Narrow" w:hAnsi="Arial Narrow"/>
                <w:sz w:val="20"/>
              </w:rPr>
              <w:t>et al.</w:t>
            </w:r>
            <w:r w:rsidRPr="00931642">
              <w:rPr>
                <w:rFonts w:ascii="Arial Narrow" w:hAnsi="Arial Narrow"/>
                <w:sz w:val="20"/>
              </w:rPr>
              <w:t xml:space="preserve">, for the </w:t>
            </w:r>
            <w:proofErr w:type="spellStart"/>
            <w:r w:rsidRPr="00931642">
              <w:rPr>
                <w:rFonts w:ascii="Arial Narrow" w:hAnsi="Arial Narrow"/>
                <w:sz w:val="20"/>
              </w:rPr>
              <w:t>Médecins</w:t>
            </w:r>
            <w:proofErr w:type="spellEnd"/>
            <w:r w:rsidRPr="00931642">
              <w:rPr>
                <w:rFonts w:ascii="Arial Narrow" w:hAnsi="Arial Narrow"/>
                <w:sz w:val="20"/>
              </w:rPr>
              <w:t xml:space="preserve"> de </w:t>
            </w:r>
            <w:proofErr w:type="spellStart"/>
            <w:r w:rsidRPr="00931642">
              <w:rPr>
                <w:rFonts w:ascii="Arial Narrow" w:hAnsi="Arial Narrow"/>
                <w:sz w:val="20"/>
              </w:rPr>
              <w:t>l’Étude</w:t>
            </w:r>
            <w:proofErr w:type="spellEnd"/>
            <w:r w:rsidRPr="00931642">
              <w:rPr>
                <w:rFonts w:ascii="Arial Narrow" w:hAnsi="Arial Narrow"/>
                <w:sz w:val="20"/>
              </w:rPr>
              <w:t xml:space="preserve"> ACROSTUDY Pegvisomant treatment in patients with acromegaly in clinical practice: the French ACROSTUDY. </w:t>
            </w:r>
          </w:p>
        </w:tc>
        <w:tc>
          <w:tcPr>
            <w:tcW w:w="1602"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i/>
                <w:sz w:val="20"/>
              </w:rPr>
              <w:t>Annales</w:t>
            </w:r>
            <w:proofErr w:type="spellEnd"/>
            <w:r w:rsidRPr="00931642">
              <w:rPr>
                <w:rFonts w:ascii="Arial Narrow" w:hAnsi="Arial Narrow"/>
                <w:i/>
                <w:sz w:val="20"/>
              </w:rPr>
              <w:t xml:space="preserve"> of Endocrinology</w:t>
            </w:r>
            <w:r w:rsidRPr="00931642">
              <w:rPr>
                <w:rFonts w:ascii="Arial Narrow" w:hAnsi="Arial Narrow"/>
                <w:sz w:val="20"/>
              </w:rPr>
              <w:t xml:space="preserve"> 2015; 76:664–670.</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Freda 2015</w:t>
            </w:r>
          </w:p>
        </w:tc>
        <w:tc>
          <w:tcPr>
            <w:tcW w:w="2747"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Freda PU, Gordon MB, </w:t>
            </w:r>
            <w:proofErr w:type="spellStart"/>
            <w:r w:rsidRPr="00931642">
              <w:rPr>
                <w:rFonts w:ascii="Arial Narrow" w:hAnsi="Arial Narrow"/>
                <w:sz w:val="20"/>
              </w:rPr>
              <w:t>Kelepouris</w:t>
            </w:r>
            <w:proofErr w:type="spellEnd"/>
            <w:r w:rsidRPr="00931642">
              <w:rPr>
                <w:rFonts w:ascii="Arial Narrow" w:hAnsi="Arial Narrow"/>
                <w:sz w:val="20"/>
              </w:rPr>
              <w:t xml:space="preserve"> N, </w:t>
            </w:r>
            <w:r w:rsidR="001C5AC9" w:rsidRPr="00931642">
              <w:rPr>
                <w:rFonts w:ascii="Arial Narrow" w:hAnsi="Arial Narrow"/>
                <w:sz w:val="20"/>
              </w:rPr>
              <w:t>et al</w:t>
            </w:r>
            <w:r w:rsidRPr="00931642">
              <w:rPr>
                <w:rFonts w:ascii="Arial Narrow" w:hAnsi="Arial Narrow"/>
                <w:sz w:val="20"/>
              </w:rPr>
              <w:t xml:space="preserve">. Long-term treatment with pegvisomant: as monotherapy in patients with acromegaly: experience from ACROSTUDY.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i/>
                <w:sz w:val="20"/>
              </w:rPr>
              <w:t>Endocrine Practice</w:t>
            </w:r>
            <w:r w:rsidRPr="00931642">
              <w:rPr>
                <w:rFonts w:ascii="Arial Narrow" w:hAnsi="Arial Narrow"/>
                <w:sz w:val="20"/>
              </w:rPr>
              <w:t xml:space="preserve"> 2015; 21(3):264-274.</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Grottoli</w:t>
            </w:r>
            <w:proofErr w:type="spellEnd"/>
            <w:r w:rsidRPr="00931642">
              <w:rPr>
                <w:rFonts w:ascii="Arial Narrow" w:hAnsi="Arial Narrow"/>
                <w:sz w:val="20"/>
              </w:rPr>
              <w:t xml:space="preserve"> 2015</w:t>
            </w:r>
          </w:p>
        </w:tc>
        <w:tc>
          <w:tcPr>
            <w:tcW w:w="2747" w:type="pct"/>
          </w:tcPr>
          <w:p w:rsidR="00906FD4" w:rsidRPr="00931642" w:rsidRDefault="00906FD4" w:rsidP="006504C4">
            <w:pPr>
              <w:widowControl/>
              <w:jc w:val="left"/>
              <w:rPr>
                <w:rFonts w:ascii="Arial Narrow" w:hAnsi="Arial Narrow"/>
                <w:sz w:val="20"/>
              </w:rPr>
            </w:pPr>
            <w:proofErr w:type="spellStart"/>
            <w:r w:rsidRPr="00931642">
              <w:rPr>
                <w:rFonts w:ascii="Arial Narrow" w:hAnsi="Arial Narrow"/>
                <w:sz w:val="20"/>
              </w:rPr>
              <w:t>Grottoli</w:t>
            </w:r>
            <w:proofErr w:type="spellEnd"/>
            <w:r w:rsidRPr="00931642">
              <w:rPr>
                <w:rFonts w:ascii="Arial Narrow" w:hAnsi="Arial Narrow"/>
                <w:sz w:val="20"/>
              </w:rPr>
              <w:t xml:space="preserve"> S, </w:t>
            </w:r>
            <w:proofErr w:type="spellStart"/>
            <w:r w:rsidRPr="00931642">
              <w:rPr>
                <w:rFonts w:ascii="Arial Narrow" w:hAnsi="Arial Narrow"/>
                <w:sz w:val="20"/>
              </w:rPr>
              <w:t>Maffei</w:t>
            </w:r>
            <w:proofErr w:type="spellEnd"/>
            <w:r w:rsidRPr="00931642">
              <w:rPr>
                <w:rFonts w:ascii="Arial Narrow" w:hAnsi="Arial Narrow"/>
                <w:sz w:val="20"/>
              </w:rPr>
              <w:t xml:space="preserve"> P, </w:t>
            </w:r>
            <w:proofErr w:type="spellStart"/>
            <w:r w:rsidRPr="00931642">
              <w:rPr>
                <w:rFonts w:ascii="Arial Narrow" w:hAnsi="Arial Narrow"/>
                <w:sz w:val="20"/>
              </w:rPr>
              <w:t>Bogazzi</w:t>
            </w:r>
            <w:proofErr w:type="spellEnd"/>
            <w:r w:rsidRPr="00931642">
              <w:rPr>
                <w:rFonts w:ascii="Arial Narrow" w:hAnsi="Arial Narrow"/>
                <w:sz w:val="20"/>
              </w:rPr>
              <w:t xml:space="preserve"> F, </w:t>
            </w:r>
            <w:r w:rsidR="001C5AC9" w:rsidRPr="00931642">
              <w:rPr>
                <w:rFonts w:ascii="Arial Narrow" w:hAnsi="Arial Narrow"/>
                <w:sz w:val="20"/>
              </w:rPr>
              <w:t>et al</w:t>
            </w:r>
            <w:r w:rsidRPr="00931642">
              <w:rPr>
                <w:rFonts w:ascii="Arial Narrow" w:hAnsi="Arial Narrow"/>
                <w:sz w:val="20"/>
              </w:rPr>
              <w:t xml:space="preserve">. ACROSTUDY: the Italian experience.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i/>
                <w:sz w:val="20"/>
              </w:rPr>
              <w:t>Endocrine</w:t>
            </w:r>
            <w:r w:rsidRPr="00931642">
              <w:rPr>
                <w:rFonts w:ascii="Arial Narrow" w:hAnsi="Arial Narrow"/>
                <w:sz w:val="20"/>
              </w:rPr>
              <w:t xml:space="preserve"> 2015; 48:334-341.</w:t>
            </w:r>
          </w:p>
        </w:tc>
      </w:tr>
      <w:tr w:rsidR="00906FD4" w:rsidRPr="00931642" w:rsidTr="00E80D98">
        <w:trPr>
          <w:cantSplit/>
        </w:trPr>
        <w:tc>
          <w:tcPr>
            <w:tcW w:w="651"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lastRenderedPageBreak/>
              <w:t>Trainer 2009b</w:t>
            </w:r>
          </w:p>
        </w:tc>
        <w:tc>
          <w:tcPr>
            <w:tcW w:w="2747" w:type="pct"/>
          </w:tcPr>
          <w:p w:rsidR="00906FD4" w:rsidRPr="00931642" w:rsidRDefault="00906FD4" w:rsidP="006504C4">
            <w:pPr>
              <w:widowControl/>
              <w:jc w:val="left"/>
              <w:rPr>
                <w:rFonts w:ascii="Arial Narrow" w:hAnsi="Arial Narrow"/>
                <w:sz w:val="20"/>
              </w:rPr>
            </w:pPr>
            <w:r w:rsidRPr="00931642">
              <w:rPr>
                <w:rFonts w:ascii="Arial Narrow" w:hAnsi="Arial Narrow"/>
                <w:sz w:val="20"/>
              </w:rPr>
              <w:t xml:space="preserve">Trainer PJ. ACROSTUDY: the first 5 years. </w:t>
            </w:r>
          </w:p>
        </w:tc>
        <w:tc>
          <w:tcPr>
            <w:tcW w:w="1602" w:type="pct"/>
          </w:tcPr>
          <w:p w:rsidR="00906FD4" w:rsidRPr="00931642" w:rsidRDefault="00906FD4" w:rsidP="006504C4">
            <w:pPr>
              <w:widowControl/>
              <w:jc w:val="left"/>
              <w:rPr>
                <w:rFonts w:ascii="Arial Narrow" w:hAnsi="Arial Narrow"/>
                <w:sz w:val="20"/>
              </w:rPr>
            </w:pPr>
            <w:r w:rsidRPr="00931642">
              <w:rPr>
                <w:rFonts w:ascii="Arial Narrow" w:hAnsi="Arial Narrow"/>
                <w:i/>
                <w:sz w:val="20"/>
              </w:rPr>
              <w:t>European Journal of Endocrinology</w:t>
            </w:r>
            <w:r w:rsidRPr="00931642">
              <w:rPr>
                <w:rFonts w:ascii="Arial Narrow" w:hAnsi="Arial Narrow"/>
                <w:sz w:val="20"/>
              </w:rPr>
              <w:t xml:space="preserve"> 2009; 161:S19–S24.</w:t>
            </w:r>
          </w:p>
        </w:tc>
      </w:tr>
    </w:tbl>
    <w:p w:rsidR="00862502" w:rsidRPr="00931642" w:rsidRDefault="00906FD4" w:rsidP="006504C4">
      <w:pPr>
        <w:pStyle w:val="TableFooter"/>
        <w:widowControl/>
        <w:ind w:left="709"/>
      </w:pPr>
      <w:r w:rsidRPr="00931642">
        <w:t xml:space="preserve">Source: Table B.2.3, pp 56-58; Table </w:t>
      </w:r>
      <w:proofErr w:type="gramStart"/>
      <w:r w:rsidRPr="00931642">
        <w:t>B.2.2(</w:t>
      </w:r>
      <w:proofErr w:type="gramEnd"/>
      <w:r w:rsidRPr="00931642">
        <w:t>iv), p192 of the submission</w:t>
      </w:r>
    </w:p>
    <w:p w:rsidR="00862502" w:rsidRPr="00931642" w:rsidRDefault="00862502" w:rsidP="006504C4">
      <w:pPr>
        <w:widowControl/>
        <w:rPr>
          <w:szCs w:val="22"/>
        </w:rPr>
      </w:pPr>
    </w:p>
    <w:p w:rsidR="00862502" w:rsidRPr="00931642" w:rsidRDefault="008F120A" w:rsidP="006504C4">
      <w:pPr>
        <w:pStyle w:val="ListParagraph"/>
        <w:widowControl/>
        <w:numPr>
          <w:ilvl w:val="1"/>
          <w:numId w:val="6"/>
        </w:numPr>
        <w:rPr>
          <w:szCs w:val="22"/>
        </w:rPr>
      </w:pPr>
      <w:r w:rsidRPr="00931642">
        <w:rPr>
          <w:szCs w:val="22"/>
        </w:rPr>
        <w:t xml:space="preserve">The key features of the randomised trials are </w:t>
      </w:r>
      <w:r w:rsidR="001C5AC9" w:rsidRPr="00931642">
        <w:rPr>
          <w:szCs w:val="22"/>
        </w:rPr>
        <w:t xml:space="preserve">summarised in </w:t>
      </w:r>
      <w:r w:rsidR="00935905" w:rsidRPr="00931642">
        <w:rPr>
          <w:szCs w:val="22"/>
        </w:rPr>
        <w:t>Table 2</w:t>
      </w:r>
      <w:r w:rsidR="001C5AC9" w:rsidRPr="00931642">
        <w:rPr>
          <w:szCs w:val="22"/>
        </w:rPr>
        <w:t>.</w:t>
      </w:r>
      <w:r w:rsidR="005D23C4" w:rsidRPr="00931642">
        <w:rPr>
          <w:szCs w:val="22"/>
        </w:rPr>
        <w:t xml:space="preserve"> The submission conducted a </w:t>
      </w:r>
      <w:r w:rsidR="00EB2908" w:rsidRPr="00931642">
        <w:rPr>
          <w:szCs w:val="22"/>
        </w:rPr>
        <w:t>post hoc</w:t>
      </w:r>
      <w:r w:rsidR="005D23C4" w:rsidRPr="00931642">
        <w:rPr>
          <w:szCs w:val="22"/>
        </w:rPr>
        <w:t xml:space="preserve"> subgroup analysis of individual patient data from Trial 3614 in order to assess efficacy in a sample of patients </w:t>
      </w:r>
      <w:r w:rsidR="00133862" w:rsidRPr="00931642">
        <w:rPr>
          <w:szCs w:val="22"/>
        </w:rPr>
        <w:t xml:space="preserve">chosen to be </w:t>
      </w:r>
      <w:r w:rsidR="005D23C4" w:rsidRPr="00931642">
        <w:rPr>
          <w:szCs w:val="22"/>
        </w:rPr>
        <w:t xml:space="preserve">representative of the proposed PBS population (i.e. patients inadequately controlled on </w:t>
      </w:r>
      <w:r w:rsidR="004541EE" w:rsidRPr="00931642">
        <w:rPr>
          <w:szCs w:val="22"/>
        </w:rPr>
        <w:t>previous</w:t>
      </w:r>
      <w:r w:rsidR="005D23C4" w:rsidRPr="00931642">
        <w:rPr>
          <w:szCs w:val="22"/>
        </w:rPr>
        <w:t xml:space="preserve"> treatments).</w:t>
      </w:r>
      <w:r w:rsidR="007B5895" w:rsidRPr="00931642">
        <w:rPr>
          <w:szCs w:val="22"/>
        </w:rPr>
        <w:t xml:space="preserve"> </w:t>
      </w:r>
      <w:r w:rsidR="007B5895" w:rsidRPr="00931642">
        <w:t>The population in the subgroup appear</w:t>
      </w:r>
      <w:r w:rsidR="00E33BA9" w:rsidRPr="00931642">
        <w:t>ed</w:t>
      </w:r>
      <w:r w:rsidR="007B5895" w:rsidRPr="00931642">
        <w:t xml:space="preserve"> to be less treatment-experienced than patients in the proposed PBS restriction</w:t>
      </w:r>
      <w:r w:rsidR="00935905" w:rsidRPr="00931642">
        <w:t>, as no patients were treated with</w:t>
      </w:r>
      <w:r w:rsidR="007B5895" w:rsidRPr="00931642">
        <w:t xml:space="preserve"> a long-acting </w:t>
      </w:r>
      <w:r w:rsidR="0007397F" w:rsidRPr="00931642">
        <w:t>SSA</w:t>
      </w:r>
      <w:r w:rsidR="007B5895" w:rsidRPr="00931642">
        <w:t xml:space="preserve"> </w:t>
      </w:r>
      <w:r w:rsidR="00935905" w:rsidRPr="00931642">
        <w:t>in</w:t>
      </w:r>
      <w:r w:rsidR="007B5895" w:rsidRPr="00931642">
        <w:t xml:space="preserve"> the three months prior to study entry. </w:t>
      </w:r>
      <w:r w:rsidR="004D1A8F" w:rsidRPr="00931642">
        <w:t xml:space="preserve">The PSCR (p1) indicated that although long acting SSAs were not allowed prior to </w:t>
      </w:r>
      <w:r w:rsidR="00BB29C6" w:rsidRPr="00931642">
        <w:t>s</w:t>
      </w:r>
      <w:r w:rsidR="004D1A8F" w:rsidRPr="00931642">
        <w:t xml:space="preserve">tudy entry, short-acting SSAs were, and </w:t>
      </w:r>
      <w:r w:rsidR="00BB29C6" w:rsidRPr="00931642">
        <w:t xml:space="preserve">the PSCR </w:t>
      </w:r>
      <w:r w:rsidR="004D1A8F" w:rsidRPr="00931642">
        <w:t xml:space="preserve">argued that the efficacy of short- and long-acting SSAs are equivalent and therefore </w:t>
      </w:r>
      <w:r w:rsidR="007E35F3" w:rsidRPr="00931642">
        <w:t xml:space="preserve">the selected subgroup </w:t>
      </w:r>
      <w:r w:rsidR="004D1A8F" w:rsidRPr="00931642">
        <w:t>could be considered representative.</w:t>
      </w:r>
      <w:r w:rsidR="00C64B28" w:rsidRPr="00931642">
        <w:t xml:space="preserve"> However, it is uncertain whether short- and long- acting SSAs would be used in the same disea</w:t>
      </w:r>
      <w:r w:rsidR="00932350" w:rsidRPr="00931642">
        <w:t>se stage, and hence population.</w:t>
      </w:r>
      <w:r w:rsidR="004D1A8F" w:rsidRPr="00931642">
        <w:t xml:space="preserve"> </w:t>
      </w:r>
      <w:r w:rsidR="007B5895" w:rsidRPr="00931642">
        <w:t xml:space="preserve">The proportion of patients in this subgroup with prior use of </w:t>
      </w:r>
      <w:r w:rsidR="0007397F" w:rsidRPr="00931642">
        <w:t>SSA</w:t>
      </w:r>
      <w:r w:rsidR="00377F0E" w:rsidRPr="00931642">
        <w:t>s</w:t>
      </w:r>
      <w:r w:rsidR="007B5895" w:rsidRPr="00931642">
        <w:t xml:space="preserve"> was unclear. </w:t>
      </w:r>
      <w:r w:rsidR="004D1A8F" w:rsidRPr="00931642">
        <w:t>In the PSCR</w:t>
      </w:r>
      <w:r w:rsidR="008A7349" w:rsidRPr="00931642">
        <w:t xml:space="preserve"> (p1)</w:t>
      </w:r>
      <w:r w:rsidR="004D1A8F" w:rsidRPr="00931642">
        <w:t xml:space="preserve"> the sponsor indicated that 72.3% of the total population and 66.7% of the ‘PBS subgroup’ had been treated with SSAs, however it was unclear whe</w:t>
      </w:r>
      <w:r w:rsidR="00462302" w:rsidRPr="00931642">
        <w:t xml:space="preserve">n the SSA treatment </w:t>
      </w:r>
      <w:r w:rsidR="00345359" w:rsidRPr="00931642">
        <w:t>occurred</w:t>
      </w:r>
      <w:r w:rsidR="004D1A8F" w:rsidRPr="00931642">
        <w:t>. Further, no information was available on the proportion of patients in the PBS subgroup who had uncontrolled IGF-1 levels</w:t>
      </w:r>
      <w:r w:rsidR="00BB29C6" w:rsidRPr="00931642">
        <w:t xml:space="preserve"> whilst taking a SSA</w:t>
      </w:r>
      <w:r w:rsidR="004D1A8F" w:rsidRPr="00931642">
        <w:t xml:space="preserve">. </w:t>
      </w:r>
      <w:r w:rsidR="00C31365" w:rsidRPr="00931642">
        <w:t xml:space="preserve">The pre-PBAC response </w:t>
      </w:r>
      <w:r w:rsidR="006D6895" w:rsidRPr="00931642">
        <w:t xml:space="preserve">stated </w:t>
      </w:r>
      <w:r w:rsidR="00C31365" w:rsidRPr="00931642">
        <w:t xml:space="preserve">that 40% of the PBS subgroup </w:t>
      </w:r>
      <w:proofErr w:type="gramStart"/>
      <w:r w:rsidR="00C31365" w:rsidRPr="00931642">
        <w:t>were</w:t>
      </w:r>
      <w:proofErr w:type="gramEnd"/>
      <w:r w:rsidR="00C31365" w:rsidRPr="00931642">
        <w:t xml:space="preserve"> uncontrolled on SSAs. </w:t>
      </w:r>
      <w:r w:rsidR="007B5895" w:rsidRPr="00931642">
        <w:t xml:space="preserve">The </w:t>
      </w:r>
      <w:r w:rsidR="004D1A8F" w:rsidRPr="00931642">
        <w:t xml:space="preserve">ESC considered that the representativeness of the </w:t>
      </w:r>
      <w:r w:rsidR="007B5895" w:rsidRPr="00931642">
        <w:t xml:space="preserve">PBS subgroup </w:t>
      </w:r>
      <w:r w:rsidR="00BB29C6" w:rsidRPr="00931642">
        <w:t>to</w:t>
      </w:r>
      <w:r w:rsidR="007B5895" w:rsidRPr="00931642">
        <w:t xml:space="preserve"> the requested PBS population</w:t>
      </w:r>
      <w:r w:rsidR="004D1A8F" w:rsidRPr="00931642">
        <w:t xml:space="preserve"> remained unclear</w:t>
      </w:r>
      <w:r w:rsidR="007B5895" w:rsidRPr="00931642">
        <w:t>.</w:t>
      </w:r>
      <w:r w:rsidR="00133862" w:rsidRPr="00931642">
        <w:t xml:space="preserve"> The patient population in the comparator trial (Gadelha 2014) was more consistent with the requested PBS restriction.</w:t>
      </w:r>
    </w:p>
    <w:p w:rsidR="007F1017" w:rsidRPr="00931642" w:rsidRDefault="007F1017" w:rsidP="006504C4">
      <w:pPr>
        <w:widowControl/>
        <w:rPr>
          <w:szCs w:val="22"/>
        </w:rPr>
      </w:pPr>
    </w:p>
    <w:p w:rsidR="007F1017" w:rsidRPr="00931642" w:rsidRDefault="007F1017" w:rsidP="006504C4">
      <w:pPr>
        <w:keepNext/>
        <w:widowControl/>
        <w:ind w:firstLine="720"/>
        <w:rPr>
          <w:rStyle w:val="CommentReference"/>
        </w:rPr>
      </w:pPr>
      <w:r w:rsidRPr="00931642">
        <w:rPr>
          <w:rStyle w:val="CommentReference"/>
        </w:rPr>
        <w:t xml:space="preserve">Table </w:t>
      </w:r>
      <w:r w:rsidR="007B5895" w:rsidRPr="00931642">
        <w:rPr>
          <w:rStyle w:val="CommentReference"/>
        </w:rPr>
        <w:t>2</w:t>
      </w:r>
      <w:r w:rsidRPr="00931642">
        <w:rPr>
          <w:rStyle w:val="CommentReference"/>
        </w:rPr>
        <w:t xml:space="preserve">: Key features of the included </w:t>
      </w:r>
      <w:r w:rsidR="00C05CB4" w:rsidRPr="00931642">
        <w:rPr>
          <w:rStyle w:val="CommentReference"/>
        </w:rPr>
        <w:t>randomised trials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91"/>
        <w:gridCol w:w="387"/>
        <w:gridCol w:w="1662"/>
        <w:gridCol w:w="623"/>
        <w:gridCol w:w="1908"/>
        <w:gridCol w:w="1277"/>
        <w:gridCol w:w="1397"/>
      </w:tblGrid>
      <w:tr w:rsidR="0018233A" w:rsidRPr="00931642" w:rsidTr="0018233A">
        <w:trPr>
          <w:tblHeader/>
        </w:trPr>
        <w:tc>
          <w:tcPr>
            <w:tcW w:w="654" w:type="pct"/>
            <w:shd w:val="clear" w:color="auto" w:fill="auto"/>
            <w:vAlign w:val="center"/>
          </w:tcPr>
          <w:p w:rsidR="007F1017" w:rsidRPr="00931642" w:rsidRDefault="007F1017" w:rsidP="006504C4">
            <w:pPr>
              <w:keepNext/>
              <w:widowControl/>
              <w:jc w:val="left"/>
              <w:rPr>
                <w:rFonts w:ascii="Arial Narrow" w:hAnsi="Arial Narrow"/>
                <w:b/>
                <w:sz w:val="20"/>
              </w:rPr>
            </w:pPr>
            <w:r w:rsidRPr="00931642">
              <w:rPr>
                <w:rFonts w:ascii="Arial Narrow" w:hAnsi="Arial Narrow"/>
                <w:b/>
                <w:sz w:val="20"/>
              </w:rPr>
              <w:t>Trial</w:t>
            </w:r>
          </w:p>
        </w:tc>
        <w:tc>
          <w:tcPr>
            <w:tcW w:w="232" w:type="pct"/>
            <w:shd w:val="clear" w:color="auto" w:fill="auto"/>
            <w:vAlign w:val="center"/>
          </w:tcPr>
          <w:p w:rsidR="007F1017" w:rsidRPr="00931642" w:rsidRDefault="007F1017" w:rsidP="006504C4">
            <w:pPr>
              <w:keepNext/>
              <w:widowControl/>
              <w:jc w:val="center"/>
              <w:rPr>
                <w:rFonts w:ascii="Arial Narrow" w:hAnsi="Arial Narrow"/>
                <w:b/>
                <w:sz w:val="20"/>
              </w:rPr>
            </w:pPr>
            <w:r w:rsidRPr="00931642">
              <w:rPr>
                <w:rFonts w:ascii="Arial Narrow" w:hAnsi="Arial Narrow"/>
                <w:b/>
                <w:sz w:val="20"/>
              </w:rPr>
              <w:t>N</w:t>
            </w:r>
          </w:p>
        </w:tc>
        <w:tc>
          <w:tcPr>
            <w:tcW w:w="996" w:type="pct"/>
            <w:shd w:val="clear" w:color="auto" w:fill="auto"/>
            <w:vAlign w:val="center"/>
          </w:tcPr>
          <w:p w:rsidR="007F1017" w:rsidRPr="00931642" w:rsidRDefault="007F1017" w:rsidP="006504C4">
            <w:pPr>
              <w:keepNext/>
              <w:widowControl/>
              <w:jc w:val="center"/>
              <w:rPr>
                <w:rFonts w:ascii="Arial Narrow" w:hAnsi="Arial Narrow"/>
                <w:b/>
                <w:sz w:val="20"/>
              </w:rPr>
            </w:pPr>
            <w:r w:rsidRPr="00931642">
              <w:rPr>
                <w:rFonts w:ascii="Arial Narrow" w:hAnsi="Arial Narrow"/>
                <w:b/>
                <w:sz w:val="20"/>
              </w:rPr>
              <w:t>Design/ duration</w:t>
            </w:r>
          </w:p>
        </w:tc>
        <w:tc>
          <w:tcPr>
            <w:tcW w:w="373" w:type="pct"/>
            <w:shd w:val="clear" w:color="auto" w:fill="auto"/>
            <w:vAlign w:val="center"/>
          </w:tcPr>
          <w:p w:rsidR="007F1017" w:rsidRPr="00931642" w:rsidRDefault="007F1017" w:rsidP="006504C4">
            <w:pPr>
              <w:keepNext/>
              <w:widowControl/>
              <w:jc w:val="center"/>
              <w:rPr>
                <w:rFonts w:ascii="Arial Narrow" w:hAnsi="Arial Narrow"/>
                <w:b/>
                <w:sz w:val="20"/>
              </w:rPr>
            </w:pPr>
            <w:r w:rsidRPr="00931642">
              <w:rPr>
                <w:rFonts w:ascii="Arial Narrow" w:hAnsi="Arial Narrow"/>
                <w:b/>
                <w:sz w:val="20"/>
              </w:rPr>
              <w:t>Risk of bias</w:t>
            </w:r>
          </w:p>
        </w:tc>
        <w:tc>
          <w:tcPr>
            <w:tcW w:w="1143" w:type="pct"/>
            <w:shd w:val="clear" w:color="auto" w:fill="auto"/>
            <w:vAlign w:val="center"/>
          </w:tcPr>
          <w:p w:rsidR="007F1017" w:rsidRPr="00931642" w:rsidRDefault="007F1017" w:rsidP="006504C4">
            <w:pPr>
              <w:keepNext/>
              <w:widowControl/>
              <w:jc w:val="center"/>
              <w:rPr>
                <w:rFonts w:ascii="Arial Narrow" w:hAnsi="Arial Narrow"/>
                <w:b/>
                <w:sz w:val="20"/>
              </w:rPr>
            </w:pPr>
            <w:r w:rsidRPr="00931642">
              <w:rPr>
                <w:rFonts w:ascii="Arial Narrow" w:hAnsi="Arial Narrow"/>
                <w:b/>
                <w:sz w:val="20"/>
              </w:rPr>
              <w:t>Patient population</w:t>
            </w:r>
          </w:p>
        </w:tc>
        <w:tc>
          <w:tcPr>
            <w:tcW w:w="765" w:type="pct"/>
            <w:shd w:val="clear" w:color="auto" w:fill="auto"/>
            <w:vAlign w:val="center"/>
          </w:tcPr>
          <w:p w:rsidR="007F1017" w:rsidRPr="00931642" w:rsidRDefault="007F1017" w:rsidP="006504C4">
            <w:pPr>
              <w:keepNext/>
              <w:widowControl/>
              <w:jc w:val="center"/>
              <w:rPr>
                <w:rFonts w:ascii="Arial Narrow" w:hAnsi="Arial Narrow"/>
                <w:b/>
                <w:sz w:val="20"/>
              </w:rPr>
            </w:pPr>
            <w:r w:rsidRPr="00931642">
              <w:rPr>
                <w:rFonts w:ascii="Arial Narrow" w:hAnsi="Arial Narrow"/>
                <w:b/>
                <w:sz w:val="20"/>
              </w:rPr>
              <w:t>Outcome(s)</w:t>
            </w:r>
          </w:p>
        </w:tc>
        <w:tc>
          <w:tcPr>
            <w:tcW w:w="838" w:type="pct"/>
            <w:shd w:val="clear" w:color="auto" w:fill="auto"/>
            <w:vAlign w:val="center"/>
          </w:tcPr>
          <w:p w:rsidR="007F1017" w:rsidRPr="00931642" w:rsidRDefault="007F1017" w:rsidP="006504C4">
            <w:pPr>
              <w:keepNext/>
              <w:widowControl/>
              <w:jc w:val="center"/>
              <w:rPr>
                <w:rFonts w:ascii="Arial Narrow" w:hAnsi="Arial Narrow"/>
                <w:b/>
                <w:sz w:val="20"/>
              </w:rPr>
            </w:pPr>
            <w:r w:rsidRPr="00931642">
              <w:rPr>
                <w:rFonts w:ascii="Arial Narrow" w:hAnsi="Arial Narrow"/>
                <w:b/>
                <w:sz w:val="20"/>
              </w:rPr>
              <w:t>Use in modelled evaluation</w:t>
            </w:r>
          </w:p>
        </w:tc>
      </w:tr>
      <w:tr w:rsidR="007F1017" w:rsidRPr="00931642" w:rsidTr="00E22A0D">
        <w:tc>
          <w:tcPr>
            <w:tcW w:w="5000" w:type="pct"/>
            <w:gridSpan w:val="7"/>
            <w:shd w:val="clear" w:color="auto" w:fill="auto"/>
            <w:vAlign w:val="center"/>
          </w:tcPr>
          <w:p w:rsidR="007F1017" w:rsidRPr="00931642" w:rsidRDefault="009A7D71" w:rsidP="006504C4">
            <w:pPr>
              <w:keepNext/>
              <w:widowControl/>
              <w:jc w:val="left"/>
              <w:rPr>
                <w:rFonts w:ascii="Arial Narrow" w:hAnsi="Arial Narrow"/>
                <w:b/>
                <w:sz w:val="20"/>
              </w:rPr>
            </w:pPr>
            <w:r w:rsidRPr="00931642">
              <w:rPr>
                <w:rFonts w:ascii="Arial Narrow" w:hAnsi="Arial Narrow"/>
                <w:b/>
                <w:sz w:val="20"/>
              </w:rPr>
              <w:t>Pegvisomant vs placebo</w:t>
            </w:r>
          </w:p>
        </w:tc>
      </w:tr>
      <w:tr w:rsidR="0018233A" w:rsidRPr="00931642" w:rsidTr="0018233A">
        <w:tc>
          <w:tcPr>
            <w:tcW w:w="654" w:type="pct"/>
            <w:shd w:val="clear" w:color="auto" w:fill="auto"/>
            <w:vAlign w:val="center"/>
          </w:tcPr>
          <w:p w:rsidR="007F1017" w:rsidRPr="00931642" w:rsidRDefault="00363574" w:rsidP="006504C4">
            <w:pPr>
              <w:keepNext/>
              <w:widowControl/>
              <w:jc w:val="left"/>
              <w:rPr>
                <w:rFonts w:ascii="Arial Narrow" w:hAnsi="Arial Narrow"/>
                <w:sz w:val="20"/>
              </w:rPr>
            </w:pPr>
            <w:r w:rsidRPr="00931642">
              <w:rPr>
                <w:rFonts w:ascii="Arial Narrow" w:hAnsi="Arial Narrow"/>
                <w:sz w:val="20"/>
              </w:rPr>
              <w:t>Trial 3614</w:t>
            </w:r>
          </w:p>
        </w:tc>
        <w:tc>
          <w:tcPr>
            <w:tcW w:w="232" w:type="pct"/>
            <w:shd w:val="clear" w:color="auto" w:fill="auto"/>
            <w:vAlign w:val="center"/>
          </w:tcPr>
          <w:p w:rsidR="007F1017" w:rsidRPr="00931642" w:rsidRDefault="00363574" w:rsidP="006504C4">
            <w:pPr>
              <w:keepNext/>
              <w:widowControl/>
              <w:jc w:val="center"/>
              <w:rPr>
                <w:rFonts w:ascii="Arial Narrow" w:hAnsi="Arial Narrow"/>
                <w:sz w:val="20"/>
              </w:rPr>
            </w:pPr>
            <w:r w:rsidRPr="00931642">
              <w:rPr>
                <w:rFonts w:ascii="Arial Narrow" w:hAnsi="Arial Narrow"/>
                <w:sz w:val="20"/>
              </w:rPr>
              <w:t>112</w:t>
            </w:r>
          </w:p>
        </w:tc>
        <w:tc>
          <w:tcPr>
            <w:tcW w:w="996" w:type="pct"/>
            <w:shd w:val="clear" w:color="auto" w:fill="auto"/>
            <w:vAlign w:val="center"/>
          </w:tcPr>
          <w:p w:rsidR="007F1017" w:rsidRPr="00931642" w:rsidRDefault="00363574" w:rsidP="006504C4">
            <w:pPr>
              <w:keepNext/>
              <w:widowControl/>
              <w:jc w:val="center"/>
              <w:rPr>
                <w:rFonts w:ascii="Arial Narrow" w:hAnsi="Arial Narrow"/>
                <w:sz w:val="20"/>
              </w:rPr>
            </w:pPr>
            <w:r w:rsidRPr="00931642">
              <w:rPr>
                <w:rFonts w:ascii="Arial Narrow" w:hAnsi="Arial Narrow"/>
                <w:sz w:val="20"/>
              </w:rPr>
              <w:t xml:space="preserve">MC, R, DB, </w:t>
            </w:r>
            <w:r w:rsidR="00C05CB4" w:rsidRPr="00931642">
              <w:rPr>
                <w:rFonts w:ascii="Arial Narrow" w:hAnsi="Arial Narrow"/>
                <w:sz w:val="20"/>
              </w:rPr>
              <w:t>placebo controlled</w:t>
            </w:r>
          </w:p>
          <w:p w:rsidR="00363574" w:rsidRPr="00931642" w:rsidRDefault="00363574" w:rsidP="006504C4">
            <w:pPr>
              <w:keepNext/>
              <w:widowControl/>
              <w:jc w:val="center"/>
              <w:rPr>
                <w:rFonts w:ascii="Arial Narrow" w:hAnsi="Arial Narrow"/>
                <w:sz w:val="20"/>
              </w:rPr>
            </w:pPr>
            <w:r w:rsidRPr="00931642">
              <w:rPr>
                <w:rFonts w:ascii="Arial Narrow" w:hAnsi="Arial Narrow"/>
                <w:sz w:val="20"/>
              </w:rPr>
              <w:t>12 weeks</w:t>
            </w:r>
          </w:p>
        </w:tc>
        <w:tc>
          <w:tcPr>
            <w:tcW w:w="373" w:type="pct"/>
            <w:shd w:val="clear" w:color="auto" w:fill="auto"/>
            <w:vAlign w:val="center"/>
          </w:tcPr>
          <w:p w:rsidR="007F1017" w:rsidRPr="00931642" w:rsidRDefault="00363574" w:rsidP="006504C4">
            <w:pPr>
              <w:keepNext/>
              <w:widowControl/>
              <w:jc w:val="center"/>
              <w:rPr>
                <w:rFonts w:ascii="Arial Narrow" w:hAnsi="Arial Narrow"/>
                <w:sz w:val="20"/>
              </w:rPr>
            </w:pPr>
            <w:r w:rsidRPr="00931642">
              <w:rPr>
                <w:rFonts w:ascii="Arial Narrow" w:hAnsi="Arial Narrow"/>
                <w:sz w:val="20"/>
              </w:rPr>
              <w:t>Low</w:t>
            </w:r>
          </w:p>
        </w:tc>
        <w:tc>
          <w:tcPr>
            <w:tcW w:w="1143" w:type="pct"/>
            <w:shd w:val="clear" w:color="auto" w:fill="auto"/>
            <w:vAlign w:val="center"/>
          </w:tcPr>
          <w:p w:rsidR="007F1017" w:rsidRPr="00931642" w:rsidRDefault="00363574" w:rsidP="006504C4">
            <w:pPr>
              <w:keepNext/>
              <w:widowControl/>
              <w:jc w:val="center"/>
              <w:rPr>
                <w:rFonts w:ascii="Arial Narrow" w:hAnsi="Arial Narrow"/>
                <w:sz w:val="20"/>
              </w:rPr>
            </w:pPr>
            <w:r w:rsidRPr="00931642">
              <w:rPr>
                <w:rFonts w:ascii="Arial Narrow" w:hAnsi="Arial Narrow"/>
                <w:sz w:val="20"/>
              </w:rPr>
              <w:t>Uncontrolled acromegaly</w:t>
            </w:r>
          </w:p>
        </w:tc>
        <w:tc>
          <w:tcPr>
            <w:tcW w:w="765" w:type="pct"/>
            <w:shd w:val="clear" w:color="auto" w:fill="auto"/>
            <w:vAlign w:val="center"/>
          </w:tcPr>
          <w:p w:rsidR="007F1017" w:rsidRPr="00931642" w:rsidRDefault="00363574" w:rsidP="006504C4">
            <w:pPr>
              <w:keepNext/>
              <w:widowControl/>
              <w:jc w:val="center"/>
              <w:rPr>
                <w:rFonts w:ascii="Arial Narrow" w:hAnsi="Arial Narrow"/>
                <w:sz w:val="20"/>
              </w:rPr>
            </w:pPr>
            <w:r w:rsidRPr="00931642">
              <w:rPr>
                <w:rFonts w:ascii="Arial Narrow" w:hAnsi="Arial Narrow"/>
                <w:sz w:val="20"/>
              </w:rPr>
              <w:t>% change from baseline in IGF</w:t>
            </w:r>
            <w:r w:rsidR="0018233A" w:rsidRPr="00931642">
              <w:rPr>
                <w:rFonts w:ascii="Arial Narrow" w:hAnsi="Arial Narrow"/>
                <w:sz w:val="20"/>
              </w:rPr>
              <w:noBreakHyphen/>
            </w:r>
            <w:r w:rsidRPr="00931642">
              <w:rPr>
                <w:rFonts w:ascii="Arial Narrow" w:hAnsi="Arial Narrow"/>
                <w:sz w:val="20"/>
              </w:rPr>
              <w:t>1</w:t>
            </w:r>
          </w:p>
        </w:tc>
        <w:tc>
          <w:tcPr>
            <w:tcW w:w="838" w:type="pct"/>
            <w:shd w:val="clear" w:color="auto" w:fill="auto"/>
            <w:vAlign w:val="center"/>
          </w:tcPr>
          <w:p w:rsidR="007F1017" w:rsidRPr="00931642" w:rsidRDefault="00473789" w:rsidP="006504C4">
            <w:pPr>
              <w:keepNext/>
              <w:widowControl/>
              <w:jc w:val="center"/>
              <w:rPr>
                <w:rFonts w:ascii="Arial Narrow" w:hAnsi="Arial Narrow"/>
                <w:sz w:val="20"/>
              </w:rPr>
            </w:pPr>
            <w:r w:rsidRPr="00931642">
              <w:rPr>
                <w:rFonts w:ascii="Arial Narrow" w:hAnsi="Arial Narrow"/>
                <w:sz w:val="20"/>
              </w:rPr>
              <w:t>% normalised</w:t>
            </w:r>
            <w:r w:rsidR="00EB2908" w:rsidRPr="00931642">
              <w:rPr>
                <w:rFonts w:ascii="Arial Narrow" w:hAnsi="Arial Narrow"/>
                <w:sz w:val="20"/>
              </w:rPr>
              <w:t xml:space="preserve"> </w:t>
            </w:r>
            <w:r w:rsidRPr="00931642">
              <w:rPr>
                <w:rFonts w:ascii="Arial Narrow" w:hAnsi="Arial Narrow"/>
                <w:sz w:val="20"/>
              </w:rPr>
              <w:t>IGF-1</w:t>
            </w:r>
          </w:p>
        </w:tc>
      </w:tr>
      <w:tr w:rsidR="00C05CB4" w:rsidRPr="00931642" w:rsidTr="00C05CB4">
        <w:tc>
          <w:tcPr>
            <w:tcW w:w="5000" w:type="pct"/>
            <w:gridSpan w:val="7"/>
            <w:shd w:val="clear" w:color="auto" w:fill="auto"/>
            <w:vAlign w:val="center"/>
          </w:tcPr>
          <w:p w:rsidR="00C05CB4" w:rsidRPr="00931642" w:rsidRDefault="00C05CB4" w:rsidP="006504C4">
            <w:pPr>
              <w:keepNext/>
              <w:widowControl/>
              <w:jc w:val="left"/>
              <w:rPr>
                <w:rFonts w:ascii="Arial Narrow" w:hAnsi="Arial Narrow"/>
                <w:b/>
                <w:sz w:val="20"/>
              </w:rPr>
            </w:pPr>
            <w:r w:rsidRPr="00931642">
              <w:rPr>
                <w:rFonts w:ascii="Arial Narrow" w:hAnsi="Arial Narrow"/>
                <w:b/>
                <w:sz w:val="20"/>
              </w:rPr>
              <w:t xml:space="preserve">Pegvisomant vs </w:t>
            </w:r>
            <w:r w:rsidR="00306A83" w:rsidRPr="00931642">
              <w:rPr>
                <w:rFonts w:ascii="Arial Narrow" w:hAnsi="Arial Narrow"/>
                <w:b/>
                <w:sz w:val="20"/>
              </w:rPr>
              <w:t>o</w:t>
            </w:r>
            <w:r w:rsidRPr="00931642">
              <w:rPr>
                <w:rFonts w:ascii="Arial Narrow" w:hAnsi="Arial Narrow"/>
                <w:b/>
                <w:sz w:val="20"/>
              </w:rPr>
              <w:t>ctreotide LAR</w:t>
            </w:r>
          </w:p>
        </w:tc>
      </w:tr>
      <w:tr w:rsidR="0018233A" w:rsidRPr="00931642" w:rsidTr="0018233A">
        <w:tc>
          <w:tcPr>
            <w:tcW w:w="654" w:type="pct"/>
            <w:shd w:val="clear" w:color="auto" w:fill="auto"/>
            <w:vAlign w:val="center"/>
          </w:tcPr>
          <w:p w:rsidR="007F1017" w:rsidRPr="00931642" w:rsidRDefault="00C05CB4" w:rsidP="006504C4">
            <w:pPr>
              <w:keepNext/>
              <w:widowControl/>
              <w:jc w:val="left"/>
              <w:rPr>
                <w:rFonts w:ascii="Arial Narrow" w:hAnsi="Arial Narrow"/>
                <w:sz w:val="20"/>
              </w:rPr>
            </w:pPr>
            <w:r w:rsidRPr="00931642">
              <w:rPr>
                <w:rFonts w:ascii="Arial Narrow" w:hAnsi="Arial Narrow"/>
                <w:sz w:val="20"/>
              </w:rPr>
              <w:t>Trial 1006</w:t>
            </w:r>
          </w:p>
        </w:tc>
        <w:tc>
          <w:tcPr>
            <w:tcW w:w="232" w:type="pct"/>
            <w:shd w:val="clear" w:color="auto" w:fill="auto"/>
            <w:vAlign w:val="center"/>
          </w:tcPr>
          <w:p w:rsidR="007F1017" w:rsidRPr="00931642" w:rsidRDefault="00C05CB4" w:rsidP="006504C4">
            <w:pPr>
              <w:keepNext/>
              <w:widowControl/>
              <w:jc w:val="center"/>
              <w:rPr>
                <w:rFonts w:ascii="Arial Narrow" w:hAnsi="Arial Narrow"/>
                <w:sz w:val="20"/>
              </w:rPr>
            </w:pPr>
            <w:r w:rsidRPr="00931642">
              <w:rPr>
                <w:rFonts w:ascii="Arial Narrow" w:hAnsi="Arial Narrow"/>
                <w:sz w:val="20"/>
              </w:rPr>
              <w:t>84</w:t>
            </w:r>
          </w:p>
        </w:tc>
        <w:tc>
          <w:tcPr>
            <w:tcW w:w="996" w:type="pct"/>
            <w:shd w:val="clear" w:color="auto" w:fill="auto"/>
            <w:vAlign w:val="center"/>
          </w:tcPr>
          <w:p w:rsidR="007F1017" w:rsidRPr="00931642" w:rsidRDefault="007F1017" w:rsidP="006504C4">
            <w:pPr>
              <w:keepNext/>
              <w:widowControl/>
              <w:jc w:val="center"/>
              <w:rPr>
                <w:rFonts w:ascii="Arial Narrow" w:hAnsi="Arial Narrow"/>
                <w:sz w:val="20"/>
              </w:rPr>
            </w:pPr>
            <w:r w:rsidRPr="00931642">
              <w:rPr>
                <w:rFonts w:ascii="Arial Narrow" w:hAnsi="Arial Narrow"/>
                <w:sz w:val="20"/>
              </w:rPr>
              <w:t>R, OL</w:t>
            </w:r>
            <w:r w:rsidR="00C05CB4" w:rsidRPr="00931642">
              <w:rPr>
                <w:rFonts w:ascii="Arial Narrow" w:hAnsi="Arial Narrow"/>
                <w:sz w:val="20"/>
              </w:rPr>
              <w:t>, active control</w:t>
            </w:r>
          </w:p>
          <w:p w:rsidR="007F1017" w:rsidRPr="00931642" w:rsidRDefault="007F1017" w:rsidP="006504C4">
            <w:pPr>
              <w:keepNext/>
              <w:widowControl/>
              <w:jc w:val="center"/>
              <w:rPr>
                <w:rFonts w:ascii="Arial Narrow" w:hAnsi="Arial Narrow"/>
                <w:sz w:val="20"/>
              </w:rPr>
            </w:pPr>
            <w:r w:rsidRPr="00931642">
              <w:rPr>
                <w:rFonts w:ascii="Arial Narrow" w:hAnsi="Arial Narrow"/>
                <w:sz w:val="20"/>
              </w:rPr>
              <w:t>3 m</w:t>
            </w:r>
            <w:r w:rsidR="00935905" w:rsidRPr="00931642">
              <w:rPr>
                <w:rFonts w:ascii="Arial Narrow" w:hAnsi="Arial Narrow"/>
                <w:sz w:val="20"/>
              </w:rPr>
              <w:t>on</w:t>
            </w:r>
            <w:r w:rsidRPr="00931642">
              <w:rPr>
                <w:rFonts w:ascii="Arial Narrow" w:hAnsi="Arial Narrow"/>
                <w:sz w:val="20"/>
              </w:rPr>
              <w:t>ths</w:t>
            </w:r>
          </w:p>
        </w:tc>
        <w:tc>
          <w:tcPr>
            <w:tcW w:w="373" w:type="pct"/>
            <w:shd w:val="clear" w:color="auto" w:fill="auto"/>
            <w:vAlign w:val="center"/>
          </w:tcPr>
          <w:p w:rsidR="007F1017" w:rsidRPr="00931642" w:rsidRDefault="00C05CB4" w:rsidP="006504C4">
            <w:pPr>
              <w:keepNext/>
              <w:widowControl/>
              <w:jc w:val="center"/>
              <w:rPr>
                <w:rFonts w:ascii="Arial Narrow" w:hAnsi="Arial Narrow"/>
                <w:sz w:val="20"/>
              </w:rPr>
            </w:pPr>
            <w:r w:rsidRPr="00931642">
              <w:rPr>
                <w:rFonts w:ascii="Arial Narrow" w:hAnsi="Arial Narrow"/>
                <w:sz w:val="20"/>
              </w:rPr>
              <w:t>Unclear</w:t>
            </w:r>
          </w:p>
        </w:tc>
        <w:tc>
          <w:tcPr>
            <w:tcW w:w="1143" w:type="pct"/>
            <w:shd w:val="clear" w:color="auto" w:fill="auto"/>
            <w:vAlign w:val="center"/>
          </w:tcPr>
          <w:p w:rsidR="000B340B" w:rsidRPr="00931642" w:rsidRDefault="00C05CB4" w:rsidP="006504C4">
            <w:pPr>
              <w:keepNext/>
              <w:widowControl/>
              <w:jc w:val="center"/>
              <w:rPr>
                <w:rFonts w:ascii="Arial Narrow" w:hAnsi="Arial Narrow"/>
                <w:sz w:val="20"/>
              </w:rPr>
            </w:pPr>
            <w:r w:rsidRPr="00931642">
              <w:rPr>
                <w:rFonts w:ascii="Arial Narrow" w:hAnsi="Arial Narrow"/>
                <w:sz w:val="20"/>
              </w:rPr>
              <w:t xml:space="preserve">Acromegaly </w:t>
            </w:r>
            <w:r w:rsidR="000B340B" w:rsidRPr="00931642">
              <w:rPr>
                <w:rFonts w:ascii="Arial Narrow" w:hAnsi="Arial Narrow"/>
                <w:sz w:val="20"/>
              </w:rPr>
              <w:t xml:space="preserve">inadequately controlled on </w:t>
            </w:r>
            <w:r w:rsidRPr="00931642">
              <w:rPr>
                <w:rFonts w:ascii="Arial Narrow" w:hAnsi="Arial Narrow"/>
                <w:sz w:val="20"/>
              </w:rPr>
              <w:t>octreotide LAR</w:t>
            </w:r>
            <w:r w:rsidR="0018233A" w:rsidRPr="00931642">
              <w:rPr>
                <w:rFonts w:ascii="Arial Narrow" w:hAnsi="Arial Narrow"/>
                <w:sz w:val="20"/>
              </w:rPr>
              <w:t xml:space="preserve"> </w:t>
            </w:r>
            <w:r w:rsidR="000B340B" w:rsidRPr="00931642">
              <w:rPr>
                <w:rFonts w:ascii="Arial Narrow" w:hAnsi="Arial Narrow"/>
                <w:sz w:val="20"/>
              </w:rPr>
              <w:t>(adequately controlled = active</w:t>
            </w:r>
            <w:r w:rsidR="00EB2908" w:rsidRPr="00931642">
              <w:rPr>
                <w:rFonts w:ascii="Arial Narrow" w:hAnsi="Arial Narrow"/>
                <w:sz w:val="20"/>
              </w:rPr>
              <w:t xml:space="preserve"> </w:t>
            </w:r>
            <w:r w:rsidR="000B340B" w:rsidRPr="00931642">
              <w:rPr>
                <w:rFonts w:ascii="Arial Narrow" w:hAnsi="Arial Narrow"/>
                <w:sz w:val="20"/>
              </w:rPr>
              <w:t>control arm)</w:t>
            </w:r>
          </w:p>
        </w:tc>
        <w:tc>
          <w:tcPr>
            <w:tcW w:w="765" w:type="pct"/>
            <w:shd w:val="clear" w:color="auto" w:fill="auto"/>
            <w:vAlign w:val="center"/>
          </w:tcPr>
          <w:p w:rsidR="007F1017" w:rsidRPr="00931642" w:rsidRDefault="00C05CB4" w:rsidP="006504C4">
            <w:pPr>
              <w:keepNext/>
              <w:widowControl/>
              <w:jc w:val="center"/>
              <w:rPr>
                <w:rFonts w:ascii="Arial Narrow" w:hAnsi="Arial Narrow"/>
                <w:sz w:val="20"/>
              </w:rPr>
            </w:pPr>
            <w:r w:rsidRPr="00931642">
              <w:rPr>
                <w:rFonts w:ascii="Arial Narrow" w:hAnsi="Arial Narrow"/>
                <w:sz w:val="20"/>
              </w:rPr>
              <w:t>Adverse events</w:t>
            </w:r>
          </w:p>
        </w:tc>
        <w:tc>
          <w:tcPr>
            <w:tcW w:w="838" w:type="pct"/>
            <w:shd w:val="clear" w:color="auto" w:fill="auto"/>
            <w:vAlign w:val="center"/>
          </w:tcPr>
          <w:p w:rsidR="007F1017" w:rsidRPr="00931642" w:rsidRDefault="00473789" w:rsidP="006504C4">
            <w:pPr>
              <w:keepNext/>
              <w:widowControl/>
              <w:jc w:val="center"/>
              <w:rPr>
                <w:rFonts w:ascii="Arial Narrow" w:hAnsi="Arial Narrow"/>
                <w:sz w:val="20"/>
              </w:rPr>
            </w:pPr>
            <w:r w:rsidRPr="00931642">
              <w:rPr>
                <w:rFonts w:ascii="Arial Narrow" w:hAnsi="Arial Narrow"/>
                <w:sz w:val="20"/>
              </w:rPr>
              <w:t>No</w:t>
            </w:r>
          </w:p>
        </w:tc>
      </w:tr>
      <w:tr w:rsidR="00C05CB4" w:rsidRPr="00931642" w:rsidTr="00C05CB4">
        <w:tc>
          <w:tcPr>
            <w:tcW w:w="5000" w:type="pct"/>
            <w:gridSpan w:val="7"/>
            <w:shd w:val="clear" w:color="auto" w:fill="auto"/>
            <w:vAlign w:val="center"/>
          </w:tcPr>
          <w:p w:rsidR="00C05CB4" w:rsidRPr="00931642" w:rsidRDefault="00C05CB4" w:rsidP="006504C4">
            <w:pPr>
              <w:keepNext/>
              <w:widowControl/>
              <w:jc w:val="left"/>
              <w:rPr>
                <w:rFonts w:ascii="Arial Narrow" w:hAnsi="Arial Narrow"/>
                <w:b/>
                <w:sz w:val="20"/>
              </w:rPr>
            </w:pPr>
            <w:r w:rsidRPr="00931642">
              <w:rPr>
                <w:rFonts w:ascii="Arial Narrow" w:hAnsi="Arial Narrow"/>
                <w:b/>
                <w:sz w:val="20"/>
              </w:rPr>
              <w:t xml:space="preserve">Pasireotide vs </w:t>
            </w:r>
            <w:r w:rsidR="00306A83" w:rsidRPr="00931642">
              <w:rPr>
                <w:rFonts w:ascii="Arial Narrow" w:hAnsi="Arial Narrow"/>
                <w:b/>
                <w:sz w:val="20"/>
              </w:rPr>
              <w:t>o</w:t>
            </w:r>
            <w:r w:rsidRPr="00931642">
              <w:rPr>
                <w:rFonts w:ascii="Arial Narrow" w:hAnsi="Arial Narrow"/>
                <w:b/>
                <w:sz w:val="20"/>
              </w:rPr>
              <w:t>ctreotide LAR/</w:t>
            </w:r>
            <w:r w:rsidR="00306A83" w:rsidRPr="00931642">
              <w:rPr>
                <w:rFonts w:ascii="Arial Narrow" w:hAnsi="Arial Narrow"/>
                <w:b/>
                <w:sz w:val="20"/>
              </w:rPr>
              <w:t>l</w:t>
            </w:r>
            <w:r w:rsidRPr="00931642">
              <w:rPr>
                <w:rFonts w:ascii="Arial Narrow" w:hAnsi="Arial Narrow"/>
                <w:b/>
                <w:sz w:val="20"/>
              </w:rPr>
              <w:t>anreotide ATG</w:t>
            </w:r>
          </w:p>
        </w:tc>
      </w:tr>
      <w:tr w:rsidR="0018233A" w:rsidRPr="00931642" w:rsidTr="0018233A">
        <w:tc>
          <w:tcPr>
            <w:tcW w:w="654" w:type="pct"/>
            <w:shd w:val="clear" w:color="auto" w:fill="auto"/>
            <w:vAlign w:val="center"/>
          </w:tcPr>
          <w:p w:rsidR="007F1017" w:rsidRPr="00931642" w:rsidRDefault="00C05CB4" w:rsidP="006504C4">
            <w:pPr>
              <w:keepNext/>
              <w:widowControl/>
              <w:jc w:val="left"/>
              <w:rPr>
                <w:rFonts w:ascii="Arial Narrow" w:hAnsi="Arial Narrow"/>
                <w:sz w:val="20"/>
              </w:rPr>
            </w:pPr>
            <w:r w:rsidRPr="00931642">
              <w:rPr>
                <w:rFonts w:ascii="Arial Narrow" w:hAnsi="Arial Narrow"/>
                <w:sz w:val="20"/>
              </w:rPr>
              <w:t>Gadelha 2014</w:t>
            </w:r>
          </w:p>
        </w:tc>
        <w:tc>
          <w:tcPr>
            <w:tcW w:w="232" w:type="pct"/>
            <w:shd w:val="clear" w:color="auto" w:fill="auto"/>
            <w:vAlign w:val="center"/>
          </w:tcPr>
          <w:p w:rsidR="007F1017" w:rsidRPr="00931642" w:rsidRDefault="00C05CB4" w:rsidP="006504C4">
            <w:pPr>
              <w:keepNext/>
              <w:widowControl/>
              <w:jc w:val="center"/>
              <w:rPr>
                <w:rFonts w:ascii="Arial Narrow" w:hAnsi="Arial Narrow"/>
                <w:sz w:val="20"/>
              </w:rPr>
            </w:pPr>
            <w:r w:rsidRPr="00931642">
              <w:rPr>
                <w:rFonts w:ascii="Arial Narrow" w:hAnsi="Arial Narrow"/>
                <w:sz w:val="20"/>
              </w:rPr>
              <w:t>198</w:t>
            </w:r>
          </w:p>
        </w:tc>
        <w:tc>
          <w:tcPr>
            <w:tcW w:w="996" w:type="pct"/>
            <w:shd w:val="clear" w:color="auto" w:fill="auto"/>
            <w:vAlign w:val="center"/>
          </w:tcPr>
          <w:p w:rsidR="007F1017" w:rsidRPr="00931642" w:rsidRDefault="00C05CB4" w:rsidP="006504C4">
            <w:pPr>
              <w:keepNext/>
              <w:widowControl/>
              <w:jc w:val="center"/>
              <w:rPr>
                <w:rFonts w:ascii="Arial Narrow" w:hAnsi="Arial Narrow"/>
                <w:sz w:val="20"/>
              </w:rPr>
            </w:pPr>
            <w:r w:rsidRPr="00931642">
              <w:rPr>
                <w:rFonts w:ascii="Arial Narrow" w:hAnsi="Arial Narrow"/>
                <w:sz w:val="20"/>
              </w:rPr>
              <w:t>R, MC, partially blinded, three-arm, active control</w:t>
            </w:r>
          </w:p>
          <w:p w:rsidR="00C05CB4" w:rsidRPr="00931642" w:rsidRDefault="00C05CB4" w:rsidP="006504C4">
            <w:pPr>
              <w:keepNext/>
              <w:widowControl/>
              <w:jc w:val="center"/>
              <w:rPr>
                <w:rFonts w:ascii="Arial Narrow" w:hAnsi="Arial Narrow"/>
                <w:sz w:val="20"/>
              </w:rPr>
            </w:pPr>
            <w:r w:rsidRPr="00931642">
              <w:rPr>
                <w:rFonts w:ascii="Arial Narrow" w:hAnsi="Arial Narrow"/>
                <w:sz w:val="20"/>
              </w:rPr>
              <w:t>24 weeks</w:t>
            </w:r>
          </w:p>
        </w:tc>
        <w:tc>
          <w:tcPr>
            <w:tcW w:w="373" w:type="pct"/>
            <w:shd w:val="clear" w:color="auto" w:fill="auto"/>
            <w:vAlign w:val="center"/>
          </w:tcPr>
          <w:p w:rsidR="007F1017" w:rsidRPr="00931642" w:rsidRDefault="00C05CB4" w:rsidP="006504C4">
            <w:pPr>
              <w:keepNext/>
              <w:widowControl/>
              <w:jc w:val="center"/>
              <w:rPr>
                <w:rFonts w:ascii="Arial Narrow" w:hAnsi="Arial Narrow"/>
                <w:sz w:val="20"/>
              </w:rPr>
            </w:pPr>
            <w:r w:rsidRPr="00931642">
              <w:rPr>
                <w:rFonts w:ascii="Arial Narrow" w:hAnsi="Arial Narrow"/>
                <w:sz w:val="20"/>
              </w:rPr>
              <w:t>Low</w:t>
            </w:r>
          </w:p>
        </w:tc>
        <w:tc>
          <w:tcPr>
            <w:tcW w:w="1143" w:type="pct"/>
            <w:shd w:val="clear" w:color="auto" w:fill="auto"/>
            <w:vAlign w:val="center"/>
          </w:tcPr>
          <w:p w:rsidR="007F1017" w:rsidRPr="00931642" w:rsidRDefault="000B340B" w:rsidP="006504C4">
            <w:pPr>
              <w:keepNext/>
              <w:widowControl/>
              <w:jc w:val="center"/>
              <w:rPr>
                <w:rFonts w:ascii="Arial Narrow" w:hAnsi="Arial Narrow"/>
                <w:sz w:val="20"/>
              </w:rPr>
            </w:pPr>
            <w:r w:rsidRPr="00931642">
              <w:rPr>
                <w:rFonts w:ascii="Arial Narrow" w:hAnsi="Arial Narrow"/>
                <w:sz w:val="20"/>
              </w:rPr>
              <w:t>Acromegaly inadequately controlled on octreotide LAR or lanreotide ATG</w:t>
            </w:r>
          </w:p>
        </w:tc>
        <w:tc>
          <w:tcPr>
            <w:tcW w:w="765" w:type="pct"/>
            <w:shd w:val="clear" w:color="auto" w:fill="auto"/>
            <w:vAlign w:val="center"/>
          </w:tcPr>
          <w:p w:rsidR="007F1017" w:rsidRPr="00931642" w:rsidRDefault="000B340B" w:rsidP="006504C4">
            <w:pPr>
              <w:keepNext/>
              <w:widowControl/>
              <w:jc w:val="center"/>
              <w:rPr>
                <w:rFonts w:ascii="Arial Narrow" w:hAnsi="Arial Narrow"/>
                <w:sz w:val="20"/>
              </w:rPr>
            </w:pPr>
            <w:r w:rsidRPr="00931642">
              <w:rPr>
                <w:rFonts w:ascii="Arial Narrow" w:hAnsi="Arial Narrow"/>
                <w:sz w:val="20"/>
              </w:rPr>
              <w:t>Biochemical control (IGF-1 and GH)</w:t>
            </w:r>
          </w:p>
        </w:tc>
        <w:tc>
          <w:tcPr>
            <w:tcW w:w="838" w:type="pct"/>
            <w:shd w:val="clear" w:color="auto" w:fill="auto"/>
            <w:vAlign w:val="center"/>
          </w:tcPr>
          <w:p w:rsidR="007F1017" w:rsidRPr="00931642" w:rsidRDefault="00306A83" w:rsidP="006504C4">
            <w:pPr>
              <w:keepNext/>
              <w:widowControl/>
              <w:jc w:val="center"/>
              <w:rPr>
                <w:rFonts w:ascii="Arial Narrow" w:hAnsi="Arial Narrow"/>
                <w:sz w:val="20"/>
              </w:rPr>
            </w:pPr>
            <w:r w:rsidRPr="00931642">
              <w:rPr>
                <w:rFonts w:ascii="Arial Narrow" w:hAnsi="Arial Narrow"/>
                <w:sz w:val="20"/>
              </w:rPr>
              <w:t>% normalised IGF-1</w:t>
            </w:r>
          </w:p>
        </w:tc>
      </w:tr>
    </w:tbl>
    <w:p w:rsidR="007F1017" w:rsidRPr="00931642" w:rsidRDefault="00C05CB4" w:rsidP="006504C4">
      <w:pPr>
        <w:pStyle w:val="TableFooter"/>
        <w:widowControl/>
        <w:ind w:left="709" w:firstLine="11"/>
      </w:pPr>
      <w:r w:rsidRPr="00931642">
        <w:t xml:space="preserve">Abbreviations: ATG, autogel; </w:t>
      </w:r>
      <w:r w:rsidR="007F1017" w:rsidRPr="00931642">
        <w:t>DB</w:t>
      </w:r>
      <w:r w:rsidR="00363574" w:rsidRPr="00931642">
        <w:t xml:space="preserve">, </w:t>
      </w:r>
      <w:r w:rsidR="007F1017" w:rsidRPr="00931642">
        <w:t xml:space="preserve">double blind; </w:t>
      </w:r>
      <w:r w:rsidR="000B340B" w:rsidRPr="00931642">
        <w:t xml:space="preserve">GH, growth hormone; </w:t>
      </w:r>
      <w:r w:rsidR="00473789" w:rsidRPr="00931642">
        <w:t xml:space="preserve">IGF-1, insulin-like growth factor-1; </w:t>
      </w:r>
      <w:r w:rsidR="007F1017" w:rsidRPr="00931642">
        <w:t>MC</w:t>
      </w:r>
      <w:r w:rsidR="00363574" w:rsidRPr="00931642">
        <w:t xml:space="preserve">, </w:t>
      </w:r>
      <w:r w:rsidR="007F1017" w:rsidRPr="00931642">
        <w:t>multi-centre;</w:t>
      </w:r>
      <w:r w:rsidRPr="00931642">
        <w:t xml:space="preserve"> LAR, long acting release; </w:t>
      </w:r>
      <w:r w:rsidR="007F1017" w:rsidRPr="00931642">
        <w:t>OL</w:t>
      </w:r>
      <w:r w:rsidR="00363574" w:rsidRPr="00931642">
        <w:t xml:space="preserve">, </w:t>
      </w:r>
      <w:r w:rsidR="007F1017" w:rsidRPr="00931642">
        <w:t>open label;</w:t>
      </w:r>
      <w:r w:rsidR="00363574" w:rsidRPr="00931642">
        <w:t xml:space="preserve"> </w:t>
      </w:r>
      <w:r w:rsidR="007F1017" w:rsidRPr="00931642">
        <w:t>R</w:t>
      </w:r>
      <w:r w:rsidR="00363574" w:rsidRPr="00931642">
        <w:t xml:space="preserve">, </w:t>
      </w:r>
      <w:r w:rsidR="007F1017" w:rsidRPr="00931642">
        <w:t>randomised.</w:t>
      </w:r>
    </w:p>
    <w:p w:rsidR="007F1017" w:rsidRPr="00931642" w:rsidRDefault="007F1017" w:rsidP="006504C4">
      <w:pPr>
        <w:pStyle w:val="TableFooter"/>
        <w:widowControl/>
        <w:ind w:firstLine="720"/>
      </w:pPr>
      <w:r w:rsidRPr="00931642">
        <w:t>Source: compiled during the evaluation</w:t>
      </w:r>
    </w:p>
    <w:p w:rsidR="00306A83" w:rsidRPr="00931642" w:rsidRDefault="00306A83" w:rsidP="006504C4">
      <w:pPr>
        <w:widowControl/>
        <w:ind w:left="720"/>
      </w:pPr>
    </w:p>
    <w:p w:rsidR="00ED5AA2" w:rsidRPr="00931642" w:rsidRDefault="00E52AE1" w:rsidP="006504C4">
      <w:pPr>
        <w:pStyle w:val="ListParagraph"/>
        <w:widowControl/>
        <w:numPr>
          <w:ilvl w:val="1"/>
          <w:numId w:val="6"/>
        </w:numPr>
        <w:rPr>
          <w:szCs w:val="22"/>
        </w:rPr>
      </w:pPr>
      <w:r w:rsidRPr="00931642">
        <w:rPr>
          <w:szCs w:val="22"/>
        </w:rPr>
        <w:t xml:space="preserve">The ESC noted that the primary outcome for the pegvisomant trial, Trial 3614, did not include biochemical control in terms of growth hormone </w:t>
      </w:r>
      <w:r w:rsidR="00377F0E" w:rsidRPr="00931642">
        <w:rPr>
          <w:szCs w:val="22"/>
        </w:rPr>
        <w:t xml:space="preserve">levels </w:t>
      </w:r>
      <w:r w:rsidRPr="00931642">
        <w:rPr>
          <w:szCs w:val="22"/>
        </w:rPr>
        <w:t>because pegvisomant does not reduce the secretion of growth hormone</w:t>
      </w:r>
      <w:r w:rsidR="00305B45" w:rsidRPr="00931642">
        <w:rPr>
          <w:szCs w:val="22"/>
        </w:rPr>
        <w:t xml:space="preserve"> (</w:t>
      </w:r>
      <w:r w:rsidRPr="00931642">
        <w:rPr>
          <w:szCs w:val="22"/>
        </w:rPr>
        <w:t>unlike the SSAs</w:t>
      </w:r>
      <w:r w:rsidR="00305B45" w:rsidRPr="00931642">
        <w:rPr>
          <w:szCs w:val="22"/>
        </w:rPr>
        <w:t>)</w:t>
      </w:r>
      <w:r w:rsidRPr="00931642">
        <w:rPr>
          <w:szCs w:val="22"/>
        </w:rPr>
        <w:t xml:space="preserve">. </w:t>
      </w:r>
    </w:p>
    <w:p w:rsidR="00ED5AA2" w:rsidRPr="00931642" w:rsidRDefault="00ED5AA2" w:rsidP="006504C4">
      <w:pPr>
        <w:pStyle w:val="ListParagraph"/>
        <w:widowControl/>
        <w:rPr>
          <w:szCs w:val="22"/>
        </w:rPr>
      </w:pPr>
    </w:p>
    <w:p w:rsidR="00E52AE1" w:rsidRPr="00931642" w:rsidRDefault="00ED5AA2" w:rsidP="006504C4">
      <w:pPr>
        <w:pStyle w:val="ListParagraph"/>
        <w:widowControl/>
        <w:numPr>
          <w:ilvl w:val="1"/>
          <w:numId w:val="6"/>
        </w:numPr>
        <w:rPr>
          <w:szCs w:val="22"/>
        </w:rPr>
      </w:pPr>
      <w:r w:rsidRPr="00931642">
        <w:t xml:space="preserve">IGF-1 normalisation was used as a surrogate for mortality and morbidity associated with acromegaly. The </w:t>
      </w:r>
      <w:r w:rsidR="00916F54" w:rsidRPr="00931642">
        <w:t xml:space="preserve">evaluation considered that the </w:t>
      </w:r>
      <w:r w:rsidRPr="00931642">
        <w:t>causal relationship between IGF-1 and mortality was weakly supported by the available evidence</w:t>
      </w:r>
      <w:r w:rsidRPr="00931642">
        <w:rPr>
          <w:szCs w:val="22"/>
        </w:rPr>
        <w:t xml:space="preserve">. </w:t>
      </w:r>
      <w:r w:rsidR="00533DB6" w:rsidRPr="00931642">
        <w:rPr>
          <w:szCs w:val="22"/>
        </w:rPr>
        <w:t>The PSCR (</w:t>
      </w:r>
      <w:r w:rsidR="0069792B" w:rsidRPr="00931642">
        <w:rPr>
          <w:szCs w:val="22"/>
        </w:rPr>
        <w:t>p3</w:t>
      </w:r>
      <w:r w:rsidR="00533DB6" w:rsidRPr="00931642">
        <w:rPr>
          <w:szCs w:val="22"/>
        </w:rPr>
        <w:t xml:space="preserve">) did not agree that the relationship </w:t>
      </w:r>
      <w:r w:rsidRPr="00931642">
        <w:rPr>
          <w:szCs w:val="22"/>
        </w:rPr>
        <w:t>was weakly supported and re</w:t>
      </w:r>
      <w:r w:rsidR="008A7349" w:rsidRPr="00931642">
        <w:rPr>
          <w:szCs w:val="22"/>
        </w:rPr>
        <w:t>fer</w:t>
      </w:r>
      <w:r w:rsidR="00BB29C6" w:rsidRPr="00931642">
        <w:rPr>
          <w:szCs w:val="22"/>
        </w:rPr>
        <w:t>r</w:t>
      </w:r>
      <w:r w:rsidRPr="00931642">
        <w:rPr>
          <w:szCs w:val="22"/>
        </w:rPr>
        <w:t xml:space="preserve">ed </w:t>
      </w:r>
      <w:r w:rsidR="00DC6642" w:rsidRPr="00931642">
        <w:rPr>
          <w:szCs w:val="22"/>
        </w:rPr>
        <w:t xml:space="preserve">to </w:t>
      </w:r>
      <w:r w:rsidR="00533DB6" w:rsidRPr="00931642">
        <w:rPr>
          <w:szCs w:val="22"/>
        </w:rPr>
        <w:t>the list of observational studies included in the submission to support a positive correlati</w:t>
      </w:r>
      <w:r w:rsidR="006E214E" w:rsidRPr="00931642">
        <w:rPr>
          <w:szCs w:val="22"/>
        </w:rPr>
        <w:t>on between IGF-1 and mortality</w:t>
      </w:r>
      <w:r w:rsidR="00533DB6" w:rsidRPr="00931642">
        <w:rPr>
          <w:szCs w:val="22"/>
        </w:rPr>
        <w:t>.</w:t>
      </w:r>
      <w:r w:rsidR="006E214E" w:rsidRPr="00931642">
        <w:rPr>
          <w:szCs w:val="22"/>
        </w:rPr>
        <w:t xml:space="preserve"> The ESC</w:t>
      </w:r>
      <w:r w:rsidR="006E214E" w:rsidRPr="00931642">
        <w:t xml:space="preserve"> </w:t>
      </w:r>
      <w:r w:rsidR="006E214E" w:rsidRPr="00931642">
        <w:rPr>
          <w:szCs w:val="22"/>
        </w:rPr>
        <w:t xml:space="preserve">considered that while it was plausible that a reduction in IGF-1 levels may translate to a reduction in mortality risk, </w:t>
      </w:r>
      <w:r w:rsidR="00916F54" w:rsidRPr="00931642">
        <w:t xml:space="preserve">the use of IGF-1 normalisation as the outcome </w:t>
      </w:r>
      <w:r w:rsidR="00E00B72" w:rsidRPr="00931642">
        <w:t xml:space="preserve">did </w:t>
      </w:r>
      <w:r w:rsidR="00916F54" w:rsidRPr="00931642">
        <w:t>not consider reductions in IGF-1 that do not reach normal but may still confer some clinical benefit</w:t>
      </w:r>
      <w:r w:rsidR="00916F54" w:rsidRPr="00931642">
        <w:rPr>
          <w:szCs w:val="22"/>
        </w:rPr>
        <w:t xml:space="preserve">. The ESC further considered that the relationship </w:t>
      </w:r>
      <w:r w:rsidR="00462302" w:rsidRPr="00931642">
        <w:t xml:space="preserve">established </w:t>
      </w:r>
      <w:r w:rsidR="00DD2377" w:rsidRPr="00931642">
        <w:t>between IGF-1 response and mortality with</w:t>
      </w:r>
      <w:r w:rsidR="00462302" w:rsidRPr="00931642">
        <w:t xml:space="preserve"> SSAs may not be directly applicable to that for pegvisomant, which has a differen</w:t>
      </w:r>
      <w:r w:rsidR="00DD2377" w:rsidRPr="00931642">
        <w:t>t</w:t>
      </w:r>
      <w:r w:rsidR="00462302" w:rsidRPr="00931642">
        <w:t xml:space="preserve"> mechanism of action.</w:t>
      </w:r>
    </w:p>
    <w:p w:rsidR="00CF6653" w:rsidRPr="00931642" w:rsidRDefault="00CF6653" w:rsidP="006504C4">
      <w:pPr>
        <w:pStyle w:val="ListParagraph"/>
        <w:widowControl/>
        <w:rPr>
          <w:szCs w:val="22"/>
        </w:rPr>
      </w:pPr>
    </w:p>
    <w:p w:rsidR="00CF6653" w:rsidRPr="00931642" w:rsidRDefault="006606CB" w:rsidP="006504C4">
      <w:pPr>
        <w:widowControl/>
        <w:numPr>
          <w:ilvl w:val="1"/>
          <w:numId w:val="6"/>
        </w:numPr>
        <w:rPr>
          <w:szCs w:val="22"/>
        </w:rPr>
      </w:pPr>
      <w:r w:rsidRPr="00931642">
        <w:rPr>
          <w:szCs w:val="22"/>
        </w:rPr>
        <w:t xml:space="preserve">The PBAC </w:t>
      </w:r>
      <w:r w:rsidR="00127DB2" w:rsidRPr="00931642">
        <w:rPr>
          <w:szCs w:val="22"/>
        </w:rPr>
        <w:t xml:space="preserve">agreed with the ESC </w:t>
      </w:r>
      <w:r w:rsidR="00EA05FF" w:rsidRPr="00931642">
        <w:rPr>
          <w:szCs w:val="22"/>
        </w:rPr>
        <w:t xml:space="preserve">that it is plausible that normalised IGF-1 </w:t>
      </w:r>
      <w:r w:rsidR="00127DB2" w:rsidRPr="00931642">
        <w:rPr>
          <w:szCs w:val="22"/>
        </w:rPr>
        <w:t xml:space="preserve">may translate to a reduction in </w:t>
      </w:r>
      <w:r w:rsidR="00A054A2" w:rsidRPr="00931642">
        <w:rPr>
          <w:szCs w:val="22"/>
        </w:rPr>
        <w:t xml:space="preserve">mortality </w:t>
      </w:r>
      <w:r w:rsidR="00127DB2" w:rsidRPr="00931642">
        <w:rPr>
          <w:szCs w:val="22"/>
        </w:rPr>
        <w:t>risk</w:t>
      </w:r>
      <w:r w:rsidR="00EA05FF" w:rsidRPr="00931642">
        <w:rPr>
          <w:szCs w:val="22"/>
        </w:rPr>
        <w:t>.</w:t>
      </w:r>
    </w:p>
    <w:p w:rsidR="00E52AE1" w:rsidRPr="00931642" w:rsidRDefault="00E52AE1" w:rsidP="006504C4">
      <w:pPr>
        <w:pStyle w:val="ListParagraph"/>
        <w:widowControl/>
        <w:rPr>
          <w:i/>
          <w:szCs w:val="22"/>
        </w:rPr>
      </w:pPr>
    </w:p>
    <w:p w:rsidR="00B60939" w:rsidRPr="00931642" w:rsidRDefault="00B60939" w:rsidP="006B7F68">
      <w:pPr>
        <w:pStyle w:val="Heading3"/>
        <w:keepNext/>
      </w:pPr>
      <w:bookmarkStart w:id="10" w:name="_Toc461530918"/>
      <w:r w:rsidRPr="00931642">
        <w:t>Comparative effectiveness</w:t>
      </w:r>
      <w:bookmarkEnd w:id="10"/>
    </w:p>
    <w:p w:rsidR="00B60939" w:rsidRPr="00931642" w:rsidRDefault="00B60939" w:rsidP="006B7F68">
      <w:pPr>
        <w:keepNext/>
        <w:widowControl/>
        <w:rPr>
          <w:szCs w:val="22"/>
        </w:rPr>
      </w:pPr>
    </w:p>
    <w:p w:rsidR="00E35A5A" w:rsidRPr="00931642" w:rsidRDefault="005D23C4" w:rsidP="006504C4">
      <w:pPr>
        <w:pStyle w:val="ListParagraph"/>
        <w:widowControl/>
        <w:numPr>
          <w:ilvl w:val="1"/>
          <w:numId w:val="6"/>
        </w:numPr>
        <w:rPr>
          <w:i/>
          <w:szCs w:val="22"/>
        </w:rPr>
      </w:pPr>
      <w:r w:rsidRPr="00931642">
        <w:rPr>
          <w:szCs w:val="22"/>
        </w:rPr>
        <w:t xml:space="preserve">Table </w:t>
      </w:r>
      <w:r w:rsidR="007B5895" w:rsidRPr="00931642">
        <w:rPr>
          <w:szCs w:val="22"/>
        </w:rPr>
        <w:t>3</w:t>
      </w:r>
      <w:r w:rsidRPr="00931642">
        <w:rPr>
          <w:szCs w:val="22"/>
        </w:rPr>
        <w:t xml:space="preserve"> presents the proportion of patients who achieved normalisation of IGF-1 concentrations in the overall population and PBS subgroup of </w:t>
      </w:r>
      <w:r w:rsidR="0018233A" w:rsidRPr="00931642">
        <w:rPr>
          <w:szCs w:val="22"/>
        </w:rPr>
        <w:t xml:space="preserve">the </w:t>
      </w:r>
      <w:r w:rsidRPr="00931642">
        <w:rPr>
          <w:szCs w:val="22"/>
        </w:rPr>
        <w:t>key pegvisomant</w:t>
      </w:r>
      <w:r w:rsidR="0018233A" w:rsidRPr="00931642">
        <w:rPr>
          <w:szCs w:val="22"/>
        </w:rPr>
        <w:t xml:space="preserve"> trial,</w:t>
      </w:r>
      <w:r w:rsidRPr="00931642">
        <w:rPr>
          <w:szCs w:val="22"/>
        </w:rPr>
        <w:t xml:space="preserve"> Trial 3614.</w:t>
      </w:r>
      <w:r w:rsidRPr="00931642">
        <w:t xml:space="preserve"> </w:t>
      </w:r>
      <w:r w:rsidR="00E35A5A" w:rsidRPr="00931642">
        <w:t xml:space="preserve">The submission </w:t>
      </w:r>
      <w:r w:rsidR="00832DE5" w:rsidRPr="00931642">
        <w:t xml:space="preserve">and the ESC </w:t>
      </w:r>
      <w:r w:rsidR="00E35A5A" w:rsidRPr="00931642">
        <w:t xml:space="preserve">noted the uncertainty around the estimates given the small sample sizes and </w:t>
      </w:r>
      <w:r w:rsidR="00377F0E" w:rsidRPr="00931642">
        <w:t xml:space="preserve">consequently </w:t>
      </w:r>
      <w:r w:rsidR="00935905" w:rsidRPr="00931642">
        <w:t xml:space="preserve">wide </w:t>
      </w:r>
      <w:r w:rsidR="00E35A5A" w:rsidRPr="00931642">
        <w:t xml:space="preserve">confidence </w:t>
      </w:r>
      <w:r w:rsidR="00935905" w:rsidRPr="00931642">
        <w:t>interval</w:t>
      </w:r>
      <w:r w:rsidR="00E35A5A" w:rsidRPr="00931642">
        <w:t>s for the PBS subgroup comparisons.</w:t>
      </w:r>
    </w:p>
    <w:p w:rsidR="005D23C4" w:rsidRPr="00931642" w:rsidRDefault="005D23C4" w:rsidP="006504C4">
      <w:pPr>
        <w:widowControl/>
        <w:ind w:left="709"/>
      </w:pPr>
    </w:p>
    <w:p w:rsidR="005D23C4" w:rsidRPr="00931642" w:rsidRDefault="005D23C4" w:rsidP="006504C4">
      <w:pPr>
        <w:widowControl/>
        <w:ind w:left="709"/>
        <w:rPr>
          <w:rStyle w:val="CommentReference"/>
        </w:rPr>
      </w:pPr>
      <w:r w:rsidRPr="00931642">
        <w:rPr>
          <w:rStyle w:val="CommentReference"/>
        </w:rPr>
        <w:t xml:space="preserve">Table </w:t>
      </w:r>
      <w:r w:rsidR="007B5895" w:rsidRPr="00931642">
        <w:rPr>
          <w:rStyle w:val="CommentReference"/>
        </w:rPr>
        <w:t>3</w:t>
      </w:r>
      <w:r w:rsidRPr="00931642">
        <w:rPr>
          <w:rStyle w:val="CommentReference"/>
        </w:rPr>
        <w:t>:</w:t>
      </w:r>
      <w:r w:rsidRPr="00931642">
        <w:rPr>
          <w:rStyle w:val="CommentReference"/>
        </w:rPr>
        <w:tab/>
        <w:t>Patients with IGF-1 normalisation at Week 12, Trial 3614 overall subjects and PBS subgroup</w:t>
      </w:r>
    </w:p>
    <w:tbl>
      <w:tblPr>
        <w:tblW w:w="8363" w:type="dxa"/>
        <w:tblInd w:w="729" w:type="dxa"/>
        <w:tblLayout w:type="fixed"/>
        <w:tblCellMar>
          <w:left w:w="0" w:type="dxa"/>
          <w:right w:w="0" w:type="dxa"/>
        </w:tblCellMar>
        <w:tblLook w:val="0000" w:firstRow="0" w:lastRow="0" w:firstColumn="0" w:lastColumn="0" w:noHBand="0" w:noVBand="0"/>
      </w:tblPr>
      <w:tblGrid>
        <w:gridCol w:w="2268"/>
        <w:gridCol w:w="1276"/>
        <w:gridCol w:w="1606"/>
        <w:gridCol w:w="1606"/>
        <w:gridCol w:w="1607"/>
      </w:tblGrid>
      <w:tr w:rsidR="005D23C4" w:rsidRPr="00931642" w:rsidTr="00465242">
        <w:trPr>
          <w:cantSplit/>
          <w:tblHeader/>
        </w:trPr>
        <w:tc>
          <w:tcPr>
            <w:tcW w:w="2268" w:type="dxa"/>
            <w:vMerge w:val="restart"/>
            <w:tcBorders>
              <w:top w:val="single" w:sz="4" w:space="0" w:color="auto"/>
              <w:left w:val="single" w:sz="2" w:space="0" w:color="000000"/>
              <w:right w:val="nil"/>
            </w:tcBorders>
            <w:shd w:val="clear" w:color="auto" w:fill="auto"/>
            <w:tcMar>
              <w:left w:w="20" w:type="dxa"/>
              <w:right w:w="20" w:type="dxa"/>
            </w:tcMar>
            <w:vAlign w:val="center"/>
          </w:tcPr>
          <w:p w:rsidR="005D23C4" w:rsidRPr="00931642" w:rsidRDefault="005D23C4" w:rsidP="006504C4">
            <w:pPr>
              <w:widowControl/>
              <w:jc w:val="left"/>
              <w:rPr>
                <w:rFonts w:ascii="Arial Narrow" w:hAnsi="Arial Narrow"/>
                <w:b/>
                <w:sz w:val="20"/>
              </w:rPr>
            </w:pPr>
            <w:r w:rsidRPr="00931642">
              <w:rPr>
                <w:rFonts w:ascii="Arial Narrow" w:hAnsi="Arial Narrow"/>
                <w:b/>
                <w:sz w:val="20"/>
              </w:rPr>
              <w:t>IGF-1 normalisation</w:t>
            </w:r>
          </w:p>
        </w:tc>
        <w:tc>
          <w:tcPr>
            <w:tcW w:w="1276" w:type="dxa"/>
            <w:vMerge w:val="restart"/>
            <w:tcBorders>
              <w:top w:val="single" w:sz="4" w:space="0" w:color="auto"/>
              <w:left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b/>
                <w:sz w:val="20"/>
              </w:rPr>
            </w:pPr>
            <w:r w:rsidRPr="00931642">
              <w:rPr>
                <w:rFonts w:ascii="Arial Narrow" w:hAnsi="Arial Narrow"/>
                <w:b/>
                <w:sz w:val="20"/>
              </w:rPr>
              <w:t>Placebo</w:t>
            </w:r>
          </w:p>
        </w:tc>
        <w:tc>
          <w:tcPr>
            <w:tcW w:w="4819" w:type="dxa"/>
            <w:gridSpan w:val="3"/>
            <w:tcBorders>
              <w:top w:val="single" w:sz="4" w:space="0" w:color="auto"/>
              <w:left w:val="single" w:sz="2" w:space="0" w:color="000000"/>
              <w:bottom w:val="single" w:sz="2" w:space="0" w:color="000000"/>
              <w:right w:val="single" w:sz="2" w:space="0" w:color="000000"/>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b/>
                <w:sz w:val="20"/>
              </w:rPr>
            </w:pPr>
            <w:r w:rsidRPr="00931642">
              <w:rPr>
                <w:rFonts w:ascii="Arial Narrow" w:hAnsi="Arial Narrow"/>
                <w:b/>
                <w:sz w:val="20"/>
              </w:rPr>
              <w:t>Pegvisomant</w:t>
            </w:r>
          </w:p>
        </w:tc>
      </w:tr>
      <w:tr w:rsidR="005D23C4" w:rsidRPr="00931642" w:rsidTr="00465242">
        <w:trPr>
          <w:cantSplit/>
          <w:tblHeader/>
        </w:trPr>
        <w:tc>
          <w:tcPr>
            <w:tcW w:w="2268" w:type="dxa"/>
            <w:vMerge/>
            <w:tcBorders>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left"/>
              <w:rPr>
                <w:rFonts w:ascii="Arial Narrow" w:hAnsi="Arial Narrow"/>
                <w:b/>
                <w:sz w:val="20"/>
              </w:rPr>
            </w:pPr>
          </w:p>
        </w:tc>
        <w:tc>
          <w:tcPr>
            <w:tcW w:w="1276" w:type="dxa"/>
            <w:vMerge/>
            <w:tcBorders>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b/>
                <w:sz w:val="20"/>
              </w:rPr>
            </w:pP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b/>
                <w:sz w:val="20"/>
              </w:rPr>
            </w:pPr>
            <w:r w:rsidRPr="00931642">
              <w:rPr>
                <w:rFonts w:ascii="Arial Narrow" w:hAnsi="Arial Narrow"/>
                <w:b/>
                <w:sz w:val="20"/>
              </w:rPr>
              <w:t>10 mg/day</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b/>
                <w:sz w:val="20"/>
              </w:rPr>
            </w:pPr>
            <w:r w:rsidRPr="00931642">
              <w:rPr>
                <w:rFonts w:ascii="Arial Narrow" w:hAnsi="Arial Narrow"/>
                <w:b/>
                <w:sz w:val="20"/>
              </w:rPr>
              <w:t>15 mg/day</w:t>
            </w:r>
          </w:p>
        </w:tc>
        <w:tc>
          <w:tcPr>
            <w:tcW w:w="1607" w:type="dxa"/>
            <w:tcBorders>
              <w:top w:val="nil"/>
              <w:left w:val="single" w:sz="2" w:space="0" w:color="000000"/>
              <w:bottom w:val="single" w:sz="2" w:space="0" w:color="000000"/>
              <w:right w:val="single" w:sz="2" w:space="0" w:color="000000"/>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b/>
                <w:sz w:val="20"/>
              </w:rPr>
            </w:pPr>
            <w:r w:rsidRPr="00931642">
              <w:rPr>
                <w:rFonts w:ascii="Arial Narrow" w:hAnsi="Arial Narrow"/>
                <w:b/>
                <w:sz w:val="20"/>
              </w:rPr>
              <w:t>20 mg/day</w:t>
            </w:r>
          </w:p>
        </w:tc>
      </w:tr>
      <w:tr w:rsidR="005D23C4" w:rsidRPr="00931642" w:rsidTr="00D030EB">
        <w:trPr>
          <w:cantSplit/>
        </w:trPr>
        <w:tc>
          <w:tcPr>
            <w:tcW w:w="8363" w:type="dxa"/>
            <w:gridSpan w:val="5"/>
            <w:tcBorders>
              <w:top w:val="nil"/>
              <w:left w:val="single" w:sz="2" w:space="0" w:color="000000"/>
              <w:bottom w:val="single" w:sz="2" w:space="0" w:color="000000"/>
              <w:right w:val="single" w:sz="4" w:space="0" w:color="auto"/>
            </w:tcBorders>
            <w:shd w:val="clear" w:color="auto" w:fill="auto"/>
            <w:tcMar>
              <w:left w:w="20" w:type="dxa"/>
              <w:right w:w="20" w:type="dxa"/>
            </w:tcMar>
            <w:vAlign w:val="center"/>
          </w:tcPr>
          <w:p w:rsidR="005D23C4" w:rsidRPr="00931642" w:rsidRDefault="005D23C4" w:rsidP="006504C4">
            <w:pPr>
              <w:widowControl/>
              <w:jc w:val="left"/>
              <w:rPr>
                <w:rFonts w:ascii="Arial Narrow" w:hAnsi="Arial Narrow"/>
                <w:sz w:val="20"/>
              </w:rPr>
            </w:pPr>
            <w:r w:rsidRPr="00931642">
              <w:rPr>
                <w:rFonts w:ascii="Arial Narrow" w:hAnsi="Arial Narrow"/>
                <w:b/>
                <w:sz w:val="20"/>
              </w:rPr>
              <w:t>Overall population (ITT)</w:t>
            </w:r>
          </w:p>
        </w:tc>
      </w:tr>
      <w:tr w:rsidR="005D23C4" w:rsidRPr="00931642" w:rsidTr="00465242">
        <w:trPr>
          <w:cantSplit/>
        </w:trPr>
        <w:tc>
          <w:tcPr>
            <w:tcW w:w="2268"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left"/>
              <w:rPr>
                <w:rFonts w:ascii="Arial Narrow" w:hAnsi="Arial Narrow"/>
                <w:sz w:val="20"/>
              </w:rPr>
            </w:pPr>
            <w:r w:rsidRPr="00931642">
              <w:rPr>
                <w:rFonts w:ascii="Arial Narrow" w:hAnsi="Arial Narrow"/>
                <w:sz w:val="20"/>
              </w:rPr>
              <w:t>At week 12, n/N (%)</w:t>
            </w:r>
          </w:p>
        </w:tc>
        <w:tc>
          <w:tcPr>
            <w:tcW w:w="127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3/31 (9.7)</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10/26 (38.5)</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18/26 (75.0)</w:t>
            </w:r>
          </w:p>
        </w:tc>
        <w:tc>
          <w:tcPr>
            <w:tcW w:w="1607" w:type="dxa"/>
            <w:tcBorders>
              <w:top w:val="nil"/>
              <w:left w:val="single" w:sz="2" w:space="0" w:color="000000"/>
              <w:bottom w:val="single" w:sz="2" w:space="0" w:color="000000"/>
              <w:right w:val="single" w:sz="2" w:space="0" w:color="000000"/>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23/28 (82.1)</w:t>
            </w:r>
          </w:p>
        </w:tc>
      </w:tr>
      <w:tr w:rsidR="005D23C4" w:rsidRPr="00931642" w:rsidTr="00465242">
        <w:trPr>
          <w:cantSplit/>
        </w:trPr>
        <w:tc>
          <w:tcPr>
            <w:tcW w:w="2268"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left"/>
              <w:rPr>
                <w:rFonts w:ascii="Arial Narrow" w:hAnsi="Arial Narrow"/>
                <w:sz w:val="20"/>
              </w:rPr>
            </w:pPr>
            <w:r w:rsidRPr="00931642">
              <w:rPr>
                <w:rFonts w:ascii="Arial Narrow" w:hAnsi="Arial Narrow"/>
                <w:sz w:val="20"/>
              </w:rPr>
              <w:t>P-value vs placebo</w:t>
            </w:r>
          </w:p>
        </w:tc>
        <w:tc>
          <w:tcPr>
            <w:tcW w:w="127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p=0.0157</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p=0.0001</w:t>
            </w:r>
          </w:p>
        </w:tc>
        <w:tc>
          <w:tcPr>
            <w:tcW w:w="1607" w:type="dxa"/>
            <w:tcBorders>
              <w:top w:val="nil"/>
              <w:left w:val="single" w:sz="2" w:space="0" w:color="000000"/>
              <w:bottom w:val="single" w:sz="2" w:space="0" w:color="000000"/>
              <w:right w:val="single" w:sz="2" w:space="0" w:color="000000"/>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p=0.0001</w:t>
            </w:r>
          </w:p>
        </w:tc>
      </w:tr>
      <w:tr w:rsidR="005D23C4" w:rsidRPr="00931642" w:rsidTr="00D030EB">
        <w:trPr>
          <w:cantSplit/>
        </w:trPr>
        <w:tc>
          <w:tcPr>
            <w:tcW w:w="8363" w:type="dxa"/>
            <w:gridSpan w:val="5"/>
            <w:tcBorders>
              <w:top w:val="nil"/>
              <w:left w:val="single" w:sz="2" w:space="0" w:color="000000"/>
              <w:bottom w:val="single" w:sz="2" w:space="0" w:color="000000"/>
              <w:right w:val="single" w:sz="4" w:space="0" w:color="auto"/>
            </w:tcBorders>
            <w:shd w:val="clear" w:color="auto" w:fill="auto"/>
            <w:tcMar>
              <w:left w:w="20" w:type="dxa"/>
              <w:right w:w="20" w:type="dxa"/>
            </w:tcMar>
            <w:vAlign w:val="center"/>
          </w:tcPr>
          <w:p w:rsidR="005D23C4" w:rsidRPr="00931642" w:rsidRDefault="005D23C4" w:rsidP="006504C4">
            <w:pPr>
              <w:widowControl/>
              <w:jc w:val="left"/>
              <w:rPr>
                <w:rFonts w:ascii="Arial Narrow" w:hAnsi="Arial Narrow"/>
                <w:b/>
                <w:sz w:val="20"/>
              </w:rPr>
            </w:pPr>
            <w:r w:rsidRPr="00931642">
              <w:rPr>
                <w:rFonts w:ascii="Arial Narrow" w:hAnsi="Arial Narrow"/>
                <w:b/>
                <w:sz w:val="20"/>
              </w:rPr>
              <w:t>PBS subgroup</w:t>
            </w:r>
          </w:p>
        </w:tc>
      </w:tr>
      <w:tr w:rsidR="005D23C4" w:rsidRPr="00931642" w:rsidTr="00465242">
        <w:trPr>
          <w:cantSplit/>
        </w:trPr>
        <w:tc>
          <w:tcPr>
            <w:tcW w:w="2268"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left"/>
              <w:rPr>
                <w:rFonts w:ascii="Arial Narrow" w:hAnsi="Arial Narrow"/>
                <w:sz w:val="20"/>
              </w:rPr>
            </w:pPr>
            <w:r w:rsidRPr="00931642">
              <w:rPr>
                <w:rFonts w:ascii="Arial Narrow" w:hAnsi="Arial Narrow"/>
                <w:sz w:val="20"/>
              </w:rPr>
              <w:t>At week 12, n/N (%)</w:t>
            </w:r>
          </w:p>
        </w:tc>
        <w:tc>
          <w:tcPr>
            <w:tcW w:w="127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2/19 (10.5)</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2/11 (18.2)</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7/12 (58.3)</w:t>
            </w:r>
          </w:p>
        </w:tc>
        <w:tc>
          <w:tcPr>
            <w:tcW w:w="1607" w:type="dxa"/>
            <w:tcBorders>
              <w:top w:val="nil"/>
              <w:left w:val="single" w:sz="2" w:space="0" w:color="000000"/>
              <w:bottom w:val="single" w:sz="2" w:space="0" w:color="000000"/>
              <w:right w:val="single" w:sz="2" w:space="0" w:color="000000"/>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14/18 (77.8)</w:t>
            </w:r>
          </w:p>
        </w:tc>
      </w:tr>
      <w:tr w:rsidR="005D23C4" w:rsidRPr="00931642" w:rsidTr="00465242">
        <w:trPr>
          <w:cantSplit/>
        </w:trPr>
        <w:tc>
          <w:tcPr>
            <w:tcW w:w="2268"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left"/>
              <w:rPr>
                <w:rFonts w:ascii="Arial Narrow" w:hAnsi="Arial Narrow"/>
                <w:sz w:val="20"/>
              </w:rPr>
            </w:pPr>
            <w:r w:rsidRPr="00931642">
              <w:rPr>
                <w:rFonts w:ascii="Arial Narrow" w:hAnsi="Arial Narrow"/>
                <w:sz w:val="20"/>
              </w:rPr>
              <w:t>Adjusted odds ratio (95% CI) vs placebo</w:t>
            </w:r>
          </w:p>
        </w:tc>
        <w:tc>
          <w:tcPr>
            <w:tcW w:w="127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2.09 (0.1, 34.7)</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11.64 (1.5, 164.2)</w:t>
            </w:r>
          </w:p>
        </w:tc>
        <w:tc>
          <w:tcPr>
            <w:tcW w:w="1607" w:type="dxa"/>
            <w:tcBorders>
              <w:top w:val="nil"/>
              <w:left w:val="single" w:sz="2" w:space="0" w:color="000000"/>
              <w:bottom w:val="single" w:sz="2" w:space="0" w:color="000000"/>
              <w:right w:val="single" w:sz="2" w:space="0" w:color="000000"/>
            </w:tcBorders>
            <w:shd w:val="clear" w:color="auto" w:fill="auto"/>
            <w:tcMar>
              <w:left w:w="20" w:type="dxa"/>
              <w:right w:w="20" w:type="dxa"/>
            </w:tcMar>
            <w:vAlign w:val="center"/>
          </w:tcPr>
          <w:p w:rsidR="005D23C4" w:rsidRPr="00931642" w:rsidRDefault="005D23C4" w:rsidP="006504C4">
            <w:pPr>
              <w:widowControl/>
              <w:jc w:val="center"/>
              <w:rPr>
                <w:rFonts w:ascii="Arial Narrow" w:hAnsi="Arial Narrow"/>
                <w:sz w:val="20"/>
              </w:rPr>
            </w:pPr>
            <w:r w:rsidRPr="00931642">
              <w:rPr>
                <w:rFonts w:ascii="Arial Narrow" w:hAnsi="Arial Narrow"/>
                <w:sz w:val="20"/>
              </w:rPr>
              <w:t>28.04 (3.8, 376.1)</w:t>
            </w:r>
          </w:p>
        </w:tc>
      </w:tr>
    </w:tbl>
    <w:p w:rsidR="005D23C4" w:rsidRPr="00931642" w:rsidRDefault="005D23C4" w:rsidP="006504C4">
      <w:pPr>
        <w:pStyle w:val="TableFooter"/>
        <w:widowControl/>
        <w:ind w:left="709"/>
      </w:pPr>
      <w:r w:rsidRPr="00931642">
        <w:t>Note: Odds Ratios for PBS subgroup were estimated by exact logistic regression with treatment as factor, region (Eu</w:t>
      </w:r>
      <w:r w:rsidR="00EB2908" w:rsidRPr="00931642">
        <w:t>rope</w:t>
      </w:r>
      <w:r w:rsidRPr="00931642">
        <w:t>/US) and baseline IGF-1 as covariates.</w:t>
      </w:r>
    </w:p>
    <w:p w:rsidR="005D23C4" w:rsidRPr="00931642" w:rsidRDefault="005D23C4" w:rsidP="006504C4">
      <w:pPr>
        <w:pStyle w:val="TableFooter"/>
        <w:widowControl/>
        <w:tabs>
          <w:tab w:val="left" w:pos="5535"/>
        </w:tabs>
        <w:ind w:left="709"/>
      </w:pPr>
      <w:r w:rsidRPr="00931642">
        <w:t>Abbreviations: CI, confidence intervals</w:t>
      </w:r>
      <w:r w:rsidRPr="00931642">
        <w:tab/>
      </w:r>
    </w:p>
    <w:p w:rsidR="005D23C4" w:rsidRPr="00931642" w:rsidRDefault="005D23C4" w:rsidP="006504C4">
      <w:pPr>
        <w:pStyle w:val="TableFooter"/>
        <w:widowControl/>
        <w:ind w:left="709"/>
      </w:pPr>
      <w:r w:rsidRPr="00931642">
        <w:t>Source: Table B.6.5 (i), p82; Table B.6.6 (i), p83 of the submission</w:t>
      </w:r>
    </w:p>
    <w:p w:rsidR="00935905" w:rsidRPr="00931642" w:rsidRDefault="00935905" w:rsidP="006504C4">
      <w:pPr>
        <w:widowControl/>
        <w:rPr>
          <w:i/>
        </w:rPr>
      </w:pPr>
    </w:p>
    <w:p w:rsidR="005D23C4" w:rsidRPr="00931642" w:rsidRDefault="002D0F7E" w:rsidP="006504C4">
      <w:pPr>
        <w:pStyle w:val="ListParagraph"/>
        <w:widowControl/>
        <w:numPr>
          <w:ilvl w:val="1"/>
          <w:numId w:val="6"/>
        </w:numPr>
        <w:rPr>
          <w:szCs w:val="22"/>
        </w:rPr>
      </w:pPr>
      <w:r w:rsidRPr="00931642">
        <w:rPr>
          <w:szCs w:val="22"/>
        </w:rPr>
        <w:t>There were statistically significant differences between the placebo and pegvisomant 15</w:t>
      </w:r>
      <w:r w:rsidR="002E7D11" w:rsidRPr="00931642">
        <w:rPr>
          <w:szCs w:val="22"/>
        </w:rPr>
        <w:t xml:space="preserve"> </w:t>
      </w:r>
      <w:r w:rsidRPr="00931642">
        <w:rPr>
          <w:szCs w:val="22"/>
        </w:rPr>
        <w:t>mg and 20</w:t>
      </w:r>
      <w:r w:rsidR="002E7D11" w:rsidRPr="00931642">
        <w:rPr>
          <w:szCs w:val="22"/>
        </w:rPr>
        <w:t xml:space="preserve"> </w:t>
      </w:r>
      <w:r w:rsidRPr="00931642">
        <w:rPr>
          <w:szCs w:val="22"/>
        </w:rPr>
        <w:t>mg groups for both the overall population and the PBS subgroup</w:t>
      </w:r>
      <w:r w:rsidR="00935905" w:rsidRPr="00931642">
        <w:rPr>
          <w:szCs w:val="22"/>
        </w:rPr>
        <w:t xml:space="preserve"> in the number of patients with normalised IGF-1 levels at week 12. </w:t>
      </w:r>
      <w:r w:rsidRPr="00931642">
        <w:rPr>
          <w:szCs w:val="22"/>
        </w:rPr>
        <w:t xml:space="preserve">The difference between the placebo and pegvisomant </w:t>
      </w:r>
      <w:r w:rsidR="00935905" w:rsidRPr="00931642">
        <w:rPr>
          <w:szCs w:val="22"/>
        </w:rPr>
        <w:t>10</w:t>
      </w:r>
      <w:r w:rsidR="002E7D11" w:rsidRPr="00931642">
        <w:rPr>
          <w:szCs w:val="22"/>
        </w:rPr>
        <w:t xml:space="preserve"> </w:t>
      </w:r>
      <w:r w:rsidR="00935905" w:rsidRPr="00931642">
        <w:rPr>
          <w:szCs w:val="22"/>
        </w:rPr>
        <w:t>mg group</w:t>
      </w:r>
      <w:r w:rsidR="000E0F5C" w:rsidRPr="00931642">
        <w:rPr>
          <w:szCs w:val="22"/>
        </w:rPr>
        <w:t xml:space="preserve"> was only statistically significant</w:t>
      </w:r>
      <w:r w:rsidRPr="00931642">
        <w:rPr>
          <w:szCs w:val="22"/>
        </w:rPr>
        <w:t xml:space="preserve"> for the overall population</w:t>
      </w:r>
      <w:r w:rsidR="000E0F5C" w:rsidRPr="00931642">
        <w:rPr>
          <w:szCs w:val="22"/>
        </w:rPr>
        <w:t xml:space="preserve"> and not the PBS subgroup</w:t>
      </w:r>
      <w:r w:rsidRPr="00931642">
        <w:rPr>
          <w:szCs w:val="22"/>
        </w:rPr>
        <w:t>.</w:t>
      </w:r>
    </w:p>
    <w:p w:rsidR="00935905" w:rsidRPr="00931642" w:rsidRDefault="00935905" w:rsidP="006504C4">
      <w:pPr>
        <w:widowControl/>
        <w:rPr>
          <w:szCs w:val="22"/>
        </w:rPr>
      </w:pPr>
    </w:p>
    <w:p w:rsidR="002C2775" w:rsidRPr="00931642" w:rsidRDefault="005D23C4" w:rsidP="006504C4">
      <w:pPr>
        <w:pStyle w:val="ListParagraph"/>
        <w:widowControl/>
        <w:numPr>
          <w:ilvl w:val="1"/>
          <w:numId w:val="6"/>
        </w:numPr>
        <w:rPr>
          <w:szCs w:val="22"/>
        </w:rPr>
      </w:pPr>
      <w:r w:rsidRPr="00931642">
        <w:t xml:space="preserve">The key efficacy outcome used in the indirect comparison of pegvisomant, pasireotide and octreotide/lanreotide was mean IGF-1 times the upper limit of normal. However, the key efficacy outcome used in the submission’s economic model was the proportion of patients with normalised IGF-1. </w:t>
      </w:r>
      <w:r w:rsidR="00CB06E7" w:rsidRPr="00931642">
        <w:t xml:space="preserve">A naïve </w:t>
      </w:r>
      <w:r w:rsidR="00465242" w:rsidRPr="00931642">
        <w:t xml:space="preserve">indirect </w:t>
      </w:r>
      <w:r w:rsidR="00CB06E7" w:rsidRPr="00931642">
        <w:t xml:space="preserve">comparison of the proportion of patients achieving normalised IGF-1 in the </w:t>
      </w:r>
      <w:r w:rsidR="00CB06E7" w:rsidRPr="00931642">
        <w:lastRenderedPageBreak/>
        <w:t xml:space="preserve">pegvisomant Trial 3614 PBS subgroup and pasireotide trial Gadelha 2014 is presented in Table </w:t>
      </w:r>
      <w:r w:rsidR="007B5895" w:rsidRPr="00931642">
        <w:t>4</w:t>
      </w:r>
      <w:r w:rsidR="00CB06E7" w:rsidRPr="00931642">
        <w:t>.</w:t>
      </w:r>
    </w:p>
    <w:p w:rsidR="007F1017" w:rsidRPr="00931642" w:rsidRDefault="007F1017" w:rsidP="006504C4">
      <w:pPr>
        <w:widowControl/>
        <w:rPr>
          <w:szCs w:val="22"/>
        </w:rPr>
      </w:pPr>
    </w:p>
    <w:p w:rsidR="00E35A5A" w:rsidRPr="00931642" w:rsidRDefault="00E35A5A" w:rsidP="006504C4">
      <w:pPr>
        <w:widowControl/>
        <w:ind w:firstLine="720"/>
        <w:rPr>
          <w:rStyle w:val="CommentReference"/>
        </w:rPr>
      </w:pPr>
      <w:r w:rsidRPr="00931642">
        <w:rPr>
          <w:rStyle w:val="CommentReference"/>
        </w:rPr>
        <w:t xml:space="preserve">Table </w:t>
      </w:r>
      <w:r w:rsidR="007B5895" w:rsidRPr="00931642">
        <w:rPr>
          <w:rStyle w:val="CommentReference"/>
        </w:rPr>
        <w:t>4</w:t>
      </w:r>
      <w:r w:rsidRPr="00931642">
        <w:rPr>
          <w:rStyle w:val="CommentReference"/>
        </w:rPr>
        <w:t xml:space="preserve">: Naïve indirect comparison of proportion of patients with normalised IGF-1 </w:t>
      </w:r>
    </w:p>
    <w:tbl>
      <w:tblPr>
        <w:tblStyle w:val="TableGrid"/>
        <w:tblW w:w="8363" w:type="dxa"/>
        <w:tblInd w:w="737" w:type="dxa"/>
        <w:tblLayout w:type="fixed"/>
        <w:tblCellMar>
          <w:left w:w="28" w:type="dxa"/>
          <w:right w:w="28" w:type="dxa"/>
        </w:tblCellMar>
        <w:tblLook w:val="04A0" w:firstRow="1" w:lastRow="0" w:firstColumn="1" w:lastColumn="0" w:noHBand="0" w:noVBand="1"/>
        <w:tblCaption w:val="Table 4: Naïve indirect comparison of proportion of patients with normalised IGF-1 "/>
        <w:tblDescription w:val="Table 4: Naïve indirect comparison of proportion of patients with normalised IGF-1 "/>
      </w:tblPr>
      <w:tblGrid>
        <w:gridCol w:w="992"/>
        <w:gridCol w:w="1053"/>
        <w:gridCol w:w="1053"/>
        <w:gridCol w:w="1053"/>
        <w:gridCol w:w="1094"/>
        <w:gridCol w:w="1012"/>
        <w:gridCol w:w="1053"/>
        <w:gridCol w:w="1053"/>
      </w:tblGrid>
      <w:tr w:rsidR="00FE219E" w:rsidRPr="00931642" w:rsidTr="000E5EAA">
        <w:trPr>
          <w:tblHeader/>
        </w:trPr>
        <w:tc>
          <w:tcPr>
            <w:tcW w:w="992" w:type="dxa"/>
            <w:vMerge w:val="restart"/>
            <w:vAlign w:val="center"/>
          </w:tcPr>
          <w:p w:rsidR="00FE219E" w:rsidRPr="00931642" w:rsidRDefault="000E5EAA" w:rsidP="006504C4">
            <w:pPr>
              <w:widowControl/>
              <w:jc w:val="center"/>
              <w:rPr>
                <w:rStyle w:val="CommentReference"/>
              </w:rPr>
            </w:pPr>
            <w:r w:rsidRPr="00931642">
              <w:rPr>
                <w:rStyle w:val="CommentReference"/>
              </w:rPr>
              <w:t>Outcome</w:t>
            </w:r>
          </w:p>
        </w:tc>
        <w:tc>
          <w:tcPr>
            <w:tcW w:w="4253" w:type="dxa"/>
            <w:gridSpan w:val="4"/>
            <w:tcBorders>
              <w:right w:val="single" w:sz="12" w:space="0" w:color="auto"/>
            </w:tcBorders>
          </w:tcPr>
          <w:p w:rsidR="00FE219E" w:rsidRPr="00931642" w:rsidRDefault="007F5185" w:rsidP="006504C4">
            <w:pPr>
              <w:widowControl/>
              <w:jc w:val="center"/>
              <w:rPr>
                <w:rStyle w:val="CommentReference"/>
              </w:rPr>
            </w:pPr>
            <w:r w:rsidRPr="00931642">
              <w:rPr>
                <w:rStyle w:val="CommentReference"/>
              </w:rPr>
              <w:t>Trial</w:t>
            </w:r>
            <w:r w:rsidR="00FE219E" w:rsidRPr="00931642">
              <w:rPr>
                <w:rStyle w:val="CommentReference"/>
              </w:rPr>
              <w:t xml:space="preserve"> 3614 (PBS subgroup), Week 12</w:t>
            </w:r>
          </w:p>
        </w:tc>
        <w:tc>
          <w:tcPr>
            <w:tcW w:w="3118" w:type="dxa"/>
            <w:gridSpan w:val="3"/>
            <w:tcBorders>
              <w:left w:val="single" w:sz="12" w:space="0" w:color="auto"/>
            </w:tcBorders>
          </w:tcPr>
          <w:p w:rsidR="00FE219E" w:rsidRPr="00931642" w:rsidRDefault="00FE219E" w:rsidP="006504C4">
            <w:pPr>
              <w:widowControl/>
              <w:jc w:val="center"/>
              <w:rPr>
                <w:rStyle w:val="CommentReference"/>
              </w:rPr>
            </w:pPr>
            <w:r w:rsidRPr="00931642">
              <w:rPr>
                <w:rStyle w:val="CommentReference"/>
              </w:rPr>
              <w:t>Gadelha 2014, Week 24</w:t>
            </w:r>
          </w:p>
        </w:tc>
      </w:tr>
      <w:tr w:rsidR="00FE219E" w:rsidRPr="00931642" w:rsidTr="000E5EAA">
        <w:trPr>
          <w:tblHeader/>
        </w:trPr>
        <w:tc>
          <w:tcPr>
            <w:tcW w:w="992" w:type="dxa"/>
            <w:vMerge/>
          </w:tcPr>
          <w:p w:rsidR="00FE219E" w:rsidRPr="00931642" w:rsidRDefault="00FE219E" w:rsidP="006504C4">
            <w:pPr>
              <w:widowControl/>
              <w:rPr>
                <w:rStyle w:val="CommentReference"/>
                <w:b w:val="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19E" w:rsidRPr="00931642" w:rsidRDefault="00FE219E" w:rsidP="006504C4">
            <w:pPr>
              <w:widowControl/>
              <w:jc w:val="center"/>
              <w:rPr>
                <w:rFonts w:ascii="Arial Narrow" w:hAnsi="Arial Narrow"/>
                <w:b/>
                <w:sz w:val="20"/>
              </w:rPr>
            </w:pPr>
            <w:r w:rsidRPr="00931642">
              <w:rPr>
                <w:rFonts w:ascii="Arial Narrow" w:hAnsi="Arial Narrow"/>
                <w:b/>
                <w:sz w:val="20"/>
              </w:rPr>
              <w:t>Placebo</w:t>
            </w:r>
          </w:p>
          <w:p w:rsidR="00FE219E" w:rsidRPr="00931642" w:rsidRDefault="00FE219E" w:rsidP="006504C4">
            <w:pPr>
              <w:widowControl/>
              <w:jc w:val="center"/>
              <w:rPr>
                <w:rStyle w:val="CommentReference"/>
                <w:b w:val="0"/>
                <w:szCs w:val="20"/>
              </w:rPr>
            </w:pPr>
            <w:r w:rsidRPr="00931642">
              <w:rPr>
                <w:rFonts w:ascii="Arial Narrow" w:hAnsi="Arial Narrow"/>
                <w:b/>
                <w:sz w:val="20"/>
              </w:rPr>
              <w:t>N=19</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19E" w:rsidRPr="00931642" w:rsidRDefault="00FE219E" w:rsidP="006504C4">
            <w:pPr>
              <w:widowControl/>
              <w:jc w:val="center"/>
              <w:rPr>
                <w:rFonts w:ascii="Arial Narrow" w:hAnsi="Arial Narrow"/>
                <w:b/>
                <w:sz w:val="20"/>
              </w:rPr>
            </w:pPr>
            <w:r w:rsidRPr="00931642">
              <w:rPr>
                <w:rFonts w:ascii="Arial Narrow" w:hAnsi="Arial Narrow"/>
                <w:b/>
                <w:sz w:val="20"/>
              </w:rPr>
              <w:t>PEG 10mg</w:t>
            </w:r>
          </w:p>
          <w:p w:rsidR="00FE219E" w:rsidRPr="00931642" w:rsidRDefault="00FE219E" w:rsidP="006504C4">
            <w:pPr>
              <w:widowControl/>
              <w:jc w:val="center"/>
              <w:rPr>
                <w:rStyle w:val="CommentReference"/>
                <w:b w:val="0"/>
                <w:szCs w:val="20"/>
              </w:rPr>
            </w:pPr>
            <w:r w:rsidRPr="00931642">
              <w:rPr>
                <w:rFonts w:ascii="Arial Narrow" w:hAnsi="Arial Narrow"/>
                <w:b/>
                <w:sz w:val="20"/>
              </w:rPr>
              <w:t>N=11</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19E" w:rsidRPr="00931642" w:rsidRDefault="00FE219E" w:rsidP="006504C4">
            <w:pPr>
              <w:widowControl/>
              <w:jc w:val="center"/>
              <w:rPr>
                <w:rFonts w:ascii="Arial Narrow" w:hAnsi="Arial Narrow"/>
                <w:b/>
                <w:sz w:val="20"/>
              </w:rPr>
            </w:pPr>
            <w:r w:rsidRPr="00931642">
              <w:rPr>
                <w:rFonts w:ascii="Arial Narrow" w:hAnsi="Arial Narrow"/>
                <w:b/>
                <w:sz w:val="20"/>
              </w:rPr>
              <w:t>PEG 15mg</w:t>
            </w:r>
          </w:p>
          <w:p w:rsidR="00FE219E" w:rsidRPr="00931642" w:rsidRDefault="00FE219E" w:rsidP="006504C4">
            <w:pPr>
              <w:widowControl/>
              <w:jc w:val="center"/>
              <w:rPr>
                <w:rStyle w:val="CommentReference"/>
                <w:b w:val="0"/>
                <w:szCs w:val="20"/>
              </w:rPr>
            </w:pPr>
            <w:r w:rsidRPr="00931642">
              <w:rPr>
                <w:rFonts w:ascii="Arial Narrow" w:hAnsi="Arial Narrow"/>
                <w:b/>
                <w:sz w:val="20"/>
              </w:rPr>
              <w:t>N=12</w:t>
            </w:r>
          </w:p>
        </w:tc>
        <w:tc>
          <w:tcPr>
            <w:tcW w:w="1094"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E219E" w:rsidRPr="00931642" w:rsidRDefault="00FE219E" w:rsidP="006504C4">
            <w:pPr>
              <w:widowControl/>
              <w:jc w:val="center"/>
              <w:rPr>
                <w:rFonts w:ascii="Arial Narrow" w:hAnsi="Arial Narrow"/>
                <w:b/>
                <w:sz w:val="20"/>
              </w:rPr>
            </w:pPr>
            <w:r w:rsidRPr="00931642">
              <w:rPr>
                <w:rFonts w:ascii="Arial Narrow" w:hAnsi="Arial Narrow"/>
                <w:b/>
                <w:sz w:val="20"/>
              </w:rPr>
              <w:t>PEG 20mg</w:t>
            </w:r>
          </w:p>
          <w:p w:rsidR="00FE219E" w:rsidRPr="00931642" w:rsidRDefault="00FE219E" w:rsidP="006504C4">
            <w:pPr>
              <w:widowControl/>
              <w:jc w:val="center"/>
              <w:rPr>
                <w:rStyle w:val="CommentReference"/>
                <w:b w:val="0"/>
                <w:szCs w:val="20"/>
              </w:rPr>
            </w:pPr>
            <w:r w:rsidRPr="00931642">
              <w:rPr>
                <w:rFonts w:ascii="Arial Narrow" w:hAnsi="Arial Narrow"/>
                <w:b/>
                <w:sz w:val="20"/>
              </w:rPr>
              <w:t>N=18</w:t>
            </w:r>
          </w:p>
        </w:tc>
        <w:tc>
          <w:tcPr>
            <w:tcW w:w="1012" w:type="dxa"/>
            <w:tcBorders>
              <w:top w:val="single" w:sz="4" w:space="0" w:color="auto"/>
              <w:left w:val="single" w:sz="12" w:space="0" w:color="000000"/>
              <w:bottom w:val="single" w:sz="4" w:space="0" w:color="000000"/>
              <w:right w:val="single" w:sz="4" w:space="0" w:color="000000"/>
            </w:tcBorders>
            <w:shd w:val="clear" w:color="auto" w:fill="auto"/>
            <w:vAlign w:val="center"/>
          </w:tcPr>
          <w:p w:rsidR="00FE219E" w:rsidRPr="00931642" w:rsidRDefault="00FE219E" w:rsidP="006504C4">
            <w:pPr>
              <w:widowControl/>
              <w:jc w:val="center"/>
              <w:rPr>
                <w:rStyle w:val="CommentReference"/>
                <w:b w:val="0"/>
                <w:szCs w:val="20"/>
              </w:rPr>
            </w:pPr>
            <w:r w:rsidRPr="00931642">
              <w:rPr>
                <w:rFonts w:ascii="Arial Narrow" w:hAnsi="Arial Narrow"/>
                <w:b/>
                <w:sz w:val="20"/>
              </w:rPr>
              <w:t>PAS 40mg N=65</w:t>
            </w:r>
          </w:p>
        </w:tc>
        <w:tc>
          <w:tcPr>
            <w:tcW w:w="1053" w:type="dxa"/>
            <w:tcBorders>
              <w:top w:val="single" w:sz="4" w:space="0" w:color="auto"/>
              <w:left w:val="single" w:sz="4" w:space="0" w:color="000000"/>
              <w:bottom w:val="single" w:sz="4" w:space="0" w:color="000000"/>
              <w:right w:val="single" w:sz="4" w:space="0" w:color="000000"/>
            </w:tcBorders>
            <w:shd w:val="clear" w:color="auto" w:fill="auto"/>
            <w:vAlign w:val="center"/>
          </w:tcPr>
          <w:p w:rsidR="00FE219E" w:rsidRPr="00931642" w:rsidRDefault="00FE219E" w:rsidP="006504C4">
            <w:pPr>
              <w:widowControl/>
              <w:jc w:val="center"/>
              <w:rPr>
                <w:rFonts w:ascii="Arial Narrow" w:hAnsi="Arial Narrow"/>
                <w:b/>
                <w:sz w:val="20"/>
              </w:rPr>
            </w:pPr>
            <w:r w:rsidRPr="00931642">
              <w:rPr>
                <w:rFonts w:ascii="Arial Narrow" w:hAnsi="Arial Narrow"/>
                <w:b/>
                <w:sz w:val="20"/>
              </w:rPr>
              <w:t xml:space="preserve">PAS 60mg </w:t>
            </w:r>
          </w:p>
          <w:p w:rsidR="00FE219E" w:rsidRPr="00931642" w:rsidRDefault="00FE219E" w:rsidP="006504C4">
            <w:pPr>
              <w:widowControl/>
              <w:jc w:val="center"/>
              <w:rPr>
                <w:rStyle w:val="CommentReference"/>
                <w:b w:val="0"/>
                <w:szCs w:val="20"/>
              </w:rPr>
            </w:pPr>
            <w:r w:rsidRPr="00931642">
              <w:rPr>
                <w:rFonts w:ascii="Arial Narrow" w:hAnsi="Arial Narrow"/>
                <w:b/>
                <w:sz w:val="20"/>
              </w:rPr>
              <w:t>N=65</w:t>
            </w:r>
          </w:p>
        </w:tc>
        <w:tc>
          <w:tcPr>
            <w:tcW w:w="1053" w:type="dxa"/>
            <w:tcBorders>
              <w:top w:val="single" w:sz="4" w:space="0" w:color="auto"/>
              <w:left w:val="single" w:sz="4" w:space="0" w:color="000000"/>
              <w:bottom w:val="single" w:sz="4" w:space="0" w:color="000000"/>
              <w:right w:val="single" w:sz="4" w:space="0" w:color="000000"/>
            </w:tcBorders>
            <w:shd w:val="clear" w:color="auto" w:fill="auto"/>
            <w:vAlign w:val="center"/>
          </w:tcPr>
          <w:p w:rsidR="00FE219E" w:rsidRPr="00931642" w:rsidRDefault="00FE219E" w:rsidP="006504C4">
            <w:pPr>
              <w:widowControl/>
              <w:jc w:val="center"/>
              <w:rPr>
                <w:rFonts w:ascii="Arial Narrow" w:hAnsi="Arial Narrow"/>
                <w:b/>
                <w:sz w:val="20"/>
              </w:rPr>
            </w:pPr>
            <w:r w:rsidRPr="00931642">
              <w:rPr>
                <w:rFonts w:ascii="Arial Narrow" w:hAnsi="Arial Narrow"/>
                <w:b/>
                <w:sz w:val="20"/>
              </w:rPr>
              <w:t>OCT/LAN</w:t>
            </w:r>
          </w:p>
          <w:p w:rsidR="00FE219E" w:rsidRPr="00931642" w:rsidRDefault="00FE219E" w:rsidP="006504C4">
            <w:pPr>
              <w:widowControl/>
              <w:jc w:val="center"/>
              <w:rPr>
                <w:rStyle w:val="CommentReference"/>
                <w:b w:val="0"/>
                <w:szCs w:val="20"/>
              </w:rPr>
            </w:pPr>
            <w:r w:rsidRPr="00931642">
              <w:rPr>
                <w:rFonts w:ascii="Arial Narrow" w:hAnsi="Arial Narrow"/>
                <w:b/>
                <w:sz w:val="20"/>
              </w:rPr>
              <w:t>N=68</w:t>
            </w:r>
          </w:p>
        </w:tc>
      </w:tr>
      <w:tr w:rsidR="00FE219E" w:rsidRPr="00931642" w:rsidTr="00D030EB">
        <w:tc>
          <w:tcPr>
            <w:tcW w:w="992" w:type="dxa"/>
          </w:tcPr>
          <w:p w:rsidR="00FE219E" w:rsidRPr="00931642" w:rsidRDefault="00FE219E" w:rsidP="006504C4">
            <w:pPr>
              <w:widowControl/>
              <w:jc w:val="left"/>
              <w:rPr>
                <w:rStyle w:val="CommentReference"/>
                <w:b w:val="0"/>
              </w:rPr>
            </w:pPr>
            <w:r w:rsidRPr="00931642">
              <w:rPr>
                <w:rStyle w:val="CommentReference"/>
                <w:b w:val="0"/>
              </w:rPr>
              <w:t xml:space="preserve">% normal IGF-1 </w:t>
            </w:r>
          </w:p>
        </w:tc>
        <w:tc>
          <w:tcPr>
            <w:tcW w:w="1053" w:type="dxa"/>
            <w:vAlign w:val="center"/>
          </w:tcPr>
          <w:p w:rsidR="00FE219E" w:rsidRPr="00931642" w:rsidRDefault="00FE219E" w:rsidP="006504C4">
            <w:pPr>
              <w:widowControl/>
              <w:jc w:val="center"/>
              <w:rPr>
                <w:rStyle w:val="CommentReference"/>
                <w:b w:val="0"/>
              </w:rPr>
            </w:pPr>
            <w:r w:rsidRPr="00931642">
              <w:rPr>
                <w:rStyle w:val="CommentReference"/>
                <w:b w:val="0"/>
              </w:rPr>
              <w:t>2 (10.5%)</w:t>
            </w:r>
          </w:p>
        </w:tc>
        <w:tc>
          <w:tcPr>
            <w:tcW w:w="1053" w:type="dxa"/>
            <w:vAlign w:val="center"/>
          </w:tcPr>
          <w:p w:rsidR="00FE219E" w:rsidRPr="00931642" w:rsidRDefault="00FE219E" w:rsidP="006504C4">
            <w:pPr>
              <w:widowControl/>
              <w:jc w:val="center"/>
              <w:rPr>
                <w:rStyle w:val="CommentReference"/>
                <w:b w:val="0"/>
              </w:rPr>
            </w:pPr>
            <w:r w:rsidRPr="00931642">
              <w:rPr>
                <w:rStyle w:val="CommentReference"/>
                <w:b w:val="0"/>
              </w:rPr>
              <w:t>2 (18.2%)</w:t>
            </w:r>
          </w:p>
        </w:tc>
        <w:tc>
          <w:tcPr>
            <w:tcW w:w="1053" w:type="dxa"/>
            <w:vAlign w:val="center"/>
          </w:tcPr>
          <w:p w:rsidR="00FE219E" w:rsidRPr="00931642" w:rsidRDefault="00FE219E" w:rsidP="006504C4">
            <w:pPr>
              <w:widowControl/>
              <w:jc w:val="center"/>
              <w:rPr>
                <w:rStyle w:val="CommentReference"/>
                <w:b w:val="0"/>
              </w:rPr>
            </w:pPr>
            <w:r w:rsidRPr="00931642">
              <w:rPr>
                <w:rStyle w:val="CommentReference"/>
                <w:b w:val="0"/>
              </w:rPr>
              <w:t>7 (61.5%)</w:t>
            </w:r>
          </w:p>
        </w:tc>
        <w:tc>
          <w:tcPr>
            <w:tcW w:w="1094" w:type="dxa"/>
            <w:tcBorders>
              <w:right w:val="single" w:sz="12" w:space="0" w:color="auto"/>
            </w:tcBorders>
            <w:vAlign w:val="center"/>
          </w:tcPr>
          <w:p w:rsidR="00FE219E" w:rsidRPr="00931642" w:rsidRDefault="00FE219E" w:rsidP="006504C4">
            <w:pPr>
              <w:widowControl/>
              <w:jc w:val="center"/>
              <w:rPr>
                <w:rStyle w:val="CommentReference"/>
                <w:b w:val="0"/>
              </w:rPr>
            </w:pPr>
            <w:r w:rsidRPr="00931642">
              <w:rPr>
                <w:rStyle w:val="CommentReference"/>
                <w:b w:val="0"/>
              </w:rPr>
              <w:t>14 (77.8%)</w:t>
            </w:r>
          </w:p>
        </w:tc>
        <w:tc>
          <w:tcPr>
            <w:tcW w:w="1012" w:type="dxa"/>
            <w:tcBorders>
              <w:left w:val="single" w:sz="12" w:space="0" w:color="auto"/>
            </w:tcBorders>
            <w:vAlign w:val="center"/>
          </w:tcPr>
          <w:p w:rsidR="00FE219E" w:rsidRPr="00931642" w:rsidRDefault="00FE219E" w:rsidP="006504C4">
            <w:pPr>
              <w:widowControl/>
              <w:jc w:val="center"/>
              <w:rPr>
                <w:rStyle w:val="CommentReference"/>
                <w:b w:val="0"/>
              </w:rPr>
            </w:pPr>
            <w:r w:rsidRPr="00931642">
              <w:rPr>
                <w:rStyle w:val="CommentReference"/>
                <w:b w:val="0"/>
              </w:rPr>
              <w:t>16 (25%)</w:t>
            </w:r>
          </w:p>
        </w:tc>
        <w:tc>
          <w:tcPr>
            <w:tcW w:w="1053" w:type="dxa"/>
            <w:vAlign w:val="center"/>
          </w:tcPr>
          <w:p w:rsidR="00FE219E" w:rsidRPr="00931642" w:rsidRDefault="00FE219E" w:rsidP="006504C4">
            <w:pPr>
              <w:widowControl/>
              <w:jc w:val="center"/>
              <w:rPr>
                <w:rStyle w:val="CommentReference"/>
                <w:b w:val="0"/>
              </w:rPr>
            </w:pPr>
            <w:r w:rsidRPr="00931642">
              <w:rPr>
                <w:rStyle w:val="CommentReference"/>
                <w:b w:val="0"/>
              </w:rPr>
              <w:t>17 (26%)</w:t>
            </w:r>
          </w:p>
        </w:tc>
        <w:tc>
          <w:tcPr>
            <w:tcW w:w="1053" w:type="dxa"/>
            <w:vAlign w:val="center"/>
          </w:tcPr>
          <w:p w:rsidR="00FE219E" w:rsidRPr="00931642" w:rsidRDefault="00FE219E" w:rsidP="006504C4">
            <w:pPr>
              <w:widowControl/>
              <w:jc w:val="center"/>
              <w:rPr>
                <w:rStyle w:val="CommentReference"/>
                <w:b w:val="0"/>
              </w:rPr>
            </w:pPr>
            <w:r w:rsidRPr="00931642">
              <w:rPr>
                <w:rStyle w:val="CommentReference"/>
                <w:b w:val="0"/>
              </w:rPr>
              <w:t>0 (0%)</w:t>
            </w:r>
          </w:p>
        </w:tc>
      </w:tr>
    </w:tbl>
    <w:p w:rsidR="00FE219E" w:rsidRPr="00931642" w:rsidRDefault="00FE219E" w:rsidP="006504C4">
      <w:pPr>
        <w:widowControl/>
        <w:ind w:left="709"/>
        <w:rPr>
          <w:rStyle w:val="CommentReference"/>
          <w:b w:val="0"/>
          <w:sz w:val="18"/>
        </w:rPr>
      </w:pPr>
      <w:r w:rsidRPr="00931642">
        <w:rPr>
          <w:rStyle w:val="CommentReference"/>
          <w:b w:val="0"/>
          <w:sz w:val="18"/>
        </w:rPr>
        <w:t>Abbreviations: LAN, lanreotide; OCT, octreotide; PAS, pasireotide; PEG, pegvisomant</w:t>
      </w:r>
    </w:p>
    <w:p w:rsidR="00E35A5A" w:rsidRPr="00931642" w:rsidRDefault="00FE219E" w:rsidP="006504C4">
      <w:pPr>
        <w:widowControl/>
        <w:ind w:left="709"/>
        <w:rPr>
          <w:rStyle w:val="CommentReference"/>
        </w:rPr>
      </w:pPr>
      <w:r w:rsidRPr="00931642">
        <w:rPr>
          <w:rFonts w:ascii="Arial Narrow" w:hAnsi="Arial Narrow"/>
          <w:sz w:val="18"/>
          <w:szCs w:val="18"/>
        </w:rPr>
        <w:t xml:space="preserve">Source: Table </w:t>
      </w:r>
      <w:proofErr w:type="gramStart"/>
      <w:r w:rsidRPr="00931642">
        <w:rPr>
          <w:rFonts w:ascii="Arial Narrow" w:hAnsi="Arial Narrow"/>
          <w:sz w:val="18"/>
          <w:szCs w:val="18"/>
        </w:rPr>
        <w:t>B.6.6(</w:t>
      </w:r>
      <w:proofErr w:type="gramEnd"/>
      <w:r w:rsidRPr="00931642">
        <w:rPr>
          <w:rFonts w:ascii="Arial Narrow" w:hAnsi="Arial Narrow"/>
          <w:sz w:val="18"/>
          <w:szCs w:val="18"/>
        </w:rPr>
        <w:t>i), pp83-84; Section B.6.1(iv), p187 of the submission</w:t>
      </w:r>
    </w:p>
    <w:p w:rsidR="00E35A5A" w:rsidRPr="00931642" w:rsidRDefault="00E35A5A" w:rsidP="006504C4">
      <w:pPr>
        <w:widowControl/>
      </w:pPr>
    </w:p>
    <w:p w:rsidR="0080641E" w:rsidRPr="00931642" w:rsidRDefault="0080641E" w:rsidP="006504C4">
      <w:pPr>
        <w:pStyle w:val="ListParagraph"/>
        <w:widowControl/>
        <w:numPr>
          <w:ilvl w:val="1"/>
          <w:numId w:val="6"/>
        </w:numPr>
        <w:rPr>
          <w:szCs w:val="22"/>
        </w:rPr>
      </w:pPr>
      <w:r w:rsidRPr="00931642">
        <w:t xml:space="preserve">The </w:t>
      </w:r>
      <w:r w:rsidR="00D030EB" w:rsidRPr="00931642">
        <w:t xml:space="preserve">naïve </w:t>
      </w:r>
      <w:r w:rsidRPr="00931642">
        <w:t>indirect comparison of pegvisomant, pasireotide and octreotide/lanreotide</w:t>
      </w:r>
      <w:r w:rsidR="00D030EB" w:rsidRPr="00931642">
        <w:t xml:space="preserve"> presented in </w:t>
      </w:r>
      <w:r w:rsidR="008B2E8C" w:rsidRPr="00931642">
        <w:t xml:space="preserve">Section B of </w:t>
      </w:r>
      <w:r w:rsidR="00D030EB" w:rsidRPr="00931642">
        <w:t>the submission used</w:t>
      </w:r>
      <w:r w:rsidRPr="00931642">
        <w:t xml:space="preserve"> mean IGF-1 times the upper limit of normal </w:t>
      </w:r>
      <w:r w:rsidR="00D030EB" w:rsidRPr="00931642">
        <w:t>(</w:t>
      </w:r>
      <w:r w:rsidRPr="00931642">
        <w:t xml:space="preserve">Table </w:t>
      </w:r>
      <w:r w:rsidR="007B5895" w:rsidRPr="00931642">
        <w:t>5</w:t>
      </w:r>
      <w:r w:rsidR="00D030EB" w:rsidRPr="00931642">
        <w:t>)</w:t>
      </w:r>
      <w:r w:rsidRPr="00931642">
        <w:t>.</w:t>
      </w:r>
    </w:p>
    <w:p w:rsidR="00E35A5A" w:rsidRPr="00931642" w:rsidRDefault="00E35A5A" w:rsidP="006504C4">
      <w:pPr>
        <w:widowControl/>
      </w:pPr>
    </w:p>
    <w:p w:rsidR="007F1017" w:rsidRPr="00931642" w:rsidRDefault="007F1017" w:rsidP="002E7D11">
      <w:pPr>
        <w:keepNext/>
        <w:widowControl/>
        <w:ind w:firstLine="720"/>
        <w:rPr>
          <w:rStyle w:val="CommentReference"/>
        </w:rPr>
      </w:pPr>
      <w:r w:rsidRPr="00931642">
        <w:rPr>
          <w:rStyle w:val="CommentReference"/>
        </w:rPr>
        <w:t xml:space="preserve">Table </w:t>
      </w:r>
      <w:r w:rsidR="007B5895" w:rsidRPr="00931642">
        <w:rPr>
          <w:rStyle w:val="CommentReference"/>
        </w:rPr>
        <w:t>5</w:t>
      </w:r>
      <w:r w:rsidRPr="00931642">
        <w:rPr>
          <w:rStyle w:val="CommentReference"/>
        </w:rPr>
        <w:t xml:space="preserve">: </w:t>
      </w:r>
      <w:r w:rsidR="007B5895" w:rsidRPr="00931642">
        <w:rPr>
          <w:rStyle w:val="CommentReference"/>
        </w:rPr>
        <w:t>Naïve indirect comparison of m</w:t>
      </w:r>
      <w:r w:rsidR="005D23C4" w:rsidRPr="00931642">
        <w:rPr>
          <w:rStyle w:val="CommentReference"/>
        </w:rPr>
        <w:t>ean IGF-1 times the upper limit of normal</w:t>
      </w:r>
      <w:r w:rsidRPr="00931642">
        <w:rPr>
          <w:rStyle w:val="CommentReference"/>
        </w:rPr>
        <w:t xml:space="preserve"> </w:t>
      </w:r>
    </w:p>
    <w:tbl>
      <w:tblPr>
        <w:tblW w:w="8363" w:type="dxa"/>
        <w:tblInd w:w="714" w:type="dxa"/>
        <w:tblLayout w:type="fixed"/>
        <w:tblCellMar>
          <w:left w:w="0" w:type="dxa"/>
          <w:right w:w="0" w:type="dxa"/>
        </w:tblCellMar>
        <w:tblLook w:val="01E0" w:firstRow="1" w:lastRow="1" w:firstColumn="1" w:lastColumn="1" w:noHBand="0" w:noVBand="0"/>
      </w:tblPr>
      <w:tblGrid>
        <w:gridCol w:w="992"/>
        <w:gridCol w:w="1063"/>
        <w:gridCol w:w="1063"/>
        <w:gridCol w:w="1063"/>
        <w:gridCol w:w="1064"/>
        <w:gridCol w:w="1039"/>
        <w:gridCol w:w="1039"/>
        <w:gridCol w:w="1040"/>
      </w:tblGrid>
      <w:tr w:rsidR="007B5895" w:rsidRPr="00931642" w:rsidTr="000E5EAA">
        <w:trPr>
          <w:tblHeader/>
        </w:trPr>
        <w:tc>
          <w:tcPr>
            <w:tcW w:w="992" w:type="dxa"/>
            <w:vMerge w:val="restart"/>
            <w:tcBorders>
              <w:top w:val="single" w:sz="4" w:space="0" w:color="000000"/>
              <w:left w:val="single" w:sz="4" w:space="0" w:color="000000"/>
              <w:right w:val="single" w:sz="4" w:space="0" w:color="000000"/>
            </w:tcBorders>
            <w:shd w:val="clear" w:color="auto" w:fill="auto"/>
            <w:vAlign w:val="center"/>
          </w:tcPr>
          <w:p w:rsidR="007B5895" w:rsidRPr="00931642" w:rsidRDefault="000E5EAA" w:rsidP="002E7D11">
            <w:pPr>
              <w:keepNext/>
              <w:widowControl/>
              <w:jc w:val="center"/>
              <w:rPr>
                <w:rFonts w:ascii="Arial Narrow" w:hAnsi="Arial Narrow"/>
                <w:b/>
                <w:sz w:val="20"/>
              </w:rPr>
            </w:pPr>
            <w:r w:rsidRPr="00931642">
              <w:rPr>
                <w:rFonts w:ascii="Arial Narrow" w:hAnsi="Arial Narrow"/>
                <w:b/>
                <w:sz w:val="20"/>
              </w:rPr>
              <w:t>Outcome</w:t>
            </w:r>
          </w:p>
        </w:tc>
        <w:tc>
          <w:tcPr>
            <w:tcW w:w="4253"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7B5895" w:rsidRPr="00931642" w:rsidRDefault="007F5185" w:rsidP="002E7D11">
            <w:pPr>
              <w:keepNext/>
              <w:widowControl/>
              <w:jc w:val="center"/>
              <w:rPr>
                <w:rFonts w:ascii="Arial Narrow" w:hAnsi="Arial Narrow"/>
                <w:b/>
                <w:sz w:val="20"/>
              </w:rPr>
            </w:pPr>
            <w:r w:rsidRPr="00931642">
              <w:rPr>
                <w:rFonts w:ascii="Arial Narrow" w:hAnsi="Arial Narrow"/>
                <w:b/>
                <w:sz w:val="20"/>
              </w:rPr>
              <w:t>Trial</w:t>
            </w:r>
            <w:r w:rsidR="007B5895" w:rsidRPr="00931642">
              <w:rPr>
                <w:rFonts w:ascii="Arial Narrow" w:hAnsi="Arial Narrow"/>
                <w:b/>
                <w:sz w:val="20"/>
              </w:rPr>
              <w:t xml:space="preserve"> 3614 (PBS subgroup), Week 12</w:t>
            </w:r>
          </w:p>
        </w:tc>
        <w:tc>
          <w:tcPr>
            <w:tcW w:w="3118" w:type="dxa"/>
            <w:gridSpan w:val="3"/>
            <w:tcBorders>
              <w:top w:val="single" w:sz="4" w:space="0" w:color="auto"/>
              <w:left w:val="single" w:sz="12" w:space="0" w:color="000000"/>
              <w:bottom w:val="single" w:sz="4" w:space="0" w:color="000000"/>
              <w:right w:val="single" w:sz="4" w:space="0" w:color="000000"/>
            </w:tcBorders>
            <w:shd w:val="clear" w:color="auto" w:fill="auto"/>
            <w:vAlign w:val="center"/>
          </w:tcPr>
          <w:p w:rsidR="007B5895" w:rsidRPr="00931642" w:rsidRDefault="007B5895" w:rsidP="002E7D11">
            <w:pPr>
              <w:keepNext/>
              <w:widowControl/>
              <w:jc w:val="center"/>
              <w:rPr>
                <w:rFonts w:ascii="Arial Narrow" w:hAnsi="Arial Narrow"/>
                <w:b/>
                <w:sz w:val="20"/>
                <w:vertAlign w:val="superscript"/>
              </w:rPr>
            </w:pPr>
            <w:r w:rsidRPr="00931642">
              <w:rPr>
                <w:rFonts w:ascii="Arial Narrow" w:hAnsi="Arial Narrow"/>
                <w:b/>
                <w:sz w:val="20"/>
              </w:rPr>
              <w:t>Gadelha 2014, Week 12</w:t>
            </w:r>
          </w:p>
        </w:tc>
      </w:tr>
      <w:tr w:rsidR="007B5895" w:rsidRPr="00931642" w:rsidTr="000E5EAA">
        <w:trPr>
          <w:tblHeader/>
        </w:trPr>
        <w:tc>
          <w:tcPr>
            <w:tcW w:w="992" w:type="dxa"/>
            <w:vMerge/>
            <w:tcBorders>
              <w:left w:val="single" w:sz="4" w:space="0" w:color="000000"/>
              <w:bottom w:val="single" w:sz="4" w:space="0" w:color="000000"/>
              <w:right w:val="single" w:sz="4" w:space="0" w:color="000000"/>
            </w:tcBorders>
            <w:shd w:val="clear" w:color="auto" w:fill="auto"/>
            <w:vAlign w:val="center"/>
          </w:tcPr>
          <w:p w:rsidR="007B5895" w:rsidRPr="00931642" w:rsidRDefault="007B5895" w:rsidP="002E7D11">
            <w:pPr>
              <w:keepNext/>
              <w:widowControl/>
              <w:jc w:val="center"/>
              <w:rPr>
                <w:rFonts w:ascii="Arial Narrow" w:hAnsi="Arial Narrow"/>
                <w:b/>
                <w:sz w:val="20"/>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895" w:rsidRPr="00931642" w:rsidRDefault="007B5895" w:rsidP="002E7D11">
            <w:pPr>
              <w:keepNext/>
              <w:widowControl/>
              <w:jc w:val="center"/>
              <w:rPr>
                <w:rFonts w:ascii="Arial Narrow" w:hAnsi="Arial Narrow"/>
                <w:b/>
                <w:sz w:val="20"/>
              </w:rPr>
            </w:pPr>
            <w:r w:rsidRPr="00931642">
              <w:rPr>
                <w:rFonts w:ascii="Arial Narrow" w:hAnsi="Arial Narrow"/>
                <w:b/>
                <w:sz w:val="20"/>
              </w:rPr>
              <w:t>Placebo</w:t>
            </w:r>
          </w:p>
          <w:p w:rsidR="007B5895" w:rsidRPr="00931642" w:rsidRDefault="007B5895" w:rsidP="002E7D11">
            <w:pPr>
              <w:keepNext/>
              <w:widowControl/>
              <w:jc w:val="center"/>
              <w:rPr>
                <w:rFonts w:ascii="Arial Narrow" w:hAnsi="Arial Narrow"/>
                <w:b/>
                <w:sz w:val="20"/>
              </w:rPr>
            </w:pPr>
            <w:r w:rsidRPr="00931642">
              <w:rPr>
                <w:rFonts w:ascii="Arial Narrow" w:hAnsi="Arial Narrow"/>
                <w:b/>
                <w:sz w:val="20"/>
              </w:rPr>
              <w:t>N=19</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895" w:rsidRPr="00931642" w:rsidRDefault="007B5895" w:rsidP="002E7D11">
            <w:pPr>
              <w:keepNext/>
              <w:widowControl/>
              <w:jc w:val="center"/>
              <w:rPr>
                <w:rFonts w:ascii="Arial Narrow" w:hAnsi="Arial Narrow"/>
                <w:b/>
                <w:sz w:val="20"/>
              </w:rPr>
            </w:pPr>
            <w:r w:rsidRPr="00931642">
              <w:rPr>
                <w:rFonts w:ascii="Arial Narrow" w:hAnsi="Arial Narrow"/>
                <w:b/>
                <w:sz w:val="20"/>
              </w:rPr>
              <w:t>PEG 10mg</w:t>
            </w:r>
          </w:p>
          <w:p w:rsidR="007B5895" w:rsidRPr="00931642" w:rsidRDefault="007B5895" w:rsidP="002E7D11">
            <w:pPr>
              <w:keepNext/>
              <w:widowControl/>
              <w:jc w:val="center"/>
              <w:rPr>
                <w:rFonts w:ascii="Arial Narrow" w:hAnsi="Arial Narrow"/>
                <w:b/>
                <w:sz w:val="20"/>
              </w:rPr>
            </w:pPr>
            <w:r w:rsidRPr="00931642">
              <w:rPr>
                <w:rFonts w:ascii="Arial Narrow" w:hAnsi="Arial Narrow"/>
                <w:b/>
                <w:sz w:val="20"/>
              </w:rPr>
              <w:t>N=11</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895" w:rsidRPr="00931642" w:rsidRDefault="007B5895" w:rsidP="002E7D11">
            <w:pPr>
              <w:keepNext/>
              <w:widowControl/>
              <w:jc w:val="center"/>
              <w:rPr>
                <w:rFonts w:ascii="Arial Narrow" w:hAnsi="Arial Narrow"/>
                <w:b/>
                <w:sz w:val="20"/>
              </w:rPr>
            </w:pPr>
            <w:r w:rsidRPr="00931642">
              <w:rPr>
                <w:rFonts w:ascii="Arial Narrow" w:hAnsi="Arial Narrow"/>
                <w:b/>
                <w:sz w:val="20"/>
              </w:rPr>
              <w:t>PEG 15mg</w:t>
            </w:r>
          </w:p>
          <w:p w:rsidR="007B5895" w:rsidRPr="00931642" w:rsidRDefault="007B5895" w:rsidP="002E7D11">
            <w:pPr>
              <w:keepNext/>
              <w:widowControl/>
              <w:jc w:val="center"/>
              <w:rPr>
                <w:rFonts w:ascii="Arial Narrow" w:hAnsi="Arial Narrow"/>
                <w:b/>
                <w:sz w:val="20"/>
              </w:rPr>
            </w:pPr>
            <w:r w:rsidRPr="00931642">
              <w:rPr>
                <w:rFonts w:ascii="Arial Narrow" w:hAnsi="Arial Narrow"/>
                <w:b/>
                <w:sz w:val="20"/>
              </w:rPr>
              <w:t>N=12</w:t>
            </w:r>
          </w:p>
        </w:tc>
        <w:tc>
          <w:tcPr>
            <w:tcW w:w="1064"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B5895" w:rsidRPr="00931642" w:rsidRDefault="007B5895" w:rsidP="002E7D11">
            <w:pPr>
              <w:keepNext/>
              <w:widowControl/>
              <w:jc w:val="center"/>
              <w:rPr>
                <w:rFonts w:ascii="Arial Narrow" w:hAnsi="Arial Narrow"/>
                <w:b/>
                <w:sz w:val="20"/>
              </w:rPr>
            </w:pPr>
            <w:r w:rsidRPr="00931642">
              <w:rPr>
                <w:rFonts w:ascii="Arial Narrow" w:hAnsi="Arial Narrow"/>
                <w:b/>
                <w:sz w:val="20"/>
              </w:rPr>
              <w:t>PEG 20mg</w:t>
            </w:r>
          </w:p>
          <w:p w:rsidR="007B5895" w:rsidRPr="00931642" w:rsidRDefault="007B5895" w:rsidP="002E7D11">
            <w:pPr>
              <w:keepNext/>
              <w:widowControl/>
              <w:jc w:val="center"/>
              <w:rPr>
                <w:rFonts w:ascii="Arial Narrow" w:hAnsi="Arial Narrow"/>
                <w:b/>
                <w:sz w:val="20"/>
              </w:rPr>
            </w:pPr>
            <w:r w:rsidRPr="00931642">
              <w:rPr>
                <w:rFonts w:ascii="Arial Narrow" w:hAnsi="Arial Narrow"/>
                <w:b/>
                <w:sz w:val="20"/>
              </w:rPr>
              <w:t>N=18</w:t>
            </w:r>
          </w:p>
        </w:tc>
        <w:tc>
          <w:tcPr>
            <w:tcW w:w="1039" w:type="dxa"/>
            <w:tcBorders>
              <w:top w:val="single" w:sz="4" w:space="0" w:color="auto"/>
              <w:left w:val="single" w:sz="12" w:space="0" w:color="000000"/>
              <w:bottom w:val="single" w:sz="4" w:space="0" w:color="000000"/>
              <w:right w:val="single" w:sz="4" w:space="0" w:color="000000"/>
            </w:tcBorders>
            <w:shd w:val="clear" w:color="auto" w:fill="auto"/>
            <w:vAlign w:val="center"/>
          </w:tcPr>
          <w:p w:rsidR="007B5895" w:rsidRPr="00931642" w:rsidRDefault="007B5895" w:rsidP="002E7D11">
            <w:pPr>
              <w:keepNext/>
              <w:widowControl/>
              <w:jc w:val="center"/>
              <w:rPr>
                <w:rFonts w:ascii="Arial Narrow" w:hAnsi="Arial Narrow"/>
                <w:b/>
                <w:sz w:val="20"/>
              </w:rPr>
            </w:pPr>
            <w:r w:rsidRPr="00931642">
              <w:rPr>
                <w:rFonts w:ascii="Arial Narrow" w:hAnsi="Arial Narrow"/>
                <w:b/>
                <w:sz w:val="20"/>
              </w:rPr>
              <w:t>PAS 40mg N=65</w:t>
            </w:r>
          </w:p>
        </w:tc>
        <w:tc>
          <w:tcPr>
            <w:tcW w:w="1039" w:type="dxa"/>
            <w:tcBorders>
              <w:top w:val="single" w:sz="4" w:space="0" w:color="auto"/>
              <w:left w:val="single" w:sz="4" w:space="0" w:color="000000"/>
              <w:bottom w:val="single" w:sz="4" w:space="0" w:color="000000"/>
              <w:right w:val="single" w:sz="4" w:space="0" w:color="000000"/>
            </w:tcBorders>
            <w:shd w:val="clear" w:color="auto" w:fill="auto"/>
            <w:vAlign w:val="center"/>
          </w:tcPr>
          <w:p w:rsidR="007B5895" w:rsidRPr="00931642" w:rsidRDefault="007B5895" w:rsidP="002E7D11">
            <w:pPr>
              <w:keepNext/>
              <w:widowControl/>
              <w:jc w:val="center"/>
              <w:rPr>
                <w:rFonts w:ascii="Arial Narrow" w:hAnsi="Arial Narrow"/>
                <w:b/>
                <w:sz w:val="20"/>
              </w:rPr>
            </w:pPr>
            <w:r w:rsidRPr="00931642">
              <w:rPr>
                <w:rFonts w:ascii="Arial Narrow" w:hAnsi="Arial Narrow"/>
                <w:b/>
                <w:sz w:val="20"/>
              </w:rPr>
              <w:t xml:space="preserve">PAS 60mg </w:t>
            </w:r>
          </w:p>
          <w:p w:rsidR="007B5895" w:rsidRPr="00931642" w:rsidRDefault="007B5895" w:rsidP="002E7D11">
            <w:pPr>
              <w:keepNext/>
              <w:widowControl/>
              <w:jc w:val="center"/>
              <w:rPr>
                <w:rFonts w:ascii="Arial Narrow" w:hAnsi="Arial Narrow"/>
                <w:b/>
                <w:sz w:val="20"/>
              </w:rPr>
            </w:pPr>
            <w:r w:rsidRPr="00931642">
              <w:rPr>
                <w:rFonts w:ascii="Arial Narrow" w:hAnsi="Arial Narrow"/>
                <w:b/>
                <w:sz w:val="20"/>
              </w:rPr>
              <w:t>N=65</w:t>
            </w:r>
          </w:p>
        </w:tc>
        <w:tc>
          <w:tcPr>
            <w:tcW w:w="1040" w:type="dxa"/>
            <w:tcBorders>
              <w:top w:val="single" w:sz="4" w:space="0" w:color="auto"/>
              <w:left w:val="single" w:sz="4" w:space="0" w:color="000000"/>
              <w:bottom w:val="single" w:sz="4" w:space="0" w:color="000000"/>
              <w:right w:val="single" w:sz="4" w:space="0" w:color="000000"/>
            </w:tcBorders>
            <w:shd w:val="clear" w:color="auto" w:fill="auto"/>
            <w:vAlign w:val="center"/>
          </w:tcPr>
          <w:p w:rsidR="007B5895" w:rsidRPr="00931642" w:rsidRDefault="007B5895" w:rsidP="002E7D11">
            <w:pPr>
              <w:keepNext/>
              <w:widowControl/>
              <w:jc w:val="center"/>
              <w:rPr>
                <w:rFonts w:ascii="Arial Narrow" w:hAnsi="Arial Narrow"/>
                <w:b/>
                <w:sz w:val="20"/>
              </w:rPr>
            </w:pPr>
            <w:r w:rsidRPr="00931642">
              <w:rPr>
                <w:rFonts w:ascii="Arial Narrow" w:hAnsi="Arial Narrow"/>
                <w:b/>
                <w:sz w:val="20"/>
              </w:rPr>
              <w:t>OCT/LAN</w:t>
            </w:r>
          </w:p>
          <w:p w:rsidR="007B5895" w:rsidRPr="00931642" w:rsidRDefault="007B5895" w:rsidP="002E7D11">
            <w:pPr>
              <w:keepNext/>
              <w:widowControl/>
              <w:jc w:val="center"/>
              <w:rPr>
                <w:rFonts w:ascii="Arial Narrow" w:hAnsi="Arial Narrow"/>
                <w:b/>
                <w:sz w:val="20"/>
              </w:rPr>
            </w:pPr>
            <w:r w:rsidRPr="00931642">
              <w:rPr>
                <w:rFonts w:ascii="Arial Narrow" w:hAnsi="Arial Narrow"/>
                <w:b/>
                <w:sz w:val="20"/>
              </w:rPr>
              <w:t>N=68</w:t>
            </w:r>
          </w:p>
        </w:tc>
      </w:tr>
      <w:tr w:rsidR="007B5895" w:rsidRPr="00931642" w:rsidTr="007B5895">
        <w:tc>
          <w:tcPr>
            <w:tcW w:w="992" w:type="dxa"/>
            <w:tcBorders>
              <w:top w:val="single" w:sz="4" w:space="0" w:color="000000"/>
              <w:left w:val="single" w:sz="4" w:space="0" w:color="000000"/>
              <w:bottom w:val="single" w:sz="4" w:space="0" w:color="000000"/>
              <w:right w:val="single" w:sz="4" w:space="0" w:color="000000"/>
            </w:tcBorders>
            <w:vAlign w:val="center"/>
          </w:tcPr>
          <w:p w:rsidR="007B5895" w:rsidRPr="00931642" w:rsidRDefault="007B5895" w:rsidP="002E7D11">
            <w:pPr>
              <w:keepNext/>
              <w:widowControl/>
              <w:jc w:val="center"/>
              <w:rPr>
                <w:rFonts w:ascii="Arial Narrow" w:hAnsi="Arial Narrow"/>
                <w:sz w:val="20"/>
              </w:rPr>
            </w:pPr>
            <w:r w:rsidRPr="00931642">
              <w:rPr>
                <w:rFonts w:ascii="Arial Narrow" w:hAnsi="Arial Narrow"/>
                <w:sz w:val="20"/>
              </w:rPr>
              <w:t>Mean x</w:t>
            </w:r>
            <w:r w:rsidR="008B2E8C" w:rsidRPr="00931642">
              <w:rPr>
                <w:rFonts w:ascii="Arial Narrow" w:hAnsi="Arial Narrow"/>
                <w:sz w:val="20"/>
              </w:rPr>
              <w:t xml:space="preserve"> </w:t>
            </w:r>
            <w:r w:rsidRPr="00931642">
              <w:rPr>
                <w:rFonts w:ascii="Arial Narrow" w:hAnsi="Arial Narrow"/>
                <w:sz w:val="20"/>
              </w:rPr>
              <w:t>ULN</w:t>
            </w:r>
          </w:p>
          <w:p w:rsidR="007B5895" w:rsidRPr="00931642" w:rsidRDefault="007B5895" w:rsidP="002E7D11">
            <w:pPr>
              <w:keepNext/>
              <w:widowControl/>
              <w:jc w:val="center"/>
              <w:rPr>
                <w:rFonts w:ascii="Arial Narrow" w:hAnsi="Arial Narrow"/>
                <w:sz w:val="20"/>
              </w:rPr>
            </w:pPr>
            <w:r w:rsidRPr="00931642">
              <w:rPr>
                <w:rFonts w:ascii="Arial Narrow" w:hAnsi="Arial Narrow"/>
                <w:sz w:val="20"/>
              </w:rPr>
              <w:t>(95% CI)</w:t>
            </w:r>
          </w:p>
        </w:tc>
        <w:tc>
          <w:tcPr>
            <w:tcW w:w="1063" w:type="dxa"/>
            <w:tcBorders>
              <w:top w:val="single" w:sz="4" w:space="0" w:color="000000"/>
              <w:left w:val="single" w:sz="4" w:space="0" w:color="000000"/>
              <w:bottom w:val="single" w:sz="4" w:space="0" w:color="000000"/>
              <w:right w:val="single" w:sz="4" w:space="0" w:color="000000"/>
            </w:tcBorders>
            <w:vAlign w:val="center"/>
          </w:tcPr>
          <w:p w:rsidR="007B5895" w:rsidRPr="00931642" w:rsidRDefault="007B5895" w:rsidP="002E7D11">
            <w:pPr>
              <w:keepNext/>
              <w:widowControl/>
              <w:jc w:val="center"/>
              <w:rPr>
                <w:rFonts w:ascii="Arial Narrow" w:hAnsi="Arial Narrow"/>
                <w:sz w:val="20"/>
              </w:rPr>
            </w:pPr>
            <w:r w:rsidRPr="00931642">
              <w:rPr>
                <w:rFonts w:ascii="Arial Narrow" w:hAnsi="Arial Narrow"/>
                <w:sz w:val="20"/>
              </w:rPr>
              <w:t>1.69</w:t>
            </w:r>
          </w:p>
          <w:p w:rsidR="007B5895" w:rsidRPr="00931642" w:rsidRDefault="007B5895" w:rsidP="002E7D11">
            <w:pPr>
              <w:keepNext/>
              <w:widowControl/>
              <w:jc w:val="center"/>
              <w:rPr>
                <w:rFonts w:ascii="Arial Narrow" w:hAnsi="Arial Narrow"/>
                <w:sz w:val="20"/>
              </w:rPr>
            </w:pPr>
            <w:r w:rsidRPr="00931642">
              <w:rPr>
                <w:rFonts w:ascii="Arial Narrow" w:hAnsi="Arial Narrow"/>
                <w:sz w:val="20"/>
              </w:rPr>
              <w:t>(1.34, 2.14)</w:t>
            </w:r>
          </w:p>
        </w:tc>
        <w:tc>
          <w:tcPr>
            <w:tcW w:w="1063" w:type="dxa"/>
            <w:tcBorders>
              <w:top w:val="single" w:sz="4" w:space="0" w:color="000000"/>
              <w:left w:val="single" w:sz="4" w:space="0" w:color="000000"/>
              <w:bottom w:val="single" w:sz="4" w:space="0" w:color="000000"/>
              <w:right w:val="single" w:sz="4" w:space="0" w:color="000000"/>
            </w:tcBorders>
            <w:vAlign w:val="center"/>
          </w:tcPr>
          <w:p w:rsidR="007B5895" w:rsidRPr="00931642" w:rsidRDefault="007B5895" w:rsidP="002E7D11">
            <w:pPr>
              <w:keepNext/>
              <w:widowControl/>
              <w:jc w:val="center"/>
              <w:rPr>
                <w:rFonts w:ascii="Arial Narrow" w:hAnsi="Arial Narrow"/>
                <w:sz w:val="20"/>
              </w:rPr>
            </w:pPr>
            <w:r w:rsidRPr="00931642">
              <w:rPr>
                <w:rFonts w:ascii="Arial Narrow" w:hAnsi="Arial Narrow"/>
                <w:sz w:val="20"/>
              </w:rPr>
              <w:t>1.33</w:t>
            </w:r>
          </w:p>
          <w:p w:rsidR="007B5895" w:rsidRPr="00931642" w:rsidRDefault="007B5895" w:rsidP="002E7D11">
            <w:pPr>
              <w:keepNext/>
              <w:widowControl/>
              <w:jc w:val="center"/>
              <w:rPr>
                <w:rFonts w:ascii="Arial Narrow" w:hAnsi="Arial Narrow"/>
                <w:sz w:val="20"/>
              </w:rPr>
            </w:pPr>
            <w:r w:rsidRPr="00931642">
              <w:rPr>
                <w:rFonts w:ascii="Arial Narrow" w:hAnsi="Arial Narrow"/>
                <w:sz w:val="20"/>
              </w:rPr>
              <w:t>(0.96, 1.85)</w:t>
            </w:r>
          </w:p>
        </w:tc>
        <w:tc>
          <w:tcPr>
            <w:tcW w:w="1063" w:type="dxa"/>
            <w:tcBorders>
              <w:top w:val="single" w:sz="4" w:space="0" w:color="000000"/>
              <w:left w:val="single" w:sz="4" w:space="0" w:color="000000"/>
              <w:bottom w:val="single" w:sz="4" w:space="0" w:color="000000"/>
              <w:right w:val="single" w:sz="4" w:space="0" w:color="000000"/>
            </w:tcBorders>
            <w:vAlign w:val="center"/>
          </w:tcPr>
          <w:p w:rsidR="007B5895" w:rsidRPr="00931642" w:rsidRDefault="007B5895" w:rsidP="002E7D11">
            <w:pPr>
              <w:keepNext/>
              <w:widowControl/>
              <w:jc w:val="center"/>
              <w:rPr>
                <w:rFonts w:ascii="Arial Narrow" w:hAnsi="Arial Narrow"/>
                <w:sz w:val="20"/>
              </w:rPr>
            </w:pPr>
            <w:r w:rsidRPr="00931642">
              <w:rPr>
                <w:rFonts w:ascii="Arial Narrow" w:hAnsi="Arial Narrow"/>
                <w:sz w:val="20"/>
              </w:rPr>
              <w:t>0.73</w:t>
            </w:r>
          </w:p>
          <w:p w:rsidR="007B5895" w:rsidRPr="00931642" w:rsidRDefault="007B5895" w:rsidP="002E7D11">
            <w:pPr>
              <w:keepNext/>
              <w:widowControl/>
              <w:jc w:val="center"/>
              <w:rPr>
                <w:rFonts w:ascii="Arial Narrow" w:hAnsi="Arial Narrow"/>
                <w:sz w:val="20"/>
              </w:rPr>
            </w:pPr>
            <w:r w:rsidRPr="00931642">
              <w:rPr>
                <w:rFonts w:ascii="Arial Narrow" w:hAnsi="Arial Narrow"/>
                <w:sz w:val="20"/>
              </w:rPr>
              <w:t>(0.48, 1.11)</w:t>
            </w:r>
          </w:p>
        </w:tc>
        <w:tc>
          <w:tcPr>
            <w:tcW w:w="1064" w:type="dxa"/>
            <w:tcBorders>
              <w:top w:val="single" w:sz="4" w:space="0" w:color="000000"/>
              <w:left w:val="single" w:sz="4" w:space="0" w:color="000000"/>
              <w:bottom w:val="single" w:sz="4" w:space="0" w:color="000000"/>
              <w:right w:val="single" w:sz="12" w:space="0" w:color="000000"/>
            </w:tcBorders>
            <w:vAlign w:val="center"/>
          </w:tcPr>
          <w:p w:rsidR="007B5895" w:rsidRPr="00931642" w:rsidRDefault="007B5895" w:rsidP="002E7D11">
            <w:pPr>
              <w:keepNext/>
              <w:widowControl/>
              <w:jc w:val="center"/>
              <w:rPr>
                <w:rFonts w:ascii="Arial Narrow" w:hAnsi="Arial Narrow"/>
                <w:sz w:val="20"/>
              </w:rPr>
            </w:pPr>
            <w:r w:rsidRPr="00931642">
              <w:rPr>
                <w:rFonts w:ascii="Arial Narrow" w:hAnsi="Arial Narrow"/>
                <w:sz w:val="20"/>
              </w:rPr>
              <w:t>0.69</w:t>
            </w:r>
          </w:p>
          <w:p w:rsidR="007B5895" w:rsidRPr="00931642" w:rsidRDefault="007B5895" w:rsidP="002E7D11">
            <w:pPr>
              <w:keepNext/>
              <w:widowControl/>
              <w:jc w:val="center"/>
              <w:rPr>
                <w:rFonts w:ascii="Arial Narrow" w:hAnsi="Arial Narrow"/>
                <w:sz w:val="20"/>
              </w:rPr>
            </w:pPr>
            <w:r w:rsidRPr="00931642">
              <w:rPr>
                <w:rFonts w:ascii="Arial Narrow" w:hAnsi="Arial Narrow"/>
                <w:sz w:val="20"/>
              </w:rPr>
              <w:t>(0.54, 0.88)</w:t>
            </w:r>
          </w:p>
        </w:tc>
        <w:tc>
          <w:tcPr>
            <w:tcW w:w="1039" w:type="dxa"/>
            <w:tcBorders>
              <w:top w:val="single" w:sz="4" w:space="0" w:color="auto"/>
              <w:left w:val="single" w:sz="12" w:space="0" w:color="000000"/>
              <w:bottom w:val="single" w:sz="4" w:space="0" w:color="auto"/>
              <w:right w:val="single" w:sz="4" w:space="0" w:color="000000"/>
            </w:tcBorders>
            <w:shd w:val="clear" w:color="auto" w:fill="auto"/>
            <w:vAlign w:val="center"/>
          </w:tcPr>
          <w:p w:rsidR="007B5895" w:rsidRPr="00931642" w:rsidRDefault="007B5895" w:rsidP="002E7D11">
            <w:pPr>
              <w:keepNext/>
              <w:widowControl/>
              <w:jc w:val="center"/>
              <w:rPr>
                <w:rFonts w:ascii="Arial Narrow" w:hAnsi="Arial Narrow"/>
                <w:sz w:val="20"/>
              </w:rPr>
            </w:pPr>
            <w:r w:rsidRPr="00931642">
              <w:rPr>
                <w:rFonts w:ascii="Arial Narrow" w:hAnsi="Arial Narrow"/>
                <w:sz w:val="20"/>
              </w:rPr>
              <w:t>1.5</w:t>
            </w:r>
          </w:p>
          <w:p w:rsidR="007B5895" w:rsidRPr="00931642" w:rsidRDefault="007B5895" w:rsidP="002E7D11">
            <w:pPr>
              <w:keepNext/>
              <w:widowControl/>
              <w:jc w:val="center"/>
              <w:rPr>
                <w:rFonts w:ascii="Arial Narrow" w:hAnsi="Arial Narrow"/>
                <w:sz w:val="20"/>
              </w:rPr>
            </w:pPr>
            <w:r w:rsidRPr="00931642">
              <w:rPr>
                <w:rFonts w:ascii="Arial Narrow" w:hAnsi="Arial Narrow"/>
                <w:sz w:val="20"/>
              </w:rPr>
              <w:t>(1.3, 1.8)</w:t>
            </w:r>
          </w:p>
        </w:tc>
        <w:tc>
          <w:tcPr>
            <w:tcW w:w="1039" w:type="dxa"/>
            <w:tcBorders>
              <w:top w:val="single" w:sz="4" w:space="0" w:color="auto"/>
              <w:left w:val="single" w:sz="4" w:space="0" w:color="000000"/>
              <w:bottom w:val="single" w:sz="4" w:space="0" w:color="auto"/>
              <w:right w:val="single" w:sz="4" w:space="0" w:color="000000"/>
            </w:tcBorders>
            <w:shd w:val="clear" w:color="auto" w:fill="auto"/>
            <w:vAlign w:val="center"/>
          </w:tcPr>
          <w:p w:rsidR="007B5895" w:rsidRPr="00931642" w:rsidRDefault="007B5895" w:rsidP="002E7D11">
            <w:pPr>
              <w:keepNext/>
              <w:widowControl/>
              <w:jc w:val="center"/>
              <w:rPr>
                <w:rFonts w:ascii="Arial Narrow" w:hAnsi="Arial Narrow"/>
                <w:sz w:val="20"/>
              </w:rPr>
            </w:pPr>
            <w:r w:rsidRPr="00931642">
              <w:rPr>
                <w:rFonts w:ascii="Arial Narrow" w:hAnsi="Arial Narrow"/>
                <w:sz w:val="20"/>
              </w:rPr>
              <w:t>1.4</w:t>
            </w:r>
          </w:p>
          <w:p w:rsidR="007B5895" w:rsidRPr="00931642" w:rsidRDefault="007B5895" w:rsidP="002E7D11">
            <w:pPr>
              <w:keepNext/>
              <w:widowControl/>
              <w:jc w:val="center"/>
              <w:rPr>
                <w:rFonts w:ascii="Arial Narrow" w:hAnsi="Arial Narrow"/>
                <w:sz w:val="20"/>
              </w:rPr>
            </w:pPr>
            <w:r w:rsidRPr="00931642">
              <w:rPr>
                <w:rFonts w:ascii="Arial Narrow" w:hAnsi="Arial Narrow"/>
                <w:sz w:val="20"/>
              </w:rPr>
              <w:t>(1.2, 1.7)</w:t>
            </w:r>
          </w:p>
        </w:tc>
        <w:tc>
          <w:tcPr>
            <w:tcW w:w="1040" w:type="dxa"/>
            <w:tcBorders>
              <w:top w:val="single" w:sz="4" w:space="0" w:color="auto"/>
              <w:left w:val="single" w:sz="4" w:space="0" w:color="000000"/>
              <w:bottom w:val="single" w:sz="4" w:space="0" w:color="auto"/>
              <w:right w:val="single" w:sz="4" w:space="0" w:color="000000"/>
            </w:tcBorders>
            <w:shd w:val="clear" w:color="auto" w:fill="auto"/>
            <w:vAlign w:val="center"/>
          </w:tcPr>
          <w:p w:rsidR="007B5895" w:rsidRPr="00931642" w:rsidRDefault="007B5895" w:rsidP="002E7D11">
            <w:pPr>
              <w:keepNext/>
              <w:widowControl/>
              <w:jc w:val="center"/>
              <w:rPr>
                <w:rFonts w:ascii="Arial Narrow" w:hAnsi="Arial Narrow"/>
                <w:sz w:val="20"/>
              </w:rPr>
            </w:pPr>
            <w:r w:rsidRPr="00931642">
              <w:rPr>
                <w:rFonts w:ascii="Arial Narrow" w:hAnsi="Arial Narrow"/>
                <w:sz w:val="20"/>
              </w:rPr>
              <w:t>2.4</w:t>
            </w:r>
          </w:p>
          <w:p w:rsidR="007B5895" w:rsidRPr="00931642" w:rsidRDefault="007B5895" w:rsidP="002E7D11">
            <w:pPr>
              <w:keepNext/>
              <w:widowControl/>
              <w:jc w:val="center"/>
              <w:rPr>
                <w:rFonts w:ascii="Arial Narrow" w:hAnsi="Arial Narrow"/>
                <w:sz w:val="20"/>
              </w:rPr>
            </w:pPr>
            <w:r w:rsidRPr="00931642">
              <w:rPr>
                <w:rFonts w:ascii="Arial Narrow" w:hAnsi="Arial Narrow"/>
                <w:sz w:val="20"/>
              </w:rPr>
              <w:t>(2.2, 2.7)</w:t>
            </w:r>
          </w:p>
        </w:tc>
      </w:tr>
    </w:tbl>
    <w:p w:rsidR="007B5895" w:rsidRPr="00931642" w:rsidRDefault="007B5895" w:rsidP="002E7D11">
      <w:pPr>
        <w:keepNext/>
        <w:widowControl/>
        <w:ind w:left="709"/>
        <w:rPr>
          <w:rFonts w:ascii="Arial Narrow" w:hAnsi="Arial Narrow"/>
          <w:sz w:val="18"/>
          <w:szCs w:val="18"/>
        </w:rPr>
      </w:pPr>
      <w:r w:rsidRPr="00931642">
        <w:rPr>
          <w:rFonts w:ascii="Arial Narrow" w:hAnsi="Arial Narrow"/>
          <w:sz w:val="18"/>
          <w:szCs w:val="18"/>
        </w:rPr>
        <w:t>Abbreviations: IGF-1, insulin-like growth hormone</w:t>
      </w:r>
      <w:r w:rsidR="00EB2908" w:rsidRPr="00931642">
        <w:rPr>
          <w:rFonts w:ascii="Arial Narrow" w:hAnsi="Arial Narrow"/>
          <w:sz w:val="18"/>
          <w:szCs w:val="18"/>
        </w:rPr>
        <w:t xml:space="preserve"> factor-1</w:t>
      </w:r>
      <w:r w:rsidRPr="00931642">
        <w:rPr>
          <w:rFonts w:ascii="Arial Narrow" w:hAnsi="Arial Narrow"/>
          <w:sz w:val="18"/>
          <w:szCs w:val="18"/>
        </w:rPr>
        <w:t xml:space="preserve">; </w:t>
      </w:r>
      <w:r w:rsidRPr="00931642">
        <w:rPr>
          <w:rStyle w:val="CommentReference"/>
          <w:b w:val="0"/>
          <w:sz w:val="18"/>
        </w:rPr>
        <w:t>LAN, lanreotide; OCT, octreotide; PAS, pasireotide; PEG, pegvisomant;</w:t>
      </w:r>
      <w:r w:rsidRPr="00931642">
        <w:rPr>
          <w:rFonts w:ascii="Arial Narrow" w:hAnsi="Arial Narrow"/>
          <w:sz w:val="18"/>
          <w:szCs w:val="18"/>
        </w:rPr>
        <w:t xml:space="preserve"> ULN, upper limit of normal</w:t>
      </w:r>
    </w:p>
    <w:p w:rsidR="007B5895" w:rsidRPr="00931642" w:rsidRDefault="007B5895" w:rsidP="002E7D11">
      <w:pPr>
        <w:keepNext/>
        <w:widowControl/>
        <w:ind w:left="709"/>
        <w:rPr>
          <w:rFonts w:ascii="Arial Narrow" w:hAnsi="Arial Narrow"/>
          <w:sz w:val="18"/>
          <w:szCs w:val="18"/>
        </w:rPr>
      </w:pPr>
      <w:r w:rsidRPr="00931642">
        <w:rPr>
          <w:rFonts w:ascii="Arial Narrow" w:hAnsi="Arial Narrow"/>
          <w:sz w:val="18"/>
          <w:szCs w:val="18"/>
        </w:rPr>
        <w:t>Mean = geometric mean (GM), ie, exponentiation of arithmetic mean of log-transformed values;</w:t>
      </w:r>
      <w:r w:rsidR="00EB2908" w:rsidRPr="00931642">
        <w:rPr>
          <w:rFonts w:ascii="Arial Narrow" w:hAnsi="Arial Narrow"/>
          <w:sz w:val="18"/>
          <w:szCs w:val="18"/>
        </w:rPr>
        <w:t xml:space="preserve"> </w:t>
      </w:r>
    </w:p>
    <w:p w:rsidR="007B5895" w:rsidRPr="00931642" w:rsidRDefault="007B5895" w:rsidP="002E7D11">
      <w:pPr>
        <w:keepNext/>
        <w:widowControl/>
        <w:ind w:left="709"/>
        <w:rPr>
          <w:rFonts w:ascii="Arial Narrow" w:hAnsi="Arial Narrow"/>
          <w:sz w:val="18"/>
          <w:szCs w:val="18"/>
        </w:rPr>
      </w:pPr>
      <w:r w:rsidRPr="00931642">
        <w:rPr>
          <w:rFonts w:ascii="Arial Narrow" w:hAnsi="Arial Narrow"/>
          <w:sz w:val="18"/>
          <w:szCs w:val="18"/>
        </w:rPr>
        <w:t>95% CI for GM = exponentiation of 95% CI for arithemetic mean of log-transformed values</w:t>
      </w:r>
    </w:p>
    <w:p w:rsidR="007B5895" w:rsidRPr="00931642" w:rsidRDefault="007B5895" w:rsidP="006504C4">
      <w:pPr>
        <w:widowControl/>
        <w:ind w:left="709"/>
        <w:rPr>
          <w:rFonts w:ascii="Arial Narrow" w:hAnsi="Arial Narrow"/>
          <w:sz w:val="18"/>
          <w:szCs w:val="18"/>
        </w:rPr>
      </w:pPr>
      <w:r w:rsidRPr="00931642">
        <w:rPr>
          <w:rFonts w:ascii="Arial Narrow" w:hAnsi="Arial Narrow"/>
          <w:sz w:val="18"/>
          <w:szCs w:val="18"/>
        </w:rPr>
        <w:t>Source: Table B.6.1 (v), p192 of the submission.</w:t>
      </w:r>
    </w:p>
    <w:p w:rsidR="00F16A40" w:rsidRPr="00931642" w:rsidRDefault="00F16A40" w:rsidP="006504C4">
      <w:pPr>
        <w:widowControl/>
        <w:ind w:left="709"/>
        <w:rPr>
          <w:i/>
        </w:rPr>
      </w:pPr>
    </w:p>
    <w:p w:rsidR="005D23C4" w:rsidRPr="00931642" w:rsidRDefault="00F80325" w:rsidP="006504C4">
      <w:pPr>
        <w:pStyle w:val="ListParagraph"/>
        <w:widowControl/>
        <w:numPr>
          <w:ilvl w:val="1"/>
          <w:numId w:val="6"/>
        </w:numPr>
      </w:pPr>
      <w:r w:rsidRPr="00931642">
        <w:t>The ESC noted that d</w:t>
      </w:r>
      <w:r w:rsidR="00F16A40" w:rsidRPr="00931642">
        <w:t xml:space="preserve">ifferences in use of prior therapies and patient characteristics between the trials, small patient numbers in the pegvisomant PBS subgroup, and the lack of a common comparator means that any comparison between the trials </w:t>
      </w:r>
      <w:r w:rsidR="00EB2908" w:rsidRPr="00931642">
        <w:t xml:space="preserve">should </w:t>
      </w:r>
      <w:r w:rsidR="00F16A40" w:rsidRPr="00931642">
        <w:t>be interpreted with caution. The clinical importance of any differences between treatments was unclear.</w:t>
      </w:r>
    </w:p>
    <w:p w:rsidR="00F16A40" w:rsidRPr="00931642" w:rsidRDefault="00F16A40" w:rsidP="006504C4">
      <w:pPr>
        <w:widowControl/>
        <w:rPr>
          <w:szCs w:val="22"/>
        </w:rPr>
      </w:pPr>
    </w:p>
    <w:p w:rsidR="00AC0918" w:rsidRPr="00931642" w:rsidRDefault="007B5895" w:rsidP="006504C4">
      <w:pPr>
        <w:pStyle w:val="ListParagraph"/>
        <w:widowControl/>
        <w:numPr>
          <w:ilvl w:val="1"/>
          <w:numId w:val="6"/>
        </w:numPr>
        <w:rPr>
          <w:szCs w:val="22"/>
        </w:rPr>
      </w:pPr>
      <w:r w:rsidRPr="00931642">
        <w:t xml:space="preserve">Results from supportive pegvisomant </w:t>
      </w:r>
      <w:r w:rsidR="009B0BC5" w:rsidRPr="00931642">
        <w:t>trial, T</w:t>
      </w:r>
      <w:r w:rsidRPr="00931642">
        <w:t>rial 1006</w:t>
      </w:r>
      <w:r w:rsidR="009B0BC5" w:rsidRPr="00931642">
        <w:t>,</w:t>
      </w:r>
      <w:r w:rsidRPr="00931642">
        <w:t xml:space="preserve"> showed no significant difference in the proportion of patients achieving IGF-1 normalisation at Week 40 with pegvisomant monotherapy (14/25, 56%) versus </w:t>
      </w:r>
      <w:r w:rsidR="00377F0E" w:rsidRPr="00931642">
        <w:t xml:space="preserve">pegvisomant/octreotide </w:t>
      </w:r>
      <w:r w:rsidRPr="00931642">
        <w:t xml:space="preserve">combination therapy (16/26, 62%). However, the median dose of pegvisomant at </w:t>
      </w:r>
      <w:r w:rsidR="00EB2908" w:rsidRPr="00931642">
        <w:t>W</w:t>
      </w:r>
      <w:r w:rsidRPr="00931642">
        <w:t>eek 40 was significantly greater in the pegvisomant monotherapy group (20</w:t>
      </w:r>
      <w:r w:rsidR="002E7D11" w:rsidRPr="00931642">
        <w:t xml:space="preserve"> </w:t>
      </w:r>
      <w:r w:rsidRPr="00931642">
        <w:t>mg/day) than in the combination therapy group (15</w:t>
      </w:r>
      <w:r w:rsidR="002E7D11" w:rsidRPr="00931642">
        <w:t xml:space="preserve"> </w:t>
      </w:r>
      <w:r w:rsidRPr="00931642">
        <w:t>mg/day).</w:t>
      </w:r>
      <w:r w:rsidR="00AC0918" w:rsidRPr="00931642">
        <w:t xml:space="preserve"> </w:t>
      </w:r>
    </w:p>
    <w:p w:rsidR="00AC0918" w:rsidRPr="00931642" w:rsidRDefault="00AC0918" w:rsidP="006504C4">
      <w:pPr>
        <w:pStyle w:val="ListParagraph"/>
        <w:widowControl/>
      </w:pPr>
    </w:p>
    <w:p w:rsidR="007B5895" w:rsidRPr="00931642" w:rsidRDefault="008B2E8C" w:rsidP="006504C4">
      <w:pPr>
        <w:pStyle w:val="ListParagraph"/>
        <w:widowControl/>
        <w:numPr>
          <w:ilvl w:val="1"/>
          <w:numId w:val="6"/>
        </w:numPr>
        <w:rPr>
          <w:szCs w:val="22"/>
        </w:rPr>
      </w:pPr>
      <w:r w:rsidRPr="00931642">
        <w:t>IGF-1 results from the non-randomised pegvisomant studies included in the submission were generally consistent with those reported in key pegvisomant trial</w:t>
      </w:r>
      <w:r w:rsidR="00821066" w:rsidRPr="00931642">
        <w:t>, Trial</w:t>
      </w:r>
      <w:r w:rsidRPr="00931642">
        <w:t xml:space="preserve"> 3614.</w:t>
      </w:r>
    </w:p>
    <w:p w:rsidR="007B5895" w:rsidRPr="00931642" w:rsidRDefault="007B5895" w:rsidP="006504C4">
      <w:pPr>
        <w:widowControl/>
        <w:rPr>
          <w:szCs w:val="22"/>
        </w:rPr>
      </w:pPr>
    </w:p>
    <w:p w:rsidR="00241087" w:rsidRPr="00931642" w:rsidRDefault="00241087" w:rsidP="006504C4">
      <w:pPr>
        <w:pStyle w:val="ListParagraph"/>
        <w:widowControl/>
        <w:numPr>
          <w:ilvl w:val="1"/>
          <w:numId w:val="6"/>
        </w:numPr>
        <w:rPr>
          <w:szCs w:val="22"/>
        </w:rPr>
      </w:pPr>
      <w:r w:rsidRPr="00931642">
        <w:t xml:space="preserve">Growth hormone levels increased, as expected, with pegvisomant use in Trial 3614, but the increase in growth hormone was less when pegvisomant was combined with long acting octreotide in Trial 1006, compared </w:t>
      </w:r>
      <w:r w:rsidR="00275B49" w:rsidRPr="00931642">
        <w:t xml:space="preserve">with </w:t>
      </w:r>
      <w:r w:rsidRPr="00931642">
        <w:t>the pegvisomant monotherapy group. Growth hormone levels reduced with the use o</w:t>
      </w:r>
      <w:r w:rsidR="00E07A3F">
        <w:t>f pasireotide in Gadelha (2014)</w:t>
      </w:r>
    </w:p>
    <w:p w:rsidR="00241087" w:rsidRPr="00931642" w:rsidRDefault="00241087" w:rsidP="006504C4">
      <w:pPr>
        <w:pStyle w:val="ListParagraph"/>
        <w:widowControl/>
      </w:pPr>
    </w:p>
    <w:p w:rsidR="008B2E8C" w:rsidRPr="00931642" w:rsidRDefault="008B2E8C" w:rsidP="006504C4">
      <w:pPr>
        <w:pStyle w:val="ListParagraph"/>
        <w:widowControl/>
        <w:numPr>
          <w:ilvl w:val="1"/>
          <w:numId w:val="6"/>
        </w:numPr>
        <w:rPr>
          <w:szCs w:val="22"/>
        </w:rPr>
      </w:pPr>
      <w:r w:rsidRPr="00931642">
        <w:t>In the overall population of the key pegvisomant</w:t>
      </w:r>
      <w:r w:rsidR="005E5370" w:rsidRPr="00931642">
        <w:t xml:space="preserve"> trial (</w:t>
      </w:r>
      <w:r w:rsidRPr="00931642">
        <w:t>Trial 3614</w:t>
      </w:r>
      <w:r w:rsidR="005E5370" w:rsidRPr="00931642">
        <w:t>)</w:t>
      </w:r>
      <w:r w:rsidRPr="00931642">
        <w:t xml:space="preserve"> at Week 12, scores for individual signs and symptoms of acromegaly decreased from baseline in all pegvisomant groups, with the largest decreases observed in the pegvisomant </w:t>
      </w:r>
      <w:r w:rsidRPr="00931642">
        <w:lastRenderedPageBreak/>
        <w:t>20</w:t>
      </w:r>
      <w:r w:rsidR="007D1DB1" w:rsidRPr="00931642">
        <w:t> </w:t>
      </w:r>
      <w:r w:rsidRPr="00931642">
        <w:t>mg/day group. There were statistically significant decreases noted in the 15</w:t>
      </w:r>
      <w:r w:rsidR="007D1DB1" w:rsidRPr="00931642">
        <w:t xml:space="preserve"> </w:t>
      </w:r>
      <w:r w:rsidRPr="00931642">
        <w:t>mg and 20</w:t>
      </w:r>
      <w:r w:rsidR="007D1DB1" w:rsidRPr="00931642">
        <w:t> </w:t>
      </w:r>
      <w:r w:rsidRPr="00931642">
        <w:t xml:space="preserve">mg pegvisomant groups for soft tissue swelling, excessive perspiration and fatigue, and all pegvisomant groups had statistically significantly improved total signs and symptoms scores compared </w:t>
      </w:r>
      <w:r w:rsidR="007D1DB1" w:rsidRPr="00931642">
        <w:t xml:space="preserve">with </w:t>
      </w:r>
      <w:r w:rsidRPr="00931642">
        <w:t>the placebo group. No results were presented for acromegaly signs and symptoms in the comparator trial (Gadelha 2014), however the authors noted there were more improvements in acromegaly symptom scores in patients given pasireotide than in patients given octreotide or lanreotide.</w:t>
      </w:r>
    </w:p>
    <w:p w:rsidR="008B2E8C" w:rsidRPr="00931642" w:rsidRDefault="008B2E8C" w:rsidP="006504C4">
      <w:pPr>
        <w:pStyle w:val="ListParagraph"/>
        <w:widowControl/>
      </w:pPr>
    </w:p>
    <w:p w:rsidR="007B5895" w:rsidRPr="00931642" w:rsidRDefault="008B2E8C" w:rsidP="006504C4">
      <w:pPr>
        <w:pStyle w:val="ListParagraph"/>
        <w:widowControl/>
        <w:numPr>
          <w:ilvl w:val="1"/>
          <w:numId w:val="6"/>
        </w:numPr>
        <w:rPr>
          <w:szCs w:val="22"/>
        </w:rPr>
      </w:pPr>
      <w:r w:rsidRPr="00931642">
        <w:rPr>
          <w:szCs w:val="22"/>
        </w:rPr>
        <w:t xml:space="preserve">There was no significant change in pituitary tumour volume noted in the included pegvisomant trials, </w:t>
      </w:r>
      <w:r w:rsidR="00DD2377" w:rsidRPr="00931642">
        <w:rPr>
          <w:szCs w:val="22"/>
        </w:rPr>
        <w:t xml:space="preserve">although there is a risk of increasing tumour size, with possible local effects on the optic </w:t>
      </w:r>
      <w:r w:rsidR="00EA05FF" w:rsidRPr="00931642">
        <w:rPr>
          <w:szCs w:val="22"/>
        </w:rPr>
        <w:t>chiasm.</w:t>
      </w:r>
      <w:r w:rsidR="00DD2377" w:rsidRPr="00931642">
        <w:rPr>
          <w:szCs w:val="22"/>
        </w:rPr>
        <w:t xml:space="preserve"> </w:t>
      </w:r>
      <w:r w:rsidR="00637025" w:rsidRPr="00931642">
        <w:rPr>
          <w:szCs w:val="22"/>
        </w:rPr>
        <w:t>However,</w:t>
      </w:r>
      <w:r w:rsidRPr="00931642">
        <w:rPr>
          <w:szCs w:val="22"/>
        </w:rPr>
        <w:t xml:space="preserve"> pasireotide (and to a lesser extent octreotide/lanreotide) treatment was associated wit</w:t>
      </w:r>
      <w:r w:rsidR="00DE54E6" w:rsidRPr="00931642">
        <w:rPr>
          <w:szCs w:val="22"/>
        </w:rPr>
        <w:t>h a reduction in tumour volume.</w:t>
      </w:r>
      <w:r w:rsidR="00306B32" w:rsidRPr="00931642">
        <w:rPr>
          <w:szCs w:val="22"/>
        </w:rPr>
        <w:t xml:space="preserve"> The reduction in tumour volume</w:t>
      </w:r>
      <w:r w:rsidR="00F02489" w:rsidRPr="00931642">
        <w:rPr>
          <w:szCs w:val="22"/>
        </w:rPr>
        <w:t xml:space="preserve"> is an expected effect</w:t>
      </w:r>
      <w:r w:rsidR="00306B32" w:rsidRPr="00931642">
        <w:rPr>
          <w:szCs w:val="22"/>
        </w:rPr>
        <w:t xml:space="preserve"> associated with the </w:t>
      </w:r>
      <w:r w:rsidR="0007397F" w:rsidRPr="00931642">
        <w:rPr>
          <w:szCs w:val="22"/>
        </w:rPr>
        <w:t>SSA</w:t>
      </w:r>
      <w:r w:rsidR="00F02489" w:rsidRPr="00931642">
        <w:rPr>
          <w:szCs w:val="22"/>
        </w:rPr>
        <w:t>s, and can</w:t>
      </w:r>
      <w:r w:rsidR="00306B32" w:rsidRPr="00931642">
        <w:rPr>
          <w:szCs w:val="22"/>
        </w:rPr>
        <w:t xml:space="preserve"> be beneficial for some patients.</w:t>
      </w:r>
      <w:r w:rsidR="00570289" w:rsidRPr="00931642">
        <w:rPr>
          <w:szCs w:val="22"/>
        </w:rPr>
        <w:t xml:space="preserve"> </w:t>
      </w:r>
      <w:r w:rsidR="00F02489" w:rsidRPr="00931642">
        <w:rPr>
          <w:szCs w:val="22"/>
        </w:rPr>
        <w:t xml:space="preserve">The ESC considered that this was a key reason </w:t>
      </w:r>
      <w:r w:rsidR="007E35F3" w:rsidRPr="00931642">
        <w:rPr>
          <w:szCs w:val="22"/>
        </w:rPr>
        <w:t xml:space="preserve">why </w:t>
      </w:r>
      <w:r w:rsidR="00F02489" w:rsidRPr="00931642">
        <w:rPr>
          <w:szCs w:val="22"/>
        </w:rPr>
        <w:t>clinicians may wish to use pegvisomant in combination with an SSA</w:t>
      </w:r>
      <w:r w:rsidR="00DC6642" w:rsidRPr="00931642">
        <w:rPr>
          <w:szCs w:val="22"/>
        </w:rPr>
        <w:t xml:space="preserve"> (paragraph 4.3 also refers)</w:t>
      </w:r>
      <w:r w:rsidR="00F02489" w:rsidRPr="00931642">
        <w:rPr>
          <w:szCs w:val="22"/>
        </w:rPr>
        <w:t>.</w:t>
      </w:r>
      <w:r w:rsidR="00E86BDE" w:rsidRPr="00931642">
        <w:rPr>
          <w:szCs w:val="22"/>
        </w:rPr>
        <w:t xml:space="preserve"> A lack of comparative evidence with pegvisomant means that the extent of this potential benefit to patients resulting from a reduction in tumour volume is uncertain. However, the PBAC also noted that patients receiving pegvisomant did not experience a difference in the occurrence of headaches compared </w:t>
      </w:r>
      <w:r w:rsidR="00131420" w:rsidRPr="00931642">
        <w:rPr>
          <w:szCs w:val="22"/>
        </w:rPr>
        <w:t xml:space="preserve">with </w:t>
      </w:r>
      <w:r w:rsidR="00E86BDE" w:rsidRPr="00931642">
        <w:rPr>
          <w:szCs w:val="22"/>
        </w:rPr>
        <w:t>placebo, which may be related</w:t>
      </w:r>
      <w:r w:rsidR="00A054A2" w:rsidRPr="00931642">
        <w:rPr>
          <w:szCs w:val="22"/>
        </w:rPr>
        <w:t xml:space="preserve"> to a lack of change in tumour volume</w:t>
      </w:r>
      <w:r w:rsidR="00CC2542" w:rsidRPr="00931642">
        <w:rPr>
          <w:szCs w:val="22"/>
        </w:rPr>
        <w:t>.</w:t>
      </w:r>
    </w:p>
    <w:p w:rsidR="005D23C4" w:rsidRPr="00931642" w:rsidRDefault="005D23C4" w:rsidP="006504C4">
      <w:pPr>
        <w:widowControl/>
        <w:rPr>
          <w:szCs w:val="22"/>
        </w:rPr>
      </w:pPr>
    </w:p>
    <w:p w:rsidR="00B60939" w:rsidRPr="00931642" w:rsidRDefault="00B60939" w:rsidP="006504C4">
      <w:pPr>
        <w:pStyle w:val="Heading3"/>
      </w:pPr>
      <w:bookmarkStart w:id="11" w:name="_Toc461530919"/>
      <w:r w:rsidRPr="00931642">
        <w:t>Comparative harms</w:t>
      </w:r>
      <w:bookmarkEnd w:id="11"/>
    </w:p>
    <w:p w:rsidR="00B60939" w:rsidRPr="00931642" w:rsidRDefault="00B60939" w:rsidP="006504C4">
      <w:pPr>
        <w:widowControl/>
        <w:ind w:left="720" w:hanging="720"/>
        <w:rPr>
          <w:szCs w:val="22"/>
        </w:rPr>
      </w:pPr>
    </w:p>
    <w:p w:rsidR="00242997" w:rsidRPr="00931642" w:rsidRDefault="00C544FC" w:rsidP="006504C4">
      <w:pPr>
        <w:pStyle w:val="ListParagraph"/>
        <w:widowControl/>
        <w:numPr>
          <w:ilvl w:val="1"/>
          <w:numId w:val="6"/>
        </w:numPr>
      </w:pPr>
      <w:r w:rsidRPr="00931642">
        <w:t>T</w:t>
      </w:r>
      <w:r w:rsidR="00242997" w:rsidRPr="00931642">
        <w:t xml:space="preserve">he comparative safety of pegvisomant and pasireotide was </w:t>
      </w:r>
      <w:r w:rsidR="00241087" w:rsidRPr="00931642">
        <w:t>based on</w:t>
      </w:r>
      <w:r w:rsidR="00242997" w:rsidRPr="00931642">
        <w:t xml:space="preserve"> a naïve indirect comparison</w:t>
      </w:r>
      <w:r w:rsidRPr="00931642">
        <w:t xml:space="preserve"> of the overall (safety) populations from Trial 3614 and Gadelha 2014</w:t>
      </w:r>
      <w:r w:rsidR="00242997" w:rsidRPr="00931642">
        <w:t xml:space="preserve">, using treatment-emergent adverse events occurring in 5% or more of any treatment group (Table 6). The submission stated that many of the adverse events reported for both treatments </w:t>
      </w:r>
      <w:r w:rsidR="00EB2908" w:rsidRPr="00931642">
        <w:t>were attributable to the disease rather than the treatments</w:t>
      </w:r>
      <w:r w:rsidR="00242997" w:rsidRPr="00931642">
        <w:t>.</w:t>
      </w:r>
    </w:p>
    <w:p w:rsidR="00242997" w:rsidRPr="00931642" w:rsidRDefault="00242997" w:rsidP="006504C4">
      <w:pPr>
        <w:widowControl/>
      </w:pPr>
    </w:p>
    <w:p w:rsidR="00821066" w:rsidRPr="00931642" w:rsidRDefault="00821066" w:rsidP="006504C4">
      <w:pPr>
        <w:pStyle w:val="ListParagraph"/>
        <w:widowControl/>
        <w:numPr>
          <w:ilvl w:val="1"/>
          <w:numId w:val="6"/>
        </w:numPr>
      </w:pPr>
      <w:r w:rsidRPr="00931642">
        <w:t>The submission noted the adverse events of interest for pegvisomant were injection site reactions and abnormal liver function; and for pasireotide were hyperglycaemic</w:t>
      </w:r>
      <w:r w:rsidR="00DC6642" w:rsidRPr="00931642">
        <w:noBreakHyphen/>
      </w:r>
      <w:r w:rsidRPr="00931642">
        <w:t xml:space="preserve">related adverse events (increased blood glucose, diabetes, </w:t>
      </w:r>
      <w:proofErr w:type="gramStart"/>
      <w:r w:rsidRPr="00931642">
        <w:t>hyperglycaemia</w:t>
      </w:r>
      <w:proofErr w:type="gramEnd"/>
      <w:r w:rsidRPr="00931642">
        <w:t xml:space="preserve">) and </w:t>
      </w:r>
      <w:proofErr w:type="spellStart"/>
      <w:r w:rsidRPr="00931642">
        <w:t>cholelithiasis</w:t>
      </w:r>
      <w:proofErr w:type="spellEnd"/>
      <w:r w:rsidRPr="00931642">
        <w:t xml:space="preserve">. </w:t>
      </w:r>
      <w:proofErr w:type="spellStart"/>
      <w:r w:rsidRPr="00931642">
        <w:t>Cholelithiasis</w:t>
      </w:r>
      <w:proofErr w:type="spellEnd"/>
      <w:r w:rsidRPr="00931642">
        <w:t xml:space="preserve"> events were also noted in the octreotide/lanreotide group. Differences in the types of adverse events reported and differences in the trial populations mean any attempt to compare the safety profiles of these two treatments is highly uncertain.</w:t>
      </w:r>
      <w:r w:rsidR="00ED5AA2" w:rsidRPr="00931642">
        <w:t xml:space="preserve"> The PSCR (p2) argued that there was clear evidence that pegvisomant is safer than pasireotide based on a comparison of adverse events occurring in more than 15% of patients (particularly referring to rates of diabetes and hyperglycaemia). The ESC </w:t>
      </w:r>
      <w:r w:rsidR="00377F0E" w:rsidRPr="00931642">
        <w:t xml:space="preserve">noted </w:t>
      </w:r>
      <w:r w:rsidR="00ED5AA2" w:rsidRPr="00931642">
        <w:t xml:space="preserve">that the safety profiles </w:t>
      </w:r>
      <w:r w:rsidR="00377F0E" w:rsidRPr="00931642">
        <w:t xml:space="preserve">of pegvisomant and pasireotide </w:t>
      </w:r>
      <w:r w:rsidR="00ED5AA2" w:rsidRPr="00931642">
        <w:t>were different</w:t>
      </w:r>
      <w:r w:rsidR="00DD2377" w:rsidRPr="00931642">
        <w:t xml:space="preserve">, </w:t>
      </w:r>
      <w:r w:rsidR="00377F0E" w:rsidRPr="00931642">
        <w:t xml:space="preserve">and were </w:t>
      </w:r>
      <w:r w:rsidR="00DD2377" w:rsidRPr="00931642">
        <w:t xml:space="preserve">established in </w:t>
      </w:r>
      <w:r w:rsidR="00377F0E" w:rsidRPr="00931642">
        <w:t xml:space="preserve">separate, </w:t>
      </w:r>
      <w:r w:rsidR="00DD2377" w:rsidRPr="00931642">
        <w:t xml:space="preserve">small </w:t>
      </w:r>
      <w:r w:rsidR="00377F0E" w:rsidRPr="00931642">
        <w:t xml:space="preserve">clinical trial </w:t>
      </w:r>
      <w:r w:rsidR="00DD2377" w:rsidRPr="00931642">
        <w:t>populations</w:t>
      </w:r>
      <w:r w:rsidR="00377F0E" w:rsidRPr="00931642">
        <w:t>.</w:t>
      </w:r>
      <w:r w:rsidR="00ED5AA2" w:rsidRPr="00931642">
        <w:t xml:space="preserve"> </w:t>
      </w:r>
      <w:r w:rsidR="00377F0E" w:rsidRPr="00931642">
        <w:t xml:space="preserve">The ESC </w:t>
      </w:r>
      <w:r w:rsidR="00ED5AA2" w:rsidRPr="00931642">
        <w:t xml:space="preserve">therefore </w:t>
      </w:r>
      <w:r w:rsidR="00377F0E" w:rsidRPr="00931642">
        <w:t xml:space="preserve">considered that it was </w:t>
      </w:r>
      <w:r w:rsidR="00ED5AA2" w:rsidRPr="00931642">
        <w:t xml:space="preserve">difficult to </w:t>
      </w:r>
      <w:r w:rsidR="00377F0E" w:rsidRPr="00931642">
        <w:t xml:space="preserve">make a direct </w:t>
      </w:r>
      <w:r w:rsidR="00ED5AA2" w:rsidRPr="00931642">
        <w:t>compar</w:t>
      </w:r>
      <w:r w:rsidR="00377F0E" w:rsidRPr="00931642">
        <w:t>ison</w:t>
      </w:r>
      <w:r w:rsidR="008A3A51" w:rsidRPr="00931642">
        <w:t xml:space="preserve"> between </w:t>
      </w:r>
      <w:r w:rsidR="005F5609" w:rsidRPr="00931642">
        <w:t>the safety profiles</w:t>
      </w:r>
      <w:r w:rsidR="00ED5AA2" w:rsidRPr="00931642">
        <w:t>.</w:t>
      </w:r>
      <w:r w:rsidR="00E86BDE" w:rsidRPr="00931642">
        <w:t xml:space="preserve"> The PBAC noted that due to the occurrence of abnormal liver function associated with pegvisomant</w:t>
      </w:r>
      <w:r w:rsidR="004472E5" w:rsidRPr="00931642">
        <w:t>,</w:t>
      </w:r>
      <w:r w:rsidR="00E86BDE" w:rsidRPr="00931642">
        <w:t xml:space="preserve"> </w:t>
      </w:r>
      <w:r w:rsidR="0086684A" w:rsidRPr="00931642">
        <w:t xml:space="preserve">the American Association of Clinical Endocrinologists (AACE) recommends </w:t>
      </w:r>
      <w:r w:rsidR="00E86BDE" w:rsidRPr="00931642">
        <w:t xml:space="preserve">liver function testing </w:t>
      </w:r>
      <w:r w:rsidR="0086684A" w:rsidRPr="00931642">
        <w:t xml:space="preserve">at monthly intervals for the first 6 months, quarterly for the </w:t>
      </w:r>
      <w:r w:rsidR="005F074B">
        <w:t>following</w:t>
      </w:r>
      <w:r w:rsidR="005F074B" w:rsidRPr="00931642">
        <w:t xml:space="preserve"> </w:t>
      </w:r>
      <w:r w:rsidR="0086684A" w:rsidRPr="00931642">
        <w:t>6 months, and then biannually</w:t>
      </w:r>
      <w:r w:rsidR="0086684A" w:rsidRPr="00931642">
        <w:rPr>
          <w:rStyle w:val="FootnoteReference"/>
        </w:rPr>
        <w:footnoteReference w:id="3"/>
      </w:r>
      <w:r w:rsidR="005F5609" w:rsidRPr="00931642">
        <w:t>.</w:t>
      </w:r>
    </w:p>
    <w:p w:rsidR="00CF6653" w:rsidRPr="00931642" w:rsidRDefault="00CF6653" w:rsidP="006504C4">
      <w:pPr>
        <w:pStyle w:val="ListParagraph"/>
        <w:widowControl/>
      </w:pPr>
    </w:p>
    <w:p w:rsidR="00CF6653" w:rsidRPr="00931642" w:rsidRDefault="00CF6653" w:rsidP="006504C4">
      <w:pPr>
        <w:widowControl/>
        <w:numPr>
          <w:ilvl w:val="1"/>
          <w:numId w:val="6"/>
        </w:numPr>
      </w:pPr>
      <w:r w:rsidRPr="00931642">
        <w:lastRenderedPageBreak/>
        <w:t>Differences in the types of adverse events reported for the different drug classes means any attempt to compare the safety profiles of pegvisomant, pasireotide and octreotide/</w:t>
      </w:r>
      <w:r w:rsidR="005F5609" w:rsidRPr="00931642">
        <w:t>lanreotide is highly uncertain.</w:t>
      </w:r>
    </w:p>
    <w:p w:rsidR="00821066" w:rsidRPr="00931642" w:rsidRDefault="00821066" w:rsidP="006504C4">
      <w:pPr>
        <w:widowControl/>
      </w:pPr>
    </w:p>
    <w:p w:rsidR="00242997" w:rsidRPr="00931642" w:rsidRDefault="00242997" w:rsidP="006504C4">
      <w:pPr>
        <w:keepNext/>
        <w:widowControl/>
        <w:ind w:firstLine="720"/>
        <w:rPr>
          <w:rStyle w:val="CommentReference"/>
        </w:rPr>
      </w:pPr>
      <w:r w:rsidRPr="00931642">
        <w:rPr>
          <w:rStyle w:val="CommentReference"/>
        </w:rPr>
        <w:t>Table 6:</w:t>
      </w:r>
      <w:r w:rsidRPr="00931642">
        <w:rPr>
          <w:rStyle w:val="CommentReference"/>
        </w:rPr>
        <w:tab/>
        <w:t>Comparison of treatment-emergent adverse events in Trial 3614 and Gadelha 2014</w:t>
      </w:r>
    </w:p>
    <w:tbl>
      <w:tblPr>
        <w:tblW w:w="0" w:type="auto"/>
        <w:tblInd w:w="717" w:type="dxa"/>
        <w:tblLayout w:type="fixed"/>
        <w:tblCellMar>
          <w:left w:w="0" w:type="dxa"/>
          <w:right w:w="0" w:type="dxa"/>
        </w:tblCellMar>
        <w:tblLook w:val="01E0" w:firstRow="1" w:lastRow="1" w:firstColumn="1" w:lastColumn="1" w:noHBand="0" w:noVBand="0"/>
      </w:tblPr>
      <w:tblGrid>
        <w:gridCol w:w="1843"/>
        <w:gridCol w:w="1039"/>
        <w:gridCol w:w="1039"/>
        <w:gridCol w:w="1040"/>
        <w:gridCol w:w="1120"/>
        <w:gridCol w:w="1121"/>
        <w:gridCol w:w="1121"/>
      </w:tblGrid>
      <w:tr w:rsidR="00242997" w:rsidRPr="00931642" w:rsidTr="00242997">
        <w:trPr>
          <w:trHeight w:hRule="exact" w:val="236"/>
          <w:tblHeader/>
        </w:trPr>
        <w:tc>
          <w:tcPr>
            <w:tcW w:w="1843" w:type="dxa"/>
            <w:vMerge w:val="restart"/>
            <w:tcBorders>
              <w:top w:val="single" w:sz="6" w:space="0" w:color="000000"/>
              <w:left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hAnsi="Arial Narrow"/>
                <w:b/>
                <w:sz w:val="20"/>
              </w:rPr>
            </w:pPr>
            <w:r w:rsidRPr="00931642">
              <w:rPr>
                <w:rFonts w:ascii="Arial Narrow" w:hAnsi="Arial Narrow"/>
                <w:b/>
                <w:sz w:val="20"/>
              </w:rPr>
              <w:t>Characteristic</w:t>
            </w:r>
          </w:p>
        </w:tc>
        <w:tc>
          <w:tcPr>
            <w:tcW w:w="3118" w:type="dxa"/>
            <w:gridSpan w:val="3"/>
            <w:tcBorders>
              <w:top w:val="single" w:sz="6" w:space="0" w:color="000000"/>
              <w:left w:val="single" w:sz="6" w:space="0" w:color="000000"/>
              <w:bottom w:val="single" w:sz="6" w:space="0" w:color="000000"/>
              <w:right w:val="single" w:sz="12" w:space="0" w:color="auto"/>
            </w:tcBorders>
            <w:shd w:val="clear" w:color="auto" w:fill="auto"/>
            <w:vAlign w:val="center"/>
          </w:tcPr>
          <w:p w:rsidR="00242997" w:rsidRPr="00931642" w:rsidRDefault="007F5185" w:rsidP="006504C4">
            <w:pPr>
              <w:keepNext/>
              <w:widowControl/>
              <w:jc w:val="center"/>
              <w:rPr>
                <w:rFonts w:ascii="Arial Narrow" w:hAnsi="Arial Narrow"/>
                <w:b/>
                <w:sz w:val="20"/>
              </w:rPr>
            </w:pPr>
            <w:r w:rsidRPr="00931642">
              <w:rPr>
                <w:rFonts w:ascii="Arial Narrow" w:hAnsi="Arial Narrow"/>
                <w:b/>
                <w:sz w:val="20"/>
              </w:rPr>
              <w:t>Trial</w:t>
            </w:r>
            <w:r w:rsidR="00242997" w:rsidRPr="00931642">
              <w:rPr>
                <w:rFonts w:ascii="Arial Narrow" w:hAnsi="Arial Narrow"/>
                <w:b/>
                <w:sz w:val="20"/>
              </w:rPr>
              <w:t xml:space="preserve"> 3614 – Pegvisomant (12 weeks)</w:t>
            </w:r>
          </w:p>
        </w:tc>
        <w:tc>
          <w:tcPr>
            <w:tcW w:w="3362"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b/>
                <w:sz w:val="20"/>
              </w:rPr>
            </w:pPr>
            <w:r w:rsidRPr="00931642">
              <w:rPr>
                <w:rFonts w:ascii="Arial Narrow" w:hAnsi="Arial Narrow"/>
                <w:b/>
                <w:sz w:val="20"/>
              </w:rPr>
              <w:t>Gadelha 2014 (24 weeks)</w:t>
            </w:r>
          </w:p>
        </w:tc>
      </w:tr>
      <w:tr w:rsidR="00242997" w:rsidRPr="00931642" w:rsidTr="00242997">
        <w:trPr>
          <w:trHeight w:hRule="exact" w:val="749"/>
          <w:tblHeader/>
        </w:trPr>
        <w:tc>
          <w:tcPr>
            <w:tcW w:w="1843" w:type="dxa"/>
            <w:vMerge/>
            <w:tcBorders>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10mg/day</w:t>
            </w:r>
            <w:r w:rsidR="000E5EAA" w:rsidRPr="00931642">
              <w:rPr>
                <w:rFonts w:ascii="Arial Narrow" w:hAnsi="Arial Narrow"/>
                <w:sz w:val="20"/>
              </w:rPr>
              <w:br/>
            </w:r>
            <w:r w:rsidRPr="00931642">
              <w:rPr>
                <w:rFonts w:ascii="Arial Narrow" w:hAnsi="Arial Narrow"/>
                <w:sz w:val="20"/>
              </w:rPr>
              <w:t>(N = 26)</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15mg/day</w:t>
            </w:r>
            <w:r w:rsidR="000E5EAA" w:rsidRPr="00931642">
              <w:rPr>
                <w:rFonts w:ascii="Arial Narrow" w:hAnsi="Arial Narrow"/>
                <w:sz w:val="20"/>
              </w:rPr>
              <w:br/>
              <w:t>(</w:t>
            </w:r>
            <w:r w:rsidRPr="00931642">
              <w:rPr>
                <w:rFonts w:ascii="Arial Narrow" w:hAnsi="Arial Narrow"/>
                <w:sz w:val="20"/>
              </w:rPr>
              <w:t>N = 26)</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20mg/day</w:t>
            </w:r>
            <w:r w:rsidR="000E5EAA" w:rsidRPr="00931642">
              <w:rPr>
                <w:rFonts w:ascii="Arial Narrow" w:hAnsi="Arial Narrow"/>
                <w:sz w:val="20"/>
              </w:rPr>
              <w:br/>
            </w:r>
            <w:r w:rsidRPr="00931642">
              <w:rPr>
                <w:rFonts w:ascii="Arial Narrow" w:hAnsi="Arial Narrow"/>
                <w:sz w:val="20"/>
              </w:rPr>
              <w:t>(N = 28)</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Pasireotide 40mg</w:t>
            </w:r>
          </w:p>
          <w:p w:rsidR="00242997" w:rsidRPr="00931642" w:rsidRDefault="00242997" w:rsidP="006504C4">
            <w:pPr>
              <w:keepNext/>
              <w:widowControl/>
              <w:jc w:val="center"/>
              <w:rPr>
                <w:rFonts w:ascii="Arial Narrow" w:hAnsi="Arial Narrow"/>
                <w:sz w:val="20"/>
              </w:rPr>
            </w:pPr>
            <w:r w:rsidRPr="00931642">
              <w:rPr>
                <w:rFonts w:ascii="Arial Narrow" w:hAnsi="Arial Narrow"/>
                <w:sz w:val="20"/>
              </w:rPr>
              <w:t>(N=63)</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Pasireotide 60mg</w:t>
            </w:r>
          </w:p>
          <w:p w:rsidR="00242997" w:rsidRPr="00931642" w:rsidRDefault="00242997" w:rsidP="006504C4">
            <w:pPr>
              <w:keepNext/>
              <w:widowControl/>
              <w:jc w:val="center"/>
              <w:rPr>
                <w:rFonts w:ascii="Arial Narrow" w:hAnsi="Arial Narrow"/>
                <w:sz w:val="20"/>
              </w:rPr>
            </w:pPr>
            <w:r w:rsidRPr="00931642">
              <w:rPr>
                <w:rFonts w:ascii="Arial Narrow" w:hAnsi="Arial Narrow"/>
                <w:sz w:val="20"/>
              </w:rPr>
              <w:t>(N=62)</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Octreotide/ lanreotide</w:t>
            </w:r>
            <w:r w:rsidR="000E5EAA" w:rsidRPr="00931642">
              <w:rPr>
                <w:rFonts w:ascii="Arial Narrow" w:hAnsi="Arial Narrow"/>
                <w:sz w:val="20"/>
              </w:rPr>
              <w:br/>
            </w:r>
            <w:r w:rsidRPr="00931642">
              <w:rPr>
                <w:rFonts w:ascii="Arial Narrow" w:hAnsi="Arial Narrow"/>
                <w:sz w:val="20"/>
              </w:rPr>
              <w:t>(N=66)</w:t>
            </w:r>
          </w:p>
        </w:tc>
      </w:tr>
      <w:tr w:rsidR="00242997" w:rsidRPr="00931642" w:rsidTr="00242997">
        <w:trPr>
          <w:trHeight w:hRule="exact" w:val="27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hAnsi="Arial Narrow"/>
                <w:sz w:val="20"/>
              </w:rPr>
            </w:pPr>
            <w:r w:rsidRPr="00931642">
              <w:rPr>
                <w:rFonts w:ascii="Arial Narrow" w:hAnsi="Arial Narrow"/>
                <w:sz w:val="20"/>
              </w:rPr>
              <w:t>Abdominal pain</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5 (8%)</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5 (8%)</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2 (3%)</w:t>
            </w:r>
          </w:p>
        </w:tc>
      </w:tr>
      <w:tr w:rsidR="00242997" w:rsidRPr="00931642" w:rsidTr="00242997">
        <w:trPr>
          <w:trHeight w:hRule="exact" w:val="296"/>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hAnsi="Arial Narrow"/>
                <w:sz w:val="20"/>
              </w:rPr>
            </w:pPr>
            <w:r w:rsidRPr="00931642">
              <w:rPr>
                <w:rFonts w:ascii="Arial Narrow" w:hAnsi="Arial Narrow"/>
                <w:sz w:val="20"/>
              </w:rPr>
              <w:t>Alopecia</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1 (2%)</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4 (6%)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0 (0%)</w:t>
            </w:r>
          </w:p>
        </w:tc>
      </w:tr>
      <w:tr w:rsidR="00242997" w:rsidRPr="00931642" w:rsidTr="00242997">
        <w:trPr>
          <w:trHeight w:hRule="exact" w:val="273"/>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hAnsi="Arial Narrow"/>
                <w:sz w:val="20"/>
              </w:rPr>
            </w:pPr>
            <w:r w:rsidRPr="00931642">
              <w:rPr>
                <w:rFonts w:ascii="Arial Narrow" w:hAnsi="Arial Narrow"/>
                <w:sz w:val="20"/>
              </w:rPr>
              <w:t>Anaemia</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4 (6%)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2 (3%)</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2 (3%)</w:t>
            </w:r>
          </w:p>
        </w:tc>
      </w:tr>
      <w:tr w:rsidR="00242997" w:rsidRPr="00931642" w:rsidTr="00242997">
        <w:trPr>
          <w:trHeight w:hRule="exact" w:val="276"/>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Asthenia</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(7.1%)</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454"/>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hAnsi="Arial Narrow"/>
                <w:sz w:val="20"/>
              </w:rPr>
            </w:pPr>
            <w:r w:rsidRPr="00931642">
              <w:rPr>
                <w:rFonts w:ascii="Arial Narrow" w:hAnsi="Arial Narrow"/>
                <w:sz w:val="20"/>
              </w:rPr>
              <w:t>Atrioventricular block first degree</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4 (6%)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0 (0%)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0 (0%)</w:t>
            </w:r>
          </w:p>
        </w:tc>
      </w:tr>
      <w:tr w:rsidR="00242997" w:rsidRPr="00931642" w:rsidTr="00242997">
        <w:trPr>
          <w:trHeight w:hRule="exact" w:val="25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hAnsi="Arial Narrow"/>
                <w:sz w:val="20"/>
              </w:rPr>
            </w:pPr>
            <w:r w:rsidRPr="00931642">
              <w:rPr>
                <w:rFonts w:ascii="Arial Narrow" w:hAnsi="Arial Narrow"/>
                <w:sz w:val="20"/>
              </w:rPr>
              <w:t>Blood glucose increased</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3 (5%)</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4 (6%)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0 (0%)</w:t>
            </w:r>
          </w:p>
        </w:tc>
      </w:tr>
      <w:tr w:rsidR="00242997" w:rsidRPr="00931642" w:rsidTr="00242997">
        <w:trPr>
          <w:trHeight w:hRule="exact" w:val="29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hAnsi="Arial Narrow"/>
                <w:sz w:val="20"/>
              </w:rPr>
            </w:pPr>
            <w:proofErr w:type="spellStart"/>
            <w:r w:rsidRPr="00931642">
              <w:rPr>
                <w:rFonts w:ascii="Arial Narrow" w:hAnsi="Arial Narrow"/>
                <w:sz w:val="20"/>
              </w:rPr>
              <w:t>Cholelithiasis</w:t>
            </w:r>
            <w:proofErr w:type="spellEnd"/>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6 (10%)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8 (13%)</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9 (14%)</w:t>
            </w:r>
          </w:p>
        </w:tc>
      </w:tr>
      <w:tr w:rsidR="00242997" w:rsidRPr="00931642" w:rsidTr="00242997">
        <w:trPr>
          <w:trHeight w:hRule="exact" w:val="28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hAnsi="Arial Narrow"/>
                <w:sz w:val="20"/>
              </w:rPr>
            </w:pPr>
            <w:r w:rsidRPr="00931642">
              <w:rPr>
                <w:rFonts w:ascii="Arial Narrow" w:hAnsi="Arial Narrow"/>
                <w:sz w:val="20"/>
              </w:rPr>
              <w:t>Diabetes</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13 (21%)</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16 (26%)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5 (8%)</w:t>
            </w:r>
          </w:p>
        </w:tc>
      </w:tr>
      <w:tr w:rsidR="00242997" w:rsidRPr="00931642" w:rsidTr="00242997">
        <w:trPr>
          <w:trHeight w:hRule="exact" w:val="284"/>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Diarrhoea</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(3.8%)</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4 (14.3%)</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10 (16%)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12 (19%)</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3 (5%)</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Dizziness</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(3.8%)</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(3.6%)</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5 (8%)</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1 (2%)</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2 (3%)</w:t>
            </w:r>
          </w:p>
        </w:tc>
      </w:tr>
      <w:tr w:rsidR="00242997" w:rsidRPr="00931642" w:rsidTr="00242997">
        <w:trPr>
          <w:trHeight w:hRule="exact" w:val="27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Flatulence</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(3.8%)</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3 (10.7%)</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282"/>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Flu syndrome</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(3.8%)</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3 (11.5%)</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(7.1%)</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454"/>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hAnsi="Arial Narrow"/>
                <w:sz w:val="20"/>
              </w:rPr>
            </w:pPr>
            <w:r w:rsidRPr="00931642">
              <w:rPr>
                <w:rFonts w:ascii="Arial Narrow" w:hAnsi="Arial Narrow"/>
                <w:sz w:val="20"/>
              </w:rPr>
              <w:t>Glucose tolerance impaired</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2 (3%)</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3 (5%)</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4 (6%)</w:t>
            </w:r>
          </w:p>
        </w:tc>
      </w:tr>
      <w:tr w:rsidR="00242997" w:rsidRPr="00931642" w:rsidTr="00242997">
        <w:trPr>
          <w:trHeight w:hRule="exact" w:val="25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Headache</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3 (11.5%)</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3 (10.7%)</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9 (14%)</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2 (13%)</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3 (5%)</w:t>
            </w:r>
          </w:p>
        </w:tc>
      </w:tr>
      <w:tr w:rsidR="00242997" w:rsidRPr="00931642" w:rsidTr="00242997">
        <w:trPr>
          <w:trHeight w:hRule="exact" w:val="296"/>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hAnsi="Arial Narrow"/>
                <w:sz w:val="20"/>
              </w:rPr>
            </w:pPr>
            <w:r w:rsidRPr="00931642">
              <w:rPr>
                <w:rFonts w:ascii="Arial Narrow" w:hAnsi="Arial Narrow"/>
                <w:sz w:val="20"/>
              </w:rPr>
              <w:t>Hypoglycaemia</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2 (3%)</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4 (6%)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0 (0%)</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hAnsi="Arial Narrow"/>
                <w:sz w:val="20"/>
              </w:rPr>
            </w:pPr>
            <w:r w:rsidRPr="00931642">
              <w:rPr>
                <w:rFonts w:ascii="Arial Narrow" w:hAnsi="Arial Narrow"/>
                <w:sz w:val="20"/>
              </w:rPr>
              <w:t>Hyperglycaemia</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21 (33%)</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19 (31%)</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9 (14%)</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Hypertension</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Infection</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6 (23.1%)</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Injection site reaction</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(3.8%)</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3 (10.7%)</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Injury accidental</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(3.8%)</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Liver function abnormal</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3 (11.5%)</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(3.8%)</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(3.6%)</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Nausea</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4 (14.3%)</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2 (3%)</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4 (6%)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2 (3%)</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hAnsi="Arial Narrow"/>
                <w:sz w:val="20"/>
              </w:rPr>
            </w:pPr>
            <w:r w:rsidRPr="00931642">
              <w:rPr>
                <w:rFonts w:ascii="Arial Narrow" w:hAnsi="Arial Narrow"/>
                <w:sz w:val="20"/>
              </w:rPr>
              <w:t>Nasopharyngitis</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4 (6%)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7 (11%)</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2 (3%)</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Oedema peripheral</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(3.6%)</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Pain</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(3.8%)</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4 (14.3%)</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Pain back</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(3.6%)</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Pain chest</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(3.8%)</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Paraesthesia</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(7.1%)</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Sinusitis</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(3.6%)</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Somnolence</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(7.7%)</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2 (7.1%)</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r w:rsidR="00242997" w:rsidRPr="00931642" w:rsidTr="00242997">
        <w:trPr>
          <w:trHeight w:hRule="exact" w:val="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left"/>
              <w:rPr>
                <w:rFonts w:ascii="Arial Narrow" w:eastAsia="Arial" w:hAnsi="Arial Narrow"/>
                <w:sz w:val="20"/>
              </w:rPr>
            </w:pPr>
            <w:r w:rsidRPr="00931642">
              <w:rPr>
                <w:rFonts w:ascii="Arial Narrow" w:hAnsi="Arial Narrow"/>
                <w:sz w:val="20"/>
              </w:rPr>
              <w:t>Sweat</w:t>
            </w:r>
          </w:p>
        </w:tc>
        <w:tc>
          <w:tcPr>
            <w:tcW w:w="10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3 (11.5%)</w:t>
            </w:r>
          </w:p>
        </w:tc>
        <w:tc>
          <w:tcPr>
            <w:tcW w:w="1039" w:type="dxa"/>
            <w:tcBorders>
              <w:top w:val="single" w:sz="6" w:space="0" w:color="000000"/>
              <w:left w:val="single" w:sz="6" w:space="0" w:color="000000"/>
              <w:bottom w:val="single" w:sz="6" w:space="0" w:color="000000"/>
              <w:right w:val="single" w:sz="4"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1 (3.8%)</w:t>
            </w:r>
          </w:p>
        </w:tc>
        <w:tc>
          <w:tcPr>
            <w:tcW w:w="1040" w:type="dxa"/>
            <w:tcBorders>
              <w:top w:val="single" w:sz="4" w:space="0" w:color="auto"/>
              <w:left w:val="single" w:sz="4" w:space="0" w:color="auto"/>
              <w:bottom w:val="single" w:sz="4" w:space="0" w:color="auto"/>
              <w:right w:val="single" w:sz="12" w:space="0" w:color="auto"/>
            </w:tcBorders>
            <w:shd w:val="clear" w:color="auto" w:fill="auto"/>
            <w:vAlign w:val="center"/>
          </w:tcPr>
          <w:p w:rsidR="00242997" w:rsidRPr="00931642" w:rsidRDefault="00242997" w:rsidP="006504C4">
            <w:pPr>
              <w:keepNext/>
              <w:widowControl/>
              <w:jc w:val="center"/>
              <w:rPr>
                <w:rFonts w:ascii="Arial Narrow" w:eastAsia="Arial" w:hAnsi="Arial Narrow"/>
                <w:sz w:val="20"/>
              </w:rPr>
            </w:pPr>
            <w:r w:rsidRPr="00931642">
              <w:rPr>
                <w:rFonts w:ascii="Arial Narrow" w:hAnsi="Arial Narrow"/>
                <w:sz w:val="20"/>
              </w:rPr>
              <w:t>0</w:t>
            </w:r>
          </w:p>
        </w:tc>
        <w:tc>
          <w:tcPr>
            <w:tcW w:w="1120" w:type="dxa"/>
            <w:tcBorders>
              <w:top w:val="single" w:sz="4" w:space="0" w:color="auto"/>
              <w:left w:val="single" w:sz="12"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242997" w:rsidRPr="00931642" w:rsidRDefault="00242997" w:rsidP="006504C4">
            <w:pPr>
              <w:keepNext/>
              <w:widowControl/>
              <w:jc w:val="center"/>
              <w:rPr>
                <w:rFonts w:ascii="Arial Narrow" w:hAnsi="Arial Narrow"/>
                <w:sz w:val="20"/>
              </w:rPr>
            </w:pPr>
            <w:r w:rsidRPr="00931642">
              <w:rPr>
                <w:rFonts w:ascii="Arial Narrow" w:hAnsi="Arial Narrow"/>
                <w:sz w:val="20"/>
              </w:rPr>
              <w:t>-</w:t>
            </w:r>
          </w:p>
        </w:tc>
      </w:tr>
    </w:tbl>
    <w:p w:rsidR="00242997" w:rsidRPr="00931642" w:rsidRDefault="00242997" w:rsidP="006504C4">
      <w:pPr>
        <w:pStyle w:val="TableFooter"/>
        <w:widowControl/>
        <w:ind w:left="709"/>
      </w:pPr>
      <w:r w:rsidRPr="00931642">
        <w:t>Abbreviations: AE, adverse event</w:t>
      </w:r>
    </w:p>
    <w:p w:rsidR="00242997" w:rsidRPr="00931642" w:rsidRDefault="00242997" w:rsidP="006504C4">
      <w:pPr>
        <w:pStyle w:val="TableFooter"/>
        <w:widowControl/>
        <w:ind w:left="709"/>
      </w:pPr>
      <w:r w:rsidRPr="00931642">
        <w:t>Source: Table B.6.2 (v), pp193-194 of the submission</w:t>
      </w:r>
    </w:p>
    <w:p w:rsidR="00242997" w:rsidRPr="00931642" w:rsidRDefault="00242997" w:rsidP="006504C4">
      <w:pPr>
        <w:widowControl/>
      </w:pPr>
    </w:p>
    <w:p w:rsidR="00043A0B" w:rsidRDefault="00043A0B">
      <w:pPr>
        <w:widowControl/>
        <w:jc w:val="left"/>
        <w:rPr>
          <w:b/>
          <w:i/>
          <w:szCs w:val="22"/>
        </w:rPr>
      </w:pPr>
      <w:bookmarkStart w:id="12" w:name="_Toc461530920"/>
      <w:r>
        <w:br w:type="page"/>
      </w:r>
    </w:p>
    <w:p w:rsidR="007F1017" w:rsidRPr="00931642" w:rsidRDefault="007F1017" w:rsidP="006504C4">
      <w:pPr>
        <w:pStyle w:val="Heading3"/>
      </w:pPr>
      <w:r w:rsidRPr="00931642">
        <w:lastRenderedPageBreak/>
        <w:t>Benefits/harms</w:t>
      </w:r>
      <w:bookmarkEnd w:id="12"/>
    </w:p>
    <w:p w:rsidR="007F1017" w:rsidRPr="00931642" w:rsidRDefault="007F1017" w:rsidP="006504C4">
      <w:pPr>
        <w:pStyle w:val="ListParagraph"/>
        <w:widowControl/>
        <w:ind w:left="0"/>
        <w:rPr>
          <w:szCs w:val="22"/>
        </w:rPr>
      </w:pPr>
    </w:p>
    <w:p w:rsidR="002C1BF1" w:rsidRPr="00931642" w:rsidRDefault="002C1BF1" w:rsidP="006504C4">
      <w:pPr>
        <w:pStyle w:val="ListParagraph"/>
        <w:widowControl/>
        <w:numPr>
          <w:ilvl w:val="1"/>
          <w:numId w:val="6"/>
        </w:numPr>
        <w:rPr>
          <w:szCs w:val="22"/>
        </w:rPr>
      </w:pPr>
      <w:r w:rsidRPr="00931642">
        <w:rPr>
          <w:szCs w:val="22"/>
        </w:rPr>
        <w:t>The naïve indirect comparison presented in the submission did not allow for a comparison of the benefits and harms of pegvisomant and pasireotide or octreotide/lanreotide. Accordingly, a benefits/harms table has not been presented.</w:t>
      </w:r>
    </w:p>
    <w:p w:rsidR="00A70AB6" w:rsidRPr="00931642" w:rsidRDefault="00A70AB6" w:rsidP="006504C4">
      <w:pPr>
        <w:widowControl/>
      </w:pPr>
    </w:p>
    <w:p w:rsidR="00B60939" w:rsidRPr="00931642" w:rsidRDefault="00B60939" w:rsidP="006504C4">
      <w:pPr>
        <w:pStyle w:val="Heading3"/>
        <w:keepNext/>
      </w:pPr>
      <w:bookmarkStart w:id="13" w:name="_Toc461530921"/>
      <w:r w:rsidRPr="00931642">
        <w:t>Clinical claim</w:t>
      </w:r>
      <w:bookmarkEnd w:id="13"/>
    </w:p>
    <w:p w:rsidR="00B60939" w:rsidRPr="00931642" w:rsidRDefault="00B60939" w:rsidP="006504C4">
      <w:pPr>
        <w:keepNext/>
        <w:widowControl/>
        <w:ind w:left="720" w:hanging="720"/>
        <w:rPr>
          <w:szCs w:val="22"/>
        </w:rPr>
      </w:pPr>
    </w:p>
    <w:p w:rsidR="00751F9B" w:rsidRPr="00931642" w:rsidRDefault="00751F9B" w:rsidP="006504C4">
      <w:pPr>
        <w:pStyle w:val="ListParagraph"/>
        <w:widowControl/>
        <w:numPr>
          <w:ilvl w:val="1"/>
          <w:numId w:val="6"/>
        </w:numPr>
      </w:pPr>
      <w:r w:rsidRPr="00931642">
        <w:t xml:space="preserve">The submission described pegvisomant as superior in terms of comparative efficacy and superior in terms of comparative safety over pasireotide and over ongoing </w:t>
      </w:r>
      <w:r w:rsidR="00E109AB" w:rsidRPr="00931642">
        <w:t xml:space="preserve">treatment with </w:t>
      </w:r>
      <w:r w:rsidRPr="00931642">
        <w:t>octreotide or lanreotide.</w:t>
      </w:r>
    </w:p>
    <w:p w:rsidR="00BD0723" w:rsidRPr="00931642" w:rsidRDefault="00BD0723" w:rsidP="006504C4">
      <w:pPr>
        <w:widowControl/>
      </w:pPr>
    </w:p>
    <w:p w:rsidR="00751F9B" w:rsidRPr="00931642" w:rsidRDefault="00751F9B" w:rsidP="006504C4">
      <w:pPr>
        <w:pStyle w:val="ListParagraph"/>
        <w:widowControl/>
        <w:numPr>
          <w:ilvl w:val="1"/>
          <w:numId w:val="6"/>
        </w:numPr>
      </w:pPr>
      <w:r w:rsidRPr="00931642">
        <w:t>The claim of superior efficacy was based on a naïve indirect comparison of mean IGF-1 levels times the upper limit of normal</w:t>
      </w:r>
      <w:r w:rsidR="00BD0723" w:rsidRPr="00931642">
        <w:t>. The ESC considered the claim was inadequately supported</w:t>
      </w:r>
      <w:r w:rsidRPr="00931642">
        <w:t xml:space="preserve"> for the following reasons:</w:t>
      </w:r>
    </w:p>
    <w:p w:rsidR="00E236CA" w:rsidRPr="00931642" w:rsidRDefault="00EB2908" w:rsidP="00CC2542">
      <w:pPr>
        <w:widowControl/>
        <w:numPr>
          <w:ilvl w:val="1"/>
          <w:numId w:val="35"/>
        </w:numPr>
        <w:tabs>
          <w:tab w:val="clear" w:pos="1495"/>
          <w:tab w:val="num" w:pos="993"/>
        </w:tabs>
        <w:ind w:left="993" w:hanging="284"/>
      </w:pPr>
      <w:r w:rsidRPr="00931642">
        <w:t>Poor exchangeability between the pegvisomant trial subgroup and the comparator trial</w:t>
      </w:r>
    </w:p>
    <w:p w:rsidR="00E236CA" w:rsidRPr="00931642" w:rsidRDefault="00E236CA" w:rsidP="00CC2542">
      <w:pPr>
        <w:widowControl/>
        <w:numPr>
          <w:ilvl w:val="1"/>
          <w:numId w:val="35"/>
        </w:numPr>
        <w:tabs>
          <w:tab w:val="clear" w:pos="1495"/>
          <w:tab w:val="num" w:pos="993"/>
        </w:tabs>
        <w:ind w:left="993" w:hanging="284"/>
      </w:pPr>
      <w:r w:rsidRPr="00931642">
        <w:t>Lack of a common comparator between trials</w:t>
      </w:r>
    </w:p>
    <w:p w:rsidR="00E236CA" w:rsidRPr="00931642" w:rsidRDefault="00E236CA" w:rsidP="00CC2542">
      <w:pPr>
        <w:widowControl/>
        <w:numPr>
          <w:ilvl w:val="1"/>
          <w:numId w:val="35"/>
        </w:numPr>
        <w:tabs>
          <w:tab w:val="clear" w:pos="1495"/>
          <w:tab w:val="num" w:pos="993"/>
        </w:tabs>
        <w:ind w:left="993" w:hanging="284"/>
      </w:pPr>
      <w:r w:rsidRPr="00931642">
        <w:t xml:space="preserve">Use of a </w:t>
      </w:r>
      <w:r w:rsidR="00A05AD8" w:rsidRPr="00931642">
        <w:t xml:space="preserve">post-hoc </w:t>
      </w:r>
      <w:r w:rsidRPr="00931642">
        <w:t>subgroup from Trial 3614 with small patient numbers and uncertainty around estimates (wide confidence intervals)</w:t>
      </w:r>
    </w:p>
    <w:p w:rsidR="00751F9B" w:rsidRPr="00931642" w:rsidRDefault="00EB2908" w:rsidP="00CC2542">
      <w:pPr>
        <w:widowControl/>
        <w:numPr>
          <w:ilvl w:val="1"/>
          <w:numId w:val="35"/>
        </w:numPr>
        <w:tabs>
          <w:tab w:val="clear" w:pos="1495"/>
          <w:tab w:val="num" w:pos="993"/>
        </w:tabs>
        <w:ind w:left="993" w:hanging="284"/>
      </w:pPr>
      <w:r w:rsidRPr="00931642">
        <w:t xml:space="preserve">Unclear </w:t>
      </w:r>
      <w:r w:rsidR="00E236CA" w:rsidRPr="00931642">
        <w:t xml:space="preserve">clinical importance of any difference </w:t>
      </w:r>
      <w:r w:rsidR="00A05AD8" w:rsidRPr="00931642">
        <w:t xml:space="preserve">in IGF-1 levels </w:t>
      </w:r>
      <w:r w:rsidR="00E236CA" w:rsidRPr="00931642">
        <w:t>between treatments</w:t>
      </w:r>
      <w:r w:rsidR="00E109AB" w:rsidRPr="00931642">
        <w:t xml:space="preserve"> (and unclear reliability as a surrogate outcome)</w:t>
      </w:r>
      <w:r w:rsidR="00E236CA" w:rsidRPr="00931642">
        <w:t>.</w:t>
      </w:r>
      <w:r w:rsidR="00BD0723" w:rsidRPr="00931642">
        <w:t xml:space="preserve"> </w:t>
      </w:r>
    </w:p>
    <w:p w:rsidR="00BD0723" w:rsidRPr="00931642" w:rsidRDefault="00D7359B" w:rsidP="006504C4">
      <w:pPr>
        <w:widowControl/>
        <w:ind w:left="720"/>
      </w:pPr>
      <w:r w:rsidRPr="00931642">
        <w:t>The PSCR (p1) argued that “the superiority of pegvisomant relative to the somatostatin analogues (SSAs) for IGF-1 normalisation was confirmed by three Australian endocrinologists”. However, the ESC considered that expert opinion alone is not acceptable evidence of superiority.</w:t>
      </w:r>
    </w:p>
    <w:p w:rsidR="00D7359B" w:rsidRPr="00931642" w:rsidRDefault="00D7359B" w:rsidP="006504C4">
      <w:pPr>
        <w:widowControl/>
        <w:ind w:left="720"/>
      </w:pPr>
    </w:p>
    <w:p w:rsidR="00751F9B" w:rsidRPr="00931642" w:rsidRDefault="00751F9B" w:rsidP="006504C4">
      <w:pPr>
        <w:pStyle w:val="ListParagraph"/>
        <w:widowControl/>
        <w:numPr>
          <w:ilvl w:val="1"/>
          <w:numId w:val="6"/>
        </w:numPr>
      </w:pPr>
      <w:r w:rsidRPr="00931642">
        <w:t xml:space="preserve">The safety data presented in the submission was limited to a naïve comparison of treatment-emergent adverse events. The </w:t>
      </w:r>
      <w:r w:rsidR="00BD0723" w:rsidRPr="00931642">
        <w:t xml:space="preserve">ESC considered that the </w:t>
      </w:r>
      <w:r w:rsidRPr="00931642">
        <w:t>different safety profiles for pegvisomant, pasireotide and octreotide/lanreotide mean that any attempt to compare the safety profiles of these treatments is highly uncertain.</w:t>
      </w:r>
    </w:p>
    <w:p w:rsidR="006E21FC" w:rsidRPr="00931642" w:rsidRDefault="006E21FC" w:rsidP="006504C4">
      <w:pPr>
        <w:pStyle w:val="ListParagraph"/>
        <w:widowControl/>
      </w:pPr>
    </w:p>
    <w:p w:rsidR="003C52AB" w:rsidRPr="00931642" w:rsidRDefault="006257E9" w:rsidP="003C52AB">
      <w:pPr>
        <w:pStyle w:val="ListParagraph"/>
        <w:widowControl/>
        <w:numPr>
          <w:ilvl w:val="1"/>
          <w:numId w:val="6"/>
        </w:numPr>
        <w:rPr>
          <w:bCs/>
        </w:rPr>
      </w:pPr>
      <w:r w:rsidRPr="00931642">
        <w:rPr>
          <w:bCs/>
        </w:rPr>
        <w:t>The pre-PBAC response</w:t>
      </w:r>
      <w:r w:rsidR="00593CEB" w:rsidRPr="00931642">
        <w:rPr>
          <w:bCs/>
        </w:rPr>
        <w:t xml:space="preserve"> (p1) </w:t>
      </w:r>
      <w:r w:rsidRPr="00931642">
        <w:rPr>
          <w:bCs/>
        </w:rPr>
        <w:t xml:space="preserve">acknowledged </w:t>
      </w:r>
      <w:r w:rsidR="00593CEB" w:rsidRPr="00931642">
        <w:rPr>
          <w:bCs/>
        </w:rPr>
        <w:t xml:space="preserve">that </w:t>
      </w:r>
      <w:r w:rsidR="006504C4" w:rsidRPr="00931642">
        <w:rPr>
          <w:bCs/>
        </w:rPr>
        <w:t xml:space="preserve">it was difficult to demonstrate </w:t>
      </w:r>
      <w:r w:rsidRPr="00931642">
        <w:t xml:space="preserve">superiority of pegvisomant compared </w:t>
      </w:r>
      <w:r w:rsidR="006504C4" w:rsidRPr="00931642">
        <w:t xml:space="preserve">with </w:t>
      </w:r>
      <w:r w:rsidRPr="00931642">
        <w:t>pasireotide</w:t>
      </w:r>
      <w:r w:rsidR="006504C4" w:rsidRPr="00931642">
        <w:t xml:space="preserve"> with a high degree of certainty</w:t>
      </w:r>
      <w:r w:rsidR="00593CEB" w:rsidRPr="00931642">
        <w:t xml:space="preserve">. </w:t>
      </w:r>
      <w:r w:rsidR="003C52AB" w:rsidRPr="00931642">
        <w:t xml:space="preserve">The pre-PBAC response stated that “14.23 mg per day of pegvisomant can be expected to provide IGF-1 normalisation in 55% of patients relative to 25% of patients receiving pasireotide 40 mg or 60 mg per month. Therefore a larger number of patients will achieve control of their acromegaly with pegvisomant than pasireotide.” </w:t>
      </w:r>
    </w:p>
    <w:p w:rsidR="003C52AB" w:rsidRPr="00931642" w:rsidRDefault="003C52AB" w:rsidP="003C52AB">
      <w:pPr>
        <w:pStyle w:val="ListParagraph"/>
        <w:rPr>
          <w:bCs/>
        </w:rPr>
      </w:pPr>
    </w:p>
    <w:p w:rsidR="00FA347C" w:rsidRPr="00931642" w:rsidRDefault="00593CEB" w:rsidP="006504C4">
      <w:pPr>
        <w:pStyle w:val="ListParagraph"/>
        <w:widowControl/>
        <w:numPr>
          <w:ilvl w:val="1"/>
          <w:numId w:val="6"/>
        </w:numPr>
        <w:rPr>
          <w:bCs/>
        </w:rPr>
      </w:pPr>
      <w:r w:rsidRPr="00931642">
        <w:t xml:space="preserve">The PBAC </w:t>
      </w:r>
      <w:r w:rsidR="006504C4" w:rsidRPr="00931642">
        <w:t xml:space="preserve">agreed with the ESC </w:t>
      </w:r>
      <w:r w:rsidRPr="00931642">
        <w:t>that the clinical claim o</w:t>
      </w:r>
      <w:r w:rsidR="006504C4" w:rsidRPr="00931642">
        <w:t>f</w:t>
      </w:r>
      <w:r w:rsidRPr="00931642">
        <w:t xml:space="preserve"> superior efficacy was inadequately supported by the evidence</w:t>
      </w:r>
      <w:r w:rsidR="00127DB2" w:rsidRPr="00931642">
        <w:t xml:space="preserve">, particularly with regards to the use of a </w:t>
      </w:r>
      <w:r w:rsidR="00127DB2" w:rsidRPr="00931642">
        <w:rPr>
          <w:i/>
        </w:rPr>
        <w:t>post hoc</w:t>
      </w:r>
      <w:r w:rsidR="00127DB2" w:rsidRPr="00931642">
        <w:t xml:space="preserve"> naïve indirect comparison and the unclear clinical importance of a difference in IGF-1 levels and reliability as a surrogate outcome</w:t>
      </w:r>
      <w:r w:rsidR="006504C4" w:rsidRPr="00931642">
        <w:t>.</w:t>
      </w:r>
      <w:r w:rsidR="00FA347C" w:rsidRPr="00931642">
        <w:t xml:space="preserve"> Accordingly, the PBAC agreed that a cost minimisation approach was more appropriate, while also noting the difficulty of establishing non-inferiority on the basis of a naïve indirect comparison.</w:t>
      </w:r>
      <w:r w:rsidR="003C52AB" w:rsidRPr="00931642">
        <w:t xml:space="preserve"> </w:t>
      </w:r>
      <w:r w:rsidR="00FA347C" w:rsidRPr="00931642">
        <w:t xml:space="preserve">However, the PBAC agreed that pegvisomant </w:t>
      </w:r>
      <w:r w:rsidR="003C52AB" w:rsidRPr="00931642">
        <w:t>is</w:t>
      </w:r>
      <w:r w:rsidR="00FA347C" w:rsidRPr="00931642">
        <w:t xml:space="preserve"> at least non-inferior to </w:t>
      </w:r>
      <w:r w:rsidR="004B567E" w:rsidRPr="00931642">
        <w:t>pasireotide</w:t>
      </w:r>
      <w:r w:rsidR="00FA347C" w:rsidRPr="00931642">
        <w:t xml:space="preserve"> in terms of </w:t>
      </w:r>
      <w:r w:rsidR="003C52AB" w:rsidRPr="00931642">
        <w:t xml:space="preserve">an increase in the proportion of patients </w:t>
      </w:r>
      <w:r w:rsidR="004B567E" w:rsidRPr="00931642">
        <w:t>achieving</w:t>
      </w:r>
      <w:r w:rsidR="003C52AB" w:rsidRPr="00931642">
        <w:t xml:space="preserve"> normalisation of </w:t>
      </w:r>
      <w:r w:rsidR="00FA347C" w:rsidRPr="00931642">
        <w:t>IGF-1.</w:t>
      </w:r>
    </w:p>
    <w:p w:rsidR="00FA347C" w:rsidRPr="00931642" w:rsidRDefault="00FA347C" w:rsidP="00FA347C">
      <w:pPr>
        <w:pStyle w:val="ListParagraph"/>
      </w:pPr>
    </w:p>
    <w:p w:rsidR="00B60939" w:rsidRPr="00931642" w:rsidRDefault="00B60939" w:rsidP="00740631">
      <w:pPr>
        <w:pStyle w:val="Heading3"/>
        <w:keepNext/>
      </w:pPr>
      <w:bookmarkStart w:id="14" w:name="_Toc461530922"/>
      <w:r w:rsidRPr="00931642">
        <w:lastRenderedPageBreak/>
        <w:t>Economic analysis</w:t>
      </w:r>
      <w:bookmarkEnd w:id="14"/>
      <w:r w:rsidR="00491B3A" w:rsidRPr="00931642">
        <w:t xml:space="preserve"> </w:t>
      </w:r>
    </w:p>
    <w:p w:rsidR="00B60939" w:rsidRPr="00931642" w:rsidRDefault="00B60939" w:rsidP="00740631">
      <w:pPr>
        <w:keepNext/>
        <w:widowControl/>
        <w:ind w:left="720" w:hanging="720"/>
        <w:rPr>
          <w:szCs w:val="22"/>
        </w:rPr>
      </w:pPr>
    </w:p>
    <w:p w:rsidR="00751F9B" w:rsidRPr="00931642" w:rsidRDefault="00751F9B" w:rsidP="006504C4">
      <w:pPr>
        <w:pStyle w:val="ListParagraph"/>
        <w:widowControl/>
        <w:numPr>
          <w:ilvl w:val="1"/>
          <w:numId w:val="6"/>
        </w:numPr>
      </w:pPr>
      <w:r w:rsidRPr="00931642">
        <w:t xml:space="preserve">The submission presented a cost-utility analysis using a decision analytic, Markov model. </w:t>
      </w:r>
      <w:r w:rsidR="00F437E6" w:rsidRPr="00931642">
        <w:t>A summary of the model structure and rationale is presented in Table</w:t>
      </w:r>
      <w:r w:rsidR="00740631" w:rsidRPr="00931642">
        <w:t> </w:t>
      </w:r>
      <w:r w:rsidR="00F437E6" w:rsidRPr="00931642">
        <w:t xml:space="preserve">7. </w:t>
      </w:r>
      <w:r w:rsidRPr="00931642">
        <w:t>The model was configured as a decision tree, with two treatment alternatives:</w:t>
      </w:r>
    </w:p>
    <w:p w:rsidR="00751F9B" w:rsidRPr="00931642" w:rsidRDefault="00751F9B" w:rsidP="006504C4">
      <w:pPr>
        <w:widowControl/>
        <w:numPr>
          <w:ilvl w:val="0"/>
          <w:numId w:val="3"/>
        </w:numPr>
        <w:tabs>
          <w:tab w:val="clear" w:pos="720"/>
          <w:tab w:val="num" w:pos="993"/>
        </w:tabs>
        <w:ind w:left="993" w:hanging="284"/>
      </w:pPr>
      <w:r w:rsidRPr="00931642">
        <w:t>comparator group, which represented the curre</w:t>
      </w:r>
      <w:r w:rsidR="00593CEB" w:rsidRPr="00931642">
        <w:t>nt treatment options for second</w:t>
      </w:r>
      <w:r w:rsidR="00593CEB" w:rsidRPr="00931642">
        <w:noBreakHyphen/>
      </w:r>
      <w:r w:rsidRPr="00931642">
        <w:t>line treatment of acromegaly (pasireotide, octreotide or lanreotide);</w:t>
      </w:r>
    </w:p>
    <w:p w:rsidR="00B60939" w:rsidRPr="00931642" w:rsidRDefault="00751F9B" w:rsidP="006504C4">
      <w:pPr>
        <w:widowControl/>
        <w:numPr>
          <w:ilvl w:val="0"/>
          <w:numId w:val="3"/>
        </w:numPr>
        <w:tabs>
          <w:tab w:val="clear" w:pos="720"/>
          <w:tab w:val="num" w:pos="993"/>
        </w:tabs>
        <w:ind w:left="993" w:hanging="284"/>
        <w:rPr>
          <w:szCs w:val="22"/>
        </w:rPr>
      </w:pPr>
      <w:proofErr w:type="gramStart"/>
      <w:r w:rsidRPr="00931642">
        <w:t>pegvisomant</w:t>
      </w:r>
      <w:proofErr w:type="gramEnd"/>
      <w:r w:rsidRPr="00931642">
        <w:t xml:space="preserve"> group, which represented the proposed situation of pegvisomant being PBS-listed for second-line treatment of acromegaly.</w:t>
      </w:r>
    </w:p>
    <w:p w:rsidR="005E12F1" w:rsidRPr="00931642" w:rsidRDefault="005E12F1" w:rsidP="006504C4">
      <w:pPr>
        <w:keepNext/>
        <w:widowControl/>
        <w:ind w:left="709"/>
        <w:rPr>
          <w:rStyle w:val="CommentReference"/>
        </w:rPr>
      </w:pPr>
    </w:p>
    <w:p w:rsidR="00275C5A" w:rsidRPr="00931642" w:rsidRDefault="00275C5A" w:rsidP="006504C4">
      <w:pPr>
        <w:keepNext/>
        <w:widowControl/>
        <w:ind w:left="709"/>
        <w:rPr>
          <w:rStyle w:val="CommentReference"/>
        </w:rPr>
      </w:pPr>
      <w:r w:rsidRPr="00931642">
        <w:rPr>
          <w:rStyle w:val="CommentReference"/>
        </w:rPr>
        <w:t xml:space="preserve">Table </w:t>
      </w:r>
      <w:r w:rsidR="00751F9B" w:rsidRPr="00931642">
        <w:rPr>
          <w:rStyle w:val="CommentReference"/>
        </w:rPr>
        <w:t>7</w:t>
      </w:r>
      <w:r w:rsidRPr="00931642">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275C5A" w:rsidRPr="00931642" w:rsidTr="005D044D">
        <w:trPr>
          <w:tblHeader/>
        </w:trPr>
        <w:tc>
          <w:tcPr>
            <w:tcW w:w="1529" w:type="pct"/>
            <w:shd w:val="clear" w:color="auto" w:fill="auto"/>
            <w:vAlign w:val="center"/>
          </w:tcPr>
          <w:p w:rsidR="00275C5A" w:rsidRPr="00931642" w:rsidRDefault="00275C5A" w:rsidP="006504C4">
            <w:pPr>
              <w:keepNext/>
              <w:widowControl/>
              <w:jc w:val="left"/>
              <w:rPr>
                <w:rFonts w:ascii="Arial Narrow" w:hAnsi="Arial Narrow"/>
                <w:b/>
                <w:sz w:val="20"/>
              </w:rPr>
            </w:pPr>
            <w:r w:rsidRPr="00931642">
              <w:rPr>
                <w:rFonts w:ascii="Arial Narrow" w:hAnsi="Arial Narrow"/>
                <w:b/>
                <w:sz w:val="20"/>
              </w:rPr>
              <w:t>Component</w:t>
            </w:r>
          </w:p>
        </w:tc>
        <w:tc>
          <w:tcPr>
            <w:tcW w:w="3471" w:type="pct"/>
            <w:shd w:val="clear" w:color="auto" w:fill="auto"/>
            <w:vAlign w:val="center"/>
          </w:tcPr>
          <w:p w:rsidR="00275C5A" w:rsidRPr="00931642" w:rsidRDefault="00275C5A" w:rsidP="006504C4">
            <w:pPr>
              <w:keepNext/>
              <w:widowControl/>
              <w:jc w:val="center"/>
              <w:rPr>
                <w:rFonts w:ascii="Arial Narrow" w:hAnsi="Arial Narrow"/>
                <w:b/>
                <w:sz w:val="20"/>
              </w:rPr>
            </w:pPr>
            <w:r w:rsidRPr="00931642">
              <w:rPr>
                <w:rFonts w:ascii="Arial Narrow" w:hAnsi="Arial Narrow"/>
                <w:b/>
                <w:sz w:val="20"/>
              </w:rPr>
              <w:t>Summary</w:t>
            </w:r>
          </w:p>
        </w:tc>
      </w:tr>
      <w:tr w:rsidR="00275C5A" w:rsidRPr="00931642" w:rsidTr="005D044D">
        <w:tc>
          <w:tcPr>
            <w:tcW w:w="1529" w:type="pct"/>
            <w:shd w:val="clear" w:color="auto" w:fill="auto"/>
            <w:vAlign w:val="center"/>
          </w:tcPr>
          <w:p w:rsidR="00275C5A" w:rsidRPr="00931642" w:rsidRDefault="00275C5A" w:rsidP="006504C4">
            <w:pPr>
              <w:keepNext/>
              <w:widowControl/>
              <w:jc w:val="left"/>
              <w:rPr>
                <w:rFonts w:ascii="Arial Narrow" w:hAnsi="Arial Narrow"/>
                <w:sz w:val="20"/>
              </w:rPr>
            </w:pPr>
            <w:r w:rsidRPr="00931642">
              <w:rPr>
                <w:rFonts w:ascii="Arial Narrow" w:hAnsi="Arial Narrow"/>
                <w:sz w:val="20"/>
              </w:rPr>
              <w:t>Time horizon</w:t>
            </w:r>
          </w:p>
        </w:tc>
        <w:tc>
          <w:tcPr>
            <w:tcW w:w="3471" w:type="pct"/>
            <w:shd w:val="clear" w:color="auto" w:fill="auto"/>
            <w:vAlign w:val="center"/>
          </w:tcPr>
          <w:p w:rsidR="00275C5A" w:rsidRPr="00931642" w:rsidRDefault="00751F9B" w:rsidP="006504C4">
            <w:pPr>
              <w:keepNext/>
              <w:widowControl/>
              <w:jc w:val="left"/>
              <w:rPr>
                <w:rFonts w:ascii="Arial Narrow" w:hAnsi="Arial Narrow"/>
                <w:sz w:val="20"/>
              </w:rPr>
            </w:pPr>
            <w:r w:rsidRPr="00931642">
              <w:rPr>
                <w:rFonts w:ascii="Arial Narrow" w:hAnsi="Arial Narrow"/>
                <w:sz w:val="20"/>
              </w:rPr>
              <w:t xml:space="preserve">45 years in the model base case versus 12 weeks in </w:t>
            </w:r>
            <w:r w:rsidR="007F17B7" w:rsidRPr="00931642">
              <w:rPr>
                <w:rFonts w:ascii="Arial Narrow" w:hAnsi="Arial Narrow"/>
                <w:sz w:val="20"/>
              </w:rPr>
              <w:t>T</w:t>
            </w:r>
            <w:r w:rsidRPr="00931642">
              <w:rPr>
                <w:rFonts w:ascii="Arial Narrow" w:hAnsi="Arial Narrow"/>
                <w:sz w:val="20"/>
              </w:rPr>
              <w:t>rial 3614</w:t>
            </w:r>
          </w:p>
        </w:tc>
      </w:tr>
      <w:tr w:rsidR="00275C5A" w:rsidRPr="00931642" w:rsidTr="005D044D">
        <w:tc>
          <w:tcPr>
            <w:tcW w:w="1529" w:type="pct"/>
            <w:shd w:val="clear" w:color="auto" w:fill="auto"/>
            <w:vAlign w:val="center"/>
          </w:tcPr>
          <w:p w:rsidR="00275C5A" w:rsidRPr="00931642" w:rsidRDefault="00275C5A" w:rsidP="006504C4">
            <w:pPr>
              <w:keepNext/>
              <w:widowControl/>
              <w:jc w:val="left"/>
              <w:rPr>
                <w:rFonts w:ascii="Arial Narrow" w:hAnsi="Arial Narrow"/>
                <w:sz w:val="20"/>
              </w:rPr>
            </w:pPr>
            <w:r w:rsidRPr="00931642">
              <w:rPr>
                <w:rFonts w:ascii="Arial Narrow" w:hAnsi="Arial Narrow"/>
                <w:sz w:val="20"/>
              </w:rPr>
              <w:t>Outcomes</w:t>
            </w:r>
          </w:p>
        </w:tc>
        <w:tc>
          <w:tcPr>
            <w:tcW w:w="3471" w:type="pct"/>
            <w:shd w:val="clear" w:color="auto" w:fill="auto"/>
            <w:vAlign w:val="center"/>
          </w:tcPr>
          <w:p w:rsidR="00275C5A" w:rsidRPr="00931642" w:rsidRDefault="00751F9B" w:rsidP="006504C4">
            <w:pPr>
              <w:keepNext/>
              <w:widowControl/>
              <w:jc w:val="left"/>
              <w:rPr>
                <w:rFonts w:ascii="Arial Narrow" w:hAnsi="Arial Narrow"/>
                <w:sz w:val="20"/>
              </w:rPr>
            </w:pPr>
            <w:r w:rsidRPr="00931642">
              <w:rPr>
                <w:rFonts w:ascii="Arial Narrow" w:hAnsi="Arial Narrow"/>
                <w:sz w:val="20"/>
              </w:rPr>
              <w:t>Life-years, QALYs</w:t>
            </w:r>
          </w:p>
        </w:tc>
      </w:tr>
      <w:tr w:rsidR="00275C5A" w:rsidRPr="00931642" w:rsidTr="005D044D">
        <w:tc>
          <w:tcPr>
            <w:tcW w:w="1529" w:type="pct"/>
            <w:shd w:val="clear" w:color="auto" w:fill="auto"/>
            <w:vAlign w:val="center"/>
          </w:tcPr>
          <w:p w:rsidR="00275C5A" w:rsidRPr="00931642" w:rsidRDefault="00275C5A" w:rsidP="006504C4">
            <w:pPr>
              <w:keepNext/>
              <w:widowControl/>
              <w:jc w:val="left"/>
              <w:rPr>
                <w:rFonts w:ascii="Arial Narrow" w:hAnsi="Arial Narrow"/>
                <w:sz w:val="20"/>
              </w:rPr>
            </w:pPr>
            <w:r w:rsidRPr="00931642">
              <w:rPr>
                <w:rFonts w:ascii="Arial Narrow" w:hAnsi="Arial Narrow"/>
                <w:sz w:val="20"/>
              </w:rPr>
              <w:t>Methods used to generate results</w:t>
            </w:r>
          </w:p>
        </w:tc>
        <w:tc>
          <w:tcPr>
            <w:tcW w:w="3471" w:type="pct"/>
            <w:shd w:val="clear" w:color="auto" w:fill="auto"/>
            <w:vAlign w:val="center"/>
          </w:tcPr>
          <w:p w:rsidR="00275C5A" w:rsidRPr="00931642" w:rsidRDefault="00751F9B" w:rsidP="006504C4">
            <w:pPr>
              <w:keepNext/>
              <w:widowControl/>
              <w:jc w:val="left"/>
              <w:rPr>
                <w:rFonts w:ascii="Arial Narrow" w:hAnsi="Arial Narrow"/>
                <w:sz w:val="20"/>
              </w:rPr>
            </w:pPr>
            <w:r w:rsidRPr="00931642">
              <w:rPr>
                <w:rFonts w:ascii="Arial Narrow" w:hAnsi="Arial Narrow"/>
                <w:sz w:val="20"/>
              </w:rPr>
              <w:t>Markov cohort expected-value analysis (1000 patients).</w:t>
            </w:r>
          </w:p>
        </w:tc>
      </w:tr>
      <w:tr w:rsidR="00275C5A" w:rsidRPr="00931642" w:rsidTr="005D044D">
        <w:tc>
          <w:tcPr>
            <w:tcW w:w="1529" w:type="pct"/>
            <w:shd w:val="clear" w:color="auto" w:fill="auto"/>
            <w:vAlign w:val="center"/>
          </w:tcPr>
          <w:p w:rsidR="00275C5A" w:rsidRPr="00931642" w:rsidRDefault="00275C5A" w:rsidP="006504C4">
            <w:pPr>
              <w:keepNext/>
              <w:widowControl/>
              <w:jc w:val="left"/>
              <w:rPr>
                <w:rFonts w:ascii="Arial Narrow" w:hAnsi="Arial Narrow"/>
                <w:sz w:val="20"/>
              </w:rPr>
            </w:pPr>
            <w:r w:rsidRPr="00931642">
              <w:rPr>
                <w:rFonts w:ascii="Arial Narrow" w:hAnsi="Arial Narrow"/>
                <w:sz w:val="20"/>
              </w:rPr>
              <w:t>Health states</w:t>
            </w:r>
          </w:p>
        </w:tc>
        <w:tc>
          <w:tcPr>
            <w:tcW w:w="3471" w:type="pct"/>
            <w:shd w:val="clear" w:color="auto" w:fill="auto"/>
            <w:vAlign w:val="center"/>
          </w:tcPr>
          <w:p w:rsidR="00275C5A" w:rsidRPr="00931642" w:rsidRDefault="00751F9B" w:rsidP="006504C4">
            <w:pPr>
              <w:keepNext/>
              <w:widowControl/>
              <w:jc w:val="left"/>
              <w:rPr>
                <w:rFonts w:ascii="Arial Narrow" w:hAnsi="Arial Narrow"/>
                <w:sz w:val="20"/>
              </w:rPr>
            </w:pPr>
            <w:r w:rsidRPr="00931642">
              <w:rPr>
                <w:rFonts w:ascii="Arial Narrow" w:hAnsi="Arial Narrow"/>
                <w:sz w:val="20"/>
              </w:rPr>
              <w:t>Normalised IGF-1, diabetes</w:t>
            </w:r>
          </w:p>
          <w:p w:rsidR="00751F9B" w:rsidRPr="00931642" w:rsidRDefault="00751F9B" w:rsidP="006504C4">
            <w:pPr>
              <w:keepNext/>
              <w:widowControl/>
              <w:jc w:val="left"/>
              <w:rPr>
                <w:rFonts w:ascii="Arial Narrow" w:hAnsi="Arial Narrow"/>
                <w:sz w:val="20"/>
              </w:rPr>
            </w:pPr>
            <w:r w:rsidRPr="00931642">
              <w:rPr>
                <w:rFonts w:ascii="Arial Narrow" w:hAnsi="Arial Narrow"/>
                <w:sz w:val="20"/>
              </w:rPr>
              <w:t>Normalised IGF-1, no diabetes</w:t>
            </w:r>
          </w:p>
          <w:p w:rsidR="00751F9B" w:rsidRPr="00931642" w:rsidRDefault="00751F9B" w:rsidP="006504C4">
            <w:pPr>
              <w:keepNext/>
              <w:widowControl/>
              <w:jc w:val="left"/>
              <w:rPr>
                <w:rFonts w:ascii="Arial Narrow" w:hAnsi="Arial Narrow"/>
                <w:sz w:val="20"/>
              </w:rPr>
            </w:pPr>
            <w:r w:rsidRPr="00931642">
              <w:rPr>
                <w:rFonts w:ascii="Arial Narrow" w:hAnsi="Arial Narrow"/>
                <w:sz w:val="20"/>
              </w:rPr>
              <w:t>High IGF-1, diabetes</w:t>
            </w:r>
          </w:p>
          <w:p w:rsidR="00751F9B" w:rsidRPr="00931642" w:rsidRDefault="00751F9B" w:rsidP="006504C4">
            <w:pPr>
              <w:keepNext/>
              <w:widowControl/>
              <w:jc w:val="left"/>
              <w:rPr>
                <w:rFonts w:ascii="Arial Narrow" w:hAnsi="Arial Narrow"/>
                <w:sz w:val="20"/>
              </w:rPr>
            </w:pPr>
            <w:r w:rsidRPr="00931642">
              <w:rPr>
                <w:rFonts w:ascii="Arial Narrow" w:hAnsi="Arial Narrow"/>
                <w:sz w:val="20"/>
              </w:rPr>
              <w:t>High IGF-1, no diabetes</w:t>
            </w:r>
          </w:p>
          <w:p w:rsidR="00751F9B" w:rsidRPr="00931642" w:rsidRDefault="00751F9B" w:rsidP="006504C4">
            <w:pPr>
              <w:keepNext/>
              <w:widowControl/>
              <w:jc w:val="left"/>
              <w:rPr>
                <w:rFonts w:ascii="Arial Narrow" w:hAnsi="Arial Narrow"/>
                <w:sz w:val="20"/>
              </w:rPr>
            </w:pPr>
            <w:r w:rsidRPr="00931642">
              <w:rPr>
                <w:rFonts w:ascii="Arial Narrow" w:hAnsi="Arial Narrow"/>
                <w:sz w:val="20"/>
              </w:rPr>
              <w:t>Remission (normalised IGF-1) due to previous radiotherapy</w:t>
            </w:r>
          </w:p>
          <w:p w:rsidR="00751F9B" w:rsidRPr="00931642" w:rsidRDefault="00751F9B" w:rsidP="006504C4">
            <w:pPr>
              <w:keepNext/>
              <w:widowControl/>
              <w:jc w:val="left"/>
              <w:rPr>
                <w:rFonts w:ascii="Arial Narrow" w:hAnsi="Arial Narrow"/>
                <w:sz w:val="20"/>
              </w:rPr>
            </w:pPr>
            <w:r w:rsidRPr="00931642">
              <w:rPr>
                <w:rFonts w:ascii="Arial Narrow" w:hAnsi="Arial Narrow"/>
                <w:sz w:val="20"/>
              </w:rPr>
              <w:t>D</w:t>
            </w:r>
            <w:r w:rsidR="00EB2908" w:rsidRPr="00931642">
              <w:rPr>
                <w:rFonts w:ascii="Arial Narrow" w:hAnsi="Arial Narrow"/>
                <w:sz w:val="20"/>
              </w:rPr>
              <w:t>ea</w:t>
            </w:r>
            <w:r w:rsidRPr="00931642">
              <w:rPr>
                <w:rFonts w:ascii="Arial Narrow" w:hAnsi="Arial Narrow"/>
                <w:sz w:val="20"/>
              </w:rPr>
              <w:t>d</w:t>
            </w:r>
          </w:p>
        </w:tc>
      </w:tr>
      <w:tr w:rsidR="00275C5A" w:rsidRPr="00931642" w:rsidTr="005D044D">
        <w:tc>
          <w:tcPr>
            <w:tcW w:w="1529" w:type="pct"/>
            <w:shd w:val="clear" w:color="auto" w:fill="auto"/>
            <w:vAlign w:val="center"/>
          </w:tcPr>
          <w:p w:rsidR="00275C5A" w:rsidRPr="00931642" w:rsidRDefault="00275C5A" w:rsidP="006504C4">
            <w:pPr>
              <w:keepNext/>
              <w:widowControl/>
              <w:jc w:val="left"/>
              <w:rPr>
                <w:rFonts w:ascii="Arial Narrow" w:hAnsi="Arial Narrow"/>
                <w:sz w:val="20"/>
              </w:rPr>
            </w:pPr>
            <w:r w:rsidRPr="00931642">
              <w:rPr>
                <w:rFonts w:ascii="Arial Narrow" w:hAnsi="Arial Narrow"/>
                <w:sz w:val="20"/>
              </w:rPr>
              <w:t>Cycle length</w:t>
            </w:r>
          </w:p>
        </w:tc>
        <w:tc>
          <w:tcPr>
            <w:tcW w:w="3471" w:type="pct"/>
            <w:shd w:val="clear" w:color="auto" w:fill="auto"/>
            <w:vAlign w:val="center"/>
          </w:tcPr>
          <w:p w:rsidR="00275C5A" w:rsidRPr="00931642" w:rsidRDefault="00751F9B" w:rsidP="006504C4">
            <w:pPr>
              <w:keepNext/>
              <w:widowControl/>
              <w:jc w:val="left"/>
              <w:rPr>
                <w:rFonts w:ascii="Arial Narrow" w:hAnsi="Arial Narrow"/>
                <w:sz w:val="20"/>
              </w:rPr>
            </w:pPr>
            <w:r w:rsidRPr="00931642">
              <w:rPr>
                <w:rFonts w:ascii="Arial Narrow" w:hAnsi="Arial Narrow"/>
                <w:sz w:val="20"/>
              </w:rPr>
              <w:t>One year. Half-cycle corrections were applied.</w:t>
            </w:r>
          </w:p>
        </w:tc>
      </w:tr>
      <w:tr w:rsidR="00275C5A" w:rsidRPr="00931642" w:rsidTr="005D044D">
        <w:tc>
          <w:tcPr>
            <w:tcW w:w="1529" w:type="pct"/>
            <w:shd w:val="clear" w:color="auto" w:fill="auto"/>
            <w:vAlign w:val="center"/>
          </w:tcPr>
          <w:p w:rsidR="00275C5A" w:rsidRPr="00931642" w:rsidRDefault="00275C5A" w:rsidP="006504C4">
            <w:pPr>
              <w:keepNext/>
              <w:widowControl/>
              <w:jc w:val="left"/>
              <w:rPr>
                <w:rFonts w:ascii="Arial Narrow" w:hAnsi="Arial Narrow"/>
                <w:sz w:val="20"/>
              </w:rPr>
            </w:pPr>
            <w:r w:rsidRPr="00931642">
              <w:rPr>
                <w:rFonts w:ascii="Arial Narrow" w:hAnsi="Arial Narrow"/>
                <w:sz w:val="20"/>
              </w:rPr>
              <w:t>Transition probabilities</w:t>
            </w:r>
          </w:p>
        </w:tc>
        <w:tc>
          <w:tcPr>
            <w:tcW w:w="3471" w:type="pct"/>
            <w:shd w:val="clear" w:color="auto" w:fill="auto"/>
            <w:vAlign w:val="center"/>
          </w:tcPr>
          <w:p w:rsidR="00275C5A" w:rsidRPr="00931642" w:rsidRDefault="00751F9B" w:rsidP="006504C4">
            <w:pPr>
              <w:keepNext/>
              <w:widowControl/>
              <w:jc w:val="left"/>
              <w:rPr>
                <w:rFonts w:ascii="Arial Narrow" w:hAnsi="Arial Narrow"/>
                <w:sz w:val="20"/>
              </w:rPr>
            </w:pPr>
            <w:r w:rsidRPr="00931642">
              <w:rPr>
                <w:rFonts w:ascii="Arial Narrow" w:hAnsi="Arial Narrow"/>
                <w:sz w:val="20"/>
              </w:rPr>
              <w:t>Rates of IGF-1 normalisation due to drug treatment and pasireotide-related diabetes risk were applied in the first cycle of the model only. Ongoing transition probabilities for diabetes; treatment discontinuation; normalisation of IGF-1 due to delayed effect of radiation therapy; and mortality.</w:t>
            </w:r>
          </w:p>
        </w:tc>
      </w:tr>
    </w:tbl>
    <w:p w:rsidR="00275C5A" w:rsidRPr="00931642" w:rsidRDefault="00275C5A" w:rsidP="006504C4">
      <w:pPr>
        <w:pStyle w:val="TableFooter"/>
        <w:widowControl/>
        <w:ind w:firstLine="720"/>
      </w:pPr>
      <w:r w:rsidRPr="00931642">
        <w:t>Source: compiled during the evaluation</w:t>
      </w:r>
    </w:p>
    <w:p w:rsidR="006504C4" w:rsidRPr="00931642" w:rsidRDefault="006504C4" w:rsidP="006504C4">
      <w:pPr>
        <w:pStyle w:val="TableFooter"/>
        <w:widowControl/>
        <w:ind w:firstLine="720"/>
        <w:rPr>
          <w:rFonts w:ascii="Arial" w:hAnsi="Arial"/>
          <w:sz w:val="22"/>
        </w:rPr>
      </w:pPr>
    </w:p>
    <w:p w:rsidR="00675DA8" w:rsidRPr="00931642" w:rsidRDefault="002407E3" w:rsidP="006504C4">
      <w:pPr>
        <w:pStyle w:val="ListParagraph"/>
        <w:widowControl/>
        <w:numPr>
          <w:ilvl w:val="1"/>
          <w:numId w:val="6"/>
        </w:numPr>
        <w:rPr>
          <w:szCs w:val="22"/>
        </w:rPr>
      </w:pPr>
      <w:r w:rsidRPr="00931642">
        <w:rPr>
          <w:szCs w:val="22"/>
        </w:rPr>
        <w:t>Key drivers of the economic model are presented in Table 8.</w:t>
      </w:r>
    </w:p>
    <w:p w:rsidR="00675DA8" w:rsidRPr="00931642" w:rsidRDefault="00675DA8" w:rsidP="006504C4">
      <w:pPr>
        <w:pStyle w:val="ListParagraph"/>
        <w:widowControl/>
        <w:rPr>
          <w:szCs w:val="22"/>
        </w:rPr>
      </w:pPr>
    </w:p>
    <w:p w:rsidR="00D110BD" w:rsidRPr="00931642" w:rsidRDefault="00D110BD" w:rsidP="006504C4">
      <w:pPr>
        <w:pStyle w:val="ListParagraph"/>
        <w:keepNext/>
        <w:widowControl/>
        <w:rPr>
          <w:rStyle w:val="CommentReference"/>
        </w:rPr>
      </w:pPr>
      <w:r w:rsidRPr="00931642">
        <w:rPr>
          <w:rStyle w:val="CommentReference"/>
        </w:rPr>
        <w:lastRenderedPageBreak/>
        <w:t xml:space="preserve">Table </w:t>
      </w:r>
      <w:r w:rsidR="002407E3" w:rsidRPr="00931642">
        <w:rPr>
          <w:rStyle w:val="CommentReference"/>
        </w:rPr>
        <w:t>8</w:t>
      </w:r>
      <w:r w:rsidRPr="00931642">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D110BD" w:rsidRPr="00931642" w:rsidTr="00675DA8">
        <w:trPr>
          <w:cantSplit/>
          <w:tblHeader/>
        </w:trPr>
        <w:tc>
          <w:tcPr>
            <w:tcW w:w="1529" w:type="pct"/>
            <w:shd w:val="clear" w:color="auto" w:fill="auto"/>
            <w:vAlign w:val="center"/>
          </w:tcPr>
          <w:p w:rsidR="00D110BD" w:rsidRPr="00931642" w:rsidRDefault="00D110BD" w:rsidP="006504C4">
            <w:pPr>
              <w:keepNext/>
              <w:widowControl/>
              <w:jc w:val="left"/>
              <w:rPr>
                <w:rFonts w:ascii="Arial Narrow" w:hAnsi="Arial Narrow"/>
                <w:b/>
                <w:sz w:val="20"/>
              </w:rPr>
            </w:pPr>
            <w:r w:rsidRPr="00931642">
              <w:rPr>
                <w:rFonts w:ascii="Arial Narrow" w:hAnsi="Arial Narrow"/>
                <w:b/>
                <w:sz w:val="20"/>
              </w:rPr>
              <w:t>Description</w:t>
            </w:r>
          </w:p>
        </w:tc>
        <w:tc>
          <w:tcPr>
            <w:tcW w:w="2123" w:type="pct"/>
            <w:shd w:val="clear" w:color="auto" w:fill="auto"/>
            <w:vAlign w:val="center"/>
          </w:tcPr>
          <w:p w:rsidR="00D110BD" w:rsidRPr="00931642" w:rsidRDefault="00D110BD" w:rsidP="006504C4">
            <w:pPr>
              <w:keepNext/>
              <w:widowControl/>
              <w:jc w:val="center"/>
              <w:rPr>
                <w:rFonts w:ascii="Arial Narrow" w:hAnsi="Arial Narrow"/>
                <w:b/>
                <w:sz w:val="20"/>
              </w:rPr>
            </w:pPr>
            <w:r w:rsidRPr="00931642">
              <w:rPr>
                <w:rFonts w:ascii="Arial Narrow" w:hAnsi="Arial Narrow"/>
                <w:b/>
                <w:sz w:val="20"/>
              </w:rPr>
              <w:t>Method/Value</w:t>
            </w:r>
          </w:p>
        </w:tc>
        <w:tc>
          <w:tcPr>
            <w:tcW w:w="1348" w:type="pct"/>
            <w:shd w:val="clear" w:color="auto" w:fill="auto"/>
            <w:vAlign w:val="center"/>
          </w:tcPr>
          <w:p w:rsidR="00D110BD" w:rsidRPr="00931642" w:rsidRDefault="00D110BD" w:rsidP="006504C4">
            <w:pPr>
              <w:keepNext/>
              <w:widowControl/>
              <w:jc w:val="center"/>
              <w:rPr>
                <w:rFonts w:ascii="Arial Narrow" w:hAnsi="Arial Narrow"/>
                <w:b/>
                <w:sz w:val="20"/>
              </w:rPr>
            </w:pPr>
            <w:r w:rsidRPr="00931642">
              <w:rPr>
                <w:rFonts w:ascii="Arial Narrow" w:hAnsi="Arial Narrow"/>
                <w:b/>
                <w:sz w:val="20"/>
              </w:rPr>
              <w:t>Impact</w:t>
            </w:r>
          </w:p>
        </w:tc>
      </w:tr>
      <w:tr w:rsidR="00D110BD" w:rsidRPr="00931642" w:rsidTr="00675DA8">
        <w:trPr>
          <w:cantSplit/>
        </w:trPr>
        <w:tc>
          <w:tcPr>
            <w:tcW w:w="1529" w:type="pct"/>
            <w:shd w:val="clear" w:color="auto" w:fill="auto"/>
            <w:vAlign w:val="center"/>
          </w:tcPr>
          <w:p w:rsidR="00D110BD" w:rsidRPr="00931642" w:rsidRDefault="002407E3" w:rsidP="006504C4">
            <w:pPr>
              <w:keepNext/>
              <w:widowControl/>
              <w:jc w:val="left"/>
              <w:rPr>
                <w:rFonts w:ascii="Arial Narrow" w:hAnsi="Arial Narrow"/>
                <w:sz w:val="20"/>
              </w:rPr>
            </w:pPr>
            <w:r w:rsidRPr="00931642">
              <w:rPr>
                <w:rFonts w:ascii="Arial Narrow" w:hAnsi="Arial Narrow"/>
                <w:sz w:val="20"/>
              </w:rPr>
              <w:t>Scenario analysis</w:t>
            </w:r>
          </w:p>
        </w:tc>
        <w:tc>
          <w:tcPr>
            <w:tcW w:w="2123" w:type="pct"/>
            <w:shd w:val="clear" w:color="auto" w:fill="auto"/>
            <w:vAlign w:val="center"/>
          </w:tcPr>
          <w:p w:rsidR="00D110BD" w:rsidRPr="00931642" w:rsidRDefault="002407E3" w:rsidP="006504C4">
            <w:pPr>
              <w:keepNext/>
              <w:widowControl/>
              <w:jc w:val="left"/>
              <w:rPr>
                <w:rFonts w:ascii="Arial Narrow" w:hAnsi="Arial Narrow"/>
                <w:sz w:val="20"/>
              </w:rPr>
            </w:pPr>
            <w:r w:rsidRPr="00931642">
              <w:rPr>
                <w:rFonts w:ascii="Arial Narrow" w:hAnsi="Arial Narrow"/>
                <w:sz w:val="20"/>
              </w:rPr>
              <w:t>The model compared two scenarios with multiple treatment options (pegvisomant available scenario versus comparator scenario) rather than pegvisomant versus pasireotide</w:t>
            </w:r>
            <w:r w:rsidR="001A540D" w:rsidRPr="00931642">
              <w:rPr>
                <w:rFonts w:ascii="Arial Narrow" w:hAnsi="Arial Narrow"/>
                <w:sz w:val="20"/>
              </w:rPr>
              <w:t xml:space="preserve"> or octreotide/lanreotide</w:t>
            </w:r>
            <w:r w:rsidRPr="00931642">
              <w:rPr>
                <w:rFonts w:ascii="Arial Narrow" w:hAnsi="Arial Narrow"/>
                <w:sz w:val="20"/>
              </w:rPr>
              <w:t>.</w:t>
            </w:r>
          </w:p>
        </w:tc>
        <w:tc>
          <w:tcPr>
            <w:tcW w:w="1348" w:type="pct"/>
            <w:shd w:val="clear" w:color="auto" w:fill="auto"/>
            <w:vAlign w:val="center"/>
          </w:tcPr>
          <w:p w:rsidR="00D110BD" w:rsidRPr="00931642" w:rsidRDefault="003164FA" w:rsidP="006504C4">
            <w:pPr>
              <w:keepNext/>
              <w:widowControl/>
              <w:jc w:val="center"/>
              <w:rPr>
                <w:rFonts w:ascii="Arial Narrow" w:hAnsi="Arial Narrow"/>
                <w:sz w:val="20"/>
              </w:rPr>
            </w:pPr>
            <w:r w:rsidRPr="00931642">
              <w:rPr>
                <w:rFonts w:ascii="Arial Narrow" w:hAnsi="Arial Narrow"/>
                <w:sz w:val="20"/>
              </w:rPr>
              <w:t>High</w:t>
            </w:r>
            <w:r w:rsidR="00D110BD" w:rsidRPr="00931642">
              <w:rPr>
                <w:rFonts w:ascii="Arial Narrow" w:hAnsi="Arial Narrow"/>
                <w:sz w:val="20"/>
              </w:rPr>
              <w:t xml:space="preserve">, favours </w:t>
            </w:r>
            <w:r w:rsidR="002407E3" w:rsidRPr="00931642">
              <w:rPr>
                <w:rFonts w:ascii="Arial Narrow" w:hAnsi="Arial Narrow"/>
                <w:sz w:val="20"/>
              </w:rPr>
              <w:t>pegvisomant</w:t>
            </w:r>
          </w:p>
        </w:tc>
      </w:tr>
      <w:tr w:rsidR="002407E3" w:rsidRPr="00931642" w:rsidTr="00675DA8">
        <w:trPr>
          <w:cantSplit/>
        </w:trPr>
        <w:tc>
          <w:tcPr>
            <w:tcW w:w="1529" w:type="pct"/>
            <w:shd w:val="clear" w:color="auto" w:fill="auto"/>
            <w:vAlign w:val="center"/>
          </w:tcPr>
          <w:p w:rsidR="002407E3" w:rsidRPr="00931642" w:rsidRDefault="002407E3" w:rsidP="006504C4">
            <w:pPr>
              <w:keepNext/>
              <w:widowControl/>
              <w:jc w:val="left"/>
              <w:rPr>
                <w:rFonts w:ascii="Arial Narrow" w:hAnsi="Arial Narrow"/>
                <w:sz w:val="20"/>
              </w:rPr>
            </w:pPr>
            <w:r w:rsidRPr="00931642">
              <w:rPr>
                <w:rFonts w:ascii="Arial Narrow" w:hAnsi="Arial Narrow"/>
                <w:sz w:val="20"/>
              </w:rPr>
              <w:t>IGF-1 normalisation as surrogate for mortality outcomes</w:t>
            </w:r>
          </w:p>
        </w:tc>
        <w:tc>
          <w:tcPr>
            <w:tcW w:w="2123" w:type="pct"/>
            <w:shd w:val="clear" w:color="auto" w:fill="auto"/>
            <w:vAlign w:val="center"/>
          </w:tcPr>
          <w:p w:rsidR="002407E3" w:rsidRPr="00931642" w:rsidRDefault="002407E3" w:rsidP="006504C4">
            <w:pPr>
              <w:keepNext/>
              <w:widowControl/>
              <w:jc w:val="left"/>
              <w:rPr>
                <w:rFonts w:ascii="Arial Narrow" w:hAnsi="Arial Narrow"/>
                <w:sz w:val="20"/>
              </w:rPr>
            </w:pPr>
            <w:r w:rsidRPr="00931642">
              <w:rPr>
                <w:rFonts w:ascii="Arial Narrow" w:hAnsi="Arial Narrow"/>
                <w:sz w:val="20"/>
              </w:rPr>
              <w:t xml:space="preserve">IGF-1 normalisation was used as a surrogate for mortality, utilities and costs in the model. The relationship between IGF-1 and mortality is </w:t>
            </w:r>
            <w:r w:rsidR="001A540D" w:rsidRPr="00931642">
              <w:rPr>
                <w:rFonts w:ascii="Arial Narrow" w:hAnsi="Arial Narrow"/>
                <w:sz w:val="20"/>
              </w:rPr>
              <w:t>weakl</w:t>
            </w:r>
            <w:r w:rsidRPr="00931642">
              <w:rPr>
                <w:rFonts w:ascii="Arial Narrow" w:hAnsi="Arial Narrow"/>
                <w:sz w:val="20"/>
              </w:rPr>
              <w:t>y supported by the available evidence</w:t>
            </w:r>
            <w:r w:rsidR="003D6987" w:rsidRPr="00931642">
              <w:rPr>
                <w:rFonts w:ascii="Arial Narrow" w:hAnsi="Arial Narrow"/>
                <w:sz w:val="20"/>
              </w:rPr>
              <w:t>.</w:t>
            </w:r>
          </w:p>
        </w:tc>
        <w:tc>
          <w:tcPr>
            <w:tcW w:w="1348" w:type="pct"/>
            <w:shd w:val="clear" w:color="auto" w:fill="auto"/>
            <w:vAlign w:val="center"/>
          </w:tcPr>
          <w:p w:rsidR="002407E3" w:rsidRPr="00931642" w:rsidRDefault="002407E3" w:rsidP="006504C4">
            <w:pPr>
              <w:keepNext/>
              <w:widowControl/>
              <w:jc w:val="center"/>
              <w:rPr>
                <w:rFonts w:ascii="Arial Narrow" w:hAnsi="Arial Narrow"/>
                <w:sz w:val="20"/>
              </w:rPr>
            </w:pPr>
            <w:r w:rsidRPr="00931642">
              <w:rPr>
                <w:rFonts w:ascii="Arial Narrow" w:hAnsi="Arial Narrow"/>
                <w:sz w:val="20"/>
              </w:rPr>
              <w:t>Unclear impact</w:t>
            </w:r>
          </w:p>
        </w:tc>
      </w:tr>
      <w:tr w:rsidR="00D110BD" w:rsidRPr="00931642" w:rsidTr="00675DA8">
        <w:trPr>
          <w:cantSplit/>
        </w:trPr>
        <w:tc>
          <w:tcPr>
            <w:tcW w:w="1529" w:type="pct"/>
            <w:shd w:val="clear" w:color="auto" w:fill="auto"/>
            <w:vAlign w:val="center"/>
          </w:tcPr>
          <w:p w:rsidR="00D110BD" w:rsidRPr="00931642" w:rsidRDefault="00E236CA" w:rsidP="006504C4">
            <w:pPr>
              <w:keepNext/>
              <w:widowControl/>
              <w:jc w:val="left"/>
              <w:rPr>
                <w:rFonts w:ascii="Arial Narrow" w:hAnsi="Arial Narrow"/>
                <w:sz w:val="20"/>
              </w:rPr>
            </w:pPr>
            <w:r w:rsidRPr="00931642">
              <w:rPr>
                <w:rFonts w:ascii="Arial Narrow" w:hAnsi="Arial Narrow"/>
                <w:sz w:val="20"/>
              </w:rPr>
              <w:t>Treatment algorithm</w:t>
            </w:r>
          </w:p>
        </w:tc>
        <w:tc>
          <w:tcPr>
            <w:tcW w:w="2123" w:type="pct"/>
            <w:shd w:val="clear" w:color="auto" w:fill="auto"/>
            <w:vAlign w:val="center"/>
          </w:tcPr>
          <w:p w:rsidR="00D110BD" w:rsidRPr="00931642" w:rsidRDefault="00E236CA" w:rsidP="006504C4">
            <w:pPr>
              <w:keepNext/>
              <w:widowControl/>
              <w:jc w:val="left"/>
              <w:rPr>
                <w:rFonts w:ascii="Arial Narrow" w:hAnsi="Arial Narrow"/>
                <w:sz w:val="20"/>
              </w:rPr>
            </w:pPr>
            <w:r w:rsidRPr="00931642">
              <w:rPr>
                <w:rFonts w:ascii="Arial Narrow" w:hAnsi="Arial Narrow"/>
                <w:sz w:val="20"/>
              </w:rPr>
              <w:t>The model assumed limited treatment switching options beyond the first cycle. The model did not include any option for combination therapy with a somatostatin analogue and pegvisomant.</w:t>
            </w:r>
          </w:p>
        </w:tc>
        <w:tc>
          <w:tcPr>
            <w:tcW w:w="1348" w:type="pct"/>
            <w:shd w:val="clear" w:color="auto" w:fill="auto"/>
            <w:vAlign w:val="center"/>
          </w:tcPr>
          <w:p w:rsidR="00D110BD" w:rsidRPr="00931642" w:rsidRDefault="00E236CA" w:rsidP="006504C4">
            <w:pPr>
              <w:keepNext/>
              <w:widowControl/>
              <w:jc w:val="center"/>
              <w:rPr>
                <w:rFonts w:ascii="Arial Narrow" w:hAnsi="Arial Narrow"/>
                <w:sz w:val="20"/>
              </w:rPr>
            </w:pPr>
            <w:r w:rsidRPr="00931642">
              <w:rPr>
                <w:rFonts w:ascii="Arial Narrow" w:hAnsi="Arial Narrow"/>
                <w:sz w:val="20"/>
              </w:rPr>
              <w:t>Unclear impact</w:t>
            </w:r>
          </w:p>
        </w:tc>
      </w:tr>
      <w:tr w:rsidR="003164FA" w:rsidRPr="00931642" w:rsidTr="00675DA8">
        <w:trPr>
          <w:cantSplit/>
        </w:trPr>
        <w:tc>
          <w:tcPr>
            <w:tcW w:w="1529" w:type="pct"/>
            <w:shd w:val="clear" w:color="auto" w:fill="auto"/>
            <w:vAlign w:val="center"/>
          </w:tcPr>
          <w:p w:rsidR="003164FA" w:rsidRPr="00931642" w:rsidRDefault="003164FA" w:rsidP="006504C4">
            <w:pPr>
              <w:keepNext/>
              <w:widowControl/>
              <w:jc w:val="left"/>
              <w:rPr>
                <w:rFonts w:ascii="Arial Narrow" w:hAnsi="Arial Narrow"/>
                <w:sz w:val="20"/>
              </w:rPr>
            </w:pPr>
            <w:r w:rsidRPr="00931642">
              <w:rPr>
                <w:rFonts w:ascii="Arial Narrow" w:hAnsi="Arial Narrow"/>
                <w:sz w:val="20"/>
              </w:rPr>
              <w:t>Health state utilities</w:t>
            </w:r>
          </w:p>
        </w:tc>
        <w:tc>
          <w:tcPr>
            <w:tcW w:w="2123" w:type="pct"/>
            <w:shd w:val="clear" w:color="auto" w:fill="auto"/>
            <w:vAlign w:val="center"/>
          </w:tcPr>
          <w:p w:rsidR="003164FA" w:rsidRPr="00931642" w:rsidRDefault="00C72513" w:rsidP="006504C4">
            <w:pPr>
              <w:keepNext/>
              <w:widowControl/>
              <w:jc w:val="left"/>
              <w:rPr>
                <w:rFonts w:ascii="Arial Narrow" w:hAnsi="Arial Narrow"/>
                <w:sz w:val="20"/>
              </w:rPr>
            </w:pPr>
            <w:r w:rsidRPr="00931642">
              <w:rPr>
                <w:rFonts w:ascii="Arial Narrow" w:hAnsi="Arial Narrow"/>
                <w:sz w:val="20"/>
              </w:rPr>
              <w:t>In a sensitivity analysis, an arbitrary utility decrement of 0.05 was applied to pegvisomant treatment to account for adverse events. Alternative utilities for patients with high IGF-1 (±0.05) were also tested in sensitivity analyses.</w:t>
            </w:r>
          </w:p>
        </w:tc>
        <w:tc>
          <w:tcPr>
            <w:tcW w:w="1348" w:type="pct"/>
            <w:shd w:val="clear" w:color="auto" w:fill="auto"/>
            <w:vAlign w:val="center"/>
          </w:tcPr>
          <w:p w:rsidR="003164FA" w:rsidRPr="00931642" w:rsidRDefault="003164FA" w:rsidP="006504C4">
            <w:pPr>
              <w:keepNext/>
              <w:widowControl/>
              <w:jc w:val="center"/>
              <w:rPr>
                <w:rFonts w:ascii="Arial Narrow" w:hAnsi="Arial Narrow"/>
                <w:sz w:val="20"/>
              </w:rPr>
            </w:pPr>
            <w:r w:rsidRPr="00931642">
              <w:rPr>
                <w:rFonts w:ascii="Arial Narrow" w:hAnsi="Arial Narrow"/>
                <w:sz w:val="20"/>
              </w:rPr>
              <w:t>Moderate impact</w:t>
            </w:r>
          </w:p>
        </w:tc>
      </w:tr>
      <w:tr w:rsidR="00D110BD" w:rsidRPr="00931642" w:rsidTr="00675DA8">
        <w:trPr>
          <w:cantSplit/>
        </w:trPr>
        <w:tc>
          <w:tcPr>
            <w:tcW w:w="1529" w:type="pct"/>
            <w:shd w:val="clear" w:color="auto" w:fill="auto"/>
            <w:vAlign w:val="center"/>
          </w:tcPr>
          <w:p w:rsidR="00D110BD" w:rsidRPr="00931642" w:rsidRDefault="002407E3" w:rsidP="006504C4">
            <w:pPr>
              <w:keepNext/>
              <w:widowControl/>
              <w:jc w:val="left"/>
              <w:rPr>
                <w:rFonts w:ascii="Arial Narrow" w:hAnsi="Arial Narrow"/>
                <w:sz w:val="20"/>
              </w:rPr>
            </w:pPr>
            <w:r w:rsidRPr="00931642">
              <w:rPr>
                <w:rFonts w:ascii="Arial Narrow" w:hAnsi="Arial Narrow"/>
                <w:sz w:val="20"/>
              </w:rPr>
              <w:t>Disease costs</w:t>
            </w:r>
          </w:p>
        </w:tc>
        <w:tc>
          <w:tcPr>
            <w:tcW w:w="2123" w:type="pct"/>
            <w:shd w:val="clear" w:color="auto" w:fill="auto"/>
            <w:vAlign w:val="center"/>
          </w:tcPr>
          <w:p w:rsidR="00D110BD" w:rsidRPr="00931642" w:rsidRDefault="002407E3" w:rsidP="006504C4">
            <w:pPr>
              <w:keepNext/>
              <w:widowControl/>
              <w:jc w:val="left"/>
              <w:rPr>
                <w:rFonts w:ascii="Arial Narrow" w:hAnsi="Arial Narrow"/>
                <w:sz w:val="20"/>
              </w:rPr>
            </w:pPr>
            <w:r w:rsidRPr="00931642">
              <w:rPr>
                <w:rFonts w:ascii="Arial Narrow" w:hAnsi="Arial Narrow"/>
                <w:sz w:val="20"/>
              </w:rPr>
              <w:t xml:space="preserve">Costs of managing acromegaly </w:t>
            </w:r>
            <w:r w:rsidR="009E5D68" w:rsidRPr="00931642">
              <w:rPr>
                <w:rFonts w:ascii="Arial Narrow" w:hAnsi="Arial Narrow"/>
                <w:sz w:val="20"/>
              </w:rPr>
              <w:t xml:space="preserve">were </w:t>
            </w:r>
            <w:r w:rsidRPr="00931642">
              <w:rPr>
                <w:rFonts w:ascii="Arial Narrow" w:hAnsi="Arial Narrow"/>
                <w:sz w:val="20"/>
              </w:rPr>
              <w:t>based on US costs converted to Australian dollars</w:t>
            </w:r>
            <w:r w:rsidR="001F5C85" w:rsidRPr="00931642">
              <w:rPr>
                <w:rFonts w:ascii="Arial Narrow" w:hAnsi="Arial Narrow"/>
                <w:sz w:val="20"/>
              </w:rPr>
              <w:t xml:space="preserve"> which are unlikely to be relevant to the Australian setting</w:t>
            </w:r>
            <w:r w:rsidR="009E5D68" w:rsidRPr="00931642">
              <w:rPr>
                <w:rFonts w:ascii="Arial Narrow" w:hAnsi="Arial Narrow"/>
                <w:sz w:val="20"/>
              </w:rPr>
              <w:t>. This conversion did not adequately account for differences in treatment patterns and unit costs between these two very different health care systems</w:t>
            </w:r>
            <w:r w:rsidR="005322A6" w:rsidRPr="00931642">
              <w:rPr>
                <w:rFonts w:ascii="Arial Narrow" w:hAnsi="Arial Narrow"/>
                <w:sz w:val="20"/>
              </w:rPr>
              <w:t xml:space="preserve"> and the ESC considered it was likely to overstate the costs of managing acromegaly.</w:t>
            </w:r>
          </w:p>
        </w:tc>
        <w:tc>
          <w:tcPr>
            <w:tcW w:w="1348" w:type="pct"/>
            <w:shd w:val="clear" w:color="auto" w:fill="auto"/>
            <w:vAlign w:val="center"/>
          </w:tcPr>
          <w:p w:rsidR="00D110BD" w:rsidRPr="00931642" w:rsidRDefault="002407E3" w:rsidP="006504C4">
            <w:pPr>
              <w:keepNext/>
              <w:widowControl/>
              <w:jc w:val="center"/>
              <w:rPr>
                <w:rFonts w:ascii="Arial Narrow" w:hAnsi="Arial Narrow"/>
                <w:sz w:val="20"/>
              </w:rPr>
            </w:pPr>
            <w:r w:rsidRPr="00931642">
              <w:rPr>
                <w:rFonts w:ascii="Arial Narrow" w:hAnsi="Arial Narrow"/>
                <w:sz w:val="20"/>
              </w:rPr>
              <w:t>Unclear impact</w:t>
            </w:r>
            <w:r w:rsidR="00F827FA" w:rsidRPr="00931642">
              <w:rPr>
                <w:rFonts w:ascii="Arial Narrow" w:hAnsi="Arial Narrow"/>
                <w:sz w:val="20"/>
              </w:rPr>
              <w:t xml:space="preserve"> but the ESC considered this was likely to favour pegvisomant</w:t>
            </w:r>
          </w:p>
        </w:tc>
      </w:tr>
      <w:tr w:rsidR="00E236CA" w:rsidRPr="00931642" w:rsidTr="00675DA8">
        <w:trPr>
          <w:cantSplit/>
        </w:trPr>
        <w:tc>
          <w:tcPr>
            <w:tcW w:w="1529" w:type="pct"/>
            <w:shd w:val="clear" w:color="auto" w:fill="auto"/>
            <w:vAlign w:val="center"/>
          </w:tcPr>
          <w:p w:rsidR="00E236CA" w:rsidRPr="00931642" w:rsidRDefault="00E236CA" w:rsidP="006504C4">
            <w:pPr>
              <w:keepNext/>
              <w:widowControl/>
              <w:jc w:val="left"/>
              <w:rPr>
                <w:rFonts w:ascii="Arial Narrow" w:hAnsi="Arial Narrow"/>
                <w:sz w:val="20"/>
              </w:rPr>
            </w:pPr>
            <w:r w:rsidRPr="00931642">
              <w:rPr>
                <w:rFonts w:ascii="Arial Narrow" w:hAnsi="Arial Narrow"/>
                <w:sz w:val="20"/>
              </w:rPr>
              <w:t>Pegvisomant dosing and rates of IGF-1 normalisation</w:t>
            </w:r>
          </w:p>
        </w:tc>
        <w:tc>
          <w:tcPr>
            <w:tcW w:w="2123" w:type="pct"/>
            <w:shd w:val="clear" w:color="auto" w:fill="auto"/>
            <w:vAlign w:val="center"/>
          </w:tcPr>
          <w:p w:rsidR="00E236CA" w:rsidRPr="00931642" w:rsidRDefault="00E236CA" w:rsidP="006504C4">
            <w:pPr>
              <w:keepNext/>
              <w:widowControl/>
              <w:jc w:val="left"/>
              <w:rPr>
                <w:rFonts w:ascii="Arial Narrow" w:hAnsi="Arial Narrow"/>
                <w:sz w:val="20"/>
              </w:rPr>
            </w:pPr>
            <w:r w:rsidRPr="00931642">
              <w:rPr>
                <w:rFonts w:ascii="Arial Narrow" w:hAnsi="Arial Narrow"/>
                <w:sz w:val="20"/>
              </w:rPr>
              <w:t xml:space="preserve">IGF-1 normalisation rates were obtained from a fixed dose trial in which patients did not have doses titrated to effect, and in which patients were not representative of the requested PBS population. The </w:t>
            </w:r>
            <w:r w:rsidR="00F02489" w:rsidRPr="00931642">
              <w:rPr>
                <w:rFonts w:ascii="Arial Narrow" w:hAnsi="Arial Narrow"/>
                <w:sz w:val="20"/>
              </w:rPr>
              <w:t xml:space="preserve">calculations used to determine the </w:t>
            </w:r>
            <w:r w:rsidRPr="00931642">
              <w:rPr>
                <w:rFonts w:ascii="Arial Narrow" w:hAnsi="Arial Narrow"/>
                <w:sz w:val="20"/>
              </w:rPr>
              <w:t>average dose and level of IGF</w:t>
            </w:r>
            <w:r w:rsidR="003D6987" w:rsidRPr="00931642">
              <w:rPr>
                <w:rFonts w:ascii="Arial Narrow" w:hAnsi="Arial Narrow"/>
                <w:sz w:val="20"/>
              </w:rPr>
              <w:noBreakHyphen/>
            </w:r>
            <w:r w:rsidRPr="00931642">
              <w:rPr>
                <w:rFonts w:ascii="Arial Narrow" w:hAnsi="Arial Narrow"/>
                <w:sz w:val="20"/>
              </w:rPr>
              <w:t xml:space="preserve">1 normalisation used in the model </w:t>
            </w:r>
            <w:r w:rsidR="00557610" w:rsidRPr="00931642">
              <w:rPr>
                <w:rFonts w:ascii="Arial Narrow" w:hAnsi="Arial Narrow"/>
                <w:sz w:val="20"/>
              </w:rPr>
              <w:t>under</w:t>
            </w:r>
            <w:r w:rsidR="0058396D" w:rsidRPr="00931642">
              <w:rPr>
                <w:rFonts w:ascii="Arial Narrow" w:hAnsi="Arial Narrow"/>
                <w:sz w:val="20"/>
              </w:rPr>
              <w:t>estimate</w:t>
            </w:r>
            <w:r w:rsidR="00DD0CFD" w:rsidRPr="00931642">
              <w:rPr>
                <w:rFonts w:ascii="Arial Narrow" w:hAnsi="Arial Narrow"/>
                <w:sz w:val="20"/>
              </w:rPr>
              <w:t>d</w:t>
            </w:r>
            <w:r w:rsidR="0058396D" w:rsidRPr="00931642">
              <w:rPr>
                <w:rFonts w:ascii="Arial Narrow" w:hAnsi="Arial Narrow"/>
                <w:sz w:val="20"/>
              </w:rPr>
              <w:t xml:space="preserve"> the </w:t>
            </w:r>
            <w:r w:rsidR="00557610" w:rsidRPr="00931642">
              <w:rPr>
                <w:rFonts w:ascii="Arial Narrow" w:hAnsi="Arial Narrow"/>
                <w:sz w:val="20"/>
              </w:rPr>
              <w:t xml:space="preserve">dose required to achieve the expected </w:t>
            </w:r>
            <w:r w:rsidR="00675DA8" w:rsidRPr="00931642">
              <w:rPr>
                <w:rFonts w:ascii="Arial Narrow" w:hAnsi="Arial Narrow"/>
                <w:sz w:val="20"/>
              </w:rPr>
              <w:t>effectiveness of pegvisomant</w:t>
            </w:r>
            <w:r w:rsidRPr="00931642">
              <w:rPr>
                <w:rFonts w:ascii="Arial Narrow" w:hAnsi="Arial Narrow"/>
                <w:sz w:val="20"/>
              </w:rPr>
              <w:t>, which impacts on costs and outcomes.</w:t>
            </w:r>
            <w:r w:rsidR="00393B36" w:rsidRPr="00931642">
              <w:rPr>
                <w:rFonts w:ascii="Arial Narrow" w:hAnsi="Arial Narrow"/>
                <w:sz w:val="20"/>
              </w:rPr>
              <w:t xml:space="preserve"> </w:t>
            </w:r>
          </w:p>
        </w:tc>
        <w:tc>
          <w:tcPr>
            <w:tcW w:w="1348" w:type="pct"/>
            <w:shd w:val="clear" w:color="auto" w:fill="auto"/>
            <w:vAlign w:val="center"/>
          </w:tcPr>
          <w:p w:rsidR="00E236CA" w:rsidRPr="00931642" w:rsidRDefault="00E236CA" w:rsidP="006504C4">
            <w:pPr>
              <w:keepNext/>
              <w:widowControl/>
              <w:jc w:val="center"/>
              <w:rPr>
                <w:rFonts w:ascii="Arial Narrow" w:hAnsi="Arial Narrow"/>
                <w:sz w:val="20"/>
              </w:rPr>
            </w:pPr>
            <w:r w:rsidRPr="00931642">
              <w:rPr>
                <w:rFonts w:ascii="Arial Narrow" w:hAnsi="Arial Narrow"/>
                <w:sz w:val="20"/>
              </w:rPr>
              <w:t>Unclear impact</w:t>
            </w:r>
            <w:r w:rsidR="00F827FA" w:rsidRPr="00931642">
              <w:rPr>
                <w:rFonts w:ascii="Arial Narrow" w:hAnsi="Arial Narrow"/>
                <w:sz w:val="20"/>
              </w:rPr>
              <w:t xml:space="preserve"> but the ESC considered this was likely to favour pegvisomant</w:t>
            </w:r>
          </w:p>
        </w:tc>
      </w:tr>
    </w:tbl>
    <w:p w:rsidR="00D110BD" w:rsidRPr="00931642" w:rsidRDefault="00D110BD" w:rsidP="006504C4">
      <w:pPr>
        <w:pStyle w:val="TableFooter"/>
        <w:widowControl/>
        <w:ind w:firstLine="720"/>
      </w:pPr>
      <w:r w:rsidRPr="00931642">
        <w:t>Source: compiled during the evaluation</w:t>
      </w:r>
    </w:p>
    <w:p w:rsidR="00D110BD" w:rsidRPr="00931642" w:rsidRDefault="00D110BD" w:rsidP="006504C4">
      <w:pPr>
        <w:widowControl/>
        <w:rPr>
          <w:szCs w:val="22"/>
        </w:rPr>
      </w:pPr>
    </w:p>
    <w:p w:rsidR="00CF6653" w:rsidRPr="00931642" w:rsidRDefault="00CF6653" w:rsidP="006504C4">
      <w:pPr>
        <w:pStyle w:val="ListParagraph"/>
        <w:widowControl/>
        <w:numPr>
          <w:ilvl w:val="1"/>
          <w:numId w:val="6"/>
        </w:numPr>
        <w:rPr>
          <w:szCs w:val="22"/>
        </w:rPr>
      </w:pPr>
      <w:r w:rsidRPr="00931642">
        <w:rPr>
          <w:szCs w:val="22"/>
        </w:rPr>
        <w:t>The ESC noted that patients who fail pegvisomant or pasireotide are assumed to switch to treatment with octreotide or lanreotide which has associated costs but zero utility gain. This does not reflect the possible clinical benefit associated with a reduction, but not normalisation, of IGF-1. This assumption favoured pegvisomant.</w:t>
      </w:r>
    </w:p>
    <w:p w:rsidR="00593CEB" w:rsidRPr="00931642" w:rsidRDefault="00593CEB" w:rsidP="006504C4">
      <w:pPr>
        <w:pStyle w:val="ListParagraph"/>
        <w:widowControl/>
        <w:rPr>
          <w:szCs w:val="22"/>
        </w:rPr>
      </w:pPr>
    </w:p>
    <w:p w:rsidR="00CF6653" w:rsidRPr="00931642" w:rsidRDefault="00CF6653" w:rsidP="006504C4">
      <w:pPr>
        <w:pStyle w:val="ListParagraph"/>
        <w:widowControl/>
        <w:numPr>
          <w:ilvl w:val="1"/>
          <w:numId w:val="6"/>
        </w:numPr>
        <w:rPr>
          <w:szCs w:val="22"/>
        </w:rPr>
      </w:pPr>
      <w:r w:rsidRPr="00931642">
        <w:rPr>
          <w:szCs w:val="22"/>
        </w:rPr>
        <w:t>The model may not accurately reflect the treatment algorithm for acromegaly. The model assumed limited treatment switching options beyond the first cycle and did not include any option for combination therapy with a SSA and pegvisomant (while noting that such a listing was not sought).</w:t>
      </w:r>
    </w:p>
    <w:p w:rsidR="00593CEB" w:rsidRPr="00931642" w:rsidRDefault="00593CEB" w:rsidP="006504C4">
      <w:pPr>
        <w:widowControl/>
        <w:rPr>
          <w:szCs w:val="22"/>
        </w:rPr>
      </w:pPr>
    </w:p>
    <w:p w:rsidR="00494782" w:rsidRPr="00931642" w:rsidRDefault="00494782" w:rsidP="006504C4">
      <w:pPr>
        <w:pStyle w:val="ListParagraph"/>
        <w:widowControl/>
        <w:numPr>
          <w:ilvl w:val="1"/>
          <w:numId w:val="6"/>
        </w:numPr>
      </w:pPr>
      <w:r w:rsidRPr="00931642">
        <w:t>The ESC considered that the average dose required to achieve the rate of IGF-1 normalisation, and therefore the costs of treatment</w:t>
      </w:r>
      <w:r w:rsidR="007E35F3" w:rsidRPr="00931642">
        <w:t>, may have been underestimated</w:t>
      </w:r>
      <w:r w:rsidRPr="00931642">
        <w:t xml:space="preserve"> because:</w:t>
      </w:r>
    </w:p>
    <w:p w:rsidR="00494782" w:rsidRPr="00931642" w:rsidRDefault="00494782" w:rsidP="0063600C">
      <w:pPr>
        <w:pStyle w:val="ListParagraph"/>
        <w:widowControl/>
        <w:numPr>
          <w:ilvl w:val="0"/>
          <w:numId w:val="26"/>
        </w:numPr>
        <w:ind w:left="993" w:hanging="284"/>
      </w:pPr>
      <w:r w:rsidRPr="00931642">
        <w:lastRenderedPageBreak/>
        <w:t>The dose at the beginning of ACROSTUDY</w:t>
      </w:r>
      <w:r w:rsidR="007E35F3" w:rsidRPr="00931642">
        <w:t xml:space="preserve"> </w:t>
      </w:r>
      <w:r w:rsidR="00D86C25" w:rsidRPr="00931642">
        <w:t xml:space="preserve">(before dose titration could occur) </w:t>
      </w:r>
      <w:r w:rsidR="007E35F3" w:rsidRPr="00931642">
        <w:t>was compared</w:t>
      </w:r>
      <w:r w:rsidRPr="00931642">
        <w:t xml:space="preserve"> with IGF-1 normalisation at 12 weeks</w:t>
      </w:r>
      <w:r w:rsidR="00D86C25" w:rsidRPr="00931642">
        <w:t xml:space="preserve"> in </w:t>
      </w:r>
      <w:r w:rsidR="00743654" w:rsidRPr="00931642">
        <w:t>T</w:t>
      </w:r>
      <w:r w:rsidR="00D86C25" w:rsidRPr="00931642">
        <w:t>rial 3614</w:t>
      </w:r>
      <w:r w:rsidR="00675DA8" w:rsidRPr="00931642">
        <w:t xml:space="preserve"> where doses </w:t>
      </w:r>
      <w:r w:rsidR="007E35F3" w:rsidRPr="00931642">
        <w:t>were</w:t>
      </w:r>
      <w:r w:rsidR="00675DA8" w:rsidRPr="00931642">
        <w:t xml:space="preserve"> not titrated and the representativ</w:t>
      </w:r>
      <w:r w:rsidR="007E35F3" w:rsidRPr="00931642">
        <w:t>e</w:t>
      </w:r>
      <w:r w:rsidR="00675DA8" w:rsidRPr="00931642">
        <w:t>ness of the</w:t>
      </w:r>
      <w:r w:rsidR="007E35F3" w:rsidRPr="00931642">
        <w:t xml:space="preserve"> study population to the</w:t>
      </w:r>
      <w:r w:rsidR="00675DA8" w:rsidRPr="00931642">
        <w:t xml:space="preserve"> PBS population </w:t>
      </w:r>
      <w:r w:rsidR="00DD0CFD" w:rsidRPr="00931642">
        <w:t>wa</w:t>
      </w:r>
      <w:r w:rsidR="00675DA8" w:rsidRPr="00931642">
        <w:t>s uncertain</w:t>
      </w:r>
      <w:r w:rsidRPr="00931642">
        <w:t>.</w:t>
      </w:r>
      <w:r w:rsidRPr="00931642">
        <w:rPr>
          <w:szCs w:val="22"/>
        </w:rPr>
        <w:t xml:space="preserve"> </w:t>
      </w:r>
      <w:r w:rsidR="00675DA8" w:rsidRPr="00931642">
        <w:rPr>
          <w:szCs w:val="22"/>
        </w:rPr>
        <w:t>In clinical practi</w:t>
      </w:r>
      <w:r w:rsidR="00DD0CFD" w:rsidRPr="00931642">
        <w:rPr>
          <w:szCs w:val="22"/>
        </w:rPr>
        <w:t>c</w:t>
      </w:r>
      <w:r w:rsidR="00675DA8" w:rsidRPr="00931642">
        <w:rPr>
          <w:szCs w:val="22"/>
        </w:rPr>
        <w:t>e</w:t>
      </w:r>
      <w:r w:rsidR="00DD0CFD" w:rsidRPr="00931642">
        <w:rPr>
          <w:szCs w:val="22"/>
        </w:rPr>
        <w:t>,</w:t>
      </w:r>
      <w:r w:rsidRPr="00931642">
        <w:rPr>
          <w:szCs w:val="22"/>
        </w:rPr>
        <w:t xml:space="preserve"> </w:t>
      </w:r>
      <w:r w:rsidR="00557610" w:rsidRPr="00931642">
        <w:rPr>
          <w:szCs w:val="22"/>
        </w:rPr>
        <w:t>dose</w:t>
      </w:r>
      <w:r w:rsidRPr="00931642">
        <w:rPr>
          <w:szCs w:val="22"/>
        </w:rPr>
        <w:t>s will be titrated to effect, and</w:t>
      </w:r>
      <w:r w:rsidRPr="00931642">
        <w:t xml:space="preserve"> this </w:t>
      </w:r>
      <w:r w:rsidR="00675DA8" w:rsidRPr="00931642">
        <w:t xml:space="preserve">method did not account for any dose titration, </w:t>
      </w:r>
      <w:r w:rsidRPr="00931642">
        <w:t xml:space="preserve">thereby underestimating the dose. </w:t>
      </w:r>
      <w:r w:rsidRPr="00931642">
        <w:rPr>
          <w:szCs w:val="22"/>
        </w:rPr>
        <w:t xml:space="preserve">The model also assumed that the average dose remained constant for the duration of the model. </w:t>
      </w:r>
    </w:p>
    <w:p w:rsidR="007661BE" w:rsidRPr="00931642" w:rsidRDefault="007661BE" w:rsidP="0063600C">
      <w:pPr>
        <w:pStyle w:val="ListParagraph"/>
        <w:widowControl/>
        <w:numPr>
          <w:ilvl w:val="0"/>
          <w:numId w:val="26"/>
        </w:numPr>
        <w:ind w:left="993" w:hanging="284"/>
      </w:pPr>
      <w:r w:rsidRPr="00931642">
        <w:rPr>
          <w:szCs w:val="22"/>
        </w:rPr>
        <w:t>The conversion of dose ranges in the ACROSTUDY to specific dosing causes uncertainty and is likely to cause a higher assumed dose (and hence response) than was actually observed.</w:t>
      </w:r>
    </w:p>
    <w:p w:rsidR="00274D54" w:rsidRPr="00931642" w:rsidRDefault="00DD0CFD" w:rsidP="0063600C">
      <w:pPr>
        <w:pStyle w:val="ListParagraph"/>
        <w:widowControl/>
        <w:numPr>
          <w:ilvl w:val="0"/>
          <w:numId w:val="26"/>
        </w:numPr>
        <w:ind w:left="993" w:hanging="284"/>
      </w:pPr>
      <w:r w:rsidRPr="00931642">
        <w:rPr>
          <w:szCs w:val="22"/>
        </w:rPr>
        <w:t xml:space="preserve">The submission assumed </w:t>
      </w:r>
      <w:r w:rsidR="00494782" w:rsidRPr="00931642">
        <w:t>a</w:t>
      </w:r>
      <w:r w:rsidRPr="00931642">
        <w:t xml:space="preserve"> </w:t>
      </w:r>
      <w:r w:rsidR="00494782" w:rsidRPr="00931642">
        <w:t xml:space="preserve">linear relationship between dose and </w:t>
      </w:r>
      <w:r w:rsidR="007E35F3" w:rsidRPr="00931642">
        <w:t xml:space="preserve">proportion with </w:t>
      </w:r>
      <w:r w:rsidR="00494782" w:rsidRPr="00931642">
        <w:t xml:space="preserve">normalised IGF-1 </w:t>
      </w:r>
      <w:r w:rsidRPr="00931642">
        <w:t>between the 10 mg and 15 mg dose strengths</w:t>
      </w:r>
      <w:r w:rsidR="00494782" w:rsidRPr="00931642">
        <w:t xml:space="preserve">, where no such relationship has been established. </w:t>
      </w:r>
    </w:p>
    <w:p w:rsidR="00557610" w:rsidRPr="00931642" w:rsidRDefault="00494782" w:rsidP="0063600C">
      <w:pPr>
        <w:pStyle w:val="ListParagraph"/>
        <w:widowControl/>
        <w:numPr>
          <w:ilvl w:val="0"/>
          <w:numId w:val="26"/>
        </w:numPr>
        <w:ind w:left="993" w:hanging="284"/>
      </w:pPr>
      <w:r w:rsidRPr="00931642">
        <w:t xml:space="preserve">As discussed </w:t>
      </w:r>
      <w:r w:rsidRPr="005F074B">
        <w:t xml:space="preserve">in </w:t>
      </w:r>
      <w:r w:rsidR="00274D54" w:rsidRPr="005F074B">
        <w:t>paragraph 6.</w:t>
      </w:r>
      <w:r w:rsidR="008A3A51" w:rsidRPr="005F074B">
        <w:t>6</w:t>
      </w:r>
      <w:r w:rsidRPr="005F074B">
        <w:t>, the</w:t>
      </w:r>
      <w:r w:rsidRPr="00931642">
        <w:t xml:space="preserve"> population in the </w:t>
      </w:r>
      <w:r w:rsidR="00675DA8" w:rsidRPr="00931642">
        <w:t xml:space="preserve">PBS </w:t>
      </w:r>
      <w:r w:rsidRPr="00931642">
        <w:t>subgroup appears to be less treatment experienced than patients in the proposed PBS restriction. Given patients in a third-line setting will have failed two prior therapies versus one prior t</w:t>
      </w:r>
      <w:r w:rsidR="00675DA8" w:rsidRPr="00931642">
        <w:t>herapy in a second-line setting</w:t>
      </w:r>
      <w:r w:rsidRPr="00931642">
        <w:t xml:space="preserve"> they could be more difficult to treat</w:t>
      </w:r>
      <w:r w:rsidR="00274D54" w:rsidRPr="00931642">
        <w:t xml:space="preserve"> and may be less likely to achieve IGF-1 normalisation than the trial population</w:t>
      </w:r>
      <w:r w:rsidRPr="00931642">
        <w:t>.</w:t>
      </w:r>
    </w:p>
    <w:p w:rsidR="00557610" w:rsidRPr="00931642" w:rsidRDefault="00557610" w:rsidP="006504C4">
      <w:pPr>
        <w:pStyle w:val="ListParagraph"/>
        <w:widowControl/>
      </w:pPr>
    </w:p>
    <w:p w:rsidR="006E4449" w:rsidRPr="00931642" w:rsidRDefault="006E4449" w:rsidP="006504C4">
      <w:pPr>
        <w:pStyle w:val="ListParagraph"/>
        <w:widowControl/>
        <w:numPr>
          <w:ilvl w:val="1"/>
          <w:numId w:val="6"/>
        </w:numPr>
        <w:rPr>
          <w:szCs w:val="22"/>
        </w:rPr>
      </w:pPr>
      <w:r w:rsidRPr="00931642">
        <w:t xml:space="preserve">The submission nominated a time horizon of 45 years for the economic model, arguing that the average age of diagnosis of acromegaly patients is approximately 45 years, and that life expectancy can be expected to be restored to that of the general population when IGF-1 values are restored. </w:t>
      </w:r>
      <w:r w:rsidRPr="00931642">
        <w:rPr>
          <w:szCs w:val="22"/>
        </w:rPr>
        <w:t xml:space="preserve">The ESC noted that the time horizon was considerably longer than the available evidence and assuming that life expectancy is restored to that of the general population was optimistic. However, the ESC noted the </w:t>
      </w:r>
      <w:r w:rsidR="00CE12FA" w:rsidRPr="00931642">
        <w:rPr>
          <w:szCs w:val="22"/>
        </w:rPr>
        <w:t xml:space="preserve">cost </w:t>
      </w:r>
      <w:r w:rsidRPr="00931642">
        <w:rPr>
          <w:szCs w:val="22"/>
        </w:rPr>
        <w:t>per QALY</w:t>
      </w:r>
      <w:r w:rsidR="00CE12FA" w:rsidRPr="00931642">
        <w:rPr>
          <w:szCs w:val="22"/>
        </w:rPr>
        <w:t xml:space="preserve"> gained increased with a longer time horizon </w:t>
      </w:r>
      <w:r w:rsidRPr="00931642">
        <w:rPr>
          <w:szCs w:val="22"/>
        </w:rPr>
        <w:t xml:space="preserve">and </w:t>
      </w:r>
      <w:r w:rsidR="00CE12FA" w:rsidRPr="00931642">
        <w:rPr>
          <w:szCs w:val="22"/>
        </w:rPr>
        <w:t xml:space="preserve">therefore </w:t>
      </w:r>
      <w:r w:rsidRPr="00931642">
        <w:rPr>
          <w:szCs w:val="22"/>
        </w:rPr>
        <w:t>that the longer time horizon was a conservative assumption in this instance.</w:t>
      </w:r>
    </w:p>
    <w:p w:rsidR="006E4449" w:rsidRPr="00931642" w:rsidRDefault="006E4449" w:rsidP="006504C4">
      <w:pPr>
        <w:pStyle w:val="ListParagraph"/>
        <w:widowControl/>
        <w:rPr>
          <w:szCs w:val="22"/>
        </w:rPr>
      </w:pPr>
    </w:p>
    <w:p w:rsidR="00275C5A" w:rsidRPr="00931642" w:rsidRDefault="00751F9B" w:rsidP="006504C4">
      <w:pPr>
        <w:pStyle w:val="ListParagraph"/>
        <w:widowControl/>
        <w:numPr>
          <w:ilvl w:val="1"/>
          <w:numId w:val="6"/>
        </w:numPr>
        <w:rPr>
          <w:szCs w:val="22"/>
        </w:rPr>
      </w:pPr>
      <w:r w:rsidRPr="00931642">
        <w:t>Table 9</w:t>
      </w:r>
      <w:r w:rsidR="00EB2908" w:rsidRPr="00931642">
        <w:t xml:space="preserve"> summarises the results of the economic evaluation presented in the submission</w:t>
      </w:r>
      <w:r w:rsidRPr="00931642">
        <w:t>.</w:t>
      </w:r>
    </w:p>
    <w:p w:rsidR="00D110BD" w:rsidRPr="00931642" w:rsidRDefault="00D110BD" w:rsidP="006504C4">
      <w:pPr>
        <w:widowControl/>
        <w:rPr>
          <w:szCs w:val="22"/>
        </w:rPr>
      </w:pPr>
    </w:p>
    <w:p w:rsidR="00D110BD" w:rsidRPr="00931642" w:rsidRDefault="00D110BD" w:rsidP="006504C4">
      <w:pPr>
        <w:keepNext/>
        <w:widowControl/>
        <w:ind w:firstLine="720"/>
        <w:rPr>
          <w:rStyle w:val="CommentReference"/>
        </w:rPr>
      </w:pPr>
      <w:r w:rsidRPr="00931642">
        <w:rPr>
          <w:rStyle w:val="CommentReference"/>
        </w:rPr>
        <w:t xml:space="preserve">Table </w:t>
      </w:r>
      <w:r w:rsidR="00751F9B" w:rsidRPr="00931642">
        <w:rPr>
          <w:rStyle w:val="CommentReference"/>
        </w:rPr>
        <w:t>9</w:t>
      </w:r>
      <w:r w:rsidRPr="00931642">
        <w:rPr>
          <w:rStyle w:val="CommentReference"/>
        </w:rPr>
        <w:t xml:space="preserve">: Results of the </w:t>
      </w:r>
      <w:r w:rsidR="00751F9B" w:rsidRPr="00931642">
        <w:rPr>
          <w:rStyle w:val="CommentReference"/>
        </w:rPr>
        <w:t>modelled</w:t>
      </w:r>
      <w:r w:rsidRPr="00931642">
        <w:rPr>
          <w:rStyle w:val="CommentReference"/>
        </w:rPr>
        <w:t xml:space="preserve">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4"/>
        <w:gridCol w:w="2268"/>
        <w:gridCol w:w="2038"/>
        <w:gridCol w:w="2055"/>
      </w:tblGrid>
      <w:tr w:rsidR="00751F9B" w:rsidRPr="00931642" w:rsidTr="00751F9B">
        <w:tc>
          <w:tcPr>
            <w:tcW w:w="1189" w:type="pct"/>
          </w:tcPr>
          <w:p w:rsidR="00751F9B" w:rsidRPr="00931642" w:rsidRDefault="00751F9B" w:rsidP="006504C4">
            <w:pPr>
              <w:keepNext/>
              <w:widowControl/>
              <w:rPr>
                <w:rFonts w:ascii="Arial Narrow" w:hAnsi="Arial Narrow"/>
                <w:b/>
                <w:sz w:val="20"/>
              </w:rPr>
            </w:pPr>
            <w:r w:rsidRPr="00931642">
              <w:rPr>
                <w:rFonts w:ascii="Arial Narrow" w:hAnsi="Arial Narrow"/>
                <w:b/>
                <w:sz w:val="20"/>
              </w:rPr>
              <w:t>Component</w:t>
            </w:r>
          </w:p>
        </w:tc>
        <w:tc>
          <w:tcPr>
            <w:tcW w:w="1359" w:type="pct"/>
          </w:tcPr>
          <w:p w:rsidR="00751F9B" w:rsidRPr="00931642" w:rsidRDefault="00751F9B" w:rsidP="006504C4">
            <w:pPr>
              <w:keepNext/>
              <w:widowControl/>
              <w:jc w:val="center"/>
              <w:rPr>
                <w:rFonts w:ascii="Arial Narrow" w:hAnsi="Arial Narrow"/>
                <w:b/>
                <w:sz w:val="20"/>
              </w:rPr>
            </w:pPr>
            <w:r w:rsidRPr="00931642">
              <w:rPr>
                <w:rFonts w:ascii="Arial Narrow" w:hAnsi="Arial Narrow"/>
                <w:b/>
                <w:sz w:val="20"/>
              </w:rPr>
              <w:t>Pegvisomant group</w:t>
            </w:r>
          </w:p>
        </w:tc>
        <w:tc>
          <w:tcPr>
            <w:tcW w:w="1220" w:type="pct"/>
          </w:tcPr>
          <w:p w:rsidR="00751F9B" w:rsidRPr="00931642" w:rsidRDefault="00751F9B" w:rsidP="006504C4">
            <w:pPr>
              <w:keepNext/>
              <w:widowControl/>
              <w:jc w:val="center"/>
              <w:rPr>
                <w:rFonts w:ascii="Arial Narrow" w:hAnsi="Arial Narrow"/>
                <w:b/>
                <w:sz w:val="20"/>
              </w:rPr>
            </w:pPr>
            <w:r w:rsidRPr="00931642">
              <w:rPr>
                <w:rFonts w:ascii="Arial Narrow" w:hAnsi="Arial Narrow"/>
                <w:b/>
                <w:sz w:val="20"/>
              </w:rPr>
              <w:t>Comparator group</w:t>
            </w:r>
          </w:p>
        </w:tc>
        <w:tc>
          <w:tcPr>
            <w:tcW w:w="1231" w:type="pct"/>
          </w:tcPr>
          <w:p w:rsidR="00751F9B" w:rsidRPr="00931642" w:rsidRDefault="00751F9B" w:rsidP="006504C4">
            <w:pPr>
              <w:keepNext/>
              <w:widowControl/>
              <w:jc w:val="center"/>
              <w:rPr>
                <w:rFonts w:ascii="Arial Narrow" w:hAnsi="Arial Narrow"/>
                <w:b/>
                <w:sz w:val="20"/>
              </w:rPr>
            </w:pPr>
            <w:r w:rsidRPr="00931642">
              <w:rPr>
                <w:rFonts w:ascii="Arial Narrow" w:hAnsi="Arial Narrow"/>
                <w:b/>
                <w:sz w:val="20"/>
              </w:rPr>
              <w:t>Increment</w:t>
            </w:r>
          </w:p>
        </w:tc>
      </w:tr>
      <w:tr w:rsidR="00751F9B" w:rsidRPr="00931642" w:rsidTr="00751F9B">
        <w:tc>
          <w:tcPr>
            <w:tcW w:w="1189" w:type="pct"/>
          </w:tcPr>
          <w:p w:rsidR="00751F9B" w:rsidRPr="00931642" w:rsidRDefault="00751F9B" w:rsidP="006504C4">
            <w:pPr>
              <w:keepNext/>
              <w:widowControl/>
              <w:rPr>
                <w:rFonts w:ascii="Arial Narrow" w:hAnsi="Arial Narrow"/>
                <w:sz w:val="20"/>
              </w:rPr>
            </w:pPr>
            <w:r w:rsidRPr="00931642">
              <w:rPr>
                <w:rFonts w:ascii="Arial Narrow" w:hAnsi="Arial Narrow"/>
                <w:sz w:val="20"/>
              </w:rPr>
              <w:t>Costs per person</w:t>
            </w:r>
          </w:p>
        </w:tc>
        <w:tc>
          <w:tcPr>
            <w:tcW w:w="1359" w:type="pct"/>
            <w:vAlign w:val="center"/>
          </w:tcPr>
          <w:p w:rsidR="00751F9B" w:rsidRPr="00931642" w:rsidRDefault="00751F9B" w:rsidP="006504C4">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c>
          <w:tcPr>
            <w:tcW w:w="1220" w:type="pct"/>
            <w:vAlign w:val="center"/>
          </w:tcPr>
          <w:p w:rsidR="00751F9B" w:rsidRPr="00931642" w:rsidRDefault="00751F9B" w:rsidP="006504C4">
            <w:pPr>
              <w:keepNext/>
              <w:widowControl/>
              <w:jc w:val="center"/>
              <w:rPr>
                <w:rFonts w:ascii="Arial Narrow" w:hAnsi="Arial Narrow"/>
                <w:sz w:val="20"/>
              </w:rPr>
            </w:pPr>
            <w:r w:rsidRPr="00931642">
              <w:rPr>
                <w:rFonts w:ascii="Arial Narrow" w:hAnsi="Arial Narrow"/>
                <w:sz w:val="20"/>
              </w:rPr>
              <w:t>$716,024</w:t>
            </w:r>
          </w:p>
        </w:tc>
        <w:tc>
          <w:tcPr>
            <w:tcW w:w="1231" w:type="pct"/>
            <w:vAlign w:val="center"/>
          </w:tcPr>
          <w:p w:rsidR="00751F9B" w:rsidRPr="00931642" w:rsidRDefault="00751F9B" w:rsidP="006504C4">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r>
      <w:tr w:rsidR="00751F9B" w:rsidRPr="00931642" w:rsidTr="00751F9B">
        <w:tc>
          <w:tcPr>
            <w:tcW w:w="1189" w:type="pct"/>
          </w:tcPr>
          <w:p w:rsidR="00751F9B" w:rsidRPr="00931642" w:rsidRDefault="00751F9B" w:rsidP="006504C4">
            <w:pPr>
              <w:keepNext/>
              <w:widowControl/>
              <w:rPr>
                <w:rFonts w:ascii="Arial Narrow" w:hAnsi="Arial Narrow"/>
                <w:sz w:val="20"/>
              </w:rPr>
            </w:pPr>
            <w:r w:rsidRPr="00931642">
              <w:rPr>
                <w:rFonts w:ascii="Arial Narrow" w:hAnsi="Arial Narrow"/>
                <w:sz w:val="20"/>
              </w:rPr>
              <w:t xml:space="preserve">Life </w:t>
            </w:r>
            <w:r w:rsidR="001A540D" w:rsidRPr="00931642">
              <w:rPr>
                <w:rFonts w:ascii="Arial Narrow" w:hAnsi="Arial Narrow"/>
                <w:sz w:val="20"/>
              </w:rPr>
              <w:t>y</w:t>
            </w:r>
            <w:r w:rsidRPr="00931642">
              <w:rPr>
                <w:rFonts w:ascii="Arial Narrow" w:hAnsi="Arial Narrow"/>
                <w:sz w:val="20"/>
              </w:rPr>
              <w:t>ears per person</w:t>
            </w:r>
          </w:p>
        </w:tc>
        <w:tc>
          <w:tcPr>
            <w:tcW w:w="1359" w:type="pct"/>
          </w:tcPr>
          <w:p w:rsidR="00751F9B" w:rsidRPr="00931642" w:rsidRDefault="00751F9B" w:rsidP="006504C4">
            <w:pPr>
              <w:keepNext/>
              <w:widowControl/>
              <w:jc w:val="center"/>
              <w:rPr>
                <w:rFonts w:ascii="Arial Narrow" w:hAnsi="Arial Narrow"/>
                <w:sz w:val="20"/>
              </w:rPr>
            </w:pPr>
            <w:r w:rsidRPr="00931642">
              <w:rPr>
                <w:rFonts w:ascii="Arial Narrow" w:hAnsi="Arial Narrow"/>
                <w:sz w:val="20"/>
              </w:rPr>
              <w:t>15.936</w:t>
            </w:r>
          </w:p>
        </w:tc>
        <w:tc>
          <w:tcPr>
            <w:tcW w:w="1220" w:type="pct"/>
          </w:tcPr>
          <w:p w:rsidR="00751F9B" w:rsidRPr="00931642" w:rsidRDefault="00751F9B" w:rsidP="006504C4">
            <w:pPr>
              <w:keepNext/>
              <w:widowControl/>
              <w:jc w:val="center"/>
              <w:rPr>
                <w:rFonts w:ascii="Arial Narrow" w:hAnsi="Arial Narrow"/>
                <w:sz w:val="20"/>
              </w:rPr>
            </w:pPr>
            <w:r w:rsidRPr="00931642">
              <w:rPr>
                <w:rFonts w:ascii="Arial Narrow" w:hAnsi="Arial Narrow"/>
                <w:sz w:val="20"/>
              </w:rPr>
              <w:t>15.557</w:t>
            </w:r>
          </w:p>
        </w:tc>
        <w:tc>
          <w:tcPr>
            <w:tcW w:w="1231" w:type="pct"/>
          </w:tcPr>
          <w:p w:rsidR="00751F9B" w:rsidRPr="00931642" w:rsidRDefault="00751F9B" w:rsidP="006504C4">
            <w:pPr>
              <w:keepNext/>
              <w:widowControl/>
              <w:jc w:val="center"/>
              <w:rPr>
                <w:rFonts w:ascii="Arial Narrow" w:hAnsi="Arial Narrow"/>
                <w:sz w:val="20"/>
              </w:rPr>
            </w:pPr>
            <w:r w:rsidRPr="00931642">
              <w:rPr>
                <w:rFonts w:ascii="Arial Narrow" w:hAnsi="Arial Narrow"/>
                <w:sz w:val="20"/>
              </w:rPr>
              <w:t>0.379</w:t>
            </w:r>
          </w:p>
        </w:tc>
      </w:tr>
      <w:tr w:rsidR="00751F9B" w:rsidRPr="00931642" w:rsidTr="00751F9B">
        <w:tc>
          <w:tcPr>
            <w:tcW w:w="1189" w:type="pct"/>
          </w:tcPr>
          <w:p w:rsidR="00751F9B" w:rsidRPr="00931642" w:rsidRDefault="00751F9B" w:rsidP="006504C4">
            <w:pPr>
              <w:keepNext/>
              <w:widowControl/>
              <w:rPr>
                <w:rFonts w:ascii="Arial Narrow" w:hAnsi="Arial Narrow"/>
                <w:sz w:val="20"/>
              </w:rPr>
            </w:pPr>
            <w:r w:rsidRPr="00931642">
              <w:rPr>
                <w:rFonts w:ascii="Arial Narrow" w:hAnsi="Arial Narrow"/>
                <w:sz w:val="20"/>
              </w:rPr>
              <w:t>QALYs per person</w:t>
            </w:r>
          </w:p>
        </w:tc>
        <w:tc>
          <w:tcPr>
            <w:tcW w:w="1359" w:type="pct"/>
          </w:tcPr>
          <w:p w:rsidR="00751F9B" w:rsidRPr="00931642" w:rsidRDefault="00751F9B" w:rsidP="006504C4">
            <w:pPr>
              <w:keepNext/>
              <w:widowControl/>
              <w:jc w:val="center"/>
              <w:rPr>
                <w:rFonts w:ascii="Arial Narrow" w:hAnsi="Arial Narrow"/>
                <w:sz w:val="20"/>
              </w:rPr>
            </w:pPr>
            <w:r w:rsidRPr="00931642">
              <w:rPr>
                <w:rFonts w:ascii="Arial Narrow" w:hAnsi="Arial Narrow"/>
                <w:sz w:val="20"/>
              </w:rPr>
              <w:t>12.088</w:t>
            </w:r>
          </w:p>
        </w:tc>
        <w:tc>
          <w:tcPr>
            <w:tcW w:w="1220" w:type="pct"/>
          </w:tcPr>
          <w:p w:rsidR="00751F9B" w:rsidRPr="00931642" w:rsidRDefault="00751F9B" w:rsidP="006504C4">
            <w:pPr>
              <w:keepNext/>
              <w:widowControl/>
              <w:jc w:val="center"/>
              <w:rPr>
                <w:rFonts w:ascii="Arial Narrow" w:hAnsi="Arial Narrow"/>
                <w:sz w:val="20"/>
              </w:rPr>
            </w:pPr>
            <w:r w:rsidRPr="00931642">
              <w:rPr>
                <w:rFonts w:ascii="Arial Narrow" w:hAnsi="Arial Narrow"/>
                <w:sz w:val="20"/>
              </w:rPr>
              <w:t>11.296</w:t>
            </w:r>
          </w:p>
        </w:tc>
        <w:tc>
          <w:tcPr>
            <w:tcW w:w="1231" w:type="pct"/>
          </w:tcPr>
          <w:p w:rsidR="00751F9B" w:rsidRPr="00931642" w:rsidRDefault="00751F9B" w:rsidP="006504C4">
            <w:pPr>
              <w:keepNext/>
              <w:widowControl/>
              <w:jc w:val="center"/>
              <w:rPr>
                <w:rFonts w:ascii="Arial Narrow" w:hAnsi="Arial Narrow"/>
                <w:sz w:val="20"/>
              </w:rPr>
            </w:pPr>
            <w:r w:rsidRPr="00931642">
              <w:rPr>
                <w:rFonts w:ascii="Arial Narrow" w:hAnsi="Arial Narrow"/>
                <w:sz w:val="20"/>
              </w:rPr>
              <w:t>0.792</w:t>
            </w:r>
          </w:p>
        </w:tc>
      </w:tr>
      <w:tr w:rsidR="00751F9B" w:rsidRPr="00931642" w:rsidTr="00751F9B">
        <w:tc>
          <w:tcPr>
            <w:tcW w:w="3769" w:type="pct"/>
            <w:gridSpan w:val="3"/>
          </w:tcPr>
          <w:p w:rsidR="00751F9B" w:rsidRPr="00931642" w:rsidRDefault="00751F9B" w:rsidP="006504C4">
            <w:pPr>
              <w:keepNext/>
              <w:widowControl/>
              <w:rPr>
                <w:rFonts w:ascii="Arial Narrow" w:hAnsi="Arial Narrow"/>
                <w:b/>
                <w:sz w:val="20"/>
              </w:rPr>
            </w:pPr>
            <w:r w:rsidRPr="00931642">
              <w:rPr>
                <w:rFonts w:ascii="Arial Narrow" w:hAnsi="Arial Narrow"/>
                <w:b/>
                <w:sz w:val="20"/>
              </w:rPr>
              <w:t>Incremental cost/additional life year gained</w:t>
            </w:r>
          </w:p>
        </w:tc>
        <w:tc>
          <w:tcPr>
            <w:tcW w:w="1231" w:type="pct"/>
          </w:tcPr>
          <w:p w:rsidR="00751F9B" w:rsidRPr="00931642" w:rsidRDefault="00751F9B" w:rsidP="006504C4">
            <w:pPr>
              <w:keepNext/>
              <w:widowControl/>
              <w:jc w:val="center"/>
              <w:rPr>
                <w:rFonts w:ascii="Arial Narrow" w:hAnsi="Arial Narrow"/>
                <w:b/>
                <w:sz w:val="20"/>
              </w:rPr>
            </w:pPr>
            <w:r w:rsidRPr="00931642">
              <w:rPr>
                <w:rFonts w:ascii="Arial Narrow" w:hAnsi="Arial Narrow"/>
                <w:b/>
                <w:sz w:val="20"/>
              </w:rPr>
              <w:t>$</w:t>
            </w:r>
            <w:r w:rsidR="00356AF3">
              <w:rPr>
                <w:rFonts w:ascii="Arial Narrow" w:hAnsi="Arial Narrow"/>
                <w:b/>
                <w:noProof/>
                <w:color w:val="000000"/>
                <w:sz w:val="20"/>
                <w:highlight w:val="black"/>
              </w:rPr>
              <w:t>'''''''''''''</w:t>
            </w:r>
          </w:p>
        </w:tc>
      </w:tr>
      <w:tr w:rsidR="00751F9B" w:rsidRPr="00931642" w:rsidTr="00751F9B">
        <w:tc>
          <w:tcPr>
            <w:tcW w:w="3769" w:type="pct"/>
            <w:gridSpan w:val="3"/>
          </w:tcPr>
          <w:p w:rsidR="00751F9B" w:rsidRPr="00931642" w:rsidRDefault="00751F9B" w:rsidP="006504C4">
            <w:pPr>
              <w:keepNext/>
              <w:widowControl/>
              <w:rPr>
                <w:rFonts w:ascii="Arial Narrow" w:hAnsi="Arial Narrow"/>
                <w:b/>
                <w:sz w:val="20"/>
              </w:rPr>
            </w:pPr>
            <w:r w:rsidRPr="00931642">
              <w:rPr>
                <w:rFonts w:ascii="Arial Narrow" w:hAnsi="Arial Narrow"/>
                <w:b/>
                <w:sz w:val="20"/>
              </w:rPr>
              <w:t>Incremental cost/additional QALY gained</w:t>
            </w:r>
          </w:p>
        </w:tc>
        <w:tc>
          <w:tcPr>
            <w:tcW w:w="1231" w:type="pct"/>
          </w:tcPr>
          <w:p w:rsidR="00751F9B" w:rsidRPr="00931642" w:rsidRDefault="00751F9B" w:rsidP="006504C4">
            <w:pPr>
              <w:keepNext/>
              <w:widowControl/>
              <w:jc w:val="center"/>
              <w:rPr>
                <w:rFonts w:ascii="Arial Narrow" w:hAnsi="Arial Narrow"/>
                <w:b/>
                <w:sz w:val="20"/>
              </w:rPr>
            </w:pPr>
            <w:r w:rsidRPr="00931642">
              <w:rPr>
                <w:rFonts w:ascii="Arial Narrow" w:hAnsi="Arial Narrow"/>
                <w:b/>
                <w:sz w:val="20"/>
              </w:rPr>
              <w:t>$</w:t>
            </w:r>
            <w:r w:rsidR="00356AF3">
              <w:rPr>
                <w:rFonts w:ascii="Arial Narrow" w:hAnsi="Arial Narrow"/>
                <w:b/>
                <w:noProof/>
                <w:color w:val="000000"/>
                <w:sz w:val="20"/>
                <w:highlight w:val="black"/>
              </w:rPr>
              <w:t>'''''''''''''</w:t>
            </w:r>
          </w:p>
        </w:tc>
      </w:tr>
    </w:tbl>
    <w:p w:rsidR="00751F9B" w:rsidRPr="00931642" w:rsidRDefault="00751F9B" w:rsidP="006504C4">
      <w:pPr>
        <w:pStyle w:val="TableFooter"/>
        <w:keepNext/>
        <w:widowControl/>
        <w:ind w:left="709"/>
      </w:pPr>
      <w:r w:rsidRPr="00931642">
        <w:t>Abbreviations: QALYs, quality adjusted life years</w:t>
      </w:r>
    </w:p>
    <w:p w:rsidR="00751F9B" w:rsidRPr="00931642" w:rsidRDefault="00751F9B" w:rsidP="006504C4">
      <w:pPr>
        <w:pStyle w:val="TableFooter"/>
        <w:widowControl/>
        <w:ind w:left="709"/>
      </w:pPr>
      <w:r w:rsidRPr="00931642">
        <w:t>Source: Table D.5.1, D.5.2, p287 of the submission</w:t>
      </w:r>
    </w:p>
    <w:p w:rsidR="00D110BD" w:rsidRPr="00931642" w:rsidRDefault="00D110BD" w:rsidP="006504C4">
      <w:pPr>
        <w:widowControl/>
        <w:ind w:left="709"/>
        <w:rPr>
          <w:szCs w:val="22"/>
        </w:rPr>
      </w:pPr>
    </w:p>
    <w:p w:rsidR="00D03F65" w:rsidRPr="00931642" w:rsidRDefault="00D03F65" w:rsidP="006504C4">
      <w:pPr>
        <w:pStyle w:val="ListParagraph"/>
        <w:widowControl/>
        <w:numPr>
          <w:ilvl w:val="1"/>
          <w:numId w:val="6"/>
        </w:numPr>
        <w:rPr>
          <w:szCs w:val="22"/>
        </w:rPr>
      </w:pPr>
      <w:r w:rsidRPr="00931642">
        <w:t xml:space="preserve">The pegvisomant treatment scenario was associated with an incremental cost </w:t>
      </w:r>
      <w:r w:rsidR="00A7388A" w:rsidRPr="00931642">
        <w:t xml:space="preserve">effectiveness ratio (ICER) </w:t>
      </w:r>
      <w:r w:rsidRPr="00931642">
        <w:t xml:space="preserve">of </w:t>
      </w:r>
      <w:r w:rsidR="00CC7228">
        <w:t>$15,000 - $45,000</w:t>
      </w:r>
      <w:r w:rsidR="00CE12FA" w:rsidRPr="00931642">
        <w:t xml:space="preserve"> per QALY gained</w:t>
      </w:r>
      <w:r w:rsidRPr="00931642">
        <w:t xml:space="preserve">. </w:t>
      </w:r>
      <w:r w:rsidR="00A7388A" w:rsidRPr="00931642">
        <w:t xml:space="preserve">The ESC noted that pasireotide </w:t>
      </w:r>
      <w:r w:rsidR="00393B36" w:rsidRPr="00931642">
        <w:t>has</w:t>
      </w:r>
      <w:r w:rsidR="00A7388A" w:rsidRPr="00931642">
        <w:t xml:space="preserve"> a Special Pricing Arrangement and this ICER was </w:t>
      </w:r>
      <w:r w:rsidR="00393B36" w:rsidRPr="00931642">
        <w:t xml:space="preserve">underestimated as it was </w:t>
      </w:r>
      <w:r w:rsidR="00A7388A" w:rsidRPr="00931642">
        <w:t>based on the published price of pasireotide.</w:t>
      </w:r>
    </w:p>
    <w:p w:rsidR="00D03F65" w:rsidRPr="00931642" w:rsidRDefault="00D03F65" w:rsidP="006504C4">
      <w:pPr>
        <w:widowControl/>
        <w:rPr>
          <w:szCs w:val="22"/>
        </w:rPr>
      </w:pPr>
    </w:p>
    <w:p w:rsidR="00A263C2" w:rsidRPr="00931642" w:rsidRDefault="009120FD" w:rsidP="006504C4">
      <w:pPr>
        <w:pStyle w:val="ListParagraph"/>
        <w:widowControl/>
        <w:numPr>
          <w:ilvl w:val="1"/>
          <w:numId w:val="6"/>
        </w:numPr>
        <w:rPr>
          <w:szCs w:val="22"/>
        </w:rPr>
      </w:pPr>
      <w:r w:rsidRPr="00931642">
        <w:t>The</w:t>
      </w:r>
      <w:r w:rsidR="002F52E5" w:rsidRPr="00931642">
        <w:t xml:space="preserve"> </w:t>
      </w:r>
      <w:r w:rsidR="00274D54" w:rsidRPr="00931642">
        <w:t>ESC</w:t>
      </w:r>
      <w:r w:rsidR="002F52E5" w:rsidRPr="00931642">
        <w:t xml:space="preserve"> noted that the</w:t>
      </w:r>
      <w:r w:rsidRPr="00931642">
        <w:t xml:space="preserve"> incremental cost per QALY gained with the availability of pegvisomant was independent of the efficacy of pegvisomant (although incremental costs and incremental QALYs changed; the overall ICER was unchanged). This is because the efficacy of pegvisomant effectively determine</w:t>
      </w:r>
      <w:r w:rsidR="00064883" w:rsidRPr="00931642">
        <w:t>d</w:t>
      </w:r>
      <w:r w:rsidRPr="00931642">
        <w:t xml:space="preserve"> the size of the population in the economic analysis – </w:t>
      </w:r>
      <w:r w:rsidR="00760339" w:rsidRPr="00931642">
        <w:t xml:space="preserve">in the ‘pegvisomant available arm’ of the </w:t>
      </w:r>
      <w:proofErr w:type="gramStart"/>
      <w:r w:rsidR="00760339" w:rsidRPr="00931642">
        <w:t>model,</w:t>
      </w:r>
      <w:proofErr w:type="gramEnd"/>
      <w:r w:rsidR="00760339" w:rsidRPr="00931642">
        <w:t xml:space="preserve"> </w:t>
      </w:r>
      <w:r w:rsidRPr="00931642">
        <w:t xml:space="preserve">any </w:t>
      </w:r>
      <w:r w:rsidRPr="00931642">
        <w:lastRenderedPageBreak/>
        <w:t>patients not controlled on pegvisomant receive the comparator treatments</w:t>
      </w:r>
      <w:r w:rsidR="00EA59C5" w:rsidRPr="00931642">
        <w:t xml:space="preserve"> </w:t>
      </w:r>
      <w:r w:rsidRPr="00931642">
        <w:t>which ‘cancel out’ with patients in the comparator arm.</w:t>
      </w:r>
      <w:r w:rsidR="00B0059C" w:rsidRPr="00931642">
        <w:t xml:space="preserve"> </w:t>
      </w:r>
      <w:r w:rsidR="002F52E5" w:rsidRPr="00931642">
        <w:rPr>
          <w:szCs w:val="22"/>
        </w:rPr>
        <w:t xml:space="preserve">The PSCR (p2) claimed it was not true that the model was independent of the effectiveness of pegvisomant; however the ESC </w:t>
      </w:r>
      <w:r w:rsidR="00F55ADB" w:rsidRPr="00931642">
        <w:rPr>
          <w:szCs w:val="22"/>
        </w:rPr>
        <w:t xml:space="preserve">agreed with the evaluation </w:t>
      </w:r>
      <w:r w:rsidR="002F52E5" w:rsidRPr="00931642">
        <w:rPr>
          <w:szCs w:val="22"/>
        </w:rPr>
        <w:t>that changing the effectiveness in the model does not change the ICER.</w:t>
      </w:r>
    </w:p>
    <w:p w:rsidR="00A263C2" w:rsidRPr="00931642" w:rsidRDefault="00A263C2" w:rsidP="006504C4">
      <w:pPr>
        <w:pStyle w:val="ListParagraph"/>
        <w:widowControl/>
        <w:rPr>
          <w:szCs w:val="22"/>
        </w:rPr>
      </w:pPr>
    </w:p>
    <w:p w:rsidR="00816168" w:rsidRPr="00931642" w:rsidRDefault="0059102F" w:rsidP="006504C4">
      <w:pPr>
        <w:pStyle w:val="ListParagraph"/>
        <w:widowControl/>
        <w:numPr>
          <w:ilvl w:val="1"/>
          <w:numId w:val="6"/>
        </w:numPr>
        <w:rPr>
          <w:szCs w:val="22"/>
        </w:rPr>
      </w:pPr>
      <w:r w:rsidRPr="00931642">
        <w:rPr>
          <w:szCs w:val="22"/>
        </w:rPr>
        <w:t>The PSCR (p</w:t>
      </w:r>
      <w:r w:rsidR="00816168" w:rsidRPr="00931642">
        <w:rPr>
          <w:szCs w:val="22"/>
        </w:rPr>
        <w:t xml:space="preserve">2) argued that </w:t>
      </w:r>
      <w:r w:rsidR="00780D87" w:rsidRPr="00931642">
        <w:rPr>
          <w:szCs w:val="22"/>
        </w:rPr>
        <w:t>the</w:t>
      </w:r>
      <w:r w:rsidR="00EA6898" w:rsidRPr="00931642">
        <w:rPr>
          <w:szCs w:val="22"/>
        </w:rPr>
        <w:t xml:space="preserve"> comparison of treatment algorithms rather than individual products was appropriate</w:t>
      </w:r>
      <w:r w:rsidR="00780D87" w:rsidRPr="00931642">
        <w:rPr>
          <w:szCs w:val="22"/>
        </w:rPr>
        <w:t>,</w:t>
      </w:r>
      <w:r w:rsidR="00EA6898" w:rsidRPr="00931642">
        <w:rPr>
          <w:szCs w:val="22"/>
        </w:rPr>
        <w:t xml:space="preserve"> as it reflected how pegvisomant would be used in clinical practice</w:t>
      </w:r>
      <w:r w:rsidR="00780D87" w:rsidRPr="00931642">
        <w:rPr>
          <w:szCs w:val="22"/>
        </w:rPr>
        <w:t>,</w:t>
      </w:r>
      <w:r w:rsidR="00EA6898" w:rsidRPr="00931642">
        <w:rPr>
          <w:szCs w:val="22"/>
        </w:rPr>
        <w:t xml:space="preserve"> </w:t>
      </w:r>
      <w:r w:rsidR="00A263C2" w:rsidRPr="00931642">
        <w:rPr>
          <w:szCs w:val="22"/>
        </w:rPr>
        <w:t xml:space="preserve">and noted that this </w:t>
      </w:r>
      <w:r w:rsidR="00816168" w:rsidRPr="00931642">
        <w:rPr>
          <w:szCs w:val="22"/>
        </w:rPr>
        <w:t>approach has previously been accepted by the PBAC</w:t>
      </w:r>
      <w:r w:rsidR="00A263C2" w:rsidRPr="00931642">
        <w:rPr>
          <w:szCs w:val="22"/>
        </w:rPr>
        <w:t xml:space="preserve"> for </w:t>
      </w:r>
      <w:proofErr w:type="spellStart"/>
      <w:r w:rsidR="00A263C2" w:rsidRPr="00931642">
        <w:rPr>
          <w:szCs w:val="22"/>
        </w:rPr>
        <w:t>pregabalin</w:t>
      </w:r>
      <w:proofErr w:type="spellEnd"/>
      <w:r w:rsidR="00A263C2" w:rsidRPr="00931642">
        <w:rPr>
          <w:szCs w:val="22"/>
        </w:rPr>
        <w:t xml:space="preserve"> for neuropathic pain. In March 2011, the PBAC considered that the model comparing </w:t>
      </w:r>
      <w:r w:rsidR="00780D87" w:rsidRPr="00931642">
        <w:rPr>
          <w:szCs w:val="22"/>
        </w:rPr>
        <w:t xml:space="preserve">prescribing patterns with </w:t>
      </w:r>
      <w:proofErr w:type="spellStart"/>
      <w:r w:rsidR="00A263C2" w:rsidRPr="00931642">
        <w:rPr>
          <w:szCs w:val="22"/>
        </w:rPr>
        <w:t>pregabalin</w:t>
      </w:r>
      <w:proofErr w:type="spellEnd"/>
      <w:r w:rsidR="002F52E5" w:rsidRPr="00931642">
        <w:rPr>
          <w:szCs w:val="22"/>
        </w:rPr>
        <w:t>,</w:t>
      </w:r>
      <w:r w:rsidR="00A263C2" w:rsidRPr="00931642">
        <w:rPr>
          <w:szCs w:val="22"/>
        </w:rPr>
        <w:t xml:space="preserve"> </w:t>
      </w:r>
      <w:r w:rsidR="00780D87" w:rsidRPr="00931642">
        <w:rPr>
          <w:szCs w:val="22"/>
        </w:rPr>
        <w:t>to</w:t>
      </w:r>
      <w:r w:rsidR="00A263C2" w:rsidRPr="00931642">
        <w:rPr>
          <w:szCs w:val="22"/>
        </w:rPr>
        <w:t xml:space="preserve"> prescribing patterns without </w:t>
      </w:r>
      <w:proofErr w:type="spellStart"/>
      <w:r w:rsidR="00A263C2" w:rsidRPr="00931642">
        <w:rPr>
          <w:szCs w:val="22"/>
        </w:rPr>
        <w:t>pregabalin</w:t>
      </w:r>
      <w:proofErr w:type="spellEnd"/>
      <w:r w:rsidR="002F52E5" w:rsidRPr="00931642">
        <w:rPr>
          <w:szCs w:val="22"/>
        </w:rPr>
        <w:t>,</w:t>
      </w:r>
      <w:r w:rsidR="00A263C2" w:rsidRPr="00931642">
        <w:rPr>
          <w:szCs w:val="22"/>
        </w:rPr>
        <w:t xml:space="preserve"> </w:t>
      </w:r>
      <w:r w:rsidR="00780D87" w:rsidRPr="00931642">
        <w:rPr>
          <w:szCs w:val="22"/>
        </w:rPr>
        <w:t>was</w:t>
      </w:r>
      <w:r w:rsidR="00A263C2" w:rsidRPr="00931642">
        <w:rPr>
          <w:szCs w:val="22"/>
        </w:rPr>
        <w:t xml:space="preserve"> not unrea</w:t>
      </w:r>
      <w:r w:rsidR="003008C8" w:rsidRPr="00931642">
        <w:rPr>
          <w:szCs w:val="22"/>
        </w:rPr>
        <w:t xml:space="preserve">sonable </w:t>
      </w:r>
      <w:r w:rsidR="00CE12FA" w:rsidRPr="00931642">
        <w:rPr>
          <w:szCs w:val="22"/>
        </w:rPr>
        <w:t>when</w:t>
      </w:r>
      <w:r w:rsidR="00A263C2" w:rsidRPr="00931642">
        <w:rPr>
          <w:szCs w:val="22"/>
        </w:rPr>
        <w:t xml:space="preserve"> substantial uptake </w:t>
      </w:r>
      <w:r w:rsidR="00C64B28" w:rsidRPr="00931642">
        <w:rPr>
          <w:szCs w:val="22"/>
        </w:rPr>
        <w:t xml:space="preserve">not associated with </w:t>
      </w:r>
      <w:r w:rsidR="00A263C2" w:rsidRPr="00931642">
        <w:rPr>
          <w:szCs w:val="22"/>
        </w:rPr>
        <w:t>switching between drug therapies was expected (</w:t>
      </w:r>
      <w:proofErr w:type="spellStart"/>
      <w:r w:rsidR="00A263C2" w:rsidRPr="00931642">
        <w:rPr>
          <w:szCs w:val="22"/>
        </w:rPr>
        <w:t>pregabalin</w:t>
      </w:r>
      <w:proofErr w:type="spellEnd"/>
      <w:r w:rsidR="00A263C2" w:rsidRPr="00931642">
        <w:rPr>
          <w:szCs w:val="22"/>
        </w:rPr>
        <w:t xml:space="preserve"> March 2011 PSD).</w:t>
      </w:r>
      <w:r w:rsidR="00816168" w:rsidRPr="00931642">
        <w:rPr>
          <w:szCs w:val="22"/>
        </w:rPr>
        <w:t xml:space="preserve"> </w:t>
      </w:r>
      <w:r w:rsidR="00A263C2" w:rsidRPr="00931642">
        <w:rPr>
          <w:szCs w:val="22"/>
        </w:rPr>
        <w:t>The ESC considered that</w:t>
      </w:r>
      <w:r w:rsidR="002F52E5" w:rsidRPr="00931642">
        <w:rPr>
          <w:szCs w:val="22"/>
        </w:rPr>
        <w:t xml:space="preserve"> </w:t>
      </w:r>
      <w:r w:rsidR="00B649EB" w:rsidRPr="00931642">
        <w:rPr>
          <w:szCs w:val="22"/>
        </w:rPr>
        <w:t>‘treatment pathway’ approaches that model ‘the world with’ and ‘the world without’ a new treatment are likely to be appropriate when a new treatment changes the treatment pathway and there are cost and outcome consequences of this change (as well as any differences in costs and outcomes of the drug versus its comparator). I</w:t>
      </w:r>
      <w:r w:rsidR="0021510F" w:rsidRPr="00931642">
        <w:rPr>
          <w:szCs w:val="22"/>
        </w:rPr>
        <w:t xml:space="preserve">n this case, </w:t>
      </w:r>
      <w:r w:rsidR="0021510F" w:rsidRPr="00931642">
        <w:t xml:space="preserve">pegvisomant is another treatment option </w:t>
      </w:r>
      <w:r w:rsidR="00BD6D97" w:rsidRPr="00931642">
        <w:t>following</w:t>
      </w:r>
      <w:r w:rsidR="0021510F" w:rsidRPr="00931642">
        <w:t xml:space="preserve"> pasireotide and therefore the treatment pathway will not</w:t>
      </w:r>
      <w:r w:rsidR="00397BD6" w:rsidRPr="00931642">
        <w:t xml:space="preserve"> otherwise</w:t>
      </w:r>
      <w:r w:rsidR="0021510F" w:rsidRPr="00931642">
        <w:t xml:space="preserve"> change and </w:t>
      </w:r>
      <w:r w:rsidR="0021510F" w:rsidRPr="00931642">
        <w:rPr>
          <w:szCs w:val="22"/>
        </w:rPr>
        <w:t xml:space="preserve">substantial uptake beyond switching </w:t>
      </w:r>
      <w:r w:rsidR="00A5112E" w:rsidRPr="00931642">
        <w:rPr>
          <w:szCs w:val="22"/>
        </w:rPr>
        <w:t xml:space="preserve">is </w:t>
      </w:r>
      <w:r w:rsidR="00780D87" w:rsidRPr="00931642">
        <w:rPr>
          <w:szCs w:val="22"/>
        </w:rPr>
        <w:t xml:space="preserve">unlikely to </w:t>
      </w:r>
      <w:r w:rsidR="0021510F" w:rsidRPr="00931642">
        <w:rPr>
          <w:szCs w:val="22"/>
        </w:rPr>
        <w:t>occur</w:t>
      </w:r>
      <w:r w:rsidR="0021510F" w:rsidRPr="00931642">
        <w:t xml:space="preserve">. As such, </w:t>
      </w:r>
      <w:r w:rsidR="003008C8" w:rsidRPr="00931642">
        <w:rPr>
          <w:szCs w:val="22"/>
        </w:rPr>
        <w:t xml:space="preserve">the ESC considered that </w:t>
      </w:r>
      <w:r w:rsidR="0021510F" w:rsidRPr="00931642">
        <w:rPr>
          <w:szCs w:val="22"/>
        </w:rPr>
        <w:t>the current model</w:t>
      </w:r>
      <w:r w:rsidR="00065074" w:rsidRPr="00931642">
        <w:t xml:space="preserve"> had</w:t>
      </w:r>
      <w:r w:rsidR="003008C8" w:rsidRPr="00931642">
        <w:t xml:space="preserve"> limited usefulness </w:t>
      </w:r>
      <w:r w:rsidR="00065074" w:rsidRPr="00931642">
        <w:t>for</w:t>
      </w:r>
      <w:r w:rsidR="003008C8" w:rsidRPr="00931642">
        <w:t xml:space="preserve"> informing PBAC decision making</w:t>
      </w:r>
      <w:r w:rsidR="003008C8" w:rsidRPr="00931642">
        <w:rPr>
          <w:szCs w:val="22"/>
        </w:rPr>
        <w:t xml:space="preserve"> </w:t>
      </w:r>
      <w:r w:rsidR="002F52E5" w:rsidRPr="00931642">
        <w:rPr>
          <w:szCs w:val="22"/>
        </w:rPr>
        <w:t>given the outcome of the economic evaluation was independent of the efficacy of pegvisomant</w:t>
      </w:r>
      <w:r w:rsidR="009A42C5" w:rsidRPr="00931642">
        <w:rPr>
          <w:szCs w:val="22"/>
        </w:rPr>
        <w:t xml:space="preserve"> and </w:t>
      </w:r>
      <w:r w:rsidR="009A42C5" w:rsidRPr="00931642">
        <w:t>a direct comparison would have been more appropriate</w:t>
      </w:r>
      <w:r w:rsidR="002F52E5" w:rsidRPr="00931642">
        <w:rPr>
          <w:szCs w:val="22"/>
        </w:rPr>
        <w:t>.</w:t>
      </w:r>
    </w:p>
    <w:p w:rsidR="00A86E8B" w:rsidRPr="00931642" w:rsidRDefault="00A86E8B" w:rsidP="006504C4">
      <w:pPr>
        <w:widowControl/>
        <w:rPr>
          <w:szCs w:val="22"/>
        </w:rPr>
      </w:pPr>
    </w:p>
    <w:p w:rsidR="00780D87" w:rsidRPr="00931642" w:rsidRDefault="00751F9B" w:rsidP="006504C4">
      <w:pPr>
        <w:pStyle w:val="ListParagraph"/>
        <w:widowControl/>
        <w:numPr>
          <w:ilvl w:val="1"/>
          <w:numId w:val="6"/>
        </w:numPr>
        <w:rPr>
          <w:szCs w:val="22"/>
        </w:rPr>
      </w:pPr>
      <w:r w:rsidRPr="00931642">
        <w:rPr>
          <w:szCs w:val="22"/>
        </w:rPr>
        <w:t xml:space="preserve">During the evaluation, an alternative modelled evaluation was </w:t>
      </w:r>
      <w:r w:rsidR="00267A20" w:rsidRPr="00931642">
        <w:rPr>
          <w:szCs w:val="22"/>
        </w:rPr>
        <w:t xml:space="preserve">conducted </w:t>
      </w:r>
      <w:r w:rsidRPr="00931642">
        <w:rPr>
          <w:szCs w:val="22"/>
        </w:rPr>
        <w:t>which compared pegvisomant treatment</w:t>
      </w:r>
      <w:r w:rsidR="007A5967" w:rsidRPr="00931642">
        <w:rPr>
          <w:szCs w:val="22"/>
        </w:rPr>
        <w:t xml:space="preserve"> </w:t>
      </w:r>
      <w:r w:rsidRPr="00931642">
        <w:rPr>
          <w:szCs w:val="22"/>
        </w:rPr>
        <w:t>alone with pasireotide treatment alone</w:t>
      </w:r>
      <w:r w:rsidR="00C25D88" w:rsidRPr="00931642">
        <w:rPr>
          <w:szCs w:val="22"/>
        </w:rPr>
        <w:t xml:space="preserve"> in patients uncontrolled on octreotide/lanreotide</w:t>
      </w:r>
      <w:r w:rsidRPr="00931642">
        <w:rPr>
          <w:szCs w:val="22"/>
        </w:rPr>
        <w:t xml:space="preserve"> (Table 10).</w:t>
      </w:r>
      <w:r w:rsidR="00D03F65" w:rsidRPr="00931642">
        <w:rPr>
          <w:szCs w:val="22"/>
        </w:rPr>
        <w:t xml:space="preserve"> </w:t>
      </w:r>
      <w:r w:rsidR="00780D87" w:rsidRPr="00931642">
        <w:rPr>
          <w:szCs w:val="22"/>
        </w:rPr>
        <w:t>The ESC considered that the alternative modelled evaluation was a more appropriate basis for decision making than the model presented in the submission.</w:t>
      </w:r>
    </w:p>
    <w:p w:rsidR="008D3AC4" w:rsidRPr="00931642" w:rsidRDefault="008D3AC4" w:rsidP="006504C4">
      <w:pPr>
        <w:pStyle w:val="ListParagraph"/>
        <w:widowControl/>
        <w:ind w:left="0"/>
        <w:rPr>
          <w:szCs w:val="22"/>
        </w:rPr>
      </w:pPr>
    </w:p>
    <w:p w:rsidR="008D3AC4" w:rsidRPr="00931642" w:rsidRDefault="008D3AC4" w:rsidP="00621CF7">
      <w:pPr>
        <w:pStyle w:val="PBACHeading1"/>
        <w:keepNext/>
        <w:numPr>
          <w:ilvl w:val="0"/>
          <w:numId w:val="0"/>
        </w:numPr>
        <w:ind w:left="720"/>
        <w:rPr>
          <w:rStyle w:val="CommentReference"/>
          <w:b/>
        </w:rPr>
      </w:pPr>
      <w:r w:rsidRPr="00931642">
        <w:rPr>
          <w:rStyle w:val="CommentReference"/>
          <w:b/>
        </w:rPr>
        <w:t>Table 10: Alternative cost utility analysis conducted during the evaluation comparing pasireotide with pegvisomant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29"/>
        <w:gridCol w:w="2380"/>
        <w:gridCol w:w="2365"/>
        <w:gridCol w:w="2071"/>
      </w:tblGrid>
      <w:tr w:rsidR="008D3AC4" w:rsidRPr="00931642" w:rsidTr="00676BF5">
        <w:tc>
          <w:tcPr>
            <w:tcW w:w="916" w:type="pct"/>
            <w:vAlign w:val="center"/>
          </w:tcPr>
          <w:p w:rsidR="008D3AC4" w:rsidRPr="00931642" w:rsidRDefault="008D3AC4" w:rsidP="00621CF7">
            <w:pPr>
              <w:keepNext/>
              <w:widowControl/>
              <w:rPr>
                <w:rFonts w:ascii="Arial Narrow" w:hAnsi="Arial Narrow"/>
                <w:b/>
                <w:sz w:val="20"/>
              </w:rPr>
            </w:pPr>
            <w:r w:rsidRPr="00931642">
              <w:rPr>
                <w:rFonts w:ascii="Arial Narrow" w:hAnsi="Arial Narrow"/>
                <w:b/>
                <w:sz w:val="20"/>
              </w:rPr>
              <w:t>Component</w:t>
            </w:r>
          </w:p>
        </w:tc>
        <w:tc>
          <w:tcPr>
            <w:tcW w:w="1426" w:type="pct"/>
            <w:vAlign w:val="center"/>
          </w:tcPr>
          <w:p w:rsidR="008D3AC4" w:rsidRPr="00931642" w:rsidRDefault="008D3AC4" w:rsidP="00621CF7">
            <w:pPr>
              <w:keepNext/>
              <w:widowControl/>
              <w:jc w:val="center"/>
              <w:rPr>
                <w:rFonts w:ascii="Arial Narrow" w:hAnsi="Arial Narrow"/>
                <w:b/>
                <w:sz w:val="20"/>
              </w:rPr>
            </w:pPr>
            <w:r w:rsidRPr="00931642">
              <w:rPr>
                <w:rFonts w:ascii="Arial Narrow" w:hAnsi="Arial Narrow"/>
                <w:b/>
                <w:sz w:val="20"/>
              </w:rPr>
              <w:t>Pegvisomant group</w:t>
            </w:r>
          </w:p>
        </w:tc>
        <w:tc>
          <w:tcPr>
            <w:tcW w:w="1417" w:type="pct"/>
            <w:vAlign w:val="center"/>
          </w:tcPr>
          <w:p w:rsidR="008D3AC4" w:rsidRPr="00931642" w:rsidRDefault="008D3AC4" w:rsidP="00621CF7">
            <w:pPr>
              <w:keepNext/>
              <w:widowControl/>
              <w:jc w:val="center"/>
              <w:rPr>
                <w:rFonts w:ascii="Arial Narrow" w:hAnsi="Arial Narrow"/>
                <w:b/>
                <w:sz w:val="20"/>
              </w:rPr>
            </w:pPr>
            <w:r w:rsidRPr="00931642">
              <w:rPr>
                <w:rFonts w:ascii="Arial Narrow" w:hAnsi="Arial Narrow"/>
                <w:b/>
                <w:sz w:val="20"/>
              </w:rPr>
              <w:t>Comparator group</w:t>
            </w:r>
          </w:p>
        </w:tc>
        <w:tc>
          <w:tcPr>
            <w:tcW w:w="1241" w:type="pct"/>
            <w:vAlign w:val="center"/>
          </w:tcPr>
          <w:p w:rsidR="008D3AC4" w:rsidRPr="00931642" w:rsidRDefault="008D3AC4" w:rsidP="00621CF7">
            <w:pPr>
              <w:keepNext/>
              <w:widowControl/>
              <w:jc w:val="center"/>
              <w:rPr>
                <w:rFonts w:ascii="Arial Narrow" w:hAnsi="Arial Narrow"/>
                <w:b/>
                <w:sz w:val="20"/>
              </w:rPr>
            </w:pPr>
            <w:r w:rsidRPr="00931642">
              <w:rPr>
                <w:rFonts w:ascii="Arial Narrow" w:hAnsi="Arial Narrow"/>
                <w:b/>
                <w:sz w:val="20"/>
              </w:rPr>
              <w:t>Increment</w:t>
            </w:r>
          </w:p>
        </w:tc>
      </w:tr>
      <w:tr w:rsidR="008D3AC4" w:rsidRPr="00931642" w:rsidTr="00676BF5">
        <w:tc>
          <w:tcPr>
            <w:tcW w:w="916" w:type="pct"/>
            <w:vAlign w:val="center"/>
          </w:tcPr>
          <w:p w:rsidR="008D3AC4" w:rsidRPr="00931642" w:rsidRDefault="008D3AC4" w:rsidP="00621CF7">
            <w:pPr>
              <w:keepNext/>
              <w:widowControl/>
              <w:rPr>
                <w:rFonts w:ascii="Arial Narrow" w:hAnsi="Arial Narrow"/>
                <w:sz w:val="20"/>
              </w:rPr>
            </w:pPr>
            <w:r w:rsidRPr="00931642">
              <w:rPr>
                <w:rFonts w:ascii="Arial Narrow" w:hAnsi="Arial Narrow"/>
                <w:sz w:val="20"/>
              </w:rPr>
              <w:t>Costs</w:t>
            </w:r>
          </w:p>
        </w:tc>
        <w:tc>
          <w:tcPr>
            <w:tcW w:w="1426" w:type="pct"/>
            <w:shd w:val="clear" w:color="auto" w:fill="auto"/>
            <w:vAlign w:val="center"/>
          </w:tcPr>
          <w:p w:rsidR="008D3AC4" w:rsidRPr="00931642" w:rsidRDefault="008D3AC4" w:rsidP="00621CF7">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c>
          <w:tcPr>
            <w:tcW w:w="1417" w:type="pct"/>
            <w:shd w:val="clear" w:color="auto" w:fill="auto"/>
            <w:vAlign w:val="center"/>
          </w:tcPr>
          <w:p w:rsidR="008D3AC4" w:rsidRPr="00931642" w:rsidRDefault="008D3AC4" w:rsidP="00621CF7">
            <w:pPr>
              <w:keepNext/>
              <w:widowControl/>
              <w:jc w:val="center"/>
              <w:rPr>
                <w:rFonts w:ascii="Arial Narrow" w:hAnsi="Arial Narrow"/>
                <w:sz w:val="20"/>
              </w:rPr>
            </w:pPr>
            <w:r w:rsidRPr="00931642">
              <w:rPr>
                <w:rFonts w:ascii="Arial Narrow" w:hAnsi="Arial Narrow"/>
                <w:sz w:val="20"/>
              </w:rPr>
              <w:t>$716,169</w:t>
            </w:r>
          </w:p>
        </w:tc>
        <w:tc>
          <w:tcPr>
            <w:tcW w:w="1241" w:type="pct"/>
            <w:shd w:val="clear" w:color="auto" w:fill="auto"/>
            <w:vAlign w:val="center"/>
          </w:tcPr>
          <w:p w:rsidR="008D3AC4" w:rsidRPr="00931642" w:rsidRDefault="008D3AC4" w:rsidP="00621CF7">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r>
      <w:tr w:rsidR="008D3AC4" w:rsidRPr="00931642" w:rsidTr="00676BF5">
        <w:tc>
          <w:tcPr>
            <w:tcW w:w="916" w:type="pct"/>
            <w:vAlign w:val="center"/>
          </w:tcPr>
          <w:p w:rsidR="008D3AC4" w:rsidRPr="00931642" w:rsidRDefault="008D3AC4" w:rsidP="00621CF7">
            <w:pPr>
              <w:keepNext/>
              <w:widowControl/>
              <w:rPr>
                <w:rFonts w:ascii="Arial Narrow" w:hAnsi="Arial Narrow"/>
                <w:sz w:val="20"/>
              </w:rPr>
            </w:pPr>
            <w:r w:rsidRPr="00931642">
              <w:rPr>
                <w:rFonts w:ascii="Arial Narrow" w:hAnsi="Arial Narrow"/>
                <w:sz w:val="20"/>
              </w:rPr>
              <w:t>Life Years</w:t>
            </w:r>
          </w:p>
        </w:tc>
        <w:tc>
          <w:tcPr>
            <w:tcW w:w="1426" w:type="pct"/>
            <w:shd w:val="clear" w:color="auto" w:fill="auto"/>
            <w:vAlign w:val="center"/>
          </w:tcPr>
          <w:p w:rsidR="008D3AC4" w:rsidRPr="00931642" w:rsidRDefault="008D3AC4" w:rsidP="00621CF7">
            <w:pPr>
              <w:keepNext/>
              <w:widowControl/>
              <w:jc w:val="center"/>
              <w:rPr>
                <w:rFonts w:ascii="Arial Narrow" w:hAnsi="Arial Narrow"/>
                <w:sz w:val="20"/>
              </w:rPr>
            </w:pPr>
            <w:r w:rsidRPr="00931642">
              <w:rPr>
                <w:rFonts w:ascii="Arial Narrow" w:hAnsi="Arial Narrow"/>
                <w:sz w:val="20"/>
              </w:rPr>
              <w:t>15.856</w:t>
            </w:r>
          </w:p>
        </w:tc>
        <w:tc>
          <w:tcPr>
            <w:tcW w:w="1417" w:type="pct"/>
            <w:shd w:val="clear" w:color="auto" w:fill="auto"/>
            <w:vAlign w:val="center"/>
          </w:tcPr>
          <w:p w:rsidR="008D3AC4" w:rsidRPr="00931642" w:rsidRDefault="008D3AC4" w:rsidP="00621CF7">
            <w:pPr>
              <w:keepNext/>
              <w:widowControl/>
              <w:jc w:val="center"/>
              <w:rPr>
                <w:rFonts w:ascii="Arial Narrow" w:hAnsi="Arial Narrow"/>
                <w:sz w:val="20"/>
              </w:rPr>
            </w:pPr>
            <w:r w:rsidRPr="00931642">
              <w:rPr>
                <w:rFonts w:ascii="Arial Narrow" w:hAnsi="Arial Narrow"/>
                <w:sz w:val="20"/>
              </w:rPr>
              <w:t>15.557</w:t>
            </w:r>
          </w:p>
        </w:tc>
        <w:tc>
          <w:tcPr>
            <w:tcW w:w="1241" w:type="pct"/>
            <w:shd w:val="clear" w:color="auto" w:fill="auto"/>
            <w:vAlign w:val="center"/>
          </w:tcPr>
          <w:p w:rsidR="008D3AC4" w:rsidRPr="00931642" w:rsidRDefault="008D3AC4" w:rsidP="00621CF7">
            <w:pPr>
              <w:keepNext/>
              <w:widowControl/>
              <w:jc w:val="center"/>
              <w:rPr>
                <w:rFonts w:ascii="Arial Narrow" w:hAnsi="Arial Narrow"/>
                <w:sz w:val="20"/>
              </w:rPr>
            </w:pPr>
            <w:r w:rsidRPr="00931642">
              <w:rPr>
                <w:rFonts w:ascii="Arial Narrow" w:hAnsi="Arial Narrow"/>
                <w:sz w:val="20"/>
              </w:rPr>
              <w:t>0.299</w:t>
            </w:r>
          </w:p>
        </w:tc>
      </w:tr>
      <w:tr w:rsidR="008D3AC4" w:rsidRPr="00931642" w:rsidTr="00676BF5">
        <w:tc>
          <w:tcPr>
            <w:tcW w:w="916" w:type="pct"/>
            <w:vAlign w:val="center"/>
          </w:tcPr>
          <w:p w:rsidR="008D3AC4" w:rsidRPr="00931642" w:rsidRDefault="008D3AC4" w:rsidP="00621CF7">
            <w:pPr>
              <w:keepNext/>
              <w:widowControl/>
              <w:rPr>
                <w:rFonts w:ascii="Arial Narrow" w:hAnsi="Arial Narrow"/>
                <w:sz w:val="20"/>
              </w:rPr>
            </w:pPr>
            <w:r w:rsidRPr="00931642">
              <w:rPr>
                <w:rFonts w:ascii="Arial Narrow" w:hAnsi="Arial Narrow"/>
                <w:sz w:val="20"/>
              </w:rPr>
              <w:t>QALYs</w:t>
            </w:r>
          </w:p>
        </w:tc>
        <w:tc>
          <w:tcPr>
            <w:tcW w:w="1426" w:type="pct"/>
            <w:shd w:val="clear" w:color="auto" w:fill="auto"/>
            <w:vAlign w:val="center"/>
          </w:tcPr>
          <w:p w:rsidR="008D3AC4" w:rsidRPr="00931642" w:rsidRDefault="008D3AC4" w:rsidP="00621CF7">
            <w:pPr>
              <w:keepNext/>
              <w:widowControl/>
              <w:jc w:val="center"/>
              <w:rPr>
                <w:rFonts w:ascii="Arial Narrow" w:hAnsi="Arial Narrow"/>
                <w:sz w:val="20"/>
              </w:rPr>
            </w:pPr>
            <w:r w:rsidRPr="00931642">
              <w:rPr>
                <w:rFonts w:ascii="Arial Narrow" w:hAnsi="Arial Narrow"/>
                <w:sz w:val="20"/>
              </w:rPr>
              <w:t>11.899</w:t>
            </w:r>
          </w:p>
        </w:tc>
        <w:tc>
          <w:tcPr>
            <w:tcW w:w="1417" w:type="pct"/>
            <w:shd w:val="clear" w:color="auto" w:fill="auto"/>
            <w:vAlign w:val="center"/>
          </w:tcPr>
          <w:p w:rsidR="008D3AC4" w:rsidRPr="00931642" w:rsidRDefault="008D3AC4" w:rsidP="00621CF7">
            <w:pPr>
              <w:keepNext/>
              <w:widowControl/>
              <w:jc w:val="center"/>
              <w:rPr>
                <w:rFonts w:ascii="Arial Narrow" w:hAnsi="Arial Narrow"/>
                <w:sz w:val="20"/>
              </w:rPr>
            </w:pPr>
            <w:r w:rsidRPr="00931642">
              <w:rPr>
                <w:rFonts w:ascii="Arial Narrow" w:hAnsi="Arial Narrow"/>
                <w:sz w:val="20"/>
              </w:rPr>
              <w:t>11.296</w:t>
            </w:r>
          </w:p>
        </w:tc>
        <w:tc>
          <w:tcPr>
            <w:tcW w:w="1241" w:type="pct"/>
            <w:shd w:val="clear" w:color="auto" w:fill="auto"/>
            <w:vAlign w:val="center"/>
          </w:tcPr>
          <w:p w:rsidR="008D3AC4" w:rsidRPr="00931642" w:rsidRDefault="008D3AC4" w:rsidP="00621CF7">
            <w:pPr>
              <w:keepNext/>
              <w:widowControl/>
              <w:jc w:val="center"/>
              <w:rPr>
                <w:rFonts w:ascii="Arial Narrow" w:hAnsi="Arial Narrow"/>
                <w:sz w:val="20"/>
              </w:rPr>
            </w:pPr>
            <w:r w:rsidRPr="00931642">
              <w:rPr>
                <w:rFonts w:ascii="Arial Narrow" w:hAnsi="Arial Narrow"/>
                <w:sz w:val="20"/>
              </w:rPr>
              <w:t>0.603</w:t>
            </w:r>
          </w:p>
        </w:tc>
      </w:tr>
      <w:tr w:rsidR="008D3AC4" w:rsidRPr="00931642" w:rsidTr="00676BF5">
        <w:tc>
          <w:tcPr>
            <w:tcW w:w="3759" w:type="pct"/>
            <w:gridSpan w:val="3"/>
            <w:vAlign w:val="center"/>
          </w:tcPr>
          <w:p w:rsidR="008D3AC4" w:rsidRPr="00931642" w:rsidRDefault="008D3AC4" w:rsidP="00621CF7">
            <w:pPr>
              <w:keepNext/>
              <w:widowControl/>
              <w:jc w:val="left"/>
              <w:rPr>
                <w:rFonts w:ascii="Arial Narrow" w:hAnsi="Arial Narrow"/>
                <w:b/>
                <w:sz w:val="20"/>
              </w:rPr>
            </w:pPr>
            <w:r w:rsidRPr="00931642">
              <w:rPr>
                <w:rFonts w:ascii="Arial Narrow" w:hAnsi="Arial Narrow"/>
                <w:b/>
                <w:sz w:val="20"/>
              </w:rPr>
              <w:t>Incremental cost/ life year gained</w:t>
            </w:r>
          </w:p>
        </w:tc>
        <w:tc>
          <w:tcPr>
            <w:tcW w:w="1241" w:type="pct"/>
            <w:shd w:val="clear" w:color="auto" w:fill="auto"/>
            <w:vAlign w:val="center"/>
          </w:tcPr>
          <w:p w:rsidR="008D3AC4" w:rsidRPr="00931642" w:rsidRDefault="008D3AC4" w:rsidP="00621CF7">
            <w:pPr>
              <w:keepNext/>
              <w:widowControl/>
              <w:jc w:val="center"/>
              <w:rPr>
                <w:rFonts w:ascii="Arial Narrow" w:hAnsi="Arial Narrow"/>
                <w:b/>
                <w:sz w:val="20"/>
              </w:rPr>
            </w:pPr>
            <w:r w:rsidRPr="00931642">
              <w:rPr>
                <w:rFonts w:ascii="Arial Narrow" w:hAnsi="Arial Narrow"/>
                <w:b/>
                <w:sz w:val="20"/>
              </w:rPr>
              <w:t>$</w:t>
            </w:r>
            <w:r w:rsidR="00356AF3">
              <w:rPr>
                <w:rFonts w:ascii="Arial Narrow" w:hAnsi="Arial Narrow"/>
                <w:b/>
                <w:noProof/>
                <w:color w:val="000000"/>
                <w:sz w:val="20"/>
                <w:highlight w:val="black"/>
              </w:rPr>
              <w:t>''''''''''''''''''</w:t>
            </w:r>
          </w:p>
        </w:tc>
      </w:tr>
      <w:tr w:rsidR="008D3AC4" w:rsidRPr="00931642" w:rsidTr="00676BF5">
        <w:tc>
          <w:tcPr>
            <w:tcW w:w="3759" w:type="pct"/>
            <w:gridSpan w:val="3"/>
            <w:vAlign w:val="center"/>
          </w:tcPr>
          <w:p w:rsidR="008D3AC4" w:rsidRPr="00931642" w:rsidRDefault="008D3AC4" w:rsidP="00621CF7">
            <w:pPr>
              <w:keepNext/>
              <w:widowControl/>
              <w:jc w:val="left"/>
              <w:rPr>
                <w:rFonts w:ascii="Arial Narrow" w:hAnsi="Arial Narrow"/>
                <w:b/>
                <w:sz w:val="20"/>
              </w:rPr>
            </w:pPr>
            <w:r w:rsidRPr="00931642">
              <w:rPr>
                <w:rFonts w:ascii="Arial Narrow" w:hAnsi="Arial Narrow"/>
                <w:b/>
                <w:sz w:val="20"/>
              </w:rPr>
              <w:t>Incremental cost/ QALY gained</w:t>
            </w:r>
          </w:p>
        </w:tc>
        <w:tc>
          <w:tcPr>
            <w:tcW w:w="1241" w:type="pct"/>
            <w:shd w:val="clear" w:color="auto" w:fill="auto"/>
            <w:vAlign w:val="center"/>
          </w:tcPr>
          <w:p w:rsidR="008D3AC4" w:rsidRPr="00931642" w:rsidRDefault="008D3AC4" w:rsidP="00621CF7">
            <w:pPr>
              <w:keepNext/>
              <w:widowControl/>
              <w:jc w:val="center"/>
              <w:rPr>
                <w:rFonts w:ascii="Arial Narrow" w:hAnsi="Arial Narrow"/>
                <w:b/>
                <w:sz w:val="20"/>
              </w:rPr>
            </w:pPr>
            <w:r w:rsidRPr="00931642">
              <w:rPr>
                <w:rFonts w:ascii="Arial Narrow" w:hAnsi="Arial Narrow"/>
                <w:b/>
                <w:sz w:val="20"/>
              </w:rPr>
              <w:t>$</w:t>
            </w:r>
            <w:r w:rsidR="00356AF3">
              <w:rPr>
                <w:rFonts w:ascii="Arial Narrow" w:hAnsi="Arial Narrow"/>
                <w:b/>
                <w:noProof/>
                <w:color w:val="000000"/>
                <w:sz w:val="20"/>
                <w:highlight w:val="black"/>
              </w:rPr>
              <w:t>'''''''''''''</w:t>
            </w:r>
          </w:p>
        </w:tc>
      </w:tr>
    </w:tbl>
    <w:p w:rsidR="008D3AC4" w:rsidRPr="00931642" w:rsidRDefault="008D3AC4" w:rsidP="00621CF7">
      <w:pPr>
        <w:pStyle w:val="TableFooter"/>
        <w:keepNext/>
        <w:widowControl/>
        <w:ind w:firstLine="720"/>
      </w:pPr>
      <w:r w:rsidRPr="00931642">
        <w:t>Abbreviations: QALYs, quality adjusted life years</w:t>
      </w:r>
    </w:p>
    <w:p w:rsidR="008D3AC4" w:rsidRPr="00931642" w:rsidRDefault="008D3AC4" w:rsidP="006504C4">
      <w:pPr>
        <w:pStyle w:val="TableFooter"/>
        <w:widowControl/>
        <w:ind w:firstLine="720"/>
      </w:pPr>
      <w:r w:rsidRPr="00931642">
        <w:t>Source: Constructed during the evaluation using ‘Pegvisomant economic model – Section D’ spreadsheet</w:t>
      </w:r>
    </w:p>
    <w:p w:rsidR="00780D87" w:rsidRPr="00931642" w:rsidRDefault="00780D87" w:rsidP="006504C4">
      <w:pPr>
        <w:pStyle w:val="ListParagraph"/>
        <w:widowControl/>
        <w:rPr>
          <w:szCs w:val="22"/>
        </w:rPr>
      </w:pPr>
    </w:p>
    <w:p w:rsidR="00751F9B" w:rsidRPr="00931642" w:rsidRDefault="00EF2E64" w:rsidP="006504C4">
      <w:pPr>
        <w:pStyle w:val="ListParagraph"/>
        <w:widowControl/>
        <w:numPr>
          <w:ilvl w:val="1"/>
          <w:numId w:val="6"/>
        </w:numPr>
        <w:rPr>
          <w:szCs w:val="22"/>
        </w:rPr>
      </w:pPr>
      <w:r w:rsidRPr="00931642">
        <w:rPr>
          <w:szCs w:val="22"/>
        </w:rPr>
        <w:t>In the alternative analysis, pegvisomant was associated with an incremental cost per QALY gained of $</w:t>
      </w:r>
      <w:r w:rsidR="00400335">
        <w:rPr>
          <w:szCs w:val="22"/>
        </w:rPr>
        <w:t>45,000 - $75,000</w:t>
      </w:r>
      <w:r w:rsidRPr="00931642">
        <w:rPr>
          <w:szCs w:val="22"/>
        </w:rPr>
        <w:t xml:space="preserve">. </w:t>
      </w:r>
      <w:r w:rsidRPr="00931642">
        <w:t xml:space="preserve">The ESC noted that this ICER was </w:t>
      </w:r>
      <w:r w:rsidR="00621CF7" w:rsidRPr="00931642">
        <w:t xml:space="preserve">underestimated as it was </w:t>
      </w:r>
      <w:r w:rsidRPr="00931642">
        <w:t xml:space="preserve">based on the published price of pasireotide. </w:t>
      </w:r>
      <w:r w:rsidR="00D03F65" w:rsidRPr="00931642">
        <w:rPr>
          <w:szCs w:val="22"/>
        </w:rPr>
        <w:t xml:space="preserve">In this </w:t>
      </w:r>
      <w:r w:rsidR="00B649EB" w:rsidRPr="00931642">
        <w:rPr>
          <w:szCs w:val="22"/>
        </w:rPr>
        <w:t>alternative model</w:t>
      </w:r>
      <w:r w:rsidR="00D03F65" w:rsidRPr="00931642">
        <w:rPr>
          <w:szCs w:val="22"/>
        </w:rPr>
        <w:t>, patients did not switch between pegvisomant and pasireotide, but reverted to octreotide/lanreotide if IGF-1 remained uncontrolled.</w:t>
      </w:r>
      <w:r w:rsidR="00A52928" w:rsidRPr="00931642">
        <w:rPr>
          <w:szCs w:val="22"/>
        </w:rPr>
        <w:t xml:space="preserve"> Patients reverting to octreotide/lanreotide continued to have high IGF-1 levels as the treatment was considered to have zero effectiveness in the model.</w:t>
      </w:r>
    </w:p>
    <w:p w:rsidR="00751F9B" w:rsidRPr="00931642" w:rsidRDefault="00751F9B" w:rsidP="006504C4">
      <w:pPr>
        <w:pStyle w:val="ListParagraph"/>
        <w:widowControl/>
        <w:rPr>
          <w:szCs w:val="22"/>
        </w:rPr>
      </w:pPr>
    </w:p>
    <w:p w:rsidR="00B649EB" w:rsidRPr="00931642" w:rsidRDefault="00B649EB" w:rsidP="006504C4">
      <w:pPr>
        <w:pStyle w:val="ListParagraph"/>
        <w:widowControl/>
        <w:numPr>
          <w:ilvl w:val="1"/>
          <w:numId w:val="6"/>
        </w:numPr>
        <w:rPr>
          <w:szCs w:val="22"/>
        </w:rPr>
      </w:pPr>
      <w:r w:rsidRPr="00931642">
        <w:rPr>
          <w:szCs w:val="22"/>
        </w:rPr>
        <w:t xml:space="preserve">The ESC noted that </w:t>
      </w:r>
      <w:r w:rsidR="00A755D2" w:rsidRPr="00931642">
        <w:rPr>
          <w:szCs w:val="22"/>
        </w:rPr>
        <w:t xml:space="preserve">both </w:t>
      </w:r>
      <w:r w:rsidRPr="00931642">
        <w:rPr>
          <w:szCs w:val="22"/>
        </w:rPr>
        <w:t xml:space="preserve">the submission base case </w:t>
      </w:r>
      <w:r w:rsidR="00D147B0" w:rsidRPr="00931642">
        <w:rPr>
          <w:szCs w:val="22"/>
        </w:rPr>
        <w:t xml:space="preserve">model </w:t>
      </w:r>
      <w:r w:rsidR="00A755D2" w:rsidRPr="00931642">
        <w:rPr>
          <w:szCs w:val="22"/>
        </w:rPr>
        <w:t xml:space="preserve">and alternative </w:t>
      </w:r>
      <w:r w:rsidRPr="00931642">
        <w:rPr>
          <w:szCs w:val="22"/>
        </w:rPr>
        <w:t xml:space="preserve">model assumed that patients who are uncontrolled on pegvisomant and pasireotide will </w:t>
      </w:r>
      <w:r w:rsidRPr="00931642">
        <w:rPr>
          <w:szCs w:val="22"/>
        </w:rPr>
        <w:lastRenderedPageBreak/>
        <w:t xml:space="preserve">switch back to lanreotide/octreotide and remain uncontrolled (with zero utility gain) on these treatments. Accordingly, a large proportion of patients are accruing costs but not receiving any benefit. The ESC considered that it may not be appropriate to assume no utility gain for these patients as there may be some benefit from reducing (but not normalising) IGF-1 and growth hormone (as </w:t>
      </w:r>
      <w:r w:rsidR="00240838" w:rsidRPr="00931642">
        <w:rPr>
          <w:szCs w:val="22"/>
        </w:rPr>
        <w:t xml:space="preserve">was argued by the sponsor as a justification </w:t>
      </w:r>
      <w:r w:rsidRPr="00931642">
        <w:rPr>
          <w:szCs w:val="22"/>
        </w:rPr>
        <w:t xml:space="preserve">for not including a stopping rule for pegvisomant). </w:t>
      </w:r>
      <w:r w:rsidR="00A755D2" w:rsidRPr="00931642">
        <w:rPr>
          <w:szCs w:val="22"/>
        </w:rPr>
        <w:t xml:space="preserve">A sensitivity analysis was conducted to determine the effect of applying a small </w:t>
      </w:r>
      <w:r w:rsidR="00702083" w:rsidRPr="00931642">
        <w:rPr>
          <w:szCs w:val="22"/>
        </w:rPr>
        <w:t xml:space="preserve">utility </w:t>
      </w:r>
      <w:r w:rsidR="00A755D2" w:rsidRPr="00931642">
        <w:rPr>
          <w:szCs w:val="22"/>
        </w:rPr>
        <w:t xml:space="preserve">gain to patients who revert to octreotide/lanreotide. </w:t>
      </w:r>
      <w:r w:rsidRPr="00931642">
        <w:rPr>
          <w:szCs w:val="22"/>
        </w:rPr>
        <w:t xml:space="preserve">Assuming a utility gain of 25% of the difference between the </w:t>
      </w:r>
      <w:r w:rsidR="00702083" w:rsidRPr="00931642">
        <w:rPr>
          <w:szCs w:val="22"/>
        </w:rPr>
        <w:t xml:space="preserve">utility values for </w:t>
      </w:r>
      <w:r w:rsidRPr="00931642">
        <w:rPr>
          <w:szCs w:val="22"/>
        </w:rPr>
        <w:t xml:space="preserve">high and normalised IGF-1 resulted in an increase in the submission base case ICER to </w:t>
      </w:r>
      <w:r w:rsidR="00CC7228">
        <w:t>$15,000 - $45,000 per QALY</w:t>
      </w:r>
      <w:r w:rsidRPr="00931642">
        <w:rPr>
          <w:szCs w:val="22"/>
        </w:rPr>
        <w:t xml:space="preserve"> (from </w:t>
      </w:r>
      <w:r w:rsidR="00CC7228">
        <w:t>$15,000 - $45,000 per QALY</w:t>
      </w:r>
      <w:r w:rsidRPr="00931642">
        <w:rPr>
          <w:szCs w:val="22"/>
        </w:rPr>
        <w:t>) and to $</w:t>
      </w:r>
      <w:r w:rsidR="00CC7228">
        <w:rPr>
          <w:szCs w:val="22"/>
        </w:rPr>
        <w:t>75,000 - $105,000 per QALY</w:t>
      </w:r>
      <w:r w:rsidRPr="00931642">
        <w:rPr>
          <w:szCs w:val="22"/>
        </w:rPr>
        <w:t xml:space="preserve"> (from $</w:t>
      </w:r>
      <w:r w:rsidR="00CC7228">
        <w:rPr>
          <w:szCs w:val="22"/>
        </w:rPr>
        <w:t>45,000 - $75,000 per QALY</w:t>
      </w:r>
      <w:r w:rsidRPr="00931642">
        <w:rPr>
          <w:szCs w:val="22"/>
        </w:rPr>
        <w:t>) in the evaluation’s revised model directly comparing pegvisomant and pasireotide.</w:t>
      </w:r>
    </w:p>
    <w:p w:rsidR="00DE451E" w:rsidRPr="00931642" w:rsidRDefault="00DE451E" w:rsidP="006504C4">
      <w:pPr>
        <w:widowControl/>
        <w:rPr>
          <w:szCs w:val="22"/>
        </w:rPr>
      </w:pPr>
    </w:p>
    <w:p w:rsidR="009C1112" w:rsidRPr="00931642" w:rsidRDefault="00DE451E" w:rsidP="006504C4">
      <w:pPr>
        <w:pStyle w:val="ListParagraph"/>
        <w:widowControl/>
        <w:numPr>
          <w:ilvl w:val="1"/>
          <w:numId w:val="6"/>
        </w:numPr>
        <w:rPr>
          <w:szCs w:val="22"/>
        </w:rPr>
      </w:pPr>
      <w:r w:rsidRPr="00931642">
        <w:rPr>
          <w:szCs w:val="22"/>
        </w:rPr>
        <w:t xml:space="preserve">The </w:t>
      </w:r>
      <w:r w:rsidR="00AB4D27" w:rsidRPr="00931642">
        <w:rPr>
          <w:szCs w:val="22"/>
        </w:rPr>
        <w:t>pre-PBAC response, in noting the difficulty in demonstrating superiority of pegvisomant compared with pasireotide with a high degree of certainty, offered an effective price for pegvisomant equivalent to that of pasireotide (excluding cost offsets f</w:t>
      </w:r>
      <w:r w:rsidR="00743654" w:rsidRPr="00931642">
        <w:rPr>
          <w:szCs w:val="22"/>
        </w:rPr>
        <w:t>o</w:t>
      </w:r>
      <w:r w:rsidR="00AB4D27" w:rsidRPr="00931642">
        <w:rPr>
          <w:szCs w:val="22"/>
        </w:rPr>
        <w:t>r diabetes). T</w:t>
      </w:r>
      <w:r w:rsidR="0078782F" w:rsidRPr="00931642">
        <w:rPr>
          <w:szCs w:val="22"/>
        </w:rPr>
        <w:t xml:space="preserve">he </w:t>
      </w:r>
      <w:r w:rsidRPr="00931642">
        <w:rPr>
          <w:szCs w:val="22"/>
        </w:rPr>
        <w:t xml:space="preserve">pre-PBAC response </w:t>
      </w:r>
      <w:r w:rsidR="0078782F" w:rsidRPr="00931642">
        <w:rPr>
          <w:szCs w:val="22"/>
        </w:rPr>
        <w:t xml:space="preserve">proposed </w:t>
      </w:r>
      <w:r w:rsidR="00AB4D27" w:rsidRPr="00931642">
        <w:rPr>
          <w:szCs w:val="22"/>
        </w:rPr>
        <w:t xml:space="preserve">an </w:t>
      </w:r>
      <w:r w:rsidR="0078782F" w:rsidRPr="00931642">
        <w:rPr>
          <w:szCs w:val="22"/>
        </w:rPr>
        <w:t>equi</w:t>
      </w:r>
      <w:r w:rsidR="0078782F" w:rsidRPr="00931642">
        <w:rPr>
          <w:szCs w:val="22"/>
        </w:rPr>
        <w:noBreakHyphen/>
      </w:r>
      <w:r w:rsidR="007470C8" w:rsidRPr="00931642">
        <w:rPr>
          <w:szCs w:val="22"/>
        </w:rPr>
        <w:t>effective dose of 14.23 mg pegvisomant to 40 mg and 60 mg pasireotide</w:t>
      </w:r>
      <w:r w:rsidR="0078782F" w:rsidRPr="00931642">
        <w:rPr>
          <w:szCs w:val="22"/>
        </w:rPr>
        <w:t>, and requested that the cost-offsets applied to pasireotide for additional diabetes management not be applied to pegvisomant</w:t>
      </w:r>
      <w:r w:rsidR="007470C8" w:rsidRPr="00931642">
        <w:rPr>
          <w:szCs w:val="22"/>
        </w:rPr>
        <w:t>.</w:t>
      </w:r>
      <w:r w:rsidR="009C1112" w:rsidRPr="00931642">
        <w:rPr>
          <w:szCs w:val="22"/>
        </w:rPr>
        <w:t xml:space="preserve"> The pre-PBAC response stated that the proposed price does not take the following monitoring costs (which were included in the economic model) into account:</w:t>
      </w:r>
    </w:p>
    <w:p w:rsidR="009C1112" w:rsidRPr="00931642" w:rsidRDefault="009C1112" w:rsidP="009C1112">
      <w:pPr>
        <w:pStyle w:val="ListParagraph"/>
        <w:widowControl/>
        <w:numPr>
          <w:ilvl w:val="3"/>
          <w:numId w:val="6"/>
        </w:numPr>
        <w:ind w:left="993" w:hanging="284"/>
        <w:rPr>
          <w:szCs w:val="22"/>
        </w:rPr>
      </w:pPr>
      <w:r w:rsidRPr="00931642">
        <w:rPr>
          <w:szCs w:val="22"/>
        </w:rPr>
        <w:t>$35.40 for pegvisomant (liver function tests);</w:t>
      </w:r>
    </w:p>
    <w:p w:rsidR="009C1112" w:rsidRPr="00931642" w:rsidRDefault="009C1112" w:rsidP="009C1112">
      <w:pPr>
        <w:pStyle w:val="ListParagraph"/>
        <w:widowControl/>
        <w:numPr>
          <w:ilvl w:val="3"/>
          <w:numId w:val="6"/>
        </w:numPr>
        <w:ind w:left="993" w:hanging="284"/>
        <w:rPr>
          <w:szCs w:val="22"/>
        </w:rPr>
      </w:pPr>
      <w:r w:rsidRPr="00931642">
        <w:rPr>
          <w:szCs w:val="22"/>
        </w:rPr>
        <w:t>$276.85 for pasireotide (ECG, ultrasound of the gall bladder, thyroid function, ACTH and free cortisol); and</w:t>
      </w:r>
    </w:p>
    <w:p w:rsidR="0078782F" w:rsidRPr="00931642" w:rsidRDefault="009C1112" w:rsidP="009C1112">
      <w:pPr>
        <w:pStyle w:val="ListParagraph"/>
        <w:widowControl/>
        <w:numPr>
          <w:ilvl w:val="3"/>
          <w:numId w:val="6"/>
        </w:numPr>
        <w:ind w:left="993" w:hanging="284"/>
        <w:rPr>
          <w:szCs w:val="22"/>
        </w:rPr>
      </w:pPr>
      <w:r w:rsidRPr="00931642">
        <w:rPr>
          <w:szCs w:val="22"/>
        </w:rPr>
        <w:t>$146.10 for octreotide/lanreotide (thyroid function tests and ultrasound of the gall bladder).</w:t>
      </w:r>
    </w:p>
    <w:p w:rsidR="00AB4D27" w:rsidRPr="00931642" w:rsidRDefault="00AB4D27" w:rsidP="00AB4D27">
      <w:pPr>
        <w:pStyle w:val="PBACHeading1"/>
        <w:numPr>
          <w:ilvl w:val="0"/>
          <w:numId w:val="0"/>
        </w:numPr>
        <w:ind w:left="720"/>
        <w:rPr>
          <w:rStyle w:val="CommentReference"/>
          <w:b/>
        </w:rPr>
      </w:pPr>
    </w:p>
    <w:p w:rsidR="007470C8" w:rsidRPr="00931642" w:rsidRDefault="00DE451E" w:rsidP="006504C4">
      <w:pPr>
        <w:pStyle w:val="ListParagraph"/>
        <w:widowControl/>
        <w:numPr>
          <w:ilvl w:val="1"/>
          <w:numId w:val="6"/>
        </w:numPr>
        <w:rPr>
          <w:szCs w:val="22"/>
        </w:rPr>
      </w:pPr>
      <w:r w:rsidRPr="00931642">
        <w:rPr>
          <w:szCs w:val="22"/>
        </w:rPr>
        <w:t xml:space="preserve">The PBAC considered that the uncertainties associated with the </w:t>
      </w:r>
      <w:r w:rsidR="00906A89" w:rsidRPr="00931642">
        <w:rPr>
          <w:szCs w:val="22"/>
        </w:rPr>
        <w:t>average</w:t>
      </w:r>
      <w:r w:rsidRPr="00931642">
        <w:rPr>
          <w:szCs w:val="22"/>
        </w:rPr>
        <w:t xml:space="preserve"> dose, as described by the ESC </w:t>
      </w:r>
      <w:r w:rsidRPr="005F074B">
        <w:rPr>
          <w:szCs w:val="22"/>
        </w:rPr>
        <w:t xml:space="preserve">(see </w:t>
      </w:r>
      <w:r w:rsidR="006504C4" w:rsidRPr="005F074B">
        <w:rPr>
          <w:szCs w:val="22"/>
        </w:rPr>
        <w:t xml:space="preserve">paragraph </w:t>
      </w:r>
      <w:r w:rsidRPr="005F074B">
        <w:rPr>
          <w:szCs w:val="22"/>
        </w:rPr>
        <w:t>6.3</w:t>
      </w:r>
      <w:r w:rsidR="004A2D6F" w:rsidRPr="005F074B">
        <w:rPr>
          <w:szCs w:val="22"/>
        </w:rPr>
        <w:t>3</w:t>
      </w:r>
      <w:r w:rsidRPr="005F074B">
        <w:rPr>
          <w:szCs w:val="22"/>
        </w:rPr>
        <w:t>)</w:t>
      </w:r>
      <w:r w:rsidR="00C35A7A" w:rsidRPr="005F074B">
        <w:rPr>
          <w:szCs w:val="22"/>
        </w:rPr>
        <w:t xml:space="preserve"> rem</w:t>
      </w:r>
      <w:r w:rsidR="00C35A7A" w:rsidRPr="00931642">
        <w:rPr>
          <w:szCs w:val="22"/>
        </w:rPr>
        <w:t>ained, and therefore</w:t>
      </w:r>
      <w:r w:rsidRPr="00931642">
        <w:rPr>
          <w:szCs w:val="22"/>
        </w:rPr>
        <w:t xml:space="preserve"> </w:t>
      </w:r>
      <w:r w:rsidR="00C35A7A" w:rsidRPr="00931642">
        <w:rPr>
          <w:szCs w:val="22"/>
        </w:rPr>
        <w:t xml:space="preserve">it was likely that </w:t>
      </w:r>
      <w:r w:rsidR="005738EF">
        <w:rPr>
          <w:szCs w:val="22"/>
        </w:rPr>
        <w:t>some</w:t>
      </w:r>
      <w:r w:rsidR="00C35A7A" w:rsidRPr="00931642">
        <w:rPr>
          <w:szCs w:val="22"/>
        </w:rPr>
        <w:t xml:space="preserve"> patients would require a higher dose of pegvisomant to achieve IGF</w:t>
      </w:r>
      <w:r w:rsidR="0027260A" w:rsidRPr="00931642">
        <w:rPr>
          <w:szCs w:val="22"/>
        </w:rPr>
        <w:noBreakHyphen/>
      </w:r>
      <w:r w:rsidR="00C35A7A" w:rsidRPr="00931642">
        <w:rPr>
          <w:szCs w:val="22"/>
        </w:rPr>
        <w:t xml:space="preserve">1 normalisation, which would result in higher costs. As such, the PBAC considered that </w:t>
      </w:r>
      <w:r w:rsidR="0023655D" w:rsidRPr="00931642">
        <w:rPr>
          <w:szCs w:val="22"/>
        </w:rPr>
        <w:t xml:space="preserve"> </w:t>
      </w:r>
      <w:r w:rsidR="008E7CB9">
        <w:rPr>
          <w:szCs w:val="22"/>
        </w:rPr>
        <w:t xml:space="preserve">for treatment with </w:t>
      </w:r>
      <w:r w:rsidR="007E2101" w:rsidRPr="00931642">
        <w:rPr>
          <w:szCs w:val="22"/>
        </w:rPr>
        <w:t>pegvisomant (</w:t>
      </w:r>
      <w:r w:rsidR="008E7CB9">
        <w:rPr>
          <w:szCs w:val="22"/>
        </w:rPr>
        <w:t>regardless of</w:t>
      </w:r>
      <w:r w:rsidR="007E2101" w:rsidRPr="00931642">
        <w:rPr>
          <w:szCs w:val="22"/>
        </w:rPr>
        <w:t xml:space="preserve"> one</w:t>
      </w:r>
      <w:r w:rsidR="008E7CB9">
        <w:rPr>
          <w:szCs w:val="22"/>
        </w:rPr>
        <w:t>,</w:t>
      </w:r>
      <w:r w:rsidR="007E2101" w:rsidRPr="00931642">
        <w:rPr>
          <w:szCs w:val="22"/>
        </w:rPr>
        <w:t xml:space="preserve"> or a combination of the </w:t>
      </w:r>
      <w:r w:rsidR="0023655D" w:rsidRPr="00931642">
        <w:rPr>
          <w:szCs w:val="22"/>
        </w:rPr>
        <w:t>10 </w:t>
      </w:r>
      <w:r w:rsidR="005738EF">
        <w:rPr>
          <w:szCs w:val="22"/>
        </w:rPr>
        <w:t>mg, 15 </w:t>
      </w:r>
      <w:r w:rsidR="00673CAC" w:rsidRPr="00931642">
        <w:rPr>
          <w:szCs w:val="22"/>
        </w:rPr>
        <w:t>mg and 20 mg strengths</w:t>
      </w:r>
      <w:r w:rsidR="007E2101" w:rsidRPr="00931642">
        <w:rPr>
          <w:szCs w:val="22"/>
        </w:rPr>
        <w:t>)</w:t>
      </w:r>
      <w:r w:rsidR="008E7CB9">
        <w:rPr>
          <w:szCs w:val="22"/>
        </w:rPr>
        <w:t xml:space="preserve"> an equivalent cost per day against pasireotide, consistent with dosing as outlined in the </w:t>
      </w:r>
      <w:r w:rsidR="00061DD9">
        <w:rPr>
          <w:szCs w:val="22"/>
        </w:rPr>
        <w:t>respective Product Information documents</w:t>
      </w:r>
      <w:r w:rsidR="0016375A">
        <w:rPr>
          <w:szCs w:val="22"/>
        </w:rPr>
        <w:t xml:space="preserve"> and on a flat pricing basis,</w:t>
      </w:r>
      <w:r w:rsidR="008E7CB9">
        <w:rPr>
          <w:szCs w:val="22"/>
        </w:rPr>
        <w:t xml:space="preserve"> is appropriat</w:t>
      </w:r>
      <w:r w:rsidR="00061DD9">
        <w:rPr>
          <w:szCs w:val="22"/>
        </w:rPr>
        <w:t>e</w:t>
      </w:r>
      <w:r w:rsidR="00C35A7A" w:rsidRPr="00931642">
        <w:rPr>
          <w:szCs w:val="22"/>
        </w:rPr>
        <w:t>.</w:t>
      </w:r>
      <w:r w:rsidRPr="00931642">
        <w:rPr>
          <w:szCs w:val="22"/>
        </w:rPr>
        <w:t xml:space="preserve"> </w:t>
      </w:r>
      <w:r w:rsidR="00E01424" w:rsidRPr="00931642">
        <w:rPr>
          <w:szCs w:val="22"/>
        </w:rPr>
        <w:t xml:space="preserve">The PBAC also noted that pasireotide has a </w:t>
      </w:r>
      <w:r w:rsidR="00931642">
        <w:rPr>
          <w:szCs w:val="22"/>
        </w:rPr>
        <w:t>S</w:t>
      </w:r>
      <w:r w:rsidR="00931642" w:rsidRPr="00931642">
        <w:rPr>
          <w:szCs w:val="22"/>
        </w:rPr>
        <w:t xml:space="preserve">pecial </w:t>
      </w:r>
      <w:r w:rsidR="00931642">
        <w:rPr>
          <w:szCs w:val="22"/>
        </w:rPr>
        <w:t>P</w:t>
      </w:r>
      <w:r w:rsidR="00931642" w:rsidRPr="00931642">
        <w:rPr>
          <w:szCs w:val="22"/>
        </w:rPr>
        <w:t xml:space="preserve">ricing </w:t>
      </w:r>
      <w:r w:rsidR="00931642">
        <w:rPr>
          <w:szCs w:val="22"/>
        </w:rPr>
        <w:t>A</w:t>
      </w:r>
      <w:r w:rsidR="00931642" w:rsidRPr="00931642">
        <w:rPr>
          <w:szCs w:val="22"/>
        </w:rPr>
        <w:t>rrangement</w:t>
      </w:r>
      <w:r w:rsidR="00E01424" w:rsidRPr="00931642">
        <w:rPr>
          <w:szCs w:val="22"/>
        </w:rPr>
        <w:t>, and that the cost of pegvisomant should be calculated on the effective price of pasireotide.</w:t>
      </w:r>
    </w:p>
    <w:p w:rsidR="0078782F" w:rsidRPr="00931642" w:rsidRDefault="0078782F" w:rsidP="006504C4">
      <w:pPr>
        <w:widowControl/>
        <w:rPr>
          <w:szCs w:val="22"/>
        </w:rPr>
      </w:pPr>
    </w:p>
    <w:p w:rsidR="0078782F" w:rsidRPr="00931642" w:rsidRDefault="0078782F" w:rsidP="006504C4">
      <w:pPr>
        <w:pStyle w:val="ListParagraph"/>
        <w:widowControl/>
        <w:numPr>
          <w:ilvl w:val="1"/>
          <w:numId w:val="6"/>
        </w:numPr>
        <w:rPr>
          <w:szCs w:val="22"/>
        </w:rPr>
      </w:pPr>
      <w:r w:rsidRPr="00931642">
        <w:rPr>
          <w:szCs w:val="22"/>
        </w:rPr>
        <w:t xml:space="preserve">The PBAC considered that it was reasonable for the cost-offsets for diabetes that are applied to pasireotide to not be applied to pegvisomant, as pegvisomant use is not associated with a higher </w:t>
      </w:r>
      <w:r w:rsidR="004B567E" w:rsidRPr="00931642">
        <w:rPr>
          <w:szCs w:val="22"/>
        </w:rPr>
        <w:t>occurrence</w:t>
      </w:r>
      <w:r w:rsidRPr="00931642">
        <w:rPr>
          <w:szCs w:val="22"/>
        </w:rPr>
        <w:t xml:space="preserve"> of diabetes. However, the PBAC considered that due to the risk of abnormal liver function, cost off</w:t>
      </w:r>
      <w:r w:rsidR="007E2101" w:rsidRPr="00931642">
        <w:rPr>
          <w:szCs w:val="22"/>
        </w:rPr>
        <w:t xml:space="preserve">sets for liver function testing, </w:t>
      </w:r>
      <w:r w:rsidR="00F014C4" w:rsidRPr="00931642">
        <w:rPr>
          <w:szCs w:val="22"/>
        </w:rPr>
        <w:t xml:space="preserve">based on </w:t>
      </w:r>
      <w:r w:rsidR="008B1FB2" w:rsidRPr="00931642">
        <w:rPr>
          <w:szCs w:val="22"/>
        </w:rPr>
        <w:t xml:space="preserve">8 </w:t>
      </w:r>
      <w:r w:rsidR="007E2101" w:rsidRPr="00931642">
        <w:rPr>
          <w:szCs w:val="22"/>
        </w:rPr>
        <w:t xml:space="preserve">sets of </w:t>
      </w:r>
      <w:r w:rsidR="008B1FB2" w:rsidRPr="00931642">
        <w:rPr>
          <w:szCs w:val="22"/>
        </w:rPr>
        <w:t xml:space="preserve">tests over </w:t>
      </w:r>
      <w:r w:rsidR="008B1FB2" w:rsidRPr="005F074B">
        <w:rPr>
          <w:szCs w:val="22"/>
        </w:rPr>
        <w:t xml:space="preserve">a 2 year period </w:t>
      </w:r>
      <w:r w:rsidR="007E2101" w:rsidRPr="005F074B">
        <w:rPr>
          <w:szCs w:val="22"/>
        </w:rPr>
        <w:t>(</w:t>
      </w:r>
      <w:r w:rsidR="008B1FB2" w:rsidRPr="005F074B">
        <w:rPr>
          <w:szCs w:val="22"/>
        </w:rPr>
        <w:t>see paragraph 6.21)</w:t>
      </w:r>
      <w:r w:rsidR="007E2101" w:rsidRPr="005F074B">
        <w:rPr>
          <w:szCs w:val="22"/>
        </w:rPr>
        <w:t xml:space="preserve"> using</w:t>
      </w:r>
      <w:r w:rsidR="007E2101" w:rsidRPr="00931642">
        <w:rPr>
          <w:szCs w:val="22"/>
        </w:rPr>
        <w:t xml:space="preserve"> MBS item number 66512</w:t>
      </w:r>
      <w:r w:rsidR="008B1FB2" w:rsidRPr="00931642">
        <w:rPr>
          <w:szCs w:val="22"/>
        </w:rPr>
        <w:t xml:space="preserve"> </w:t>
      </w:r>
      <w:r w:rsidRPr="00931642">
        <w:rPr>
          <w:szCs w:val="22"/>
        </w:rPr>
        <w:t xml:space="preserve">should be </w:t>
      </w:r>
      <w:r w:rsidR="00FF3512" w:rsidRPr="00931642">
        <w:rPr>
          <w:szCs w:val="22"/>
        </w:rPr>
        <w:t>included in the calculation of the</w:t>
      </w:r>
      <w:r w:rsidRPr="00931642">
        <w:rPr>
          <w:szCs w:val="22"/>
        </w:rPr>
        <w:t xml:space="preserve"> pegvisomant</w:t>
      </w:r>
      <w:r w:rsidR="00FF3512" w:rsidRPr="00931642">
        <w:rPr>
          <w:szCs w:val="22"/>
        </w:rPr>
        <w:t xml:space="preserve"> </w:t>
      </w:r>
      <w:r w:rsidR="006F06E6" w:rsidRPr="00931642">
        <w:rPr>
          <w:szCs w:val="22"/>
        </w:rPr>
        <w:t>price</w:t>
      </w:r>
      <w:r w:rsidR="00061DD9">
        <w:rPr>
          <w:szCs w:val="22"/>
        </w:rPr>
        <w:t xml:space="preserve"> to ensure that there is no </w:t>
      </w:r>
      <w:r w:rsidR="0016375A">
        <w:rPr>
          <w:szCs w:val="22"/>
        </w:rPr>
        <w:t>additional</w:t>
      </w:r>
      <w:r w:rsidR="00061DD9">
        <w:rPr>
          <w:szCs w:val="22"/>
        </w:rPr>
        <w:t xml:space="preserve"> cost to the Commonwealth</w:t>
      </w:r>
      <w:r w:rsidRPr="00931642">
        <w:rPr>
          <w:szCs w:val="22"/>
        </w:rPr>
        <w:t>.</w:t>
      </w:r>
    </w:p>
    <w:p w:rsidR="00751F9B" w:rsidRPr="00931642" w:rsidRDefault="00751F9B" w:rsidP="006504C4">
      <w:pPr>
        <w:pStyle w:val="ListParagraph"/>
        <w:widowControl/>
      </w:pPr>
    </w:p>
    <w:p w:rsidR="004E1DF0" w:rsidRDefault="004E1DF0">
      <w:pPr>
        <w:widowControl/>
        <w:jc w:val="left"/>
        <w:rPr>
          <w:b/>
          <w:i/>
          <w:szCs w:val="22"/>
        </w:rPr>
      </w:pPr>
      <w:bookmarkStart w:id="15" w:name="_Toc461530923"/>
      <w:r>
        <w:br w:type="page"/>
      </w:r>
    </w:p>
    <w:p w:rsidR="00C25D9C" w:rsidRPr="00931642" w:rsidRDefault="00267A20" w:rsidP="006504C4">
      <w:pPr>
        <w:pStyle w:val="Heading3"/>
      </w:pPr>
      <w:r w:rsidRPr="00931642">
        <w:lastRenderedPageBreak/>
        <w:t xml:space="preserve">Drug </w:t>
      </w:r>
      <w:r w:rsidR="00C569D5" w:rsidRPr="00931642">
        <w:t>cost/patient/year: $</w:t>
      </w:r>
      <w:r w:rsidR="00356AF3">
        <w:rPr>
          <w:noProof/>
          <w:color w:val="000000"/>
          <w:highlight w:val="black"/>
        </w:rPr>
        <w:t>''''''''''''''</w:t>
      </w:r>
      <w:r w:rsidR="00C569D5" w:rsidRPr="00931642">
        <w:t xml:space="preserve"> for 10mg/day dose</w:t>
      </w:r>
      <w:r w:rsidR="00335C45" w:rsidRPr="00931642">
        <w:t>,</w:t>
      </w:r>
      <w:r w:rsidR="00C569D5" w:rsidRPr="00931642">
        <w:t xml:space="preserve"> up to $</w:t>
      </w:r>
      <w:r w:rsidR="00356AF3">
        <w:rPr>
          <w:noProof/>
          <w:color w:val="000000"/>
          <w:highlight w:val="black"/>
        </w:rPr>
        <w:t>''''''''''''</w:t>
      </w:r>
      <w:r w:rsidR="00C569D5" w:rsidRPr="00931642">
        <w:t xml:space="preserve"> for 30mg/day dose</w:t>
      </w:r>
      <w:bookmarkEnd w:id="15"/>
    </w:p>
    <w:p w:rsidR="00C25D9C" w:rsidRPr="00931642" w:rsidRDefault="00C25D9C" w:rsidP="006504C4">
      <w:pPr>
        <w:widowControl/>
        <w:rPr>
          <w:szCs w:val="22"/>
        </w:rPr>
      </w:pPr>
    </w:p>
    <w:p w:rsidR="00C569D5" w:rsidRPr="00931642" w:rsidRDefault="00C569D5" w:rsidP="006504C4">
      <w:pPr>
        <w:pStyle w:val="ListParagraph"/>
        <w:widowControl/>
        <w:numPr>
          <w:ilvl w:val="1"/>
          <w:numId w:val="6"/>
        </w:numPr>
        <w:rPr>
          <w:szCs w:val="22"/>
        </w:rPr>
      </w:pPr>
      <w:r w:rsidRPr="00931642">
        <w:rPr>
          <w:szCs w:val="22"/>
        </w:rPr>
        <w:t>The effective cost of pegvisomant</w:t>
      </w:r>
      <w:r w:rsidR="00BE7B56" w:rsidRPr="00931642">
        <w:rPr>
          <w:szCs w:val="22"/>
        </w:rPr>
        <w:t xml:space="preserve"> and comparators</w:t>
      </w:r>
      <w:r w:rsidRPr="00931642">
        <w:rPr>
          <w:szCs w:val="22"/>
        </w:rPr>
        <w:t xml:space="preserve"> per patient per year </w:t>
      </w:r>
      <w:r w:rsidR="00BE7B56" w:rsidRPr="00931642">
        <w:rPr>
          <w:szCs w:val="22"/>
        </w:rPr>
        <w:t>were</w:t>
      </w:r>
      <w:r w:rsidRPr="00931642">
        <w:rPr>
          <w:szCs w:val="22"/>
        </w:rPr>
        <w:t xml:space="preserve"> based on the weighted average public/private hospital costs (</w:t>
      </w:r>
      <w:r w:rsidRPr="00647C4B">
        <w:rPr>
          <w:szCs w:val="22"/>
        </w:rPr>
        <w:t>49.02</w:t>
      </w:r>
      <w:r w:rsidRPr="00931642">
        <w:rPr>
          <w:szCs w:val="22"/>
        </w:rPr>
        <w:t>%/</w:t>
      </w:r>
      <w:r w:rsidRPr="00647C4B">
        <w:rPr>
          <w:szCs w:val="22"/>
        </w:rPr>
        <w:t>50.98</w:t>
      </w:r>
      <w:r w:rsidRPr="00931642">
        <w:rPr>
          <w:szCs w:val="22"/>
        </w:rPr>
        <w:t>%) for each dose.</w:t>
      </w:r>
      <w:r w:rsidR="003D6987" w:rsidRPr="00931642">
        <w:rPr>
          <w:szCs w:val="22"/>
        </w:rPr>
        <w:t xml:space="preserve"> Treatment is ongoing for this chronic condition.</w:t>
      </w:r>
      <w:r w:rsidR="002C1BF1" w:rsidRPr="00931642">
        <w:rPr>
          <w:szCs w:val="22"/>
        </w:rPr>
        <w:t xml:space="preserve"> Cost per patient per year by pegvisomant dose and for comparators is presented in Table </w:t>
      </w:r>
      <w:r w:rsidR="00E44E44" w:rsidRPr="00931642">
        <w:rPr>
          <w:szCs w:val="22"/>
        </w:rPr>
        <w:t>1</w:t>
      </w:r>
      <w:r w:rsidR="00067DE2" w:rsidRPr="00931642">
        <w:rPr>
          <w:szCs w:val="22"/>
        </w:rPr>
        <w:t>2</w:t>
      </w:r>
      <w:r w:rsidR="002C1BF1" w:rsidRPr="00931642">
        <w:rPr>
          <w:szCs w:val="22"/>
        </w:rPr>
        <w:t>.</w:t>
      </w:r>
    </w:p>
    <w:p w:rsidR="0078782F" w:rsidRPr="00931642" w:rsidRDefault="0078782F" w:rsidP="006504C4">
      <w:pPr>
        <w:pStyle w:val="ListParagraph"/>
        <w:widowControl/>
        <w:rPr>
          <w:szCs w:val="22"/>
        </w:rPr>
      </w:pPr>
    </w:p>
    <w:p w:rsidR="0078782F" w:rsidRPr="00931642" w:rsidRDefault="0078782F" w:rsidP="006504C4">
      <w:pPr>
        <w:pStyle w:val="ListParagraph"/>
        <w:widowControl/>
        <w:numPr>
          <w:ilvl w:val="1"/>
          <w:numId w:val="6"/>
        </w:numPr>
        <w:rPr>
          <w:szCs w:val="22"/>
        </w:rPr>
      </w:pPr>
      <w:r w:rsidRPr="00931642">
        <w:rPr>
          <w:szCs w:val="22"/>
        </w:rPr>
        <w:t>The PBAC noted that as the pre-PBAC response proposed a cost</w:t>
      </w:r>
      <w:r w:rsidR="00E01424" w:rsidRPr="00931642">
        <w:rPr>
          <w:szCs w:val="22"/>
        </w:rPr>
        <w:noBreakHyphen/>
      </w:r>
      <w:r w:rsidRPr="00931642">
        <w:rPr>
          <w:szCs w:val="22"/>
        </w:rPr>
        <w:t>minimisation to pasireotide, the drug cost per patient per year would need to be recalculated based on the recommended equi-effective dose</w:t>
      </w:r>
      <w:r w:rsidR="00CD3AB9" w:rsidRPr="00931642">
        <w:rPr>
          <w:szCs w:val="22"/>
        </w:rPr>
        <w:t xml:space="preserve">, </w:t>
      </w:r>
      <w:r w:rsidRPr="00931642">
        <w:rPr>
          <w:szCs w:val="22"/>
        </w:rPr>
        <w:t>cost-offsets</w:t>
      </w:r>
      <w:r w:rsidR="006504C4" w:rsidRPr="00931642">
        <w:rPr>
          <w:szCs w:val="22"/>
        </w:rPr>
        <w:t xml:space="preserve"> and the effective price of pasireotide</w:t>
      </w:r>
      <w:r w:rsidRPr="00931642">
        <w:rPr>
          <w:szCs w:val="22"/>
        </w:rPr>
        <w:t>.</w:t>
      </w:r>
    </w:p>
    <w:p w:rsidR="002C1BF1" w:rsidRPr="00931642" w:rsidRDefault="002C1BF1" w:rsidP="006504C4">
      <w:pPr>
        <w:widowControl/>
        <w:rPr>
          <w:szCs w:val="22"/>
        </w:rPr>
      </w:pPr>
    </w:p>
    <w:p w:rsidR="00BE7B56" w:rsidRPr="00931642" w:rsidRDefault="00BE7B56" w:rsidP="006504C4">
      <w:pPr>
        <w:keepNext/>
        <w:widowControl/>
        <w:ind w:left="709"/>
        <w:rPr>
          <w:szCs w:val="22"/>
        </w:rPr>
      </w:pPr>
      <w:r w:rsidRPr="00931642">
        <w:rPr>
          <w:rStyle w:val="CommentReference"/>
        </w:rPr>
        <w:t>Table 1</w:t>
      </w:r>
      <w:r w:rsidR="00067DE2" w:rsidRPr="00931642">
        <w:rPr>
          <w:rStyle w:val="CommentReference"/>
        </w:rPr>
        <w:t>2</w:t>
      </w:r>
      <w:r w:rsidRPr="00931642">
        <w:rPr>
          <w:rStyle w:val="CommentReference"/>
        </w:rPr>
        <w:t>: Cost per patient per year for pegvisomant and for comparators, weighted by public/private hospital use</w:t>
      </w:r>
    </w:p>
    <w:tbl>
      <w:tblPr>
        <w:tblStyle w:val="TableGrid"/>
        <w:tblW w:w="8363" w:type="dxa"/>
        <w:tblInd w:w="817" w:type="dxa"/>
        <w:tblLook w:val="04A0" w:firstRow="1" w:lastRow="0" w:firstColumn="1" w:lastColumn="0" w:noHBand="0" w:noVBand="1"/>
        <w:tblCaption w:val="Table 12: Cost per patient per year for pegvisomant and for comparators, weighted by public/private hospital use"/>
        <w:tblDescription w:val="Table 12: Cost per patient per year for pegvisomant and for comparators, weighted by public/private hospital use"/>
      </w:tblPr>
      <w:tblGrid>
        <w:gridCol w:w="1843"/>
        <w:gridCol w:w="1411"/>
        <w:gridCol w:w="1412"/>
        <w:gridCol w:w="1996"/>
        <w:gridCol w:w="1701"/>
      </w:tblGrid>
      <w:tr w:rsidR="000E5EAA" w:rsidRPr="00931642" w:rsidTr="000E5EAA">
        <w:trPr>
          <w:tblHeader/>
        </w:trPr>
        <w:tc>
          <w:tcPr>
            <w:tcW w:w="1843" w:type="dxa"/>
            <w:vMerge w:val="restart"/>
            <w:vAlign w:val="center"/>
          </w:tcPr>
          <w:p w:rsidR="000E5EAA" w:rsidRPr="00931642" w:rsidRDefault="000E5EAA" w:rsidP="006504C4">
            <w:pPr>
              <w:keepNext/>
              <w:widowControl/>
              <w:jc w:val="left"/>
              <w:rPr>
                <w:rFonts w:ascii="Arial Narrow" w:hAnsi="Arial Narrow"/>
                <w:b/>
                <w:sz w:val="20"/>
              </w:rPr>
            </w:pPr>
            <w:r w:rsidRPr="00931642">
              <w:rPr>
                <w:rFonts w:ascii="Arial Narrow" w:hAnsi="Arial Narrow"/>
                <w:b/>
                <w:sz w:val="20"/>
              </w:rPr>
              <w:t>Drug</w:t>
            </w:r>
          </w:p>
        </w:tc>
        <w:tc>
          <w:tcPr>
            <w:tcW w:w="2823" w:type="dxa"/>
            <w:gridSpan w:val="2"/>
            <w:vAlign w:val="center"/>
          </w:tcPr>
          <w:p w:rsidR="000E5EAA" w:rsidRPr="00931642" w:rsidRDefault="000E5EAA" w:rsidP="006504C4">
            <w:pPr>
              <w:keepNext/>
              <w:widowControl/>
              <w:jc w:val="center"/>
              <w:rPr>
                <w:rFonts w:ascii="Arial Narrow" w:hAnsi="Arial Narrow"/>
                <w:b/>
                <w:sz w:val="20"/>
              </w:rPr>
            </w:pPr>
            <w:r w:rsidRPr="00931642">
              <w:rPr>
                <w:rFonts w:ascii="Arial Narrow" w:hAnsi="Arial Narrow"/>
                <w:b/>
                <w:sz w:val="20"/>
              </w:rPr>
              <w:t>DPMQ</w:t>
            </w:r>
          </w:p>
        </w:tc>
        <w:tc>
          <w:tcPr>
            <w:tcW w:w="1996" w:type="dxa"/>
            <w:vMerge w:val="restart"/>
            <w:vAlign w:val="center"/>
          </w:tcPr>
          <w:p w:rsidR="000E5EAA" w:rsidRPr="00931642" w:rsidRDefault="000E5EAA" w:rsidP="006504C4">
            <w:pPr>
              <w:keepNext/>
              <w:widowControl/>
              <w:jc w:val="center"/>
              <w:rPr>
                <w:rFonts w:ascii="Arial Narrow" w:hAnsi="Arial Narrow"/>
                <w:b/>
                <w:sz w:val="20"/>
              </w:rPr>
            </w:pPr>
            <w:r w:rsidRPr="00931642">
              <w:rPr>
                <w:rFonts w:ascii="Arial Narrow" w:hAnsi="Arial Narrow"/>
                <w:b/>
                <w:sz w:val="20"/>
              </w:rPr>
              <w:t>Calculation</w:t>
            </w:r>
          </w:p>
        </w:tc>
        <w:tc>
          <w:tcPr>
            <w:tcW w:w="1701" w:type="dxa"/>
            <w:vMerge w:val="restart"/>
            <w:vAlign w:val="center"/>
          </w:tcPr>
          <w:p w:rsidR="000E5EAA" w:rsidRPr="00931642" w:rsidRDefault="000E5EAA" w:rsidP="006504C4">
            <w:pPr>
              <w:keepNext/>
              <w:widowControl/>
              <w:jc w:val="center"/>
              <w:rPr>
                <w:rFonts w:ascii="Arial Narrow" w:hAnsi="Arial Narrow"/>
                <w:b/>
                <w:sz w:val="20"/>
              </w:rPr>
            </w:pPr>
            <w:r w:rsidRPr="00931642">
              <w:rPr>
                <w:rFonts w:ascii="Arial Narrow" w:hAnsi="Arial Narrow"/>
                <w:b/>
                <w:sz w:val="20"/>
              </w:rPr>
              <w:t>Weighted average cost per patient per year</w:t>
            </w:r>
          </w:p>
        </w:tc>
      </w:tr>
      <w:tr w:rsidR="000E5EAA" w:rsidRPr="00931642" w:rsidTr="000B0778">
        <w:tc>
          <w:tcPr>
            <w:tcW w:w="1843" w:type="dxa"/>
            <w:vMerge/>
            <w:vAlign w:val="center"/>
          </w:tcPr>
          <w:p w:rsidR="000E5EAA" w:rsidRPr="00931642" w:rsidRDefault="000E5EAA" w:rsidP="006504C4">
            <w:pPr>
              <w:keepNext/>
              <w:widowControl/>
              <w:jc w:val="left"/>
              <w:rPr>
                <w:rFonts w:ascii="Arial Narrow" w:hAnsi="Arial Narrow"/>
                <w:b/>
                <w:sz w:val="20"/>
              </w:rPr>
            </w:pPr>
          </w:p>
        </w:tc>
        <w:tc>
          <w:tcPr>
            <w:tcW w:w="1411" w:type="dxa"/>
            <w:vAlign w:val="center"/>
          </w:tcPr>
          <w:p w:rsidR="000E5EAA" w:rsidRPr="00931642" w:rsidRDefault="000E5EAA" w:rsidP="006504C4">
            <w:pPr>
              <w:keepNext/>
              <w:widowControl/>
              <w:jc w:val="center"/>
              <w:rPr>
                <w:rFonts w:ascii="Arial Narrow" w:hAnsi="Arial Narrow"/>
                <w:b/>
                <w:sz w:val="20"/>
              </w:rPr>
            </w:pPr>
            <w:r w:rsidRPr="00931642">
              <w:rPr>
                <w:rFonts w:ascii="Arial Narrow" w:hAnsi="Arial Narrow"/>
                <w:b/>
                <w:sz w:val="20"/>
              </w:rPr>
              <w:t>Public hospital</w:t>
            </w:r>
          </w:p>
        </w:tc>
        <w:tc>
          <w:tcPr>
            <w:tcW w:w="1412" w:type="dxa"/>
            <w:vAlign w:val="center"/>
          </w:tcPr>
          <w:p w:rsidR="000E5EAA" w:rsidRPr="00931642" w:rsidRDefault="000E5EAA" w:rsidP="006504C4">
            <w:pPr>
              <w:keepNext/>
              <w:widowControl/>
              <w:jc w:val="center"/>
              <w:rPr>
                <w:rFonts w:ascii="Arial Narrow" w:hAnsi="Arial Narrow"/>
                <w:b/>
                <w:sz w:val="20"/>
              </w:rPr>
            </w:pPr>
            <w:r w:rsidRPr="00931642">
              <w:rPr>
                <w:rFonts w:ascii="Arial Narrow" w:hAnsi="Arial Narrow"/>
                <w:b/>
                <w:sz w:val="20"/>
              </w:rPr>
              <w:t>Private hospital</w:t>
            </w:r>
          </w:p>
        </w:tc>
        <w:tc>
          <w:tcPr>
            <w:tcW w:w="1996" w:type="dxa"/>
            <w:vMerge/>
          </w:tcPr>
          <w:p w:rsidR="000E5EAA" w:rsidRPr="00931642" w:rsidRDefault="000E5EAA" w:rsidP="006504C4">
            <w:pPr>
              <w:keepNext/>
              <w:widowControl/>
              <w:jc w:val="center"/>
              <w:rPr>
                <w:rFonts w:ascii="Arial Narrow" w:hAnsi="Arial Narrow"/>
                <w:b/>
                <w:sz w:val="20"/>
              </w:rPr>
            </w:pPr>
          </w:p>
        </w:tc>
        <w:tc>
          <w:tcPr>
            <w:tcW w:w="1701" w:type="dxa"/>
            <w:vMerge/>
            <w:vAlign w:val="center"/>
          </w:tcPr>
          <w:p w:rsidR="000E5EAA" w:rsidRPr="00931642" w:rsidRDefault="000E5EAA" w:rsidP="006504C4">
            <w:pPr>
              <w:keepNext/>
              <w:widowControl/>
              <w:jc w:val="center"/>
              <w:rPr>
                <w:rFonts w:ascii="Arial Narrow" w:hAnsi="Arial Narrow"/>
                <w:b/>
                <w:sz w:val="20"/>
              </w:rPr>
            </w:pPr>
          </w:p>
        </w:tc>
      </w:tr>
      <w:tr w:rsidR="00880A75" w:rsidRPr="00931642" w:rsidTr="000B0778">
        <w:trPr>
          <w:trHeight w:val="299"/>
        </w:trPr>
        <w:tc>
          <w:tcPr>
            <w:tcW w:w="1843" w:type="dxa"/>
            <w:vAlign w:val="center"/>
          </w:tcPr>
          <w:p w:rsidR="00880A75" w:rsidRPr="00931642" w:rsidRDefault="00880A75" w:rsidP="006504C4">
            <w:pPr>
              <w:keepNext/>
              <w:widowControl/>
              <w:jc w:val="left"/>
              <w:rPr>
                <w:rFonts w:ascii="Arial Narrow" w:hAnsi="Arial Narrow"/>
                <w:sz w:val="20"/>
              </w:rPr>
            </w:pPr>
            <w:r w:rsidRPr="00931642">
              <w:rPr>
                <w:rFonts w:ascii="Arial Narrow" w:hAnsi="Arial Narrow"/>
                <w:sz w:val="20"/>
              </w:rPr>
              <w:t>Pegvisomant 10mg</w:t>
            </w:r>
          </w:p>
        </w:tc>
        <w:tc>
          <w:tcPr>
            <w:tcW w:w="1411"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c>
          <w:tcPr>
            <w:tcW w:w="1412"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c>
          <w:tcPr>
            <w:tcW w:w="1996" w:type="dxa"/>
            <w:vMerge w:val="restart"/>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Weighted public/private DPMQ × 365.25 days per year/30 days’ treatment per max qty</w:t>
            </w:r>
          </w:p>
        </w:tc>
        <w:tc>
          <w:tcPr>
            <w:tcW w:w="1701"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r>
      <w:tr w:rsidR="00880A75" w:rsidRPr="00931642" w:rsidTr="000B0778">
        <w:trPr>
          <w:trHeight w:val="299"/>
        </w:trPr>
        <w:tc>
          <w:tcPr>
            <w:tcW w:w="1843" w:type="dxa"/>
            <w:vAlign w:val="center"/>
          </w:tcPr>
          <w:p w:rsidR="00880A75" w:rsidRPr="00931642" w:rsidRDefault="00880A75" w:rsidP="006504C4">
            <w:pPr>
              <w:keepNext/>
              <w:widowControl/>
              <w:jc w:val="left"/>
              <w:rPr>
                <w:rFonts w:ascii="Arial Narrow" w:hAnsi="Arial Narrow"/>
                <w:sz w:val="20"/>
              </w:rPr>
            </w:pPr>
            <w:r w:rsidRPr="00931642">
              <w:rPr>
                <w:rFonts w:ascii="Arial Narrow" w:hAnsi="Arial Narrow"/>
                <w:sz w:val="20"/>
              </w:rPr>
              <w:t>Pegvisomant 15mg</w:t>
            </w:r>
          </w:p>
        </w:tc>
        <w:tc>
          <w:tcPr>
            <w:tcW w:w="1411"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c>
          <w:tcPr>
            <w:tcW w:w="1412"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c>
          <w:tcPr>
            <w:tcW w:w="1996" w:type="dxa"/>
            <w:vMerge/>
          </w:tcPr>
          <w:p w:rsidR="00880A75" w:rsidRPr="00931642" w:rsidRDefault="00880A75" w:rsidP="006504C4">
            <w:pPr>
              <w:keepNext/>
              <w:widowControl/>
              <w:jc w:val="center"/>
              <w:rPr>
                <w:rFonts w:ascii="Arial Narrow" w:hAnsi="Arial Narrow"/>
                <w:sz w:val="20"/>
              </w:rPr>
            </w:pPr>
          </w:p>
        </w:tc>
        <w:tc>
          <w:tcPr>
            <w:tcW w:w="1701"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r>
      <w:tr w:rsidR="00880A75" w:rsidRPr="00931642" w:rsidTr="000B0778">
        <w:trPr>
          <w:trHeight w:val="300"/>
        </w:trPr>
        <w:tc>
          <w:tcPr>
            <w:tcW w:w="1843" w:type="dxa"/>
            <w:vAlign w:val="center"/>
          </w:tcPr>
          <w:p w:rsidR="00880A75" w:rsidRPr="00931642" w:rsidRDefault="00880A75" w:rsidP="006504C4">
            <w:pPr>
              <w:keepNext/>
              <w:widowControl/>
              <w:jc w:val="left"/>
              <w:rPr>
                <w:rFonts w:ascii="Arial Narrow" w:hAnsi="Arial Narrow"/>
                <w:sz w:val="20"/>
              </w:rPr>
            </w:pPr>
            <w:r w:rsidRPr="00931642">
              <w:rPr>
                <w:rFonts w:ascii="Arial Narrow" w:hAnsi="Arial Narrow"/>
                <w:sz w:val="20"/>
              </w:rPr>
              <w:t>Pegvisomant 20mg</w:t>
            </w:r>
          </w:p>
        </w:tc>
        <w:tc>
          <w:tcPr>
            <w:tcW w:w="1411"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c>
          <w:tcPr>
            <w:tcW w:w="1412"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c>
          <w:tcPr>
            <w:tcW w:w="1996" w:type="dxa"/>
            <w:vMerge/>
          </w:tcPr>
          <w:p w:rsidR="00880A75" w:rsidRPr="00931642" w:rsidRDefault="00880A75" w:rsidP="006504C4">
            <w:pPr>
              <w:keepNext/>
              <w:widowControl/>
              <w:jc w:val="center"/>
              <w:rPr>
                <w:rFonts w:ascii="Arial Narrow" w:hAnsi="Arial Narrow"/>
                <w:sz w:val="20"/>
              </w:rPr>
            </w:pPr>
          </w:p>
        </w:tc>
        <w:tc>
          <w:tcPr>
            <w:tcW w:w="1701"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r>
      <w:tr w:rsidR="00880A75" w:rsidRPr="00931642" w:rsidTr="000B0778">
        <w:tc>
          <w:tcPr>
            <w:tcW w:w="1843" w:type="dxa"/>
            <w:vAlign w:val="center"/>
          </w:tcPr>
          <w:p w:rsidR="00880A75" w:rsidRPr="00931642" w:rsidRDefault="00880A75" w:rsidP="006504C4">
            <w:pPr>
              <w:keepNext/>
              <w:widowControl/>
              <w:jc w:val="left"/>
              <w:rPr>
                <w:rFonts w:ascii="Arial Narrow" w:hAnsi="Arial Narrow"/>
                <w:sz w:val="20"/>
              </w:rPr>
            </w:pPr>
            <w:r w:rsidRPr="00931642">
              <w:rPr>
                <w:rFonts w:ascii="Arial Narrow" w:hAnsi="Arial Narrow"/>
                <w:sz w:val="20"/>
              </w:rPr>
              <w:t>Pegvisomant 25mg</w:t>
            </w:r>
          </w:p>
        </w:tc>
        <w:tc>
          <w:tcPr>
            <w:tcW w:w="1411"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p>
        </w:tc>
        <w:tc>
          <w:tcPr>
            <w:tcW w:w="1412"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p>
        </w:tc>
        <w:tc>
          <w:tcPr>
            <w:tcW w:w="1996" w:type="dxa"/>
          </w:tcPr>
          <w:p w:rsidR="00880A75" w:rsidRPr="00931642" w:rsidRDefault="00E44E44" w:rsidP="006504C4">
            <w:pPr>
              <w:keepNext/>
              <w:widowControl/>
              <w:jc w:val="center"/>
              <w:rPr>
                <w:rFonts w:ascii="Arial Narrow" w:hAnsi="Arial Narrow"/>
                <w:sz w:val="20"/>
              </w:rPr>
            </w:pPr>
            <w:r w:rsidRPr="00931642">
              <w:rPr>
                <w:rFonts w:ascii="Arial Narrow" w:hAnsi="Arial Narrow"/>
                <w:sz w:val="20"/>
              </w:rPr>
              <w:t>A</w:t>
            </w:r>
            <w:r w:rsidR="00880A75" w:rsidRPr="00931642">
              <w:rPr>
                <w:rFonts w:ascii="Arial Narrow" w:hAnsi="Arial Narrow"/>
                <w:sz w:val="20"/>
              </w:rPr>
              <w:t>nnual cost of 10mg + 15mg doses</w:t>
            </w:r>
          </w:p>
        </w:tc>
        <w:tc>
          <w:tcPr>
            <w:tcW w:w="1701"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r>
      <w:tr w:rsidR="00880A75" w:rsidRPr="00931642" w:rsidTr="000B0778">
        <w:tc>
          <w:tcPr>
            <w:tcW w:w="1843" w:type="dxa"/>
            <w:vAlign w:val="center"/>
          </w:tcPr>
          <w:p w:rsidR="00880A75" w:rsidRPr="00931642" w:rsidRDefault="00880A75" w:rsidP="006504C4">
            <w:pPr>
              <w:keepNext/>
              <w:widowControl/>
              <w:jc w:val="left"/>
              <w:rPr>
                <w:rFonts w:ascii="Arial Narrow" w:hAnsi="Arial Narrow"/>
                <w:sz w:val="20"/>
              </w:rPr>
            </w:pPr>
            <w:r w:rsidRPr="00931642">
              <w:rPr>
                <w:rFonts w:ascii="Arial Narrow" w:hAnsi="Arial Narrow"/>
                <w:sz w:val="20"/>
              </w:rPr>
              <w:t>Pegvisomant 30mg</w:t>
            </w:r>
          </w:p>
        </w:tc>
        <w:tc>
          <w:tcPr>
            <w:tcW w:w="1411"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p>
        </w:tc>
        <w:tc>
          <w:tcPr>
            <w:tcW w:w="1412"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p>
        </w:tc>
        <w:tc>
          <w:tcPr>
            <w:tcW w:w="1996" w:type="dxa"/>
          </w:tcPr>
          <w:p w:rsidR="00880A75" w:rsidRPr="00931642" w:rsidRDefault="00E44E44" w:rsidP="006504C4">
            <w:pPr>
              <w:keepNext/>
              <w:widowControl/>
              <w:jc w:val="center"/>
              <w:rPr>
                <w:rFonts w:ascii="Arial Narrow" w:hAnsi="Arial Narrow"/>
                <w:sz w:val="20"/>
              </w:rPr>
            </w:pPr>
            <w:r w:rsidRPr="00931642">
              <w:rPr>
                <w:rFonts w:ascii="Arial Narrow" w:hAnsi="Arial Narrow"/>
                <w:sz w:val="20"/>
              </w:rPr>
              <w:t>A</w:t>
            </w:r>
            <w:r w:rsidR="00880A75" w:rsidRPr="00931642">
              <w:rPr>
                <w:rFonts w:ascii="Arial Narrow" w:hAnsi="Arial Narrow"/>
                <w:sz w:val="20"/>
              </w:rPr>
              <w:t>nnual cost of 10mg + 20mg doses</w:t>
            </w:r>
          </w:p>
        </w:tc>
        <w:tc>
          <w:tcPr>
            <w:tcW w:w="1701" w:type="dxa"/>
            <w:vAlign w:val="center"/>
          </w:tcPr>
          <w:p w:rsidR="00880A75" w:rsidRPr="00931642" w:rsidRDefault="00880A75" w:rsidP="006504C4">
            <w:pPr>
              <w:keepNext/>
              <w:widowControl/>
              <w:jc w:val="center"/>
              <w:rPr>
                <w:rFonts w:ascii="Arial Narrow" w:hAnsi="Arial Narrow"/>
                <w:sz w:val="20"/>
              </w:rPr>
            </w:pPr>
            <w:r w:rsidRPr="00931642">
              <w:rPr>
                <w:rFonts w:ascii="Arial Narrow" w:hAnsi="Arial Narrow"/>
                <w:sz w:val="20"/>
              </w:rPr>
              <w:t>$</w:t>
            </w:r>
            <w:r w:rsidR="00356AF3">
              <w:rPr>
                <w:rFonts w:ascii="Arial Narrow" w:hAnsi="Arial Narrow"/>
                <w:noProof/>
                <w:color w:val="000000"/>
                <w:sz w:val="20"/>
                <w:highlight w:val="black"/>
              </w:rPr>
              <w:t>''''''''''''''''</w:t>
            </w:r>
          </w:p>
        </w:tc>
      </w:tr>
      <w:tr w:rsidR="00E44E44" w:rsidRPr="00931642" w:rsidTr="000B0778">
        <w:tc>
          <w:tcPr>
            <w:tcW w:w="1843" w:type="dxa"/>
            <w:vAlign w:val="center"/>
          </w:tcPr>
          <w:p w:rsidR="00E44E44" w:rsidRPr="00931642" w:rsidRDefault="00E44E44" w:rsidP="006504C4">
            <w:pPr>
              <w:keepNext/>
              <w:widowControl/>
              <w:jc w:val="left"/>
              <w:rPr>
                <w:rFonts w:ascii="Arial Narrow" w:hAnsi="Arial Narrow"/>
                <w:sz w:val="20"/>
              </w:rPr>
            </w:pPr>
            <w:r w:rsidRPr="00931642">
              <w:rPr>
                <w:rFonts w:ascii="Arial Narrow" w:hAnsi="Arial Narrow"/>
                <w:sz w:val="20"/>
              </w:rPr>
              <w:t>Pasireotide 20mg, 40mg, 60mg</w:t>
            </w:r>
          </w:p>
        </w:tc>
        <w:tc>
          <w:tcPr>
            <w:tcW w:w="1411" w:type="dxa"/>
            <w:vAlign w:val="center"/>
          </w:tcPr>
          <w:p w:rsidR="00E44E44" w:rsidRPr="00931642" w:rsidRDefault="00E44E44" w:rsidP="006504C4">
            <w:pPr>
              <w:keepNext/>
              <w:widowControl/>
              <w:jc w:val="center"/>
              <w:rPr>
                <w:rFonts w:ascii="Arial Narrow" w:hAnsi="Arial Narrow"/>
                <w:sz w:val="20"/>
              </w:rPr>
            </w:pPr>
            <w:r w:rsidRPr="00931642">
              <w:rPr>
                <w:rFonts w:ascii="Arial Narrow" w:hAnsi="Arial Narrow"/>
                <w:sz w:val="20"/>
              </w:rPr>
              <w:t>$7,800</w:t>
            </w:r>
          </w:p>
        </w:tc>
        <w:tc>
          <w:tcPr>
            <w:tcW w:w="1412" w:type="dxa"/>
            <w:vAlign w:val="center"/>
          </w:tcPr>
          <w:p w:rsidR="00E44E44" w:rsidRPr="00931642" w:rsidRDefault="00E44E44" w:rsidP="006504C4">
            <w:pPr>
              <w:keepNext/>
              <w:widowControl/>
              <w:jc w:val="center"/>
              <w:rPr>
                <w:rFonts w:ascii="Arial Narrow" w:hAnsi="Arial Narrow"/>
                <w:sz w:val="20"/>
              </w:rPr>
            </w:pPr>
            <w:r w:rsidRPr="00931642">
              <w:rPr>
                <w:rFonts w:ascii="Arial Narrow" w:hAnsi="Arial Narrow"/>
                <w:sz w:val="20"/>
              </w:rPr>
              <w:t>$7847.02</w:t>
            </w:r>
          </w:p>
        </w:tc>
        <w:tc>
          <w:tcPr>
            <w:tcW w:w="1996" w:type="dxa"/>
            <w:vMerge w:val="restart"/>
          </w:tcPr>
          <w:p w:rsidR="00E44E44" w:rsidRPr="00931642" w:rsidRDefault="00E44E44" w:rsidP="006504C4">
            <w:pPr>
              <w:keepNext/>
              <w:widowControl/>
              <w:jc w:val="center"/>
              <w:rPr>
                <w:rFonts w:ascii="Arial Narrow" w:hAnsi="Arial Narrow"/>
                <w:sz w:val="20"/>
              </w:rPr>
            </w:pPr>
            <w:r w:rsidRPr="00931642">
              <w:rPr>
                <w:rFonts w:ascii="Arial Narrow" w:hAnsi="Arial Narrow"/>
                <w:sz w:val="20"/>
              </w:rPr>
              <w:t>Weighted public/private DPMQ × 365.25 days per year/56 days’ treatment per max qty</w:t>
            </w:r>
          </w:p>
        </w:tc>
        <w:tc>
          <w:tcPr>
            <w:tcW w:w="1701" w:type="dxa"/>
            <w:vAlign w:val="center"/>
          </w:tcPr>
          <w:p w:rsidR="00E44E44" w:rsidRPr="00931642" w:rsidRDefault="00E44E44" w:rsidP="006504C4">
            <w:pPr>
              <w:keepNext/>
              <w:widowControl/>
              <w:jc w:val="center"/>
              <w:rPr>
                <w:rFonts w:ascii="Arial Narrow" w:hAnsi="Arial Narrow"/>
                <w:sz w:val="20"/>
              </w:rPr>
            </w:pPr>
            <w:r w:rsidRPr="00931642">
              <w:rPr>
                <w:rFonts w:ascii="Arial Narrow" w:hAnsi="Arial Narrow"/>
                <w:sz w:val="20"/>
              </w:rPr>
              <w:t>$</w:t>
            </w:r>
            <w:r w:rsidRPr="00647C4B">
              <w:rPr>
                <w:rFonts w:ascii="Arial Narrow" w:hAnsi="Arial Narrow"/>
                <w:sz w:val="20"/>
              </w:rPr>
              <w:t>51,030</w:t>
            </w:r>
          </w:p>
        </w:tc>
      </w:tr>
      <w:tr w:rsidR="00E44E44" w:rsidRPr="00931642" w:rsidTr="000B0778">
        <w:tc>
          <w:tcPr>
            <w:tcW w:w="1843" w:type="dxa"/>
            <w:vAlign w:val="center"/>
          </w:tcPr>
          <w:p w:rsidR="00E44E44" w:rsidRPr="00931642" w:rsidRDefault="00E44E44" w:rsidP="006504C4">
            <w:pPr>
              <w:keepNext/>
              <w:widowControl/>
              <w:jc w:val="left"/>
              <w:rPr>
                <w:rFonts w:ascii="Arial Narrow" w:hAnsi="Arial Narrow"/>
                <w:sz w:val="20"/>
              </w:rPr>
            </w:pPr>
            <w:r w:rsidRPr="00931642">
              <w:rPr>
                <w:rFonts w:ascii="Arial Narrow" w:hAnsi="Arial Narrow"/>
                <w:sz w:val="20"/>
              </w:rPr>
              <w:t>Octreotide LAR 30mg</w:t>
            </w:r>
          </w:p>
        </w:tc>
        <w:tc>
          <w:tcPr>
            <w:tcW w:w="1411" w:type="dxa"/>
            <w:vAlign w:val="center"/>
          </w:tcPr>
          <w:p w:rsidR="00E44E44" w:rsidRPr="00931642" w:rsidRDefault="00E44E44" w:rsidP="006504C4">
            <w:pPr>
              <w:keepNext/>
              <w:widowControl/>
              <w:jc w:val="center"/>
              <w:rPr>
                <w:rFonts w:ascii="Arial Narrow" w:hAnsi="Arial Narrow"/>
                <w:sz w:val="20"/>
              </w:rPr>
            </w:pPr>
            <w:r w:rsidRPr="00931642">
              <w:rPr>
                <w:rFonts w:ascii="Arial Narrow" w:hAnsi="Arial Narrow"/>
                <w:sz w:val="20"/>
              </w:rPr>
              <w:t>$4,354.94</w:t>
            </w:r>
          </w:p>
        </w:tc>
        <w:tc>
          <w:tcPr>
            <w:tcW w:w="1412" w:type="dxa"/>
            <w:vAlign w:val="center"/>
          </w:tcPr>
          <w:p w:rsidR="00E44E44" w:rsidRPr="00931642" w:rsidRDefault="00E44E44" w:rsidP="006504C4">
            <w:pPr>
              <w:keepNext/>
              <w:widowControl/>
              <w:jc w:val="center"/>
              <w:rPr>
                <w:rFonts w:ascii="Arial Narrow" w:hAnsi="Arial Narrow"/>
                <w:sz w:val="20"/>
              </w:rPr>
            </w:pPr>
            <w:r w:rsidRPr="00931642">
              <w:rPr>
                <w:rFonts w:ascii="Arial Narrow" w:hAnsi="Arial Narrow"/>
                <w:sz w:val="20"/>
              </w:rPr>
              <w:t>$4,401.94</w:t>
            </w:r>
          </w:p>
        </w:tc>
        <w:tc>
          <w:tcPr>
            <w:tcW w:w="1996" w:type="dxa"/>
            <w:vMerge/>
          </w:tcPr>
          <w:p w:rsidR="00E44E44" w:rsidRPr="00931642" w:rsidRDefault="00E44E44" w:rsidP="006504C4">
            <w:pPr>
              <w:keepNext/>
              <w:widowControl/>
              <w:jc w:val="center"/>
              <w:rPr>
                <w:rFonts w:ascii="Arial Narrow" w:hAnsi="Arial Narrow"/>
                <w:sz w:val="20"/>
              </w:rPr>
            </w:pPr>
          </w:p>
        </w:tc>
        <w:tc>
          <w:tcPr>
            <w:tcW w:w="1701" w:type="dxa"/>
            <w:vAlign w:val="center"/>
          </w:tcPr>
          <w:p w:rsidR="00E44E44" w:rsidRPr="00931642" w:rsidRDefault="00E44E44" w:rsidP="006504C4">
            <w:pPr>
              <w:keepNext/>
              <w:widowControl/>
              <w:jc w:val="center"/>
              <w:rPr>
                <w:rFonts w:ascii="Arial Narrow" w:hAnsi="Arial Narrow"/>
                <w:sz w:val="20"/>
              </w:rPr>
            </w:pPr>
            <w:r w:rsidRPr="00931642">
              <w:rPr>
                <w:rFonts w:ascii="Arial Narrow" w:hAnsi="Arial Narrow"/>
                <w:sz w:val="20"/>
              </w:rPr>
              <w:t>$</w:t>
            </w:r>
            <w:r w:rsidRPr="00647C4B">
              <w:rPr>
                <w:rFonts w:ascii="Arial Narrow" w:hAnsi="Arial Narrow"/>
                <w:sz w:val="20"/>
              </w:rPr>
              <w:t>28,561</w:t>
            </w:r>
          </w:p>
        </w:tc>
      </w:tr>
      <w:tr w:rsidR="00E44E44" w:rsidRPr="00931642" w:rsidTr="000B0778">
        <w:tc>
          <w:tcPr>
            <w:tcW w:w="1843" w:type="dxa"/>
            <w:vAlign w:val="center"/>
          </w:tcPr>
          <w:p w:rsidR="00E44E44" w:rsidRPr="00931642" w:rsidRDefault="00E44E44" w:rsidP="006504C4">
            <w:pPr>
              <w:keepNext/>
              <w:widowControl/>
              <w:jc w:val="left"/>
              <w:rPr>
                <w:rFonts w:ascii="Arial Narrow" w:hAnsi="Arial Narrow"/>
                <w:sz w:val="20"/>
              </w:rPr>
            </w:pPr>
            <w:r w:rsidRPr="00931642">
              <w:rPr>
                <w:rFonts w:ascii="Arial Narrow" w:hAnsi="Arial Narrow"/>
                <w:sz w:val="20"/>
              </w:rPr>
              <w:t>Lanreotide ATG 120mg</w:t>
            </w:r>
          </w:p>
        </w:tc>
        <w:tc>
          <w:tcPr>
            <w:tcW w:w="1411" w:type="dxa"/>
            <w:vAlign w:val="center"/>
          </w:tcPr>
          <w:p w:rsidR="00E44E44" w:rsidRPr="00931642" w:rsidRDefault="00E44E44" w:rsidP="006504C4">
            <w:pPr>
              <w:keepNext/>
              <w:widowControl/>
              <w:jc w:val="center"/>
              <w:rPr>
                <w:rFonts w:ascii="Arial Narrow" w:hAnsi="Arial Narrow"/>
                <w:sz w:val="20"/>
              </w:rPr>
            </w:pPr>
            <w:r w:rsidRPr="00931642">
              <w:rPr>
                <w:rFonts w:ascii="Arial Narrow" w:hAnsi="Arial Narrow"/>
                <w:sz w:val="20"/>
              </w:rPr>
              <w:t>$4,256</w:t>
            </w:r>
          </w:p>
        </w:tc>
        <w:tc>
          <w:tcPr>
            <w:tcW w:w="1412" w:type="dxa"/>
            <w:vAlign w:val="center"/>
          </w:tcPr>
          <w:p w:rsidR="00E44E44" w:rsidRPr="00931642" w:rsidRDefault="00E44E44" w:rsidP="006504C4">
            <w:pPr>
              <w:keepNext/>
              <w:widowControl/>
              <w:jc w:val="center"/>
              <w:rPr>
                <w:rFonts w:ascii="Arial Narrow" w:hAnsi="Arial Narrow"/>
                <w:sz w:val="20"/>
              </w:rPr>
            </w:pPr>
            <w:r w:rsidRPr="00931642">
              <w:rPr>
                <w:rFonts w:ascii="Arial Narrow" w:hAnsi="Arial Narrow"/>
                <w:sz w:val="20"/>
              </w:rPr>
              <w:t>$4,303.02</w:t>
            </w:r>
          </w:p>
        </w:tc>
        <w:tc>
          <w:tcPr>
            <w:tcW w:w="1996" w:type="dxa"/>
            <w:vMerge/>
          </w:tcPr>
          <w:p w:rsidR="00E44E44" w:rsidRPr="00931642" w:rsidRDefault="00E44E44" w:rsidP="006504C4">
            <w:pPr>
              <w:keepNext/>
              <w:widowControl/>
              <w:jc w:val="center"/>
              <w:rPr>
                <w:rFonts w:ascii="Arial Narrow" w:hAnsi="Arial Narrow"/>
                <w:sz w:val="20"/>
              </w:rPr>
            </w:pPr>
          </w:p>
        </w:tc>
        <w:tc>
          <w:tcPr>
            <w:tcW w:w="1701" w:type="dxa"/>
            <w:vAlign w:val="center"/>
          </w:tcPr>
          <w:p w:rsidR="00E44E44" w:rsidRPr="00931642" w:rsidRDefault="00E44E44" w:rsidP="006504C4">
            <w:pPr>
              <w:keepNext/>
              <w:widowControl/>
              <w:jc w:val="center"/>
              <w:rPr>
                <w:rFonts w:ascii="Arial Narrow" w:hAnsi="Arial Narrow"/>
                <w:sz w:val="20"/>
              </w:rPr>
            </w:pPr>
            <w:r w:rsidRPr="00931642">
              <w:rPr>
                <w:rFonts w:ascii="Arial Narrow" w:hAnsi="Arial Narrow"/>
                <w:sz w:val="20"/>
              </w:rPr>
              <w:t>$</w:t>
            </w:r>
            <w:r w:rsidRPr="00647C4B">
              <w:rPr>
                <w:rFonts w:ascii="Arial Narrow" w:hAnsi="Arial Narrow"/>
                <w:sz w:val="20"/>
              </w:rPr>
              <w:t>27,915</w:t>
            </w:r>
          </w:p>
        </w:tc>
      </w:tr>
    </w:tbl>
    <w:p w:rsidR="00E44E44" w:rsidRPr="00931642" w:rsidRDefault="00E44E44" w:rsidP="006504C4">
      <w:pPr>
        <w:keepNext/>
        <w:widowControl/>
        <w:ind w:left="567" w:firstLine="142"/>
        <w:rPr>
          <w:rFonts w:ascii="Arial Narrow" w:hAnsi="Arial Narrow"/>
          <w:sz w:val="18"/>
          <w:szCs w:val="18"/>
        </w:rPr>
      </w:pPr>
      <w:r w:rsidRPr="00931642">
        <w:rPr>
          <w:rFonts w:ascii="Arial Narrow" w:hAnsi="Arial Narrow"/>
          <w:sz w:val="18"/>
          <w:szCs w:val="18"/>
        </w:rPr>
        <w:t>Abbreviations: ATG, autogel; DPMQ, dispensed price for maximum quantity; LAR, long-acting release</w:t>
      </w:r>
    </w:p>
    <w:p w:rsidR="002C1BF1" w:rsidRPr="00931642" w:rsidRDefault="00E44E44" w:rsidP="006504C4">
      <w:pPr>
        <w:widowControl/>
        <w:ind w:left="567" w:firstLine="142"/>
        <w:rPr>
          <w:rFonts w:ascii="Arial Narrow" w:hAnsi="Arial Narrow"/>
          <w:sz w:val="18"/>
          <w:szCs w:val="18"/>
        </w:rPr>
      </w:pPr>
      <w:r w:rsidRPr="00931642">
        <w:rPr>
          <w:rFonts w:ascii="Arial Narrow" w:hAnsi="Arial Narrow"/>
          <w:sz w:val="18"/>
          <w:szCs w:val="18"/>
        </w:rPr>
        <w:t>Note: Pasireotide has a flat pricing structure across all dose strengths</w:t>
      </w:r>
    </w:p>
    <w:p w:rsidR="00C569D5" w:rsidRPr="00931642" w:rsidRDefault="00C569D5" w:rsidP="006504C4">
      <w:pPr>
        <w:widowControl/>
        <w:rPr>
          <w:szCs w:val="22"/>
        </w:rPr>
      </w:pPr>
    </w:p>
    <w:p w:rsidR="00B60939" w:rsidRPr="00931642" w:rsidRDefault="00B60939" w:rsidP="006504C4">
      <w:pPr>
        <w:pStyle w:val="Heading3"/>
      </w:pPr>
      <w:bookmarkStart w:id="16" w:name="_Toc461530924"/>
      <w:r w:rsidRPr="00931642">
        <w:t>Estimated PBS usage &amp; financial implications</w:t>
      </w:r>
      <w:bookmarkEnd w:id="16"/>
    </w:p>
    <w:p w:rsidR="00B60939" w:rsidRPr="00931642" w:rsidRDefault="00B60939" w:rsidP="006504C4">
      <w:pPr>
        <w:widowControl/>
        <w:ind w:left="720" w:hanging="720"/>
        <w:rPr>
          <w:b/>
          <w:i/>
          <w:szCs w:val="22"/>
        </w:rPr>
      </w:pPr>
    </w:p>
    <w:p w:rsidR="00C25D9C" w:rsidRPr="00931642" w:rsidRDefault="006001E3" w:rsidP="006504C4">
      <w:pPr>
        <w:pStyle w:val="ListParagraph"/>
        <w:widowControl/>
        <w:numPr>
          <w:ilvl w:val="1"/>
          <w:numId w:val="6"/>
        </w:numPr>
        <w:rPr>
          <w:szCs w:val="22"/>
        </w:rPr>
      </w:pPr>
      <w:r w:rsidRPr="00931642">
        <w:t xml:space="preserve">This submission </w:t>
      </w:r>
      <w:r w:rsidR="006B48A2" w:rsidRPr="00931642">
        <w:t xml:space="preserve">was not </w:t>
      </w:r>
      <w:r w:rsidR="00C25D9C" w:rsidRPr="00931642">
        <w:t>considered by DUSC</w:t>
      </w:r>
      <w:r w:rsidR="00C25D9C" w:rsidRPr="00931642">
        <w:rPr>
          <w:color w:val="0070C0"/>
        </w:rPr>
        <w:t xml:space="preserve">. </w:t>
      </w:r>
      <w:r w:rsidRPr="00931642">
        <w:t>The submission used an epidemiological approach to estimate the extent of use and financial implications to government associated with</w:t>
      </w:r>
      <w:r w:rsidR="003B7203" w:rsidRPr="00931642">
        <w:t xml:space="preserve"> the PBS listing</w:t>
      </w:r>
      <w:r w:rsidR="00FA0A07" w:rsidRPr="00931642">
        <w:t xml:space="preserve"> of pegvisomant (Table 1</w:t>
      </w:r>
      <w:r w:rsidR="009807B4" w:rsidRPr="00931642">
        <w:t>3</w:t>
      </w:r>
      <w:r w:rsidR="003B7203" w:rsidRPr="00931642">
        <w:t>).</w:t>
      </w:r>
      <w:r w:rsidR="000A77A8" w:rsidRPr="00931642">
        <w:t>These estimates were based on the cost-effectiveness proposal in the submission, and have not been updated based on the cost-minimisation propos</w:t>
      </w:r>
      <w:r w:rsidR="000343D7" w:rsidRPr="00931642">
        <w:t>al</w:t>
      </w:r>
      <w:r w:rsidR="000A77A8" w:rsidRPr="00931642">
        <w:t xml:space="preserve"> in the pre-PBAC response.</w:t>
      </w:r>
    </w:p>
    <w:p w:rsidR="00C25D9C" w:rsidRPr="00931642" w:rsidRDefault="00C25D9C" w:rsidP="006504C4">
      <w:pPr>
        <w:widowControl/>
        <w:rPr>
          <w:szCs w:val="22"/>
        </w:rPr>
      </w:pPr>
    </w:p>
    <w:p w:rsidR="00C25D9C" w:rsidRPr="00931642" w:rsidRDefault="00C25D9C" w:rsidP="006504C4">
      <w:pPr>
        <w:keepNext/>
        <w:widowControl/>
        <w:ind w:firstLine="709"/>
        <w:rPr>
          <w:rStyle w:val="CommentReference"/>
        </w:rPr>
      </w:pPr>
      <w:r w:rsidRPr="00931642">
        <w:rPr>
          <w:rStyle w:val="CommentReference"/>
        </w:rPr>
        <w:lastRenderedPageBreak/>
        <w:t xml:space="preserve">Table </w:t>
      </w:r>
      <w:r w:rsidR="006001E3" w:rsidRPr="00931642">
        <w:rPr>
          <w:rStyle w:val="CommentReference"/>
        </w:rPr>
        <w:t>1</w:t>
      </w:r>
      <w:r w:rsidR="009807B4" w:rsidRPr="00931642">
        <w:rPr>
          <w:rStyle w:val="CommentReference"/>
        </w:rPr>
        <w:t>3</w:t>
      </w:r>
      <w:r w:rsidRPr="00931642">
        <w:rPr>
          <w:rStyle w:val="CommentReference"/>
        </w:rPr>
        <w:t>: Estimated use and financial implications</w:t>
      </w:r>
    </w:p>
    <w:tbl>
      <w:tblPr>
        <w:tblStyle w:val="TableGrid"/>
        <w:tblW w:w="4609" w:type="pct"/>
        <w:tblInd w:w="766" w:type="dxa"/>
        <w:tblLayout w:type="fixed"/>
        <w:tblCellMar>
          <w:left w:w="57" w:type="dxa"/>
          <w:right w:w="57" w:type="dxa"/>
        </w:tblCellMar>
        <w:tblLook w:val="04A0" w:firstRow="1" w:lastRow="0" w:firstColumn="1" w:lastColumn="0" w:noHBand="0" w:noVBand="1"/>
        <w:tblCaption w:val="Table 13: Estimated use and financial implications"/>
        <w:tblDescription w:val="Table 13: Estimated use and financial implications"/>
      </w:tblPr>
      <w:tblGrid>
        <w:gridCol w:w="2549"/>
        <w:gridCol w:w="1174"/>
        <w:gridCol w:w="1175"/>
        <w:gridCol w:w="1175"/>
        <w:gridCol w:w="1175"/>
        <w:gridCol w:w="1178"/>
      </w:tblGrid>
      <w:tr w:rsidR="006001E3" w:rsidRPr="00931642" w:rsidTr="00FE0E17">
        <w:trPr>
          <w:tblHeader/>
        </w:trPr>
        <w:tc>
          <w:tcPr>
            <w:tcW w:w="1513" w:type="pct"/>
            <w:vAlign w:val="center"/>
          </w:tcPr>
          <w:p w:rsidR="006001E3" w:rsidRPr="00931642" w:rsidRDefault="006001E3" w:rsidP="006504C4">
            <w:pPr>
              <w:keepNext/>
              <w:widowControl/>
              <w:jc w:val="center"/>
              <w:rPr>
                <w:rFonts w:ascii="Arial Narrow" w:hAnsi="Arial Narrow"/>
                <w:sz w:val="20"/>
              </w:rPr>
            </w:pPr>
          </w:p>
        </w:tc>
        <w:tc>
          <w:tcPr>
            <w:tcW w:w="697" w:type="pct"/>
            <w:vAlign w:val="center"/>
          </w:tcPr>
          <w:p w:rsidR="006001E3" w:rsidRPr="00931642" w:rsidRDefault="006001E3" w:rsidP="006504C4">
            <w:pPr>
              <w:keepNext/>
              <w:widowControl/>
              <w:jc w:val="center"/>
              <w:rPr>
                <w:rFonts w:ascii="Arial Narrow" w:hAnsi="Arial Narrow"/>
                <w:b/>
                <w:sz w:val="20"/>
              </w:rPr>
            </w:pPr>
            <w:r w:rsidRPr="00931642">
              <w:rPr>
                <w:rFonts w:ascii="Arial Narrow" w:hAnsi="Arial Narrow"/>
                <w:b/>
                <w:sz w:val="20"/>
              </w:rPr>
              <w:t>Year 1</w:t>
            </w:r>
          </w:p>
        </w:tc>
        <w:tc>
          <w:tcPr>
            <w:tcW w:w="697" w:type="pct"/>
            <w:vAlign w:val="center"/>
          </w:tcPr>
          <w:p w:rsidR="006001E3" w:rsidRPr="00931642" w:rsidRDefault="006001E3" w:rsidP="006504C4">
            <w:pPr>
              <w:keepNext/>
              <w:widowControl/>
              <w:jc w:val="center"/>
              <w:rPr>
                <w:rFonts w:ascii="Arial Narrow" w:hAnsi="Arial Narrow"/>
                <w:b/>
                <w:sz w:val="20"/>
              </w:rPr>
            </w:pPr>
            <w:r w:rsidRPr="00931642">
              <w:rPr>
                <w:rFonts w:ascii="Arial Narrow" w:hAnsi="Arial Narrow"/>
                <w:b/>
                <w:sz w:val="20"/>
              </w:rPr>
              <w:t>Year 2</w:t>
            </w:r>
          </w:p>
        </w:tc>
        <w:tc>
          <w:tcPr>
            <w:tcW w:w="697" w:type="pct"/>
            <w:vAlign w:val="center"/>
          </w:tcPr>
          <w:p w:rsidR="006001E3" w:rsidRPr="00931642" w:rsidRDefault="006001E3" w:rsidP="006504C4">
            <w:pPr>
              <w:keepNext/>
              <w:widowControl/>
              <w:jc w:val="center"/>
              <w:rPr>
                <w:rFonts w:ascii="Arial Narrow" w:hAnsi="Arial Narrow"/>
                <w:b/>
                <w:sz w:val="20"/>
              </w:rPr>
            </w:pPr>
            <w:r w:rsidRPr="00931642">
              <w:rPr>
                <w:rFonts w:ascii="Arial Narrow" w:hAnsi="Arial Narrow"/>
                <w:b/>
                <w:sz w:val="20"/>
              </w:rPr>
              <w:t xml:space="preserve">Year 3 </w:t>
            </w:r>
          </w:p>
        </w:tc>
        <w:tc>
          <w:tcPr>
            <w:tcW w:w="697" w:type="pct"/>
            <w:vAlign w:val="center"/>
          </w:tcPr>
          <w:p w:rsidR="006001E3" w:rsidRPr="00931642" w:rsidRDefault="006001E3" w:rsidP="006504C4">
            <w:pPr>
              <w:keepNext/>
              <w:widowControl/>
              <w:jc w:val="center"/>
              <w:rPr>
                <w:rFonts w:ascii="Arial Narrow" w:hAnsi="Arial Narrow"/>
                <w:b/>
                <w:sz w:val="20"/>
              </w:rPr>
            </w:pPr>
            <w:r w:rsidRPr="00931642">
              <w:rPr>
                <w:rFonts w:ascii="Arial Narrow" w:hAnsi="Arial Narrow"/>
                <w:b/>
                <w:sz w:val="20"/>
              </w:rPr>
              <w:t>Year 4</w:t>
            </w:r>
          </w:p>
        </w:tc>
        <w:tc>
          <w:tcPr>
            <w:tcW w:w="699" w:type="pct"/>
            <w:vAlign w:val="center"/>
          </w:tcPr>
          <w:p w:rsidR="006001E3" w:rsidRPr="00931642" w:rsidRDefault="006001E3" w:rsidP="006504C4">
            <w:pPr>
              <w:keepNext/>
              <w:widowControl/>
              <w:jc w:val="center"/>
              <w:rPr>
                <w:rFonts w:ascii="Arial Narrow" w:hAnsi="Arial Narrow"/>
                <w:b/>
                <w:sz w:val="20"/>
              </w:rPr>
            </w:pPr>
            <w:r w:rsidRPr="00931642">
              <w:rPr>
                <w:rFonts w:ascii="Arial Narrow" w:hAnsi="Arial Narrow"/>
                <w:b/>
                <w:sz w:val="20"/>
              </w:rPr>
              <w:t>Year 5</w:t>
            </w:r>
          </w:p>
        </w:tc>
      </w:tr>
      <w:tr w:rsidR="006001E3" w:rsidRPr="00931642" w:rsidTr="00263F07">
        <w:tc>
          <w:tcPr>
            <w:tcW w:w="5000" w:type="pct"/>
            <w:gridSpan w:val="6"/>
            <w:vAlign w:val="center"/>
          </w:tcPr>
          <w:p w:rsidR="006001E3" w:rsidRPr="00931642" w:rsidRDefault="006001E3" w:rsidP="006504C4">
            <w:pPr>
              <w:pStyle w:val="COMtbl-textCentred"/>
              <w:keepNext/>
              <w:widowControl/>
              <w:jc w:val="left"/>
            </w:pPr>
            <w:r w:rsidRPr="00931642">
              <w:rPr>
                <w:b/>
              </w:rPr>
              <w:t>Estimated pegvisomant use</w:t>
            </w:r>
          </w:p>
        </w:tc>
      </w:tr>
      <w:tr w:rsidR="006001E3" w:rsidRPr="00931642" w:rsidTr="00FE0E17">
        <w:tc>
          <w:tcPr>
            <w:tcW w:w="1513" w:type="pct"/>
            <w:vAlign w:val="center"/>
          </w:tcPr>
          <w:p w:rsidR="006001E3" w:rsidRPr="00931642" w:rsidRDefault="006001E3" w:rsidP="006504C4">
            <w:pPr>
              <w:keepNext/>
              <w:widowControl/>
              <w:jc w:val="left"/>
              <w:rPr>
                <w:rFonts w:ascii="Arial Narrow" w:hAnsi="Arial Narrow"/>
                <w:sz w:val="20"/>
                <w:vertAlign w:val="superscript"/>
              </w:rPr>
            </w:pPr>
            <w:r w:rsidRPr="00931642">
              <w:rPr>
                <w:rFonts w:ascii="Arial Narrow" w:hAnsi="Arial Narrow"/>
                <w:sz w:val="20"/>
              </w:rPr>
              <w:t>Total packs (including loading dose)</w:t>
            </w:r>
            <w:r w:rsidR="000B0778" w:rsidRPr="00931642">
              <w:rPr>
                <w:rFonts w:ascii="Arial Narrow" w:hAnsi="Arial Narrow"/>
                <w:sz w:val="20"/>
              </w:rPr>
              <w:t xml:space="preserve"> </w:t>
            </w:r>
            <w:r w:rsidR="000B0778" w:rsidRPr="00931642">
              <w:rPr>
                <w:rFonts w:ascii="Arial Narrow" w:hAnsi="Arial Narrow"/>
                <w:sz w:val="20"/>
                <w:vertAlign w:val="superscript"/>
              </w:rPr>
              <w:t>a</w:t>
            </w:r>
          </w:p>
        </w:tc>
        <w:tc>
          <w:tcPr>
            <w:tcW w:w="697" w:type="pct"/>
            <w:vAlign w:val="center"/>
          </w:tcPr>
          <w:p w:rsidR="006001E3" w:rsidRPr="00356AF3" w:rsidRDefault="00356AF3" w:rsidP="006504C4">
            <w:pPr>
              <w:pStyle w:val="COMtbl-textCentred"/>
              <w:keepNext/>
              <w:widowControl/>
              <w:rPr>
                <w:highlight w:val="black"/>
              </w:rPr>
            </w:pPr>
            <w:r>
              <w:rPr>
                <w:noProof/>
                <w:color w:val="000000"/>
                <w:highlight w:val="black"/>
              </w:rPr>
              <w:t>''''''''''''</w:t>
            </w:r>
          </w:p>
        </w:tc>
        <w:tc>
          <w:tcPr>
            <w:tcW w:w="697" w:type="pct"/>
            <w:vAlign w:val="center"/>
          </w:tcPr>
          <w:p w:rsidR="006001E3" w:rsidRPr="00356AF3" w:rsidRDefault="00356AF3" w:rsidP="006504C4">
            <w:pPr>
              <w:pStyle w:val="COMtbl-textCentred"/>
              <w:keepNext/>
              <w:widowControl/>
              <w:rPr>
                <w:b/>
                <w:highlight w:val="black"/>
              </w:rPr>
            </w:pPr>
            <w:r>
              <w:rPr>
                <w:noProof/>
                <w:color w:val="000000"/>
                <w:highlight w:val="black"/>
              </w:rPr>
              <w:t>'''''''''''''</w:t>
            </w:r>
          </w:p>
        </w:tc>
        <w:tc>
          <w:tcPr>
            <w:tcW w:w="697" w:type="pct"/>
            <w:vAlign w:val="center"/>
          </w:tcPr>
          <w:p w:rsidR="006001E3" w:rsidRPr="00356AF3" w:rsidRDefault="00356AF3" w:rsidP="006504C4">
            <w:pPr>
              <w:pStyle w:val="COMtbl-textCentred"/>
              <w:keepNext/>
              <w:widowControl/>
              <w:rPr>
                <w:b/>
                <w:highlight w:val="black"/>
              </w:rPr>
            </w:pPr>
            <w:r>
              <w:rPr>
                <w:noProof/>
                <w:color w:val="000000"/>
                <w:highlight w:val="black"/>
              </w:rPr>
              <w:t>''''''''''''</w:t>
            </w:r>
          </w:p>
        </w:tc>
        <w:tc>
          <w:tcPr>
            <w:tcW w:w="697" w:type="pct"/>
            <w:vAlign w:val="center"/>
          </w:tcPr>
          <w:p w:rsidR="006001E3" w:rsidRPr="00356AF3" w:rsidRDefault="00356AF3" w:rsidP="006504C4">
            <w:pPr>
              <w:pStyle w:val="COMtbl-textCentred"/>
              <w:keepNext/>
              <w:widowControl/>
              <w:rPr>
                <w:b/>
                <w:highlight w:val="black"/>
              </w:rPr>
            </w:pPr>
            <w:r>
              <w:rPr>
                <w:noProof/>
                <w:color w:val="000000"/>
                <w:highlight w:val="black"/>
              </w:rPr>
              <w:t>''''''''''''</w:t>
            </w:r>
          </w:p>
        </w:tc>
        <w:tc>
          <w:tcPr>
            <w:tcW w:w="699" w:type="pct"/>
            <w:vAlign w:val="center"/>
          </w:tcPr>
          <w:p w:rsidR="006001E3" w:rsidRPr="00356AF3" w:rsidRDefault="00356AF3" w:rsidP="006504C4">
            <w:pPr>
              <w:pStyle w:val="COMtbl-textCentred"/>
              <w:keepNext/>
              <w:widowControl/>
              <w:rPr>
                <w:b/>
                <w:highlight w:val="black"/>
              </w:rPr>
            </w:pPr>
            <w:r>
              <w:rPr>
                <w:noProof/>
                <w:color w:val="000000"/>
                <w:highlight w:val="black"/>
              </w:rPr>
              <w:t>'''''''''''</w:t>
            </w:r>
          </w:p>
        </w:tc>
      </w:tr>
      <w:tr w:rsidR="006001E3" w:rsidRPr="00931642" w:rsidTr="00FE0E17">
        <w:tc>
          <w:tcPr>
            <w:tcW w:w="1513" w:type="pct"/>
            <w:vAlign w:val="center"/>
          </w:tcPr>
          <w:p w:rsidR="006001E3" w:rsidRPr="00931642" w:rsidRDefault="006001E3" w:rsidP="006504C4">
            <w:pPr>
              <w:keepNext/>
              <w:widowControl/>
              <w:jc w:val="left"/>
              <w:rPr>
                <w:rFonts w:ascii="Arial Narrow" w:hAnsi="Arial Narrow"/>
                <w:sz w:val="20"/>
              </w:rPr>
            </w:pPr>
            <w:r w:rsidRPr="00931642">
              <w:rPr>
                <w:rFonts w:ascii="Arial Narrow" w:hAnsi="Arial Narrow"/>
                <w:sz w:val="20"/>
              </w:rPr>
              <w:t>Cost to the PBS/RPBS</w:t>
            </w:r>
          </w:p>
        </w:tc>
        <w:tc>
          <w:tcPr>
            <w:tcW w:w="697" w:type="pct"/>
            <w:shd w:val="clear" w:color="auto" w:fill="auto"/>
            <w:vAlign w:val="center"/>
          </w:tcPr>
          <w:p w:rsidR="006001E3" w:rsidRPr="00931642" w:rsidRDefault="006001E3" w:rsidP="006504C4">
            <w:pPr>
              <w:pStyle w:val="COMtbl-textCentred"/>
              <w:keepNext/>
              <w:widowControl/>
            </w:pPr>
            <w:r w:rsidRPr="00931642">
              <w:rPr>
                <w:bCs/>
              </w:rPr>
              <w:t>$</w:t>
            </w:r>
            <w:r w:rsidR="00356AF3">
              <w:rPr>
                <w:bCs/>
                <w:noProof/>
                <w:color w:val="000000"/>
                <w:highlight w:val="black"/>
              </w:rPr>
              <w:t>'''''''''''''''''''''''''''''</w:t>
            </w:r>
          </w:p>
        </w:tc>
        <w:tc>
          <w:tcPr>
            <w:tcW w:w="697" w:type="pct"/>
            <w:shd w:val="clear" w:color="auto" w:fill="auto"/>
            <w:vAlign w:val="center"/>
          </w:tcPr>
          <w:p w:rsidR="006001E3" w:rsidRPr="00931642" w:rsidRDefault="006001E3" w:rsidP="006504C4">
            <w:pPr>
              <w:pStyle w:val="COMtbl-textCentred"/>
              <w:keepNext/>
              <w:widowControl/>
            </w:pPr>
            <w:r w:rsidRPr="00931642">
              <w:rPr>
                <w:bCs/>
              </w:rPr>
              <w:t>$</w:t>
            </w:r>
            <w:r w:rsidR="00356AF3">
              <w:rPr>
                <w:bCs/>
                <w:noProof/>
                <w:color w:val="000000"/>
                <w:highlight w:val="black"/>
              </w:rPr>
              <w:t>'''''''''''''''''''''''</w:t>
            </w:r>
          </w:p>
        </w:tc>
        <w:tc>
          <w:tcPr>
            <w:tcW w:w="697" w:type="pct"/>
            <w:shd w:val="clear" w:color="auto" w:fill="auto"/>
            <w:vAlign w:val="center"/>
          </w:tcPr>
          <w:p w:rsidR="006001E3" w:rsidRPr="00931642" w:rsidRDefault="006001E3" w:rsidP="006504C4">
            <w:pPr>
              <w:pStyle w:val="COMtbl-textCentred"/>
              <w:keepNext/>
              <w:widowControl/>
            </w:pPr>
            <w:r w:rsidRPr="00931642">
              <w:rPr>
                <w:bCs/>
              </w:rPr>
              <w:t>$</w:t>
            </w:r>
            <w:r w:rsidR="00356AF3">
              <w:rPr>
                <w:bCs/>
                <w:noProof/>
                <w:color w:val="000000"/>
                <w:highlight w:val="black"/>
              </w:rPr>
              <w:t>'''''''''''''''''''''''''''</w:t>
            </w:r>
          </w:p>
        </w:tc>
        <w:tc>
          <w:tcPr>
            <w:tcW w:w="697" w:type="pct"/>
            <w:shd w:val="clear" w:color="auto" w:fill="auto"/>
            <w:vAlign w:val="center"/>
          </w:tcPr>
          <w:p w:rsidR="006001E3" w:rsidRPr="00931642" w:rsidRDefault="006001E3" w:rsidP="006504C4">
            <w:pPr>
              <w:pStyle w:val="COMtbl-textCentred"/>
              <w:keepNext/>
              <w:widowControl/>
            </w:pPr>
            <w:r w:rsidRPr="00931642">
              <w:rPr>
                <w:bCs/>
              </w:rPr>
              <w:t>$</w:t>
            </w:r>
            <w:r w:rsidR="00356AF3">
              <w:rPr>
                <w:bCs/>
                <w:noProof/>
                <w:color w:val="000000"/>
                <w:highlight w:val="black"/>
              </w:rPr>
              <w:t>'''''''''''''''''''''''''''''</w:t>
            </w:r>
          </w:p>
        </w:tc>
        <w:tc>
          <w:tcPr>
            <w:tcW w:w="699" w:type="pct"/>
            <w:shd w:val="clear" w:color="auto" w:fill="auto"/>
            <w:vAlign w:val="center"/>
          </w:tcPr>
          <w:p w:rsidR="006001E3" w:rsidRPr="00931642" w:rsidRDefault="006001E3" w:rsidP="006504C4">
            <w:pPr>
              <w:pStyle w:val="COMtbl-textCentred"/>
              <w:keepNext/>
              <w:widowControl/>
            </w:pPr>
            <w:r w:rsidRPr="00931642">
              <w:rPr>
                <w:bCs/>
              </w:rPr>
              <w:t>$</w:t>
            </w:r>
            <w:r w:rsidR="00356AF3">
              <w:rPr>
                <w:bCs/>
                <w:noProof/>
                <w:color w:val="000000"/>
                <w:highlight w:val="black"/>
              </w:rPr>
              <w:t>''''''''''''''''''''''''''</w:t>
            </w:r>
          </w:p>
        </w:tc>
      </w:tr>
      <w:tr w:rsidR="006001E3" w:rsidRPr="00931642" w:rsidTr="00263F07">
        <w:tc>
          <w:tcPr>
            <w:tcW w:w="5000" w:type="pct"/>
            <w:gridSpan w:val="6"/>
            <w:vAlign w:val="center"/>
          </w:tcPr>
          <w:p w:rsidR="006001E3" w:rsidRPr="00931642" w:rsidRDefault="006001E3" w:rsidP="006504C4">
            <w:pPr>
              <w:pStyle w:val="COMtbl-textCentred"/>
              <w:keepNext/>
              <w:widowControl/>
              <w:jc w:val="left"/>
              <w:rPr>
                <w:b/>
              </w:rPr>
            </w:pPr>
            <w:r w:rsidRPr="00931642">
              <w:rPr>
                <w:b/>
              </w:rPr>
              <w:t>Cost saving from substitution of other treatments</w:t>
            </w:r>
          </w:p>
        </w:tc>
      </w:tr>
      <w:tr w:rsidR="006001E3" w:rsidRPr="00931642" w:rsidTr="00FE0E17">
        <w:tc>
          <w:tcPr>
            <w:tcW w:w="1513" w:type="pct"/>
            <w:vAlign w:val="center"/>
          </w:tcPr>
          <w:p w:rsidR="006001E3" w:rsidRPr="00931642" w:rsidRDefault="006001E3" w:rsidP="006504C4">
            <w:pPr>
              <w:pStyle w:val="KMC16-Tablecontent"/>
              <w:keepNext/>
              <w:spacing w:before="0" w:after="0"/>
              <w:jc w:val="left"/>
              <w:rPr>
                <w:szCs w:val="20"/>
                <w:lang w:val="en-AU"/>
              </w:rPr>
            </w:pPr>
            <w:r w:rsidRPr="00931642">
              <w:rPr>
                <w:szCs w:val="20"/>
                <w:lang w:val="en-AU"/>
              </w:rPr>
              <w:t>Reduction in cost to the PBS/RPBS</w:t>
            </w:r>
            <w:r w:rsidR="00B43A0F" w:rsidRPr="00931642">
              <w:rPr>
                <w:szCs w:val="20"/>
                <w:lang w:val="en-AU"/>
              </w:rPr>
              <w:t xml:space="preserve"> of octreotide/</w:t>
            </w:r>
            <w:r w:rsidR="00EF2E64" w:rsidRPr="00931642">
              <w:rPr>
                <w:szCs w:val="20"/>
                <w:lang w:val="en-AU"/>
              </w:rPr>
              <w:t xml:space="preserve"> </w:t>
            </w:r>
            <w:r w:rsidR="00B43A0F" w:rsidRPr="00931642">
              <w:rPr>
                <w:szCs w:val="20"/>
                <w:lang w:val="en-AU"/>
              </w:rPr>
              <w:t>lanreotide and pasireotide</w:t>
            </w:r>
          </w:p>
        </w:tc>
        <w:tc>
          <w:tcPr>
            <w:tcW w:w="697" w:type="pct"/>
            <w:vAlign w:val="center"/>
          </w:tcPr>
          <w:p w:rsidR="006001E3" w:rsidRPr="00931642" w:rsidRDefault="006001E3" w:rsidP="006504C4">
            <w:pPr>
              <w:pStyle w:val="COMtbl-textCentred"/>
              <w:keepNext/>
              <w:widowControl/>
            </w:pPr>
            <w:r w:rsidRPr="00931642">
              <w:t>$</w:t>
            </w:r>
            <w:r w:rsidR="00356AF3">
              <w:rPr>
                <w:noProof/>
                <w:color w:val="000000"/>
                <w:highlight w:val="black"/>
              </w:rPr>
              <w:t>''''''''''''''''''''''</w:t>
            </w:r>
          </w:p>
        </w:tc>
        <w:tc>
          <w:tcPr>
            <w:tcW w:w="697" w:type="pct"/>
            <w:vAlign w:val="center"/>
          </w:tcPr>
          <w:p w:rsidR="006001E3" w:rsidRPr="00931642" w:rsidRDefault="006001E3" w:rsidP="006504C4">
            <w:pPr>
              <w:pStyle w:val="COMtbl-textCentred"/>
              <w:keepNext/>
              <w:widowControl/>
            </w:pPr>
            <w:r w:rsidRPr="00931642">
              <w:t>$</w:t>
            </w:r>
            <w:r w:rsidR="00356AF3">
              <w:rPr>
                <w:noProof/>
                <w:color w:val="000000"/>
                <w:highlight w:val="black"/>
              </w:rPr>
              <w:t>''''''''''''''''''''''''''</w:t>
            </w:r>
          </w:p>
        </w:tc>
        <w:tc>
          <w:tcPr>
            <w:tcW w:w="697" w:type="pct"/>
            <w:vAlign w:val="center"/>
          </w:tcPr>
          <w:p w:rsidR="006001E3" w:rsidRPr="00931642" w:rsidRDefault="006001E3" w:rsidP="006504C4">
            <w:pPr>
              <w:pStyle w:val="COMtbl-textCentred"/>
              <w:keepNext/>
              <w:widowControl/>
            </w:pPr>
            <w:r w:rsidRPr="00931642">
              <w:t>$</w:t>
            </w:r>
            <w:r w:rsidR="00356AF3">
              <w:rPr>
                <w:noProof/>
                <w:color w:val="000000"/>
                <w:highlight w:val="black"/>
              </w:rPr>
              <w:t>''''''''''''''''''''''</w:t>
            </w:r>
          </w:p>
        </w:tc>
        <w:tc>
          <w:tcPr>
            <w:tcW w:w="697" w:type="pct"/>
            <w:vAlign w:val="center"/>
          </w:tcPr>
          <w:p w:rsidR="006001E3" w:rsidRPr="00931642" w:rsidRDefault="006001E3" w:rsidP="006504C4">
            <w:pPr>
              <w:pStyle w:val="COMtbl-textCentred"/>
              <w:keepNext/>
              <w:widowControl/>
            </w:pPr>
            <w:r w:rsidRPr="00931642">
              <w:t>$</w:t>
            </w:r>
            <w:r w:rsidR="00356AF3">
              <w:rPr>
                <w:noProof/>
                <w:color w:val="000000"/>
                <w:highlight w:val="black"/>
              </w:rPr>
              <w:t>'''''''''''''''''''''''''</w:t>
            </w:r>
          </w:p>
        </w:tc>
        <w:tc>
          <w:tcPr>
            <w:tcW w:w="699" w:type="pct"/>
            <w:vAlign w:val="center"/>
          </w:tcPr>
          <w:p w:rsidR="006001E3" w:rsidRPr="00931642" w:rsidRDefault="006001E3" w:rsidP="006504C4">
            <w:pPr>
              <w:pStyle w:val="COMtbl-textCentred"/>
              <w:keepNext/>
              <w:widowControl/>
            </w:pPr>
            <w:r w:rsidRPr="00931642">
              <w:t>$</w:t>
            </w:r>
            <w:r w:rsidR="00356AF3">
              <w:rPr>
                <w:noProof/>
                <w:color w:val="000000"/>
                <w:highlight w:val="black"/>
              </w:rPr>
              <w:t>'''''''''''''''''''''''</w:t>
            </w:r>
          </w:p>
        </w:tc>
      </w:tr>
      <w:tr w:rsidR="006001E3" w:rsidRPr="00931642" w:rsidTr="00263F07">
        <w:tc>
          <w:tcPr>
            <w:tcW w:w="5000" w:type="pct"/>
            <w:gridSpan w:val="6"/>
            <w:vAlign w:val="center"/>
          </w:tcPr>
          <w:p w:rsidR="006001E3" w:rsidRPr="00931642" w:rsidRDefault="006001E3" w:rsidP="006504C4">
            <w:pPr>
              <w:pStyle w:val="COMtbl-textCentred"/>
              <w:keepNext/>
              <w:widowControl/>
              <w:jc w:val="left"/>
              <w:rPr>
                <w:b/>
              </w:rPr>
            </w:pPr>
            <w:r w:rsidRPr="00931642">
              <w:rPr>
                <w:b/>
              </w:rPr>
              <w:t>Net cost of listing pegvisomant on the PBS/RPBS</w:t>
            </w:r>
          </w:p>
        </w:tc>
      </w:tr>
      <w:tr w:rsidR="006001E3" w:rsidRPr="00931642" w:rsidTr="00FE0E17">
        <w:tc>
          <w:tcPr>
            <w:tcW w:w="1513" w:type="pct"/>
            <w:vAlign w:val="center"/>
          </w:tcPr>
          <w:p w:rsidR="006001E3" w:rsidRPr="00931642" w:rsidRDefault="003D6987" w:rsidP="006504C4">
            <w:pPr>
              <w:pStyle w:val="COMtbl-textLeftAligned"/>
              <w:keepNext/>
              <w:widowControl/>
            </w:pPr>
            <w:r w:rsidRPr="00931642">
              <w:t>Net cost to PBS (less co</w:t>
            </w:r>
            <w:r w:rsidRPr="00931642">
              <w:noBreakHyphen/>
            </w:r>
            <w:r w:rsidR="006001E3" w:rsidRPr="00931642">
              <w:t>payments)</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lang w:val="en-AU"/>
              </w:rPr>
              <w:t>$</w:t>
            </w:r>
            <w:r w:rsidR="00356AF3">
              <w:rPr>
                <w:noProof/>
                <w:highlight w:val="black"/>
                <w:lang w:val="en-AU"/>
              </w:rPr>
              <w:t>''''''''''''''''''''''</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lang w:val="en-AU"/>
              </w:rPr>
              <w:t>$</w:t>
            </w:r>
            <w:r w:rsidR="00356AF3">
              <w:rPr>
                <w:noProof/>
                <w:highlight w:val="black"/>
                <w:lang w:val="en-AU"/>
              </w:rPr>
              <w:t>'''''''''''''''''''''''</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lang w:val="en-AU"/>
              </w:rPr>
              <w:t>$</w:t>
            </w:r>
            <w:r w:rsidR="00356AF3">
              <w:rPr>
                <w:noProof/>
                <w:highlight w:val="black"/>
                <w:lang w:val="en-AU"/>
              </w:rPr>
              <w:t>''''''''''''''''''''''''''</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lang w:val="en-AU"/>
              </w:rPr>
              <w:t>$</w:t>
            </w:r>
            <w:r w:rsidR="00356AF3">
              <w:rPr>
                <w:noProof/>
                <w:highlight w:val="black"/>
                <w:lang w:val="en-AU"/>
              </w:rPr>
              <w:t>'''''''''''''''''''''''''</w:t>
            </w:r>
          </w:p>
        </w:tc>
        <w:tc>
          <w:tcPr>
            <w:tcW w:w="699"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lang w:val="en-AU"/>
              </w:rPr>
              <w:t>$</w:t>
            </w:r>
            <w:r w:rsidR="00356AF3">
              <w:rPr>
                <w:noProof/>
                <w:highlight w:val="black"/>
                <w:lang w:val="en-AU"/>
              </w:rPr>
              <w:t>'''''''''''''''''''''''</w:t>
            </w:r>
          </w:p>
        </w:tc>
      </w:tr>
      <w:tr w:rsidR="006001E3" w:rsidRPr="00931642" w:rsidTr="00263F07">
        <w:tc>
          <w:tcPr>
            <w:tcW w:w="5000" w:type="pct"/>
            <w:gridSpan w:val="6"/>
            <w:vAlign w:val="center"/>
          </w:tcPr>
          <w:p w:rsidR="006001E3" w:rsidRPr="00931642" w:rsidRDefault="006001E3" w:rsidP="006504C4">
            <w:pPr>
              <w:pStyle w:val="COMtbl-textLeftAligned"/>
              <w:keepNext/>
              <w:widowControl/>
              <w:rPr>
                <w:b/>
              </w:rPr>
            </w:pPr>
            <w:r w:rsidRPr="00931642">
              <w:rPr>
                <w:b/>
              </w:rPr>
              <w:t>Medicare costs associated with pegvisomant listing</w:t>
            </w:r>
          </w:p>
        </w:tc>
      </w:tr>
      <w:tr w:rsidR="006001E3" w:rsidRPr="00931642" w:rsidTr="00FE0E17">
        <w:tc>
          <w:tcPr>
            <w:tcW w:w="1513" w:type="pct"/>
            <w:vAlign w:val="center"/>
          </w:tcPr>
          <w:p w:rsidR="006001E3" w:rsidRPr="00931642" w:rsidRDefault="006001E3" w:rsidP="006504C4">
            <w:pPr>
              <w:pStyle w:val="COMtbl-textLeftAligned"/>
              <w:keepNext/>
              <w:widowControl/>
            </w:pPr>
            <w:r w:rsidRPr="00931642">
              <w:t>Pegvisomant monitoring costs</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c>
          <w:tcPr>
            <w:tcW w:w="699"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r>
      <w:tr w:rsidR="006001E3" w:rsidRPr="00931642" w:rsidTr="00FE0E17">
        <w:tc>
          <w:tcPr>
            <w:tcW w:w="1513" w:type="pct"/>
            <w:vAlign w:val="center"/>
          </w:tcPr>
          <w:p w:rsidR="006001E3" w:rsidRPr="00931642" w:rsidRDefault="006001E3" w:rsidP="006504C4">
            <w:pPr>
              <w:pStyle w:val="COMtbl-textLeftAligned"/>
              <w:keepNext/>
              <w:widowControl/>
            </w:pPr>
            <w:r w:rsidRPr="00931642">
              <w:t>Reduction in octreotide/</w:t>
            </w:r>
            <w:r w:rsidR="003D6987" w:rsidRPr="00931642">
              <w:t xml:space="preserve"> </w:t>
            </w:r>
            <w:r w:rsidRPr="00931642">
              <w:t>lanreotide monitoring costs</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c>
          <w:tcPr>
            <w:tcW w:w="699"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r>
      <w:tr w:rsidR="006001E3" w:rsidRPr="00931642" w:rsidTr="00FE0E17">
        <w:tc>
          <w:tcPr>
            <w:tcW w:w="1513" w:type="pct"/>
            <w:vAlign w:val="center"/>
          </w:tcPr>
          <w:p w:rsidR="006001E3" w:rsidRPr="00931642" w:rsidRDefault="006001E3" w:rsidP="006504C4">
            <w:pPr>
              <w:pStyle w:val="COMtbl-textLeftAligned"/>
              <w:keepNext/>
              <w:widowControl/>
            </w:pPr>
            <w:r w:rsidRPr="00931642">
              <w:t>Reduction in pasireotide monitoring costs</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c>
          <w:tcPr>
            <w:tcW w:w="697"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c>
          <w:tcPr>
            <w:tcW w:w="699" w:type="pct"/>
            <w:shd w:val="clear" w:color="auto" w:fill="auto"/>
            <w:vAlign w:val="center"/>
          </w:tcPr>
          <w:p w:rsidR="006001E3" w:rsidRPr="00931642" w:rsidRDefault="006001E3" w:rsidP="006504C4">
            <w:pPr>
              <w:pStyle w:val="KMC16-Tablecontent"/>
              <w:keepNext/>
              <w:spacing w:before="0" w:after="0"/>
              <w:rPr>
                <w:szCs w:val="20"/>
                <w:lang w:val="en-AU"/>
              </w:rPr>
            </w:pPr>
            <w:r w:rsidRPr="00931642">
              <w:rPr>
                <w:szCs w:val="20"/>
                <w:lang w:val="en-AU"/>
              </w:rPr>
              <w:t>-$</w:t>
            </w:r>
            <w:r w:rsidR="00356AF3">
              <w:rPr>
                <w:noProof/>
                <w:szCs w:val="20"/>
                <w:highlight w:val="black"/>
                <w:lang w:val="en-AU"/>
              </w:rPr>
              <w:t>'''''''''''''''''</w:t>
            </w:r>
          </w:p>
        </w:tc>
      </w:tr>
      <w:tr w:rsidR="006001E3" w:rsidRPr="00931642" w:rsidTr="00263F07">
        <w:tc>
          <w:tcPr>
            <w:tcW w:w="5000" w:type="pct"/>
            <w:gridSpan w:val="6"/>
            <w:vAlign w:val="center"/>
          </w:tcPr>
          <w:p w:rsidR="006001E3" w:rsidRPr="00931642" w:rsidRDefault="006001E3" w:rsidP="006504C4">
            <w:pPr>
              <w:pStyle w:val="COMtbl-textLeftAligned"/>
              <w:keepNext/>
              <w:widowControl/>
              <w:rPr>
                <w:b/>
              </w:rPr>
            </w:pPr>
            <w:r w:rsidRPr="00931642">
              <w:rPr>
                <w:b/>
              </w:rPr>
              <w:t xml:space="preserve">Total </w:t>
            </w:r>
          </w:p>
        </w:tc>
      </w:tr>
      <w:tr w:rsidR="006001E3" w:rsidRPr="00931642" w:rsidTr="00FE0E17">
        <w:tc>
          <w:tcPr>
            <w:tcW w:w="1513" w:type="pct"/>
            <w:vAlign w:val="center"/>
          </w:tcPr>
          <w:p w:rsidR="006001E3" w:rsidRPr="00931642" w:rsidRDefault="006001E3" w:rsidP="006504C4">
            <w:pPr>
              <w:pStyle w:val="COMtbl-textLeftAligned"/>
              <w:keepNext/>
              <w:widowControl/>
            </w:pPr>
            <w:r w:rsidRPr="00931642">
              <w:t>Net cost to government</w:t>
            </w:r>
          </w:p>
        </w:tc>
        <w:tc>
          <w:tcPr>
            <w:tcW w:w="697" w:type="pct"/>
            <w:shd w:val="clear" w:color="auto" w:fill="auto"/>
          </w:tcPr>
          <w:p w:rsidR="006001E3" w:rsidRPr="00931642" w:rsidRDefault="006001E3" w:rsidP="006504C4">
            <w:pPr>
              <w:pStyle w:val="COMtbl-textLeftAligned"/>
              <w:keepNext/>
              <w:widowControl/>
              <w:jc w:val="center"/>
            </w:pPr>
            <w:r w:rsidRPr="00931642">
              <w:t>$</w:t>
            </w:r>
            <w:r w:rsidR="00356AF3">
              <w:rPr>
                <w:noProof/>
                <w:color w:val="000000"/>
                <w:highlight w:val="black"/>
              </w:rPr>
              <w:t>''''''''''''''''''''''</w:t>
            </w:r>
          </w:p>
        </w:tc>
        <w:tc>
          <w:tcPr>
            <w:tcW w:w="697" w:type="pct"/>
            <w:shd w:val="clear" w:color="auto" w:fill="auto"/>
          </w:tcPr>
          <w:p w:rsidR="006001E3" w:rsidRPr="00931642" w:rsidRDefault="006001E3" w:rsidP="006504C4">
            <w:pPr>
              <w:pStyle w:val="COMtbl-textLeftAligned"/>
              <w:keepNext/>
              <w:widowControl/>
              <w:jc w:val="center"/>
            </w:pPr>
            <w:r w:rsidRPr="00931642">
              <w:t>$</w:t>
            </w:r>
            <w:r w:rsidR="00356AF3">
              <w:rPr>
                <w:noProof/>
                <w:color w:val="000000"/>
                <w:highlight w:val="black"/>
              </w:rPr>
              <w:t>'''''''''''''''''''''''''</w:t>
            </w:r>
          </w:p>
        </w:tc>
        <w:tc>
          <w:tcPr>
            <w:tcW w:w="697" w:type="pct"/>
            <w:shd w:val="clear" w:color="auto" w:fill="auto"/>
          </w:tcPr>
          <w:p w:rsidR="006001E3" w:rsidRPr="00931642" w:rsidRDefault="006001E3" w:rsidP="006504C4">
            <w:pPr>
              <w:pStyle w:val="COMtbl-textLeftAligned"/>
              <w:keepNext/>
              <w:widowControl/>
              <w:jc w:val="center"/>
            </w:pPr>
            <w:r w:rsidRPr="00931642">
              <w:t>$</w:t>
            </w:r>
            <w:r w:rsidR="00356AF3">
              <w:rPr>
                <w:noProof/>
                <w:color w:val="000000"/>
                <w:highlight w:val="black"/>
              </w:rPr>
              <w:t>'''''''''''''''''''''''</w:t>
            </w:r>
          </w:p>
        </w:tc>
        <w:tc>
          <w:tcPr>
            <w:tcW w:w="697" w:type="pct"/>
            <w:shd w:val="clear" w:color="auto" w:fill="auto"/>
          </w:tcPr>
          <w:p w:rsidR="006001E3" w:rsidRPr="00931642" w:rsidRDefault="006001E3" w:rsidP="006504C4">
            <w:pPr>
              <w:pStyle w:val="COMtbl-textLeftAligned"/>
              <w:keepNext/>
              <w:widowControl/>
              <w:jc w:val="center"/>
            </w:pPr>
            <w:r w:rsidRPr="00931642">
              <w:t>$</w:t>
            </w:r>
            <w:r w:rsidR="00356AF3">
              <w:rPr>
                <w:noProof/>
                <w:color w:val="000000"/>
                <w:highlight w:val="black"/>
              </w:rPr>
              <w:t>''''''''''''''''''''''</w:t>
            </w:r>
          </w:p>
        </w:tc>
        <w:tc>
          <w:tcPr>
            <w:tcW w:w="699" w:type="pct"/>
            <w:shd w:val="clear" w:color="auto" w:fill="auto"/>
          </w:tcPr>
          <w:p w:rsidR="006001E3" w:rsidRPr="00931642" w:rsidRDefault="006001E3" w:rsidP="006504C4">
            <w:pPr>
              <w:pStyle w:val="COMtbl-textLeftAligned"/>
              <w:keepNext/>
              <w:widowControl/>
              <w:jc w:val="center"/>
            </w:pPr>
            <w:r w:rsidRPr="00931642">
              <w:t>$</w:t>
            </w:r>
            <w:r w:rsidR="00356AF3">
              <w:rPr>
                <w:noProof/>
                <w:color w:val="000000"/>
                <w:highlight w:val="black"/>
              </w:rPr>
              <w:t>''''''''''''''''''''''''''</w:t>
            </w:r>
          </w:p>
        </w:tc>
      </w:tr>
    </w:tbl>
    <w:p w:rsidR="006001E3" w:rsidRPr="00931642" w:rsidRDefault="006001E3" w:rsidP="006504C4">
      <w:pPr>
        <w:pStyle w:val="COMtbl-textLeftAligned"/>
        <w:keepNext/>
        <w:widowControl/>
        <w:ind w:left="709"/>
        <w:jc w:val="both"/>
        <w:rPr>
          <w:sz w:val="18"/>
        </w:rPr>
      </w:pPr>
      <w:r w:rsidRPr="00931642">
        <w:rPr>
          <w:sz w:val="18"/>
        </w:rPr>
        <w:t xml:space="preserve">Source: Compiled using the </w:t>
      </w:r>
      <w:proofErr w:type="spellStart"/>
      <w:r w:rsidRPr="00931642">
        <w:rPr>
          <w:sz w:val="18"/>
        </w:rPr>
        <w:t>Somavert_Section</w:t>
      </w:r>
      <w:proofErr w:type="spellEnd"/>
      <w:r w:rsidRPr="00931642">
        <w:rPr>
          <w:sz w:val="18"/>
        </w:rPr>
        <w:t xml:space="preserve"> E Excel spreadsheet.</w:t>
      </w:r>
    </w:p>
    <w:p w:rsidR="000B0778" w:rsidRPr="00931642" w:rsidRDefault="000B0778" w:rsidP="006504C4">
      <w:pPr>
        <w:pStyle w:val="TableFooter"/>
        <w:widowControl/>
        <w:ind w:left="709"/>
      </w:pPr>
      <w:proofErr w:type="spellStart"/>
      <w:proofErr w:type="gramStart"/>
      <w:r w:rsidRPr="00931642">
        <w:rPr>
          <w:vertAlign w:val="superscript"/>
        </w:rPr>
        <w:t>a</w:t>
      </w:r>
      <w:proofErr w:type="spellEnd"/>
      <w:proofErr w:type="gramEnd"/>
      <w:r w:rsidR="006001E3" w:rsidRPr="00931642">
        <w:t xml:space="preserve"> </w:t>
      </w:r>
      <w:r w:rsidRPr="00931642">
        <w:t xml:space="preserve">The submission assumed one loading dose pack and 11 maintenance packs of pegvisomant for each patient per year. During the evaluation this was corrected to one loading dose pack and </w:t>
      </w:r>
      <w:proofErr w:type="gramStart"/>
      <w:r w:rsidRPr="00931642">
        <w:t>12.13 maintenance</w:t>
      </w:r>
      <w:proofErr w:type="gramEnd"/>
      <w:r w:rsidRPr="00931642">
        <w:t xml:space="preserve"> packs per year. Similarly for the comparators the submission assumed 12 packs (2 packs per dispensing) per year, which was corrected to 13.04 packs per year.</w:t>
      </w:r>
    </w:p>
    <w:p w:rsidR="00C25D9C" w:rsidRPr="00931642" w:rsidRDefault="00C25D9C" w:rsidP="006504C4">
      <w:pPr>
        <w:widowControl/>
        <w:rPr>
          <w:szCs w:val="22"/>
        </w:rPr>
      </w:pPr>
    </w:p>
    <w:p w:rsidR="006001E3" w:rsidRPr="00931642" w:rsidRDefault="00370109" w:rsidP="006504C4">
      <w:pPr>
        <w:pStyle w:val="ListParagraph"/>
        <w:widowControl/>
        <w:numPr>
          <w:ilvl w:val="1"/>
          <w:numId w:val="6"/>
        </w:numPr>
      </w:pPr>
      <w:r>
        <w:t xml:space="preserve">The redacted table above shows that at year 5, the estimated number of packs was less than 10,000 per year. </w:t>
      </w:r>
      <w:r w:rsidR="00A52928" w:rsidRPr="00931642">
        <w:t xml:space="preserve">After </w:t>
      </w:r>
      <w:r w:rsidR="00DE74D7" w:rsidRPr="00931642">
        <w:t xml:space="preserve">the evaluation corrected </w:t>
      </w:r>
      <w:r w:rsidR="00A52928" w:rsidRPr="00931642">
        <w:t xml:space="preserve">for the number of packs used per year, </w:t>
      </w:r>
      <w:r w:rsidR="006001E3" w:rsidRPr="00931642">
        <w:t xml:space="preserve">pegvisomant was estimated to cost the PBS </w:t>
      </w:r>
      <w:r>
        <w:t>less than $10 million per year</w:t>
      </w:r>
      <w:r w:rsidR="006001E3" w:rsidRPr="00931642">
        <w:t xml:space="preserve"> by the fifth year of listing</w:t>
      </w:r>
      <w:r w:rsidR="00E424CB" w:rsidRPr="00931642">
        <w:t xml:space="preserve"> (total of </w:t>
      </w:r>
      <w:r>
        <w:t>$10 million - $20 million</w:t>
      </w:r>
      <w:r w:rsidR="00E424CB" w:rsidRPr="00931642">
        <w:t xml:space="preserve"> over the first five years)</w:t>
      </w:r>
      <w:r w:rsidR="006001E3" w:rsidRPr="00931642">
        <w:t xml:space="preserve">. The cumulative cost to government was </w:t>
      </w:r>
      <w:r>
        <w:t>$10 million - $20 million</w:t>
      </w:r>
      <w:r w:rsidR="006001E3" w:rsidRPr="00931642">
        <w:t xml:space="preserve"> over the first five years. The reduced cost to government compared </w:t>
      </w:r>
      <w:r w:rsidR="003D6987" w:rsidRPr="00931642">
        <w:t xml:space="preserve">with </w:t>
      </w:r>
      <w:r w:rsidR="00DE54E6" w:rsidRPr="00931642">
        <w:t xml:space="preserve">the PBS estimate of </w:t>
      </w:r>
      <w:r>
        <w:t>less than $10 million</w:t>
      </w:r>
      <w:r w:rsidR="000B0778" w:rsidRPr="00931642">
        <w:t xml:space="preserve"> </w:t>
      </w:r>
      <w:r w:rsidR="006001E3" w:rsidRPr="00931642">
        <w:t>was due to lower monitoring costs (pathology tests, medical imaging, and electrocardiograms) for pegvisomant compared with octreotide, lanreotide and pasireotide.</w:t>
      </w:r>
    </w:p>
    <w:p w:rsidR="006001E3" w:rsidRPr="00931642" w:rsidRDefault="006001E3" w:rsidP="006504C4">
      <w:pPr>
        <w:widowControl/>
      </w:pPr>
    </w:p>
    <w:p w:rsidR="006001E3" w:rsidRPr="00931642" w:rsidRDefault="00DE74D7" w:rsidP="006504C4">
      <w:pPr>
        <w:pStyle w:val="ListParagraph"/>
        <w:widowControl/>
        <w:numPr>
          <w:ilvl w:val="1"/>
          <w:numId w:val="6"/>
        </w:numPr>
      </w:pPr>
      <w:r w:rsidRPr="00931642">
        <w:t>T</w:t>
      </w:r>
      <w:r w:rsidR="006001E3" w:rsidRPr="00931642">
        <w:t xml:space="preserve">he </w:t>
      </w:r>
      <w:r w:rsidR="002028A7" w:rsidRPr="00931642">
        <w:t xml:space="preserve">ESC noted that the </w:t>
      </w:r>
      <w:r w:rsidR="006001E3" w:rsidRPr="00931642">
        <w:t xml:space="preserve">financial </w:t>
      </w:r>
      <w:r w:rsidRPr="00931642">
        <w:t xml:space="preserve">estimates </w:t>
      </w:r>
      <w:r w:rsidR="006001E3" w:rsidRPr="00931642">
        <w:t xml:space="preserve">of </w:t>
      </w:r>
      <w:r w:rsidRPr="00931642">
        <w:t xml:space="preserve">listing </w:t>
      </w:r>
      <w:r w:rsidR="006001E3" w:rsidRPr="00931642">
        <w:t xml:space="preserve">pegvisomant on the PBS were uncertain due to the following issues: </w:t>
      </w:r>
    </w:p>
    <w:p w:rsidR="00690539" w:rsidRPr="00931642" w:rsidRDefault="00690539" w:rsidP="006504C4">
      <w:pPr>
        <w:widowControl/>
        <w:numPr>
          <w:ilvl w:val="0"/>
          <w:numId w:val="3"/>
        </w:numPr>
        <w:tabs>
          <w:tab w:val="clear" w:pos="720"/>
          <w:tab w:val="num" w:pos="993"/>
        </w:tabs>
        <w:ind w:left="993" w:hanging="284"/>
      </w:pPr>
      <w:r w:rsidRPr="00931642">
        <w:t>The average daily dose of pegvisomant was based on the weighted average dose from the start of the post-marketing surveillance ACROSTUDY, and did not reflect titration of doses to achieve IGF-1 normalisation.</w:t>
      </w:r>
    </w:p>
    <w:p w:rsidR="00690539" w:rsidRPr="00931642" w:rsidRDefault="00690539" w:rsidP="006504C4">
      <w:pPr>
        <w:widowControl/>
        <w:numPr>
          <w:ilvl w:val="0"/>
          <w:numId w:val="3"/>
        </w:numPr>
        <w:tabs>
          <w:tab w:val="clear" w:pos="720"/>
          <w:tab w:val="num" w:pos="993"/>
        </w:tabs>
        <w:ind w:left="993" w:hanging="284"/>
      </w:pPr>
      <w:r w:rsidRPr="00931642">
        <w:t xml:space="preserve">The likely underestimate of use with only </w:t>
      </w:r>
      <w:r w:rsidR="00356AF3">
        <w:rPr>
          <w:noProof/>
          <w:color w:val="000000"/>
          <w:highlight w:val="black"/>
        </w:rPr>
        <w:t>'''''''</w:t>
      </w:r>
      <w:r w:rsidRPr="00931642">
        <w:t xml:space="preserve">% uptake assumed from patients who would otherwise be treated with pasireotide, given that all patients with acromegaly have a </w:t>
      </w:r>
      <w:r w:rsidR="00371765" w:rsidRPr="00931642">
        <w:t>relatively high</w:t>
      </w:r>
      <w:r w:rsidR="00EA6A56" w:rsidRPr="00931642">
        <w:t xml:space="preserve"> </w:t>
      </w:r>
      <w:r w:rsidRPr="00931642">
        <w:t>risk of developing diabetes, and prescribers may wish to avoid the potential hyperglycaemic events associated with pasireotide.</w:t>
      </w:r>
    </w:p>
    <w:p w:rsidR="00E51884" w:rsidRPr="00931642" w:rsidRDefault="006001E3" w:rsidP="006504C4">
      <w:pPr>
        <w:widowControl/>
        <w:numPr>
          <w:ilvl w:val="0"/>
          <w:numId w:val="3"/>
        </w:numPr>
        <w:tabs>
          <w:tab w:val="clear" w:pos="720"/>
          <w:tab w:val="num" w:pos="993"/>
        </w:tabs>
        <w:ind w:left="993" w:hanging="284"/>
      </w:pPr>
      <w:r w:rsidRPr="00931642">
        <w:t xml:space="preserve">Patients </w:t>
      </w:r>
      <w:r w:rsidR="00263F07" w:rsidRPr="00931642">
        <w:t>who</w:t>
      </w:r>
      <w:r w:rsidRPr="00931642">
        <w:t xml:space="preserve"> were uncontrolled after a trial of pegvisomant and pasireotide monotherapy were assumed to switch back to octreotide/lanreotide, whereas in clinical practice they would likely continue on the treatment that provided the most effective IGF-1 control, or be considered for combination therapy. </w:t>
      </w:r>
    </w:p>
    <w:p w:rsidR="006001E3" w:rsidRPr="00931642" w:rsidRDefault="006001E3" w:rsidP="006504C4">
      <w:pPr>
        <w:widowControl/>
        <w:numPr>
          <w:ilvl w:val="0"/>
          <w:numId w:val="3"/>
        </w:numPr>
        <w:tabs>
          <w:tab w:val="clear" w:pos="720"/>
          <w:tab w:val="num" w:pos="993"/>
        </w:tabs>
        <w:ind w:left="993" w:hanging="284"/>
      </w:pPr>
      <w:r w:rsidRPr="00931642">
        <w:t>The treatment compliance and discontinuation rates used in the analysis</w:t>
      </w:r>
      <w:r w:rsidR="003B7203" w:rsidRPr="00931642">
        <w:t xml:space="preserve"> were not adequately justified</w:t>
      </w:r>
      <w:r w:rsidRPr="00931642">
        <w:t>.</w:t>
      </w:r>
    </w:p>
    <w:p w:rsidR="00690539" w:rsidRPr="00931642" w:rsidRDefault="00690539" w:rsidP="006504C4">
      <w:pPr>
        <w:widowControl/>
        <w:numPr>
          <w:ilvl w:val="0"/>
          <w:numId w:val="3"/>
        </w:numPr>
        <w:tabs>
          <w:tab w:val="clear" w:pos="720"/>
          <w:tab w:val="num" w:pos="993"/>
        </w:tabs>
        <w:ind w:left="993" w:hanging="284"/>
      </w:pPr>
      <w:r w:rsidRPr="00931642">
        <w:lastRenderedPageBreak/>
        <w:t>The true prevalence and incidence of acromegaly in Australia is unknown.</w:t>
      </w:r>
    </w:p>
    <w:p w:rsidR="00690539" w:rsidRPr="00931642" w:rsidRDefault="00690539" w:rsidP="006504C4">
      <w:pPr>
        <w:widowControl/>
        <w:numPr>
          <w:ilvl w:val="0"/>
          <w:numId w:val="3"/>
        </w:numPr>
        <w:tabs>
          <w:tab w:val="clear" w:pos="720"/>
          <w:tab w:val="num" w:pos="993"/>
        </w:tabs>
        <w:ind w:left="993" w:hanging="284"/>
      </w:pPr>
      <w:r w:rsidRPr="00931642">
        <w:t>The time spent on treatments that failed to control IGF-1 (including dose titration phases), and on pasireotide prior to diabetes development was not accounted for in the analysis.</w:t>
      </w:r>
    </w:p>
    <w:p w:rsidR="00690539" w:rsidRPr="00931642" w:rsidRDefault="00690539" w:rsidP="006504C4">
      <w:pPr>
        <w:widowControl/>
        <w:numPr>
          <w:ilvl w:val="0"/>
          <w:numId w:val="3"/>
        </w:numPr>
        <w:tabs>
          <w:tab w:val="clear" w:pos="720"/>
          <w:tab w:val="num" w:pos="993"/>
        </w:tabs>
        <w:ind w:left="993" w:hanging="284"/>
      </w:pPr>
      <w:r w:rsidRPr="00931642">
        <w:t xml:space="preserve">The use of pegvisomant in combination with an SSA could lead to additional costs, and was not considered in the analysis; </w:t>
      </w:r>
      <w:r w:rsidR="00EF2E64" w:rsidRPr="00931642">
        <w:t xml:space="preserve">while </w:t>
      </w:r>
      <w:r w:rsidRPr="00931642">
        <w:t>noting that such a listing was not sought.</w:t>
      </w:r>
    </w:p>
    <w:p w:rsidR="006001E3" w:rsidRPr="00931642" w:rsidRDefault="006001E3" w:rsidP="006504C4">
      <w:pPr>
        <w:widowControl/>
        <w:numPr>
          <w:ilvl w:val="0"/>
          <w:numId w:val="3"/>
        </w:numPr>
        <w:tabs>
          <w:tab w:val="clear" w:pos="720"/>
          <w:tab w:val="num" w:pos="993"/>
        </w:tabs>
        <w:ind w:left="993" w:hanging="284"/>
      </w:pPr>
      <w:r w:rsidRPr="00931642">
        <w:t>It was unclear whether IGF-1 control would be maintained indefinitely, or if higher doses of pegvisomant would be required subsequently.</w:t>
      </w:r>
    </w:p>
    <w:p w:rsidR="00C25D9C" w:rsidRPr="00931642" w:rsidRDefault="006001E3" w:rsidP="006504C4">
      <w:pPr>
        <w:widowControl/>
        <w:numPr>
          <w:ilvl w:val="0"/>
          <w:numId w:val="3"/>
        </w:numPr>
        <w:tabs>
          <w:tab w:val="clear" w:pos="720"/>
          <w:tab w:val="num" w:pos="993"/>
        </w:tabs>
        <w:ind w:left="993" w:hanging="284"/>
      </w:pPr>
      <w:r w:rsidRPr="00931642">
        <w:t xml:space="preserve">The financial estimates were dependent on the </w:t>
      </w:r>
      <w:r w:rsidR="00263F07" w:rsidRPr="00931642">
        <w:t>IGF-1 normalisation rates</w:t>
      </w:r>
      <w:r w:rsidRPr="00931642">
        <w:t xml:space="preserve"> specified for each treatment option, which were largely based on assumptions.</w:t>
      </w:r>
    </w:p>
    <w:p w:rsidR="00576972" w:rsidRPr="00931642" w:rsidRDefault="00576972" w:rsidP="006504C4">
      <w:pPr>
        <w:widowControl/>
        <w:rPr>
          <w:szCs w:val="22"/>
        </w:rPr>
      </w:pPr>
    </w:p>
    <w:p w:rsidR="00576972" w:rsidRPr="00931642" w:rsidRDefault="00576972" w:rsidP="006504C4">
      <w:pPr>
        <w:pStyle w:val="Heading3"/>
      </w:pPr>
      <w:bookmarkStart w:id="17" w:name="_Toc461530925"/>
      <w:r w:rsidRPr="00931642">
        <w:t>Quality Use of Medicines</w:t>
      </w:r>
      <w:bookmarkEnd w:id="17"/>
    </w:p>
    <w:p w:rsidR="00576972" w:rsidRPr="00931642" w:rsidRDefault="00576972" w:rsidP="006504C4">
      <w:pPr>
        <w:widowControl/>
        <w:rPr>
          <w:szCs w:val="22"/>
        </w:rPr>
      </w:pPr>
    </w:p>
    <w:p w:rsidR="00576972" w:rsidRPr="00931642" w:rsidRDefault="006001E3" w:rsidP="006504C4">
      <w:pPr>
        <w:pStyle w:val="ListParagraph"/>
        <w:widowControl/>
        <w:numPr>
          <w:ilvl w:val="1"/>
          <w:numId w:val="6"/>
        </w:numPr>
        <w:rPr>
          <w:szCs w:val="22"/>
        </w:rPr>
      </w:pPr>
      <w:r w:rsidRPr="00931642">
        <w:t xml:space="preserve">The submission </w:t>
      </w:r>
      <w:r w:rsidR="00DE74D7" w:rsidRPr="00931642">
        <w:t xml:space="preserve">described </w:t>
      </w:r>
      <w:r w:rsidRPr="00931642">
        <w:t xml:space="preserve">educational materials </w:t>
      </w:r>
      <w:r w:rsidR="00DE74D7" w:rsidRPr="00931642">
        <w:t xml:space="preserve">that the sponsor will </w:t>
      </w:r>
      <w:r w:rsidRPr="00931642">
        <w:t>provide to relevant healthcare professionals, with information on requirements for managing and monitoring pegvisomant treatment.</w:t>
      </w:r>
    </w:p>
    <w:p w:rsidR="00FF6440" w:rsidRPr="00931642" w:rsidRDefault="00FF6440" w:rsidP="006504C4">
      <w:pPr>
        <w:widowControl/>
        <w:rPr>
          <w:szCs w:val="22"/>
        </w:rPr>
      </w:pPr>
    </w:p>
    <w:p w:rsidR="00FF6440" w:rsidRPr="00931642" w:rsidRDefault="00973854" w:rsidP="006504C4">
      <w:pPr>
        <w:pStyle w:val="ListParagraph"/>
        <w:widowControl/>
        <w:numPr>
          <w:ilvl w:val="1"/>
          <w:numId w:val="6"/>
        </w:numPr>
        <w:rPr>
          <w:szCs w:val="22"/>
        </w:rPr>
      </w:pPr>
      <w:r w:rsidRPr="00931642">
        <w:rPr>
          <w:szCs w:val="22"/>
        </w:rPr>
        <w:t xml:space="preserve">The PBAC </w:t>
      </w:r>
      <w:r w:rsidR="009807B4" w:rsidRPr="00931642">
        <w:rPr>
          <w:szCs w:val="22"/>
        </w:rPr>
        <w:t xml:space="preserve">considered </w:t>
      </w:r>
      <w:r w:rsidRPr="00931642">
        <w:rPr>
          <w:szCs w:val="22"/>
        </w:rPr>
        <w:t>that o</w:t>
      </w:r>
      <w:r w:rsidR="00FF6440" w:rsidRPr="00931642">
        <w:rPr>
          <w:szCs w:val="22"/>
        </w:rPr>
        <w:t>ctreotide</w:t>
      </w:r>
      <w:r w:rsidR="00690539" w:rsidRPr="00931642">
        <w:rPr>
          <w:szCs w:val="22"/>
        </w:rPr>
        <w:t>,</w:t>
      </w:r>
      <w:r w:rsidR="00FF6440" w:rsidRPr="00931642">
        <w:rPr>
          <w:szCs w:val="22"/>
        </w:rPr>
        <w:t xml:space="preserve"> lanreotide and</w:t>
      </w:r>
      <w:r w:rsidR="00A52D43" w:rsidRPr="00931642">
        <w:rPr>
          <w:szCs w:val="22"/>
        </w:rPr>
        <w:t xml:space="preserve"> </w:t>
      </w:r>
      <w:r w:rsidR="00FF6440" w:rsidRPr="00931642">
        <w:rPr>
          <w:szCs w:val="22"/>
        </w:rPr>
        <w:t>pasireotide</w:t>
      </w:r>
      <w:r w:rsidR="007157D5" w:rsidRPr="00931642">
        <w:rPr>
          <w:szCs w:val="22"/>
        </w:rPr>
        <w:t xml:space="preserve"> might have some </w:t>
      </w:r>
      <w:r w:rsidR="00A52D43" w:rsidRPr="00931642">
        <w:rPr>
          <w:szCs w:val="22"/>
        </w:rPr>
        <w:t xml:space="preserve">compliance </w:t>
      </w:r>
      <w:r w:rsidR="007157D5" w:rsidRPr="00931642">
        <w:rPr>
          <w:szCs w:val="22"/>
        </w:rPr>
        <w:t>advantages to pegvisomant, in that pegvisomant is a daily subcutaneous injection whilst the comparators are intramuscular injections administered once every 28 days.</w:t>
      </w:r>
      <w:r w:rsidR="00A52D43" w:rsidRPr="00931642">
        <w:rPr>
          <w:szCs w:val="22"/>
        </w:rPr>
        <w:t xml:space="preserve"> The impact, if any, on effectiveness is unknown.</w:t>
      </w:r>
    </w:p>
    <w:p w:rsidR="00576972" w:rsidRPr="00931642" w:rsidRDefault="00576972" w:rsidP="006504C4">
      <w:pPr>
        <w:widowControl/>
        <w:rPr>
          <w:szCs w:val="22"/>
        </w:rPr>
      </w:pPr>
    </w:p>
    <w:p w:rsidR="00576972" w:rsidRPr="00931642" w:rsidRDefault="00576972" w:rsidP="006504C4">
      <w:pPr>
        <w:pStyle w:val="Heading3"/>
        <w:keepNext/>
      </w:pPr>
      <w:bookmarkStart w:id="18" w:name="_Toc461530926"/>
      <w:r w:rsidRPr="00931642">
        <w:t>Financial Management – Risk Sharing Arrangements</w:t>
      </w:r>
      <w:bookmarkEnd w:id="18"/>
    </w:p>
    <w:p w:rsidR="00C25D9C" w:rsidRPr="00931642" w:rsidRDefault="00C25D9C" w:rsidP="006504C4">
      <w:pPr>
        <w:keepNext/>
        <w:widowControl/>
        <w:rPr>
          <w:szCs w:val="22"/>
        </w:rPr>
      </w:pPr>
    </w:p>
    <w:p w:rsidR="00C25D9C" w:rsidRPr="00931642" w:rsidRDefault="006001E3" w:rsidP="008970AA">
      <w:pPr>
        <w:pStyle w:val="ListParagraph"/>
        <w:widowControl/>
        <w:numPr>
          <w:ilvl w:val="1"/>
          <w:numId w:val="6"/>
        </w:numPr>
        <w:rPr>
          <w:szCs w:val="22"/>
        </w:rPr>
      </w:pPr>
      <w:r w:rsidRPr="00931642">
        <w:t xml:space="preserve">The submission acknowledged the probability of a volume-based </w:t>
      </w:r>
      <w:r w:rsidR="00931642">
        <w:t>R</w:t>
      </w:r>
      <w:r w:rsidR="00931642" w:rsidRPr="00931642">
        <w:t xml:space="preserve">isk </w:t>
      </w:r>
      <w:r w:rsidR="00931642">
        <w:t>S</w:t>
      </w:r>
      <w:r w:rsidR="00931642" w:rsidRPr="00931642">
        <w:t xml:space="preserve">haring </w:t>
      </w:r>
      <w:r w:rsidR="00931642">
        <w:t>A</w:t>
      </w:r>
      <w:r w:rsidR="00931642" w:rsidRPr="00931642">
        <w:t xml:space="preserve">rrangement </w:t>
      </w:r>
      <w:r w:rsidRPr="00931642">
        <w:t xml:space="preserve">being required with a positive recommendation for listing on the PBS, but did not provide specific details of such an arrangement. The sponsor stated its </w:t>
      </w:r>
      <w:r w:rsidRPr="008970AA">
        <w:rPr>
          <w:szCs w:val="22"/>
        </w:rPr>
        <w:t>willingness</w:t>
      </w:r>
      <w:r w:rsidRPr="00931642">
        <w:t xml:space="preserve"> to consider an outcomes-based </w:t>
      </w:r>
      <w:r w:rsidR="00931642">
        <w:t>R</w:t>
      </w:r>
      <w:r w:rsidR="00931642" w:rsidRPr="00931642">
        <w:t xml:space="preserve">isk </w:t>
      </w:r>
      <w:r w:rsidR="00931642">
        <w:t>S</w:t>
      </w:r>
      <w:r w:rsidR="00931642" w:rsidRPr="00931642">
        <w:t xml:space="preserve">haring </w:t>
      </w:r>
      <w:r w:rsidR="00931642">
        <w:t>A</w:t>
      </w:r>
      <w:r w:rsidR="00931642" w:rsidRPr="00931642">
        <w:t>rrangement</w:t>
      </w:r>
      <w:r w:rsidRPr="00931642">
        <w:t>, based on the measurement of patients achieving IGF-1 normalisation with pegvisomant in clinical practice.</w:t>
      </w:r>
    </w:p>
    <w:p w:rsidR="006001E3" w:rsidRPr="00931642" w:rsidRDefault="006001E3" w:rsidP="006504C4">
      <w:pPr>
        <w:widowControl/>
        <w:rPr>
          <w:szCs w:val="22"/>
        </w:rPr>
      </w:pPr>
    </w:p>
    <w:p w:rsidR="006001E3" w:rsidRPr="00931642" w:rsidRDefault="006001E3" w:rsidP="006504C4">
      <w:pPr>
        <w:pStyle w:val="ListParagraph"/>
        <w:widowControl/>
        <w:numPr>
          <w:ilvl w:val="1"/>
          <w:numId w:val="6"/>
        </w:numPr>
        <w:rPr>
          <w:szCs w:val="22"/>
        </w:rPr>
      </w:pPr>
      <w:r w:rsidRPr="00931642">
        <w:t xml:space="preserve">The submission presented a proposed special pricing arrangement for pegvisomant in the form of a confidential rebate of </w:t>
      </w:r>
      <w:r w:rsidR="00356AF3">
        <w:rPr>
          <w:noProof/>
          <w:color w:val="000000"/>
          <w:highlight w:val="black"/>
        </w:rPr>
        <w:t>''''''</w:t>
      </w:r>
      <w:r w:rsidRPr="00931642">
        <w:t>% of the PBS-listed DPMQ.</w:t>
      </w:r>
    </w:p>
    <w:p w:rsidR="006E21FC" w:rsidRDefault="006E21FC" w:rsidP="006504C4">
      <w:pPr>
        <w:pStyle w:val="PBACHeading1"/>
        <w:numPr>
          <w:ilvl w:val="0"/>
          <w:numId w:val="0"/>
        </w:numPr>
        <w:ind w:left="720"/>
        <w:rPr>
          <w:highlight w:val="yellow"/>
        </w:rPr>
      </w:pPr>
    </w:p>
    <w:p w:rsidR="008970AA" w:rsidRPr="005738EF" w:rsidRDefault="008970AA" w:rsidP="008970AA">
      <w:pPr>
        <w:pStyle w:val="ListParagraph"/>
        <w:widowControl/>
        <w:numPr>
          <w:ilvl w:val="1"/>
          <w:numId w:val="6"/>
        </w:numPr>
      </w:pPr>
      <w:r w:rsidRPr="005738EF">
        <w:t xml:space="preserve">The PBAC considered that in light of the recommendation, the financial estimates, and therefore the basis for a </w:t>
      </w:r>
      <w:r w:rsidR="005738EF">
        <w:t>R</w:t>
      </w:r>
      <w:r w:rsidRPr="005738EF">
        <w:t>isk</w:t>
      </w:r>
      <w:r w:rsidR="005738EF">
        <w:t xml:space="preserve"> S</w:t>
      </w:r>
      <w:r w:rsidRPr="005738EF">
        <w:t xml:space="preserve">haring </w:t>
      </w:r>
      <w:r w:rsidR="005738EF">
        <w:t>A</w:t>
      </w:r>
      <w:r w:rsidRPr="005738EF">
        <w:t>rrangement Subsidisation Cap will need to be updated to account for the potential of prescribing multiple strengths and to further ensure that there is no additional cost to the Commonwealth</w:t>
      </w:r>
      <w:r w:rsidR="00E26022">
        <w:t>.</w:t>
      </w:r>
    </w:p>
    <w:p w:rsidR="008970AA" w:rsidRPr="00931642" w:rsidRDefault="008970AA" w:rsidP="006504C4">
      <w:pPr>
        <w:pStyle w:val="PBACHeading1"/>
        <w:numPr>
          <w:ilvl w:val="0"/>
          <w:numId w:val="0"/>
        </w:numPr>
        <w:ind w:left="720"/>
        <w:rPr>
          <w:highlight w:val="yellow"/>
        </w:rPr>
      </w:pPr>
    </w:p>
    <w:p w:rsidR="006E21FC" w:rsidRPr="00931642" w:rsidRDefault="006E21FC" w:rsidP="006504C4">
      <w:pPr>
        <w:pStyle w:val="PBACHeading1"/>
        <w:numPr>
          <w:ilvl w:val="0"/>
          <w:numId w:val="0"/>
        </w:numPr>
        <w:ind w:left="720"/>
        <w:rPr>
          <w:b w:val="0"/>
          <w:i/>
        </w:rPr>
      </w:pPr>
      <w:r w:rsidRPr="00931642">
        <w:rPr>
          <w:b w:val="0"/>
          <w:i/>
        </w:rPr>
        <w:t>For more detail on PBAC’s view, see section 7 “PBAC outcome”</w:t>
      </w:r>
      <w:r w:rsidR="00043A0B">
        <w:rPr>
          <w:b w:val="0"/>
          <w:i/>
        </w:rPr>
        <w:t>.</w:t>
      </w:r>
    </w:p>
    <w:p w:rsidR="00576972" w:rsidRPr="00931642" w:rsidRDefault="00576972" w:rsidP="006504C4">
      <w:pPr>
        <w:widowControl/>
        <w:rPr>
          <w:szCs w:val="22"/>
        </w:rPr>
      </w:pPr>
    </w:p>
    <w:p w:rsidR="005C7BA3" w:rsidRPr="00931642" w:rsidRDefault="005C7BA3" w:rsidP="006504C4">
      <w:pPr>
        <w:widowControl/>
        <w:rPr>
          <w:szCs w:val="22"/>
        </w:rPr>
      </w:pPr>
    </w:p>
    <w:p w:rsidR="006E21FC" w:rsidRPr="00931642" w:rsidRDefault="006E21FC" w:rsidP="001E6680">
      <w:pPr>
        <w:pStyle w:val="PBACheading10"/>
        <w:numPr>
          <w:ilvl w:val="0"/>
          <w:numId w:val="6"/>
        </w:numPr>
      </w:pPr>
      <w:r w:rsidRPr="00931642">
        <w:t>PBAC Outcome</w:t>
      </w:r>
    </w:p>
    <w:p w:rsidR="006E21FC" w:rsidRPr="00931642" w:rsidRDefault="006E21FC" w:rsidP="006504C4">
      <w:pPr>
        <w:widowControl/>
        <w:contextualSpacing/>
        <w:rPr>
          <w:bCs/>
          <w:szCs w:val="22"/>
        </w:rPr>
      </w:pPr>
    </w:p>
    <w:p w:rsidR="00EF406A" w:rsidRPr="00931642" w:rsidRDefault="006E21FC" w:rsidP="006504C4">
      <w:pPr>
        <w:widowControl/>
        <w:numPr>
          <w:ilvl w:val="1"/>
          <w:numId w:val="6"/>
        </w:numPr>
        <w:contextualSpacing/>
        <w:rPr>
          <w:bCs/>
          <w:szCs w:val="22"/>
        </w:rPr>
      </w:pPr>
      <w:r w:rsidRPr="00931642">
        <w:rPr>
          <w:bCs/>
          <w:szCs w:val="22"/>
        </w:rPr>
        <w:t xml:space="preserve">The PBAC recommended the </w:t>
      </w:r>
      <w:r w:rsidR="005C7BA3" w:rsidRPr="00931642">
        <w:rPr>
          <w:bCs/>
          <w:szCs w:val="22"/>
        </w:rPr>
        <w:t xml:space="preserve">Authority Required </w:t>
      </w:r>
      <w:r w:rsidRPr="00931642">
        <w:rPr>
          <w:bCs/>
          <w:szCs w:val="22"/>
        </w:rPr>
        <w:t>listing of</w:t>
      </w:r>
      <w:r w:rsidR="00430CB2" w:rsidRPr="00931642">
        <w:rPr>
          <w:bCs/>
          <w:szCs w:val="22"/>
        </w:rPr>
        <w:t xml:space="preserve"> pegvisomant</w:t>
      </w:r>
      <w:r w:rsidR="00EF406A" w:rsidRPr="00931642">
        <w:rPr>
          <w:bCs/>
          <w:szCs w:val="22"/>
        </w:rPr>
        <w:t xml:space="preserve"> as a</w:t>
      </w:r>
      <w:r w:rsidR="002E6731" w:rsidRPr="00931642">
        <w:rPr>
          <w:bCs/>
          <w:szCs w:val="22"/>
        </w:rPr>
        <w:t xml:space="preserve"> </w:t>
      </w:r>
      <w:r w:rsidR="00EF406A" w:rsidRPr="00931642">
        <w:rPr>
          <w:bCs/>
          <w:szCs w:val="22"/>
        </w:rPr>
        <w:t>second</w:t>
      </w:r>
      <w:r w:rsidR="00770800" w:rsidRPr="00931642">
        <w:rPr>
          <w:bCs/>
          <w:szCs w:val="22"/>
        </w:rPr>
        <w:noBreakHyphen/>
      </w:r>
      <w:r w:rsidR="00EF406A" w:rsidRPr="00931642">
        <w:rPr>
          <w:bCs/>
          <w:szCs w:val="22"/>
        </w:rPr>
        <w:t>line therapy for the treatment of patients with acromegaly</w:t>
      </w:r>
      <w:r w:rsidRPr="00931642">
        <w:rPr>
          <w:bCs/>
          <w:szCs w:val="22"/>
        </w:rPr>
        <w:t>, on the basis that it should be available only under special arrangements under Section 100</w:t>
      </w:r>
      <w:r w:rsidR="00EF406A" w:rsidRPr="00931642">
        <w:rPr>
          <w:bCs/>
          <w:szCs w:val="22"/>
        </w:rPr>
        <w:t xml:space="preserve"> (Highly Specialised Drugs Program)</w:t>
      </w:r>
      <w:r w:rsidR="00DB3667" w:rsidRPr="00931642">
        <w:rPr>
          <w:bCs/>
          <w:szCs w:val="22"/>
        </w:rPr>
        <w:t xml:space="preserve"> on a cost minimisation basis to pasireotide</w:t>
      </w:r>
      <w:r w:rsidR="00061DD9">
        <w:rPr>
          <w:bCs/>
          <w:szCs w:val="22"/>
        </w:rPr>
        <w:t xml:space="preserve"> whereby an </w:t>
      </w:r>
      <w:r w:rsidR="00061DD9">
        <w:rPr>
          <w:bCs/>
          <w:szCs w:val="22"/>
        </w:rPr>
        <w:lastRenderedPageBreak/>
        <w:t xml:space="preserve">equivalent cost per day of treatment is established consistent with the respective </w:t>
      </w:r>
      <w:r w:rsidR="005738EF">
        <w:rPr>
          <w:bCs/>
          <w:szCs w:val="22"/>
        </w:rPr>
        <w:t xml:space="preserve">TGA-approved </w:t>
      </w:r>
      <w:r w:rsidR="00061DD9">
        <w:rPr>
          <w:bCs/>
          <w:szCs w:val="22"/>
        </w:rPr>
        <w:t>Product Information</w:t>
      </w:r>
      <w:r w:rsidR="008654F1" w:rsidRPr="00931642">
        <w:rPr>
          <w:bCs/>
          <w:szCs w:val="22"/>
        </w:rPr>
        <w:t>.</w:t>
      </w:r>
    </w:p>
    <w:p w:rsidR="00EF406A" w:rsidRPr="00931642" w:rsidRDefault="00EF406A" w:rsidP="00EF406A">
      <w:pPr>
        <w:widowControl/>
        <w:ind w:left="720"/>
        <w:contextualSpacing/>
        <w:rPr>
          <w:bCs/>
          <w:szCs w:val="22"/>
        </w:rPr>
      </w:pPr>
    </w:p>
    <w:p w:rsidR="00DB3667" w:rsidRPr="005738EF" w:rsidRDefault="00DB3667" w:rsidP="005738EF">
      <w:pPr>
        <w:widowControl/>
        <w:numPr>
          <w:ilvl w:val="1"/>
          <w:numId w:val="6"/>
        </w:numPr>
        <w:contextualSpacing/>
        <w:rPr>
          <w:bCs/>
          <w:szCs w:val="22"/>
        </w:rPr>
      </w:pPr>
      <w:r w:rsidRPr="00931642">
        <w:rPr>
          <w:bCs/>
          <w:szCs w:val="22"/>
        </w:rPr>
        <w:t xml:space="preserve">The PBAC noted that the submission requested listing for the treatment of acromegaly in patients who failed to achieve biochemical control with SSAs (pasireotide and </w:t>
      </w:r>
      <w:r w:rsidR="00302C04" w:rsidRPr="00931642">
        <w:rPr>
          <w:bCs/>
          <w:szCs w:val="22"/>
        </w:rPr>
        <w:t>long-</w:t>
      </w:r>
      <w:r w:rsidR="00520732" w:rsidRPr="00931642">
        <w:rPr>
          <w:bCs/>
          <w:szCs w:val="22"/>
        </w:rPr>
        <w:t xml:space="preserve">acting </w:t>
      </w:r>
      <w:r w:rsidRPr="00931642">
        <w:rPr>
          <w:bCs/>
          <w:szCs w:val="22"/>
        </w:rPr>
        <w:t>octreotide</w:t>
      </w:r>
      <w:r w:rsidR="00302C04" w:rsidRPr="00931642">
        <w:rPr>
          <w:bCs/>
          <w:szCs w:val="22"/>
        </w:rPr>
        <w:t>/</w:t>
      </w:r>
      <w:r w:rsidRPr="00931642">
        <w:rPr>
          <w:bCs/>
          <w:szCs w:val="22"/>
        </w:rPr>
        <w:t>lanreotide) on the basis of a cost-utility analysis compared with continued use (with inadequate response) of SSAs. The pre</w:t>
      </w:r>
      <w:r w:rsidR="008654F1" w:rsidRPr="00931642">
        <w:rPr>
          <w:bCs/>
          <w:szCs w:val="22"/>
        </w:rPr>
        <w:noBreakHyphen/>
      </w:r>
      <w:r w:rsidRPr="00931642">
        <w:rPr>
          <w:bCs/>
          <w:szCs w:val="22"/>
        </w:rPr>
        <w:t xml:space="preserve">PBAC response changed the requested listing to be following failure with </w:t>
      </w:r>
      <w:r w:rsidR="008654F1" w:rsidRPr="00931642">
        <w:rPr>
          <w:bCs/>
          <w:szCs w:val="22"/>
        </w:rPr>
        <w:t>long</w:t>
      </w:r>
      <w:r w:rsidR="008654F1" w:rsidRPr="00931642">
        <w:rPr>
          <w:bCs/>
          <w:szCs w:val="22"/>
        </w:rPr>
        <w:noBreakHyphen/>
      </w:r>
      <w:r w:rsidR="00520732" w:rsidRPr="00931642">
        <w:rPr>
          <w:bCs/>
          <w:szCs w:val="22"/>
        </w:rPr>
        <w:t>acting octreotide</w:t>
      </w:r>
      <w:r w:rsidR="00302C04" w:rsidRPr="00931642">
        <w:rPr>
          <w:bCs/>
          <w:szCs w:val="22"/>
        </w:rPr>
        <w:t>/</w:t>
      </w:r>
      <w:r w:rsidRPr="00931642">
        <w:rPr>
          <w:bCs/>
          <w:szCs w:val="22"/>
        </w:rPr>
        <w:t>lanreotide (in the same line of therapy as pasireotide) on the basis of a cost-minimisation analysis to pasireotide (excluding the cost offsets for diabetes</w:t>
      </w:r>
      <w:r w:rsidR="00647763" w:rsidRPr="00931642">
        <w:rPr>
          <w:bCs/>
          <w:szCs w:val="22"/>
        </w:rPr>
        <w:t xml:space="preserve"> for pasireotide</w:t>
      </w:r>
      <w:r w:rsidRPr="00931642">
        <w:rPr>
          <w:bCs/>
          <w:szCs w:val="22"/>
        </w:rPr>
        <w:t>).</w:t>
      </w:r>
      <w:r w:rsidR="005738EF">
        <w:rPr>
          <w:bCs/>
          <w:szCs w:val="22"/>
        </w:rPr>
        <w:t xml:space="preserve"> </w:t>
      </w:r>
      <w:r w:rsidR="005738EF" w:rsidRPr="00931642">
        <w:rPr>
          <w:bCs/>
          <w:szCs w:val="22"/>
        </w:rPr>
        <w:t xml:space="preserve">The PBAC considered that the nominated comparators, </w:t>
      </w:r>
      <w:r w:rsidR="005738EF" w:rsidRPr="00931642">
        <w:t>pasireotide and long-acting octreotide/lanreotide, were appropriate.</w:t>
      </w:r>
    </w:p>
    <w:p w:rsidR="00DB3667" w:rsidRPr="00931642" w:rsidRDefault="00DB3667" w:rsidP="00DB3667">
      <w:pPr>
        <w:pStyle w:val="ListParagraph"/>
        <w:rPr>
          <w:bCs/>
          <w:szCs w:val="22"/>
        </w:rPr>
      </w:pPr>
    </w:p>
    <w:p w:rsidR="00770800" w:rsidRPr="00931642" w:rsidRDefault="00225A09" w:rsidP="00770800">
      <w:pPr>
        <w:widowControl/>
        <w:numPr>
          <w:ilvl w:val="1"/>
          <w:numId w:val="6"/>
        </w:numPr>
        <w:contextualSpacing/>
        <w:rPr>
          <w:bCs/>
          <w:szCs w:val="22"/>
        </w:rPr>
      </w:pPr>
      <w:r w:rsidRPr="00931642">
        <w:rPr>
          <w:bCs/>
          <w:szCs w:val="22"/>
        </w:rPr>
        <w:t xml:space="preserve">The PBAC considered there was a clinical need for pegvisomant as an alternative therapy for patients who have uncontrolled IGF-1 despite treatment with an SSA. The PBAC </w:t>
      </w:r>
      <w:r w:rsidR="00770800" w:rsidRPr="00931642">
        <w:rPr>
          <w:bCs/>
          <w:szCs w:val="22"/>
        </w:rPr>
        <w:t xml:space="preserve">also </w:t>
      </w:r>
      <w:r w:rsidRPr="00931642">
        <w:rPr>
          <w:bCs/>
          <w:szCs w:val="22"/>
        </w:rPr>
        <w:t xml:space="preserve">noted </w:t>
      </w:r>
      <w:r w:rsidR="00A9147E" w:rsidRPr="00931642">
        <w:rPr>
          <w:bCs/>
          <w:szCs w:val="22"/>
        </w:rPr>
        <w:t xml:space="preserve">the </w:t>
      </w:r>
      <w:r w:rsidRPr="00931642">
        <w:rPr>
          <w:bCs/>
          <w:szCs w:val="22"/>
        </w:rPr>
        <w:t xml:space="preserve">advice </w:t>
      </w:r>
      <w:r w:rsidR="0006642C" w:rsidRPr="00931642">
        <w:rPr>
          <w:bCs/>
          <w:szCs w:val="22"/>
        </w:rPr>
        <w:t xml:space="preserve">received through the </w:t>
      </w:r>
      <w:r w:rsidRPr="00931642">
        <w:rPr>
          <w:bCs/>
          <w:szCs w:val="22"/>
        </w:rPr>
        <w:t xml:space="preserve">sponsor hearing </w:t>
      </w:r>
      <w:r w:rsidR="00A9147E" w:rsidRPr="00931642">
        <w:rPr>
          <w:bCs/>
          <w:szCs w:val="22"/>
        </w:rPr>
        <w:t xml:space="preserve">and consumer comments </w:t>
      </w:r>
      <w:r w:rsidRPr="00931642">
        <w:rPr>
          <w:bCs/>
          <w:szCs w:val="22"/>
        </w:rPr>
        <w:t xml:space="preserve">that there is a particular clinical need in children, as pasireotide is </w:t>
      </w:r>
      <w:r w:rsidR="00770800" w:rsidRPr="00931642">
        <w:rPr>
          <w:bCs/>
          <w:szCs w:val="22"/>
        </w:rPr>
        <w:t xml:space="preserve">only </w:t>
      </w:r>
      <w:r w:rsidR="00A9147E" w:rsidRPr="00931642">
        <w:rPr>
          <w:bCs/>
          <w:szCs w:val="22"/>
        </w:rPr>
        <w:t xml:space="preserve">TGA </w:t>
      </w:r>
      <w:r w:rsidRPr="00931642">
        <w:rPr>
          <w:bCs/>
          <w:szCs w:val="22"/>
        </w:rPr>
        <w:t>registered for use in patients aged 18 years or older.</w:t>
      </w:r>
      <w:r w:rsidR="0006642C" w:rsidRPr="00931642">
        <w:rPr>
          <w:bCs/>
          <w:szCs w:val="22"/>
        </w:rPr>
        <w:t xml:space="preserve"> The PBAC accepted the </w:t>
      </w:r>
      <w:r w:rsidR="00520732" w:rsidRPr="00931642">
        <w:rPr>
          <w:bCs/>
          <w:szCs w:val="22"/>
        </w:rPr>
        <w:t xml:space="preserve">requested </w:t>
      </w:r>
      <w:r w:rsidR="0006642C" w:rsidRPr="00931642">
        <w:rPr>
          <w:bCs/>
          <w:szCs w:val="22"/>
        </w:rPr>
        <w:t xml:space="preserve">clinical place </w:t>
      </w:r>
      <w:r w:rsidR="00520732" w:rsidRPr="00931642">
        <w:rPr>
          <w:bCs/>
          <w:szCs w:val="22"/>
        </w:rPr>
        <w:t>of</w:t>
      </w:r>
      <w:r w:rsidR="0006642C" w:rsidRPr="00931642">
        <w:rPr>
          <w:bCs/>
          <w:szCs w:val="22"/>
        </w:rPr>
        <w:t xml:space="preserve"> therapy as second-line for patients who had not achieved biochemical control using </w:t>
      </w:r>
      <w:r w:rsidR="00520732" w:rsidRPr="00931642">
        <w:rPr>
          <w:bCs/>
          <w:szCs w:val="22"/>
        </w:rPr>
        <w:t xml:space="preserve">long-acting </w:t>
      </w:r>
      <w:r w:rsidR="00302C04" w:rsidRPr="00931642">
        <w:rPr>
          <w:bCs/>
          <w:szCs w:val="22"/>
        </w:rPr>
        <w:t>octreotide/</w:t>
      </w:r>
      <w:r w:rsidR="0006642C" w:rsidRPr="00931642">
        <w:rPr>
          <w:bCs/>
          <w:szCs w:val="22"/>
        </w:rPr>
        <w:t>lanreotide.</w:t>
      </w:r>
    </w:p>
    <w:p w:rsidR="008F6F70" w:rsidRPr="00931642" w:rsidRDefault="008F6F70" w:rsidP="008F6F70">
      <w:pPr>
        <w:pStyle w:val="ListParagraph"/>
        <w:rPr>
          <w:bCs/>
          <w:szCs w:val="22"/>
        </w:rPr>
      </w:pPr>
    </w:p>
    <w:p w:rsidR="00225A09" w:rsidRPr="00931642" w:rsidRDefault="00D970D6" w:rsidP="0006642C">
      <w:pPr>
        <w:widowControl/>
        <w:numPr>
          <w:ilvl w:val="1"/>
          <w:numId w:val="6"/>
        </w:numPr>
        <w:contextualSpacing/>
        <w:rPr>
          <w:bCs/>
          <w:szCs w:val="22"/>
        </w:rPr>
      </w:pPr>
      <w:r w:rsidRPr="00931642">
        <w:rPr>
          <w:bCs/>
          <w:szCs w:val="22"/>
        </w:rPr>
        <w:t>The PBAC considered that some clinicians may wish to prescribe combination therapy with pegvisomant and an SSA. In this regard, t</w:t>
      </w:r>
      <w:r w:rsidR="0006642C" w:rsidRPr="00931642">
        <w:rPr>
          <w:bCs/>
          <w:szCs w:val="22"/>
        </w:rPr>
        <w:t xml:space="preserve">he PBAC noted </w:t>
      </w:r>
      <w:r w:rsidR="000D5166" w:rsidRPr="00931642">
        <w:rPr>
          <w:szCs w:val="22"/>
        </w:rPr>
        <w:t>the difference</w:t>
      </w:r>
      <w:r w:rsidRPr="00931642">
        <w:rPr>
          <w:szCs w:val="22"/>
        </w:rPr>
        <w:t>s</w:t>
      </w:r>
      <w:r w:rsidR="000D5166" w:rsidRPr="00931642">
        <w:rPr>
          <w:szCs w:val="22"/>
        </w:rPr>
        <w:t xml:space="preserve"> in the mechanism of action for pegvisomant and SSAs</w:t>
      </w:r>
      <w:r w:rsidR="0065669D" w:rsidRPr="00931642">
        <w:rPr>
          <w:szCs w:val="22"/>
        </w:rPr>
        <w:t xml:space="preserve"> </w:t>
      </w:r>
      <w:r w:rsidRPr="00931642">
        <w:rPr>
          <w:szCs w:val="22"/>
        </w:rPr>
        <w:t xml:space="preserve">and </w:t>
      </w:r>
      <w:r w:rsidR="0006642C" w:rsidRPr="00931642">
        <w:rPr>
          <w:bCs/>
          <w:szCs w:val="22"/>
        </w:rPr>
        <w:t xml:space="preserve">that </w:t>
      </w:r>
      <w:r w:rsidR="008F6F70" w:rsidRPr="00931642">
        <w:rPr>
          <w:bCs/>
          <w:szCs w:val="22"/>
        </w:rPr>
        <w:t xml:space="preserve">international treatment guidelines suggest </w:t>
      </w:r>
      <w:r w:rsidR="0065669D" w:rsidRPr="00931642">
        <w:rPr>
          <w:bCs/>
          <w:szCs w:val="22"/>
        </w:rPr>
        <w:t xml:space="preserve">that </w:t>
      </w:r>
      <w:r w:rsidR="008F6F70" w:rsidRPr="00931642">
        <w:rPr>
          <w:bCs/>
          <w:szCs w:val="22"/>
        </w:rPr>
        <w:t xml:space="preserve">combination therapy with pegvisomant and an </w:t>
      </w:r>
      <w:r w:rsidR="008F6F70" w:rsidRPr="005F074B">
        <w:rPr>
          <w:bCs/>
          <w:szCs w:val="22"/>
        </w:rPr>
        <w:t xml:space="preserve">SSA be considered </w:t>
      </w:r>
      <w:r w:rsidR="000D5166" w:rsidRPr="005F074B">
        <w:rPr>
          <w:bCs/>
          <w:szCs w:val="22"/>
        </w:rPr>
        <w:t xml:space="preserve">for patients who </w:t>
      </w:r>
      <w:r w:rsidR="0065669D" w:rsidRPr="005F074B">
        <w:rPr>
          <w:bCs/>
          <w:szCs w:val="22"/>
        </w:rPr>
        <w:t>partially respond to SSA therapy</w:t>
      </w:r>
      <w:r w:rsidRPr="005F074B">
        <w:rPr>
          <w:bCs/>
          <w:szCs w:val="22"/>
        </w:rPr>
        <w:t xml:space="preserve"> </w:t>
      </w:r>
      <w:r w:rsidRPr="005F074B">
        <w:rPr>
          <w:szCs w:val="22"/>
        </w:rPr>
        <w:t>(see paragraph 4.3)</w:t>
      </w:r>
      <w:r w:rsidR="0065669D" w:rsidRPr="00931642">
        <w:rPr>
          <w:bCs/>
          <w:szCs w:val="22"/>
        </w:rPr>
        <w:t xml:space="preserve">. </w:t>
      </w:r>
      <w:r w:rsidR="00770800" w:rsidRPr="00931642">
        <w:rPr>
          <w:bCs/>
          <w:szCs w:val="22"/>
        </w:rPr>
        <w:t xml:space="preserve">The PBAC also noted that </w:t>
      </w:r>
      <w:r w:rsidR="000A79F9" w:rsidRPr="00931642">
        <w:rPr>
          <w:bCs/>
          <w:szCs w:val="22"/>
        </w:rPr>
        <w:t xml:space="preserve">the </w:t>
      </w:r>
      <w:r w:rsidR="00770800" w:rsidRPr="00931642">
        <w:rPr>
          <w:bCs/>
          <w:szCs w:val="22"/>
        </w:rPr>
        <w:t xml:space="preserve">advice from the clinician at the sponsor hearing confirmed this view. </w:t>
      </w:r>
      <w:r w:rsidR="0065669D" w:rsidRPr="00931642">
        <w:rPr>
          <w:bCs/>
          <w:szCs w:val="22"/>
        </w:rPr>
        <w:t>As</w:t>
      </w:r>
      <w:r w:rsidRPr="00931642">
        <w:rPr>
          <w:bCs/>
          <w:szCs w:val="22"/>
        </w:rPr>
        <w:t xml:space="preserve"> PBS-subsidised</w:t>
      </w:r>
      <w:r w:rsidR="0065669D" w:rsidRPr="00931642">
        <w:rPr>
          <w:bCs/>
          <w:szCs w:val="22"/>
        </w:rPr>
        <w:t xml:space="preserve"> combination therapy was not requested in the current submission, </w:t>
      </w:r>
      <w:r w:rsidR="00EB294A" w:rsidRPr="00931642">
        <w:rPr>
          <w:bCs/>
          <w:szCs w:val="22"/>
        </w:rPr>
        <w:t xml:space="preserve">the clinical </w:t>
      </w:r>
      <w:r w:rsidR="008F6F70" w:rsidRPr="00931642">
        <w:rPr>
          <w:bCs/>
          <w:szCs w:val="22"/>
        </w:rPr>
        <w:t>effectiveness</w:t>
      </w:r>
      <w:r w:rsidR="00EB294A" w:rsidRPr="00931642">
        <w:rPr>
          <w:bCs/>
          <w:szCs w:val="22"/>
        </w:rPr>
        <w:t>, safety</w:t>
      </w:r>
      <w:r w:rsidR="008F6F70" w:rsidRPr="00931642">
        <w:rPr>
          <w:bCs/>
          <w:szCs w:val="22"/>
        </w:rPr>
        <w:t xml:space="preserve"> </w:t>
      </w:r>
      <w:r w:rsidR="00EB294A" w:rsidRPr="00931642">
        <w:rPr>
          <w:bCs/>
          <w:szCs w:val="22"/>
        </w:rPr>
        <w:t xml:space="preserve">and </w:t>
      </w:r>
      <w:r w:rsidR="008F6F70" w:rsidRPr="00931642">
        <w:rPr>
          <w:bCs/>
          <w:szCs w:val="22"/>
        </w:rPr>
        <w:t>cost</w:t>
      </w:r>
      <w:r w:rsidR="00770800" w:rsidRPr="00931642">
        <w:rPr>
          <w:bCs/>
          <w:szCs w:val="22"/>
        </w:rPr>
        <w:noBreakHyphen/>
      </w:r>
      <w:r w:rsidR="008F6F70" w:rsidRPr="00931642">
        <w:rPr>
          <w:bCs/>
          <w:szCs w:val="22"/>
        </w:rPr>
        <w:t>effective</w:t>
      </w:r>
      <w:r w:rsidR="0065669D" w:rsidRPr="00931642">
        <w:rPr>
          <w:bCs/>
          <w:szCs w:val="22"/>
        </w:rPr>
        <w:t xml:space="preserve">ness of combination therapy has </w:t>
      </w:r>
      <w:r w:rsidR="00EB294A" w:rsidRPr="00931642">
        <w:rPr>
          <w:bCs/>
          <w:szCs w:val="22"/>
        </w:rPr>
        <w:t xml:space="preserve">not </w:t>
      </w:r>
      <w:r w:rsidR="0065669D" w:rsidRPr="00931642">
        <w:rPr>
          <w:bCs/>
          <w:szCs w:val="22"/>
        </w:rPr>
        <w:t>been considered by the PBAC.</w:t>
      </w:r>
    </w:p>
    <w:p w:rsidR="008F6F70" w:rsidRPr="00931642" w:rsidRDefault="008F6F70" w:rsidP="006504C4">
      <w:pPr>
        <w:widowControl/>
        <w:ind w:left="720"/>
        <w:contextualSpacing/>
        <w:rPr>
          <w:bCs/>
          <w:szCs w:val="22"/>
        </w:rPr>
      </w:pPr>
    </w:p>
    <w:p w:rsidR="008F6F70" w:rsidRPr="00931642" w:rsidRDefault="008F6F70" w:rsidP="008F6F70">
      <w:pPr>
        <w:widowControl/>
        <w:numPr>
          <w:ilvl w:val="1"/>
          <w:numId w:val="6"/>
        </w:numPr>
        <w:contextualSpacing/>
        <w:rPr>
          <w:bCs/>
          <w:szCs w:val="22"/>
        </w:rPr>
      </w:pPr>
      <w:r w:rsidRPr="00931642">
        <w:rPr>
          <w:bCs/>
          <w:szCs w:val="22"/>
        </w:rPr>
        <w:t>The PBAC recommended that the restriction for pegvisomant</w:t>
      </w:r>
      <w:r w:rsidR="003B49E4">
        <w:rPr>
          <w:bCs/>
          <w:szCs w:val="22"/>
        </w:rPr>
        <w:t xml:space="preserve"> be managed as a Complex </w:t>
      </w:r>
      <w:r w:rsidR="004B567E">
        <w:rPr>
          <w:bCs/>
          <w:szCs w:val="22"/>
        </w:rPr>
        <w:t>Authority</w:t>
      </w:r>
      <w:r w:rsidR="003B49E4">
        <w:rPr>
          <w:bCs/>
          <w:szCs w:val="22"/>
        </w:rPr>
        <w:t xml:space="preserve"> Restriction by the Department of Human Services and</w:t>
      </w:r>
      <w:r w:rsidRPr="00931642">
        <w:rPr>
          <w:bCs/>
          <w:szCs w:val="22"/>
        </w:rPr>
        <w:t xml:space="preserve"> be based on the current </w:t>
      </w:r>
      <w:r w:rsidR="00690E25" w:rsidRPr="00931642">
        <w:rPr>
          <w:bCs/>
          <w:szCs w:val="22"/>
        </w:rPr>
        <w:t xml:space="preserve">written authority </w:t>
      </w:r>
      <w:r w:rsidRPr="00931642">
        <w:rPr>
          <w:bCs/>
          <w:szCs w:val="22"/>
        </w:rPr>
        <w:t xml:space="preserve">restriction for pasireotide, with the following </w:t>
      </w:r>
      <w:r w:rsidR="00647763" w:rsidRPr="00931642">
        <w:rPr>
          <w:bCs/>
          <w:szCs w:val="22"/>
        </w:rPr>
        <w:t>changes</w:t>
      </w:r>
      <w:r w:rsidRPr="00931642">
        <w:rPr>
          <w:bCs/>
          <w:szCs w:val="22"/>
        </w:rPr>
        <w:t xml:space="preserve">: </w:t>
      </w:r>
    </w:p>
    <w:p w:rsidR="00D970D6" w:rsidRPr="00931642" w:rsidRDefault="00D970D6" w:rsidP="00D970D6">
      <w:pPr>
        <w:widowControl/>
        <w:numPr>
          <w:ilvl w:val="2"/>
          <w:numId w:val="6"/>
        </w:numPr>
        <w:ind w:left="993" w:hanging="284"/>
        <w:contextualSpacing/>
        <w:rPr>
          <w:bCs/>
          <w:szCs w:val="22"/>
        </w:rPr>
      </w:pPr>
      <w:r w:rsidRPr="00931642">
        <w:rPr>
          <w:bCs/>
          <w:szCs w:val="22"/>
        </w:rPr>
        <w:t xml:space="preserve">A criterion preventing combination </w:t>
      </w:r>
      <w:r w:rsidRPr="00931642">
        <w:rPr>
          <w:szCs w:val="22"/>
        </w:rPr>
        <w:t>use of pegvisomant with a PBS-subsidised SSA should be added as the cost</w:t>
      </w:r>
      <w:r w:rsidR="00770800" w:rsidRPr="00931642">
        <w:rPr>
          <w:szCs w:val="22"/>
        </w:rPr>
        <w:t>-</w:t>
      </w:r>
      <w:r w:rsidRPr="00931642">
        <w:rPr>
          <w:szCs w:val="22"/>
        </w:rPr>
        <w:t>effectiveness of combination treatment has not been assessed. A similar flow-on change should be made to the octreotide, lanreotide and pasireotide restrictions to specify that “treatment must not be in combination with PBS-subsidised pegvisomant”.</w:t>
      </w:r>
    </w:p>
    <w:p w:rsidR="008F6F70" w:rsidRPr="00931642" w:rsidRDefault="003B49E4" w:rsidP="008F6F70">
      <w:pPr>
        <w:widowControl/>
        <w:numPr>
          <w:ilvl w:val="2"/>
          <w:numId w:val="6"/>
        </w:numPr>
        <w:ind w:left="993" w:hanging="284"/>
        <w:contextualSpacing/>
        <w:rPr>
          <w:bCs/>
          <w:szCs w:val="22"/>
        </w:rPr>
      </w:pPr>
      <w:r>
        <w:rPr>
          <w:bCs/>
          <w:szCs w:val="22"/>
        </w:rPr>
        <w:t>The restriction to be silent on age, to allow for us</w:t>
      </w:r>
      <w:r w:rsidR="005738EF">
        <w:rPr>
          <w:bCs/>
          <w:szCs w:val="22"/>
        </w:rPr>
        <w:t>e in patients aged less than 18 </w:t>
      </w:r>
      <w:r>
        <w:rPr>
          <w:bCs/>
          <w:szCs w:val="22"/>
        </w:rPr>
        <w:t>years.</w:t>
      </w:r>
    </w:p>
    <w:p w:rsidR="00EF406A" w:rsidRPr="00931642" w:rsidRDefault="004A1854" w:rsidP="00770800">
      <w:pPr>
        <w:widowControl/>
        <w:numPr>
          <w:ilvl w:val="2"/>
          <w:numId w:val="6"/>
        </w:numPr>
        <w:ind w:left="993" w:hanging="284"/>
        <w:contextualSpacing/>
        <w:rPr>
          <w:bCs/>
          <w:szCs w:val="22"/>
        </w:rPr>
      </w:pPr>
      <w:r w:rsidRPr="00931642">
        <w:rPr>
          <w:szCs w:val="22"/>
        </w:rPr>
        <w:t xml:space="preserve">A stopping rule, </w:t>
      </w:r>
      <w:r w:rsidR="00770800" w:rsidRPr="00931642">
        <w:rPr>
          <w:szCs w:val="22"/>
        </w:rPr>
        <w:t xml:space="preserve">consistent with the listings for octreotide and lanreotide </w:t>
      </w:r>
      <w:r w:rsidRPr="00931642">
        <w:rPr>
          <w:szCs w:val="22"/>
        </w:rPr>
        <w:t xml:space="preserve">that “treatment must cease if IGF-1 is not lower after 3 months of treatment at </w:t>
      </w:r>
      <w:r w:rsidR="00703856" w:rsidRPr="00931642">
        <w:rPr>
          <w:szCs w:val="22"/>
        </w:rPr>
        <w:t xml:space="preserve">the maximum </w:t>
      </w:r>
      <w:r w:rsidR="004B567E" w:rsidRPr="00931642">
        <w:rPr>
          <w:szCs w:val="22"/>
        </w:rPr>
        <w:t>tolerated</w:t>
      </w:r>
      <w:r w:rsidR="00703856" w:rsidRPr="00931642">
        <w:rPr>
          <w:szCs w:val="22"/>
        </w:rPr>
        <w:t xml:space="preserve"> dose</w:t>
      </w:r>
      <w:r w:rsidRPr="00931642">
        <w:rPr>
          <w:szCs w:val="22"/>
        </w:rPr>
        <w:t xml:space="preserve">”. </w:t>
      </w:r>
      <w:r w:rsidR="000A77A8" w:rsidRPr="00931642">
        <w:rPr>
          <w:szCs w:val="22"/>
        </w:rPr>
        <w:t>In November 2015, the PBAC did not recommended a stopping rule for pasireotide because it was considered that clinicians are unlikely to continue ineffective treatment due to the substantial risk of harms. Pegvisomant is not associated with the same risk of hyperglycaemia and diabetes, and therefore a stopping rule was considered nece</w:t>
      </w:r>
      <w:r w:rsidR="000343D7" w:rsidRPr="00931642">
        <w:rPr>
          <w:szCs w:val="22"/>
        </w:rPr>
        <w:t>s</w:t>
      </w:r>
      <w:r w:rsidR="000A77A8" w:rsidRPr="00931642">
        <w:rPr>
          <w:szCs w:val="22"/>
        </w:rPr>
        <w:t>sary.</w:t>
      </w:r>
    </w:p>
    <w:p w:rsidR="00C33493" w:rsidRPr="00931642" w:rsidRDefault="00A913D4" w:rsidP="00A913D4">
      <w:pPr>
        <w:widowControl/>
        <w:numPr>
          <w:ilvl w:val="2"/>
          <w:numId w:val="6"/>
        </w:numPr>
        <w:ind w:left="993" w:hanging="284"/>
        <w:contextualSpacing/>
        <w:rPr>
          <w:bCs/>
          <w:szCs w:val="22"/>
        </w:rPr>
      </w:pPr>
      <w:r w:rsidRPr="00931642">
        <w:rPr>
          <w:szCs w:val="22"/>
        </w:rPr>
        <w:lastRenderedPageBreak/>
        <w:t xml:space="preserve">In addition, the PBAC noted that </w:t>
      </w:r>
      <w:r w:rsidR="00C33493" w:rsidRPr="00931642">
        <w:rPr>
          <w:bCs/>
          <w:szCs w:val="22"/>
        </w:rPr>
        <w:t xml:space="preserve">some patients </w:t>
      </w:r>
      <w:r w:rsidRPr="00931642">
        <w:rPr>
          <w:bCs/>
          <w:szCs w:val="22"/>
        </w:rPr>
        <w:t>are currently</w:t>
      </w:r>
      <w:r w:rsidR="00C33493" w:rsidRPr="00931642">
        <w:rPr>
          <w:bCs/>
          <w:szCs w:val="22"/>
        </w:rPr>
        <w:t xml:space="preserve"> receiving pegvisomant through a special access scheme</w:t>
      </w:r>
      <w:r w:rsidRPr="00931642">
        <w:rPr>
          <w:bCs/>
          <w:szCs w:val="22"/>
        </w:rPr>
        <w:t xml:space="preserve"> and that </w:t>
      </w:r>
      <w:r w:rsidR="00C33493" w:rsidRPr="00931642">
        <w:rPr>
          <w:bCs/>
          <w:szCs w:val="22"/>
        </w:rPr>
        <w:t>it would be reasonable for these patients to be grandfathered on to the PBS.</w:t>
      </w:r>
      <w:r w:rsidRPr="00931642">
        <w:rPr>
          <w:bCs/>
          <w:szCs w:val="22"/>
        </w:rPr>
        <w:t xml:space="preserve"> </w:t>
      </w:r>
    </w:p>
    <w:p w:rsidR="00C33493" w:rsidRPr="00931642" w:rsidRDefault="00C33493" w:rsidP="00C33493">
      <w:pPr>
        <w:widowControl/>
        <w:ind w:left="720"/>
        <w:contextualSpacing/>
        <w:rPr>
          <w:bCs/>
          <w:szCs w:val="22"/>
        </w:rPr>
      </w:pPr>
    </w:p>
    <w:p w:rsidR="00EF406A" w:rsidRPr="00931642" w:rsidRDefault="00690E25" w:rsidP="000B2A08">
      <w:pPr>
        <w:widowControl/>
        <w:numPr>
          <w:ilvl w:val="1"/>
          <w:numId w:val="6"/>
        </w:numPr>
        <w:contextualSpacing/>
        <w:rPr>
          <w:bCs/>
          <w:szCs w:val="22"/>
        </w:rPr>
      </w:pPr>
      <w:r w:rsidRPr="00931642">
        <w:rPr>
          <w:bCs/>
          <w:szCs w:val="22"/>
        </w:rPr>
        <w:t>The PBAC</w:t>
      </w:r>
      <w:r w:rsidR="008D38FE" w:rsidRPr="00931642">
        <w:rPr>
          <w:bCs/>
          <w:szCs w:val="22"/>
        </w:rPr>
        <w:t xml:space="preserve"> noted that on the basis of the </w:t>
      </w:r>
      <w:r w:rsidRPr="00931642">
        <w:rPr>
          <w:bCs/>
          <w:szCs w:val="22"/>
        </w:rPr>
        <w:t xml:space="preserve">naïve indirect comparison of a </w:t>
      </w:r>
      <w:r w:rsidRPr="00931642">
        <w:rPr>
          <w:bCs/>
          <w:i/>
          <w:szCs w:val="22"/>
        </w:rPr>
        <w:t>post hoc</w:t>
      </w:r>
      <w:r w:rsidRPr="00931642">
        <w:rPr>
          <w:bCs/>
          <w:szCs w:val="22"/>
        </w:rPr>
        <w:t xml:space="preserve"> </w:t>
      </w:r>
      <w:r w:rsidR="000B2A08" w:rsidRPr="00931642">
        <w:rPr>
          <w:bCs/>
          <w:szCs w:val="22"/>
        </w:rPr>
        <w:t xml:space="preserve">PBS </w:t>
      </w:r>
      <w:r w:rsidRPr="00931642">
        <w:rPr>
          <w:bCs/>
          <w:szCs w:val="22"/>
        </w:rPr>
        <w:t>sub-group from one placebo-controlled pegvisomant trial (T</w:t>
      </w:r>
      <w:r w:rsidR="008D38FE" w:rsidRPr="00931642">
        <w:rPr>
          <w:bCs/>
          <w:szCs w:val="22"/>
        </w:rPr>
        <w:t xml:space="preserve">rial </w:t>
      </w:r>
      <w:r w:rsidRPr="00931642">
        <w:rPr>
          <w:bCs/>
          <w:szCs w:val="22"/>
        </w:rPr>
        <w:t xml:space="preserve">3614) and </w:t>
      </w:r>
      <w:r w:rsidR="008D38FE" w:rsidRPr="00931642">
        <w:rPr>
          <w:bCs/>
          <w:szCs w:val="22"/>
        </w:rPr>
        <w:t xml:space="preserve">a </w:t>
      </w:r>
      <w:r w:rsidRPr="00931642">
        <w:rPr>
          <w:bCs/>
          <w:szCs w:val="22"/>
        </w:rPr>
        <w:t>trial of pasireotide versus an active control arm of either long-acting octreotide or lanreotide (Gadelha 2014)</w:t>
      </w:r>
      <w:r w:rsidR="008D38FE" w:rsidRPr="00931642">
        <w:rPr>
          <w:bCs/>
          <w:szCs w:val="22"/>
        </w:rPr>
        <w:t xml:space="preserve">, pegvisomant </w:t>
      </w:r>
      <w:r w:rsidR="00770800" w:rsidRPr="00931642">
        <w:rPr>
          <w:bCs/>
          <w:szCs w:val="22"/>
        </w:rPr>
        <w:t>was</w:t>
      </w:r>
      <w:r w:rsidR="008D38FE" w:rsidRPr="00931642">
        <w:rPr>
          <w:bCs/>
          <w:szCs w:val="22"/>
        </w:rPr>
        <w:t xml:space="preserve"> associated with IGF</w:t>
      </w:r>
      <w:r w:rsidR="008E42F3" w:rsidRPr="00931642">
        <w:rPr>
          <w:bCs/>
          <w:szCs w:val="22"/>
        </w:rPr>
        <w:noBreakHyphen/>
      </w:r>
      <w:r w:rsidR="008D38FE" w:rsidRPr="00931642">
        <w:rPr>
          <w:bCs/>
          <w:szCs w:val="22"/>
        </w:rPr>
        <w:t>1 normalisation in 55% of patients (23/31</w:t>
      </w:r>
      <w:r w:rsidR="00D73292" w:rsidRPr="00931642">
        <w:rPr>
          <w:bCs/>
          <w:szCs w:val="22"/>
        </w:rPr>
        <w:t xml:space="preserve"> patients</w:t>
      </w:r>
      <w:r w:rsidR="008D38FE" w:rsidRPr="00931642">
        <w:rPr>
          <w:bCs/>
          <w:szCs w:val="22"/>
        </w:rPr>
        <w:t xml:space="preserve"> – see Table 4), compared with 25% (33/130</w:t>
      </w:r>
      <w:r w:rsidR="00D73292" w:rsidRPr="00931642">
        <w:rPr>
          <w:bCs/>
          <w:szCs w:val="22"/>
        </w:rPr>
        <w:t xml:space="preserve"> patients</w:t>
      </w:r>
      <w:r w:rsidR="008D38FE" w:rsidRPr="00931642">
        <w:rPr>
          <w:bCs/>
          <w:szCs w:val="22"/>
        </w:rPr>
        <w:t>) of patients receiving pasireotide 40 mg or 60 mg per month</w:t>
      </w:r>
      <w:r w:rsidRPr="00931642">
        <w:rPr>
          <w:bCs/>
          <w:szCs w:val="22"/>
        </w:rPr>
        <w:t xml:space="preserve">. </w:t>
      </w:r>
      <w:r w:rsidR="008D38FE" w:rsidRPr="00931642">
        <w:rPr>
          <w:bCs/>
          <w:szCs w:val="22"/>
        </w:rPr>
        <w:t xml:space="preserve">However, the PBAC noted that growth hormone levels increased </w:t>
      </w:r>
      <w:r w:rsidR="00463C8D" w:rsidRPr="00931642">
        <w:rPr>
          <w:bCs/>
          <w:szCs w:val="22"/>
        </w:rPr>
        <w:t xml:space="preserve">with pegvisomant, </w:t>
      </w:r>
      <w:r w:rsidR="008D38FE" w:rsidRPr="00931642">
        <w:rPr>
          <w:bCs/>
          <w:szCs w:val="22"/>
        </w:rPr>
        <w:t>as expected given the different mechanism of action</w:t>
      </w:r>
      <w:r w:rsidR="00463C8D" w:rsidRPr="00931642">
        <w:rPr>
          <w:bCs/>
          <w:szCs w:val="22"/>
        </w:rPr>
        <w:t>, and that</w:t>
      </w:r>
      <w:r w:rsidR="008D38FE" w:rsidRPr="00931642">
        <w:rPr>
          <w:bCs/>
          <w:szCs w:val="22"/>
        </w:rPr>
        <w:t xml:space="preserve"> pituitary tumour volume did </w:t>
      </w:r>
      <w:r w:rsidR="00463C8D" w:rsidRPr="00931642">
        <w:rPr>
          <w:bCs/>
          <w:szCs w:val="22"/>
        </w:rPr>
        <w:t xml:space="preserve">not change (with a risk of increasing tumour size). </w:t>
      </w:r>
      <w:r w:rsidR="00463C8D" w:rsidRPr="00931642">
        <w:rPr>
          <w:szCs w:val="22"/>
        </w:rPr>
        <w:t>The PBAC noted that reduction in tumour volume is an expected effect associated with SSAs, and can be beneficial for some patients.</w:t>
      </w:r>
      <w:r w:rsidR="008D38FE" w:rsidRPr="00931642">
        <w:rPr>
          <w:bCs/>
          <w:szCs w:val="22"/>
        </w:rPr>
        <w:t xml:space="preserve"> </w:t>
      </w:r>
      <w:r w:rsidR="00EF406A" w:rsidRPr="00931642">
        <w:rPr>
          <w:bCs/>
          <w:szCs w:val="22"/>
        </w:rPr>
        <w:t xml:space="preserve">The PBAC </w:t>
      </w:r>
      <w:r w:rsidR="008D38FE" w:rsidRPr="00931642">
        <w:rPr>
          <w:bCs/>
          <w:szCs w:val="22"/>
        </w:rPr>
        <w:t>considered that the clinical importance of the</w:t>
      </w:r>
      <w:r w:rsidR="00463C8D" w:rsidRPr="00931642">
        <w:rPr>
          <w:bCs/>
          <w:szCs w:val="22"/>
        </w:rPr>
        <w:t xml:space="preserve">se differences </w:t>
      </w:r>
      <w:r w:rsidR="008D38FE" w:rsidRPr="00931642">
        <w:rPr>
          <w:bCs/>
          <w:szCs w:val="22"/>
        </w:rPr>
        <w:t>was unclear</w:t>
      </w:r>
      <w:r w:rsidR="000B2A08" w:rsidRPr="00931642">
        <w:rPr>
          <w:bCs/>
          <w:szCs w:val="22"/>
        </w:rPr>
        <w:t>. The PBAC further considered that although a causal relationship between IGF-1 and mortality had not been demonstrated, evidence suggests that there may be an association between GH and IGF-1 levels and mortality, and it was therefore a reasonable surrogate marker.</w:t>
      </w:r>
      <w:r w:rsidR="008D38FE" w:rsidRPr="00931642">
        <w:rPr>
          <w:bCs/>
          <w:szCs w:val="22"/>
        </w:rPr>
        <w:t xml:space="preserve"> </w:t>
      </w:r>
      <w:r w:rsidR="00D73292" w:rsidRPr="00931642">
        <w:rPr>
          <w:bCs/>
          <w:szCs w:val="22"/>
        </w:rPr>
        <w:t>O</w:t>
      </w:r>
      <w:r w:rsidR="00BD7B53" w:rsidRPr="00931642">
        <w:rPr>
          <w:bCs/>
          <w:szCs w:val="22"/>
        </w:rPr>
        <w:t>verall</w:t>
      </w:r>
      <w:r w:rsidR="00D73292" w:rsidRPr="00931642">
        <w:rPr>
          <w:bCs/>
          <w:szCs w:val="22"/>
        </w:rPr>
        <w:t>,</w:t>
      </w:r>
      <w:r w:rsidR="000B2A08" w:rsidRPr="00931642">
        <w:rPr>
          <w:bCs/>
          <w:szCs w:val="22"/>
        </w:rPr>
        <w:t xml:space="preserve"> the PBAC </w:t>
      </w:r>
      <w:r w:rsidR="00BD7B53" w:rsidRPr="00931642">
        <w:rPr>
          <w:bCs/>
          <w:szCs w:val="22"/>
        </w:rPr>
        <w:t>considered</w:t>
      </w:r>
      <w:r w:rsidR="00EF406A" w:rsidRPr="00931642">
        <w:rPr>
          <w:bCs/>
          <w:szCs w:val="22"/>
        </w:rPr>
        <w:t xml:space="preserve"> that the clinical claim of superior efficacy was inadequately supported by the evidence </w:t>
      </w:r>
      <w:r w:rsidR="000B2A08" w:rsidRPr="00931642">
        <w:rPr>
          <w:bCs/>
          <w:szCs w:val="22"/>
        </w:rPr>
        <w:t xml:space="preserve">and that </w:t>
      </w:r>
      <w:r w:rsidR="00BD7B53" w:rsidRPr="00931642">
        <w:rPr>
          <w:bCs/>
          <w:szCs w:val="22"/>
        </w:rPr>
        <w:t>a</w:t>
      </w:r>
      <w:r w:rsidR="00164AA2" w:rsidRPr="00931642">
        <w:rPr>
          <w:bCs/>
          <w:szCs w:val="22"/>
        </w:rPr>
        <w:t xml:space="preserve"> listing on the basis of</w:t>
      </w:r>
      <w:r w:rsidR="00EF406A" w:rsidRPr="00931642">
        <w:rPr>
          <w:bCs/>
          <w:szCs w:val="22"/>
        </w:rPr>
        <w:t xml:space="preserve"> </w:t>
      </w:r>
      <w:r w:rsidR="00BD7B53" w:rsidRPr="00931642">
        <w:rPr>
          <w:bCs/>
          <w:szCs w:val="22"/>
        </w:rPr>
        <w:t xml:space="preserve">a </w:t>
      </w:r>
      <w:r w:rsidR="00EF406A" w:rsidRPr="00931642">
        <w:rPr>
          <w:bCs/>
          <w:szCs w:val="22"/>
        </w:rPr>
        <w:t>cost</w:t>
      </w:r>
      <w:r w:rsidR="00EF406A" w:rsidRPr="00931642">
        <w:rPr>
          <w:bCs/>
          <w:szCs w:val="22"/>
        </w:rPr>
        <w:noBreakHyphen/>
        <w:t>minimisation</w:t>
      </w:r>
      <w:r w:rsidR="00BD7B53" w:rsidRPr="00931642">
        <w:rPr>
          <w:bCs/>
          <w:szCs w:val="22"/>
        </w:rPr>
        <w:t xml:space="preserve"> comparison</w:t>
      </w:r>
      <w:r w:rsidR="00EF406A" w:rsidRPr="00931642">
        <w:rPr>
          <w:bCs/>
          <w:szCs w:val="22"/>
        </w:rPr>
        <w:t xml:space="preserve"> to pasireotide was more appropriate.</w:t>
      </w:r>
    </w:p>
    <w:p w:rsidR="00EF406A" w:rsidRPr="00931642" w:rsidRDefault="00EF406A" w:rsidP="00EF406A">
      <w:pPr>
        <w:widowControl/>
        <w:contextualSpacing/>
        <w:rPr>
          <w:bCs/>
          <w:szCs w:val="22"/>
        </w:rPr>
      </w:pPr>
    </w:p>
    <w:p w:rsidR="00CE66B1" w:rsidRPr="00931642" w:rsidRDefault="00CE66B1" w:rsidP="00CE66B1">
      <w:pPr>
        <w:widowControl/>
        <w:numPr>
          <w:ilvl w:val="1"/>
          <w:numId w:val="6"/>
        </w:numPr>
        <w:contextualSpacing/>
        <w:rPr>
          <w:bCs/>
          <w:szCs w:val="22"/>
        </w:rPr>
      </w:pPr>
      <w:r w:rsidRPr="00931642">
        <w:rPr>
          <w:bCs/>
          <w:szCs w:val="22"/>
        </w:rPr>
        <w:t xml:space="preserve">The PBAC </w:t>
      </w:r>
      <w:r w:rsidR="000A77A8" w:rsidRPr="00931642">
        <w:rPr>
          <w:bCs/>
          <w:szCs w:val="22"/>
        </w:rPr>
        <w:t>noted</w:t>
      </w:r>
      <w:r w:rsidRPr="00931642">
        <w:rPr>
          <w:bCs/>
          <w:szCs w:val="22"/>
        </w:rPr>
        <w:t xml:space="preserve"> the issues </w:t>
      </w:r>
      <w:proofErr w:type="gramStart"/>
      <w:r w:rsidRPr="00931642">
        <w:rPr>
          <w:bCs/>
          <w:szCs w:val="22"/>
        </w:rPr>
        <w:t>raised</w:t>
      </w:r>
      <w:proofErr w:type="gramEnd"/>
      <w:r w:rsidRPr="00931642">
        <w:rPr>
          <w:bCs/>
          <w:szCs w:val="22"/>
        </w:rPr>
        <w:t xml:space="preserve"> by the ESC with regard to the economic model and financial estimates, but did not consider these further in view of the cost</w:t>
      </w:r>
      <w:r w:rsidRPr="00931642">
        <w:rPr>
          <w:bCs/>
          <w:szCs w:val="22"/>
        </w:rPr>
        <w:noBreakHyphen/>
        <w:t xml:space="preserve">minimisation proposal provided in the pre-PBAC response. </w:t>
      </w:r>
    </w:p>
    <w:p w:rsidR="00CE66B1" w:rsidRPr="00931642" w:rsidRDefault="00CE66B1" w:rsidP="00CE66B1">
      <w:pPr>
        <w:widowControl/>
        <w:contextualSpacing/>
        <w:rPr>
          <w:bCs/>
          <w:szCs w:val="22"/>
        </w:rPr>
      </w:pPr>
    </w:p>
    <w:p w:rsidR="005F7379" w:rsidRPr="00931642" w:rsidRDefault="006E21FC" w:rsidP="006504C4">
      <w:pPr>
        <w:widowControl/>
        <w:numPr>
          <w:ilvl w:val="1"/>
          <w:numId w:val="6"/>
        </w:numPr>
        <w:contextualSpacing/>
        <w:rPr>
          <w:bCs/>
          <w:szCs w:val="22"/>
        </w:rPr>
      </w:pPr>
      <w:r w:rsidRPr="00931642">
        <w:rPr>
          <w:bCs/>
          <w:szCs w:val="22"/>
        </w:rPr>
        <w:t>The PBAC</w:t>
      </w:r>
      <w:r w:rsidR="00EF406A" w:rsidRPr="00931642">
        <w:rPr>
          <w:bCs/>
          <w:szCs w:val="22"/>
        </w:rPr>
        <w:t xml:space="preserve"> </w:t>
      </w:r>
      <w:r w:rsidR="004542B0" w:rsidRPr="00931642">
        <w:rPr>
          <w:bCs/>
          <w:szCs w:val="22"/>
        </w:rPr>
        <w:t>noted that the sponsor proposed an equi</w:t>
      </w:r>
      <w:r w:rsidR="00225A09" w:rsidRPr="00931642">
        <w:rPr>
          <w:bCs/>
          <w:szCs w:val="22"/>
        </w:rPr>
        <w:t>-</w:t>
      </w:r>
      <w:r w:rsidR="004542B0" w:rsidRPr="00931642">
        <w:rPr>
          <w:bCs/>
          <w:szCs w:val="22"/>
        </w:rPr>
        <w:t>effective dose of 14.23 mg pegvisomant to</w:t>
      </w:r>
      <w:r w:rsidR="00225A09" w:rsidRPr="00931642">
        <w:rPr>
          <w:bCs/>
          <w:szCs w:val="22"/>
        </w:rPr>
        <w:t xml:space="preserve"> </w:t>
      </w:r>
      <w:r w:rsidR="004542B0" w:rsidRPr="00931642">
        <w:rPr>
          <w:bCs/>
          <w:szCs w:val="22"/>
        </w:rPr>
        <w:t xml:space="preserve">40 </w:t>
      </w:r>
      <w:r w:rsidR="00225A09" w:rsidRPr="00931642">
        <w:rPr>
          <w:bCs/>
          <w:szCs w:val="22"/>
        </w:rPr>
        <w:t xml:space="preserve">mg </w:t>
      </w:r>
      <w:r w:rsidR="0023655D" w:rsidRPr="00931642">
        <w:rPr>
          <w:bCs/>
          <w:szCs w:val="22"/>
        </w:rPr>
        <w:t>and</w:t>
      </w:r>
      <w:r w:rsidR="004542B0" w:rsidRPr="00931642">
        <w:rPr>
          <w:bCs/>
          <w:szCs w:val="22"/>
        </w:rPr>
        <w:t xml:space="preserve"> 60 mg pasireotide</w:t>
      </w:r>
      <w:r w:rsidR="00CE66B1" w:rsidRPr="00931642">
        <w:rPr>
          <w:bCs/>
          <w:szCs w:val="22"/>
        </w:rPr>
        <w:t>.</w:t>
      </w:r>
      <w:r w:rsidR="004542B0" w:rsidRPr="00931642">
        <w:rPr>
          <w:bCs/>
          <w:szCs w:val="22"/>
        </w:rPr>
        <w:t xml:space="preserve"> </w:t>
      </w:r>
      <w:r w:rsidR="007664D6" w:rsidRPr="00931642">
        <w:rPr>
          <w:bCs/>
          <w:szCs w:val="22"/>
        </w:rPr>
        <w:t>The PBAC recommended pegvisomant under the conditions discussed in paragraphs 6.34-6.44.</w:t>
      </w:r>
    </w:p>
    <w:p w:rsidR="005F7379" w:rsidRPr="00931642" w:rsidRDefault="005F7379" w:rsidP="005F7379">
      <w:pPr>
        <w:pStyle w:val="ListParagraph"/>
        <w:rPr>
          <w:bCs/>
          <w:szCs w:val="22"/>
        </w:rPr>
      </w:pPr>
    </w:p>
    <w:p w:rsidR="006E21FC" w:rsidRPr="00931642" w:rsidRDefault="00EF406A" w:rsidP="00770800">
      <w:pPr>
        <w:widowControl/>
        <w:numPr>
          <w:ilvl w:val="1"/>
          <w:numId w:val="6"/>
        </w:numPr>
        <w:contextualSpacing/>
        <w:rPr>
          <w:bCs/>
          <w:szCs w:val="22"/>
        </w:rPr>
      </w:pPr>
      <w:r w:rsidRPr="00931642">
        <w:rPr>
          <w:bCs/>
          <w:szCs w:val="22"/>
        </w:rPr>
        <w:t xml:space="preserve">The PBAC </w:t>
      </w:r>
      <w:r w:rsidR="00E71CE5" w:rsidRPr="00931642">
        <w:rPr>
          <w:bCs/>
          <w:szCs w:val="22"/>
        </w:rPr>
        <w:t xml:space="preserve">considered that </w:t>
      </w:r>
      <w:r w:rsidRPr="00931642">
        <w:rPr>
          <w:bCs/>
          <w:szCs w:val="22"/>
        </w:rPr>
        <w:t xml:space="preserve">as pegvisomant does not carry the same risk of hyperglycaemia or diabetes as pasireotide, </w:t>
      </w:r>
      <w:r w:rsidR="00E71CE5" w:rsidRPr="00931642">
        <w:rPr>
          <w:bCs/>
          <w:szCs w:val="22"/>
        </w:rPr>
        <w:t>the cost offset applied to pasireotide for diabetes treatment should not be applied to pegvisomant</w:t>
      </w:r>
      <w:r w:rsidRPr="00931642">
        <w:rPr>
          <w:bCs/>
          <w:szCs w:val="22"/>
        </w:rPr>
        <w:t>. However, the PBAC noted that abnormal liver function has been observed with pegvisomant treatment</w:t>
      </w:r>
      <w:r w:rsidR="00164AA2" w:rsidRPr="00931642">
        <w:rPr>
          <w:bCs/>
          <w:szCs w:val="22"/>
        </w:rPr>
        <w:t xml:space="preserve">, and that the AACE guidelines for the treatment of acromegaly </w:t>
      </w:r>
      <w:r w:rsidR="00BD7B53" w:rsidRPr="00931642">
        <w:rPr>
          <w:bCs/>
          <w:szCs w:val="22"/>
        </w:rPr>
        <w:t>recommend testing</w:t>
      </w:r>
      <w:r w:rsidR="00164AA2" w:rsidRPr="00931642">
        <w:rPr>
          <w:bCs/>
          <w:szCs w:val="22"/>
        </w:rPr>
        <w:t xml:space="preserve"> liver function for patients on pegvis</w:t>
      </w:r>
      <w:r w:rsidR="00164AA2" w:rsidRPr="005F074B">
        <w:rPr>
          <w:bCs/>
          <w:szCs w:val="22"/>
        </w:rPr>
        <w:t>omant</w:t>
      </w:r>
      <w:r w:rsidR="004B2784" w:rsidRPr="005F074B">
        <w:rPr>
          <w:bCs/>
          <w:szCs w:val="22"/>
        </w:rPr>
        <w:t xml:space="preserve"> (see paragraph 6.21)</w:t>
      </w:r>
      <w:r w:rsidR="00164AA2" w:rsidRPr="005F074B">
        <w:rPr>
          <w:bCs/>
          <w:szCs w:val="22"/>
        </w:rPr>
        <w:t>. The P</w:t>
      </w:r>
      <w:r w:rsidR="00164AA2" w:rsidRPr="00931642">
        <w:rPr>
          <w:bCs/>
          <w:szCs w:val="22"/>
        </w:rPr>
        <w:t xml:space="preserve">BAC therefore considered </w:t>
      </w:r>
      <w:r w:rsidR="00E71CE5" w:rsidRPr="00931642">
        <w:rPr>
          <w:bCs/>
          <w:szCs w:val="22"/>
        </w:rPr>
        <w:t>that a cost</w:t>
      </w:r>
      <w:r w:rsidR="00770800" w:rsidRPr="00931642">
        <w:rPr>
          <w:bCs/>
          <w:szCs w:val="22"/>
        </w:rPr>
        <w:noBreakHyphen/>
      </w:r>
      <w:r w:rsidR="00E71CE5" w:rsidRPr="00931642">
        <w:rPr>
          <w:bCs/>
          <w:szCs w:val="22"/>
        </w:rPr>
        <w:t>offset for live</w:t>
      </w:r>
      <w:r w:rsidR="00E71CE5" w:rsidRPr="005F074B">
        <w:rPr>
          <w:bCs/>
          <w:szCs w:val="22"/>
        </w:rPr>
        <w:t xml:space="preserve">r function testing should be </w:t>
      </w:r>
      <w:r w:rsidR="00B43B49" w:rsidRPr="005F074B">
        <w:rPr>
          <w:bCs/>
          <w:szCs w:val="22"/>
        </w:rPr>
        <w:t xml:space="preserve">included in the cost minimisation analysis for </w:t>
      </w:r>
      <w:r w:rsidR="00E71CE5" w:rsidRPr="005F074B">
        <w:rPr>
          <w:bCs/>
          <w:szCs w:val="22"/>
        </w:rPr>
        <w:t>pegvisomant</w:t>
      </w:r>
      <w:r w:rsidR="00B43B49" w:rsidRPr="005F074B">
        <w:rPr>
          <w:bCs/>
          <w:szCs w:val="22"/>
        </w:rPr>
        <w:t xml:space="preserve"> (see paragraph 6.4</w:t>
      </w:r>
      <w:r w:rsidR="005F074B" w:rsidRPr="005F074B">
        <w:rPr>
          <w:bCs/>
          <w:szCs w:val="22"/>
        </w:rPr>
        <w:t>4</w:t>
      </w:r>
      <w:r w:rsidR="00B43B49" w:rsidRPr="005F074B">
        <w:rPr>
          <w:bCs/>
          <w:szCs w:val="22"/>
        </w:rPr>
        <w:t>)</w:t>
      </w:r>
      <w:r w:rsidR="00E71CE5" w:rsidRPr="005F074B">
        <w:rPr>
          <w:bCs/>
          <w:szCs w:val="22"/>
        </w:rPr>
        <w:t>.</w:t>
      </w:r>
    </w:p>
    <w:p w:rsidR="008141C0" w:rsidRPr="00931642" w:rsidRDefault="008141C0" w:rsidP="006504C4">
      <w:pPr>
        <w:widowControl/>
        <w:contextualSpacing/>
        <w:rPr>
          <w:bCs/>
          <w:szCs w:val="22"/>
        </w:rPr>
      </w:pPr>
    </w:p>
    <w:p w:rsidR="006E21FC" w:rsidRPr="00931642" w:rsidRDefault="008141C0" w:rsidP="00C33493">
      <w:pPr>
        <w:widowControl/>
        <w:numPr>
          <w:ilvl w:val="1"/>
          <w:numId w:val="6"/>
        </w:numPr>
        <w:contextualSpacing/>
      </w:pPr>
      <w:r w:rsidRPr="00931642">
        <w:rPr>
          <w:bCs/>
          <w:szCs w:val="22"/>
        </w:rPr>
        <w:t xml:space="preserve">The PBAC </w:t>
      </w:r>
      <w:r w:rsidR="005145EA" w:rsidRPr="00931642">
        <w:rPr>
          <w:bCs/>
          <w:szCs w:val="22"/>
        </w:rPr>
        <w:t xml:space="preserve">noted that the financial estimates in the submission will require updating in line with the recommended second-line listing on the basis of cost minimisation to pasireotide. The PBAC </w:t>
      </w:r>
      <w:r w:rsidR="00994B06" w:rsidRPr="00931642">
        <w:rPr>
          <w:bCs/>
          <w:szCs w:val="22"/>
        </w:rPr>
        <w:t>recommended</w:t>
      </w:r>
      <w:r w:rsidR="005145EA" w:rsidRPr="00931642">
        <w:rPr>
          <w:bCs/>
          <w:szCs w:val="22"/>
        </w:rPr>
        <w:t xml:space="preserve"> that the </w:t>
      </w:r>
      <w:r w:rsidR="002B05AF" w:rsidRPr="00931642">
        <w:rPr>
          <w:bCs/>
          <w:szCs w:val="22"/>
        </w:rPr>
        <w:t xml:space="preserve">listing of pegvisomant </w:t>
      </w:r>
      <w:r w:rsidR="005145EA" w:rsidRPr="00931642">
        <w:rPr>
          <w:bCs/>
          <w:szCs w:val="22"/>
        </w:rPr>
        <w:t>should</w:t>
      </w:r>
      <w:r w:rsidR="00DE1900" w:rsidRPr="00931642">
        <w:rPr>
          <w:bCs/>
          <w:szCs w:val="22"/>
        </w:rPr>
        <w:t xml:space="preserve"> </w:t>
      </w:r>
      <w:r w:rsidR="002B05AF" w:rsidRPr="00931642">
        <w:rPr>
          <w:bCs/>
          <w:szCs w:val="22"/>
        </w:rPr>
        <w:t>be cost neutral</w:t>
      </w:r>
      <w:r w:rsidR="005145EA" w:rsidRPr="00931642">
        <w:rPr>
          <w:bCs/>
          <w:szCs w:val="22"/>
        </w:rPr>
        <w:t xml:space="preserve"> to the government</w:t>
      </w:r>
      <w:r w:rsidR="007664D6" w:rsidRPr="00931642">
        <w:rPr>
          <w:bCs/>
          <w:szCs w:val="22"/>
        </w:rPr>
        <w:t xml:space="preserve"> (taking into account liver function tests and excluding the cost offsets applied to pasireotide for diabetes)</w:t>
      </w:r>
      <w:r w:rsidR="002B05AF" w:rsidRPr="00931642">
        <w:rPr>
          <w:bCs/>
          <w:szCs w:val="22"/>
        </w:rPr>
        <w:t>.</w:t>
      </w:r>
      <w:r w:rsidR="007664D6" w:rsidRPr="00931642">
        <w:rPr>
          <w:bCs/>
          <w:szCs w:val="22"/>
        </w:rPr>
        <w:t xml:space="preserve"> </w:t>
      </w:r>
      <w:r w:rsidR="005145EA" w:rsidRPr="00931642">
        <w:t xml:space="preserve">The PBAC noted that </w:t>
      </w:r>
      <w:r w:rsidR="00955BF9" w:rsidRPr="00931642">
        <w:t>the</w:t>
      </w:r>
      <w:r w:rsidR="005145EA" w:rsidRPr="00931642">
        <w:t xml:space="preserve"> risk that patients </w:t>
      </w:r>
      <w:r w:rsidR="00955BF9" w:rsidRPr="00931642">
        <w:t xml:space="preserve">may be prescribed </w:t>
      </w:r>
      <w:r w:rsidR="005145EA" w:rsidRPr="00931642">
        <w:t xml:space="preserve">pegvisomant in combination with an SSA </w:t>
      </w:r>
      <w:r w:rsidR="00955BF9" w:rsidRPr="00931642">
        <w:t>is intended to be managed through the restriction.</w:t>
      </w:r>
    </w:p>
    <w:p w:rsidR="003C7B16" w:rsidRPr="00931642" w:rsidRDefault="003C7B16" w:rsidP="003C7B16">
      <w:pPr>
        <w:widowControl/>
        <w:contextualSpacing/>
        <w:rPr>
          <w:bCs/>
          <w:szCs w:val="22"/>
        </w:rPr>
      </w:pPr>
    </w:p>
    <w:p w:rsidR="002B05AF" w:rsidRPr="00931642" w:rsidRDefault="002B05AF" w:rsidP="006504C4">
      <w:pPr>
        <w:widowControl/>
        <w:numPr>
          <w:ilvl w:val="1"/>
          <w:numId w:val="6"/>
        </w:numPr>
        <w:rPr>
          <w:bCs/>
          <w:szCs w:val="22"/>
        </w:rPr>
      </w:pPr>
      <w:r w:rsidRPr="00931642">
        <w:rPr>
          <w:bCs/>
          <w:szCs w:val="22"/>
        </w:rPr>
        <w:t xml:space="preserve">The PBAC advised that under subsection 101(3BA) of the </w:t>
      </w:r>
      <w:r w:rsidRPr="00931642">
        <w:rPr>
          <w:bCs/>
          <w:i/>
          <w:szCs w:val="22"/>
        </w:rPr>
        <w:t>National Health Act 1953</w:t>
      </w:r>
      <w:r w:rsidRPr="00931642">
        <w:rPr>
          <w:bCs/>
          <w:szCs w:val="22"/>
        </w:rPr>
        <w:t>, that pegvisomant should not be treated as interchangeable on an individual pat</w:t>
      </w:r>
      <w:r w:rsidR="004B2784" w:rsidRPr="00931642">
        <w:rPr>
          <w:bCs/>
          <w:szCs w:val="22"/>
        </w:rPr>
        <w:t>ient basis with any other drug.</w:t>
      </w:r>
    </w:p>
    <w:p w:rsidR="002B05AF" w:rsidRPr="00931642" w:rsidRDefault="002B05AF" w:rsidP="006504C4">
      <w:pPr>
        <w:widowControl/>
        <w:rPr>
          <w:bCs/>
          <w:szCs w:val="22"/>
        </w:rPr>
      </w:pPr>
    </w:p>
    <w:p w:rsidR="002B05AF" w:rsidRPr="00931642" w:rsidRDefault="002B05AF" w:rsidP="006504C4">
      <w:pPr>
        <w:widowControl/>
        <w:numPr>
          <w:ilvl w:val="1"/>
          <w:numId w:val="6"/>
        </w:numPr>
        <w:rPr>
          <w:bCs/>
          <w:szCs w:val="22"/>
        </w:rPr>
      </w:pPr>
      <w:r w:rsidRPr="00931642">
        <w:rPr>
          <w:bCs/>
          <w:szCs w:val="22"/>
        </w:rPr>
        <w:lastRenderedPageBreak/>
        <w:t>The PBAC advised that pegvisomant is not suitable for prescribing by nurse practitioners</w:t>
      </w:r>
      <w:r w:rsidR="000B2A08" w:rsidRPr="00931642">
        <w:rPr>
          <w:bCs/>
          <w:szCs w:val="22"/>
        </w:rPr>
        <w:t>,</w:t>
      </w:r>
      <w:r w:rsidRPr="00931642">
        <w:rPr>
          <w:bCs/>
          <w:szCs w:val="22"/>
        </w:rPr>
        <w:t xml:space="preserve"> in line with other treatments for acromegaly.</w:t>
      </w:r>
    </w:p>
    <w:p w:rsidR="00915DBD" w:rsidRPr="00931642" w:rsidRDefault="00915DBD" w:rsidP="00915DBD">
      <w:pPr>
        <w:pStyle w:val="ListParagraph"/>
        <w:rPr>
          <w:bCs/>
          <w:szCs w:val="22"/>
        </w:rPr>
      </w:pPr>
    </w:p>
    <w:p w:rsidR="00915DBD" w:rsidRPr="00931642" w:rsidRDefault="00915DBD" w:rsidP="006504C4">
      <w:pPr>
        <w:widowControl/>
        <w:numPr>
          <w:ilvl w:val="1"/>
          <w:numId w:val="6"/>
        </w:numPr>
        <w:rPr>
          <w:bCs/>
          <w:szCs w:val="22"/>
        </w:rPr>
      </w:pPr>
      <w:r w:rsidRPr="00931642">
        <w:rPr>
          <w:bCs/>
          <w:szCs w:val="22"/>
        </w:rPr>
        <w:t xml:space="preserve">The PBAC noted that the Early Supply Rule does not currently apply to Section 100 (Highly Specialised Drugs Program) listings. The PBAC recommended that if the Early Supply Rule is applied to Section 100 listings in the future, it should not </w:t>
      </w:r>
      <w:r w:rsidRPr="00931642">
        <w:rPr>
          <w:bCs/>
        </w:rPr>
        <w:t xml:space="preserve">be applied to </w:t>
      </w:r>
      <w:r w:rsidR="003576F3">
        <w:rPr>
          <w:bCs/>
        </w:rPr>
        <w:t>pegvisomant</w:t>
      </w:r>
      <w:r w:rsidR="001A465A">
        <w:rPr>
          <w:bCs/>
        </w:rPr>
        <w:t xml:space="preserve"> given the need </w:t>
      </w:r>
      <w:r w:rsidR="003576F3">
        <w:rPr>
          <w:bCs/>
        </w:rPr>
        <w:t xml:space="preserve">for dose adjustments in order to maintain the serum IGF-1 level within the age-adjusted normal range based on the dosage recommendations in the TGA-approved Product </w:t>
      </w:r>
      <w:r w:rsidR="004B567E">
        <w:rPr>
          <w:bCs/>
        </w:rPr>
        <w:t>Information</w:t>
      </w:r>
      <w:r w:rsidRPr="00931642">
        <w:rPr>
          <w:bCs/>
          <w:szCs w:val="22"/>
        </w:rPr>
        <w:t>.</w:t>
      </w:r>
    </w:p>
    <w:p w:rsidR="000F474C" w:rsidRPr="00931642" w:rsidRDefault="000F474C" w:rsidP="004F7351"/>
    <w:p w:rsidR="006E21FC" w:rsidRPr="00931642" w:rsidRDefault="006E21FC" w:rsidP="006504C4">
      <w:pPr>
        <w:pStyle w:val="ListParagraph"/>
        <w:widowControl/>
        <w:numPr>
          <w:ilvl w:val="1"/>
          <w:numId w:val="6"/>
        </w:numPr>
        <w:rPr>
          <w:szCs w:val="22"/>
        </w:rPr>
      </w:pPr>
      <w:r w:rsidRPr="00931642">
        <w:rPr>
          <w:szCs w:val="22"/>
        </w:rPr>
        <w:t>The PBAC noted that this submission is not eligible for an Independent Review</w:t>
      </w:r>
      <w:r w:rsidR="00BD240E" w:rsidRPr="00931642">
        <w:rPr>
          <w:szCs w:val="22"/>
        </w:rPr>
        <w:t xml:space="preserve">, as it was </w:t>
      </w:r>
      <w:r w:rsidR="00915DBD" w:rsidRPr="00931642">
        <w:rPr>
          <w:szCs w:val="22"/>
        </w:rPr>
        <w:t xml:space="preserve">a positive </w:t>
      </w:r>
      <w:r w:rsidR="00BD240E" w:rsidRPr="00931642">
        <w:rPr>
          <w:szCs w:val="22"/>
        </w:rPr>
        <w:t>recommend</w:t>
      </w:r>
      <w:r w:rsidR="00915DBD" w:rsidRPr="00931642">
        <w:rPr>
          <w:szCs w:val="22"/>
        </w:rPr>
        <w:t>ation</w:t>
      </w:r>
      <w:r w:rsidRPr="00931642">
        <w:rPr>
          <w:szCs w:val="22"/>
        </w:rPr>
        <w:t xml:space="preserve">. </w:t>
      </w:r>
    </w:p>
    <w:p w:rsidR="006E21FC" w:rsidRPr="00931642" w:rsidRDefault="006E21FC" w:rsidP="006504C4">
      <w:pPr>
        <w:widowControl/>
        <w:rPr>
          <w:b/>
          <w:szCs w:val="22"/>
          <w:highlight w:val="yellow"/>
        </w:rPr>
      </w:pPr>
    </w:p>
    <w:p w:rsidR="006E21FC" w:rsidRPr="00931642" w:rsidRDefault="006E21FC" w:rsidP="006504C4">
      <w:pPr>
        <w:widowControl/>
        <w:rPr>
          <w:b/>
          <w:bCs/>
          <w:szCs w:val="22"/>
        </w:rPr>
      </w:pPr>
      <w:r w:rsidRPr="00931642">
        <w:rPr>
          <w:b/>
          <w:bCs/>
          <w:szCs w:val="22"/>
        </w:rPr>
        <w:t>Outcome:</w:t>
      </w:r>
    </w:p>
    <w:p w:rsidR="004F7351" w:rsidRPr="001E6680" w:rsidRDefault="006E21FC" w:rsidP="001E6680">
      <w:pPr>
        <w:widowControl/>
        <w:rPr>
          <w:bCs/>
          <w:szCs w:val="22"/>
        </w:rPr>
      </w:pPr>
      <w:r w:rsidRPr="00931642">
        <w:rPr>
          <w:bCs/>
          <w:szCs w:val="22"/>
        </w:rPr>
        <w:t>Recommended</w:t>
      </w:r>
      <w:r w:rsidR="001E6680">
        <w:rPr>
          <w:bCs/>
          <w:szCs w:val="22"/>
        </w:rPr>
        <w:br/>
      </w:r>
      <w:r w:rsidR="001E6680">
        <w:rPr>
          <w:bCs/>
          <w:szCs w:val="22"/>
        </w:rPr>
        <w:br/>
      </w:r>
    </w:p>
    <w:p w:rsidR="006E21FC" w:rsidRPr="00931642" w:rsidRDefault="006E21FC" w:rsidP="001E6680">
      <w:pPr>
        <w:pStyle w:val="PBACheading10"/>
        <w:numPr>
          <w:ilvl w:val="0"/>
          <w:numId w:val="6"/>
        </w:numPr>
      </w:pPr>
      <w:r w:rsidRPr="00931642">
        <w:t>Recommended listing</w:t>
      </w:r>
    </w:p>
    <w:p w:rsidR="006E21FC" w:rsidRPr="00931642" w:rsidRDefault="006E21FC" w:rsidP="0056393C">
      <w:pPr>
        <w:keepNext/>
        <w:widowControl/>
        <w:rPr>
          <w:b/>
          <w:bCs/>
          <w:i/>
          <w:szCs w:val="22"/>
        </w:rPr>
      </w:pPr>
    </w:p>
    <w:p w:rsidR="006E21FC" w:rsidRPr="00931642" w:rsidRDefault="006E21FC" w:rsidP="0056393C">
      <w:pPr>
        <w:pStyle w:val="ListParagraph"/>
        <w:keepNext/>
        <w:widowControl/>
        <w:numPr>
          <w:ilvl w:val="1"/>
          <w:numId w:val="6"/>
        </w:numPr>
        <w:rPr>
          <w:bCs/>
          <w:szCs w:val="22"/>
        </w:rPr>
      </w:pPr>
      <w:r w:rsidRPr="00931642">
        <w:rPr>
          <w:bCs/>
          <w:szCs w:val="22"/>
        </w:rPr>
        <w:t>Add new item:</w:t>
      </w:r>
    </w:p>
    <w:p w:rsidR="00953F60" w:rsidRPr="00931642" w:rsidRDefault="00953F60" w:rsidP="0056393C">
      <w:pPr>
        <w:keepNext/>
        <w:widowControl/>
        <w:rPr>
          <w:bCs/>
          <w:szCs w:val="22"/>
        </w:rPr>
      </w:pPr>
    </w:p>
    <w:tbl>
      <w:tblPr>
        <w:tblW w:w="4601" w:type="pct"/>
        <w:tblInd w:w="817" w:type="dxa"/>
        <w:tblLook w:val="04A0" w:firstRow="1" w:lastRow="0" w:firstColumn="1" w:lastColumn="0" w:noHBand="0" w:noVBand="1"/>
      </w:tblPr>
      <w:tblGrid>
        <w:gridCol w:w="1672"/>
        <w:gridCol w:w="1021"/>
        <w:gridCol w:w="852"/>
        <w:gridCol w:w="1174"/>
        <w:gridCol w:w="1039"/>
        <w:gridCol w:w="2657"/>
        <w:gridCol w:w="37"/>
        <w:gridCol w:w="53"/>
      </w:tblGrid>
      <w:tr w:rsidR="00BD240E" w:rsidRPr="00931642" w:rsidTr="00BD240E">
        <w:trPr>
          <w:gridAfter w:val="2"/>
          <w:wAfter w:w="53" w:type="pct"/>
          <w:cantSplit/>
          <w:trHeight w:val="471"/>
        </w:trPr>
        <w:tc>
          <w:tcPr>
            <w:tcW w:w="1583" w:type="pct"/>
            <w:gridSpan w:val="2"/>
            <w:tcBorders>
              <w:bottom w:val="single" w:sz="4" w:space="0" w:color="auto"/>
            </w:tcBorders>
            <w:hideMark/>
          </w:tcPr>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Name, Restriction,</w:t>
            </w:r>
          </w:p>
          <w:p w:rsidR="00BD240E" w:rsidRPr="00931642" w:rsidRDefault="00BD240E" w:rsidP="006504C4">
            <w:pPr>
              <w:keepNext/>
              <w:widowControl/>
              <w:snapToGrid w:val="0"/>
              <w:ind w:left="-108"/>
              <w:rPr>
                <w:rFonts w:ascii="Arial Narrow" w:hAnsi="Arial Narrow"/>
                <w:b/>
                <w:sz w:val="20"/>
              </w:rPr>
            </w:pPr>
            <w:r w:rsidRPr="00931642">
              <w:rPr>
                <w:rFonts w:ascii="Arial Narrow" w:hAnsi="Arial Narrow"/>
                <w:b/>
                <w:sz w:val="20"/>
              </w:rPr>
              <w:t>Manner of administration and form</w:t>
            </w:r>
          </w:p>
        </w:tc>
        <w:tc>
          <w:tcPr>
            <w:tcW w:w="501" w:type="pct"/>
            <w:tcBorders>
              <w:bottom w:val="single" w:sz="4" w:space="0" w:color="auto"/>
            </w:tcBorders>
            <w:hideMark/>
          </w:tcPr>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Max.</w:t>
            </w:r>
          </w:p>
          <w:p w:rsidR="00BD240E" w:rsidRPr="00931642" w:rsidRDefault="00BD240E" w:rsidP="006504C4">
            <w:pPr>
              <w:keepNext/>
              <w:widowControl/>
              <w:snapToGrid w:val="0"/>
              <w:ind w:left="-108"/>
              <w:rPr>
                <w:rFonts w:ascii="Arial Narrow" w:hAnsi="Arial Narrow"/>
                <w:b/>
                <w:sz w:val="20"/>
              </w:rPr>
            </w:pPr>
            <w:r w:rsidRPr="00931642">
              <w:rPr>
                <w:rFonts w:ascii="Arial Narrow" w:hAnsi="Arial Narrow"/>
                <w:b/>
                <w:sz w:val="20"/>
              </w:rPr>
              <w:t>Qty</w:t>
            </w:r>
          </w:p>
        </w:tc>
        <w:tc>
          <w:tcPr>
            <w:tcW w:w="690" w:type="pct"/>
            <w:tcBorders>
              <w:bottom w:val="single" w:sz="4" w:space="0" w:color="auto"/>
            </w:tcBorders>
            <w:hideMark/>
          </w:tcPr>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№.of</w:t>
            </w:r>
          </w:p>
          <w:p w:rsidR="00BD240E" w:rsidRPr="00931642" w:rsidRDefault="00BD240E" w:rsidP="006504C4">
            <w:pPr>
              <w:keepNext/>
              <w:widowControl/>
              <w:snapToGrid w:val="0"/>
              <w:ind w:left="-108"/>
              <w:rPr>
                <w:rFonts w:ascii="Arial Narrow" w:hAnsi="Arial Narrow"/>
                <w:b/>
                <w:sz w:val="20"/>
              </w:rPr>
            </w:pPr>
            <w:r w:rsidRPr="00931642">
              <w:rPr>
                <w:rFonts w:ascii="Arial Narrow" w:hAnsi="Arial Narrow"/>
                <w:b/>
                <w:sz w:val="20"/>
              </w:rPr>
              <w:t>Rpts</w:t>
            </w:r>
          </w:p>
        </w:tc>
        <w:tc>
          <w:tcPr>
            <w:tcW w:w="2173" w:type="pct"/>
            <w:gridSpan w:val="2"/>
            <w:tcBorders>
              <w:bottom w:val="single" w:sz="4" w:space="0" w:color="auto"/>
            </w:tcBorders>
            <w:hideMark/>
          </w:tcPr>
          <w:p w:rsidR="00BD240E" w:rsidRPr="00931642" w:rsidRDefault="00BD240E" w:rsidP="006504C4">
            <w:pPr>
              <w:keepNext/>
              <w:widowControl/>
              <w:snapToGrid w:val="0"/>
              <w:jc w:val="left"/>
              <w:rPr>
                <w:rFonts w:ascii="Arial Narrow" w:hAnsi="Arial Narrow"/>
                <w:b/>
                <w:sz w:val="20"/>
              </w:rPr>
            </w:pPr>
            <w:r w:rsidRPr="00931642">
              <w:rPr>
                <w:rFonts w:ascii="Arial Narrow" w:hAnsi="Arial Narrow"/>
                <w:b/>
                <w:sz w:val="20"/>
              </w:rPr>
              <w:t>Proprietary Name and Manufacturer</w:t>
            </w:r>
          </w:p>
        </w:tc>
      </w:tr>
      <w:tr w:rsidR="00BD240E" w:rsidRPr="00931642" w:rsidTr="00BD240E">
        <w:trPr>
          <w:gridAfter w:val="2"/>
          <w:wAfter w:w="53" w:type="pct"/>
          <w:cantSplit/>
          <w:trHeight w:val="577"/>
        </w:trPr>
        <w:tc>
          <w:tcPr>
            <w:tcW w:w="1583" w:type="pct"/>
            <w:gridSpan w:val="2"/>
            <w:tcBorders>
              <w:top w:val="single" w:sz="4" w:space="0" w:color="auto"/>
              <w:bottom w:val="single" w:sz="4" w:space="0" w:color="auto"/>
            </w:tcBorders>
            <w:hideMark/>
          </w:tcPr>
          <w:p w:rsidR="00BD240E" w:rsidRPr="00931642" w:rsidRDefault="00BD240E" w:rsidP="006504C4">
            <w:pPr>
              <w:keepNext/>
              <w:widowControl/>
              <w:ind w:left="-108"/>
              <w:rPr>
                <w:rFonts w:ascii="Arial Narrow" w:hAnsi="Arial Narrow"/>
                <w:sz w:val="20"/>
              </w:rPr>
            </w:pPr>
            <w:r w:rsidRPr="00931642">
              <w:rPr>
                <w:rFonts w:ascii="Arial Narrow" w:hAnsi="Arial Narrow"/>
                <w:sz w:val="20"/>
              </w:rPr>
              <w:t>PEGVISOMANT</w:t>
            </w: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20 mg, powder for injection</w:t>
            </w:r>
            <w:r w:rsidR="00B33789">
              <w:rPr>
                <w:rFonts w:ascii="Arial Narrow" w:hAnsi="Arial Narrow"/>
                <w:sz w:val="20"/>
              </w:rPr>
              <w:t>,</w:t>
            </w:r>
            <w:r w:rsidR="00CF2774">
              <w:rPr>
                <w:rFonts w:ascii="Arial Narrow" w:hAnsi="Arial Narrow"/>
                <w:sz w:val="20"/>
              </w:rPr>
              <w:t xml:space="preserve"> 1</w:t>
            </w:r>
          </w:p>
          <w:p w:rsidR="00BD240E" w:rsidRPr="00931642" w:rsidRDefault="00BD240E" w:rsidP="006504C4">
            <w:pPr>
              <w:keepNext/>
              <w:widowControl/>
              <w:ind w:left="-108"/>
              <w:rPr>
                <w:rFonts w:ascii="Arial Narrow" w:hAnsi="Arial Narrow"/>
                <w:sz w:val="20"/>
              </w:rPr>
            </w:pPr>
          </w:p>
        </w:tc>
        <w:tc>
          <w:tcPr>
            <w:tcW w:w="501" w:type="pct"/>
            <w:tcBorders>
              <w:top w:val="single" w:sz="4" w:space="0" w:color="auto"/>
              <w:bottom w:val="single" w:sz="4" w:space="0" w:color="auto"/>
            </w:tcBorders>
          </w:tcPr>
          <w:p w:rsidR="00BD240E" w:rsidRPr="00931642" w:rsidRDefault="00BD240E" w:rsidP="006504C4">
            <w:pPr>
              <w:keepNext/>
              <w:widowControl/>
              <w:rPr>
                <w:rFonts w:ascii="Arial Narrow" w:hAnsi="Arial Narrow"/>
                <w:sz w:val="20"/>
              </w:rPr>
            </w:pPr>
          </w:p>
          <w:p w:rsidR="00BD240E" w:rsidRPr="00931642" w:rsidRDefault="00BD240E" w:rsidP="006504C4">
            <w:pPr>
              <w:keepNext/>
              <w:widowControl/>
              <w:rPr>
                <w:rFonts w:ascii="Arial Narrow" w:hAnsi="Arial Narrow"/>
                <w:sz w:val="20"/>
              </w:rPr>
            </w:pPr>
            <w:r w:rsidRPr="00931642">
              <w:rPr>
                <w:rFonts w:ascii="Arial Narrow" w:hAnsi="Arial Narrow"/>
                <w:sz w:val="20"/>
              </w:rPr>
              <w:t>4</w:t>
            </w:r>
          </w:p>
        </w:tc>
        <w:tc>
          <w:tcPr>
            <w:tcW w:w="690" w:type="pct"/>
            <w:tcBorders>
              <w:top w:val="single" w:sz="4" w:space="0" w:color="auto"/>
              <w:bottom w:val="single" w:sz="4" w:space="0" w:color="auto"/>
            </w:tcBorders>
          </w:tcPr>
          <w:p w:rsidR="00BD240E" w:rsidRPr="00931642" w:rsidRDefault="00BD240E" w:rsidP="006504C4">
            <w:pPr>
              <w:keepNext/>
              <w:widowControl/>
              <w:ind w:left="-108"/>
              <w:rPr>
                <w:rFonts w:ascii="Arial Narrow" w:hAnsi="Arial Narrow"/>
                <w:sz w:val="20"/>
              </w:rPr>
            </w:pP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0</w:t>
            </w:r>
          </w:p>
          <w:p w:rsidR="00BD240E" w:rsidRPr="00931642" w:rsidRDefault="00BD240E" w:rsidP="006504C4">
            <w:pPr>
              <w:keepNext/>
              <w:widowControl/>
              <w:ind w:left="-108"/>
              <w:rPr>
                <w:rFonts w:ascii="Arial Narrow" w:hAnsi="Arial Narrow"/>
                <w:sz w:val="20"/>
              </w:rPr>
            </w:pPr>
          </w:p>
        </w:tc>
        <w:tc>
          <w:tcPr>
            <w:tcW w:w="611" w:type="pct"/>
            <w:tcBorders>
              <w:top w:val="single" w:sz="4" w:space="0" w:color="auto"/>
              <w:bottom w:val="single" w:sz="4" w:space="0" w:color="auto"/>
            </w:tcBorders>
            <w:hideMark/>
          </w:tcPr>
          <w:p w:rsidR="00BD240E" w:rsidRPr="00931642" w:rsidRDefault="00BD240E" w:rsidP="006504C4">
            <w:pPr>
              <w:keepNext/>
              <w:widowControl/>
              <w:rPr>
                <w:rFonts w:ascii="Arial Narrow" w:hAnsi="Arial Narrow"/>
                <w:sz w:val="20"/>
              </w:rPr>
            </w:pPr>
            <w:r w:rsidRPr="00931642">
              <w:rPr>
                <w:rFonts w:ascii="Arial Narrow" w:hAnsi="Arial Narrow"/>
                <w:sz w:val="20"/>
              </w:rPr>
              <w:t xml:space="preserve">Somavert® </w:t>
            </w:r>
          </w:p>
          <w:p w:rsidR="00BD240E" w:rsidRPr="00931642" w:rsidRDefault="00BD240E" w:rsidP="006504C4">
            <w:pPr>
              <w:keepNext/>
              <w:widowControl/>
              <w:rPr>
                <w:rFonts w:ascii="Arial Narrow" w:hAnsi="Arial Narrow"/>
                <w:sz w:val="20"/>
              </w:rPr>
            </w:pPr>
          </w:p>
          <w:p w:rsidR="00BD240E" w:rsidRPr="00931642" w:rsidRDefault="00BD240E" w:rsidP="006504C4">
            <w:pPr>
              <w:keepNext/>
              <w:widowControl/>
              <w:ind w:left="-108"/>
              <w:rPr>
                <w:rFonts w:ascii="Arial Narrow" w:hAnsi="Arial Narrow"/>
                <w:sz w:val="20"/>
              </w:rPr>
            </w:pPr>
          </w:p>
        </w:tc>
        <w:tc>
          <w:tcPr>
            <w:tcW w:w="1562" w:type="pct"/>
            <w:tcBorders>
              <w:top w:val="single" w:sz="4" w:space="0" w:color="auto"/>
              <w:bottom w:val="single" w:sz="4" w:space="0" w:color="auto"/>
            </w:tcBorders>
            <w:hideMark/>
          </w:tcPr>
          <w:p w:rsidR="00BD240E" w:rsidRPr="00931642" w:rsidRDefault="00BD240E" w:rsidP="006504C4">
            <w:pPr>
              <w:keepNext/>
              <w:widowControl/>
              <w:rPr>
                <w:rFonts w:ascii="Arial Narrow" w:hAnsi="Arial Narrow"/>
                <w:sz w:val="20"/>
              </w:rPr>
            </w:pPr>
            <w:r w:rsidRPr="00931642">
              <w:rPr>
                <w:rFonts w:ascii="Arial Narrow" w:hAnsi="Arial Narrow"/>
                <w:sz w:val="20"/>
              </w:rPr>
              <w:t>Pfizer</w:t>
            </w:r>
          </w:p>
        </w:tc>
      </w:tr>
      <w:tr w:rsidR="00953F60" w:rsidRPr="00931642" w:rsidTr="00BD240E">
        <w:trPr>
          <w:gridAfter w:val="1"/>
          <w:wAfter w:w="31" w:type="pct"/>
          <w:cantSplit/>
          <w:trHeight w:val="360"/>
        </w:trPr>
        <w:tc>
          <w:tcPr>
            <w:tcW w:w="983" w:type="pct"/>
            <w:tcBorders>
              <w:top w:val="single" w:sz="4" w:space="0" w:color="auto"/>
              <w:left w:val="single" w:sz="4" w:space="0" w:color="auto"/>
              <w:bottom w:val="single" w:sz="4" w:space="0" w:color="auto"/>
              <w:right w:val="single" w:sz="4" w:space="0" w:color="auto"/>
            </w:tcBorders>
            <w:hideMark/>
          </w:tcPr>
          <w:p w:rsidR="00953F60" w:rsidRPr="00931642" w:rsidRDefault="00953F60" w:rsidP="006504C4">
            <w:pPr>
              <w:widowControl/>
              <w:rPr>
                <w:rFonts w:ascii="Arial Narrow" w:hAnsi="Arial Narrow"/>
                <w:b/>
                <w:sz w:val="20"/>
              </w:rPr>
            </w:pPr>
            <w:r w:rsidRPr="00931642">
              <w:rPr>
                <w:rFonts w:ascii="Arial Narrow" w:hAnsi="Arial Narrow"/>
                <w:b/>
                <w:sz w:val="20"/>
              </w:rPr>
              <w:t xml:space="preserve">Category / </w:t>
            </w:r>
          </w:p>
          <w:p w:rsidR="00953F60" w:rsidRPr="00931642" w:rsidRDefault="00953F60" w:rsidP="006504C4">
            <w:pPr>
              <w:widowControl/>
              <w:snapToGrid w:val="0"/>
              <w:rPr>
                <w:rFonts w:ascii="Arial Narrow" w:hAnsi="Arial Narrow"/>
                <w:b/>
                <w:sz w:val="20"/>
              </w:rPr>
            </w:pPr>
            <w:r w:rsidRPr="00931642">
              <w:rPr>
                <w:rFonts w:ascii="Arial Narrow" w:hAnsi="Arial Narrow"/>
                <w:b/>
                <w:sz w:val="20"/>
              </w:rPr>
              <w:t>Program</w:t>
            </w:r>
          </w:p>
        </w:tc>
        <w:tc>
          <w:tcPr>
            <w:tcW w:w="3986" w:type="pct"/>
            <w:gridSpan w:val="6"/>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sz w:val="20"/>
              </w:rPr>
            </w:pPr>
            <w:r w:rsidRPr="00931642">
              <w:rPr>
                <w:rFonts w:ascii="Arial Narrow" w:hAnsi="Arial Narrow"/>
                <w:sz w:val="20"/>
              </w:rPr>
              <w:t>Section 100 – Highly Specialised Drugs Program</w:t>
            </w:r>
          </w:p>
        </w:tc>
      </w:tr>
      <w:tr w:rsidR="00953F60" w:rsidRPr="00931642" w:rsidTr="00BD240E">
        <w:trPr>
          <w:gridAfter w:val="1"/>
          <w:wAfter w:w="31" w:type="pct"/>
          <w:cantSplit/>
          <w:trHeight w:val="360"/>
        </w:trPr>
        <w:tc>
          <w:tcPr>
            <w:tcW w:w="983" w:type="pct"/>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Prescriber type:</w:t>
            </w:r>
          </w:p>
          <w:p w:rsidR="00953F60" w:rsidRPr="00931642" w:rsidRDefault="00953F60" w:rsidP="006504C4">
            <w:pPr>
              <w:widowControl/>
              <w:snapToGrid w:val="0"/>
              <w:rPr>
                <w:rFonts w:ascii="Arial Narrow" w:hAnsi="Arial Narrow"/>
                <w:b/>
                <w:sz w:val="20"/>
              </w:rPr>
            </w:pPr>
          </w:p>
        </w:tc>
        <w:tc>
          <w:tcPr>
            <w:tcW w:w="3986" w:type="pct"/>
            <w:gridSpan w:val="6"/>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sz w:val="20"/>
              </w:rPr>
            </w:pPr>
            <w:r w:rsidRPr="00931642">
              <w:rPr>
                <w:rFonts w:ascii="Arial Narrow" w:hAnsi="Arial Narrow"/>
                <w:sz w:val="20"/>
              </w:rPr>
              <w:t xml:space="preserve"> </w:t>
            </w:r>
            <w:r w:rsidRPr="00931642">
              <w:rPr>
                <w:rFonts w:ascii="Arial Narrow" w:hAnsi="Arial Narrow"/>
                <w:sz w:val="20"/>
              </w:rPr>
              <w:fldChar w:fldCharType="begin">
                <w:ffData>
                  <w:name w:val=""/>
                  <w:enabled/>
                  <w:calcOnExit w:val="0"/>
                  <w:checkBox>
                    <w:sizeAuto/>
                    <w:default w:val="1"/>
                  </w:checkBox>
                </w:ffData>
              </w:fldChar>
            </w:r>
            <w:r w:rsidRPr="00931642">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931642">
              <w:rPr>
                <w:rFonts w:ascii="Arial Narrow" w:hAnsi="Arial Narrow"/>
                <w:sz w:val="20"/>
              </w:rPr>
              <w:fldChar w:fldCharType="end"/>
            </w:r>
            <w:r w:rsidRPr="00931642">
              <w:rPr>
                <w:rFonts w:ascii="Arial Narrow" w:hAnsi="Arial Narrow"/>
                <w:sz w:val="20"/>
              </w:rPr>
              <w:t xml:space="preserve">Medical Practitioners  </w:t>
            </w:r>
          </w:p>
        </w:tc>
      </w:tr>
      <w:tr w:rsidR="00953F60" w:rsidRPr="00931642" w:rsidTr="00BD240E">
        <w:trPr>
          <w:gridAfter w:val="1"/>
          <w:wAfter w:w="31" w:type="pct"/>
          <w:cantSplit/>
          <w:trHeight w:val="360"/>
        </w:trPr>
        <w:tc>
          <w:tcPr>
            <w:tcW w:w="983" w:type="pct"/>
            <w:tcBorders>
              <w:top w:val="single" w:sz="4" w:space="0" w:color="auto"/>
              <w:left w:val="single" w:sz="4" w:space="0" w:color="auto"/>
              <w:bottom w:val="single" w:sz="4" w:space="0" w:color="auto"/>
              <w:right w:val="single" w:sz="4" w:space="0" w:color="auto"/>
            </w:tcBorders>
            <w:hideMark/>
          </w:tcPr>
          <w:p w:rsidR="00953F60" w:rsidRPr="00931642" w:rsidRDefault="00953F60" w:rsidP="006504C4">
            <w:pPr>
              <w:widowControl/>
              <w:snapToGrid w:val="0"/>
              <w:rPr>
                <w:rFonts w:ascii="Arial Narrow" w:hAnsi="Arial Narrow"/>
                <w:b/>
                <w:sz w:val="20"/>
              </w:rPr>
            </w:pPr>
            <w:r w:rsidRPr="00931642">
              <w:rPr>
                <w:rFonts w:ascii="Arial Narrow" w:hAnsi="Arial Narrow"/>
                <w:b/>
                <w:sz w:val="20"/>
              </w:rPr>
              <w:t>PBS Indication:</w:t>
            </w:r>
          </w:p>
        </w:tc>
        <w:tc>
          <w:tcPr>
            <w:tcW w:w="3986" w:type="pct"/>
            <w:gridSpan w:val="6"/>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snapToGrid w:val="0"/>
              <w:rPr>
                <w:rFonts w:ascii="Arial Narrow" w:hAnsi="Arial Narrow"/>
                <w:sz w:val="20"/>
              </w:rPr>
            </w:pPr>
            <w:r w:rsidRPr="00931642">
              <w:rPr>
                <w:rFonts w:ascii="Arial Narrow" w:hAnsi="Arial Narrow"/>
                <w:sz w:val="20"/>
              </w:rPr>
              <w:t>Acromegaly</w:t>
            </w:r>
          </w:p>
        </w:tc>
      </w:tr>
      <w:tr w:rsidR="00953F60" w:rsidRPr="00931642" w:rsidTr="00BD240E">
        <w:trPr>
          <w:gridAfter w:val="1"/>
          <w:wAfter w:w="31" w:type="pct"/>
          <w:cantSplit/>
          <w:trHeight w:val="360"/>
        </w:trPr>
        <w:tc>
          <w:tcPr>
            <w:tcW w:w="983" w:type="pct"/>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Treatment phase:</w:t>
            </w:r>
          </w:p>
        </w:tc>
        <w:tc>
          <w:tcPr>
            <w:tcW w:w="3986" w:type="pct"/>
            <w:gridSpan w:val="6"/>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snapToGrid w:val="0"/>
              <w:rPr>
                <w:rFonts w:ascii="Arial Narrow" w:hAnsi="Arial Narrow"/>
                <w:sz w:val="20"/>
              </w:rPr>
            </w:pPr>
            <w:r w:rsidRPr="00931642">
              <w:rPr>
                <w:rFonts w:ascii="Arial Narrow" w:hAnsi="Arial Narrow"/>
                <w:sz w:val="20"/>
              </w:rPr>
              <w:t>Loading dose</w:t>
            </w:r>
          </w:p>
        </w:tc>
      </w:tr>
      <w:tr w:rsidR="00953F60" w:rsidRPr="00931642" w:rsidTr="00BD240E">
        <w:trPr>
          <w:gridAfter w:val="1"/>
          <w:wAfter w:w="31" w:type="pct"/>
          <w:cantSplit/>
          <w:trHeight w:val="360"/>
        </w:trPr>
        <w:tc>
          <w:tcPr>
            <w:tcW w:w="983" w:type="pct"/>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jc w:val="left"/>
              <w:rPr>
                <w:rFonts w:ascii="Arial Narrow" w:hAnsi="Arial Narrow"/>
                <w:b/>
                <w:sz w:val="20"/>
              </w:rPr>
            </w:pPr>
            <w:r w:rsidRPr="00931642">
              <w:rPr>
                <w:rFonts w:ascii="Arial Narrow" w:hAnsi="Arial Narrow"/>
                <w:b/>
                <w:sz w:val="20"/>
              </w:rPr>
              <w:t>Restriction Level / Method:</w:t>
            </w:r>
          </w:p>
        </w:tc>
        <w:tc>
          <w:tcPr>
            <w:tcW w:w="3986" w:type="pct"/>
            <w:gridSpan w:val="6"/>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sz w:val="20"/>
              </w:rPr>
            </w:pPr>
            <w:r w:rsidRPr="00931642">
              <w:rPr>
                <w:rFonts w:ascii="Arial Narrow" w:hAnsi="Arial Narrow"/>
                <w:sz w:val="20"/>
              </w:rPr>
              <w:fldChar w:fldCharType="begin">
                <w:ffData>
                  <w:name w:val=""/>
                  <w:enabled/>
                  <w:calcOnExit w:val="0"/>
                  <w:checkBox>
                    <w:sizeAuto/>
                    <w:default w:val="1"/>
                  </w:checkBox>
                </w:ffData>
              </w:fldChar>
            </w:r>
            <w:r w:rsidRPr="00931642">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931642">
              <w:rPr>
                <w:rFonts w:ascii="Arial Narrow" w:hAnsi="Arial Narrow"/>
                <w:sz w:val="20"/>
              </w:rPr>
              <w:fldChar w:fldCharType="end"/>
            </w:r>
            <w:r w:rsidRPr="00931642">
              <w:rPr>
                <w:rFonts w:ascii="Arial Narrow" w:hAnsi="Arial Narrow"/>
                <w:sz w:val="20"/>
              </w:rPr>
              <w:t>Authority Required - In Writing</w:t>
            </w:r>
          </w:p>
          <w:p w:rsidR="00953F60" w:rsidRPr="00931642" w:rsidRDefault="00953F60" w:rsidP="006504C4">
            <w:pPr>
              <w:widowControl/>
              <w:snapToGrid w:val="0"/>
              <w:rPr>
                <w:rFonts w:ascii="Arial Narrow" w:hAnsi="Arial Narrow"/>
                <w:sz w:val="20"/>
              </w:rPr>
            </w:pPr>
          </w:p>
        </w:tc>
      </w:tr>
      <w:tr w:rsidR="00953F60" w:rsidRPr="00931642" w:rsidTr="00BD240E">
        <w:trPr>
          <w:gridAfter w:val="1"/>
          <w:wAfter w:w="31" w:type="pct"/>
          <w:trHeight w:val="360"/>
        </w:trPr>
        <w:tc>
          <w:tcPr>
            <w:tcW w:w="983" w:type="pct"/>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Clinical criteria:</w:t>
            </w:r>
          </w:p>
          <w:p w:rsidR="00953F60" w:rsidRPr="00931642" w:rsidRDefault="00953F60" w:rsidP="006504C4">
            <w:pPr>
              <w:widowControl/>
              <w:rPr>
                <w:rFonts w:ascii="Arial Narrow" w:hAnsi="Arial Narrow"/>
                <w:sz w:val="20"/>
              </w:rPr>
            </w:pPr>
          </w:p>
          <w:p w:rsidR="00953F60" w:rsidRPr="00931642" w:rsidRDefault="00953F60" w:rsidP="006504C4">
            <w:pPr>
              <w:widowControl/>
              <w:snapToGrid w:val="0"/>
              <w:rPr>
                <w:rFonts w:ascii="Arial Narrow" w:hAnsi="Arial Narrow"/>
                <w:sz w:val="20"/>
              </w:rPr>
            </w:pPr>
          </w:p>
        </w:tc>
        <w:tc>
          <w:tcPr>
            <w:tcW w:w="3986" w:type="pct"/>
            <w:gridSpan w:val="6"/>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snapToGrid w:val="0"/>
              <w:rPr>
                <w:color w:val="222222"/>
                <w:sz w:val="21"/>
                <w:szCs w:val="21"/>
              </w:rPr>
            </w:pPr>
            <w:r w:rsidRPr="00931642">
              <w:rPr>
                <w:rFonts w:ascii="Arial Narrow" w:hAnsi="Arial Narrow"/>
                <w:sz w:val="20"/>
              </w:rPr>
              <w:t>Patient must not have previously received PBS-subsidised treatment with this drug for this condition</w:t>
            </w:r>
          </w:p>
          <w:p w:rsidR="00953F60" w:rsidRPr="00931642" w:rsidRDefault="00953F60" w:rsidP="006504C4">
            <w:pPr>
              <w:widowControl/>
              <w:snapToGrid w:val="0"/>
              <w:rPr>
                <w:rFonts w:ascii="Arial Narrow" w:hAnsi="Arial Narrow"/>
                <w:sz w:val="20"/>
              </w:rPr>
            </w:pPr>
            <w:r w:rsidRPr="00931642">
              <w:rPr>
                <w:rFonts w:ascii="Arial Narrow" w:hAnsi="Arial Narrow"/>
                <w:sz w:val="20"/>
              </w:rPr>
              <w:t>AND</w:t>
            </w:r>
          </w:p>
          <w:p w:rsidR="00953F60" w:rsidRPr="00931642" w:rsidRDefault="00953F60" w:rsidP="006504C4">
            <w:pPr>
              <w:widowControl/>
              <w:snapToGrid w:val="0"/>
              <w:rPr>
                <w:rFonts w:ascii="Arial Narrow" w:hAnsi="Arial Narrow"/>
                <w:sz w:val="20"/>
              </w:rPr>
            </w:pPr>
            <w:r w:rsidRPr="00931642">
              <w:rPr>
                <w:rFonts w:ascii="Arial Narrow" w:hAnsi="Arial Narrow"/>
                <w:sz w:val="20"/>
              </w:rPr>
              <w:t>Patient must have an age- and sex-adjusted insulin-like growth factor 1 (IGF-1) concentration  ≥ 1.3 times upper limit of normal (ULN).</w:t>
            </w:r>
          </w:p>
          <w:p w:rsidR="00953F60" w:rsidRPr="00931642" w:rsidRDefault="00953F60" w:rsidP="006504C4">
            <w:pPr>
              <w:widowControl/>
              <w:snapToGrid w:val="0"/>
              <w:rPr>
                <w:rFonts w:ascii="Arial Narrow" w:hAnsi="Arial Narrow"/>
                <w:sz w:val="20"/>
              </w:rPr>
            </w:pPr>
            <w:r w:rsidRPr="00931642">
              <w:rPr>
                <w:rFonts w:ascii="Arial Narrow" w:hAnsi="Arial Narrow"/>
                <w:sz w:val="20"/>
              </w:rPr>
              <w:t>AND</w:t>
            </w:r>
          </w:p>
          <w:p w:rsidR="00953F60" w:rsidRPr="00931642" w:rsidRDefault="00953F60" w:rsidP="006504C4">
            <w:pPr>
              <w:widowControl/>
              <w:snapToGrid w:val="0"/>
              <w:rPr>
                <w:rFonts w:ascii="Arial Narrow" w:hAnsi="Arial Narrow"/>
                <w:sz w:val="20"/>
              </w:rPr>
            </w:pPr>
            <w:r w:rsidRPr="00931642">
              <w:rPr>
                <w:rFonts w:ascii="Arial Narrow" w:hAnsi="Arial Narrow"/>
                <w:sz w:val="20"/>
              </w:rPr>
              <w:t xml:space="preserve">The treatment must be after failure to achieve biochemical control with a maximum indicated dose of either 30 mg octreotide LAR or 120 mg lanreotide ATG every 28 days for 24 weeks; unless contraindicated or not tolerated according to the TGA approved Product Information. </w:t>
            </w:r>
          </w:p>
          <w:p w:rsidR="00953F60" w:rsidRPr="00931642" w:rsidRDefault="00953F60" w:rsidP="006504C4">
            <w:pPr>
              <w:widowControl/>
              <w:snapToGrid w:val="0"/>
              <w:rPr>
                <w:rFonts w:ascii="Arial Narrow" w:hAnsi="Arial Narrow"/>
                <w:sz w:val="20"/>
              </w:rPr>
            </w:pPr>
            <w:r w:rsidRPr="00931642">
              <w:rPr>
                <w:rFonts w:ascii="Arial Narrow" w:hAnsi="Arial Narrow"/>
                <w:sz w:val="20"/>
              </w:rPr>
              <w:t xml:space="preserve">AND </w:t>
            </w:r>
          </w:p>
          <w:p w:rsidR="00953F60" w:rsidRPr="00931642" w:rsidRDefault="00953F60" w:rsidP="008A13D5">
            <w:pPr>
              <w:widowControl/>
              <w:snapToGrid w:val="0"/>
              <w:rPr>
                <w:rFonts w:ascii="Arial Narrow" w:hAnsi="Arial Narrow"/>
                <w:sz w:val="20"/>
              </w:rPr>
            </w:pPr>
            <w:r w:rsidRPr="00931642">
              <w:rPr>
                <w:rFonts w:ascii="Arial Narrow" w:hAnsi="Arial Narrow"/>
                <w:sz w:val="20"/>
              </w:rPr>
              <w:t xml:space="preserve">Treatment must not be </w:t>
            </w:r>
            <w:r w:rsidR="00CF2774">
              <w:rPr>
                <w:rFonts w:ascii="Arial Narrow" w:hAnsi="Arial Narrow"/>
                <w:sz w:val="20"/>
              </w:rPr>
              <w:t xml:space="preserve">given concomitantly with </w:t>
            </w:r>
            <w:r w:rsidR="008A13D5">
              <w:rPr>
                <w:rFonts w:ascii="Arial Narrow" w:hAnsi="Arial Narrow"/>
                <w:sz w:val="20"/>
              </w:rPr>
              <w:t xml:space="preserve">a </w:t>
            </w:r>
            <w:r w:rsidR="005D3D96" w:rsidRPr="00931642">
              <w:rPr>
                <w:rFonts w:ascii="Arial Narrow" w:hAnsi="Arial Narrow"/>
                <w:sz w:val="20"/>
              </w:rPr>
              <w:t xml:space="preserve">PBS-subsidised </w:t>
            </w:r>
            <w:r w:rsidRPr="00931642">
              <w:rPr>
                <w:rFonts w:ascii="Arial Narrow" w:hAnsi="Arial Narrow"/>
                <w:sz w:val="20"/>
              </w:rPr>
              <w:t>somatostatin analogue</w:t>
            </w:r>
            <w:r w:rsidR="001A465A">
              <w:rPr>
                <w:rFonts w:ascii="Arial Narrow" w:hAnsi="Arial Narrow"/>
                <w:sz w:val="20"/>
              </w:rPr>
              <w:t>.</w:t>
            </w:r>
          </w:p>
        </w:tc>
      </w:tr>
      <w:tr w:rsidR="00953F60" w:rsidRPr="00931642" w:rsidTr="00BD240E">
        <w:trPr>
          <w:gridAfter w:val="1"/>
          <w:wAfter w:w="31" w:type="pct"/>
          <w:trHeight w:val="466"/>
        </w:trPr>
        <w:tc>
          <w:tcPr>
            <w:tcW w:w="983" w:type="pct"/>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Prescriber Instruction</w:t>
            </w:r>
          </w:p>
        </w:tc>
        <w:tc>
          <w:tcPr>
            <w:tcW w:w="3986" w:type="pct"/>
            <w:gridSpan w:val="6"/>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snapToGrid w:val="0"/>
              <w:rPr>
                <w:rFonts w:ascii="Arial Narrow" w:hAnsi="Arial Narrow"/>
                <w:sz w:val="20"/>
              </w:rPr>
            </w:pPr>
            <w:r w:rsidRPr="00931642">
              <w:rPr>
                <w:rFonts w:ascii="Arial Narrow" w:hAnsi="Arial Narrow"/>
                <w:sz w:val="20"/>
              </w:rPr>
              <w:t>If treatment with octreotide</w:t>
            </w:r>
            <w:r w:rsidR="009E6BA0" w:rsidRPr="00931642">
              <w:rPr>
                <w:rFonts w:ascii="Arial Narrow" w:hAnsi="Arial Narrow"/>
                <w:sz w:val="20"/>
              </w:rPr>
              <w:t xml:space="preserve"> or</w:t>
            </w:r>
            <w:r w:rsidRPr="00931642">
              <w:rPr>
                <w:rFonts w:ascii="Arial Narrow" w:hAnsi="Arial Narrow"/>
                <w:sz w:val="20"/>
              </w:rPr>
              <w:t xml:space="preserve"> lanreotide is contraindicated according to the relevant TGA-approved Product Information, the application must provide details of contraindication.</w:t>
            </w:r>
          </w:p>
          <w:p w:rsidR="00953F60" w:rsidRPr="00931642" w:rsidRDefault="00953F60" w:rsidP="006504C4">
            <w:pPr>
              <w:widowControl/>
              <w:snapToGrid w:val="0"/>
              <w:rPr>
                <w:rFonts w:ascii="Arial Narrow" w:hAnsi="Arial Narrow"/>
                <w:sz w:val="20"/>
              </w:rPr>
            </w:pPr>
          </w:p>
          <w:p w:rsidR="00953F60" w:rsidRPr="00931642" w:rsidRDefault="00953F60" w:rsidP="006504C4">
            <w:pPr>
              <w:widowControl/>
              <w:snapToGrid w:val="0"/>
              <w:rPr>
                <w:rFonts w:ascii="Arial Narrow" w:hAnsi="Arial Narrow"/>
                <w:sz w:val="20"/>
              </w:rPr>
            </w:pPr>
            <w:r w:rsidRPr="00931642">
              <w:rPr>
                <w:rFonts w:ascii="Arial Narrow" w:hAnsi="Arial Narrow"/>
                <w:sz w:val="20"/>
              </w:rPr>
              <w:t>If intolerance to either octreotide</w:t>
            </w:r>
            <w:r w:rsidR="009E6BA0" w:rsidRPr="00931642">
              <w:rPr>
                <w:rFonts w:ascii="Arial Narrow" w:hAnsi="Arial Narrow"/>
                <w:sz w:val="20"/>
              </w:rPr>
              <w:t xml:space="preserve"> or</w:t>
            </w:r>
            <w:r w:rsidRPr="00931642">
              <w:rPr>
                <w:rFonts w:ascii="Arial Narrow" w:hAnsi="Arial Narrow"/>
                <w:sz w:val="20"/>
              </w:rPr>
              <w:t xml:space="preserve"> lanreotide treatment develops during the relevant period of use which is of a severity to necessitate withdrawal of the treatment, the </w:t>
            </w:r>
            <w:r w:rsidRPr="00931642">
              <w:rPr>
                <w:rFonts w:ascii="Arial Narrow" w:hAnsi="Arial Narrow"/>
                <w:sz w:val="20"/>
              </w:rPr>
              <w:lastRenderedPageBreak/>
              <w:t xml:space="preserve">application must provide details of the nature and severity of this intolerance. </w:t>
            </w:r>
          </w:p>
          <w:p w:rsidR="0071738C" w:rsidRPr="00931642" w:rsidRDefault="0071738C" w:rsidP="005D3D96">
            <w:pPr>
              <w:widowControl/>
              <w:snapToGrid w:val="0"/>
              <w:rPr>
                <w:rFonts w:ascii="Arial Narrow" w:hAnsi="Arial Narrow"/>
                <w:sz w:val="20"/>
              </w:rPr>
            </w:pPr>
          </w:p>
          <w:p w:rsidR="005D3D96" w:rsidRPr="00931642" w:rsidRDefault="005D3D96" w:rsidP="005D3D96">
            <w:pPr>
              <w:widowControl/>
              <w:snapToGrid w:val="0"/>
              <w:rPr>
                <w:rFonts w:ascii="Arial Narrow" w:hAnsi="Arial Narrow"/>
                <w:sz w:val="20"/>
              </w:rPr>
            </w:pPr>
            <w:r w:rsidRPr="00931642">
              <w:rPr>
                <w:rFonts w:ascii="Arial Narrow" w:hAnsi="Arial Narrow"/>
                <w:sz w:val="20"/>
              </w:rPr>
              <w:t>Failure to achieve biochemical control is defined as:</w:t>
            </w:r>
          </w:p>
          <w:p w:rsidR="005D3D96" w:rsidRPr="00931642" w:rsidRDefault="005D3D96" w:rsidP="005D3D96">
            <w:pPr>
              <w:widowControl/>
              <w:snapToGrid w:val="0"/>
              <w:rPr>
                <w:rFonts w:ascii="Arial Narrow" w:hAnsi="Arial Narrow"/>
                <w:sz w:val="20"/>
              </w:rPr>
            </w:pPr>
            <w:r w:rsidRPr="00931642">
              <w:rPr>
                <w:rFonts w:ascii="Arial Narrow" w:hAnsi="Arial Narrow"/>
                <w:sz w:val="20"/>
              </w:rPr>
              <w:t>1) Growth hormone level is greater than 2.5 mcg/L; and</w:t>
            </w:r>
          </w:p>
          <w:p w:rsidR="005D3D96" w:rsidRPr="00931642" w:rsidRDefault="005D3D96" w:rsidP="005D3D96">
            <w:pPr>
              <w:widowControl/>
              <w:snapToGrid w:val="0"/>
              <w:rPr>
                <w:rFonts w:ascii="Arial Narrow" w:hAnsi="Arial Narrow"/>
                <w:sz w:val="20"/>
              </w:rPr>
            </w:pPr>
            <w:r w:rsidRPr="00931642">
              <w:rPr>
                <w:rFonts w:ascii="Arial Narrow" w:hAnsi="Arial Narrow"/>
                <w:sz w:val="20"/>
              </w:rPr>
              <w:t>2) IGF-1 level is greater than 1.3 times the age- and sex-adjusted ULN</w:t>
            </w:r>
          </w:p>
          <w:p w:rsidR="005D3D96" w:rsidRDefault="005D3D96" w:rsidP="006504C4">
            <w:pPr>
              <w:widowControl/>
              <w:snapToGrid w:val="0"/>
              <w:rPr>
                <w:rFonts w:ascii="Arial Narrow" w:hAnsi="Arial Narrow"/>
                <w:sz w:val="20"/>
              </w:rPr>
            </w:pPr>
          </w:p>
          <w:p w:rsidR="001A465A" w:rsidRDefault="001A465A" w:rsidP="006504C4">
            <w:pPr>
              <w:widowControl/>
              <w:snapToGrid w:val="0"/>
              <w:rPr>
                <w:rFonts w:ascii="Arial Narrow" w:hAnsi="Arial Narrow"/>
                <w:sz w:val="20"/>
              </w:rPr>
            </w:pPr>
            <w:r>
              <w:rPr>
                <w:rFonts w:ascii="Arial Narrow" w:hAnsi="Arial Narrow"/>
                <w:sz w:val="20"/>
              </w:rPr>
              <w:t>S</w:t>
            </w:r>
            <w:r w:rsidRPr="00931642">
              <w:rPr>
                <w:rFonts w:ascii="Arial Narrow" w:hAnsi="Arial Narrow"/>
                <w:sz w:val="20"/>
              </w:rPr>
              <w:t>omatostatin analogue</w:t>
            </w:r>
            <w:r>
              <w:rPr>
                <w:rFonts w:ascii="Arial Narrow" w:hAnsi="Arial Narrow"/>
                <w:sz w:val="20"/>
              </w:rPr>
              <w:t>s inclu</w:t>
            </w:r>
            <w:r w:rsidRPr="00754EC9">
              <w:rPr>
                <w:rFonts w:ascii="Arial Narrow" w:hAnsi="Arial Narrow"/>
                <w:sz w:val="20"/>
              </w:rPr>
              <w:t>de octreotide</w:t>
            </w:r>
            <w:r w:rsidR="00754EC9" w:rsidRPr="00754EC9">
              <w:rPr>
                <w:rFonts w:ascii="Arial Narrow" w:hAnsi="Arial Narrow"/>
                <w:sz w:val="20"/>
              </w:rPr>
              <w:t>,</w:t>
            </w:r>
            <w:r w:rsidRPr="00754EC9">
              <w:rPr>
                <w:rFonts w:ascii="Arial Narrow" w:hAnsi="Arial Narrow"/>
                <w:sz w:val="20"/>
              </w:rPr>
              <w:t xml:space="preserve"> lanreotide and pasi</w:t>
            </w:r>
            <w:r w:rsidR="00754EC9" w:rsidRPr="00754EC9">
              <w:rPr>
                <w:rFonts w:ascii="Arial Narrow" w:hAnsi="Arial Narrow"/>
                <w:sz w:val="20"/>
              </w:rPr>
              <w:t>reotide.</w:t>
            </w:r>
          </w:p>
          <w:p w:rsidR="001A465A" w:rsidRPr="00931642" w:rsidRDefault="001A465A" w:rsidP="006504C4">
            <w:pPr>
              <w:widowControl/>
              <w:snapToGrid w:val="0"/>
              <w:rPr>
                <w:rFonts w:ascii="Arial Narrow" w:hAnsi="Arial Narrow"/>
                <w:sz w:val="20"/>
              </w:rPr>
            </w:pPr>
          </w:p>
          <w:p w:rsidR="00953F60" w:rsidRPr="00931642" w:rsidRDefault="00953F60" w:rsidP="006504C4">
            <w:pPr>
              <w:widowControl/>
              <w:rPr>
                <w:rFonts w:ascii="Arial Narrow" w:hAnsi="Arial Narrow"/>
                <w:sz w:val="20"/>
              </w:rPr>
            </w:pPr>
            <w:r w:rsidRPr="00931642">
              <w:rPr>
                <w:rFonts w:ascii="Arial Narrow" w:hAnsi="Arial Narrow"/>
                <w:sz w:val="20"/>
              </w:rPr>
              <w:t xml:space="preserve">In a patient treated with radiotherapy, pegvisomant should be withdrawn every 2 years in the 10 years after completion of radiotherapy for assessment of remission. Pegvisomant should be withdrawn at least 8 weeks prior to the assessment of remission. </w:t>
            </w:r>
          </w:p>
          <w:p w:rsidR="00953F60" w:rsidRPr="00931642" w:rsidRDefault="00953F60" w:rsidP="006504C4">
            <w:pPr>
              <w:widowControl/>
              <w:rPr>
                <w:rFonts w:ascii="Arial Narrow" w:hAnsi="Arial Narrow"/>
                <w:sz w:val="20"/>
              </w:rPr>
            </w:pPr>
          </w:p>
          <w:p w:rsidR="00953F60" w:rsidRPr="00931642" w:rsidRDefault="00953F60" w:rsidP="006504C4">
            <w:pPr>
              <w:widowControl/>
              <w:rPr>
                <w:rFonts w:ascii="Arial Narrow" w:hAnsi="Arial Narrow"/>
                <w:sz w:val="20"/>
              </w:rPr>
            </w:pPr>
            <w:r w:rsidRPr="00931642">
              <w:rPr>
                <w:rFonts w:ascii="Arial Narrow" w:hAnsi="Arial Narrow"/>
                <w:sz w:val="20"/>
              </w:rPr>
              <w:t xml:space="preserve">In a patient who has been previously treated with radiotherapy for this condition, the date of completion of radiotherapy must be provided; and a copy of IGF-1 level taken at the most recent two yearly </w:t>
            </w:r>
            <w:proofErr w:type="gramStart"/>
            <w:r w:rsidRPr="00931642">
              <w:rPr>
                <w:rFonts w:ascii="Arial Narrow" w:hAnsi="Arial Narrow"/>
                <w:sz w:val="20"/>
              </w:rPr>
              <w:t>assessment</w:t>
            </w:r>
            <w:proofErr w:type="gramEnd"/>
            <w:r w:rsidRPr="00931642">
              <w:rPr>
                <w:rFonts w:ascii="Arial Narrow" w:hAnsi="Arial Narrow"/>
                <w:sz w:val="20"/>
              </w:rPr>
              <w:t xml:space="preserve"> in the 10 years after completion of radiotherapy must be provided at the time of approval.</w:t>
            </w:r>
          </w:p>
          <w:p w:rsidR="00953F60" w:rsidRPr="00931642" w:rsidRDefault="00953F60" w:rsidP="006504C4">
            <w:pPr>
              <w:widowControl/>
              <w:rPr>
                <w:rFonts w:ascii="Arial Narrow" w:hAnsi="Arial Narrow"/>
                <w:sz w:val="20"/>
              </w:rPr>
            </w:pPr>
          </w:p>
          <w:p w:rsidR="00B47913" w:rsidRPr="00931642" w:rsidRDefault="00B47913" w:rsidP="00B47913">
            <w:pPr>
              <w:widowControl/>
              <w:rPr>
                <w:rFonts w:ascii="Arial Narrow" w:hAnsi="Arial Narrow"/>
                <w:sz w:val="20"/>
              </w:rPr>
            </w:pPr>
            <w:r w:rsidRPr="00931642">
              <w:rPr>
                <w:rFonts w:ascii="Arial Narrow" w:hAnsi="Arial Narrow"/>
                <w:sz w:val="20"/>
              </w:rPr>
              <w:t>Biochemical evidence of remission is defined as</w:t>
            </w:r>
            <w:r w:rsidR="00754EC9">
              <w:rPr>
                <w:rFonts w:ascii="Arial Narrow" w:hAnsi="Arial Narrow"/>
                <w:sz w:val="20"/>
              </w:rPr>
              <w:t xml:space="preserve"> </w:t>
            </w:r>
            <w:r w:rsidRPr="00931642">
              <w:rPr>
                <w:rFonts w:ascii="Arial Narrow" w:hAnsi="Arial Narrow"/>
                <w:sz w:val="20"/>
              </w:rPr>
              <w:t>normalisation of sex- and age- adjusted insulin-like growth factor 1 (IGF-1)</w:t>
            </w:r>
            <w:r w:rsidR="00754EC9">
              <w:rPr>
                <w:rFonts w:ascii="Arial Narrow" w:hAnsi="Arial Narrow"/>
                <w:sz w:val="20"/>
              </w:rPr>
              <w:t>.</w:t>
            </w:r>
          </w:p>
          <w:p w:rsidR="00953F60" w:rsidRPr="00931642" w:rsidRDefault="00953F60" w:rsidP="006504C4">
            <w:pPr>
              <w:widowControl/>
              <w:rPr>
                <w:rFonts w:ascii="Arial Narrow" w:hAnsi="Arial Narrow"/>
                <w:sz w:val="20"/>
              </w:rPr>
            </w:pPr>
          </w:p>
          <w:p w:rsidR="00953F60" w:rsidRPr="00931642" w:rsidRDefault="00953F60" w:rsidP="006504C4">
            <w:pPr>
              <w:widowControl/>
              <w:rPr>
                <w:rFonts w:ascii="Arial Narrow" w:hAnsi="Arial Narrow"/>
                <w:sz w:val="20"/>
              </w:rPr>
            </w:pPr>
            <w:r w:rsidRPr="00931642">
              <w:rPr>
                <w:rFonts w:ascii="Arial Narrow" w:hAnsi="Arial Narrow"/>
                <w:sz w:val="20"/>
              </w:rPr>
              <w:t xml:space="preserve">Treatment must cease if IGF-1 is not </w:t>
            </w:r>
            <w:r w:rsidR="005D3D96" w:rsidRPr="00931642">
              <w:rPr>
                <w:rFonts w:ascii="Arial Narrow" w:hAnsi="Arial Narrow"/>
                <w:sz w:val="20"/>
              </w:rPr>
              <w:t xml:space="preserve">lower </w:t>
            </w:r>
            <w:r w:rsidRPr="00931642">
              <w:rPr>
                <w:rFonts w:ascii="Arial Narrow" w:hAnsi="Arial Narrow"/>
                <w:sz w:val="20"/>
              </w:rPr>
              <w:t xml:space="preserve">after 3 months of pegvisomant treatment at </w:t>
            </w:r>
            <w:r w:rsidR="00B47913" w:rsidRPr="00931642">
              <w:rPr>
                <w:rFonts w:ascii="Arial Narrow" w:hAnsi="Arial Narrow"/>
                <w:sz w:val="20"/>
              </w:rPr>
              <w:t>the maximum tolerated dose</w:t>
            </w:r>
            <w:r w:rsidRPr="00931642">
              <w:rPr>
                <w:rFonts w:ascii="Arial Narrow" w:hAnsi="Arial Narrow"/>
                <w:sz w:val="20"/>
              </w:rPr>
              <w:t>.</w:t>
            </w:r>
          </w:p>
          <w:p w:rsidR="00953F60" w:rsidRPr="00931642" w:rsidRDefault="00953F60" w:rsidP="006504C4">
            <w:pPr>
              <w:widowControl/>
              <w:rPr>
                <w:rFonts w:ascii="Arial Narrow" w:hAnsi="Arial Narrow"/>
                <w:sz w:val="20"/>
              </w:rPr>
            </w:pPr>
          </w:p>
          <w:p w:rsidR="00953F60" w:rsidRPr="00931642" w:rsidRDefault="00953F60" w:rsidP="006504C4">
            <w:pPr>
              <w:widowControl/>
              <w:rPr>
                <w:rFonts w:ascii="Arial Narrow" w:hAnsi="Arial Narrow"/>
                <w:sz w:val="20"/>
              </w:rPr>
            </w:pPr>
            <w:r w:rsidRPr="00931642">
              <w:rPr>
                <w:rFonts w:ascii="Arial Narrow" w:hAnsi="Arial Narrow"/>
                <w:sz w:val="20"/>
              </w:rPr>
              <w:t>The authority application must be made in writing and must include:</w:t>
            </w:r>
          </w:p>
          <w:p w:rsidR="00953F60" w:rsidRPr="00931642" w:rsidRDefault="00953F60" w:rsidP="006504C4">
            <w:pPr>
              <w:widowControl/>
              <w:rPr>
                <w:rFonts w:ascii="Arial Narrow" w:hAnsi="Arial Narrow"/>
                <w:sz w:val="20"/>
              </w:rPr>
            </w:pPr>
            <w:r w:rsidRPr="00931642">
              <w:rPr>
                <w:rFonts w:ascii="Arial Narrow" w:hAnsi="Arial Narrow"/>
                <w:sz w:val="20"/>
              </w:rPr>
              <w:t>a) a completed authority prescription form</w:t>
            </w:r>
            <w:r w:rsidR="00872F2D" w:rsidRPr="00931642">
              <w:rPr>
                <w:rFonts w:ascii="Arial Narrow" w:hAnsi="Arial Narrow"/>
                <w:sz w:val="20"/>
              </w:rPr>
              <w:t xml:space="preserve"> for the loading dose</w:t>
            </w:r>
            <w:r w:rsidRPr="00931642">
              <w:rPr>
                <w:rFonts w:ascii="Arial Narrow" w:hAnsi="Arial Narrow"/>
                <w:sz w:val="20"/>
              </w:rPr>
              <w:t>; and</w:t>
            </w:r>
          </w:p>
          <w:p w:rsidR="00953F60" w:rsidRPr="00931642" w:rsidRDefault="00953F60" w:rsidP="006504C4">
            <w:pPr>
              <w:widowControl/>
              <w:rPr>
                <w:rFonts w:ascii="Arial Narrow" w:hAnsi="Arial Narrow"/>
                <w:sz w:val="20"/>
              </w:rPr>
            </w:pPr>
            <w:r w:rsidRPr="00931642">
              <w:rPr>
                <w:rFonts w:ascii="Arial Narrow" w:hAnsi="Arial Narrow"/>
                <w:sz w:val="20"/>
              </w:rPr>
              <w:t xml:space="preserve">b) a completed Acromegaly PBS Authority Application - Supporting Information Form; and </w:t>
            </w:r>
          </w:p>
          <w:p w:rsidR="00953F60" w:rsidRPr="00931642" w:rsidRDefault="00953F60" w:rsidP="006504C4">
            <w:pPr>
              <w:widowControl/>
              <w:rPr>
                <w:rFonts w:ascii="Arial Narrow" w:hAnsi="Arial Narrow"/>
                <w:sz w:val="20"/>
              </w:rPr>
            </w:pPr>
            <w:r w:rsidRPr="00931642">
              <w:rPr>
                <w:rFonts w:ascii="Arial Narrow" w:hAnsi="Arial Narrow"/>
                <w:sz w:val="20"/>
              </w:rPr>
              <w:t xml:space="preserve">c) a signed patient </w:t>
            </w:r>
            <w:r w:rsidR="00754EC9">
              <w:rPr>
                <w:rFonts w:ascii="Arial Narrow" w:hAnsi="Arial Narrow"/>
                <w:sz w:val="20"/>
              </w:rPr>
              <w:t xml:space="preserve">or parent/authorised guardian </w:t>
            </w:r>
            <w:r w:rsidRPr="00931642">
              <w:rPr>
                <w:rFonts w:ascii="Arial Narrow" w:hAnsi="Arial Narrow"/>
                <w:sz w:val="20"/>
              </w:rPr>
              <w:t>acknowledgment; and</w:t>
            </w:r>
          </w:p>
          <w:p w:rsidR="00953F60" w:rsidRPr="00931642" w:rsidRDefault="00953F60" w:rsidP="006504C4">
            <w:pPr>
              <w:widowControl/>
              <w:rPr>
                <w:rFonts w:ascii="Arial Narrow" w:hAnsi="Arial Narrow"/>
                <w:sz w:val="20"/>
              </w:rPr>
            </w:pPr>
            <w:r w:rsidRPr="00931642">
              <w:rPr>
                <w:rFonts w:ascii="Arial Narrow" w:hAnsi="Arial Narrow"/>
                <w:sz w:val="20"/>
              </w:rPr>
              <w:t xml:space="preserve">d) in a patient who has been previously treated with radiotherapy for this condition, the date of completion of radiotherapy must be provided; and a copy of IGF-1 levels taken at the most recent two yearly assessment in the 10 years after completion of radiotherapy must be provided; and </w:t>
            </w:r>
          </w:p>
          <w:p w:rsidR="00953F60" w:rsidRPr="00931642" w:rsidRDefault="00953F60" w:rsidP="006504C4">
            <w:pPr>
              <w:widowControl/>
              <w:rPr>
                <w:rFonts w:ascii="Arial Narrow" w:hAnsi="Arial Narrow"/>
                <w:sz w:val="20"/>
              </w:rPr>
            </w:pPr>
            <w:r w:rsidRPr="00931642">
              <w:rPr>
                <w:rFonts w:ascii="Arial Narrow" w:hAnsi="Arial Narrow"/>
                <w:sz w:val="20"/>
              </w:rPr>
              <w:t xml:space="preserve">e) </w:t>
            </w:r>
            <w:proofErr w:type="gramStart"/>
            <w:r w:rsidRPr="00931642">
              <w:rPr>
                <w:rFonts w:ascii="Arial Narrow" w:hAnsi="Arial Narrow"/>
                <w:sz w:val="20"/>
              </w:rPr>
              <w:t>a</w:t>
            </w:r>
            <w:proofErr w:type="gramEnd"/>
            <w:r w:rsidRPr="00931642">
              <w:rPr>
                <w:rFonts w:ascii="Arial Narrow" w:hAnsi="Arial Narrow"/>
                <w:sz w:val="20"/>
              </w:rPr>
              <w:t xml:space="preserve"> recent copy of GH and IGF-1 levels must be provided.</w:t>
            </w:r>
          </w:p>
        </w:tc>
      </w:tr>
      <w:tr w:rsidR="00BD240E" w:rsidRPr="00931642" w:rsidTr="00BD240E">
        <w:trPr>
          <w:cantSplit/>
          <w:trHeight w:val="489"/>
        </w:trPr>
        <w:tc>
          <w:tcPr>
            <w:tcW w:w="983" w:type="pct"/>
            <w:tcBorders>
              <w:top w:val="single" w:sz="4" w:space="0" w:color="auto"/>
              <w:left w:val="single" w:sz="4" w:space="0" w:color="auto"/>
              <w:bottom w:val="single" w:sz="4" w:space="0" w:color="auto"/>
              <w:right w:val="single" w:sz="4" w:space="0" w:color="auto"/>
            </w:tcBorders>
          </w:tcPr>
          <w:p w:rsidR="00BD240E" w:rsidRPr="00931642" w:rsidRDefault="004F7351" w:rsidP="006504C4">
            <w:pPr>
              <w:widowControl/>
              <w:rPr>
                <w:rFonts w:ascii="Arial Narrow" w:hAnsi="Arial Narrow"/>
                <w:b/>
                <w:sz w:val="20"/>
              </w:rPr>
            </w:pPr>
            <w:r w:rsidRPr="00931642">
              <w:rPr>
                <w:rFonts w:ascii="Arial Narrow" w:hAnsi="Arial Narrow"/>
                <w:b/>
                <w:sz w:val="20"/>
              </w:rPr>
              <w:lastRenderedPageBreak/>
              <w:t>Administrative advice</w:t>
            </w:r>
          </w:p>
        </w:tc>
        <w:tc>
          <w:tcPr>
            <w:tcW w:w="4017" w:type="pct"/>
            <w:gridSpan w:val="7"/>
            <w:tcBorders>
              <w:top w:val="single" w:sz="4" w:space="0" w:color="auto"/>
              <w:left w:val="single" w:sz="4" w:space="0" w:color="auto"/>
              <w:bottom w:val="single" w:sz="4" w:space="0" w:color="auto"/>
              <w:right w:val="single" w:sz="4" w:space="0" w:color="auto"/>
            </w:tcBorders>
          </w:tcPr>
          <w:p w:rsidR="00786291" w:rsidRDefault="00786291" w:rsidP="004F7351">
            <w:pPr>
              <w:widowControl/>
              <w:snapToGrid w:val="0"/>
              <w:rPr>
                <w:rFonts w:ascii="Arial Narrow" w:hAnsi="Arial Narrow"/>
                <w:sz w:val="20"/>
              </w:rPr>
            </w:pPr>
            <w:r w:rsidRPr="00931642">
              <w:rPr>
                <w:rFonts w:ascii="Arial Narrow" w:hAnsi="Arial Narrow"/>
                <w:sz w:val="20"/>
              </w:rPr>
              <w:t>No increase in the maximum quantity or number of units may be authorised</w:t>
            </w:r>
          </w:p>
          <w:p w:rsidR="00786291" w:rsidRPr="00931642" w:rsidRDefault="00786291" w:rsidP="004F7351">
            <w:pPr>
              <w:widowControl/>
              <w:snapToGrid w:val="0"/>
              <w:rPr>
                <w:rFonts w:ascii="Arial Narrow" w:hAnsi="Arial Narrow"/>
                <w:sz w:val="20"/>
              </w:rPr>
            </w:pPr>
          </w:p>
          <w:p w:rsidR="004F7351" w:rsidRPr="00931642" w:rsidRDefault="004F7351" w:rsidP="004F7351">
            <w:pPr>
              <w:widowControl/>
              <w:snapToGrid w:val="0"/>
              <w:rPr>
                <w:rFonts w:ascii="Arial Narrow" w:hAnsi="Arial Narrow"/>
                <w:sz w:val="20"/>
              </w:rPr>
            </w:pPr>
            <w:r w:rsidRPr="00931642">
              <w:rPr>
                <w:rFonts w:ascii="Arial Narrow" w:hAnsi="Arial Narrow"/>
                <w:sz w:val="20"/>
              </w:rPr>
              <w:t>Any queries concerning the arrangements to prescribe may be directed to the Department of Human Services on 1800 700 270 (hours of operation 8 a.m. to 5 p.m. EST Monday to Friday).</w:t>
            </w:r>
          </w:p>
          <w:p w:rsidR="004F7351" w:rsidRPr="00931642" w:rsidRDefault="004F7351" w:rsidP="004F7351">
            <w:pPr>
              <w:widowControl/>
              <w:snapToGrid w:val="0"/>
              <w:rPr>
                <w:rFonts w:ascii="Arial Narrow" w:hAnsi="Arial Narrow"/>
                <w:sz w:val="20"/>
              </w:rPr>
            </w:pPr>
          </w:p>
          <w:p w:rsidR="004F7351" w:rsidRPr="00931642" w:rsidRDefault="004F7351" w:rsidP="004F7351">
            <w:pPr>
              <w:widowControl/>
              <w:snapToGrid w:val="0"/>
              <w:rPr>
                <w:rFonts w:ascii="Arial Narrow" w:hAnsi="Arial Narrow"/>
                <w:sz w:val="20"/>
              </w:rPr>
            </w:pPr>
            <w:r w:rsidRPr="00931642">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4F7351" w:rsidRPr="00931642" w:rsidRDefault="004F7351" w:rsidP="004F7351">
            <w:pPr>
              <w:widowControl/>
              <w:snapToGrid w:val="0"/>
              <w:rPr>
                <w:rFonts w:ascii="Arial Narrow" w:hAnsi="Arial Narrow"/>
                <w:sz w:val="20"/>
              </w:rPr>
            </w:pPr>
          </w:p>
          <w:p w:rsidR="004F7351" w:rsidRPr="00931642" w:rsidRDefault="004F7351" w:rsidP="004F7351">
            <w:pPr>
              <w:widowControl/>
              <w:snapToGrid w:val="0"/>
              <w:rPr>
                <w:rFonts w:ascii="Arial Narrow" w:hAnsi="Arial Narrow"/>
                <w:sz w:val="20"/>
              </w:rPr>
            </w:pPr>
            <w:r w:rsidRPr="00931642">
              <w:rPr>
                <w:rFonts w:ascii="Arial Narrow" w:hAnsi="Arial Narrow"/>
                <w:sz w:val="20"/>
              </w:rPr>
              <w:t>Applications for authority to prescribe should be forwarded to:</w:t>
            </w:r>
          </w:p>
          <w:p w:rsidR="004F7351" w:rsidRPr="00931642" w:rsidRDefault="004F7351" w:rsidP="004F7351">
            <w:pPr>
              <w:widowControl/>
              <w:snapToGrid w:val="0"/>
              <w:rPr>
                <w:rFonts w:ascii="Arial Narrow" w:hAnsi="Arial Narrow"/>
                <w:sz w:val="20"/>
              </w:rPr>
            </w:pPr>
            <w:r w:rsidRPr="00931642">
              <w:rPr>
                <w:rFonts w:ascii="Arial Narrow" w:hAnsi="Arial Narrow"/>
                <w:sz w:val="20"/>
              </w:rPr>
              <w:t>Department of Human Services</w:t>
            </w:r>
          </w:p>
          <w:p w:rsidR="004F7351" w:rsidRPr="00931642" w:rsidRDefault="004F7351" w:rsidP="004F7351">
            <w:pPr>
              <w:widowControl/>
              <w:snapToGrid w:val="0"/>
              <w:rPr>
                <w:rFonts w:ascii="Arial Narrow" w:hAnsi="Arial Narrow"/>
                <w:sz w:val="20"/>
              </w:rPr>
            </w:pPr>
            <w:r w:rsidRPr="00931642">
              <w:rPr>
                <w:rFonts w:ascii="Arial Narrow" w:hAnsi="Arial Narrow"/>
                <w:sz w:val="20"/>
              </w:rPr>
              <w:t>Complex Drugs Programs</w:t>
            </w:r>
          </w:p>
          <w:p w:rsidR="004F7351" w:rsidRPr="00931642" w:rsidRDefault="004F7351" w:rsidP="004F7351">
            <w:pPr>
              <w:widowControl/>
              <w:snapToGrid w:val="0"/>
              <w:rPr>
                <w:rFonts w:ascii="Arial Narrow" w:hAnsi="Arial Narrow"/>
                <w:sz w:val="20"/>
              </w:rPr>
            </w:pPr>
            <w:r w:rsidRPr="00931642">
              <w:rPr>
                <w:rFonts w:ascii="Arial Narrow" w:hAnsi="Arial Narrow"/>
                <w:sz w:val="20"/>
              </w:rPr>
              <w:t>Reply Paid 9826</w:t>
            </w:r>
          </w:p>
          <w:p w:rsidR="004F7351" w:rsidRPr="00931642" w:rsidRDefault="004F7351" w:rsidP="004F7351">
            <w:pPr>
              <w:widowControl/>
              <w:snapToGrid w:val="0"/>
              <w:rPr>
                <w:rFonts w:ascii="Arial Narrow" w:hAnsi="Arial Narrow"/>
                <w:sz w:val="20"/>
              </w:rPr>
            </w:pPr>
            <w:r w:rsidRPr="00931642">
              <w:rPr>
                <w:rFonts w:ascii="Arial Narrow" w:hAnsi="Arial Narrow"/>
                <w:sz w:val="20"/>
              </w:rPr>
              <w:t>HOBART TAS 7001</w:t>
            </w:r>
          </w:p>
          <w:p w:rsidR="004F7351" w:rsidRPr="00931642" w:rsidRDefault="004F7351" w:rsidP="004F7351">
            <w:pPr>
              <w:widowControl/>
              <w:snapToGrid w:val="0"/>
              <w:rPr>
                <w:rFonts w:ascii="Arial Narrow" w:hAnsi="Arial Narrow"/>
                <w:sz w:val="20"/>
              </w:rPr>
            </w:pPr>
          </w:p>
          <w:p w:rsidR="00BD240E" w:rsidRPr="00931642" w:rsidRDefault="004F7351" w:rsidP="006504C4">
            <w:pPr>
              <w:widowControl/>
              <w:rPr>
                <w:rFonts w:ascii="Arial Narrow" w:hAnsi="Arial Narrow"/>
                <w:sz w:val="20"/>
              </w:rPr>
            </w:pPr>
            <w:r w:rsidRPr="00931642">
              <w:rPr>
                <w:rFonts w:ascii="Arial Narrow" w:hAnsi="Arial Narrow"/>
                <w:sz w:val="20"/>
              </w:rPr>
              <w:t>Special Pricing Arrangements apply</w:t>
            </w:r>
          </w:p>
        </w:tc>
      </w:tr>
    </w:tbl>
    <w:p w:rsidR="00953F60" w:rsidRPr="00931642" w:rsidRDefault="00953F60" w:rsidP="006504C4">
      <w:pPr>
        <w:widowControl/>
        <w:rPr>
          <w:bCs/>
          <w:szCs w:val="22"/>
        </w:rPr>
      </w:pPr>
    </w:p>
    <w:tbl>
      <w:tblPr>
        <w:tblW w:w="8505" w:type="dxa"/>
        <w:tblInd w:w="817" w:type="dxa"/>
        <w:tblLayout w:type="fixed"/>
        <w:tblLook w:val="0000" w:firstRow="0" w:lastRow="0" w:firstColumn="0" w:lastColumn="0" w:noHBand="0" w:noVBand="0"/>
      </w:tblPr>
      <w:tblGrid>
        <w:gridCol w:w="1701"/>
        <w:gridCol w:w="1418"/>
        <w:gridCol w:w="850"/>
        <w:gridCol w:w="851"/>
        <w:gridCol w:w="1086"/>
        <w:gridCol w:w="2599"/>
      </w:tblGrid>
      <w:tr w:rsidR="00BD240E" w:rsidRPr="00931642" w:rsidTr="004E1DF0">
        <w:trPr>
          <w:cantSplit/>
          <w:trHeight w:val="471"/>
        </w:trPr>
        <w:tc>
          <w:tcPr>
            <w:tcW w:w="3119" w:type="dxa"/>
            <w:gridSpan w:val="2"/>
            <w:tcBorders>
              <w:bottom w:val="single" w:sz="4" w:space="0" w:color="auto"/>
            </w:tcBorders>
          </w:tcPr>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lastRenderedPageBreak/>
              <w:t>Name, Restriction,</w:t>
            </w:r>
          </w:p>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Manner of administration and form</w:t>
            </w:r>
          </w:p>
        </w:tc>
        <w:tc>
          <w:tcPr>
            <w:tcW w:w="850" w:type="dxa"/>
            <w:tcBorders>
              <w:bottom w:val="single" w:sz="4" w:space="0" w:color="auto"/>
            </w:tcBorders>
          </w:tcPr>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Max.</w:t>
            </w:r>
          </w:p>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Qty</w:t>
            </w:r>
          </w:p>
        </w:tc>
        <w:tc>
          <w:tcPr>
            <w:tcW w:w="851" w:type="dxa"/>
            <w:tcBorders>
              <w:bottom w:val="single" w:sz="4" w:space="0" w:color="auto"/>
            </w:tcBorders>
          </w:tcPr>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№.of</w:t>
            </w:r>
          </w:p>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Rpts</w:t>
            </w:r>
          </w:p>
        </w:tc>
        <w:tc>
          <w:tcPr>
            <w:tcW w:w="3685" w:type="dxa"/>
            <w:gridSpan w:val="2"/>
            <w:tcBorders>
              <w:bottom w:val="single" w:sz="4" w:space="0" w:color="auto"/>
            </w:tcBorders>
          </w:tcPr>
          <w:p w:rsidR="00BD240E" w:rsidRPr="00931642" w:rsidRDefault="00BD240E" w:rsidP="006504C4">
            <w:pPr>
              <w:keepNext/>
              <w:widowControl/>
              <w:rPr>
                <w:rFonts w:ascii="Arial Narrow" w:hAnsi="Arial Narrow"/>
                <w:b/>
                <w:sz w:val="20"/>
              </w:rPr>
            </w:pPr>
            <w:r w:rsidRPr="00931642">
              <w:rPr>
                <w:rFonts w:ascii="Arial Narrow" w:hAnsi="Arial Narrow"/>
                <w:b/>
                <w:sz w:val="20"/>
              </w:rPr>
              <w:t>Proprietary Name and Manufacturer</w:t>
            </w:r>
          </w:p>
        </w:tc>
      </w:tr>
      <w:tr w:rsidR="00BD240E" w:rsidRPr="00931642" w:rsidTr="004E1DF0">
        <w:trPr>
          <w:cantSplit/>
          <w:trHeight w:val="750"/>
        </w:trPr>
        <w:tc>
          <w:tcPr>
            <w:tcW w:w="3119" w:type="dxa"/>
            <w:gridSpan w:val="2"/>
            <w:tcBorders>
              <w:top w:val="single" w:sz="4" w:space="0" w:color="auto"/>
            </w:tcBorders>
          </w:tcPr>
          <w:p w:rsidR="00BD240E" w:rsidRPr="00931642" w:rsidRDefault="00BD240E" w:rsidP="006504C4">
            <w:pPr>
              <w:keepNext/>
              <w:widowControl/>
              <w:ind w:left="-108"/>
              <w:rPr>
                <w:rFonts w:ascii="Arial Narrow" w:hAnsi="Arial Narrow"/>
                <w:sz w:val="20"/>
              </w:rPr>
            </w:pPr>
            <w:r w:rsidRPr="00931642">
              <w:rPr>
                <w:rFonts w:ascii="Arial Narrow" w:hAnsi="Arial Narrow"/>
                <w:sz w:val="20"/>
              </w:rPr>
              <w:t xml:space="preserve">PEGVISOMANT </w:t>
            </w: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10 mg, powder for injection</w:t>
            </w:r>
            <w:r w:rsidR="001A465A">
              <w:rPr>
                <w:rFonts w:ascii="Arial Narrow" w:hAnsi="Arial Narrow"/>
                <w:sz w:val="20"/>
              </w:rPr>
              <w:t>, 30</w:t>
            </w:r>
          </w:p>
          <w:p w:rsidR="00BD240E" w:rsidRPr="00931642" w:rsidRDefault="00BD240E" w:rsidP="006504C4">
            <w:pPr>
              <w:keepNext/>
              <w:widowControl/>
              <w:ind w:left="-108"/>
              <w:rPr>
                <w:rFonts w:ascii="Arial Narrow" w:hAnsi="Arial Narrow"/>
                <w:sz w:val="20"/>
              </w:rPr>
            </w:pP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15 mg, powder for injection</w:t>
            </w:r>
            <w:r w:rsidR="001A465A">
              <w:rPr>
                <w:rFonts w:ascii="Arial Narrow" w:hAnsi="Arial Narrow"/>
                <w:sz w:val="20"/>
              </w:rPr>
              <w:t>, 30</w:t>
            </w:r>
          </w:p>
          <w:p w:rsidR="00BD240E" w:rsidRPr="00931642" w:rsidRDefault="00BD240E" w:rsidP="006504C4">
            <w:pPr>
              <w:keepNext/>
              <w:widowControl/>
              <w:ind w:left="-108"/>
              <w:rPr>
                <w:rFonts w:ascii="Arial Narrow" w:hAnsi="Arial Narrow"/>
                <w:sz w:val="20"/>
              </w:rPr>
            </w:pP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20 mg, powder for injection</w:t>
            </w:r>
            <w:r w:rsidR="001A465A">
              <w:rPr>
                <w:rFonts w:ascii="Arial Narrow" w:hAnsi="Arial Narrow"/>
                <w:sz w:val="20"/>
              </w:rPr>
              <w:t>, 30</w:t>
            </w:r>
          </w:p>
        </w:tc>
        <w:tc>
          <w:tcPr>
            <w:tcW w:w="850" w:type="dxa"/>
            <w:tcBorders>
              <w:top w:val="single" w:sz="4" w:space="0" w:color="auto"/>
            </w:tcBorders>
          </w:tcPr>
          <w:p w:rsidR="00BD240E" w:rsidRPr="00931642" w:rsidRDefault="00BD240E" w:rsidP="006504C4">
            <w:pPr>
              <w:keepNext/>
              <w:widowControl/>
              <w:rPr>
                <w:rFonts w:ascii="Arial Narrow" w:hAnsi="Arial Narrow"/>
                <w:sz w:val="20"/>
              </w:rPr>
            </w:pPr>
          </w:p>
          <w:p w:rsidR="00BD240E" w:rsidRPr="00931642" w:rsidRDefault="001A465A" w:rsidP="006504C4">
            <w:pPr>
              <w:keepNext/>
              <w:widowControl/>
              <w:rPr>
                <w:rFonts w:ascii="Arial Narrow" w:hAnsi="Arial Narrow"/>
                <w:sz w:val="20"/>
              </w:rPr>
            </w:pPr>
            <w:r>
              <w:rPr>
                <w:rFonts w:ascii="Arial Narrow" w:hAnsi="Arial Narrow"/>
                <w:sz w:val="20"/>
              </w:rPr>
              <w:t>1</w:t>
            </w:r>
          </w:p>
          <w:p w:rsidR="00BD240E" w:rsidRPr="00931642" w:rsidRDefault="00BD240E" w:rsidP="006504C4">
            <w:pPr>
              <w:keepNext/>
              <w:widowControl/>
              <w:rPr>
                <w:rFonts w:ascii="Arial Narrow" w:hAnsi="Arial Narrow"/>
                <w:sz w:val="20"/>
              </w:rPr>
            </w:pPr>
          </w:p>
          <w:p w:rsidR="00BD240E" w:rsidRPr="00931642" w:rsidRDefault="001A465A" w:rsidP="006504C4">
            <w:pPr>
              <w:keepNext/>
              <w:widowControl/>
              <w:rPr>
                <w:rFonts w:ascii="Arial Narrow" w:hAnsi="Arial Narrow"/>
                <w:sz w:val="20"/>
              </w:rPr>
            </w:pPr>
            <w:r>
              <w:rPr>
                <w:rFonts w:ascii="Arial Narrow" w:hAnsi="Arial Narrow"/>
                <w:sz w:val="20"/>
              </w:rPr>
              <w:t>1</w:t>
            </w:r>
          </w:p>
          <w:p w:rsidR="00BD240E" w:rsidRPr="00931642" w:rsidRDefault="00BD240E" w:rsidP="006504C4">
            <w:pPr>
              <w:keepNext/>
              <w:widowControl/>
              <w:rPr>
                <w:rFonts w:ascii="Arial Narrow" w:hAnsi="Arial Narrow"/>
                <w:sz w:val="20"/>
              </w:rPr>
            </w:pPr>
          </w:p>
          <w:p w:rsidR="00BD240E" w:rsidRPr="00931642" w:rsidRDefault="001A465A" w:rsidP="006504C4">
            <w:pPr>
              <w:keepNext/>
              <w:widowControl/>
              <w:rPr>
                <w:rFonts w:ascii="Arial Narrow" w:hAnsi="Arial Narrow"/>
                <w:sz w:val="20"/>
              </w:rPr>
            </w:pPr>
            <w:r>
              <w:rPr>
                <w:rFonts w:ascii="Arial Narrow" w:hAnsi="Arial Narrow"/>
                <w:sz w:val="20"/>
              </w:rPr>
              <w:t>1</w:t>
            </w:r>
          </w:p>
        </w:tc>
        <w:tc>
          <w:tcPr>
            <w:tcW w:w="851" w:type="dxa"/>
            <w:tcBorders>
              <w:top w:val="single" w:sz="4" w:space="0" w:color="auto"/>
            </w:tcBorders>
          </w:tcPr>
          <w:p w:rsidR="00BD240E" w:rsidRPr="00931642" w:rsidRDefault="00BD240E" w:rsidP="006504C4">
            <w:pPr>
              <w:keepNext/>
              <w:widowControl/>
              <w:ind w:left="-108"/>
              <w:rPr>
                <w:rFonts w:ascii="Arial Narrow" w:hAnsi="Arial Narrow"/>
                <w:sz w:val="20"/>
              </w:rPr>
            </w:pP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5</w:t>
            </w:r>
          </w:p>
          <w:p w:rsidR="00BD240E" w:rsidRPr="00931642" w:rsidRDefault="00BD240E" w:rsidP="006504C4">
            <w:pPr>
              <w:keepNext/>
              <w:widowControl/>
              <w:ind w:left="-108"/>
              <w:rPr>
                <w:rFonts w:ascii="Arial Narrow" w:hAnsi="Arial Narrow"/>
                <w:sz w:val="20"/>
              </w:rPr>
            </w:pP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5</w:t>
            </w:r>
          </w:p>
          <w:p w:rsidR="00BD240E" w:rsidRPr="00931642" w:rsidRDefault="00BD240E" w:rsidP="006504C4">
            <w:pPr>
              <w:keepNext/>
              <w:widowControl/>
              <w:ind w:left="-108"/>
              <w:rPr>
                <w:rFonts w:ascii="Arial Narrow" w:hAnsi="Arial Narrow"/>
                <w:sz w:val="20"/>
              </w:rPr>
            </w:pP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5</w:t>
            </w:r>
          </w:p>
        </w:tc>
        <w:tc>
          <w:tcPr>
            <w:tcW w:w="1086" w:type="dxa"/>
            <w:tcBorders>
              <w:top w:val="single" w:sz="4" w:space="0" w:color="auto"/>
            </w:tcBorders>
          </w:tcPr>
          <w:p w:rsidR="00BD240E" w:rsidRPr="00931642" w:rsidRDefault="00BD240E" w:rsidP="006504C4">
            <w:pPr>
              <w:keepNext/>
              <w:widowControl/>
              <w:rPr>
                <w:rFonts w:ascii="Arial Narrow" w:hAnsi="Arial Narrow"/>
                <w:sz w:val="20"/>
              </w:rPr>
            </w:pPr>
            <w:r w:rsidRPr="00931642">
              <w:rPr>
                <w:rFonts w:ascii="Arial Narrow" w:hAnsi="Arial Narrow"/>
                <w:sz w:val="20"/>
              </w:rPr>
              <w:t>Somavert®</w:t>
            </w:r>
          </w:p>
        </w:tc>
        <w:tc>
          <w:tcPr>
            <w:tcW w:w="2599" w:type="dxa"/>
            <w:tcBorders>
              <w:top w:val="single" w:sz="4" w:space="0" w:color="auto"/>
            </w:tcBorders>
          </w:tcPr>
          <w:p w:rsidR="00BD240E" w:rsidRPr="00931642" w:rsidRDefault="00BD240E" w:rsidP="006504C4">
            <w:pPr>
              <w:keepNext/>
              <w:widowControl/>
              <w:rPr>
                <w:rFonts w:ascii="Arial Narrow" w:hAnsi="Arial Narrow"/>
                <w:sz w:val="20"/>
              </w:rPr>
            </w:pPr>
            <w:r w:rsidRPr="00931642">
              <w:rPr>
                <w:rFonts w:ascii="Arial Narrow" w:hAnsi="Arial Narrow"/>
                <w:sz w:val="20"/>
              </w:rPr>
              <w:t>Pfizer</w:t>
            </w:r>
          </w:p>
        </w:tc>
      </w:tr>
      <w:tr w:rsidR="00953F60" w:rsidRPr="00931642" w:rsidTr="004E1DF0">
        <w:trPr>
          <w:cantSplit/>
          <w:trHeight w:val="360"/>
        </w:trPr>
        <w:tc>
          <w:tcPr>
            <w:tcW w:w="1701" w:type="dxa"/>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 xml:space="preserve">Category / </w:t>
            </w:r>
          </w:p>
          <w:p w:rsidR="00953F60" w:rsidRPr="00931642" w:rsidRDefault="00953F60" w:rsidP="006504C4">
            <w:pPr>
              <w:widowControl/>
              <w:rPr>
                <w:rFonts w:ascii="Arial Narrow" w:hAnsi="Arial Narrow"/>
                <w:b/>
                <w:sz w:val="20"/>
              </w:rPr>
            </w:pPr>
            <w:r w:rsidRPr="00931642">
              <w:rPr>
                <w:rFonts w:ascii="Arial Narrow" w:hAnsi="Arial Narrow"/>
                <w:b/>
                <w:sz w:val="20"/>
              </w:rPr>
              <w:t>Program</w:t>
            </w:r>
          </w:p>
        </w:tc>
        <w:tc>
          <w:tcPr>
            <w:tcW w:w="6804" w:type="dxa"/>
            <w:gridSpan w:val="5"/>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sz w:val="20"/>
              </w:rPr>
            </w:pPr>
            <w:r w:rsidRPr="00931642">
              <w:rPr>
                <w:rFonts w:ascii="Arial Narrow" w:hAnsi="Arial Narrow"/>
                <w:sz w:val="20"/>
              </w:rPr>
              <w:t>Section 100 – Highly Specialised Drugs Program</w:t>
            </w:r>
          </w:p>
        </w:tc>
      </w:tr>
      <w:tr w:rsidR="00953F60" w:rsidRPr="00931642" w:rsidTr="004E1DF0">
        <w:trPr>
          <w:cantSplit/>
          <w:trHeight w:val="360"/>
        </w:trPr>
        <w:tc>
          <w:tcPr>
            <w:tcW w:w="1701" w:type="dxa"/>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Prescriber type:</w:t>
            </w:r>
          </w:p>
          <w:p w:rsidR="00953F60" w:rsidRPr="00931642" w:rsidRDefault="00953F60" w:rsidP="006504C4">
            <w:pPr>
              <w:widowControl/>
              <w:rPr>
                <w:rFonts w:ascii="Arial Narrow" w:hAnsi="Arial Narrow"/>
                <w:b/>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sz w:val="20"/>
              </w:rPr>
            </w:pPr>
            <w:r w:rsidRPr="00931642">
              <w:rPr>
                <w:rFonts w:ascii="Arial Narrow" w:hAnsi="Arial Narrow"/>
                <w:sz w:val="20"/>
              </w:rPr>
              <w:fldChar w:fldCharType="begin">
                <w:ffData>
                  <w:name w:val=""/>
                  <w:enabled/>
                  <w:calcOnExit w:val="0"/>
                  <w:checkBox>
                    <w:sizeAuto/>
                    <w:default w:val="1"/>
                  </w:checkBox>
                </w:ffData>
              </w:fldChar>
            </w:r>
            <w:r w:rsidRPr="00931642">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931642">
              <w:rPr>
                <w:rFonts w:ascii="Arial Narrow" w:hAnsi="Arial Narrow"/>
                <w:sz w:val="20"/>
              </w:rPr>
              <w:fldChar w:fldCharType="end"/>
            </w:r>
            <w:r w:rsidRPr="00931642">
              <w:rPr>
                <w:rFonts w:ascii="Arial Narrow" w:hAnsi="Arial Narrow"/>
                <w:sz w:val="20"/>
              </w:rPr>
              <w:t>Medical Practitioners</w:t>
            </w:r>
          </w:p>
        </w:tc>
      </w:tr>
      <w:tr w:rsidR="00953F60" w:rsidRPr="00931642" w:rsidTr="004E1DF0">
        <w:trPr>
          <w:cantSplit/>
          <w:trHeight w:val="360"/>
        </w:trPr>
        <w:tc>
          <w:tcPr>
            <w:tcW w:w="1701" w:type="dxa"/>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Condition:</w:t>
            </w:r>
          </w:p>
        </w:tc>
        <w:tc>
          <w:tcPr>
            <w:tcW w:w="6804" w:type="dxa"/>
            <w:gridSpan w:val="5"/>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sz w:val="20"/>
              </w:rPr>
            </w:pPr>
            <w:r w:rsidRPr="00931642">
              <w:rPr>
                <w:rFonts w:ascii="Arial Narrow" w:hAnsi="Arial Narrow"/>
                <w:sz w:val="20"/>
              </w:rPr>
              <w:t>Acromegaly</w:t>
            </w:r>
          </w:p>
        </w:tc>
      </w:tr>
      <w:tr w:rsidR="00953F60" w:rsidRPr="00931642" w:rsidTr="004E1DF0">
        <w:trPr>
          <w:cantSplit/>
          <w:trHeight w:val="360"/>
        </w:trPr>
        <w:tc>
          <w:tcPr>
            <w:tcW w:w="1701" w:type="dxa"/>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sz w:val="20"/>
              </w:rPr>
            </w:pPr>
            <w:r w:rsidRPr="00931642">
              <w:rPr>
                <w:rFonts w:ascii="Arial Narrow" w:hAnsi="Arial Narrow"/>
                <w:sz w:val="20"/>
              </w:rPr>
              <w:t>Acromegaly</w:t>
            </w:r>
          </w:p>
        </w:tc>
      </w:tr>
      <w:tr w:rsidR="00953F60" w:rsidRPr="00931642" w:rsidTr="004E1DF0">
        <w:trPr>
          <w:cantSplit/>
          <w:trHeight w:val="360"/>
        </w:trPr>
        <w:tc>
          <w:tcPr>
            <w:tcW w:w="1701" w:type="dxa"/>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Treatment phase:</w:t>
            </w:r>
          </w:p>
        </w:tc>
        <w:tc>
          <w:tcPr>
            <w:tcW w:w="6804" w:type="dxa"/>
            <w:gridSpan w:val="5"/>
            <w:tcBorders>
              <w:top w:val="single" w:sz="4" w:space="0" w:color="auto"/>
              <w:left w:val="single" w:sz="4" w:space="0" w:color="auto"/>
              <w:bottom w:val="single" w:sz="4" w:space="0" w:color="auto"/>
              <w:right w:val="single" w:sz="4" w:space="0" w:color="auto"/>
            </w:tcBorders>
          </w:tcPr>
          <w:p w:rsidR="00953F60" w:rsidRPr="000F1148" w:rsidRDefault="00953F60" w:rsidP="006504C4">
            <w:pPr>
              <w:widowControl/>
              <w:rPr>
                <w:rFonts w:ascii="Arial Narrow" w:hAnsi="Arial Narrow"/>
                <w:sz w:val="20"/>
              </w:rPr>
            </w:pPr>
            <w:r w:rsidRPr="000F1148">
              <w:rPr>
                <w:rFonts w:ascii="Arial Narrow" w:hAnsi="Arial Narrow"/>
                <w:sz w:val="20"/>
              </w:rPr>
              <w:t>Initial treatment</w:t>
            </w:r>
          </w:p>
        </w:tc>
      </w:tr>
      <w:tr w:rsidR="00953F60" w:rsidRPr="00931642" w:rsidTr="004E1DF0">
        <w:trPr>
          <w:cantSplit/>
          <w:trHeight w:val="360"/>
        </w:trPr>
        <w:tc>
          <w:tcPr>
            <w:tcW w:w="1701" w:type="dxa"/>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i/>
                <w:sz w:val="20"/>
              </w:rPr>
            </w:pPr>
            <w:r w:rsidRPr="00931642">
              <w:rPr>
                <w:rFonts w:ascii="Arial Narrow" w:hAnsi="Arial Narrow"/>
                <w:b/>
                <w:sz w:val="20"/>
              </w:rPr>
              <w:t>Restriction Level / Method:</w:t>
            </w:r>
          </w:p>
        </w:tc>
        <w:tc>
          <w:tcPr>
            <w:tcW w:w="6804" w:type="dxa"/>
            <w:gridSpan w:val="5"/>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sz w:val="20"/>
              </w:rPr>
            </w:pPr>
            <w:r w:rsidRPr="00931642">
              <w:rPr>
                <w:rFonts w:ascii="Arial Narrow" w:hAnsi="Arial Narrow"/>
                <w:sz w:val="20"/>
              </w:rPr>
              <w:fldChar w:fldCharType="begin">
                <w:ffData>
                  <w:name w:val=""/>
                  <w:enabled/>
                  <w:calcOnExit w:val="0"/>
                  <w:checkBox>
                    <w:sizeAuto/>
                    <w:default w:val="1"/>
                  </w:checkBox>
                </w:ffData>
              </w:fldChar>
            </w:r>
            <w:r w:rsidRPr="00931642">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931642">
              <w:rPr>
                <w:rFonts w:ascii="Arial Narrow" w:hAnsi="Arial Narrow"/>
                <w:sz w:val="20"/>
              </w:rPr>
              <w:fldChar w:fldCharType="end"/>
            </w:r>
            <w:r w:rsidRPr="00931642">
              <w:rPr>
                <w:rFonts w:ascii="Arial Narrow" w:hAnsi="Arial Narrow"/>
                <w:sz w:val="20"/>
              </w:rPr>
              <w:t>Authority Required - In Writing</w:t>
            </w:r>
          </w:p>
        </w:tc>
      </w:tr>
      <w:tr w:rsidR="00953F60" w:rsidRPr="00931642" w:rsidTr="004E1DF0">
        <w:trPr>
          <w:cantSplit/>
          <w:trHeight w:val="360"/>
        </w:trPr>
        <w:tc>
          <w:tcPr>
            <w:tcW w:w="1701" w:type="dxa"/>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Clinical criteria:</w:t>
            </w:r>
          </w:p>
          <w:p w:rsidR="00953F60" w:rsidRPr="00931642" w:rsidRDefault="00953F60" w:rsidP="006504C4">
            <w:pPr>
              <w:widowControl/>
              <w:rPr>
                <w:rFonts w:ascii="Arial Narrow" w:hAnsi="Arial Narrow"/>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sz w:val="20"/>
              </w:rPr>
            </w:pPr>
            <w:r w:rsidRPr="00931642">
              <w:rPr>
                <w:rFonts w:ascii="Arial Narrow" w:hAnsi="Arial Narrow"/>
                <w:sz w:val="20"/>
              </w:rPr>
              <w:t xml:space="preserve">Patient must have </w:t>
            </w:r>
            <w:r w:rsidR="00932860">
              <w:rPr>
                <w:rFonts w:ascii="Arial Narrow" w:hAnsi="Arial Narrow"/>
                <w:sz w:val="20"/>
              </w:rPr>
              <w:t>been authorised</w:t>
            </w:r>
            <w:r w:rsidR="00932860" w:rsidRPr="00931642">
              <w:rPr>
                <w:rFonts w:ascii="Arial Narrow" w:hAnsi="Arial Narrow"/>
                <w:sz w:val="20"/>
              </w:rPr>
              <w:t xml:space="preserve"> </w:t>
            </w:r>
            <w:r w:rsidRPr="00931642">
              <w:rPr>
                <w:rFonts w:ascii="Arial Narrow" w:hAnsi="Arial Narrow"/>
                <w:sz w:val="20"/>
              </w:rPr>
              <w:t>a PBS-subsidised loading dose with this  drug for this condition</w:t>
            </w:r>
          </w:p>
          <w:p w:rsidR="00953F60" w:rsidRPr="00931642" w:rsidRDefault="00953F60" w:rsidP="006504C4">
            <w:pPr>
              <w:widowControl/>
              <w:snapToGrid w:val="0"/>
              <w:rPr>
                <w:rFonts w:ascii="Arial Narrow" w:hAnsi="Arial Narrow"/>
                <w:sz w:val="20"/>
              </w:rPr>
            </w:pPr>
            <w:r w:rsidRPr="00931642">
              <w:rPr>
                <w:rFonts w:ascii="Arial Narrow" w:hAnsi="Arial Narrow"/>
                <w:sz w:val="20"/>
              </w:rPr>
              <w:t>AND</w:t>
            </w:r>
          </w:p>
          <w:p w:rsidR="00D9778B" w:rsidRPr="00931642" w:rsidRDefault="00B47913" w:rsidP="00FA7152">
            <w:pPr>
              <w:widowControl/>
              <w:rPr>
                <w:rFonts w:ascii="Arial Narrow" w:hAnsi="Arial Narrow"/>
                <w:sz w:val="20"/>
              </w:rPr>
            </w:pPr>
            <w:r w:rsidRPr="00931642">
              <w:rPr>
                <w:rFonts w:ascii="Arial Narrow" w:hAnsi="Arial Narrow"/>
                <w:sz w:val="20"/>
              </w:rPr>
              <w:t>Treatm</w:t>
            </w:r>
            <w:r w:rsidRPr="008A13D5">
              <w:rPr>
                <w:rFonts w:ascii="Arial Narrow" w:hAnsi="Arial Narrow"/>
                <w:sz w:val="20"/>
              </w:rPr>
              <w:t xml:space="preserve">ent must not be </w:t>
            </w:r>
            <w:r w:rsidR="00A8347D" w:rsidRPr="008A13D5">
              <w:rPr>
                <w:rFonts w:ascii="Arial Narrow" w:hAnsi="Arial Narrow"/>
                <w:sz w:val="20"/>
              </w:rPr>
              <w:t xml:space="preserve">given concomitantly with </w:t>
            </w:r>
            <w:r w:rsidR="008A13D5" w:rsidRPr="008A13D5">
              <w:rPr>
                <w:rFonts w:ascii="Arial Narrow" w:hAnsi="Arial Narrow"/>
                <w:sz w:val="20"/>
              </w:rPr>
              <w:t>a</w:t>
            </w:r>
            <w:r w:rsidR="00A8347D" w:rsidRPr="008A13D5">
              <w:rPr>
                <w:rFonts w:ascii="Arial Narrow" w:hAnsi="Arial Narrow"/>
                <w:sz w:val="20"/>
              </w:rPr>
              <w:t xml:space="preserve"> PBS-subsidised </w:t>
            </w:r>
            <w:r w:rsidR="008A13D5" w:rsidRPr="008A13D5">
              <w:rPr>
                <w:rFonts w:ascii="Arial Narrow" w:hAnsi="Arial Narrow"/>
                <w:sz w:val="20"/>
              </w:rPr>
              <w:t>som</w:t>
            </w:r>
            <w:r w:rsidR="008A13D5" w:rsidRPr="00931642">
              <w:rPr>
                <w:rFonts w:ascii="Arial Narrow" w:hAnsi="Arial Narrow"/>
                <w:sz w:val="20"/>
              </w:rPr>
              <w:t>atostatin analogue</w:t>
            </w:r>
            <w:r w:rsidR="008A13D5">
              <w:rPr>
                <w:rFonts w:ascii="Arial Narrow" w:hAnsi="Arial Narrow"/>
                <w:sz w:val="20"/>
              </w:rPr>
              <w:t>.</w:t>
            </w:r>
            <w:r w:rsidR="008A13D5" w:rsidRPr="00754EC9" w:rsidDel="008A13D5">
              <w:rPr>
                <w:rFonts w:ascii="Arial Narrow" w:hAnsi="Arial Narrow"/>
                <w:sz w:val="20"/>
                <w:highlight w:val="yellow"/>
              </w:rPr>
              <w:t xml:space="preserve"> </w:t>
            </w:r>
          </w:p>
        </w:tc>
      </w:tr>
      <w:tr w:rsidR="00953F60" w:rsidRPr="00931642" w:rsidTr="004E1DF0">
        <w:trPr>
          <w:cantSplit/>
          <w:trHeight w:val="360"/>
        </w:trPr>
        <w:tc>
          <w:tcPr>
            <w:tcW w:w="1701" w:type="dxa"/>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Prescriber Instructions</w:t>
            </w:r>
          </w:p>
          <w:p w:rsidR="00953F60" w:rsidRPr="00931642" w:rsidRDefault="00953F60" w:rsidP="006504C4">
            <w:pPr>
              <w:widowControl/>
              <w:rPr>
                <w:rFonts w:ascii="Arial Narrow" w:hAnsi="Arial Narrow"/>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B47913" w:rsidRPr="00931642" w:rsidRDefault="00B47913" w:rsidP="00B47913">
            <w:pPr>
              <w:widowControl/>
              <w:rPr>
                <w:rFonts w:ascii="Arial Narrow" w:hAnsi="Arial Narrow"/>
                <w:sz w:val="20"/>
              </w:rPr>
            </w:pPr>
            <w:r w:rsidRPr="00931642">
              <w:rPr>
                <w:rFonts w:ascii="Arial Narrow" w:hAnsi="Arial Narrow"/>
                <w:sz w:val="20"/>
              </w:rPr>
              <w:t xml:space="preserve">In a patient treated with radiotherapy, pegvisomant should be withdrawn every 2 years in the 10 years after completion of radiotherapy for assessment of remission. Pegvisomant should be withdrawn at least 8 weeks prior to the assessment of remission. </w:t>
            </w:r>
          </w:p>
          <w:p w:rsidR="00B47913" w:rsidRDefault="00B47913" w:rsidP="00B47913">
            <w:pPr>
              <w:widowControl/>
              <w:rPr>
                <w:rFonts w:ascii="Arial Narrow" w:hAnsi="Arial Narrow"/>
                <w:sz w:val="20"/>
              </w:rPr>
            </w:pPr>
          </w:p>
          <w:p w:rsidR="008A13D5" w:rsidRDefault="008A13D5" w:rsidP="008A13D5">
            <w:pPr>
              <w:widowControl/>
              <w:snapToGrid w:val="0"/>
              <w:rPr>
                <w:rFonts w:ascii="Arial Narrow" w:hAnsi="Arial Narrow"/>
                <w:sz w:val="20"/>
              </w:rPr>
            </w:pPr>
            <w:r>
              <w:rPr>
                <w:rFonts w:ascii="Arial Narrow" w:hAnsi="Arial Narrow"/>
                <w:sz w:val="20"/>
              </w:rPr>
              <w:t>S</w:t>
            </w:r>
            <w:r w:rsidRPr="00931642">
              <w:rPr>
                <w:rFonts w:ascii="Arial Narrow" w:hAnsi="Arial Narrow"/>
                <w:sz w:val="20"/>
              </w:rPr>
              <w:t>omatostatin analogue</w:t>
            </w:r>
            <w:r>
              <w:rPr>
                <w:rFonts w:ascii="Arial Narrow" w:hAnsi="Arial Narrow"/>
                <w:sz w:val="20"/>
              </w:rPr>
              <w:t>s inclu</w:t>
            </w:r>
            <w:r w:rsidRPr="00754EC9">
              <w:rPr>
                <w:rFonts w:ascii="Arial Narrow" w:hAnsi="Arial Narrow"/>
                <w:sz w:val="20"/>
              </w:rPr>
              <w:t>de octreotide, lanreotide and pasireotide.</w:t>
            </w:r>
          </w:p>
          <w:p w:rsidR="008A13D5" w:rsidRPr="00931642" w:rsidRDefault="008A13D5" w:rsidP="00B47913">
            <w:pPr>
              <w:widowControl/>
              <w:rPr>
                <w:rFonts w:ascii="Arial Narrow" w:hAnsi="Arial Narrow"/>
                <w:sz w:val="20"/>
              </w:rPr>
            </w:pPr>
          </w:p>
          <w:p w:rsidR="00B47913" w:rsidRPr="00931642" w:rsidRDefault="00B47913" w:rsidP="00B47913">
            <w:pPr>
              <w:widowControl/>
              <w:rPr>
                <w:rFonts w:ascii="Arial Narrow" w:hAnsi="Arial Narrow"/>
                <w:sz w:val="20"/>
              </w:rPr>
            </w:pPr>
            <w:r w:rsidRPr="00931642">
              <w:rPr>
                <w:rFonts w:ascii="Arial Narrow" w:hAnsi="Arial Narrow"/>
                <w:sz w:val="20"/>
              </w:rPr>
              <w:t xml:space="preserve">In a patient who has been previously treated with radiotherapy for this condition, the date of completion of radiotherapy must be provided; and a copy of IGF-1 level taken at the most recent two yearly </w:t>
            </w:r>
            <w:proofErr w:type="gramStart"/>
            <w:r w:rsidRPr="00931642">
              <w:rPr>
                <w:rFonts w:ascii="Arial Narrow" w:hAnsi="Arial Narrow"/>
                <w:sz w:val="20"/>
              </w:rPr>
              <w:t>assessment</w:t>
            </w:r>
            <w:proofErr w:type="gramEnd"/>
            <w:r w:rsidRPr="00931642">
              <w:rPr>
                <w:rFonts w:ascii="Arial Narrow" w:hAnsi="Arial Narrow"/>
                <w:sz w:val="20"/>
              </w:rPr>
              <w:t xml:space="preserve"> in the 10 years after completion of radiotherapy must be provided at the time of approval.</w:t>
            </w:r>
          </w:p>
          <w:p w:rsidR="00B47913" w:rsidRPr="00931642" w:rsidRDefault="00B47913" w:rsidP="00B47913">
            <w:pPr>
              <w:widowControl/>
              <w:rPr>
                <w:rFonts w:ascii="Arial Narrow" w:hAnsi="Arial Narrow"/>
                <w:sz w:val="20"/>
              </w:rPr>
            </w:pPr>
          </w:p>
          <w:p w:rsidR="00B47913" w:rsidRPr="00931642" w:rsidRDefault="00B47913" w:rsidP="00B47913">
            <w:pPr>
              <w:widowControl/>
              <w:rPr>
                <w:rFonts w:ascii="Arial Narrow" w:hAnsi="Arial Narrow"/>
                <w:sz w:val="20"/>
              </w:rPr>
            </w:pPr>
            <w:r w:rsidRPr="00931642">
              <w:rPr>
                <w:rFonts w:ascii="Arial Narrow" w:hAnsi="Arial Narrow"/>
                <w:sz w:val="20"/>
              </w:rPr>
              <w:t>Biochemical evid</w:t>
            </w:r>
            <w:r w:rsidRPr="008A13D5">
              <w:rPr>
                <w:rFonts w:ascii="Arial Narrow" w:hAnsi="Arial Narrow"/>
                <w:sz w:val="20"/>
              </w:rPr>
              <w:t>ence of remission is defined as</w:t>
            </w:r>
            <w:r w:rsidR="008A13D5" w:rsidRPr="008A13D5">
              <w:rPr>
                <w:rFonts w:ascii="Arial Narrow" w:hAnsi="Arial Narrow"/>
                <w:sz w:val="20"/>
              </w:rPr>
              <w:t xml:space="preserve"> </w:t>
            </w:r>
            <w:r w:rsidRPr="008A13D5">
              <w:rPr>
                <w:rFonts w:ascii="Arial Narrow" w:hAnsi="Arial Narrow"/>
                <w:sz w:val="20"/>
              </w:rPr>
              <w:t>normalisation of sex- and age- adjusted insulin-like growth factor 1</w:t>
            </w:r>
            <w:r w:rsidRPr="00931642">
              <w:rPr>
                <w:rFonts w:ascii="Arial Narrow" w:hAnsi="Arial Narrow"/>
                <w:sz w:val="20"/>
              </w:rPr>
              <w:t xml:space="preserve"> (IGF-1)</w:t>
            </w:r>
            <w:r w:rsidR="008A13D5">
              <w:rPr>
                <w:rFonts w:ascii="Arial Narrow" w:hAnsi="Arial Narrow"/>
                <w:sz w:val="20"/>
              </w:rPr>
              <w:t>.</w:t>
            </w:r>
          </w:p>
          <w:p w:rsidR="00B47913" w:rsidRPr="00931642" w:rsidRDefault="00B47913" w:rsidP="00B47913">
            <w:pPr>
              <w:widowControl/>
              <w:rPr>
                <w:rFonts w:ascii="Arial Narrow" w:hAnsi="Arial Narrow"/>
                <w:sz w:val="20"/>
              </w:rPr>
            </w:pPr>
          </w:p>
          <w:p w:rsidR="00B47913" w:rsidRPr="00931642" w:rsidRDefault="00B47913" w:rsidP="00B47913">
            <w:pPr>
              <w:widowControl/>
              <w:rPr>
                <w:rFonts w:ascii="Arial Narrow" w:hAnsi="Arial Narrow"/>
                <w:sz w:val="20"/>
              </w:rPr>
            </w:pPr>
            <w:r w:rsidRPr="00931642">
              <w:rPr>
                <w:rFonts w:ascii="Arial Narrow" w:hAnsi="Arial Narrow"/>
                <w:sz w:val="20"/>
              </w:rPr>
              <w:t>Treatment must cease if IGF-1 is not lower after 3 months of pegvisomant treatment at the maximum tolerated dose.</w:t>
            </w:r>
          </w:p>
          <w:p w:rsidR="00B47913" w:rsidRDefault="00B47913" w:rsidP="00B47913">
            <w:pPr>
              <w:widowControl/>
              <w:rPr>
                <w:rFonts w:ascii="Arial Narrow" w:hAnsi="Arial Narrow"/>
                <w:sz w:val="20"/>
              </w:rPr>
            </w:pPr>
          </w:p>
          <w:p w:rsidR="008F38C2" w:rsidRDefault="008F38C2" w:rsidP="008F38C2">
            <w:pPr>
              <w:pStyle w:val="Default"/>
              <w:rPr>
                <w:rFonts w:ascii="Arial Narrow" w:hAnsi="Arial Narrow"/>
                <w:sz w:val="20"/>
                <w:szCs w:val="20"/>
              </w:rPr>
            </w:pPr>
            <w:r>
              <w:rPr>
                <w:rFonts w:ascii="Arial Narrow" w:hAnsi="Arial Narrow"/>
                <w:sz w:val="20"/>
                <w:szCs w:val="20"/>
              </w:rPr>
              <w:t>P</w:t>
            </w:r>
            <w:r w:rsidRPr="00870347">
              <w:rPr>
                <w:rFonts w:ascii="Arial Narrow" w:hAnsi="Arial Narrow"/>
                <w:sz w:val="20"/>
                <w:szCs w:val="20"/>
              </w:rPr>
              <w:t xml:space="preserve">rescriptions for dose </w:t>
            </w:r>
            <w:r w:rsidR="00932860">
              <w:rPr>
                <w:rFonts w:ascii="Arial Narrow" w:hAnsi="Arial Narrow"/>
                <w:sz w:val="20"/>
                <w:szCs w:val="20"/>
              </w:rPr>
              <w:t>adjustments</w:t>
            </w:r>
            <w:r w:rsidRPr="00870347">
              <w:rPr>
                <w:rFonts w:ascii="Arial Narrow" w:hAnsi="Arial Narrow"/>
                <w:sz w:val="20"/>
                <w:szCs w:val="20"/>
              </w:rPr>
              <w:t xml:space="preserve"> </w:t>
            </w:r>
            <w:r>
              <w:rPr>
                <w:rFonts w:ascii="Arial Narrow" w:hAnsi="Arial Narrow"/>
                <w:sz w:val="20"/>
                <w:szCs w:val="20"/>
              </w:rPr>
              <w:t>must</w:t>
            </w:r>
            <w:r w:rsidRPr="00870347">
              <w:rPr>
                <w:rFonts w:ascii="Arial Narrow" w:hAnsi="Arial Narrow"/>
                <w:sz w:val="20"/>
                <w:szCs w:val="20"/>
              </w:rPr>
              <w:t xml:space="preserve"> provide sufficient quantity </w:t>
            </w:r>
            <w:r>
              <w:rPr>
                <w:rFonts w:ascii="Arial Narrow" w:hAnsi="Arial Narrow"/>
                <w:sz w:val="20"/>
                <w:szCs w:val="20"/>
              </w:rPr>
              <w:t>to allow appropriate</w:t>
            </w:r>
            <w:r w:rsidRPr="00870347">
              <w:rPr>
                <w:rFonts w:ascii="Arial Narrow" w:hAnsi="Arial Narrow"/>
                <w:sz w:val="20"/>
                <w:szCs w:val="20"/>
              </w:rPr>
              <w:t xml:space="preserve"> dose </w:t>
            </w:r>
            <w:r>
              <w:rPr>
                <w:rFonts w:ascii="Arial Narrow" w:hAnsi="Arial Narrow"/>
                <w:sz w:val="20"/>
                <w:szCs w:val="20"/>
              </w:rPr>
              <w:t>adjustments made in</w:t>
            </w:r>
            <w:r w:rsidRPr="00870347">
              <w:rPr>
                <w:rFonts w:ascii="Arial Narrow" w:hAnsi="Arial Narrow"/>
                <w:sz w:val="20"/>
                <w:szCs w:val="20"/>
              </w:rPr>
              <w:t xml:space="preserve"> increment</w:t>
            </w:r>
            <w:r>
              <w:rPr>
                <w:rFonts w:ascii="Arial Narrow" w:hAnsi="Arial Narrow"/>
                <w:sz w:val="20"/>
                <w:szCs w:val="20"/>
              </w:rPr>
              <w:t xml:space="preserve">s of 5 mg per day in order to maintain the serum IGF-1 level within the age-adjusted normal range </w:t>
            </w:r>
            <w:r w:rsidRPr="00870347">
              <w:rPr>
                <w:rFonts w:ascii="Arial Narrow" w:hAnsi="Arial Narrow"/>
                <w:sz w:val="20"/>
                <w:szCs w:val="20"/>
              </w:rPr>
              <w:t>based on the dosage recommendations</w:t>
            </w:r>
            <w:r>
              <w:rPr>
                <w:rFonts w:ascii="Arial Narrow" w:hAnsi="Arial Narrow"/>
                <w:sz w:val="20"/>
                <w:szCs w:val="20"/>
              </w:rPr>
              <w:t xml:space="preserve"> in the</w:t>
            </w:r>
            <w:r w:rsidRPr="00870347">
              <w:rPr>
                <w:rFonts w:ascii="Arial Narrow" w:hAnsi="Arial Narrow"/>
                <w:sz w:val="20"/>
                <w:szCs w:val="20"/>
              </w:rPr>
              <w:t xml:space="preserve"> TGA-approved Product Information. </w:t>
            </w:r>
          </w:p>
          <w:p w:rsidR="00E304A4" w:rsidRDefault="00E304A4" w:rsidP="00B47913">
            <w:pPr>
              <w:widowControl/>
              <w:rPr>
                <w:rFonts w:ascii="Arial Narrow" w:hAnsi="Arial Narrow"/>
                <w:sz w:val="20"/>
              </w:rPr>
            </w:pPr>
          </w:p>
          <w:p w:rsidR="00953F60" w:rsidRPr="00931642" w:rsidRDefault="00B47913" w:rsidP="006504C4">
            <w:pPr>
              <w:widowControl/>
              <w:rPr>
                <w:rFonts w:ascii="Arial Narrow" w:hAnsi="Arial Narrow"/>
                <w:sz w:val="20"/>
              </w:rPr>
            </w:pPr>
            <w:r w:rsidRPr="00931642">
              <w:rPr>
                <w:rFonts w:ascii="Arial Narrow" w:hAnsi="Arial Narrow"/>
                <w:sz w:val="20"/>
              </w:rPr>
              <w:t>The authority application must be made in writing and must include</w:t>
            </w:r>
            <w:r w:rsidR="00E304A4">
              <w:rPr>
                <w:rFonts w:ascii="Arial Narrow" w:hAnsi="Arial Narrow"/>
                <w:sz w:val="20"/>
              </w:rPr>
              <w:t xml:space="preserve"> a</w:t>
            </w:r>
            <w:r w:rsidRPr="00931642">
              <w:rPr>
                <w:rFonts w:ascii="Arial Narrow" w:hAnsi="Arial Narrow"/>
                <w:sz w:val="20"/>
              </w:rPr>
              <w:t xml:space="preserve"> completed authority prescription form</w:t>
            </w:r>
            <w:r w:rsidR="00ED6783" w:rsidRPr="00931642">
              <w:rPr>
                <w:rFonts w:ascii="Arial Narrow" w:hAnsi="Arial Narrow"/>
                <w:sz w:val="20"/>
              </w:rPr>
              <w:t xml:space="preserve">s sufficient for dose </w:t>
            </w:r>
            <w:r w:rsidR="00754EC9">
              <w:rPr>
                <w:rFonts w:ascii="Arial Narrow" w:hAnsi="Arial Narrow"/>
                <w:sz w:val="20"/>
              </w:rPr>
              <w:t>adjustments</w:t>
            </w:r>
            <w:r w:rsidR="00E304A4">
              <w:rPr>
                <w:rFonts w:ascii="Arial Narrow" w:hAnsi="Arial Narrow"/>
                <w:sz w:val="20"/>
              </w:rPr>
              <w:t>.</w:t>
            </w:r>
          </w:p>
        </w:tc>
      </w:tr>
      <w:tr w:rsidR="00BD240E" w:rsidRPr="00931642" w:rsidTr="004E1DF0">
        <w:tblPrEx>
          <w:tblLook w:val="04A0" w:firstRow="1" w:lastRow="0" w:firstColumn="1" w:lastColumn="0" w:noHBand="0" w:noVBand="1"/>
        </w:tblPrEx>
        <w:trPr>
          <w:cantSplit/>
          <w:trHeight w:val="489"/>
        </w:trPr>
        <w:tc>
          <w:tcPr>
            <w:tcW w:w="1701" w:type="dxa"/>
            <w:tcBorders>
              <w:top w:val="single" w:sz="4" w:space="0" w:color="auto"/>
              <w:left w:val="single" w:sz="4" w:space="0" w:color="auto"/>
              <w:bottom w:val="single" w:sz="4" w:space="0" w:color="auto"/>
              <w:right w:val="single" w:sz="4" w:space="0" w:color="auto"/>
            </w:tcBorders>
          </w:tcPr>
          <w:p w:rsidR="00BD240E" w:rsidRPr="00931642" w:rsidRDefault="00225A09" w:rsidP="006504C4">
            <w:pPr>
              <w:widowControl/>
              <w:rPr>
                <w:rFonts w:ascii="Arial Narrow" w:hAnsi="Arial Narrow"/>
                <w:b/>
                <w:sz w:val="20"/>
              </w:rPr>
            </w:pPr>
            <w:r w:rsidRPr="00931642">
              <w:rPr>
                <w:rFonts w:ascii="Arial Narrow" w:hAnsi="Arial Narrow"/>
                <w:b/>
                <w:sz w:val="20"/>
              </w:rPr>
              <w:lastRenderedPageBreak/>
              <w:t>Administrative advice</w:t>
            </w:r>
          </w:p>
        </w:tc>
        <w:tc>
          <w:tcPr>
            <w:tcW w:w="6804" w:type="dxa"/>
            <w:gridSpan w:val="5"/>
            <w:tcBorders>
              <w:top w:val="single" w:sz="4" w:space="0" w:color="auto"/>
              <w:left w:val="single" w:sz="4" w:space="0" w:color="auto"/>
              <w:bottom w:val="single" w:sz="4" w:space="0" w:color="auto"/>
              <w:right w:val="single" w:sz="4" w:space="0" w:color="auto"/>
            </w:tcBorders>
          </w:tcPr>
          <w:p w:rsidR="004F7351" w:rsidRPr="00931642" w:rsidRDefault="004F7351" w:rsidP="004F7351">
            <w:pPr>
              <w:widowControl/>
              <w:snapToGrid w:val="0"/>
              <w:rPr>
                <w:rFonts w:ascii="Arial Narrow" w:hAnsi="Arial Narrow"/>
                <w:sz w:val="20"/>
              </w:rPr>
            </w:pPr>
            <w:r w:rsidRPr="00931642">
              <w:rPr>
                <w:rFonts w:ascii="Arial Narrow" w:hAnsi="Arial Narrow"/>
                <w:sz w:val="20"/>
              </w:rPr>
              <w:t>Any queries concerning the arrangements to prescribe may be directed to the Department of Human Services on 1800 700 270 (hours of operation 8 a.m. to 5 p.m. EST Monday to Friday).</w:t>
            </w:r>
          </w:p>
          <w:p w:rsidR="004F7351" w:rsidRPr="00931642" w:rsidRDefault="004F7351" w:rsidP="004F7351">
            <w:pPr>
              <w:widowControl/>
              <w:snapToGrid w:val="0"/>
              <w:rPr>
                <w:rFonts w:ascii="Arial Narrow" w:hAnsi="Arial Narrow"/>
                <w:sz w:val="20"/>
              </w:rPr>
            </w:pPr>
          </w:p>
          <w:p w:rsidR="004F7351" w:rsidRPr="00931642" w:rsidRDefault="004F7351" w:rsidP="004F7351">
            <w:pPr>
              <w:widowControl/>
              <w:snapToGrid w:val="0"/>
              <w:rPr>
                <w:rFonts w:ascii="Arial Narrow" w:hAnsi="Arial Narrow"/>
                <w:sz w:val="20"/>
              </w:rPr>
            </w:pPr>
            <w:r w:rsidRPr="00931642">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4F7351" w:rsidRPr="00931642" w:rsidRDefault="004F7351" w:rsidP="004F7351">
            <w:pPr>
              <w:widowControl/>
              <w:snapToGrid w:val="0"/>
              <w:rPr>
                <w:rFonts w:ascii="Arial Narrow" w:hAnsi="Arial Narrow"/>
                <w:sz w:val="20"/>
              </w:rPr>
            </w:pPr>
          </w:p>
          <w:p w:rsidR="004F7351" w:rsidRPr="00931642" w:rsidRDefault="004F7351" w:rsidP="004F7351">
            <w:pPr>
              <w:widowControl/>
              <w:snapToGrid w:val="0"/>
              <w:rPr>
                <w:rFonts w:ascii="Arial Narrow" w:hAnsi="Arial Narrow"/>
                <w:sz w:val="20"/>
              </w:rPr>
            </w:pPr>
            <w:r w:rsidRPr="00931642">
              <w:rPr>
                <w:rFonts w:ascii="Arial Narrow" w:hAnsi="Arial Narrow"/>
                <w:sz w:val="20"/>
              </w:rPr>
              <w:t>Applications for authority to prescribe should be forwarded to:</w:t>
            </w:r>
          </w:p>
          <w:p w:rsidR="004F7351" w:rsidRPr="00931642" w:rsidRDefault="004F7351" w:rsidP="004F7351">
            <w:pPr>
              <w:widowControl/>
              <w:snapToGrid w:val="0"/>
              <w:rPr>
                <w:rFonts w:ascii="Arial Narrow" w:hAnsi="Arial Narrow"/>
                <w:sz w:val="20"/>
              </w:rPr>
            </w:pPr>
            <w:r w:rsidRPr="00931642">
              <w:rPr>
                <w:rFonts w:ascii="Arial Narrow" w:hAnsi="Arial Narrow"/>
                <w:sz w:val="20"/>
              </w:rPr>
              <w:t>Department of Human Services</w:t>
            </w:r>
          </w:p>
          <w:p w:rsidR="004F7351" w:rsidRPr="00931642" w:rsidRDefault="004F7351" w:rsidP="004F7351">
            <w:pPr>
              <w:widowControl/>
              <w:snapToGrid w:val="0"/>
              <w:rPr>
                <w:rFonts w:ascii="Arial Narrow" w:hAnsi="Arial Narrow"/>
                <w:sz w:val="20"/>
              </w:rPr>
            </w:pPr>
            <w:r w:rsidRPr="00931642">
              <w:rPr>
                <w:rFonts w:ascii="Arial Narrow" w:hAnsi="Arial Narrow"/>
                <w:sz w:val="20"/>
              </w:rPr>
              <w:t>Complex Drugs Programs</w:t>
            </w:r>
          </w:p>
          <w:p w:rsidR="004F7351" w:rsidRPr="00931642" w:rsidRDefault="004F7351" w:rsidP="004F7351">
            <w:pPr>
              <w:widowControl/>
              <w:snapToGrid w:val="0"/>
              <w:rPr>
                <w:rFonts w:ascii="Arial Narrow" w:hAnsi="Arial Narrow"/>
                <w:sz w:val="20"/>
              </w:rPr>
            </w:pPr>
            <w:r w:rsidRPr="00931642">
              <w:rPr>
                <w:rFonts w:ascii="Arial Narrow" w:hAnsi="Arial Narrow"/>
                <w:sz w:val="20"/>
              </w:rPr>
              <w:t>Reply Paid 9826</w:t>
            </w:r>
          </w:p>
          <w:p w:rsidR="004F7351" w:rsidRPr="00931642" w:rsidRDefault="004F7351" w:rsidP="004F7351">
            <w:pPr>
              <w:widowControl/>
              <w:snapToGrid w:val="0"/>
              <w:rPr>
                <w:rFonts w:ascii="Arial Narrow" w:hAnsi="Arial Narrow"/>
                <w:sz w:val="20"/>
              </w:rPr>
            </w:pPr>
            <w:r w:rsidRPr="00931642">
              <w:rPr>
                <w:rFonts w:ascii="Arial Narrow" w:hAnsi="Arial Narrow"/>
                <w:sz w:val="20"/>
              </w:rPr>
              <w:t>HOBART TAS 7001</w:t>
            </w:r>
          </w:p>
          <w:p w:rsidR="004F7351" w:rsidRPr="00931642" w:rsidRDefault="004F7351" w:rsidP="004F7351">
            <w:pPr>
              <w:widowControl/>
              <w:snapToGrid w:val="0"/>
              <w:rPr>
                <w:rFonts w:ascii="Arial Narrow" w:hAnsi="Arial Narrow"/>
                <w:sz w:val="20"/>
              </w:rPr>
            </w:pPr>
          </w:p>
          <w:p w:rsidR="00BD240E" w:rsidRPr="00931642" w:rsidRDefault="004F7351" w:rsidP="006504C4">
            <w:pPr>
              <w:widowControl/>
              <w:rPr>
                <w:rFonts w:ascii="Arial Narrow" w:hAnsi="Arial Narrow"/>
                <w:sz w:val="20"/>
              </w:rPr>
            </w:pPr>
            <w:r w:rsidRPr="00931642">
              <w:rPr>
                <w:rFonts w:ascii="Arial Narrow" w:hAnsi="Arial Narrow"/>
                <w:sz w:val="20"/>
              </w:rPr>
              <w:t>Special Pricing Arrangements apply</w:t>
            </w:r>
          </w:p>
        </w:tc>
      </w:tr>
    </w:tbl>
    <w:p w:rsidR="00953F60" w:rsidRPr="00931642" w:rsidRDefault="00953F60" w:rsidP="006504C4">
      <w:pPr>
        <w:widowControl/>
        <w:rPr>
          <w:bCs/>
          <w:szCs w:val="22"/>
        </w:rPr>
      </w:pPr>
    </w:p>
    <w:tbl>
      <w:tblPr>
        <w:tblW w:w="8505" w:type="dxa"/>
        <w:tblInd w:w="817" w:type="dxa"/>
        <w:tblLayout w:type="fixed"/>
        <w:tblLook w:val="0000" w:firstRow="0" w:lastRow="0" w:firstColumn="0" w:lastColumn="0" w:noHBand="0" w:noVBand="0"/>
      </w:tblPr>
      <w:tblGrid>
        <w:gridCol w:w="1701"/>
        <w:gridCol w:w="1418"/>
        <w:gridCol w:w="708"/>
        <w:gridCol w:w="1134"/>
        <w:gridCol w:w="1418"/>
        <w:gridCol w:w="2126"/>
      </w:tblGrid>
      <w:tr w:rsidR="00BD240E" w:rsidRPr="00931642" w:rsidTr="00BD240E">
        <w:trPr>
          <w:cantSplit/>
          <w:trHeight w:val="471"/>
        </w:trPr>
        <w:tc>
          <w:tcPr>
            <w:tcW w:w="3119" w:type="dxa"/>
            <w:gridSpan w:val="2"/>
            <w:tcBorders>
              <w:bottom w:val="single" w:sz="4" w:space="0" w:color="auto"/>
            </w:tcBorders>
          </w:tcPr>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Name, Restriction,</w:t>
            </w:r>
          </w:p>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Manner of administration and form</w:t>
            </w:r>
          </w:p>
        </w:tc>
        <w:tc>
          <w:tcPr>
            <w:tcW w:w="708" w:type="dxa"/>
            <w:tcBorders>
              <w:bottom w:val="single" w:sz="4" w:space="0" w:color="auto"/>
            </w:tcBorders>
          </w:tcPr>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Max.</w:t>
            </w:r>
          </w:p>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Qty</w:t>
            </w:r>
          </w:p>
        </w:tc>
        <w:tc>
          <w:tcPr>
            <w:tcW w:w="1134" w:type="dxa"/>
            <w:tcBorders>
              <w:bottom w:val="single" w:sz="4" w:space="0" w:color="auto"/>
            </w:tcBorders>
          </w:tcPr>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№.of</w:t>
            </w:r>
          </w:p>
          <w:p w:rsidR="00BD240E" w:rsidRPr="00931642" w:rsidRDefault="00BD240E" w:rsidP="006504C4">
            <w:pPr>
              <w:keepNext/>
              <w:widowControl/>
              <w:ind w:left="-108"/>
              <w:rPr>
                <w:rFonts w:ascii="Arial Narrow" w:hAnsi="Arial Narrow"/>
                <w:b/>
                <w:sz w:val="20"/>
              </w:rPr>
            </w:pPr>
            <w:r w:rsidRPr="00931642">
              <w:rPr>
                <w:rFonts w:ascii="Arial Narrow" w:hAnsi="Arial Narrow"/>
                <w:b/>
                <w:sz w:val="20"/>
              </w:rPr>
              <w:t>Rpts</w:t>
            </w:r>
          </w:p>
        </w:tc>
        <w:tc>
          <w:tcPr>
            <w:tcW w:w="3544" w:type="dxa"/>
            <w:gridSpan w:val="2"/>
            <w:tcBorders>
              <w:bottom w:val="single" w:sz="4" w:space="0" w:color="auto"/>
            </w:tcBorders>
          </w:tcPr>
          <w:p w:rsidR="00BD240E" w:rsidRPr="00931642" w:rsidRDefault="00BD240E" w:rsidP="006504C4">
            <w:pPr>
              <w:keepNext/>
              <w:widowControl/>
              <w:rPr>
                <w:rFonts w:ascii="Arial Narrow" w:hAnsi="Arial Narrow"/>
                <w:b/>
                <w:sz w:val="20"/>
              </w:rPr>
            </w:pPr>
            <w:r w:rsidRPr="00931642">
              <w:rPr>
                <w:rFonts w:ascii="Arial Narrow" w:hAnsi="Arial Narrow"/>
                <w:b/>
                <w:sz w:val="20"/>
              </w:rPr>
              <w:t>Proprietary Name and Manufacturer</w:t>
            </w:r>
          </w:p>
        </w:tc>
      </w:tr>
      <w:tr w:rsidR="00BD240E" w:rsidRPr="00931642" w:rsidTr="000F1148">
        <w:trPr>
          <w:cantSplit/>
          <w:trHeight w:val="1406"/>
        </w:trPr>
        <w:tc>
          <w:tcPr>
            <w:tcW w:w="3119" w:type="dxa"/>
            <w:gridSpan w:val="2"/>
          </w:tcPr>
          <w:p w:rsidR="00BD240E" w:rsidRPr="00931642" w:rsidRDefault="00BD240E" w:rsidP="006504C4">
            <w:pPr>
              <w:keepNext/>
              <w:widowControl/>
              <w:ind w:left="-108"/>
              <w:rPr>
                <w:rFonts w:ascii="Arial Narrow" w:hAnsi="Arial Narrow"/>
                <w:sz w:val="20"/>
              </w:rPr>
            </w:pPr>
            <w:r w:rsidRPr="00931642">
              <w:rPr>
                <w:rFonts w:ascii="Arial Narrow" w:hAnsi="Arial Narrow"/>
                <w:sz w:val="20"/>
              </w:rPr>
              <w:t xml:space="preserve">PEGVISOMANT </w:t>
            </w: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10 mg, powder for injection</w:t>
            </w:r>
            <w:r w:rsidR="00E304A4">
              <w:rPr>
                <w:rFonts w:ascii="Arial Narrow" w:hAnsi="Arial Narrow"/>
                <w:sz w:val="20"/>
              </w:rPr>
              <w:t>, 30</w:t>
            </w:r>
          </w:p>
          <w:p w:rsidR="00BD240E" w:rsidRPr="00931642" w:rsidRDefault="00BD240E" w:rsidP="006504C4">
            <w:pPr>
              <w:keepNext/>
              <w:widowControl/>
              <w:ind w:left="-108"/>
              <w:rPr>
                <w:rFonts w:ascii="Arial Narrow" w:hAnsi="Arial Narrow"/>
                <w:sz w:val="20"/>
              </w:rPr>
            </w:pP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15 mg, powder for injection</w:t>
            </w:r>
            <w:r w:rsidR="00E304A4">
              <w:rPr>
                <w:rFonts w:ascii="Arial Narrow" w:hAnsi="Arial Narrow"/>
                <w:sz w:val="20"/>
              </w:rPr>
              <w:t>, 30</w:t>
            </w:r>
          </w:p>
          <w:p w:rsidR="00BD240E" w:rsidRPr="00931642" w:rsidRDefault="00BD240E" w:rsidP="006504C4">
            <w:pPr>
              <w:keepNext/>
              <w:widowControl/>
              <w:ind w:left="-108"/>
              <w:rPr>
                <w:rFonts w:ascii="Arial Narrow" w:hAnsi="Arial Narrow"/>
                <w:sz w:val="20"/>
              </w:rPr>
            </w:pP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20 mg, powder for injection</w:t>
            </w:r>
            <w:r w:rsidR="00E304A4">
              <w:rPr>
                <w:rFonts w:ascii="Arial Narrow" w:hAnsi="Arial Narrow"/>
                <w:sz w:val="20"/>
              </w:rPr>
              <w:t>, 30</w:t>
            </w:r>
          </w:p>
        </w:tc>
        <w:tc>
          <w:tcPr>
            <w:tcW w:w="708" w:type="dxa"/>
          </w:tcPr>
          <w:p w:rsidR="00BD240E" w:rsidRPr="00931642" w:rsidRDefault="00BD240E" w:rsidP="006504C4">
            <w:pPr>
              <w:keepNext/>
              <w:widowControl/>
              <w:rPr>
                <w:rFonts w:ascii="Arial Narrow" w:hAnsi="Arial Narrow"/>
                <w:sz w:val="20"/>
              </w:rPr>
            </w:pPr>
          </w:p>
          <w:p w:rsidR="00BD240E" w:rsidRPr="00931642" w:rsidRDefault="00E304A4" w:rsidP="006504C4">
            <w:pPr>
              <w:keepNext/>
              <w:widowControl/>
              <w:rPr>
                <w:rFonts w:ascii="Arial Narrow" w:hAnsi="Arial Narrow"/>
                <w:sz w:val="20"/>
              </w:rPr>
            </w:pPr>
            <w:r>
              <w:rPr>
                <w:rFonts w:ascii="Arial Narrow" w:hAnsi="Arial Narrow"/>
                <w:sz w:val="20"/>
              </w:rPr>
              <w:t>1</w:t>
            </w:r>
          </w:p>
          <w:p w:rsidR="00BD240E" w:rsidRPr="00931642" w:rsidRDefault="00BD240E" w:rsidP="006504C4">
            <w:pPr>
              <w:keepNext/>
              <w:widowControl/>
              <w:rPr>
                <w:rFonts w:ascii="Arial Narrow" w:hAnsi="Arial Narrow"/>
                <w:sz w:val="20"/>
              </w:rPr>
            </w:pPr>
          </w:p>
          <w:p w:rsidR="00BD240E" w:rsidRPr="00931642" w:rsidRDefault="00E304A4" w:rsidP="006504C4">
            <w:pPr>
              <w:keepNext/>
              <w:widowControl/>
              <w:rPr>
                <w:rFonts w:ascii="Arial Narrow" w:hAnsi="Arial Narrow"/>
                <w:sz w:val="20"/>
              </w:rPr>
            </w:pPr>
            <w:r>
              <w:rPr>
                <w:rFonts w:ascii="Arial Narrow" w:hAnsi="Arial Narrow"/>
                <w:sz w:val="20"/>
              </w:rPr>
              <w:t>1</w:t>
            </w:r>
          </w:p>
          <w:p w:rsidR="00BD240E" w:rsidRPr="00931642" w:rsidRDefault="00BD240E" w:rsidP="006504C4">
            <w:pPr>
              <w:keepNext/>
              <w:widowControl/>
              <w:rPr>
                <w:rFonts w:ascii="Arial Narrow" w:hAnsi="Arial Narrow"/>
                <w:sz w:val="20"/>
              </w:rPr>
            </w:pPr>
          </w:p>
          <w:p w:rsidR="00BD240E" w:rsidRPr="00931642" w:rsidRDefault="00E304A4" w:rsidP="006504C4">
            <w:pPr>
              <w:keepNext/>
              <w:widowControl/>
              <w:rPr>
                <w:rFonts w:ascii="Arial Narrow" w:hAnsi="Arial Narrow"/>
                <w:sz w:val="20"/>
              </w:rPr>
            </w:pPr>
            <w:r>
              <w:rPr>
                <w:rFonts w:ascii="Arial Narrow" w:hAnsi="Arial Narrow"/>
                <w:sz w:val="20"/>
              </w:rPr>
              <w:t>1</w:t>
            </w:r>
          </w:p>
        </w:tc>
        <w:tc>
          <w:tcPr>
            <w:tcW w:w="1134" w:type="dxa"/>
          </w:tcPr>
          <w:p w:rsidR="00BD240E" w:rsidRPr="00931642" w:rsidRDefault="00BD240E" w:rsidP="006504C4">
            <w:pPr>
              <w:keepNext/>
              <w:widowControl/>
              <w:ind w:left="-108"/>
              <w:rPr>
                <w:rFonts w:ascii="Arial Narrow" w:hAnsi="Arial Narrow"/>
                <w:sz w:val="20"/>
              </w:rPr>
            </w:pP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5</w:t>
            </w:r>
          </w:p>
          <w:p w:rsidR="00BD240E" w:rsidRPr="00931642" w:rsidRDefault="00BD240E" w:rsidP="006504C4">
            <w:pPr>
              <w:keepNext/>
              <w:widowControl/>
              <w:ind w:left="-108"/>
              <w:rPr>
                <w:rFonts w:ascii="Arial Narrow" w:hAnsi="Arial Narrow"/>
                <w:sz w:val="20"/>
              </w:rPr>
            </w:pP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5</w:t>
            </w:r>
          </w:p>
          <w:p w:rsidR="00BD240E" w:rsidRPr="00931642" w:rsidRDefault="00BD240E" w:rsidP="006504C4">
            <w:pPr>
              <w:keepNext/>
              <w:widowControl/>
              <w:ind w:left="-108"/>
              <w:rPr>
                <w:rFonts w:ascii="Arial Narrow" w:hAnsi="Arial Narrow"/>
                <w:sz w:val="20"/>
              </w:rPr>
            </w:pPr>
          </w:p>
          <w:p w:rsidR="00BD240E" w:rsidRPr="00931642" w:rsidRDefault="00BD240E" w:rsidP="006504C4">
            <w:pPr>
              <w:keepNext/>
              <w:widowControl/>
              <w:ind w:left="-108"/>
              <w:rPr>
                <w:rFonts w:ascii="Arial Narrow" w:hAnsi="Arial Narrow"/>
                <w:sz w:val="20"/>
              </w:rPr>
            </w:pPr>
            <w:r w:rsidRPr="00931642">
              <w:rPr>
                <w:rFonts w:ascii="Arial Narrow" w:hAnsi="Arial Narrow"/>
                <w:sz w:val="20"/>
              </w:rPr>
              <w:t>5</w:t>
            </w:r>
          </w:p>
        </w:tc>
        <w:tc>
          <w:tcPr>
            <w:tcW w:w="1418" w:type="dxa"/>
          </w:tcPr>
          <w:p w:rsidR="00BD240E" w:rsidRPr="00931642" w:rsidRDefault="00BD240E" w:rsidP="006504C4">
            <w:pPr>
              <w:keepNext/>
              <w:widowControl/>
              <w:rPr>
                <w:rFonts w:ascii="Arial Narrow" w:hAnsi="Arial Narrow"/>
                <w:sz w:val="20"/>
              </w:rPr>
            </w:pPr>
            <w:r w:rsidRPr="00931642">
              <w:rPr>
                <w:rFonts w:ascii="Arial Narrow" w:hAnsi="Arial Narrow"/>
                <w:sz w:val="20"/>
              </w:rPr>
              <w:t>Somavert®</w:t>
            </w:r>
          </w:p>
        </w:tc>
        <w:tc>
          <w:tcPr>
            <w:tcW w:w="2126" w:type="dxa"/>
          </w:tcPr>
          <w:p w:rsidR="00BD240E" w:rsidRPr="00931642" w:rsidRDefault="00BD240E" w:rsidP="006504C4">
            <w:pPr>
              <w:keepNext/>
              <w:widowControl/>
              <w:rPr>
                <w:rFonts w:ascii="Arial Narrow" w:hAnsi="Arial Narrow"/>
                <w:sz w:val="20"/>
              </w:rPr>
            </w:pPr>
            <w:r w:rsidRPr="00931642">
              <w:rPr>
                <w:rFonts w:ascii="Arial Narrow" w:hAnsi="Arial Narrow"/>
                <w:sz w:val="20"/>
              </w:rPr>
              <w:t>Pfizer</w:t>
            </w:r>
          </w:p>
        </w:tc>
      </w:tr>
      <w:tr w:rsidR="00953F60" w:rsidRPr="00931642" w:rsidTr="00953F60">
        <w:tblPrEx>
          <w:tblLook w:val="04A0" w:firstRow="1" w:lastRow="0" w:firstColumn="1" w:lastColumn="0" w:noHBand="0" w:noVBand="1"/>
        </w:tblPrEx>
        <w:trPr>
          <w:cantSplit/>
          <w:trHeight w:val="360"/>
        </w:trPr>
        <w:tc>
          <w:tcPr>
            <w:tcW w:w="1701" w:type="dxa"/>
            <w:tcBorders>
              <w:top w:val="single" w:sz="4" w:space="0" w:color="auto"/>
              <w:left w:val="single" w:sz="4" w:space="0" w:color="auto"/>
              <w:bottom w:val="single" w:sz="4" w:space="0" w:color="auto"/>
              <w:right w:val="single" w:sz="4" w:space="0" w:color="auto"/>
            </w:tcBorders>
            <w:hideMark/>
          </w:tcPr>
          <w:p w:rsidR="00953F60" w:rsidRPr="00931642" w:rsidRDefault="00953F60" w:rsidP="006504C4">
            <w:pPr>
              <w:widowControl/>
              <w:rPr>
                <w:rFonts w:ascii="Arial Narrow" w:hAnsi="Arial Narrow"/>
                <w:b/>
                <w:sz w:val="20"/>
              </w:rPr>
            </w:pPr>
            <w:r w:rsidRPr="00931642">
              <w:rPr>
                <w:rFonts w:ascii="Arial Narrow" w:hAnsi="Arial Narrow"/>
                <w:b/>
                <w:sz w:val="20"/>
              </w:rPr>
              <w:t xml:space="preserve">Category / </w:t>
            </w:r>
          </w:p>
          <w:p w:rsidR="00953F60" w:rsidRPr="00931642" w:rsidRDefault="00953F60" w:rsidP="006504C4">
            <w:pPr>
              <w:widowControl/>
              <w:snapToGrid w:val="0"/>
              <w:rPr>
                <w:rFonts w:ascii="Arial Narrow" w:hAnsi="Arial Narrow"/>
                <w:b/>
                <w:sz w:val="20"/>
              </w:rPr>
            </w:pPr>
            <w:r w:rsidRPr="00931642">
              <w:rPr>
                <w:rFonts w:ascii="Arial Narrow" w:hAnsi="Arial Narrow"/>
                <w:b/>
                <w:sz w:val="20"/>
              </w:rPr>
              <w:t>Program</w:t>
            </w:r>
          </w:p>
        </w:tc>
        <w:tc>
          <w:tcPr>
            <w:tcW w:w="6804" w:type="dxa"/>
            <w:gridSpan w:val="5"/>
            <w:tcBorders>
              <w:top w:val="single" w:sz="4" w:space="0" w:color="auto"/>
              <w:left w:val="single" w:sz="4" w:space="0" w:color="auto"/>
              <w:bottom w:val="single" w:sz="4" w:space="0" w:color="auto"/>
              <w:right w:val="single" w:sz="4" w:space="0" w:color="auto"/>
            </w:tcBorders>
          </w:tcPr>
          <w:p w:rsidR="00953F60" w:rsidRPr="00E304A4" w:rsidRDefault="00953F60" w:rsidP="006504C4">
            <w:pPr>
              <w:widowControl/>
              <w:rPr>
                <w:rFonts w:ascii="Arial Narrow" w:hAnsi="Arial Narrow"/>
                <w:sz w:val="20"/>
              </w:rPr>
            </w:pPr>
            <w:r w:rsidRPr="00E304A4">
              <w:rPr>
                <w:rFonts w:ascii="Arial Narrow" w:hAnsi="Arial Narrow"/>
                <w:sz w:val="20"/>
              </w:rPr>
              <w:t>Section 100 – Highly Specialised Drugs Program</w:t>
            </w:r>
          </w:p>
          <w:p w:rsidR="00953F60" w:rsidRPr="00E304A4" w:rsidRDefault="00953F60" w:rsidP="006504C4">
            <w:pPr>
              <w:widowControl/>
              <w:snapToGrid w:val="0"/>
              <w:rPr>
                <w:rFonts w:ascii="Arial Narrow" w:hAnsi="Arial Narrow"/>
                <w:sz w:val="20"/>
              </w:rPr>
            </w:pPr>
          </w:p>
        </w:tc>
      </w:tr>
      <w:tr w:rsidR="00953F60" w:rsidRPr="00931642" w:rsidTr="00953F60">
        <w:tblPrEx>
          <w:tblLook w:val="04A0" w:firstRow="1" w:lastRow="0" w:firstColumn="1" w:lastColumn="0" w:noHBand="0" w:noVBand="1"/>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Prescriber type:</w:t>
            </w:r>
          </w:p>
          <w:p w:rsidR="00953F60" w:rsidRPr="00931642" w:rsidRDefault="00953F60" w:rsidP="006504C4">
            <w:pPr>
              <w:widowControl/>
              <w:snapToGrid w:val="0"/>
              <w:rPr>
                <w:rFonts w:ascii="Arial Narrow" w:hAnsi="Arial Narrow"/>
                <w:b/>
                <w:sz w:val="20"/>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53F60" w:rsidRPr="00E304A4" w:rsidRDefault="00953F60" w:rsidP="006504C4">
            <w:pPr>
              <w:widowControl/>
              <w:rPr>
                <w:rFonts w:ascii="Arial Narrow" w:hAnsi="Arial Narrow"/>
                <w:sz w:val="20"/>
              </w:rPr>
            </w:pPr>
            <w:r w:rsidRPr="00E304A4">
              <w:rPr>
                <w:rFonts w:ascii="Arial Narrow" w:hAnsi="Arial Narrow"/>
                <w:sz w:val="20"/>
              </w:rPr>
              <w:fldChar w:fldCharType="begin">
                <w:ffData>
                  <w:name w:val="Check1"/>
                  <w:enabled/>
                  <w:calcOnExit w:val="0"/>
                  <w:checkBox>
                    <w:sizeAuto/>
                    <w:default w:val="0"/>
                  </w:checkBox>
                </w:ffData>
              </w:fldChar>
            </w:r>
            <w:r w:rsidRPr="00E304A4">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E304A4">
              <w:rPr>
                <w:rFonts w:ascii="Arial Narrow" w:hAnsi="Arial Narrow"/>
                <w:sz w:val="20"/>
              </w:rPr>
              <w:fldChar w:fldCharType="end"/>
            </w:r>
            <w:r w:rsidRPr="00E304A4">
              <w:rPr>
                <w:rFonts w:ascii="Arial Narrow" w:hAnsi="Arial Narrow"/>
                <w:sz w:val="20"/>
              </w:rPr>
              <w:t xml:space="preserve">Dental  </w:t>
            </w:r>
            <w:r w:rsidRPr="00E304A4">
              <w:rPr>
                <w:rFonts w:ascii="Arial Narrow" w:hAnsi="Arial Narrow"/>
                <w:sz w:val="20"/>
              </w:rPr>
              <w:fldChar w:fldCharType="begin">
                <w:ffData>
                  <w:name w:val=""/>
                  <w:enabled/>
                  <w:calcOnExit w:val="0"/>
                  <w:checkBox>
                    <w:sizeAuto/>
                    <w:default w:val="1"/>
                  </w:checkBox>
                </w:ffData>
              </w:fldChar>
            </w:r>
            <w:r w:rsidRPr="00E304A4">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E304A4">
              <w:rPr>
                <w:rFonts w:ascii="Arial Narrow" w:hAnsi="Arial Narrow"/>
                <w:sz w:val="20"/>
              </w:rPr>
              <w:fldChar w:fldCharType="end"/>
            </w:r>
            <w:r w:rsidRPr="00E304A4">
              <w:rPr>
                <w:rFonts w:ascii="Arial Narrow" w:hAnsi="Arial Narrow"/>
                <w:sz w:val="20"/>
              </w:rPr>
              <w:t xml:space="preserve">Medical Practitioners  </w:t>
            </w:r>
            <w:r w:rsidRPr="00E304A4">
              <w:rPr>
                <w:rFonts w:ascii="Arial Narrow" w:hAnsi="Arial Narrow"/>
                <w:sz w:val="20"/>
              </w:rPr>
              <w:fldChar w:fldCharType="begin">
                <w:ffData>
                  <w:name w:val="Check3"/>
                  <w:enabled/>
                  <w:calcOnExit w:val="0"/>
                  <w:checkBox>
                    <w:sizeAuto/>
                    <w:default w:val="0"/>
                  </w:checkBox>
                </w:ffData>
              </w:fldChar>
            </w:r>
            <w:r w:rsidRPr="00E304A4">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E304A4">
              <w:rPr>
                <w:rFonts w:ascii="Arial Narrow" w:hAnsi="Arial Narrow"/>
                <w:sz w:val="20"/>
              </w:rPr>
              <w:fldChar w:fldCharType="end"/>
            </w:r>
            <w:r w:rsidRPr="00E304A4">
              <w:rPr>
                <w:rFonts w:ascii="Arial Narrow" w:hAnsi="Arial Narrow"/>
                <w:sz w:val="20"/>
              </w:rPr>
              <w:t xml:space="preserve">Nurse practitioners  </w:t>
            </w:r>
            <w:r w:rsidRPr="00E304A4">
              <w:rPr>
                <w:rFonts w:ascii="Arial Narrow" w:hAnsi="Arial Narrow"/>
                <w:sz w:val="20"/>
              </w:rPr>
              <w:fldChar w:fldCharType="begin">
                <w:ffData>
                  <w:name w:val=""/>
                  <w:enabled/>
                  <w:calcOnExit w:val="0"/>
                  <w:checkBox>
                    <w:sizeAuto/>
                    <w:default w:val="0"/>
                  </w:checkBox>
                </w:ffData>
              </w:fldChar>
            </w:r>
            <w:r w:rsidRPr="00E304A4">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E304A4">
              <w:rPr>
                <w:rFonts w:ascii="Arial Narrow" w:hAnsi="Arial Narrow"/>
                <w:sz w:val="20"/>
              </w:rPr>
              <w:fldChar w:fldCharType="end"/>
            </w:r>
            <w:r w:rsidRPr="00E304A4">
              <w:rPr>
                <w:rFonts w:ascii="Arial Narrow" w:hAnsi="Arial Narrow"/>
                <w:sz w:val="20"/>
              </w:rPr>
              <w:t>Optometrists</w:t>
            </w:r>
          </w:p>
          <w:p w:rsidR="00953F60" w:rsidRPr="00E304A4" w:rsidRDefault="00953F60" w:rsidP="006504C4">
            <w:pPr>
              <w:widowControl/>
              <w:snapToGrid w:val="0"/>
              <w:rPr>
                <w:rFonts w:ascii="Arial Narrow" w:hAnsi="Arial Narrow"/>
                <w:sz w:val="20"/>
              </w:rPr>
            </w:pPr>
            <w:r w:rsidRPr="00E304A4">
              <w:rPr>
                <w:rFonts w:ascii="Arial Narrow" w:hAnsi="Arial Narrow"/>
                <w:sz w:val="20"/>
              </w:rPr>
              <w:fldChar w:fldCharType="begin">
                <w:ffData>
                  <w:name w:val="Check5"/>
                  <w:enabled/>
                  <w:calcOnExit w:val="0"/>
                  <w:checkBox>
                    <w:sizeAuto/>
                    <w:default w:val="0"/>
                  </w:checkBox>
                </w:ffData>
              </w:fldChar>
            </w:r>
            <w:r w:rsidRPr="00E304A4">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E304A4">
              <w:rPr>
                <w:rFonts w:ascii="Arial Narrow" w:hAnsi="Arial Narrow"/>
                <w:sz w:val="20"/>
              </w:rPr>
              <w:fldChar w:fldCharType="end"/>
            </w:r>
            <w:r w:rsidRPr="00E304A4">
              <w:rPr>
                <w:rFonts w:ascii="Arial Narrow" w:hAnsi="Arial Narrow"/>
                <w:sz w:val="20"/>
              </w:rPr>
              <w:t>Midwives</w:t>
            </w:r>
          </w:p>
        </w:tc>
      </w:tr>
      <w:tr w:rsidR="00953F60" w:rsidRPr="00931642" w:rsidTr="00953F60">
        <w:tblPrEx>
          <w:tblLook w:val="04A0" w:firstRow="1" w:lastRow="0" w:firstColumn="1" w:lastColumn="0" w:noHBand="0" w:noVBand="1"/>
        </w:tblPrEx>
        <w:trPr>
          <w:cantSplit/>
          <w:trHeight w:val="360"/>
        </w:trPr>
        <w:tc>
          <w:tcPr>
            <w:tcW w:w="1701" w:type="dxa"/>
            <w:tcBorders>
              <w:top w:val="single" w:sz="4" w:space="0" w:color="auto"/>
              <w:left w:val="single" w:sz="4" w:space="0" w:color="auto"/>
              <w:bottom w:val="single" w:sz="4" w:space="0" w:color="auto"/>
              <w:right w:val="single" w:sz="4" w:space="0" w:color="auto"/>
            </w:tcBorders>
            <w:hideMark/>
          </w:tcPr>
          <w:p w:rsidR="00953F60" w:rsidRPr="00931642" w:rsidRDefault="00953F60" w:rsidP="006504C4">
            <w:pPr>
              <w:widowControl/>
              <w:snapToGrid w:val="0"/>
              <w:rPr>
                <w:rFonts w:ascii="Arial Narrow" w:hAnsi="Arial Narrow"/>
                <w:b/>
                <w:sz w:val="20"/>
              </w:rPr>
            </w:pPr>
            <w:r w:rsidRPr="00931642">
              <w:rPr>
                <w:rFonts w:ascii="Arial Narrow" w:hAnsi="Arial Narrow"/>
                <w:b/>
                <w:sz w:val="20"/>
              </w:rPr>
              <w:t>PBS Indication:</w:t>
            </w:r>
          </w:p>
        </w:tc>
        <w:tc>
          <w:tcPr>
            <w:tcW w:w="6804" w:type="dxa"/>
            <w:gridSpan w:val="5"/>
            <w:tcBorders>
              <w:top w:val="single" w:sz="4" w:space="0" w:color="auto"/>
              <w:left w:val="single" w:sz="4" w:space="0" w:color="auto"/>
              <w:bottom w:val="single" w:sz="4" w:space="0" w:color="auto"/>
              <w:right w:val="single" w:sz="4" w:space="0" w:color="auto"/>
            </w:tcBorders>
            <w:hideMark/>
          </w:tcPr>
          <w:p w:rsidR="00953F60" w:rsidRPr="00E304A4" w:rsidRDefault="00953F60" w:rsidP="006504C4">
            <w:pPr>
              <w:widowControl/>
              <w:snapToGrid w:val="0"/>
              <w:rPr>
                <w:rFonts w:ascii="Arial Narrow" w:hAnsi="Arial Narrow"/>
                <w:sz w:val="20"/>
              </w:rPr>
            </w:pPr>
            <w:r w:rsidRPr="00E304A4">
              <w:rPr>
                <w:rFonts w:ascii="Arial Narrow" w:hAnsi="Arial Narrow"/>
                <w:sz w:val="20"/>
              </w:rPr>
              <w:t>Acromegaly</w:t>
            </w:r>
          </w:p>
        </w:tc>
      </w:tr>
      <w:tr w:rsidR="00953F60" w:rsidRPr="00931642" w:rsidTr="00953F60">
        <w:tblPrEx>
          <w:tblLook w:val="04A0" w:firstRow="1" w:lastRow="0" w:firstColumn="1" w:lastColumn="0" w:noHBand="0" w:noVBand="1"/>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Treatment phase:</w:t>
            </w:r>
          </w:p>
        </w:tc>
        <w:tc>
          <w:tcPr>
            <w:tcW w:w="6804" w:type="dxa"/>
            <w:gridSpan w:val="5"/>
            <w:tcBorders>
              <w:top w:val="single" w:sz="4" w:space="0" w:color="auto"/>
              <w:left w:val="single" w:sz="4" w:space="0" w:color="auto"/>
              <w:bottom w:val="single" w:sz="4" w:space="0" w:color="auto"/>
              <w:right w:val="single" w:sz="4" w:space="0" w:color="auto"/>
            </w:tcBorders>
            <w:hideMark/>
          </w:tcPr>
          <w:p w:rsidR="00953F60" w:rsidRPr="00E304A4" w:rsidRDefault="00953F60" w:rsidP="006504C4">
            <w:pPr>
              <w:widowControl/>
              <w:snapToGrid w:val="0"/>
              <w:rPr>
                <w:rFonts w:ascii="Arial Narrow" w:hAnsi="Arial Narrow"/>
                <w:sz w:val="20"/>
              </w:rPr>
            </w:pPr>
            <w:r w:rsidRPr="00E304A4">
              <w:rPr>
                <w:rFonts w:ascii="Arial Narrow" w:hAnsi="Arial Narrow"/>
                <w:sz w:val="20"/>
              </w:rPr>
              <w:t>Continuing treatment</w:t>
            </w:r>
          </w:p>
        </w:tc>
      </w:tr>
      <w:tr w:rsidR="00953F60" w:rsidRPr="00931642" w:rsidTr="00953F60">
        <w:tblPrEx>
          <w:tblLook w:val="04A0" w:firstRow="1" w:lastRow="0" w:firstColumn="1" w:lastColumn="0" w:noHBand="0" w:noVBand="1"/>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jc w:val="left"/>
              <w:rPr>
                <w:rFonts w:ascii="Arial Narrow" w:hAnsi="Arial Narrow"/>
                <w:b/>
                <w:sz w:val="20"/>
              </w:rPr>
            </w:pPr>
            <w:r w:rsidRPr="00931642">
              <w:rPr>
                <w:rFonts w:ascii="Arial Narrow" w:hAnsi="Arial Narrow"/>
                <w:b/>
                <w:sz w:val="20"/>
              </w:rPr>
              <w:t>Restriction Level / Method:</w:t>
            </w:r>
          </w:p>
        </w:tc>
        <w:tc>
          <w:tcPr>
            <w:tcW w:w="6804" w:type="dxa"/>
            <w:gridSpan w:val="5"/>
            <w:tcBorders>
              <w:top w:val="single" w:sz="4" w:space="0" w:color="auto"/>
              <w:left w:val="single" w:sz="4" w:space="0" w:color="auto"/>
              <w:bottom w:val="single" w:sz="4" w:space="0" w:color="auto"/>
              <w:right w:val="single" w:sz="4" w:space="0" w:color="auto"/>
            </w:tcBorders>
            <w:hideMark/>
          </w:tcPr>
          <w:p w:rsidR="0045711A" w:rsidRPr="008A0437" w:rsidRDefault="0045711A" w:rsidP="0045711A">
            <w:pPr>
              <w:rPr>
                <w:rFonts w:ascii="Arial Narrow" w:hAnsi="Arial Narrow"/>
                <w:sz w:val="20"/>
              </w:rPr>
            </w:pP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In Writing</w:t>
            </w:r>
          </w:p>
          <w:p w:rsidR="00953F60" w:rsidRPr="00E304A4" w:rsidRDefault="0045711A" w:rsidP="0045711A">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Pr>
                <w:rFonts w:ascii="Arial Narrow" w:hAnsi="Arial Narrow"/>
                <w:sz w:val="20"/>
              </w:rPr>
              <w:fldChar w:fldCharType="end"/>
            </w:r>
            <w:r w:rsidRPr="008A0437">
              <w:rPr>
                <w:rFonts w:ascii="Arial Narrow" w:hAnsi="Arial Narrow"/>
                <w:sz w:val="20"/>
              </w:rPr>
              <w:t>Authority Required - Telephone</w:t>
            </w:r>
          </w:p>
        </w:tc>
      </w:tr>
      <w:tr w:rsidR="00953F60" w:rsidRPr="00931642" w:rsidTr="00953F60">
        <w:tblPrEx>
          <w:tblLook w:val="04A0" w:firstRow="1" w:lastRow="0" w:firstColumn="1" w:lastColumn="0" w:noHBand="0" w:noVBand="1"/>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Clinical criteria:</w:t>
            </w:r>
          </w:p>
          <w:p w:rsidR="00953F60" w:rsidRPr="00931642" w:rsidRDefault="00953F60" w:rsidP="006504C4">
            <w:pPr>
              <w:widowControl/>
              <w:rPr>
                <w:rFonts w:ascii="Arial Narrow" w:hAnsi="Arial Narrow"/>
                <w:sz w:val="20"/>
              </w:rPr>
            </w:pPr>
          </w:p>
          <w:p w:rsidR="00953F60" w:rsidRPr="00931642" w:rsidRDefault="00953F60" w:rsidP="006504C4">
            <w:pPr>
              <w:widowControl/>
              <w:snapToGrid w:val="0"/>
              <w:rPr>
                <w:rFonts w:ascii="Arial Narrow" w:hAnsi="Arial Narrow"/>
                <w:sz w:val="20"/>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53F60" w:rsidRPr="00E304A4" w:rsidRDefault="00953F60" w:rsidP="006504C4">
            <w:pPr>
              <w:widowControl/>
              <w:snapToGrid w:val="0"/>
              <w:rPr>
                <w:rFonts w:ascii="Arial Narrow" w:hAnsi="Arial Narrow"/>
                <w:sz w:val="20"/>
              </w:rPr>
            </w:pPr>
            <w:r w:rsidRPr="00E304A4">
              <w:rPr>
                <w:rFonts w:ascii="Arial Narrow" w:hAnsi="Arial Narrow"/>
                <w:sz w:val="20"/>
              </w:rPr>
              <w:t xml:space="preserve">Patient must have previously received PBS-subsidised treatment with this drug </w:t>
            </w:r>
            <w:r w:rsidR="008F38C2" w:rsidRPr="00E304A4">
              <w:rPr>
                <w:rFonts w:ascii="Arial Narrow" w:hAnsi="Arial Narrow"/>
                <w:sz w:val="20"/>
              </w:rPr>
              <w:t xml:space="preserve">under the Initial treatment restriction </w:t>
            </w:r>
            <w:r w:rsidRPr="00E304A4">
              <w:rPr>
                <w:rFonts w:ascii="Arial Narrow" w:hAnsi="Arial Narrow"/>
                <w:sz w:val="20"/>
              </w:rPr>
              <w:t>for this condition</w:t>
            </w:r>
            <w:r w:rsidR="00E304A4">
              <w:rPr>
                <w:rFonts w:ascii="Arial Narrow" w:hAnsi="Arial Narrow"/>
                <w:sz w:val="20"/>
              </w:rPr>
              <w:t>,</w:t>
            </w:r>
          </w:p>
          <w:p w:rsidR="00953F60" w:rsidRPr="00E304A4" w:rsidRDefault="00953F60" w:rsidP="006504C4">
            <w:pPr>
              <w:widowControl/>
              <w:snapToGrid w:val="0"/>
              <w:rPr>
                <w:rFonts w:ascii="Arial Narrow" w:hAnsi="Arial Narrow"/>
                <w:sz w:val="20"/>
              </w:rPr>
            </w:pPr>
            <w:r w:rsidRPr="00E304A4">
              <w:rPr>
                <w:rFonts w:ascii="Arial Narrow" w:hAnsi="Arial Narrow"/>
                <w:sz w:val="20"/>
              </w:rPr>
              <w:t xml:space="preserve">AND </w:t>
            </w:r>
          </w:p>
          <w:p w:rsidR="00E304A4" w:rsidRDefault="00E304A4" w:rsidP="006504C4">
            <w:pPr>
              <w:widowControl/>
              <w:rPr>
                <w:rFonts w:ascii="Arial Narrow" w:hAnsi="Arial Narrow"/>
                <w:sz w:val="20"/>
              </w:rPr>
            </w:pPr>
            <w:r w:rsidRPr="00931642">
              <w:rPr>
                <w:rFonts w:ascii="Arial Narrow" w:hAnsi="Arial Narrow"/>
                <w:sz w:val="20"/>
              </w:rPr>
              <w:t xml:space="preserve">Treatment must not be </w:t>
            </w:r>
            <w:r>
              <w:rPr>
                <w:rFonts w:ascii="Arial Narrow" w:hAnsi="Arial Narrow"/>
                <w:sz w:val="20"/>
              </w:rPr>
              <w:t xml:space="preserve">given concomitantly with a </w:t>
            </w:r>
            <w:r w:rsidRPr="00931642">
              <w:rPr>
                <w:rFonts w:ascii="Arial Narrow" w:hAnsi="Arial Narrow"/>
                <w:sz w:val="20"/>
              </w:rPr>
              <w:t>PBS-subsidised somatostatin analogue</w:t>
            </w:r>
            <w:r>
              <w:rPr>
                <w:rFonts w:ascii="Arial Narrow" w:hAnsi="Arial Narrow"/>
                <w:sz w:val="20"/>
              </w:rPr>
              <w:t>,</w:t>
            </w:r>
          </w:p>
          <w:p w:rsidR="00D9778B" w:rsidRPr="00E304A4" w:rsidRDefault="00D9778B" w:rsidP="006504C4">
            <w:pPr>
              <w:widowControl/>
              <w:rPr>
                <w:rFonts w:ascii="Arial Narrow" w:hAnsi="Arial Narrow"/>
                <w:sz w:val="20"/>
              </w:rPr>
            </w:pPr>
            <w:r w:rsidRPr="00E304A4">
              <w:rPr>
                <w:rFonts w:ascii="Arial Narrow" w:hAnsi="Arial Narrow"/>
                <w:sz w:val="20"/>
              </w:rPr>
              <w:t>AND</w:t>
            </w:r>
          </w:p>
          <w:p w:rsidR="00D9778B" w:rsidRPr="00E304A4" w:rsidRDefault="00D9778B" w:rsidP="00D9778B">
            <w:pPr>
              <w:widowControl/>
              <w:rPr>
                <w:rFonts w:ascii="Arial Narrow" w:hAnsi="Arial Narrow"/>
                <w:sz w:val="20"/>
              </w:rPr>
            </w:pPr>
            <w:r w:rsidRPr="00E304A4">
              <w:rPr>
                <w:rFonts w:ascii="Arial Narrow" w:hAnsi="Arial Narrow"/>
                <w:sz w:val="20"/>
              </w:rPr>
              <w:t>Treatment must cease if IGF-1 is not lower after 3 months of pegvisomant treatment at the maximum tolerated dose.</w:t>
            </w:r>
          </w:p>
          <w:p w:rsidR="00D9778B" w:rsidRPr="00E304A4" w:rsidRDefault="00D9778B" w:rsidP="006504C4">
            <w:pPr>
              <w:widowControl/>
              <w:rPr>
                <w:rFonts w:ascii="Arial Narrow" w:hAnsi="Arial Narrow"/>
                <w:sz w:val="20"/>
              </w:rPr>
            </w:pPr>
          </w:p>
        </w:tc>
      </w:tr>
      <w:tr w:rsidR="00953F60" w:rsidRPr="00931642" w:rsidTr="00953F60">
        <w:tblPrEx>
          <w:tblLook w:val="04A0" w:firstRow="1" w:lastRow="0" w:firstColumn="1" w:lastColumn="0" w:noHBand="0" w:noVBand="1"/>
        </w:tblPrEx>
        <w:trPr>
          <w:cantSplit/>
          <w:trHeight w:val="489"/>
        </w:trPr>
        <w:tc>
          <w:tcPr>
            <w:tcW w:w="1701" w:type="dxa"/>
            <w:tcBorders>
              <w:top w:val="single" w:sz="4" w:space="0" w:color="auto"/>
              <w:left w:val="single" w:sz="4" w:space="0" w:color="auto"/>
              <w:bottom w:val="single" w:sz="4" w:space="0" w:color="auto"/>
              <w:right w:val="single" w:sz="4" w:space="0" w:color="auto"/>
            </w:tcBorders>
          </w:tcPr>
          <w:p w:rsidR="00953F60" w:rsidRPr="00931642" w:rsidRDefault="00953F60" w:rsidP="006504C4">
            <w:pPr>
              <w:widowControl/>
              <w:rPr>
                <w:rFonts w:ascii="Arial Narrow" w:hAnsi="Arial Narrow"/>
                <w:b/>
                <w:sz w:val="20"/>
              </w:rPr>
            </w:pPr>
            <w:r w:rsidRPr="00931642">
              <w:rPr>
                <w:rFonts w:ascii="Arial Narrow" w:hAnsi="Arial Narrow"/>
                <w:b/>
                <w:sz w:val="20"/>
              </w:rPr>
              <w:t>Prescriber Instruction</w:t>
            </w:r>
          </w:p>
        </w:tc>
        <w:tc>
          <w:tcPr>
            <w:tcW w:w="6804" w:type="dxa"/>
            <w:gridSpan w:val="5"/>
            <w:tcBorders>
              <w:top w:val="single" w:sz="4" w:space="0" w:color="auto"/>
              <w:left w:val="single" w:sz="4" w:space="0" w:color="auto"/>
              <w:bottom w:val="single" w:sz="4" w:space="0" w:color="auto"/>
              <w:right w:val="single" w:sz="4" w:space="0" w:color="auto"/>
            </w:tcBorders>
          </w:tcPr>
          <w:p w:rsidR="00BD240E" w:rsidRPr="00931642" w:rsidRDefault="00BD240E" w:rsidP="006504C4">
            <w:pPr>
              <w:widowControl/>
              <w:rPr>
                <w:rFonts w:ascii="Arial Narrow" w:hAnsi="Arial Narrow"/>
                <w:sz w:val="20"/>
              </w:rPr>
            </w:pPr>
            <w:r w:rsidRPr="00931642">
              <w:rPr>
                <w:rFonts w:ascii="Arial Narrow" w:hAnsi="Arial Narrow"/>
                <w:sz w:val="20"/>
              </w:rPr>
              <w:t xml:space="preserve">In a patient treated with radiotherapy, pegvisomant should be withdrawn every 2 years in the 10 years after completion of radiotherapy for assessment of remission. Pegvisomant should be withdrawn at least 8 weeks prior to the assessment of remission. </w:t>
            </w:r>
          </w:p>
          <w:p w:rsidR="00BD240E" w:rsidRDefault="00BD240E" w:rsidP="006504C4">
            <w:pPr>
              <w:widowControl/>
              <w:rPr>
                <w:rFonts w:ascii="Arial Narrow" w:hAnsi="Arial Narrow"/>
                <w:sz w:val="20"/>
              </w:rPr>
            </w:pPr>
          </w:p>
          <w:p w:rsidR="00E304A4" w:rsidRDefault="00E304A4" w:rsidP="00E304A4">
            <w:pPr>
              <w:widowControl/>
              <w:snapToGrid w:val="0"/>
              <w:rPr>
                <w:rFonts w:ascii="Arial Narrow" w:hAnsi="Arial Narrow"/>
                <w:sz w:val="20"/>
              </w:rPr>
            </w:pPr>
            <w:r>
              <w:rPr>
                <w:rFonts w:ascii="Arial Narrow" w:hAnsi="Arial Narrow"/>
                <w:sz w:val="20"/>
              </w:rPr>
              <w:t>S</w:t>
            </w:r>
            <w:r w:rsidRPr="00931642">
              <w:rPr>
                <w:rFonts w:ascii="Arial Narrow" w:hAnsi="Arial Narrow"/>
                <w:sz w:val="20"/>
              </w:rPr>
              <w:t>omatostatin analogue</w:t>
            </w:r>
            <w:r>
              <w:rPr>
                <w:rFonts w:ascii="Arial Narrow" w:hAnsi="Arial Narrow"/>
                <w:sz w:val="20"/>
              </w:rPr>
              <w:t>s inclu</w:t>
            </w:r>
            <w:r w:rsidRPr="00754EC9">
              <w:rPr>
                <w:rFonts w:ascii="Arial Narrow" w:hAnsi="Arial Narrow"/>
                <w:sz w:val="20"/>
              </w:rPr>
              <w:t>de octreotide, lanreotide and pasireotide.</w:t>
            </w:r>
          </w:p>
          <w:p w:rsidR="00E304A4" w:rsidRPr="00931642" w:rsidRDefault="00E304A4" w:rsidP="006504C4">
            <w:pPr>
              <w:widowControl/>
              <w:rPr>
                <w:rFonts w:ascii="Arial Narrow" w:hAnsi="Arial Narrow"/>
                <w:sz w:val="20"/>
              </w:rPr>
            </w:pPr>
          </w:p>
          <w:p w:rsidR="00BD240E" w:rsidRPr="00931642" w:rsidRDefault="00BD240E" w:rsidP="006504C4">
            <w:pPr>
              <w:widowControl/>
              <w:rPr>
                <w:rFonts w:ascii="Arial Narrow" w:hAnsi="Arial Narrow"/>
                <w:sz w:val="20"/>
              </w:rPr>
            </w:pPr>
            <w:r w:rsidRPr="00931642">
              <w:rPr>
                <w:rFonts w:ascii="Arial Narrow" w:hAnsi="Arial Narrow"/>
                <w:sz w:val="20"/>
              </w:rPr>
              <w:t xml:space="preserve">In a patient who has been previously treated with radiotherapy for this condition, the date of completion of radiotherapy must be provided; and a copy of IGF-1 level taken at the most recent two yearly </w:t>
            </w:r>
            <w:proofErr w:type="gramStart"/>
            <w:r w:rsidRPr="00931642">
              <w:rPr>
                <w:rFonts w:ascii="Arial Narrow" w:hAnsi="Arial Narrow"/>
                <w:sz w:val="20"/>
              </w:rPr>
              <w:t>assessment</w:t>
            </w:r>
            <w:proofErr w:type="gramEnd"/>
            <w:r w:rsidRPr="00931642">
              <w:rPr>
                <w:rFonts w:ascii="Arial Narrow" w:hAnsi="Arial Narrow"/>
                <w:sz w:val="20"/>
              </w:rPr>
              <w:t xml:space="preserve"> in the 10 years after completion of radiotherapy must be provided at the time of approval.</w:t>
            </w:r>
          </w:p>
          <w:p w:rsidR="00BD240E" w:rsidRPr="00931642" w:rsidRDefault="00BD240E" w:rsidP="006504C4">
            <w:pPr>
              <w:widowControl/>
              <w:rPr>
                <w:rFonts w:ascii="Arial Narrow" w:hAnsi="Arial Narrow"/>
                <w:sz w:val="20"/>
              </w:rPr>
            </w:pPr>
          </w:p>
          <w:p w:rsidR="00BD240E" w:rsidRPr="00E304A4" w:rsidRDefault="00BD240E" w:rsidP="006504C4">
            <w:pPr>
              <w:widowControl/>
              <w:rPr>
                <w:rFonts w:ascii="Arial Narrow" w:hAnsi="Arial Narrow"/>
                <w:sz w:val="20"/>
              </w:rPr>
            </w:pPr>
            <w:r w:rsidRPr="00931642">
              <w:rPr>
                <w:rFonts w:ascii="Arial Narrow" w:hAnsi="Arial Narrow"/>
                <w:sz w:val="20"/>
              </w:rPr>
              <w:t>Biochemical evidence of remission is defined as normalisation of sex- and age- adjusted insulin-like growth factor 1 (IGF-1)</w:t>
            </w:r>
            <w:r w:rsidR="00E304A4">
              <w:rPr>
                <w:rFonts w:ascii="Arial Narrow" w:hAnsi="Arial Narrow"/>
                <w:sz w:val="20"/>
              </w:rPr>
              <w:t>.</w:t>
            </w:r>
          </w:p>
        </w:tc>
      </w:tr>
      <w:tr w:rsidR="00BD240E" w:rsidRPr="00931642" w:rsidTr="00953F60">
        <w:tblPrEx>
          <w:tblLook w:val="04A0" w:firstRow="1" w:lastRow="0" w:firstColumn="1" w:lastColumn="0" w:noHBand="0" w:noVBand="1"/>
        </w:tblPrEx>
        <w:trPr>
          <w:cantSplit/>
          <w:trHeight w:val="489"/>
        </w:trPr>
        <w:tc>
          <w:tcPr>
            <w:tcW w:w="1701" w:type="dxa"/>
            <w:tcBorders>
              <w:top w:val="single" w:sz="4" w:space="0" w:color="auto"/>
              <w:left w:val="single" w:sz="4" w:space="0" w:color="auto"/>
              <w:bottom w:val="single" w:sz="4" w:space="0" w:color="auto"/>
              <w:right w:val="single" w:sz="4" w:space="0" w:color="auto"/>
            </w:tcBorders>
          </w:tcPr>
          <w:p w:rsidR="00BD240E" w:rsidRPr="00931642" w:rsidRDefault="004F7351" w:rsidP="006504C4">
            <w:pPr>
              <w:widowControl/>
              <w:rPr>
                <w:rFonts w:ascii="Arial Narrow" w:hAnsi="Arial Narrow"/>
                <w:b/>
                <w:sz w:val="20"/>
              </w:rPr>
            </w:pPr>
            <w:r w:rsidRPr="00931642">
              <w:rPr>
                <w:rFonts w:ascii="Arial Narrow" w:hAnsi="Arial Narrow"/>
                <w:b/>
                <w:sz w:val="20"/>
              </w:rPr>
              <w:lastRenderedPageBreak/>
              <w:t>Administrative advice</w:t>
            </w:r>
          </w:p>
        </w:tc>
        <w:tc>
          <w:tcPr>
            <w:tcW w:w="6804" w:type="dxa"/>
            <w:gridSpan w:val="5"/>
            <w:tcBorders>
              <w:top w:val="single" w:sz="4" w:space="0" w:color="auto"/>
              <w:left w:val="single" w:sz="4" w:space="0" w:color="auto"/>
              <w:bottom w:val="single" w:sz="4" w:space="0" w:color="auto"/>
              <w:right w:val="single" w:sz="4" w:space="0" w:color="auto"/>
            </w:tcBorders>
          </w:tcPr>
          <w:p w:rsidR="00BD240E" w:rsidRPr="00931642" w:rsidRDefault="00BD240E" w:rsidP="006504C4">
            <w:pPr>
              <w:widowControl/>
              <w:rPr>
                <w:rFonts w:ascii="Arial Narrow" w:hAnsi="Arial Narrow"/>
                <w:sz w:val="20"/>
              </w:rPr>
            </w:pPr>
            <w:r w:rsidRPr="00931642">
              <w:rPr>
                <w:rFonts w:ascii="Arial Narrow" w:hAnsi="Arial Narrow"/>
                <w:sz w:val="20"/>
              </w:rPr>
              <w:t>Applications for authorisation under this criterion may be made by telephone by contacting the Department of Human Services on 1800 700 270 (hours of operation 8 a.m. to 5 p.m. EST Monday to Friday).</w:t>
            </w:r>
          </w:p>
          <w:p w:rsidR="004F7351" w:rsidRPr="00931642" w:rsidRDefault="004F7351" w:rsidP="006504C4">
            <w:pPr>
              <w:widowControl/>
              <w:rPr>
                <w:rFonts w:ascii="Arial Narrow" w:hAnsi="Arial Narrow"/>
                <w:sz w:val="20"/>
              </w:rPr>
            </w:pPr>
          </w:p>
          <w:p w:rsidR="00BD240E" w:rsidRPr="00931642" w:rsidRDefault="004F7351" w:rsidP="006504C4">
            <w:pPr>
              <w:widowControl/>
              <w:rPr>
                <w:rFonts w:ascii="Arial Narrow" w:hAnsi="Arial Narrow"/>
                <w:sz w:val="20"/>
              </w:rPr>
            </w:pPr>
            <w:r w:rsidRPr="00931642">
              <w:rPr>
                <w:rFonts w:ascii="Arial Narrow" w:hAnsi="Arial Narrow"/>
                <w:sz w:val="20"/>
              </w:rPr>
              <w:t>Special Pricing Arrangements apply</w:t>
            </w:r>
          </w:p>
        </w:tc>
      </w:tr>
    </w:tbl>
    <w:p w:rsidR="00953F60" w:rsidRPr="00931642" w:rsidRDefault="00953F60" w:rsidP="006504C4">
      <w:pPr>
        <w:widowControl/>
        <w:rPr>
          <w:bCs/>
          <w:szCs w:val="22"/>
        </w:rPr>
      </w:pPr>
    </w:p>
    <w:tbl>
      <w:tblPr>
        <w:tblW w:w="8883" w:type="dxa"/>
        <w:tblInd w:w="817" w:type="dxa"/>
        <w:tblLayout w:type="fixed"/>
        <w:tblLook w:val="0000" w:firstRow="0" w:lastRow="0" w:firstColumn="0" w:lastColumn="0" w:noHBand="0" w:noVBand="0"/>
      </w:tblPr>
      <w:tblGrid>
        <w:gridCol w:w="1701"/>
        <w:gridCol w:w="1418"/>
        <w:gridCol w:w="850"/>
        <w:gridCol w:w="851"/>
        <w:gridCol w:w="1086"/>
        <w:gridCol w:w="2599"/>
        <w:gridCol w:w="378"/>
      </w:tblGrid>
      <w:tr w:rsidR="00767875" w:rsidRPr="00931642" w:rsidTr="00714A2D">
        <w:trPr>
          <w:gridAfter w:val="1"/>
          <w:wAfter w:w="378" w:type="dxa"/>
          <w:cantSplit/>
          <w:trHeight w:val="471"/>
        </w:trPr>
        <w:tc>
          <w:tcPr>
            <w:tcW w:w="3119" w:type="dxa"/>
            <w:gridSpan w:val="2"/>
            <w:tcBorders>
              <w:bottom w:val="single" w:sz="4" w:space="0" w:color="auto"/>
            </w:tcBorders>
          </w:tcPr>
          <w:p w:rsidR="00767875" w:rsidRPr="00931642" w:rsidRDefault="00767875" w:rsidP="006504C4">
            <w:pPr>
              <w:keepNext/>
              <w:widowControl/>
              <w:ind w:left="-108"/>
              <w:rPr>
                <w:rFonts w:ascii="Arial Narrow" w:hAnsi="Arial Narrow"/>
                <w:b/>
                <w:sz w:val="20"/>
              </w:rPr>
            </w:pPr>
            <w:r w:rsidRPr="00931642">
              <w:rPr>
                <w:rFonts w:ascii="Arial Narrow" w:hAnsi="Arial Narrow"/>
                <w:b/>
                <w:sz w:val="20"/>
              </w:rPr>
              <w:t>Name, Restriction,</w:t>
            </w:r>
          </w:p>
          <w:p w:rsidR="00767875" w:rsidRPr="00931642" w:rsidRDefault="00767875" w:rsidP="006504C4">
            <w:pPr>
              <w:keepNext/>
              <w:widowControl/>
              <w:ind w:left="-108"/>
              <w:rPr>
                <w:rFonts w:ascii="Arial Narrow" w:hAnsi="Arial Narrow"/>
                <w:b/>
                <w:sz w:val="20"/>
              </w:rPr>
            </w:pPr>
            <w:r w:rsidRPr="00931642">
              <w:rPr>
                <w:rFonts w:ascii="Arial Narrow" w:hAnsi="Arial Narrow"/>
                <w:b/>
                <w:sz w:val="20"/>
              </w:rPr>
              <w:t>Manner of administration and form</w:t>
            </w:r>
          </w:p>
        </w:tc>
        <w:tc>
          <w:tcPr>
            <w:tcW w:w="850" w:type="dxa"/>
            <w:tcBorders>
              <w:bottom w:val="single" w:sz="4" w:space="0" w:color="auto"/>
            </w:tcBorders>
          </w:tcPr>
          <w:p w:rsidR="00767875" w:rsidRPr="00931642" w:rsidRDefault="00767875" w:rsidP="006504C4">
            <w:pPr>
              <w:keepNext/>
              <w:widowControl/>
              <w:ind w:left="-108"/>
              <w:rPr>
                <w:rFonts w:ascii="Arial Narrow" w:hAnsi="Arial Narrow"/>
                <w:b/>
                <w:sz w:val="20"/>
              </w:rPr>
            </w:pPr>
            <w:r w:rsidRPr="00931642">
              <w:rPr>
                <w:rFonts w:ascii="Arial Narrow" w:hAnsi="Arial Narrow"/>
                <w:b/>
                <w:sz w:val="20"/>
              </w:rPr>
              <w:t>Max.</w:t>
            </w:r>
          </w:p>
          <w:p w:rsidR="00767875" w:rsidRPr="00931642" w:rsidRDefault="00767875" w:rsidP="006504C4">
            <w:pPr>
              <w:keepNext/>
              <w:widowControl/>
              <w:ind w:left="-108"/>
              <w:rPr>
                <w:rFonts w:ascii="Arial Narrow" w:hAnsi="Arial Narrow"/>
                <w:b/>
                <w:sz w:val="20"/>
              </w:rPr>
            </w:pPr>
            <w:r w:rsidRPr="00931642">
              <w:rPr>
                <w:rFonts w:ascii="Arial Narrow" w:hAnsi="Arial Narrow"/>
                <w:b/>
                <w:sz w:val="20"/>
              </w:rPr>
              <w:t>Qty</w:t>
            </w:r>
          </w:p>
        </w:tc>
        <w:tc>
          <w:tcPr>
            <w:tcW w:w="851" w:type="dxa"/>
            <w:tcBorders>
              <w:bottom w:val="single" w:sz="4" w:space="0" w:color="auto"/>
            </w:tcBorders>
          </w:tcPr>
          <w:p w:rsidR="00767875" w:rsidRPr="00931642" w:rsidRDefault="00767875" w:rsidP="006504C4">
            <w:pPr>
              <w:keepNext/>
              <w:widowControl/>
              <w:ind w:left="-108"/>
              <w:rPr>
                <w:rFonts w:ascii="Arial Narrow" w:hAnsi="Arial Narrow"/>
                <w:b/>
                <w:sz w:val="20"/>
              </w:rPr>
            </w:pPr>
            <w:r w:rsidRPr="00931642">
              <w:rPr>
                <w:rFonts w:ascii="Arial Narrow" w:hAnsi="Arial Narrow"/>
                <w:b/>
                <w:sz w:val="20"/>
              </w:rPr>
              <w:t>№.of</w:t>
            </w:r>
          </w:p>
          <w:p w:rsidR="00767875" w:rsidRPr="00931642" w:rsidRDefault="00767875" w:rsidP="006504C4">
            <w:pPr>
              <w:keepNext/>
              <w:widowControl/>
              <w:ind w:left="-108"/>
              <w:rPr>
                <w:rFonts w:ascii="Arial Narrow" w:hAnsi="Arial Narrow"/>
                <w:b/>
                <w:sz w:val="20"/>
              </w:rPr>
            </w:pPr>
            <w:r w:rsidRPr="00931642">
              <w:rPr>
                <w:rFonts w:ascii="Arial Narrow" w:hAnsi="Arial Narrow"/>
                <w:b/>
                <w:sz w:val="20"/>
              </w:rPr>
              <w:t>Rpts</w:t>
            </w:r>
          </w:p>
        </w:tc>
        <w:tc>
          <w:tcPr>
            <w:tcW w:w="3685" w:type="dxa"/>
            <w:gridSpan w:val="2"/>
            <w:tcBorders>
              <w:bottom w:val="single" w:sz="4" w:space="0" w:color="auto"/>
            </w:tcBorders>
          </w:tcPr>
          <w:p w:rsidR="00767875" w:rsidRPr="00931642" w:rsidRDefault="00767875" w:rsidP="006504C4">
            <w:pPr>
              <w:keepNext/>
              <w:widowControl/>
              <w:rPr>
                <w:rFonts w:ascii="Arial Narrow" w:hAnsi="Arial Narrow"/>
                <w:b/>
                <w:sz w:val="20"/>
              </w:rPr>
            </w:pPr>
            <w:r w:rsidRPr="00931642">
              <w:rPr>
                <w:rFonts w:ascii="Arial Narrow" w:hAnsi="Arial Narrow"/>
                <w:b/>
                <w:sz w:val="20"/>
              </w:rPr>
              <w:t>Proprietary Name and Manufacturer</w:t>
            </w:r>
          </w:p>
        </w:tc>
      </w:tr>
      <w:tr w:rsidR="00767875" w:rsidRPr="00931642" w:rsidTr="00714A2D">
        <w:trPr>
          <w:cantSplit/>
          <w:trHeight w:val="750"/>
        </w:trPr>
        <w:tc>
          <w:tcPr>
            <w:tcW w:w="3119" w:type="dxa"/>
            <w:gridSpan w:val="2"/>
            <w:tcBorders>
              <w:top w:val="single" w:sz="4" w:space="0" w:color="auto"/>
            </w:tcBorders>
          </w:tcPr>
          <w:p w:rsidR="00767875" w:rsidRPr="00931642" w:rsidRDefault="00767875" w:rsidP="006504C4">
            <w:pPr>
              <w:keepNext/>
              <w:widowControl/>
              <w:ind w:left="-108"/>
              <w:rPr>
                <w:rFonts w:ascii="Arial Narrow" w:hAnsi="Arial Narrow"/>
                <w:sz w:val="20"/>
              </w:rPr>
            </w:pPr>
            <w:r w:rsidRPr="00931642">
              <w:rPr>
                <w:rFonts w:ascii="Arial Narrow" w:hAnsi="Arial Narrow"/>
                <w:sz w:val="20"/>
              </w:rPr>
              <w:t xml:space="preserve">PEGVISOMANT </w:t>
            </w:r>
          </w:p>
          <w:p w:rsidR="00767875" w:rsidRPr="00931642" w:rsidRDefault="00767875" w:rsidP="006504C4">
            <w:pPr>
              <w:keepNext/>
              <w:widowControl/>
              <w:ind w:left="-108"/>
              <w:rPr>
                <w:rFonts w:ascii="Arial Narrow" w:hAnsi="Arial Narrow"/>
                <w:sz w:val="20"/>
              </w:rPr>
            </w:pPr>
            <w:r w:rsidRPr="00931642">
              <w:rPr>
                <w:rFonts w:ascii="Arial Narrow" w:hAnsi="Arial Narrow"/>
                <w:sz w:val="20"/>
              </w:rPr>
              <w:t>10 mg, powder for injection</w:t>
            </w:r>
          </w:p>
          <w:p w:rsidR="00767875" w:rsidRPr="00931642" w:rsidRDefault="00767875" w:rsidP="006504C4">
            <w:pPr>
              <w:keepNext/>
              <w:widowControl/>
              <w:ind w:left="-108"/>
              <w:rPr>
                <w:rFonts w:ascii="Arial Narrow" w:hAnsi="Arial Narrow"/>
                <w:sz w:val="20"/>
              </w:rPr>
            </w:pPr>
          </w:p>
          <w:p w:rsidR="00767875" w:rsidRPr="00931642" w:rsidRDefault="00767875" w:rsidP="006504C4">
            <w:pPr>
              <w:keepNext/>
              <w:widowControl/>
              <w:ind w:left="-108"/>
              <w:rPr>
                <w:rFonts w:ascii="Arial Narrow" w:hAnsi="Arial Narrow"/>
                <w:sz w:val="20"/>
              </w:rPr>
            </w:pPr>
            <w:r w:rsidRPr="00931642">
              <w:rPr>
                <w:rFonts w:ascii="Arial Narrow" w:hAnsi="Arial Narrow"/>
                <w:sz w:val="20"/>
              </w:rPr>
              <w:t>15 mg, powder for injection</w:t>
            </w:r>
          </w:p>
          <w:p w:rsidR="00767875" w:rsidRPr="00931642" w:rsidRDefault="00767875" w:rsidP="006504C4">
            <w:pPr>
              <w:keepNext/>
              <w:widowControl/>
              <w:ind w:left="-108"/>
              <w:rPr>
                <w:rFonts w:ascii="Arial Narrow" w:hAnsi="Arial Narrow"/>
                <w:sz w:val="20"/>
              </w:rPr>
            </w:pPr>
          </w:p>
          <w:p w:rsidR="00767875" w:rsidRPr="00931642" w:rsidRDefault="00767875" w:rsidP="006504C4">
            <w:pPr>
              <w:keepNext/>
              <w:widowControl/>
              <w:ind w:left="-108"/>
              <w:rPr>
                <w:rFonts w:ascii="Arial Narrow" w:hAnsi="Arial Narrow"/>
                <w:sz w:val="20"/>
              </w:rPr>
            </w:pPr>
            <w:r w:rsidRPr="00931642">
              <w:rPr>
                <w:rFonts w:ascii="Arial Narrow" w:hAnsi="Arial Narrow"/>
                <w:sz w:val="20"/>
              </w:rPr>
              <w:t>20 mg, powder for injection</w:t>
            </w:r>
          </w:p>
        </w:tc>
        <w:tc>
          <w:tcPr>
            <w:tcW w:w="850" w:type="dxa"/>
            <w:tcBorders>
              <w:top w:val="single" w:sz="4" w:space="0" w:color="auto"/>
            </w:tcBorders>
          </w:tcPr>
          <w:p w:rsidR="00767875" w:rsidRPr="00931642" w:rsidRDefault="00767875" w:rsidP="006504C4">
            <w:pPr>
              <w:keepNext/>
              <w:widowControl/>
              <w:rPr>
                <w:rFonts w:ascii="Arial Narrow" w:hAnsi="Arial Narrow"/>
                <w:sz w:val="20"/>
              </w:rPr>
            </w:pPr>
          </w:p>
          <w:p w:rsidR="00767875" w:rsidRPr="00931642" w:rsidRDefault="00767875" w:rsidP="006504C4">
            <w:pPr>
              <w:keepNext/>
              <w:widowControl/>
              <w:rPr>
                <w:rFonts w:ascii="Arial Narrow" w:hAnsi="Arial Narrow"/>
                <w:sz w:val="20"/>
              </w:rPr>
            </w:pPr>
            <w:r w:rsidRPr="00931642">
              <w:rPr>
                <w:rFonts w:ascii="Arial Narrow" w:hAnsi="Arial Narrow"/>
                <w:sz w:val="20"/>
              </w:rPr>
              <w:t>30</w:t>
            </w:r>
          </w:p>
          <w:p w:rsidR="00767875" w:rsidRPr="00931642" w:rsidRDefault="00767875" w:rsidP="006504C4">
            <w:pPr>
              <w:keepNext/>
              <w:widowControl/>
              <w:rPr>
                <w:rFonts w:ascii="Arial Narrow" w:hAnsi="Arial Narrow"/>
                <w:sz w:val="20"/>
              </w:rPr>
            </w:pPr>
          </w:p>
          <w:p w:rsidR="00767875" w:rsidRPr="00931642" w:rsidRDefault="00767875" w:rsidP="006504C4">
            <w:pPr>
              <w:keepNext/>
              <w:widowControl/>
              <w:rPr>
                <w:rFonts w:ascii="Arial Narrow" w:hAnsi="Arial Narrow"/>
                <w:sz w:val="20"/>
              </w:rPr>
            </w:pPr>
            <w:r w:rsidRPr="00931642">
              <w:rPr>
                <w:rFonts w:ascii="Arial Narrow" w:hAnsi="Arial Narrow"/>
                <w:sz w:val="20"/>
              </w:rPr>
              <w:t>30</w:t>
            </w:r>
          </w:p>
          <w:p w:rsidR="00767875" w:rsidRPr="00931642" w:rsidRDefault="00767875" w:rsidP="006504C4">
            <w:pPr>
              <w:keepNext/>
              <w:widowControl/>
              <w:rPr>
                <w:rFonts w:ascii="Arial Narrow" w:hAnsi="Arial Narrow"/>
                <w:sz w:val="20"/>
              </w:rPr>
            </w:pPr>
          </w:p>
          <w:p w:rsidR="00767875" w:rsidRPr="00931642" w:rsidRDefault="00767875" w:rsidP="006504C4">
            <w:pPr>
              <w:keepNext/>
              <w:widowControl/>
              <w:rPr>
                <w:rFonts w:ascii="Arial Narrow" w:hAnsi="Arial Narrow"/>
                <w:sz w:val="20"/>
              </w:rPr>
            </w:pPr>
            <w:r w:rsidRPr="00931642">
              <w:rPr>
                <w:rFonts w:ascii="Arial Narrow" w:hAnsi="Arial Narrow"/>
                <w:sz w:val="20"/>
              </w:rPr>
              <w:t>30</w:t>
            </w:r>
          </w:p>
        </w:tc>
        <w:tc>
          <w:tcPr>
            <w:tcW w:w="851" w:type="dxa"/>
            <w:tcBorders>
              <w:top w:val="single" w:sz="4" w:space="0" w:color="auto"/>
            </w:tcBorders>
          </w:tcPr>
          <w:p w:rsidR="00767875" w:rsidRPr="00931642" w:rsidRDefault="00767875" w:rsidP="006504C4">
            <w:pPr>
              <w:keepNext/>
              <w:widowControl/>
              <w:ind w:left="-108"/>
              <w:rPr>
                <w:rFonts w:ascii="Arial Narrow" w:hAnsi="Arial Narrow"/>
                <w:sz w:val="20"/>
              </w:rPr>
            </w:pPr>
          </w:p>
          <w:p w:rsidR="00767875" w:rsidRPr="00931642" w:rsidRDefault="00767875" w:rsidP="006504C4">
            <w:pPr>
              <w:keepNext/>
              <w:widowControl/>
              <w:ind w:left="-108"/>
              <w:rPr>
                <w:rFonts w:ascii="Arial Narrow" w:hAnsi="Arial Narrow"/>
                <w:sz w:val="20"/>
              </w:rPr>
            </w:pPr>
            <w:r w:rsidRPr="00931642">
              <w:rPr>
                <w:rFonts w:ascii="Arial Narrow" w:hAnsi="Arial Narrow"/>
                <w:sz w:val="20"/>
              </w:rPr>
              <w:t>5</w:t>
            </w:r>
          </w:p>
          <w:p w:rsidR="00767875" w:rsidRPr="00931642" w:rsidRDefault="00767875" w:rsidP="006504C4">
            <w:pPr>
              <w:keepNext/>
              <w:widowControl/>
              <w:ind w:left="-108"/>
              <w:rPr>
                <w:rFonts w:ascii="Arial Narrow" w:hAnsi="Arial Narrow"/>
                <w:sz w:val="20"/>
              </w:rPr>
            </w:pPr>
          </w:p>
          <w:p w:rsidR="00767875" w:rsidRPr="00931642" w:rsidRDefault="00767875" w:rsidP="006504C4">
            <w:pPr>
              <w:keepNext/>
              <w:widowControl/>
              <w:ind w:left="-108"/>
              <w:rPr>
                <w:rFonts w:ascii="Arial Narrow" w:hAnsi="Arial Narrow"/>
                <w:sz w:val="20"/>
              </w:rPr>
            </w:pPr>
            <w:r w:rsidRPr="00931642">
              <w:rPr>
                <w:rFonts w:ascii="Arial Narrow" w:hAnsi="Arial Narrow"/>
                <w:sz w:val="20"/>
              </w:rPr>
              <w:t>5</w:t>
            </w:r>
          </w:p>
          <w:p w:rsidR="00767875" w:rsidRPr="00931642" w:rsidRDefault="00767875" w:rsidP="006504C4">
            <w:pPr>
              <w:keepNext/>
              <w:widowControl/>
              <w:ind w:left="-108"/>
              <w:rPr>
                <w:rFonts w:ascii="Arial Narrow" w:hAnsi="Arial Narrow"/>
                <w:sz w:val="20"/>
              </w:rPr>
            </w:pPr>
          </w:p>
          <w:p w:rsidR="00767875" w:rsidRPr="00931642" w:rsidRDefault="00767875" w:rsidP="006504C4">
            <w:pPr>
              <w:keepNext/>
              <w:widowControl/>
              <w:ind w:left="-108"/>
              <w:rPr>
                <w:rFonts w:ascii="Arial Narrow" w:hAnsi="Arial Narrow"/>
                <w:sz w:val="20"/>
              </w:rPr>
            </w:pPr>
            <w:r w:rsidRPr="00931642">
              <w:rPr>
                <w:rFonts w:ascii="Arial Narrow" w:hAnsi="Arial Narrow"/>
                <w:sz w:val="20"/>
              </w:rPr>
              <w:t>5</w:t>
            </w:r>
          </w:p>
        </w:tc>
        <w:tc>
          <w:tcPr>
            <w:tcW w:w="1086" w:type="dxa"/>
            <w:tcBorders>
              <w:top w:val="single" w:sz="4" w:space="0" w:color="auto"/>
            </w:tcBorders>
          </w:tcPr>
          <w:p w:rsidR="00767875" w:rsidRPr="00931642" w:rsidRDefault="00767875" w:rsidP="006504C4">
            <w:pPr>
              <w:keepNext/>
              <w:widowControl/>
              <w:rPr>
                <w:rFonts w:ascii="Arial Narrow" w:hAnsi="Arial Narrow"/>
                <w:sz w:val="20"/>
              </w:rPr>
            </w:pPr>
            <w:r w:rsidRPr="00931642">
              <w:rPr>
                <w:rFonts w:ascii="Arial Narrow" w:hAnsi="Arial Narrow"/>
                <w:sz w:val="20"/>
              </w:rPr>
              <w:t>Somavert®</w:t>
            </w:r>
          </w:p>
        </w:tc>
        <w:tc>
          <w:tcPr>
            <w:tcW w:w="2977" w:type="dxa"/>
            <w:gridSpan w:val="2"/>
            <w:tcBorders>
              <w:top w:val="single" w:sz="4" w:space="0" w:color="auto"/>
            </w:tcBorders>
          </w:tcPr>
          <w:p w:rsidR="00767875" w:rsidRPr="00931642" w:rsidRDefault="00767875" w:rsidP="006504C4">
            <w:pPr>
              <w:keepNext/>
              <w:widowControl/>
              <w:rPr>
                <w:rFonts w:ascii="Arial Narrow" w:hAnsi="Arial Narrow"/>
                <w:sz w:val="20"/>
              </w:rPr>
            </w:pPr>
            <w:r w:rsidRPr="00931642">
              <w:rPr>
                <w:rFonts w:ascii="Arial Narrow" w:hAnsi="Arial Narrow"/>
                <w:sz w:val="20"/>
              </w:rPr>
              <w:t>Pfizer</w:t>
            </w:r>
          </w:p>
        </w:tc>
      </w:tr>
      <w:tr w:rsidR="00767875" w:rsidRPr="00931642" w:rsidTr="00714A2D">
        <w:trPr>
          <w:gridAfter w:val="1"/>
          <w:wAfter w:w="378" w:type="dxa"/>
          <w:cantSplit/>
          <w:trHeight w:val="360"/>
        </w:trPr>
        <w:tc>
          <w:tcPr>
            <w:tcW w:w="1701" w:type="dxa"/>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b/>
                <w:sz w:val="20"/>
              </w:rPr>
            </w:pPr>
            <w:r w:rsidRPr="00931642">
              <w:rPr>
                <w:rFonts w:ascii="Arial Narrow" w:hAnsi="Arial Narrow"/>
                <w:b/>
                <w:sz w:val="20"/>
              </w:rPr>
              <w:t xml:space="preserve">Category / </w:t>
            </w:r>
          </w:p>
          <w:p w:rsidR="00767875" w:rsidRPr="00931642" w:rsidRDefault="00767875" w:rsidP="006504C4">
            <w:pPr>
              <w:widowControl/>
              <w:rPr>
                <w:rFonts w:ascii="Arial Narrow" w:hAnsi="Arial Narrow"/>
                <w:b/>
                <w:sz w:val="20"/>
              </w:rPr>
            </w:pPr>
            <w:r w:rsidRPr="00931642">
              <w:rPr>
                <w:rFonts w:ascii="Arial Narrow" w:hAnsi="Arial Narrow"/>
                <w:b/>
                <w:sz w:val="20"/>
              </w:rPr>
              <w:t>Program</w:t>
            </w:r>
          </w:p>
        </w:tc>
        <w:tc>
          <w:tcPr>
            <w:tcW w:w="6804" w:type="dxa"/>
            <w:gridSpan w:val="5"/>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sz w:val="20"/>
              </w:rPr>
            </w:pPr>
            <w:r w:rsidRPr="00931642">
              <w:rPr>
                <w:rFonts w:ascii="Arial Narrow" w:hAnsi="Arial Narrow"/>
                <w:sz w:val="20"/>
              </w:rPr>
              <w:t>Section 100 – Highly Specialised Drugs Program</w:t>
            </w:r>
          </w:p>
        </w:tc>
      </w:tr>
      <w:tr w:rsidR="00767875" w:rsidRPr="00931642" w:rsidTr="00714A2D">
        <w:trPr>
          <w:gridAfter w:val="1"/>
          <w:wAfter w:w="378" w:type="dxa"/>
          <w:cantSplit/>
          <w:trHeight w:val="360"/>
        </w:trPr>
        <w:tc>
          <w:tcPr>
            <w:tcW w:w="1701" w:type="dxa"/>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b/>
                <w:sz w:val="20"/>
              </w:rPr>
            </w:pPr>
            <w:r w:rsidRPr="00931642">
              <w:rPr>
                <w:rFonts w:ascii="Arial Narrow" w:hAnsi="Arial Narrow"/>
                <w:b/>
                <w:sz w:val="20"/>
              </w:rPr>
              <w:t>Prescriber type:</w:t>
            </w:r>
          </w:p>
          <w:p w:rsidR="00767875" w:rsidRPr="00931642" w:rsidRDefault="00767875" w:rsidP="006504C4">
            <w:pPr>
              <w:widowControl/>
              <w:rPr>
                <w:rFonts w:ascii="Arial Narrow" w:hAnsi="Arial Narrow"/>
                <w:b/>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sz w:val="20"/>
              </w:rPr>
            </w:pPr>
            <w:r w:rsidRPr="00931642">
              <w:rPr>
                <w:rFonts w:ascii="Arial Narrow" w:hAnsi="Arial Narrow"/>
                <w:sz w:val="20"/>
              </w:rPr>
              <w:fldChar w:fldCharType="begin">
                <w:ffData>
                  <w:name w:val=""/>
                  <w:enabled/>
                  <w:calcOnExit w:val="0"/>
                  <w:checkBox>
                    <w:sizeAuto/>
                    <w:default w:val="1"/>
                  </w:checkBox>
                </w:ffData>
              </w:fldChar>
            </w:r>
            <w:r w:rsidRPr="00931642">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931642">
              <w:rPr>
                <w:rFonts w:ascii="Arial Narrow" w:hAnsi="Arial Narrow"/>
                <w:sz w:val="20"/>
              </w:rPr>
              <w:fldChar w:fldCharType="end"/>
            </w:r>
            <w:r w:rsidRPr="00931642">
              <w:rPr>
                <w:rFonts w:ascii="Arial Narrow" w:hAnsi="Arial Narrow"/>
                <w:sz w:val="20"/>
              </w:rPr>
              <w:t>Medical Practitioners</w:t>
            </w:r>
          </w:p>
        </w:tc>
      </w:tr>
      <w:tr w:rsidR="00767875" w:rsidRPr="00931642" w:rsidTr="00714A2D">
        <w:trPr>
          <w:gridAfter w:val="1"/>
          <w:wAfter w:w="378" w:type="dxa"/>
          <w:cantSplit/>
          <w:trHeight w:val="360"/>
        </w:trPr>
        <w:tc>
          <w:tcPr>
            <w:tcW w:w="1701" w:type="dxa"/>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b/>
                <w:sz w:val="20"/>
              </w:rPr>
            </w:pPr>
            <w:r w:rsidRPr="00931642">
              <w:rPr>
                <w:rFonts w:ascii="Arial Narrow" w:hAnsi="Arial Narrow"/>
                <w:b/>
                <w:sz w:val="20"/>
              </w:rPr>
              <w:t>Condition:</w:t>
            </w:r>
          </w:p>
        </w:tc>
        <w:tc>
          <w:tcPr>
            <w:tcW w:w="6804" w:type="dxa"/>
            <w:gridSpan w:val="5"/>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sz w:val="20"/>
              </w:rPr>
            </w:pPr>
            <w:r w:rsidRPr="00931642">
              <w:rPr>
                <w:rFonts w:ascii="Arial Narrow" w:hAnsi="Arial Narrow"/>
                <w:sz w:val="20"/>
              </w:rPr>
              <w:t>Acromegaly</w:t>
            </w:r>
          </w:p>
        </w:tc>
      </w:tr>
      <w:tr w:rsidR="00767875" w:rsidRPr="00931642" w:rsidTr="00714A2D">
        <w:trPr>
          <w:gridAfter w:val="1"/>
          <w:wAfter w:w="378" w:type="dxa"/>
          <w:cantSplit/>
          <w:trHeight w:val="360"/>
        </w:trPr>
        <w:tc>
          <w:tcPr>
            <w:tcW w:w="1701" w:type="dxa"/>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b/>
                <w:sz w:val="20"/>
              </w:rPr>
            </w:pPr>
            <w:r w:rsidRPr="00931642">
              <w:rPr>
                <w:rFonts w:ascii="Arial Narrow" w:hAnsi="Arial Narrow"/>
                <w:b/>
                <w:sz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sz w:val="20"/>
              </w:rPr>
            </w:pPr>
            <w:r w:rsidRPr="00931642">
              <w:rPr>
                <w:rFonts w:ascii="Arial Narrow" w:hAnsi="Arial Narrow"/>
                <w:sz w:val="20"/>
              </w:rPr>
              <w:t>Acromegaly</w:t>
            </w:r>
          </w:p>
        </w:tc>
      </w:tr>
      <w:tr w:rsidR="00767875" w:rsidRPr="00931642" w:rsidTr="00714A2D">
        <w:trPr>
          <w:gridAfter w:val="1"/>
          <w:wAfter w:w="378" w:type="dxa"/>
          <w:cantSplit/>
          <w:trHeight w:val="360"/>
        </w:trPr>
        <w:tc>
          <w:tcPr>
            <w:tcW w:w="1701" w:type="dxa"/>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b/>
                <w:sz w:val="20"/>
              </w:rPr>
            </w:pPr>
            <w:r w:rsidRPr="00931642">
              <w:rPr>
                <w:rFonts w:ascii="Arial Narrow" w:hAnsi="Arial Narrow"/>
                <w:b/>
                <w:sz w:val="20"/>
              </w:rPr>
              <w:t>Treatment phase:</w:t>
            </w:r>
          </w:p>
        </w:tc>
        <w:tc>
          <w:tcPr>
            <w:tcW w:w="6804" w:type="dxa"/>
            <w:gridSpan w:val="5"/>
            <w:tcBorders>
              <w:top w:val="single" w:sz="4" w:space="0" w:color="auto"/>
              <w:left w:val="single" w:sz="4" w:space="0" w:color="auto"/>
              <w:bottom w:val="single" w:sz="4" w:space="0" w:color="auto"/>
              <w:right w:val="single" w:sz="4" w:space="0" w:color="auto"/>
            </w:tcBorders>
          </w:tcPr>
          <w:p w:rsidR="00767875" w:rsidRPr="00E304A4" w:rsidRDefault="00767875" w:rsidP="006504C4">
            <w:pPr>
              <w:widowControl/>
              <w:rPr>
                <w:rFonts w:ascii="Arial Narrow" w:hAnsi="Arial Narrow"/>
                <w:sz w:val="20"/>
              </w:rPr>
            </w:pPr>
            <w:r w:rsidRPr="00E304A4">
              <w:rPr>
                <w:rFonts w:ascii="Arial Narrow" w:hAnsi="Arial Narrow"/>
                <w:sz w:val="20"/>
              </w:rPr>
              <w:t>Grandfathering</w:t>
            </w:r>
          </w:p>
        </w:tc>
      </w:tr>
      <w:tr w:rsidR="00767875" w:rsidRPr="00931642" w:rsidTr="00714A2D">
        <w:trPr>
          <w:gridAfter w:val="1"/>
          <w:wAfter w:w="378" w:type="dxa"/>
          <w:cantSplit/>
          <w:trHeight w:val="360"/>
        </w:trPr>
        <w:tc>
          <w:tcPr>
            <w:tcW w:w="1701" w:type="dxa"/>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i/>
                <w:sz w:val="20"/>
              </w:rPr>
            </w:pPr>
            <w:r w:rsidRPr="00931642">
              <w:rPr>
                <w:rFonts w:ascii="Arial Narrow" w:hAnsi="Arial Narrow"/>
                <w:b/>
                <w:sz w:val="20"/>
              </w:rPr>
              <w:t>Restriction Level / Method:</w:t>
            </w:r>
          </w:p>
        </w:tc>
        <w:tc>
          <w:tcPr>
            <w:tcW w:w="6804" w:type="dxa"/>
            <w:gridSpan w:val="5"/>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sz w:val="20"/>
              </w:rPr>
            </w:pPr>
            <w:r w:rsidRPr="00931642">
              <w:rPr>
                <w:rFonts w:ascii="Arial Narrow" w:hAnsi="Arial Narrow"/>
                <w:sz w:val="20"/>
              </w:rPr>
              <w:fldChar w:fldCharType="begin">
                <w:ffData>
                  <w:name w:val=""/>
                  <w:enabled/>
                  <w:calcOnExit w:val="0"/>
                  <w:checkBox>
                    <w:sizeAuto/>
                    <w:default w:val="1"/>
                  </w:checkBox>
                </w:ffData>
              </w:fldChar>
            </w:r>
            <w:r w:rsidRPr="00931642">
              <w:rPr>
                <w:rFonts w:ascii="Arial Narrow" w:hAnsi="Arial Narrow"/>
                <w:sz w:val="20"/>
              </w:rPr>
              <w:instrText xml:space="preserve"> FORMCHECKBOX </w:instrText>
            </w:r>
            <w:r w:rsidR="00451B88">
              <w:rPr>
                <w:rFonts w:ascii="Arial Narrow" w:hAnsi="Arial Narrow"/>
                <w:sz w:val="20"/>
              </w:rPr>
            </w:r>
            <w:r w:rsidR="00451B88">
              <w:rPr>
                <w:rFonts w:ascii="Arial Narrow" w:hAnsi="Arial Narrow"/>
                <w:sz w:val="20"/>
              </w:rPr>
              <w:fldChar w:fldCharType="separate"/>
            </w:r>
            <w:r w:rsidRPr="00931642">
              <w:rPr>
                <w:rFonts w:ascii="Arial Narrow" w:hAnsi="Arial Narrow"/>
                <w:sz w:val="20"/>
              </w:rPr>
              <w:fldChar w:fldCharType="end"/>
            </w:r>
            <w:r w:rsidRPr="00931642">
              <w:rPr>
                <w:rFonts w:ascii="Arial Narrow" w:hAnsi="Arial Narrow"/>
                <w:sz w:val="20"/>
              </w:rPr>
              <w:t>Authority Required - In Writing</w:t>
            </w:r>
          </w:p>
        </w:tc>
      </w:tr>
      <w:tr w:rsidR="00767875" w:rsidRPr="00931642" w:rsidTr="00714A2D">
        <w:trPr>
          <w:gridAfter w:val="1"/>
          <w:wAfter w:w="378" w:type="dxa"/>
          <w:cantSplit/>
          <w:trHeight w:val="360"/>
        </w:trPr>
        <w:tc>
          <w:tcPr>
            <w:tcW w:w="1701" w:type="dxa"/>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b/>
                <w:sz w:val="20"/>
              </w:rPr>
            </w:pPr>
            <w:r w:rsidRPr="00931642">
              <w:rPr>
                <w:rFonts w:ascii="Arial Narrow" w:hAnsi="Arial Narrow"/>
                <w:b/>
                <w:sz w:val="20"/>
              </w:rPr>
              <w:t>Clinical criteria:</w:t>
            </w:r>
          </w:p>
          <w:p w:rsidR="00767875" w:rsidRPr="00931642" w:rsidRDefault="00767875" w:rsidP="006504C4">
            <w:pPr>
              <w:widowControl/>
              <w:rPr>
                <w:rFonts w:ascii="Arial Narrow" w:hAnsi="Arial Narrow"/>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sz w:val="20"/>
              </w:rPr>
            </w:pPr>
            <w:r w:rsidRPr="00931642">
              <w:rPr>
                <w:rFonts w:ascii="Arial Narrow" w:hAnsi="Arial Narrow"/>
                <w:sz w:val="20"/>
              </w:rPr>
              <w:t>Patient must have received non-PBS treatment with this drug for this condition prior to [listing date]</w:t>
            </w:r>
          </w:p>
          <w:p w:rsidR="00767875" w:rsidRPr="00931642" w:rsidRDefault="00767875" w:rsidP="006504C4">
            <w:pPr>
              <w:widowControl/>
              <w:snapToGrid w:val="0"/>
              <w:rPr>
                <w:rFonts w:ascii="Arial Narrow" w:hAnsi="Arial Narrow"/>
                <w:sz w:val="20"/>
              </w:rPr>
            </w:pPr>
            <w:r w:rsidRPr="00931642">
              <w:rPr>
                <w:rFonts w:ascii="Arial Narrow" w:hAnsi="Arial Narrow"/>
                <w:sz w:val="20"/>
              </w:rPr>
              <w:t>AND</w:t>
            </w:r>
          </w:p>
          <w:p w:rsidR="00767875" w:rsidRPr="00931642" w:rsidRDefault="00B47913" w:rsidP="006504C4">
            <w:pPr>
              <w:widowControl/>
              <w:rPr>
                <w:rFonts w:ascii="Arial Narrow" w:hAnsi="Arial Narrow"/>
                <w:sz w:val="20"/>
              </w:rPr>
            </w:pPr>
            <w:r w:rsidRPr="00931642">
              <w:rPr>
                <w:rFonts w:ascii="Arial Narrow" w:hAnsi="Arial Narrow"/>
                <w:sz w:val="20"/>
              </w:rPr>
              <w:t>Treatment</w:t>
            </w:r>
            <w:r w:rsidR="001451F8">
              <w:rPr>
                <w:rFonts w:ascii="Arial Narrow" w:hAnsi="Arial Narrow"/>
                <w:sz w:val="20"/>
              </w:rPr>
              <w:t xml:space="preserve"> must</w:t>
            </w:r>
            <w:r w:rsidRPr="00931642">
              <w:rPr>
                <w:rFonts w:ascii="Arial Narrow" w:hAnsi="Arial Narrow"/>
                <w:sz w:val="20"/>
              </w:rPr>
              <w:t xml:space="preserve"> </w:t>
            </w:r>
            <w:r w:rsidR="00E304A4" w:rsidRPr="00931642">
              <w:rPr>
                <w:rFonts w:ascii="Arial Narrow" w:hAnsi="Arial Narrow"/>
                <w:sz w:val="20"/>
              </w:rPr>
              <w:t xml:space="preserve">not be </w:t>
            </w:r>
            <w:r w:rsidR="00E304A4">
              <w:rPr>
                <w:rFonts w:ascii="Arial Narrow" w:hAnsi="Arial Narrow"/>
                <w:sz w:val="20"/>
              </w:rPr>
              <w:t xml:space="preserve">given concomitantly with a </w:t>
            </w:r>
            <w:r w:rsidR="00E304A4" w:rsidRPr="00931642">
              <w:rPr>
                <w:rFonts w:ascii="Arial Narrow" w:hAnsi="Arial Narrow"/>
                <w:sz w:val="20"/>
              </w:rPr>
              <w:t>PBS-subsidised somatostatin analogue</w:t>
            </w:r>
            <w:r w:rsidR="00E304A4">
              <w:rPr>
                <w:rFonts w:ascii="Arial Narrow" w:hAnsi="Arial Narrow"/>
                <w:sz w:val="20"/>
              </w:rPr>
              <w:t>.</w:t>
            </w:r>
          </w:p>
          <w:p w:rsidR="00AC4C65" w:rsidRPr="00931642" w:rsidRDefault="00AC4C65" w:rsidP="00AC4C65">
            <w:pPr>
              <w:widowControl/>
              <w:rPr>
                <w:rFonts w:ascii="Arial Narrow" w:hAnsi="Arial Narrow"/>
                <w:sz w:val="20"/>
              </w:rPr>
            </w:pPr>
            <w:r w:rsidRPr="00931642">
              <w:rPr>
                <w:rFonts w:ascii="Arial Narrow" w:hAnsi="Arial Narrow"/>
                <w:sz w:val="20"/>
              </w:rPr>
              <w:t>AND</w:t>
            </w:r>
          </w:p>
          <w:p w:rsidR="00AC4C65" w:rsidRPr="00931642" w:rsidRDefault="00AC4C65" w:rsidP="006504C4">
            <w:pPr>
              <w:widowControl/>
              <w:rPr>
                <w:rFonts w:ascii="Arial Narrow" w:hAnsi="Arial Narrow"/>
                <w:sz w:val="20"/>
              </w:rPr>
            </w:pPr>
            <w:r w:rsidRPr="00931642">
              <w:rPr>
                <w:rFonts w:ascii="Arial Narrow" w:hAnsi="Arial Narrow"/>
                <w:sz w:val="20"/>
              </w:rPr>
              <w:t>Treatment must cease if IGF-1 is not lower after 3 months of pegvisomant treatment at the maximum tolerated dose.</w:t>
            </w:r>
          </w:p>
        </w:tc>
      </w:tr>
      <w:tr w:rsidR="00767875" w:rsidRPr="00931642" w:rsidTr="004E65B5">
        <w:trPr>
          <w:gridAfter w:val="1"/>
          <w:wAfter w:w="378" w:type="dxa"/>
          <w:trHeight w:val="360"/>
        </w:trPr>
        <w:tc>
          <w:tcPr>
            <w:tcW w:w="1701" w:type="dxa"/>
            <w:tcBorders>
              <w:top w:val="single" w:sz="4" w:space="0" w:color="auto"/>
              <w:left w:val="single" w:sz="4" w:space="0" w:color="auto"/>
              <w:bottom w:val="single" w:sz="4" w:space="0" w:color="auto"/>
              <w:right w:val="single" w:sz="4" w:space="0" w:color="auto"/>
            </w:tcBorders>
          </w:tcPr>
          <w:p w:rsidR="00767875" w:rsidRPr="00931642" w:rsidRDefault="00767875" w:rsidP="006504C4">
            <w:pPr>
              <w:widowControl/>
              <w:rPr>
                <w:rFonts w:ascii="Arial Narrow" w:hAnsi="Arial Narrow"/>
                <w:b/>
                <w:sz w:val="20"/>
              </w:rPr>
            </w:pPr>
            <w:r w:rsidRPr="00931642">
              <w:rPr>
                <w:rFonts w:ascii="Arial Narrow" w:hAnsi="Arial Narrow"/>
                <w:b/>
                <w:sz w:val="20"/>
              </w:rPr>
              <w:t>Prescriber Instructions</w:t>
            </w:r>
          </w:p>
          <w:p w:rsidR="00767875" w:rsidRPr="00931642" w:rsidRDefault="00767875" w:rsidP="006504C4">
            <w:pPr>
              <w:widowControl/>
              <w:rPr>
                <w:rFonts w:ascii="Arial Narrow" w:hAnsi="Arial Narrow"/>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E304A4" w:rsidRDefault="00E304A4" w:rsidP="00E304A4">
            <w:pPr>
              <w:widowControl/>
              <w:snapToGrid w:val="0"/>
              <w:rPr>
                <w:rFonts w:ascii="Arial Narrow" w:hAnsi="Arial Narrow"/>
                <w:sz w:val="20"/>
              </w:rPr>
            </w:pPr>
            <w:r>
              <w:rPr>
                <w:rFonts w:ascii="Arial Narrow" w:hAnsi="Arial Narrow"/>
                <w:sz w:val="20"/>
              </w:rPr>
              <w:t>S</w:t>
            </w:r>
            <w:r w:rsidRPr="00931642">
              <w:rPr>
                <w:rFonts w:ascii="Arial Narrow" w:hAnsi="Arial Narrow"/>
                <w:sz w:val="20"/>
              </w:rPr>
              <w:t>omatostatin analogue</w:t>
            </w:r>
            <w:r>
              <w:rPr>
                <w:rFonts w:ascii="Arial Narrow" w:hAnsi="Arial Narrow"/>
                <w:sz w:val="20"/>
              </w:rPr>
              <w:t>s inclu</w:t>
            </w:r>
            <w:r w:rsidRPr="00754EC9">
              <w:rPr>
                <w:rFonts w:ascii="Arial Narrow" w:hAnsi="Arial Narrow"/>
                <w:sz w:val="20"/>
              </w:rPr>
              <w:t>de octreotide, lanreotide and pasireotide.</w:t>
            </w:r>
          </w:p>
          <w:p w:rsidR="00B47913" w:rsidRPr="00931642" w:rsidRDefault="00B47913" w:rsidP="00B47913">
            <w:pPr>
              <w:widowControl/>
              <w:snapToGrid w:val="0"/>
              <w:rPr>
                <w:rFonts w:ascii="Arial Narrow" w:hAnsi="Arial Narrow"/>
                <w:sz w:val="20"/>
              </w:rPr>
            </w:pPr>
          </w:p>
          <w:p w:rsidR="00B47913" w:rsidRPr="00931642" w:rsidRDefault="00B47913" w:rsidP="00B47913">
            <w:pPr>
              <w:widowControl/>
              <w:rPr>
                <w:rFonts w:ascii="Arial Narrow" w:hAnsi="Arial Narrow"/>
                <w:sz w:val="20"/>
              </w:rPr>
            </w:pPr>
            <w:r w:rsidRPr="00931642">
              <w:rPr>
                <w:rFonts w:ascii="Arial Narrow" w:hAnsi="Arial Narrow"/>
                <w:sz w:val="20"/>
              </w:rPr>
              <w:t xml:space="preserve">In a patient treated with radiotherapy, pegvisomant should be withdrawn every 2 years in the 10 years after completion of radiotherapy for assessment of remission. Pegvisomant should be withdrawn at least 8 weeks prior to the assessment of remission. </w:t>
            </w:r>
          </w:p>
          <w:p w:rsidR="00B47913" w:rsidRPr="00931642" w:rsidRDefault="00B47913" w:rsidP="00B47913">
            <w:pPr>
              <w:widowControl/>
              <w:rPr>
                <w:rFonts w:ascii="Arial Narrow" w:hAnsi="Arial Narrow"/>
                <w:sz w:val="20"/>
              </w:rPr>
            </w:pPr>
          </w:p>
          <w:p w:rsidR="00B47913" w:rsidRPr="00931642" w:rsidRDefault="00B47913" w:rsidP="00B47913">
            <w:pPr>
              <w:widowControl/>
              <w:rPr>
                <w:rFonts w:ascii="Arial Narrow" w:hAnsi="Arial Narrow"/>
                <w:sz w:val="20"/>
              </w:rPr>
            </w:pPr>
            <w:r w:rsidRPr="00931642">
              <w:rPr>
                <w:rFonts w:ascii="Arial Narrow" w:hAnsi="Arial Narrow"/>
                <w:sz w:val="20"/>
              </w:rPr>
              <w:t xml:space="preserve">In a patient who has been previously treated with radiotherapy for this condition, the date of completion of radiotherapy must be provided; and a copy of IGF-1 level taken at the most recent two yearly </w:t>
            </w:r>
            <w:proofErr w:type="gramStart"/>
            <w:r w:rsidRPr="00931642">
              <w:rPr>
                <w:rFonts w:ascii="Arial Narrow" w:hAnsi="Arial Narrow"/>
                <w:sz w:val="20"/>
              </w:rPr>
              <w:t>assessment</w:t>
            </w:r>
            <w:proofErr w:type="gramEnd"/>
            <w:r w:rsidRPr="00931642">
              <w:rPr>
                <w:rFonts w:ascii="Arial Narrow" w:hAnsi="Arial Narrow"/>
                <w:sz w:val="20"/>
              </w:rPr>
              <w:t xml:space="preserve"> in the 10 years after completion of radiotherapy must be provided at the time of approval.</w:t>
            </w:r>
          </w:p>
          <w:p w:rsidR="00B47913" w:rsidRPr="00931642" w:rsidRDefault="00B47913" w:rsidP="00B47913">
            <w:pPr>
              <w:widowControl/>
              <w:rPr>
                <w:rFonts w:ascii="Arial Narrow" w:hAnsi="Arial Narrow"/>
                <w:sz w:val="20"/>
              </w:rPr>
            </w:pPr>
          </w:p>
          <w:p w:rsidR="00B47913" w:rsidRPr="00931642" w:rsidRDefault="00B47913" w:rsidP="00B47913">
            <w:pPr>
              <w:widowControl/>
              <w:rPr>
                <w:rFonts w:ascii="Arial Narrow" w:hAnsi="Arial Narrow"/>
                <w:sz w:val="20"/>
              </w:rPr>
            </w:pPr>
            <w:r w:rsidRPr="00931642">
              <w:rPr>
                <w:rFonts w:ascii="Arial Narrow" w:hAnsi="Arial Narrow"/>
                <w:sz w:val="20"/>
              </w:rPr>
              <w:t>Biochemical evidence of remission is defined as</w:t>
            </w:r>
            <w:r w:rsidR="00E304A4">
              <w:rPr>
                <w:rFonts w:ascii="Arial Narrow" w:hAnsi="Arial Narrow"/>
                <w:sz w:val="20"/>
              </w:rPr>
              <w:t xml:space="preserve"> </w:t>
            </w:r>
            <w:r w:rsidRPr="00931642">
              <w:rPr>
                <w:rFonts w:ascii="Arial Narrow" w:hAnsi="Arial Narrow"/>
                <w:sz w:val="20"/>
              </w:rPr>
              <w:t>normalisation of sex- and age- adjusted insulin-like growth factor 1 (IGF-1)</w:t>
            </w:r>
            <w:r w:rsidR="00E304A4">
              <w:rPr>
                <w:rFonts w:ascii="Arial Narrow" w:hAnsi="Arial Narrow"/>
                <w:sz w:val="20"/>
              </w:rPr>
              <w:t>.</w:t>
            </w:r>
          </w:p>
          <w:p w:rsidR="00B47913" w:rsidRPr="00931642" w:rsidRDefault="00B47913" w:rsidP="00B47913">
            <w:pPr>
              <w:widowControl/>
              <w:rPr>
                <w:rFonts w:ascii="Arial Narrow" w:hAnsi="Arial Narrow"/>
                <w:sz w:val="20"/>
              </w:rPr>
            </w:pPr>
          </w:p>
          <w:p w:rsidR="000A2048" w:rsidRPr="004C1E04" w:rsidRDefault="000A2048" w:rsidP="000A2048">
            <w:pPr>
              <w:widowControl/>
              <w:rPr>
                <w:rFonts w:ascii="Arial Narrow" w:hAnsi="Arial Narrow"/>
                <w:sz w:val="20"/>
              </w:rPr>
            </w:pPr>
            <w:r w:rsidRPr="004C1E04">
              <w:rPr>
                <w:rFonts w:ascii="Arial Narrow" w:hAnsi="Arial Narrow"/>
                <w:sz w:val="20"/>
              </w:rPr>
              <w:t xml:space="preserve">A patient may qualify for PBS-subsidised treatment under this restriction once only. </w:t>
            </w:r>
          </w:p>
          <w:p w:rsidR="000A2048" w:rsidRDefault="000A2048" w:rsidP="000A2048">
            <w:pPr>
              <w:widowControl/>
              <w:rPr>
                <w:rFonts w:ascii="Arial Narrow" w:hAnsi="Arial Narrow"/>
                <w:sz w:val="20"/>
              </w:rPr>
            </w:pPr>
            <w:r w:rsidRPr="004C1E04">
              <w:rPr>
                <w:rFonts w:ascii="Arial Narrow" w:hAnsi="Arial Narrow"/>
                <w:sz w:val="20"/>
              </w:rPr>
              <w:t>For continuing PBS-subsidised treatment, a Grandfathered patient must qualify under the Continuing treatment criteria.</w:t>
            </w:r>
          </w:p>
          <w:p w:rsidR="00B47913" w:rsidRPr="00931642" w:rsidRDefault="00B47913" w:rsidP="00B47913">
            <w:pPr>
              <w:widowControl/>
              <w:rPr>
                <w:rFonts w:ascii="Arial Narrow" w:hAnsi="Arial Narrow"/>
                <w:sz w:val="20"/>
              </w:rPr>
            </w:pPr>
          </w:p>
          <w:p w:rsidR="00B47913" w:rsidRPr="00931642" w:rsidRDefault="00B47913" w:rsidP="00B47913">
            <w:pPr>
              <w:widowControl/>
              <w:rPr>
                <w:rFonts w:ascii="Arial Narrow" w:hAnsi="Arial Narrow"/>
                <w:sz w:val="20"/>
              </w:rPr>
            </w:pPr>
            <w:r w:rsidRPr="00931642">
              <w:rPr>
                <w:rFonts w:ascii="Arial Narrow" w:hAnsi="Arial Narrow"/>
                <w:sz w:val="20"/>
              </w:rPr>
              <w:t>The authority application must be made in writing and must include:</w:t>
            </w:r>
          </w:p>
          <w:p w:rsidR="00B47913" w:rsidRPr="00931642" w:rsidRDefault="00B47913" w:rsidP="00B47913">
            <w:pPr>
              <w:widowControl/>
              <w:rPr>
                <w:rFonts w:ascii="Arial Narrow" w:hAnsi="Arial Narrow"/>
                <w:sz w:val="20"/>
              </w:rPr>
            </w:pPr>
            <w:r w:rsidRPr="00931642">
              <w:rPr>
                <w:rFonts w:ascii="Arial Narrow" w:hAnsi="Arial Narrow"/>
                <w:sz w:val="20"/>
              </w:rPr>
              <w:t>a) a completed authority prescription form; and</w:t>
            </w:r>
          </w:p>
          <w:p w:rsidR="00B47913" w:rsidRPr="00931642" w:rsidRDefault="00B47913" w:rsidP="00B47913">
            <w:pPr>
              <w:widowControl/>
              <w:rPr>
                <w:rFonts w:ascii="Arial Narrow" w:hAnsi="Arial Narrow"/>
                <w:sz w:val="20"/>
              </w:rPr>
            </w:pPr>
            <w:r w:rsidRPr="00931642">
              <w:rPr>
                <w:rFonts w:ascii="Arial Narrow" w:hAnsi="Arial Narrow"/>
                <w:sz w:val="20"/>
              </w:rPr>
              <w:t xml:space="preserve">b) a completed Acromegaly PBS Authority Application - Supporting Information Form; and </w:t>
            </w:r>
          </w:p>
          <w:p w:rsidR="00B47913" w:rsidRPr="00931642" w:rsidRDefault="00B47913" w:rsidP="00B47913">
            <w:pPr>
              <w:widowControl/>
              <w:rPr>
                <w:rFonts w:ascii="Arial Narrow" w:hAnsi="Arial Narrow"/>
                <w:sz w:val="20"/>
              </w:rPr>
            </w:pPr>
            <w:r w:rsidRPr="00931642">
              <w:rPr>
                <w:rFonts w:ascii="Arial Narrow" w:hAnsi="Arial Narrow"/>
                <w:sz w:val="20"/>
              </w:rPr>
              <w:t xml:space="preserve">c) a signed patient </w:t>
            </w:r>
            <w:r w:rsidR="00E304A4">
              <w:rPr>
                <w:rFonts w:ascii="Arial Narrow" w:hAnsi="Arial Narrow"/>
                <w:sz w:val="20"/>
              </w:rPr>
              <w:t xml:space="preserve">or parent/authorised guardian </w:t>
            </w:r>
            <w:r w:rsidRPr="00931642">
              <w:rPr>
                <w:rFonts w:ascii="Arial Narrow" w:hAnsi="Arial Narrow"/>
                <w:sz w:val="20"/>
              </w:rPr>
              <w:t>acknowledgment; and</w:t>
            </w:r>
          </w:p>
          <w:p w:rsidR="00B47913" w:rsidRPr="00931642" w:rsidRDefault="00B47913" w:rsidP="00B47913">
            <w:pPr>
              <w:widowControl/>
              <w:rPr>
                <w:rFonts w:ascii="Arial Narrow" w:hAnsi="Arial Narrow"/>
                <w:sz w:val="20"/>
              </w:rPr>
            </w:pPr>
            <w:r w:rsidRPr="00931642">
              <w:rPr>
                <w:rFonts w:ascii="Arial Narrow" w:hAnsi="Arial Narrow"/>
                <w:sz w:val="20"/>
              </w:rPr>
              <w:t xml:space="preserve">d) in a patient who has been previously treated with radiotherapy for this condition, the date of completion of radiotherapy must be provided; and a copy of IGF-1 levels taken at </w:t>
            </w:r>
            <w:r w:rsidRPr="00931642">
              <w:rPr>
                <w:rFonts w:ascii="Arial Narrow" w:hAnsi="Arial Narrow"/>
                <w:sz w:val="20"/>
              </w:rPr>
              <w:lastRenderedPageBreak/>
              <w:t xml:space="preserve">the most recent two yearly assessment in the 10 years after completion of radiotherapy must be provided; and </w:t>
            </w:r>
          </w:p>
          <w:p w:rsidR="00767875" w:rsidRPr="00931642" w:rsidRDefault="00B47913" w:rsidP="006504C4">
            <w:pPr>
              <w:widowControl/>
              <w:rPr>
                <w:rFonts w:ascii="Arial Narrow" w:hAnsi="Arial Narrow"/>
                <w:sz w:val="20"/>
              </w:rPr>
            </w:pPr>
            <w:r w:rsidRPr="00931642">
              <w:rPr>
                <w:rFonts w:ascii="Arial Narrow" w:hAnsi="Arial Narrow"/>
                <w:sz w:val="20"/>
              </w:rPr>
              <w:t xml:space="preserve">e) </w:t>
            </w:r>
            <w:proofErr w:type="gramStart"/>
            <w:r w:rsidRPr="00931642">
              <w:rPr>
                <w:rFonts w:ascii="Arial Narrow" w:hAnsi="Arial Narrow"/>
                <w:sz w:val="20"/>
              </w:rPr>
              <w:t>a</w:t>
            </w:r>
            <w:proofErr w:type="gramEnd"/>
            <w:r w:rsidRPr="00931642">
              <w:rPr>
                <w:rFonts w:ascii="Arial Narrow" w:hAnsi="Arial Narrow"/>
                <w:sz w:val="20"/>
              </w:rPr>
              <w:t xml:space="preserve"> recent copy of IGF-1 levels must be provided.</w:t>
            </w:r>
          </w:p>
        </w:tc>
      </w:tr>
      <w:tr w:rsidR="00767875" w:rsidRPr="00931642" w:rsidTr="00714A2D">
        <w:tblPrEx>
          <w:tblLook w:val="04A0" w:firstRow="1" w:lastRow="0" w:firstColumn="1" w:lastColumn="0" w:noHBand="0" w:noVBand="1"/>
        </w:tblPrEx>
        <w:trPr>
          <w:gridAfter w:val="1"/>
          <w:wAfter w:w="378" w:type="dxa"/>
          <w:cantSplit/>
          <w:trHeight w:val="489"/>
        </w:trPr>
        <w:tc>
          <w:tcPr>
            <w:tcW w:w="1701" w:type="dxa"/>
            <w:tcBorders>
              <w:top w:val="single" w:sz="4" w:space="0" w:color="auto"/>
              <w:left w:val="single" w:sz="4" w:space="0" w:color="auto"/>
              <w:bottom w:val="single" w:sz="4" w:space="0" w:color="auto"/>
              <w:right w:val="single" w:sz="4" w:space="0" w:color="auto"/>
            </w:tcBorders>
          </w:tcPr>
          <w:p w:rsidR="00767875" w:rsidRPr="00931642" w:rsidRDefault="004F7351" w:rsidP="006504C4">
            <w:pPr>
              <w:widowControl/>
              <w:rPr>
                <w:rFonts w:ascii="Arial Narrow" w:hAnsi="Arial Narrow"/>
                <w:b/>
                <w:sz w:val="20"/>
              </w:rPr>
            </w:pPr>
            <w:r w:rsidRPr="00931642">
              <w:rPr>
                <w:rFonts w:ascii="Arial Narrow" w:hAnsi="Arial Narrow"/>
                <w:b/>
                <w:sz w:val="20"/>
              </w:rPr>
              <w:lastRenderedPageBreak/>
              <w:t>Administrative advice</w:t>
            </w:r>
          </w:p>
        </w:tc>
        <w:tc>
          <w:tcPr>
            <w:tcW w:w="6804" w:type="dxa"/>
            <w:gridSpan w:val="5"/>
            <w:tcBorders>
              <w:top w:val="single" w:sz="4" w:space="0" w:color="auto"/>
              <w:left w:val="single" w:sz="4" w:space="0" w:color="auto"/>
              <w:bottom w:val="single" w:sz="4" w:space="0" w:color="auto"/>
              <w:right w:val="single" w:sz="4" w:space="0" w:color="auto"/>
            </w:tcBorders>
          </w:tcPr>
          <w:p w:rsidR="004F7351" w:rsidRPr="00931642" w:rsidRDefault="004F7351" w:rsidP="004F7351">
            <w:pPr>
              <w:widowControl/>
              <w:snapToGrid w:val="0"/>
              <w:rPr>
                <w:rFonts w:ascii="Arial Narrow" w:hAnsi="Arial Narrow"/>
                <w:sz w:val="20"/>
              </w:rPr>
            </w:pPr>
            <w:r w:rsidRPr="00931642">
              <w:rPr>
                <w:rFonts w:ascii="Arial Narrow" w:hAnsi="Arial Narrow"/>
                <w:sz w:val="20"/>
              </w:rPr>
              <w:t>Any queries concerning the arrangements to prescribe may be directed to the Department of Human Services on 1800 700 270 (hours of operation 8 a.m. to 5 p.m. EST Monday to Friday).</w:t>
            </w:r>
          </w:p>
          <w:p w:rsidR="004F7351" w:rsidRPr="00931642" w:rsidRDefault="004F7351" w:rsidP="004F7351">
            <w:pPr>
              <w:widowControl/>
              <w:snapToGrid w:val="0"/>
              <w:rPr>
                <w:rFonts w:ascii="Arial Narrow" w:hAnsi="Arial Narrow"/>
                <w:sz w:val="20"/>
              </w:rPr>
            </w:pPr>
          </w:p>
          <w:p w:rsidR="004F7351" w:rsidRPr="00931642" w:rsidRDefault="004F7351" w:rsidP="004F7351">
            <w:pPr>
              <w:widowControl/>
              <w:snapToGrid w:val="0"/>
              <w:rPr>
                <w:rFonts w:ascii="Arial Narrow" w:hAnsi="Arial Narrow"/>
                <w:sz w:val="20"/>
              </w:rPr>
            </w:pPr>
            <w:r w:rsidRPr="00931642">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4F7351" w:rsidRPr="00931642" w:rsidRDefault="004F7351" w:rsidP="004F7351">
            <w:pPr>
              <w:widowControl/>
              <w:snapToGrid w:val="0"/>
              <w:rPr>
                <w:rFonts w:ascii="Arial Narrow" w:hAnsi="Arial Narrow"/>
                <w:sz w:val="20"/>
              </w:rPr>
            </w:pPr>
          </w:p>
          <w:p w:rsidR="004F7351" w:rsidRPr="00931642" w:rsidRDefault="004F7351" w:rsidP="004F7351">
            <w:pPr>
              <w:widowControl/>
              <w:snapToGrid w:val="0"/>
              <w:rPr>
                <w:rFonts w:ascii="Arial Narrow" w:hAnsi="Arial Narrow"/>
                <w:sz w:val="20"/>
              </w:rPr>
            </w:pPr>
            <w:r w:rsidRPr="00931642">
              <w:rPr>
                <w:rFonts w:ascii="Arial Narrow" w:hAnsi="Arial Narrow"/>
                <w:sz w:val="20"/>
              </w:rPr>
              <w:t>Applications for authority to prescribe should be forwarded to:</w:t>
            </w:r>
          </w:p>
          <w:p w:rsidR="004F7351" w:rsidRPr="00931642" w:rsidRDefault="004F7351" w:rsidP="004F7351">
            <w:pPr>
              <w:widowControl/>
              <w:snapToGrid w:val="0"/>
              <w:rPr>
                <w:rFonts w:ascii="Arial Narrow" w:hAnsi="Arial Narrow"/>
                <w:sz w:val="20"/>
              </w:rPr>
            </w:pPr>
            <w:r w:rsidRPr="00931642">
              <w:rPr>
                <w:rFonts w:ascii="Arial Narrow" w:hAnsi="Arial Narrow"/>
                <w:sz w:val="20"/>
              </w:rPr>
              <w:t>Department of Human Services</w:t>
            </w:r>
          </w:p>
          <w:p w:rsidR="004F7351" w:rsidRPr="00931642" w:rsidRDefault="004F7351" w:rsidP="004F7351">
            <w:pPr>
              <w:widowControl/>
              <w:snapToGrid w:val="0"/>
              <w:rPr>
                <w:rFonts w:ascii="Arial Narrow" w:hAnsi="Arial Narrow"/>
                <w:sz w:val="20"/>
              </w:rPr>
            </w:pPr>
            <w:r w:rsidRPr="00931642">
              <w:rPr>
                <w:rFonts w:ascii="Arial Narrow" w:hAnsi="Arial Narrow"/>
                <w:sz w:val="20"/>
              </w:rPr>
              <w:t>Complex Drugs Programs</w:t>
            </w:r>
          </w:p>
          <w:p w:rsidR="004F7351" w:rsidRPr="00931642" w:rsidRDefault="004F7351" w:rsidP="004F7351">
            <w:pPr>
              <w:widowControl/>
              <w:snapToGrid w:val="0"/>
              <w:rPr>
                <w:rFonts w:ascii="Arial Narrow" w:hAnsi="Arial Narrow"/>
                <w:sz w:val="20"/>
              </w:rPr>
            </w:pPr>
            <w:r w:rsidRPr="00931642">
              <w:rPr>
                <w:rFonts w:ascii="Arial Narrow" w:hAnsi="Arial Narrow"/>
                <w:sz w:val="20"/>
              </w:rPr>
              <w:t>Reply Paid 9826</w:t>
            </w:r>
          </w:p>
          <w:p w:rsidR="004F7351" w:rsidRPr="00931642" w:rsidRDefault="004F7351" w:rsidP="004F7351">
            <w:pPr>
              <w:widowControl/>
              <w:snapToGrid w:val="0"/>
              <w:rPr>
                <w:rFonts w:ascii="Arial Narrow" w:hAnsi="Arial Narrow"/>
                <w:sz w:val="20"/>
              </w:rPr>
            </w:pPr>
            <w:r w:rsidRPr="00931642">
              <w:rPr>
                <w:rFonts w:ascii="Arial Narrow" w:hAnsi="Arial Narrow"/>
                <w:sz w:val="20"/>
              </w:rPr>
              <w:t>HOBART TAS 7001</w:t>
            </w:r>
          </w:p>
          <w:p w:rsidR="004F7351" w:rsidRPr="00931642" w:rsidRDefault="004F7351" w:rsidP="004F7351">
            <w:pPr>
              <w:widowControl/>
              <w:snapToGrid w:val="0"/>
              <w:rPr>
                <w:rFonts w:ascii="Arial Narrow" w:hAnsi="Arial Narrow"/>
                <w:sz w:val="20"/>
              </w:rPr>
            </w:pPr>
          </w:p>
          <w:p w:rsidR="00767875" w:rsidRPr="00931642" w:rsidRDefault="004F7351" w:rsidP="006504C4">
            <w:pPr>
              <w:widowControl/>
              <w:rPr>
                <w:rFonts w:ascii="Arial Narrow" w:hAnsi="Arial Narrow"/>
                <w:sz w:val="20"/>
              </w:rPr>
            </w:pPr>
            <w:r w:rsidRPr="00931642">
              <w:rPr>
                <w:rFonts w:ascii="Arial Narrow" w:hAnsi="Arial Narrow"/>
                <w:sz w:val="20"/>
              </w:rPr>
              <w:t>Special Pricing Arrangements apply</w:t>
            </w:r>
          </w:p>
        </w:tc>
      </w:tr>
    </w:tbl>
    <w:p w:rsidR="00A91446" w:rsidRPr="00931642" w:rsidRDefault="00A91446" w:rsidP="006504C4">
      <w:pPr>
        <w:widowControl/>
        <w:rPr>
          <w:b/>
          <w:i/>
        </w:rPr>
      </w:pPr>
    </w:p>
    <w:p w:rsidR="00703856" w:rsidRPr="00931642" w:rsidRDefault="00703856" w:rsidP="00A444B0">
      <w:pPr>
        <w:keepNext/>
        <w:widowControl/>
        <w:ind w:left="709"/>
      </w:pPr>
      <w:r w:rsidRPr="00B034D9">
        <w:rPr>
          <w:u w:val="single"/>
        </w:rPr>
        <w:t xml:space="preserve">Flow on changes to </w:t>
      </w:r>
      <w:r w:rsidR="00A444B0">
        <w:rPr>
          <w:u w:val="single"/>
        </w:rPr>
        <w:t xml:space="preserve">PBS restrictions for </w:t>
      </w:r>
      <w:r w:rsidRPr="00B034D9">
        <w:rPr>
          <w:u w:val="single"/>
        </w:rPr>
        <w:t>octreotide, lanreotide and pasireotide</w:t>
      </w:r>
    </w:p>
    <w:p w:rsidR="00703856" w:rsidRDefault="00B034D9" w:rsidP="005738EF">
      <w:pPr>
        <w:widowControl/>
        <w:ind w:left="709"/>
      </w:pPr>
      <w:r>
        <w:t>Add clinical criterion</w:t>
      </w:r>
      <w:r w:rsidR="00703856" w:rsidRPr="00931642">
        <w:t xml:space="preserve">: “Treatment must not be </w:t>
      </w:r>
      <w:r>
        <w:t xml:space="preserve">given concomitantly </w:t>
      </w:r>
      <w:r w:rsidR="00703856" w:rsidRPr="00931642">
        <w:t>with PBS-subsidised pegvisomant</w:t>
      </w:r>
      <w:r>
        <w:t>.</w:t>
      </w:r>
      <w:r w:rsidR="00703856" w:rsidRPr="00931642">
        <w:t>”</w:t>
      </w:r>
    </w:p>
    <w:p w:rsidR="001E6680" w:rsidRDefault="001E6680" w:rsidP="005738EF">
      <w:pPr>
        <w:widowControl/>
        <w:ind w:left="709"/>
      </w:pPr>
    </w:p>
    <w:p w:rsidR="001E6680" w:rsidRDefault="001E6680" w:rsidP="005738EF">
      <w:pPr>
        <w:widowControl/>
        <w:ind w:left="709"/>
      </w:pPr>
    </w:p>
    <w:p w:rsidR="001E6680" w:rsidRPr="00570D4E" w:rsidRDefault="001E6680" w:rsidP="001E6680">
      <w:pPr>
        <w:pStyle w:val="PBACheading10"/>
        <w:numPr>
          <w:ilvl w:val="0"/>
          <w:numId w:val="6"/>
        </w:numPr>
      </w:pPr>
      <w:r w:rsidRPr="00485DD3">
        <w:t>Context for Decision</w:t>
      </w:r>
    </w:p>
    <w:p w:rsidR="001E6680" w:rsidRDefault="001E6680" w:rsidP="001E6680">
      <w:pPr>
        <w:ind w:left="426"/>
      </w:pPr>
    </w:p>
    <w:p w:rsidR="001E6680" w:rsidRDefault="001E6680" w:rsidP="001E6680">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E6680" w:rsidRDefault="001E6680" w:rsidP="001E6680">
      <w:pPr>
        <w:ind w:left="426"/>
      </w:pPr>
    </w:p>
    <w:p w:rsidR="001E6680" w:rsidRDefault="001E6680" w:rsidP="001E6680">
      <w:pPr>
        <w:ind w:left="426"/>
      </w:pPr>
    </w:p>
    <w:p w:rsidR="001E6680" w:rsidRPr="00570D4E" w:rsidRDefault="001E6680" w:rsidP="001E6680">
      <w:pPr>
        <w:pStyle w:val="PBACheading10"/>
        <w:numPr>
          <w:ilvl w:val="0"/>
          <w:numId w:val="6"/>
        </w:numPr>
      </w:pPr>
      <w:r w:rsidRPr="00485DD3">
        <w:t>Sponsor’s Comment</w:t>
      </w:r>
    </w:p>
    <w:p w:rsidR="001E6680" w:rsidRDefault="001E6680" w:rsidP="001E6680">
      <w:pPr>
        <w:ind w:left="426"/>
        <w:rPr>
          <w:bCs/>
          <w:highlight w:val="yellow"/>
          <w:lang w:val="en-GB"/>
        </w:rPr>
      </w:pPr>
    </w:p>
    <w:p w:rsidR="001E6680" w:rsidRPr="00931642" w:rsidRDefault="001451F8" w:rsidP="005738EF">
      <w:pPr>
        <w:widowControl/>
        <w:ind w:left="709"/>
      </w:pPr>
      <w:r w:rsidRPr="001451F8">
        <w:rPr>
          <w:bCs/>
          <w:lang w:val="en-GB"/>
        </w:rPr>
        <w:t>Pfizer Australia welcomes the PBAC recommendation to list pegvisomant on the PBS for acromegaly. Pegvisomant provides an important treatment option, with an alternative mechanism of action, in acromegaly patients who have failed other treatments.</w:t>
      </w:r>
    </w:p>
    <w:sectPr w:rsidR="001E6680" w:rsidRPr="00931642"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B88" w:rsidRDefault="00451B88" w:rsidP="00124A51">
      <w:r>
        <w:separator/>
      </w:r>
    </w:p>
  </w:endnote>
  <w:endnote w:type="continuationSeparator" w:id="0">
    <w:p w:rsidR="00451B88" w:rsidRDefault="00451B88"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B88" w:rsidRDefault="00451B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514781"/>
      <w:docPartObj>
        <w:docPartGallery w:val="Page Numbers (Bottom of Page)"/>
        <w:docPartUnique/>
      </w:docPartObj>
    </w:sdtPr>
    <w:sdtEndPr>
      <w:rPr>
        <w:noProof/>
      </w:rPr>
    </w:sdtEndPr>
    <w:sdtContent>
      <w:p w:rsidR="00451B88" w:rsidRDefault="00451B88">
        <w:pPr>
          <w:pStyle w:val="Footer"/>
          <w:jc w:val="center"/>
        </w:pPr>
        <w:r>
          <w:fldChar w:fldCharType="begin"/>
        </w:r>
        <w:r>
          <w:instrText xml:space="preserve"> PAGE   \* MERGEFORMAT </w:instrText>
        </w:r>
        <w:r>
          <w:fldChar w:fldCharType="separate"/>
        </w:r>
        <w:r w:rsidR="00E26022">
          <w:rPr>
            <w:noProof/>
          </w:rPr>
          <w:t>2</w:t>
        </w:r>
        <w:r>
          <w:rPr>
            <w:noProof/>
          </w:rPr>
          <w:fldChar w:fldCharType="end"/>
        </w:r>
      </w:p>
    </w:sdtContent>
  </w:sdt>
  <w:p w:rsidR="00451B88" w:rsidRDefault="00451B88" w:rsidP="006B48A2">
    <w:pPr>
      <w:ind w:left="709"/>
      <w:contextualSpacing/>
      <w:jc w:val="center"/>
      <w:rPr>
        <w:b/>
        <w:bCs/>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B88" w:rsidRDefault="00451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B88" w:rsidRDefault="00451B88" w:rsidP="00124A51">
      <w:r>
        <w:separator/>
      </w:r>
    </w:p>
  </w:footnote>
  <w:footnote w:type="continuationSeparator" w:id="0">
    <w:p w:rsidR="00451B88" w:rsidRDefault="00451B88" w:rsidP="00124A51">
      <w:r>
        <w:continuationSeparator/>
      </w:r>
    </w:p>
  </w:footnote>
  <w:footnote w:id="1">
    <w:p w:rsidR="00451B88" w:rsidRPr="00BB29C6" w:rsidRDefault="00451B88" w:rsidP="00532033">
      <w:pPr>
        <w:rPr>
          <w:rFonts w:ascii="Arial Narrow" w:hAnsi="Arial Narrow"/>
          <w:sz w:val="18"/>
          <w:szCs w:val="18"/>
        </w:rPr>
      </w:pPr>
      <w:r w:rsidRPr="00BB29C6">
        <w:rPr>
          <w:rStyle w:val="FootnoteReference"/>
          <w:rFonts w:ascii="Arial Narrow" w:hAnsi="Arial Narrow"/>
          <w:sz w:val="18"/>
          <w:szCs w:val="18"/>
        </w:rPr>
        <w:footnoteRef/>
      </w:r>
      <w:r w:rsidRPr="00BB29C6">
        <w:rPr>
          <w:rFonts w:ascii="Arial Narrow" w:hAnsi="Arial Narrow"/>
          <w:sz w:val="18"/>
          <w:szCs w:val="18"/>
        </w:rPr>
        <w:t xml:space="preserve"> </w:t>
      </w:r>
      <w:proofErr w:type="spellStart"/>
      <w:r w:rsidRPr="00BB29C6">
        <w:rPr>
          <w:rFonts w:ascii="Arial Narrow" w:hAnsi="Arial Narrow"/>
          <w:sz w:val="18"/>
          <w:szCs w:val="18"/>
        </w:rPr>
        <w:t>Katznelson</w:t>
      </w:r>
      <w:proofErr w:type="spellEnd"/>
      <w:r w:rsidRPr="00BB29C6">
        <w:rPr>
          <w:rFonts w:ascii="Arial Narrow" w:hAnsi="Arial Narrow"/>
          <w:sz w:val="18"/>
          <w:szCs w:val="18"/>
        </w:rPr>
        <w:t xml:space="preserve"> et al. Acromegaly: An Endocrine Society Clinical Practice Guideline. J </w:t>
      </w:r>
      <w:proofErr w:type="spellStart"/>
      <w:r w:rsidRPr="00BB29C6">
        <w:rPr>
          <w:rFonts w:ascii="Arial Narrow" w:hAnsi="Arial Narrow"/>
          <w:sz w:val="18"/>
          <w:szCs w:val="18"/>
        </w:rPr>
        <w:t>Clin</w:t>
      </w:r>
      <w:proofErr w:type="spellEnd"/>
      <w:r w:rsidRPr="00BB29C6">
        <w:rPr>
          <w:rFonts w:ascii="Arial Narrow" w:hAnsi="Arial Narrow"/>
          <w:sz w:val="18"/>
          <w:szCs w:val="18"/>
        </w:rPr>
        <w:t xml:space="preserve"> </w:t>
      </w:r>
      <w:proofErr w:type="spellStart"/>
      <w:r w:rsidRPr="00BB29C6">
        <w:rPr>
          <w:rFonts w:ascii="Arial Narrow" w:hAnsi="Arial Narrow"/>
          <w:sz w:val="18"/>
          <w:szCs w:val="18"/>
        </w:rPr>
        <w:t>Endocrinol</w:t>
      </w:r>
      <w:proofErr w:type="spellEnd"/>
      <w:r w:rsidRPr="00BB29C6">
        <w:rPr>
          <w:rFonts w:ascii="Arial Narrow" w:hAnsi="Arial Narrow"/>
          <w:sz w:val="18"/>
          <w:szCs w:val="18"/>
        </w:rPr>
        <w:t xml:space="preserve"> </w:t>
      </w:r>
      <w:proofErr w:type="spellStart"/>
      <w:r w:rsidRPr="00BB29C6">
        <w:rPr>
          <w:rFonts w:ascii="Arial Narrow" w:hAnsi="Arial Narrow"/>
          <w:sz w:val="18"/>
          <w:szCs w:val="18"/>
        </w:rPr>
        <w:t>Metab</w:t>
      </w:r>
      <w:proofErr w:type="spellEnd"/>
      <w:r w:rsidRPr="00BB29C6">
        <w:rPr>
          <w:rFonts w:ascii="Arial Narrow" w:hAnsi="Arial Narrow"/>
          <w:sz w:val="18"/>
          <w:szCs w:val="18"/>
        </w:rPr>
        <w:t xml:space="preserve"> 2014; 99 (11):3933-3951, page 3943; and </w:t>
      </w:r>
      <w:proofErr w:type="spellStart"/>
      <w:r w:rsidRPr="00BB29C6">
        <w:rPr>
          <w:rFonts w:ascii="Arial Narrow" w:hAnsi="Arial Narrow"/>
          <w:sz w:val="18"/>
          <w:szCs w:val="18"/>
        </w:rPr>
        <w:t>Giustina</w:t>
      </w:r>
      <w:proofErr w:type="spellEnd"/>
      <w:r w:rsidRPr="00BB29C6">
        <w:rPr>
          <w:rFonts w:ascii="Arial Narrow" w:hAnsi="Arial Narrow"/>
          <w:sz w:val="18"/>
          <w:szCs w:val="18"/>
        </w:rPr>
        <w:t xml:space="preserve"> et al. </w:t>
      </w:r>
      <w:proofErr w:type="gramStart"/>
      <w:r w:rsidRPr="00BB29C6">
        <w:rPr>
          <w:rFonts w:ascii="Arial Narrow" w:hAnsi="Arial Narrow"/>
          <w:sz w:val="18"/>
          <w:szCs w:val="18"/>
        </w:rPr>
        <w:t>A consensus on the medical treatment of acromegaly.</w:t>
      </w:r>
      <w:proofErr w:type="gramEnd"/>
      <w:r w:rsidRPr="00BB29C6">
        <w:rPr>
          <w:rFonts w:ascii="Arial Narrow" w:hAnsi="Arial Narrow"/>
          <w:sz w:val="18"/>
          <w:szCs w:val="18"/>
        </w:rPr>
        <w:t xml:space="preserve"> Nat Rev </w:t>
      </w:r>
      <w:proofErr w:type="spellStart"/>
      <w:r w:rsidRPr="00BB29C6">
        <w:rPr>
          <w:rFonts w:ascii="Arial Narrow" w:hAnsi="Arial Narrow"/>
          <w:sz w:val="18"/>
          <w:szCs w:val="18"/>
        </w:rPr>
        <w:t>Endocrinol</w:t>
      </w:r>
      <w:proofErr w:type="spellEnd"/>
      <w:r w:rsidRPr="00BB29C6">
        <w:rPr>
          <w:rFonts w:ascii="Arial Narrow" w:hAnsi="Arial Narrow"/>
          <w:sz w:val="18"/>
          <w:szCs w:val="18"/>
        </w:rPr>
        <w:t xml:space="preserve"> 2014; 10:243-248, page 245.</w:t>
      </w:r>
    </w:p>
  </w:footnote>
  <w:footnote w:id="2">
    <w:p w:rsidR="00451B88" w:rsidRDefault="00451B88">
      <w:pPr>
        <w:pStyle w:val="FootnoteText"/>
      </w:pPr>
      <w:r w:rsidRPr="00BB29C6">
        <w:rPr>
          <w:rStyle w:val="FootnoteReference"/>
          <w:rFonts w:ascii="Arial Narrow" w:hAnsi="Arial Narrow"/>
          <w:sz w:val="18"/>
          <w:szCs w:val="18"/>
        </w:rPr>
        <w:footnoteRef/>
      </w:r>
      <w:r w:rsidRPr="00BB29C6">
        <w:rPr>
          <w:rFonts w:ascii="Arial Narrow" w:hAnsi="Arial Narrow"/>
          <w:sz w:val="18"/>
          <w:szCs w:val="18"/>
        </w:rPr>
        <w:t xml:space="preserve"> A search of clinicaltrials.gov for “pegvisomant” AND “acromegaly” AND “somatostatin” resulted in 6 trials including the following (with the clincialtrials.gov identifier): NCT02668172 (pasireotide vs pasireotide + pegvi</w:t>
      </w:r>
      <w:r>
        <w:rPr>
          <w:rFonts w:ascii="Arial Narrow" w:hAnsi="Arial Narrow"/>
          <w:sz w:val="18"/>
          <w:szCs w:val="18"/>
        </w:rPr>
        <w:t xml:space="preserve">somant); </w:t>
      </w:r>
      <w:r w:rsidRPr="005B6FE1">
        <w:rPr>
          <w:rFonts w:ascii="Arial Narrow" w:hAnsi="Arial Narrow"/>
          <w:sz w:val="18"/>
          <w:szCs w:val="18"/>
        </w:rPr>
        <w:t>NCT00595140</w:t>
      </w:r>
      <w:r>
        <w:rPr>
          <w:rFonts w:ascii="Arial Narrow" w:hAnsi="Arial Narrow"/>
          <w:sz w:val="18"/>
          <w:szCs w:val="18"/>
        </w:rPr>
        <w:t xml:space="preserve"> (pegvisomant vs pegvisomant + octreotide vs </w:t>
      </w:r>
      <w:proofErr w:type="spellStart"/>
      <w:r>
        <w:rPr>
          <w:rFonts w:ascii="Arial Narrow" w:hAnsi="Arial Narrow"/>
          <w:sz w:val="18"/>
          <w:szCs w:val="18"/>
        </w:rPr>
        <w:t>pegvisomant</w:t>
      </w:r>
      <w:proofErr w:type="spellEnd"/>
      <w:r>
        <w:rPr>
          <w:rFonts w:ascii="Arial Narrow" w:hAnsi="Arial Narrow"/>
          <w:sz w:val="18"/>
          <w:szCs w:val="18"/>
        </w:rPr>
        <w:t xml:space="preserve"> + </w:t>
      </w:r>
      <w:proofErr w:type="spellStart"/>
      <w:r>
        <w:rPr>
          <w:rFonts w:ascii="Arial Narrow" w:hAnsi="Arial Narrow"/>
          <w:sz w:val="18"/>
          <w:szCs w:val="18"/>
        </w:rPr>
        <w:t>carbergoline</w:t>
      </w:r>
      <w:proofErr w:type="spellEnd"/>
      <w:r>
        <w:rPr>
          <w:rFonts w:ascii="Arial Narrow" w:hAnsi="Arial Narrow"/>
          <w:sz w:val="18"/>
          <w:szCs w:val="18"/>
        </w:rPr>
        <w:t xml:space="preserve">); and </w:t>
      </w:r>
      <w:r w:rsidRPr="005B6FE1">
        <w:rPr>
          <w:rFonts w:ascii="Arial Narrow" w:hAnsi="Arial Narrow"/>
          <w:sz w:val="18"/>
          <w:szCs w:val="18"/>
        </w:rPr>
        <w:t>NCT01538966</w:t>
      </w:r>
      <w:r>
        <w:rPr>
          <w:rFonts w:ascii="Arial Narrow" w:hAnsi="Arial Narrow"/>
          <w:sz w:val="18"/>
          <w:szCs w:val="18"/>
        </w:rPr>
        <w:t xml:space="preserve"> (high dose monthly SSA + weekly pegvisomant vs low dose monthly SSA + daily pegvisomant vs low dose monthly SSA + weekly pegvisomant).</w:t>
      </w:r>
    </w:p>
  </w:footnote>
  <w:footnote w:id="3">
    <w:p w:rsidR="00451B88" w:rsidRPr="0086684A" w:rsidRDefault="00451B88">
      <w:pPr>
        <w:pStyle w:val="FootnoteText"/>
        <w:rPr>
          <w:rFonts w:ascii="Arial Narrow" w:hAnsi="Arial Narrow"/>
        </w:rPr>
      </w:pPr>
      <w:r w:rsidRPr="0086684A">
        <w:rPr>
          <w:rStyle w:val="FootnoteReference"/>
          <w:rFonts w:ascii="Arial Narrow" w:hAnsi="Arial Narrow"/>
        </w:rPr>
        <w:footnoteRef/>
      </w:r>
      <w:r w:rsidRPr="0086684A">
        <w:rPr>
          <w:rFonts w:ascii="Arial Narrow" w:hAnsi="Arial Narrow"/>
        </w:rPr>
        <w:t xml:space="preserve"> </w:t>
      </w:r>
      <w:proofErr w:type="gramStart"/>
      <w:r w:rsidRPr="0086684A">
        <w:rPr>
          <w:rFonts w:ascii="Arial Narrow" w:hAnsi="Arial Narrow"/>
        </w:rPr>
        <w:t>American Association of Clinical Endocrinologists medical guidelines for clinical practice for the diagnosis and treatment of acromegaly – 2011 update</w:t>
      </w:r>
      <w:r>
        <w:rPr>
          <w:rFonts w:ascii="Arial Narrow" w:hAnsi="Arial Narrow"/>
        </w:rPr>
        <w:t>.</w:t>
      </w:r>
      <w:proofErr w:type="gramEnd"/>
      <w:r w:rsidRPr="0086684A">
        <w:rPr>
          <w:rFonts w:ascii="Arial Narrow" w:hAnsi="Arial Narrow"/>
        </w:rPr>
        <w:t xml:space="preserve"> </w:t>
      </w:r>
      <w:proofErr w:type="gramStart"/>
      <w:r w:rsidRPr="0086684A">
        <w:rPr>
          <w:rFonts w:ascii="Arial Narrow" w:hAnsi="Arial Narrow"/>
        </w:rPr>
        <w:t>Endocrine practice, vol17 (suppl 4), July/August 2011.</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B88" w:rsidRDefault="00451B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B88" w:rsidRPr="00DF217D" w:rsidRDefault="00451B88" w:rsidP="006E21FC">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451B88" w:rsidRDefault="00451B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B88" w:rsidRDefault="00451B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B61CC5"/>
    <w:multiLevelType w:val="hybridMultilevel"/>
    <w:tmpl w:val="E79613D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04DB6EC1"/>
    <w:multiLevelType w:val="hybridMultilevel"/>
    <w:tmpl w:val="425C48AA"/>
    <w:lvl w:ilvl="0" w:tplc="04090001">
      <w:start w:val="1"/>
      <w:numFmt w:val="bullet"/>
      <w:lvlText w:val=""/>
      <w:lvlJc w:val="left"/>
      <w:pPr>
        <w:ind w:left="720" w:hanging="360"/>
      </w:pPr>
      <w:rPr>
        <w:rFonts w:ascii="Symbol" w:hAnsi="Symbol" w:hint="default"/>
      </w:rPr>
    </w:lvl>
    <w:lvl w:ilvl="1" w:tplc="0BFC00E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E15C3"/>
    <w:multiLevelType w:val="hybridMultilevel"/>
    <w:tmpl w:val="F0CC62FA"/>
    <w:lvl w:ilvl="0" w:tplc="837E11D8">
      <w:start w:val="2"/>
      <w:numFmt w:val="bullet"/>
      <w:lvlText w:val="-"/>
      <w:lvlJc w:val="left"/>
      <w:pPr>
        <w:ind w:left="780" w:hanging="360"/>
      </w:pPr>
      <w:rPr>
        <w:rFonts w:ascii="Arial" w:eastAsia="Times New Roman" w:hAnsi="Arial" w:cs="Aria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06E24C75"/>
    <w:multiLevelType w:val="hybridMultilevel"/>
    <w:tmpl w:val="C2DC0E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9010F7B"/>
    <w:multiLevelType w:val="hybridMultilevel"/>
    <w:tmpl w:val="1A488C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E760688"/>
    <w:multiLevelType w:val="hybridMultilevel"/>
    <w:tmpl w:val="91E6B5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9091B97"/>
    <w:multiLevelType w:val="hybridMultilevel"/>
    <w:tmpl w:val="2E605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9A0A99"/>
    <w:multiLevelType w:val="hybridMultilevel"/>
    <w:tmpl w:val="F7C6F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5041AE"/>
    <w:multiLevelType w:val="hybridMultilevel"/>
    <w:tmpl w:val="872ACC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95"/>
        </w:tabs>
        <w:ind w:left="1495" w:hanging="360"/>
      </w:pPr>
      <w:rPr>
        <w:rFonts w:ascii="Courier New" w:hAnsi="Courier New" w:cs="Courier New" w:hint="default"/>
      </w:rPr>
    </w:lvl>
    <w:lvl w:ilvl="2" w:tplc="04090005">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2">
    <w:nsid w:val="28B5731D"/>
    <w:multiLevelType w:val="hybridMultilevel"/>
    <w:tmpl w:val="EFA05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D677F14"/>
    <w:multiLevelType w:val="hybridMultilevel"/>
    <w:tmpl w:val="FFD2DA14"/>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95"/>
        </w:tabs>
        <w:ind w:left="1495" w:hanging="360"/>
      </w:pPr>
      <w:rPr>
        <w:rFonts w:ascii="Symbol" w:hAnsi="Symbol" w:hint="default"/>
      </w:rPr>
    </w:lvl>
    <w:lvl w:ilvl="2" w:tplc="04090005">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4">
    <w:nsid w:val="32E1276A"/>
    <w:multiLevelType w:val="hybridMultilevel"/>
    <w:tmpl w:val="7C7E5014"/>
    <w:lvl w:ilvl="0" w:tplc="A57C1B5E">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C879DD"/>
    <w:multiLevelType w:val="hybridMultilevel"/>
    <w:tmpl w:val="D6341B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nsid w:val="44A36CDD"/>
    <w:multiLevelType w:val="hybridMultilevel"/>
    <w:tmpl w:val="3F66931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nsid w:val="4B0F5066"/>
    <w:multiLevelType w:val="hybridMultilevel"/>
    <w:tmpl w:val="30AE0D4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4B926EEF"/>
    <w:multiLevelType w:val="hybridMultilevel"/>
    <w:tmpl w:val="06C27BFE"/>
    <w:lvl w:ilvl="0" w:tplc="0C09000F">
      <w:start w:val="1"/>
      <w:numFmt w:val="decimal"/>
      <w:lvlText w:val="%1."/>
      <w:lvlJc w:val="left"/>
      <w:pPr>
        <w:ind w:left="780" w:hanging="360"/>
      </w:pPr>
      <w:rPr>
        <w:rFonts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7187D47"/>
    <w:multiLevelType w:val="hybridMultilevel"/>
    <w:tmpl w:val="B9A6A8F8"/>
    <w:lvl w:ilvl="0" w:tplc="D218666C">
      <w:start w:val="20"/>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7AE6782"/>
    <w:multiLevelType w:val="hybridMultilevel"/>
    <w:tmpl w:val="85907DEA"/>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5B7908DC"/>
    <w:multiLevelType w:val="hybridMultilevel"/>
    <w:tmpl w:val="F45E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EF40D28"/>
    <w:multiLevelType w:val="hybridMultilevel"/>
    <w:tmpl w:val="D95082B8"/>
    <w:lvl w:ilvl="0" w:tplc="A2FC1390">
      <w:start w:val="2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287253"/>
    <w:multiLevelType w:val="hybridMultilevel"/>
    <w:tmpl w:val="748ECD4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7EE3507"/>
    <w:multiLevelType w:val="hybridMultilevel"/>
    <w:tmpl w:val="039CF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84D033C"/>
    <w:multiLevelType w:val="multilevel"/>
    <w:tmpl w:val="DAA2158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6"/>
  </w:num>
  <w:num w:numId="3">
    <w:abstractNumId w:val="11"/>
  </w:num>
  <w:num w:numId="4">
    <w:abstractNumId w:val="18"/>
  </w:num>
  <w:num w:numId="5">
    <w:abstractNumId w:val="2"/>
  </w:num>
  <w:num w:numId="6">
    <w:abstractNumId w:val="29"/>
  </w:num>
  <w:num w:numId="7">
    <w:abstractNumId w:val="22"/>
  </w:num>
  <w:num w:numId="8">
    <w:abstractNumId w:val="24"/>
  </w:num>
  <w:num w:numId="9">
    <w:abstractNumId w:val="14"/>
  </w:num>
  <w:num w:numId="10">
    <w:abstractNumId w:val="28"/>
  </w:num>
  <w:num w:numId="11">
    <w:abstractNumId w:val="9"/>
  </w:num>
  <w:num w:numId="12">
    <w:abstractNumId w:val="26"/>
  </w:num>
  <w:num w:numId="13">
    <w:abstractNumId w:val="3"/>
  </w:num>
  <w:num w:numId="14">
    <w:abstractNumId w:val="17"/>
  </w:num>
  <w:num w:numId="15">
    <w:abstractNumId w:val="20"/>
  </w:num>
  <w:num w:numId="16">
    <w:abstractNumId w:val="8"/>
  </w:num>
  <w:num w:numId="17">
    <w:abstractNumId w:val="1"/>
  </w:num>
  <w:num w:numId="18">
    <w:abstractNumId w:val="29"/>
  </w:num>
  <w:num w:numId="19">
    <w:abstractNumId w:val="23"/>
  </w:num>
  <w:num w:numId="20">
    <w:abstractNumId w:val="19"/>
  </w:num>
  <w:num w:numId="21">
    <w:abstractNumId w:val="7"/>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5"/>
  </w:num>
  <w:num w:numId="26">
    <w:abstractNumId w:val="15"/>
  </w:num>
  <w:num w:numId="27">
    <w:abstractNumId w:val="21"/>
  </w:num>
  <w:num w:numId="28">
    <w:abstractNumId w:val="6"/>
  </w:num>
  <w:num w:numId="29">
    <w:abstractNumId w:val="0"/>
  </w:num>
  <w:num w:numId="30">
    <w:abstractNumId w:val="10"/>
  </w:num>
  <w:num w:numId="31">
    <w:abstractNumId w:val="4"/>
  </w:num>
  <w:num w:numId="32">
    <w:abstractNumId w:val="27"/>
  </w:num>
  <w:num w:numId="33">
    <w:abstractNumId w:val="29"/>
  </w:num>
  <w:num w:numId="34">
    <w:abstractNumId w:val="29"/>
  </w:num>
  <w:num w:numId="35">
    <w:abstractNumId w:val="13"/>
  </w:num>
  <w:numIdMacAtCleanup w:val="1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id, Damian">
    <w15:presenceInfo w15:providerId="None" w15:userId="Reid, Dam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900"/>
    <w:rsid w:val="0000110B"/>
    <w:rsid w:val="00003499"/>
    <w:rsid w:val="000055E2"/>
    <w:rsid w:val="000123FC"/>
    <w:rsid w:val="00013247"/>
    <w:rsid w:val="000139CD"/>
    <w:rsid w:val="00014CAE"/>
    <w:rsid w:val="00015886"/>
    <w:rsid w:val="0001597E"/>
    <w:rsid w:val="000162EF"/>
    <w:rsid w:val="0002027C"/>
    <w:rsid w:val="00020B31"/>
    <w:rsid w:val="00021953"/>
    <w:rsid w:val="00021F24"/>
    <w:rsid w:val="0002213F"/>
    <w:rsid w:val="0002225F"/>
    <w:rsid w:val="00023763"/>
    <w:rsid w:val="00024A6B"/>
    <w:rsid w:val="0002623B"/>
    <w:rsid w:val="0002626C"/>
    <w:rsid w:val="00026CD3"/>
    <w:rsid w:val="000311FF"/>
    <w:rsid w:val="000332F0"/>
    <w:rsid w:val="00033317"/>
    <w:rsid w:val="000343D7"/>
    <w:rsid w:val="000369B2"/>
    <w:rsid w:val="0003771F"/>
    <w:rsid w:val="00040895"/>
    <w:rsid w:val="00040B66"/>
    <w:rsid w:val="0004303C"/>
    <w:rsid w:val="000439CE"/>
    <w:rsid w:val="00043A0B"/>
    <w:rsid w:val="00043C37"/>
    <w:rsid w:val="00052EF3"/>
    <w:rsid w:val="000546D7"/>
    <w:rsid w:val="0005727F"/>
    <w:rsid w:val="00061DD9"/>
    <w:rsid w:val="00061E05"/>
    <w:rsid w:val="0006287C"/>
    <w:rsid w:val="00064645"/>
    <w:rsid w:val="00064883"/>
    <w:rsid w:val="00064C4A"/>
    <w:rsid w:val="00065074"/>
    <w:rsid w:val="00065E20"/>
    <w:rsid w:val="00065F77"/>
    <w:rsid w:val="00065F7D"/>
    <w:rsid w:val="0006642C"/>
    <w:rsid w:val="00067DE2"/>
    <w:rsid w:val="0007067C"/>
    <w:rsid w:val="00071248"/>
    <w:rsid w:val="000712ED"/>
    <w:rsid w:val="00071797"/>
    <w:rsid w:val="000720B9"/>
    <w:rsid w:val="0007397F"/>
    <w:rsid w:val="00074A7A"/>
    <w:rsid w:val="00074EE7"/>
    <w:rsid w:val="000765AD"/>
    <w:rsid w:val="000812CA"/>
    <w:rsid w:val="00081570"/>
    <w:rsid w:val="00082189"/>
    <w:rsid w:val="00082241"/>
    <w:rsid w:val="00083198"/>
    <w:rsid w:val="00085A0A"/>
    <w:rsid w:val="00090C7E"/>
    <w:rsid w:val="00090FB9"/>
    <w:rsid w:val="0009225D"/>
    <w:rsid w:val="00094630"/>
    <w:rsid w:val="00094B6A"/>
    <w:rsid w:val="00095814"/>
    <w:rsid w:val="00095DB5"/>
    <w:rsid w:val="000A0B83"/>
    <w:rsid w:val="000A0DF0"/>
    <w:rsid w:val="000A2048"/>
    <w:rsid w:val="000A3D5A"/>
    <w:rsid w:val="000A3F32"/>
    <w:rsid w:val="000A6CBE"/>
    <w:rsid w:val="000A6E32"/>
    <w:rsid w:val="000A6FCF"/>
    <w:rsid w:val="000A77A8"/>
    <w:rsid w:val="000A79F9"/>
    <w:rsid w:val="000B0778"/>
    <w:rsid w:val="000B227D"/>
    <w:rsid w:val="000B247D"/>
    <w:rsid w:val="000B2A08"/>
    <w:rsid w:val="000B340B"/>
    <w:rsid w:val="000C0BF9"/>
    <w:rsid w:val="000C12FB"/>
    <w:rsid w:val="000C2A25"/>
    <w:rsid w:val="000C3C16"/>
    <w:rsid w:val="000C5E72"/>
    <w:rsid w:val="000C6542"/>
    <w:rsid w:val="000C6BCE"/>
    <w:rsid w:val="000C6DC1"/>
    <w:rsid w:val="000D0B74"/>
    <w:rsid w:val="000D1BFC"/>
    <w:rsid w:val="000D32DA"/>
    <w:rsid w:val="000D5166"/>
    <w:rsid w:val="000D715E"/>
    <w:rsid w:val="000E0F5C"/>
    <w:rsid w:val="000E1CEE"/>
    <w:rsid w:val="000E27FE"/>
    <w:rsid w:val="000E5EAA"/>
    <w:rsid w:val="000F06E6"/>
    <w:rsid w:val="000F07F6"/>
    <w:rsid w:val="000F0D1F"/>
    <w:rsid w:val="000F0DD3"/>
    <w:rsid w:val="000F1148"/>
    <w:rsid w:val="000F15CF"/>
    <w:rsid w:val="000F2767"/>
    <w:rsid w:val="000F474C"/>
    <w:rsid w:val="000F4BB8"/>
    <w:rsid w:val="000F7127"/>
    <w:rsid w:val="000F74F4"/>
    <w:rsid w:val="000F7FE9"/>
    <w:rsid w:val="00100F8A"/>
    <w:rsid w:val="00106508"/>
    <w:rsid w:val="0011032E"/>
    <w:rsid w:val="001116FD"/>
    <w:rsid w:val="0011348B"/>
    <w:rsid w:val="00113B63"/>
    <w:rsid w:val="00115787"/>
    <w:rsid w:val="00116191"/>
    <w:rsid w:val="00117445"/>
    <w:rsid w:val="0012072A"/>
    <w:rsid w:val="00121799"/>
    <w:rsid w:val="00122153"/>
    <w:rsid w:val="001222FC"/>
    <w:rsid w:val="00122825"/>
    <w:rsid w:val="00122AFA"/>
    <w:rsid w:val="00124A51"/>
    <w:rsid w:val="001258D0"/>
    <w:rsid w:val="00126621"/>
    <w:rsid w:val="00127DB2"/>
    <w:rsid w:val="001301E9"/>
    <w:rsid w:val="00131420"/>
    <w:rsid w:val="00133862"/>
    <w:rsid w:val="00134CC5"/>
    <w:rsid w:val="00137645"/>
    <w:rsid w:val="00137B02"/>
    <w:rsid w:val="0014015A"/>
    <w:rsid w:val="00140E99"/>
    <w:rsid w:val="001440EE"/>
    <w:rsid w:val="001443DD"/>
    <w:rsid w:val="001451F8"/>
    <w:rsid w:val="00145540"/>
    <w:rsid w:val="001456B0"/>
    <w:rsid w:val="001460E1"/>
    <w:rsid w:val="0014743C"/>
    <w:rsid w:val="0015094B"/>
    <w:rsid w:val="001515A1"/>
    <w:rsid w:val="00157130"/>
    <w:rsid w:val="00157707"/>
    <w:rsid w:val="00157B3E"/>
    <w:rsid w:val="00162913"/>
    <w:rsid w:val="00162F7F"/>
    <w:rsid w:val="00162FCC"/>
    <w:rsid w:val="0016318D"/>
    <w:rsid w:val="0016375A"/>
    <w:rsid w:val="00163EFF"/>
    <w:rsid w:val="00164AA2"/>
    <w:rsid w:val="00165B64"/>
    <w:rsid w:val="001661FB"/>
    <w:rsid w:val="00170883"/>
    <w:rsid w:val="00174765"/>
    <w:rsid w:val="00177D3E"/>
    <w:rsid w:val="00181F5E"/>
    <w:rsid w:val="0018233A"/>
    <w:rsid w:val="00182983"/>
    <w:rsid w:val="00182D5E"/>
    <w:rsid w:val="0018490D"/>
    <w:rsid w:val="00186CA5"/>
    <w:rsid w:val="0018752F"/>
    <w:rsid w:val="001901B4"/>
    <w:rsid w:val="00190573"/>
    <w:rsid w:val="0019119B"/>
    <w:rsid w:val="00191307"/>
    <w:rsid w:val="00191B89"/>
    <w:rsid w:val="001924F2"/>
    <w:rsid w:val="001929B1"/>
    <w:rsid w:val="00195222"/>
    <w:rsid w:val="001973AD"/>
    <w:rsid w:val="001975D8"/>
    <w:rsid w:val="001A1044"/>
    <w:rsid w:val="001A244A"/>
    <w:rsid w:val="001A3FD7"/>
    <w:rsid w:val="001A4304"/>
    <w:rsid w:val="001A465A"/>
    <w:rsid w:val="001A540D"/>
    <w:rsid w:val="001A5437"/>
    <w:rsid w:val="001A6C61"/>
    <w:rsid w:val="001A7A48"/>
    <w:rsid w:val="001B074D"/>
    <w:rsid w:val="001B215B"/>
    <w:rsid w:val="001B2E2C"/>
    <w:rsid w:val="001B3443"/>
    <w:rsid w:val="001B3862"/>
    <w:rsid w:val="001B5A87"/>
    <w:rsid w:val="001B7150"/>
    <w:rsid w:val="001B792E"/>
    <w:rsid w:val="001C1355"/>
    <w:rsid w:val="001C2F09"/>
    <w:rsid w:val="001C4F9E"/>
    <w:rsid w:val="001C5AC9"/>
    <w:rsid w:val="001C6E66"/>
    <w:rsid w:val="001D0ABE"/>
    <w:rsid w:val="001D2CA7"/>
    <w:rsid w:val="001D5111"/>
    <w:rsid w:val="001E150B"/>
    <w:rsid w:val="001E238E"/>
    <w:rsid w:val="001E2B1E"/>
    <w:rsid w:val="001E37CF"/>
    <w:rsid w:val="001E3AC3"/>
    <w:rsid w:val="001E50CE"/>
    <w:rsid w:val="001E519F"/>
    <w:rsid w:val="001E52EB"/>
    <w:rsid w:val="001E6680"/>
    <w:rsid w:val="001E740C"/>
    <w:rsid w:val="001F048A"/>
    <w:rsid w:val="001F1235"/>
    <w:rsid w:val="001F1CB3"/>
    <w:rsid w:val="001F4FC1"/>
    <w:rsid w:val="001F5C85"/>
    <w:rsid w:val="001F7361"/>
    <w:rsid w:val="002028A7"/>
    <w:rsid w:val="0020385F"/>
    <w:rsid w:val="00204E41"/>
    <w:rsid w:val="002061C9"/>
    <w:rsid w:val="00206B81"/>
    <w:rsid w:val="00207021"/>
    <w:rsid w:val="0020789C"/>
    <w:rsid w:val="00207D00"/>
    <w:rsid w:val="002105C1"/>
    <w:rsid w:val="00212FDE"/>
    <w:rsid w:val="0021510F"/>
    <w:rsid w:val="002169AB"/>
    <w:rsid w:val="00217A43"/>
    <w:rsid w:val="00222A27"/>
    <w:rsid w:val="00223B49"/>
    <w:rsid w:val="00223E77"/>
    <w:rsid w:val="0022443B"/>
    <w:rsid w:val="00224548"/>
    <w:rsid w:val="00224DD4"/>
    <w:rsid w:val="002258FD"/>
    <w:rsid w:val="00225A09"/>
    <w:rsid w:val="002309CC"/>
    <w:rsid w:val="002314BE"/>
    <w:rsid w:val="002337F8"/>
    <w:rsid w:val="002355D2"/>
    <w:rsid w:val="0023655D"/>
    <w:rsid w:val="00236F31"/>
    <w:rsid w:val="00240451"/>
    <w:rsid w:val="002407E3"/>
    <w:rsid w:val="00240838"/>
    <w:rsid w:val="00240916"/>
    <w:rsid w:val="00241087"/>
    <w:rsid w:val="00242997"/>
    <w:rsid w:val="00243E1A"/>
    <w:rsid w:val="00243E46"/>
    <w:rsid w:val="0024518C"/>
    <w:rsid w:val="0025280C"/>
    <w:rsid w:val="002533DF"/>
    <w:rsid w:val="00254544"/>
    <w:rsid w:val="00254858"/>
    <w:rsid w:val="00254DCF"/>
    <w:rsid w:val="0025534B"/>
    <w:rsid w:val="00255BB7"/>
    <w:rsid w:val="00256A89"/>
    <w:rsid w:val="00257888"/>
    <w:rsid w:val="0026029F"/>
    <w:rsid w:val="00260357"/>
    <w:rsid w:val="00260826"/>
    <w:rsid w:val="0026099F"/>
    <w:rsid w:val="00262A87"/>
    <w:rsid w:val="00262F1F"/>
    <w:rsid w:val="00263F07"/>
    <w:rsid w:val="00264429"/>
    <w:rsid w:val="002656AC"/>
    <w:rsid w:val="00266434"/>
    <w:rsid w:val="00267A20"/>
    <w:rsid w:val="00267E45"/>
    <w:rsid w:val="00270BF0"/>
    <w:rsid w:val="00271542"/>
    <w:rsid w:val="0027260A"/>
    <w:rsid w:val="00274D4E"/>
    <w:rsid w:val="00274D54"/>
    <w:rsid w:val="00275010"/>
    <w:rsid w:val="00275B49"/>
    <w:rsid w:val="00275C5A"/>
    <w:rsid w:val="00277A5F"/>
    <w:rsid w:val="00281014"/>
    <w:rsid w:val="002826F8"/>
    <w:rsid w:val="00282EE1"/>
    <w:rsid w:val="0028613D"/>
    <w:rsid w:val="00286CFA"/>
    <w:rsid w:val="002911D2"/>
    <w:rsid w:val="00293671"/>
    <w:rsid w:val="0029431B"/>
    <w:rsid w:val="002958B0"/>
    <w:rsid w:val="00295A70"/>
    <w:rsid w:val="00295AC4"/>
    <w:rsid w:val="00295B02"/>
    <w:rsid w:val="002A14AB"/>
    <w:rsid w:val="002A4309"/>
    <w:rsid w:val="002A54AE"/>
    <w:rsid w:val="002A7274"/>
    <w:rsid w:val="002B05AF"/>
    <w:rsid w:val="002B0B8C"/>
    <w:rsid w:val="002B1ACC"/>
    <w:rsid w:val="002B1C1F"/>
    <w:rsid w:val="002B2F7A"/>
    <w:rsid w:val="002B3A1A"/>
    <w:rsid w:val="002B432F"/>
    <w:rsid w:val="002B46EA"/>
    <w:rsid w:val="002B5ED1"/>
    <w:rsid w:val="002B61CA"/>
    <w:rsid w:val="002B6CCE"/>
    <w:rsid w:val="002C0064"/>
    <w:rsid w:val="002C1248"/>
    <w:rsid w:val="002C1BF1"/>
    <w:rsid w:val="002C2775"/>
    <w:rsid w:val="002C27C1"/>
    <w:rsid w:val="002C5FCC"/>
    <w:rsid w:val="002C6C32"/>
    <w:rsid w:val="002D0F7E"/>
    <w:rsid w:val="002D1045"/>
    <w:rsid w:val="002D115F"/>
    <w:rsid w:val="002D410A"/>
    <w:rsid w:val="002D7CB6"/>
    <w:rsid w:val="002E220A"/>
    <w:rsid w:val="002E2242"/>
    <w:rsid w:val="002E28AE"/>
    <w:rsid w:val="002E6663"/>
    <w:rsid w:val="002E6731"/>
    <w:rsid w:val="002E6D90"/>
    <w:rsid w:val="002E6DA0"/>
    <w:rsid w:val="002E7D11"/>
    <w:rsid w:val="002F2E63"/>
    <w:rsid w:val="002F3F15"/>
    <w:rsid w:val="002F4012"/>
    <w:rsid w:val="002F52E5"/>
    <w:rsid w:val="002F601F"/>
    <w:rsid w:val="002F7871"/>
    <w:rsid w:val="003008C8"/>
    <w:rsid w:val="00301017"/>
    <w:rsid w:val="00302478"/>
    <w:rsid w:val="00302C04"/>
    <w:rsid w:val="003039EF"/>
    <w:rsid w:val="003047F9"/>
    <w:rsid w:val="00305B45"/>
    <w:rsid w:val="00306A83"/>
    <w:rsid w:val="00306B32"/>
    <w:rsid w:val="00307651"/>
    <w:rsid w:val="0030786C"/>
    <w:rsid w:val="00307D9F"/>
    <w:rsid w:val="00307ED1"/>
    <w:rsid w:val="00307FC9"/>
    <w:rsid w:val="0031031A"/>
    <w:rsid w:val="0031049D"/>
    <w:rsid w:val="00310981"/>
    <w:rsid w:val="00311425"/>
    <w:rsid w:val="00313A9B"/>
    <w:rsid w:val="00313B02"/>
    <w:rsid w:val="00315498"/>
    <w:rsid w:val="00315C17"/>
    <w:rsid w:val="00316144"/>
    <w:rsid w:val="003164FA"/>
    <w:rsid w:val="00320045"/>
    <w:rsid w:val="00320095"/>
    <w:rsid w:val="00321D82"/>
    <w:rsid w:val="00324987"/>
    <w:rsid w:val="00324E64"/>
    <w:rsid w:val="00325B05"/>
    <w:rsid w:val="00325ECE"/>
    <w:rsid w:val="00327B87"/>
    <w:rsid w:val="00334154"/>
    <w:rsid w:val="00335C45"/>
    <w:rsid w:val="003366C9"/>
    <w:rsid w:val="003371B0"/>
    <w:rsid w:val="00342D3D"/>
    <w:rsid w:val="00345359"/>
    <w:rsid w:val="00351410"/>
    <w:rsid w:val="00351486"/>
    <w:rsid w:val="00353940"/>
    <w:rsid w:val="0035620E"/>
    <w:rsid w:val="00356AF3"/>
    <w:rsid w:val="003576F3"/>
    <w:rsid w:val="0036100A"/>
    <w:rsid w:val="00361576"/>
    <w:rsid w:val="00363574"/>
    <w:rsid w:val="0036529E"/>
    <w:rsid w:val="003653DA"/>
    <w:rsid w:val="00365503"/>
    <w:rsid w:val="003666B1"/>
    <w:rsid w:val="00367C70"/>
    <w:rsid w:val="00367E1C"/>
    <w:rsid w:val="00370109"/>
    <w:rsid w:val="003701A0"/>
    <w:rsid w:val="00370BAF"/>
    <w:rsid w:val="0037139F"/>
    <w:rsid w:val="0037155B"/>
    <w:rsid w:val="00371765"/>
    <w:rsid w:val="00372661"/>
    <w:rsid w:val="00373403"/>
    <w:rsid w:val="00375F39"/>
    <w:rsid w:val="00376994"/>
    <w:rsid w:val="00377F0E"/>
    <w:rsid w:val="00377FF5"/>
    <w:rsid w:val="003818ED"/>
    <w:rsid w:val="00382490"/>
    <w:rsid w:val="00382C09"/>
    <w:rsid w:val="0038365C"/>
    <w:rsid w:val="00383DEB"/>
    <w:rsid w:val="00390837"/>
    <w:rsid w:val="00393580"/>
    <w:rsid w:val="00393B36"/>
    <w:rsid w:val="00395E47"/>
    <w:rsid w:val="00396FD0"/>
    <w:rsid w:val="00397BD6"/>
    <w:rsid w:val="003A114E"/>
    <w:rsid w:val="003A1A7A"/>
    <w:rsid w:val="003A1AE0"/>
    <w:rsid w:val="003A20D1"/>
    <w:rsid w:val="003A46A7"/>
    <w:rsid w:val="003A568F"/>
    <w:rsid w:val="003A5C89"/>
    <w:rsid w:val="003A62DE"/>
    <w:rsid w:val="003A681F"/>
    <w:rsid w:val="003A68D8"/>
    <w:rsid w:val="003B12D4"/>
    <w:rsid w:val="003B1EB7"/>
    <w:rsid w:val="003B21EF"/>
    <w:rsid w:val="003B49E4"/>
    <w:rsid w:val="003B6A3C"/>
    <w:rsid w:val="003B7203"/>
    <w:rsid w:val="003B7943"/>
    <w:rsid w:val="003C151B"/>
    <w:rsid w:val="003C264D"/>
    <w:rsid w:val="003C4B32"/>
    <w:rsid w:val="003C52AB"/>
    <w:rsid w:val="003C6174"/>
    <w:rsid w:val="003C78DC"/>
    <w:rsid w:val="003C7B16"/>
    <w:rsid w:val="003D1828"/>
    <w:rsid w:val="003D183E"/>
    <w:rsid w:val="003D20CF"/>
    <w:rsid w:val="003D2422"/>
    <w:rsid w:val="003D2487"/>
    <w:rsid w:val="003D46A5"/>
    <w:rsid w:val="003D501C"/>
    <w:rsid w:val="003D5FFA"/>
    <w:rsid w:val="003D6987"/>
    <w:rsid w:val="003D7855"/>
    <w:rsid w:val="003E0032"/>
    <w:rsid w:val="003E33C5"/>
    <w:rsid w:val="003E3614"/>
    <w:rsid w:val="003E4050"/>
    <w:rsid w:val="003E494B"/>
    <w:rsid w:val="003E67A4"/>
    <w:rsid w:val="003E6DD9"/>
    <w:rsid w:val="003F4156"/>
    <w:rsid w:val="003F68D6"/>
    <w:rsid w:val="00400335"/>
    <w:rsid w:val="004020AF"/>
    <w:rsid w:val="00403877"/>
    <w:rsid w:val="00404671"/>
    <w:rsid w:val="00404D8B"/>
    <w:rsid w:val="00405862"/>
    <w:rsid w:val="00405A81"/>
    <w:rsid w:val="004061D2"/>
    <w:rsid w:val="00406FAC"/>
    <w:rsid w:val="00410696"/>
    <w:rsid w:val="00410708"/>
    <w:rsid w:val="00410A8C"/>
    <w:rsid w:val="00410EC7"/>
    <w:rsid w:val="004131E2"/>
    <w:rsid w:val="00414476"/>
    <w:rsid w:val="004203D8"/>
    <w:rsid w:val="00420A76"/>
    <w:rsid w:val="00420B9F"/>
    <w:rsid w:val="00421413"/>
    <w:rsid w:val="00423890"/>
    <w:rsid w:val="00423E08"/>
    <w:rsid w:val="004307C8"/>
    <w:rsid w:val="00430CB2"/>
    <w:rsid w:val="004319F8"/>
    <w:rsid w:val="00433044"/>
    <w:rsid w:val="0043538B"/>
    <w:rsid w:val="00437DB3"/>
    <w:rsid w:val="0044310C"/>
    <w:rsid w:val="004443A7"/>
    <w:rsid w:val="004464EB"/>
    <w:rsid w:val="004472E5"/>
    <w:rsid w:val="00450CF5"/>
    <w:rsid w:val="004519F1"/>
    <w:rsid w:val="00451B88"/>
    <w:rsid w:val="0045243B"/>
    <w:rsid w:val="004528BE"/>
    <w:rsid w:val="004541EE"/>
    <w:rsid w:val="004542B0"/>
    <w:rsid w:val="00454ADC"/>
    <w:rsid w:val="00455496"/>
    <w:rsid w:val="00455B8E"/>
    <w:rsid w:val="00455D45"/>
    <w:rsid w:val="00456988"/>
    <w:rsid w:val="004569ED"/>
    <w:rsid w:val="0045711A"/>
    <w:rsid w:val="004573A7"/>
    <w:rsid w:val="00461E78"/>
    <w:rsid w:val="00462302"/>
    <w:rsid w:val="00463C8D"/>
    <w:rsid w:val="00464595"/>
    <w:rsid w:val="00465242"/>
    <w:rsid w:val="00467D92"/>
    <w:rsid w:val="00471862"/>
    <w:rsid w:val="00471FD3"/>
    <w:rsid w:val="00473789"/>
    <w:rsid w:val="00477FF8"/>
    <w:rsid w:val="00480025"/>
    <w:rsid w:val="00481728"/>
    <w:rsid w:val="00481E57"/>
    <w:rsid w:val="004826F5"/>
    <w:rsid w:val="00484768"/>
    <w:rsid w:val="00484E29"/>
    <w:rsid w:val="00484E7D"/>
    <w:rsid w:val="004853A4"/>
    <w:rsid w:val="00485591"/>
    <w:rsid w:val="00485808"/>
    <w:rsid w:val="00485F30"/>
    <w:rsid w:val="00486062"/>
    <w:rsid w:val="004861CA"/>
    <w:rsid w:val="004867E2"/>
    <w:rsid w:val="00486859"/>
    <w:rsid w:val="00490985"/>
    <w:rsid w:val="00491791"/>
    <w:rsid w:val="00491912"/>
    <w:rsid w:val="00491B3A"/>
    <w:rsid w:val="00491C43"/>
    <w:rsid w:val="00491E80"/>
    <w:rsid w:val="00492CFD"/>
    <w:rsid w:val="00492E35"/>
    <w:rsid w:val="00494782"/>
    <w:rsid w:val="00494DA0"/>
    <w:rsid w:val="004962D2"/>
    <w:rsid w:val="00496D77"/>
    <w:rsid w:val="004A0DA1"/>
    <w:rsid w:val="004A1854"/>
    <w:rsid w:val="004A2904"/>
    <w:rsid w:val="004A2D6F"/>
    <w:rsid w:val="004A4D62"/>
    <w:rsid w:val="004A6597"/>
    <w:rsid w:val="004B1CB4"/>
    <w:rsid w:val="004B2784"/>
    <w:rsid w:val="004B2B41"/>
    <w:rsid w:val="004B2F18"/>
    <w:rsid w:val="004B3670"/>
    <w:rsid w:val="004B3DDB"/>
    <w:rsid w:val="004B44FD"/>
    <w:rsid w:val="004B45F2"/>
    <w:rsid w:val="004B567E"/>
    <w:rsid w:val="004B5B71"/>
    <w:rsid w:val="004B5CFC"/>
    <w:rsid w:val="004C0946"/>
    <w:rsid w:val="004C0EBB"/>
    <w:rsid w:val="004C1D78"/>
    <w:rsid w:val="004C35A6"/>
    <w:rsid w:val="004C4AED"/>
    <w:rsid w:val="004C4C03"/>
    <w:rsid w:val="004C6E81"/>
    <w:rsid w:val="004D1A8F"/>
    <w:rsid w:val="004D1FF9"/>
    <w:rsid w:val="004D205F"/>
    <w:rsid w:val="004D2087"/>
    <w:rsid w:val="004D2314"/>
    <w:rsid w:val="004D2D4C"/>
    <w:rsid w:val="004D318D"/>
    <w:rsid w:val="004D3BC9"/>
    <w:rsid w:val="004D3CEE"/>
    <w:rsid w:val="004D6831"/>
    <w:rsid w:val="004D7708"/>
    <w:rsid w:val="004E0EB8"/>
    <w:rsid w:val="004E1DF0"/>
    <w:rsid w:val="004E2ADC"/>
    <w:rsid w:val="004E3169"/>
    <w:rsid w:val="004E43B2"/>
    <w:rsid w:val="004E65B5"/>
    <w:rsid w:val="004E6825"/>
    <w:rsid w:val="004F1797"/>
    <w:rsid w:val="004F1D02"/>
    <w:rsid w:val="004F2679"/>
    <w:rsid w:val="004F453F"/>
    <w:rsid w:val="004F4EE6"/>
    <w:rsid w:val="004F57EC"/>
    <w:rsid w:val="004F5A9E"/>
    <w:rsid w:val="004F7351"/>
    <w:rsid w:val="004F7865"/>
    <w:rsid w:val="004F7C34"/>
    <w:rsid w:val="005005D0"/>
    <w:rsid w:val="005024F7"/>
    <w:rsid w:val="00502E74"/>
    <w:rsid w:val="00504C97"/>
    <w:rsid w:val="00505D2D"/>
    <w:rsid w:val="00506928"/>
    <w:rsid w:val="0051074E"/>
    <w:rsid w:val="00511F96"/>
    <w:rsid w:val="005145EA"/>
    <w:rsid w:val="005152B5"/>
    <w:rsid w:val="005163D7"/>
    <w:rsid w:val="00517E7A"/>
    <w:rsid w:val="00517F11"/>
    <w:rsid w:val="00520459"/>
    <w:rsid w:val="00520732"/>
    <w:rsid w:val="00521319"/>
    <w:rsid w:val="0052134F"/>
    <w:rsid w:val="00521740"/>
    <w:rsid w:val="00523C28"/>
    <w:rsid w:val="005249F9"/>
    <w:rsid w:val="00524A7B"/>
    <w:rsid w:val="00525C10"/>
    <w:rsid w:val="005269A7"/>
    <w:rsid w:val="00527DC7"/>
    <w:rsid w:val="00532033"/>
    <w:rsid w:val="005322A6"/>
    <w:rsid w:val="005332C1"/>
    <w:rsid w:val="00533DB6"/>
    <w:rsid w:val="005372E8"/>
    <w:rsid w:val="00542A58"/>
    <w:rsid w:val="0054308F"/>
    <w:rsid w:val="00546177"/>
    <w:rsid w:val="005509D9"/>
    <w:rsid w:val="00552BD3"/>
    <w:rsid w:val="00552D61"/>
    <w:rsid w:val="00553691"/>
    <w:rsid w:val="00553E3F"/>
    <w:rsid w:val="00555109"/>
    <w:rsid w:val="00555CE3"/>
    <w:rsid w:val="00556DBC"/>
    <w:rsid w:val="00557610"/>
    <w:rsid w:val="00557F8F"/>
    <w:rsid w:val="005606A6"/>
    <w:rsid w:val="00560EC2"/>
    <w:rsid w:val="0056120E"/>
    <w:rsid w:val="0056393C"/>
    <w:rsid w:val="00564440"/>
    <w:rsid w:val="00565182"/>
    <w:rsid w:val="0056696F"/>
    <w:rsid w:val="005673EF"/>
    <w:rsid w:val="00570289"/>
    <w:rsid w:val="0057058B"/>
    <w:rsid w:val="00571158"/>
    <w:rsid w:val="00571554"/>
    <w:rsid w:val="005726EA"/>
    <w:rsid w:val="00572F14"/>
    <w:rsid w:val="005738EF"/>
    <w:rsid w:val="00573ED8"/>
    <w:rsid w:val="00575AB0"/>
    <w:rsid w:val="00575D8D"/>
    <w:rsid w:val="00576972"/>
    <w:rsid w:val="00580259"/>
    <w:rsid w:val="00583699"/>
    <w:rsid w:val="0058396D"/>
    <w:rsid w:val="00585D45"/>
    <w:rsid w:val="00590916"/>
    <w:rsid w:val="00590DFC"/>
    <w:rsid w:val="0059102F"/>
    <w:rsid w:val="00593CEB"/>
    <w:rsid w:val="00595576"/>
    <w:rsid w:val="00595BEB"/>
    <w:rsid w:val="00595CE5"/>
    <w:rsid w:val="00596D18"/>
    <w:rsid w:val="00597737"/>
    <w:rsid w:val="005A0D50"/>
    <w:rsid w:val="005A509D"/>
    <w:rsid w:val="005A6D61"/>
    <w:rsid w:val="005A6EB8"/>
    <w:rsid w:val="005A7947"/>
    <w:rsid w:val="005A7ADB"/>
    <w:rsid w:val="005B3C90"/>
    <w:rsid w:val="005B5857"/>
    <w:rsid w:val="005B6126"/>
    <w:rsid w:val="005B6738"/>
    <w:rsid w:val="005B6FE1"/>
    <w:rsid w:val="005C0CB9"/>
    <w:rsid w:val="005C154A"/>
    <w:rsid w:val="005C188D"/>
    <w:rsid w:val="005C18AC"/>
    <w:rsid w:val="005C1B83"/>
    <w:rsid w:val="005C1ED2"/>
    <w:rsid w:val="005C2B25"/>
    <w:rsid w:val="005C346B"/>
    <w:rsid w:val="005C4855"/>
    <w:rsid w:val="005C61B2"/>
    <w:rsid w:val="005C69D3"/>
    <w:rsid w:val="005C726A"/>
    <w:rsid w:val="005C7757"/>
    <w:rsid w:val="005C7BA3"/>
    <w:rsid w:val="005D044D"/>
    <w:rsid w:val="005D0ED5"/>
    <w:rsid w:val="005D18AD"/>
    <w:rsid w:val="005D1B1F"/>
    <w:rsid w:val="005D23C4"/>
    <w:rsid w:val="005D3D96"/>
    <w:rsid w:val="005D6B5A"/>
    <w:rsid w:val="005D6D3B"/>
    <w:rsid w:val="005E12F1"/>
    <w:rsid w:val="005E1635"/>
    <w:rsid w:val="005E5370"/>
    <w:rsid w:val="005E55F2"/>
    <w:rsid w:val="005E5B68"/>
    <w:rsid w:val="005E5E26"/>
    <w:rsid w:val="005E73C0"/>
    <w:rsid w:val="005E7DA1"/>
    <w:rsid w:val="005F02FD"/>
    <w:rsid w:val="005F074B"/>
    <w:rsid w:val="005F18DE"/>
    <w:rsid w:val="005F1D04"/>
    <w:rsid w:val="005F1EC3"/>
    <w:rsid w:val="005F2706"/>
    <w:rsid w:val="005F2DF1"/>
    <w:rsid w:val="005F51CC"/>
    <w:rsid w:val="005F5609"/>
    <w:rsid w:val="005F5C7C"/>
    <w:rsid w:val="005F6A8F"/>
    <w:rsid w:val="005F7379"/>
    <w:rsid w:val="006001E3"/>
    <w:rsid w:val="00601491"/>
    <w:rsid w:val="0060327E"/>
    <w:rsid w:val="006056AF"/>
    <w:rsid w:val="00607669"/>
    <w:rsid w:val="00607CD2"/>
    <w:rsid w:val="00610EB7"/>
    <w:rsid w:val="00611028"/>
    <w:rsid w:val="0061204F"/>
    <w:rsid w:val="00612F97"/>
    <w:rsid w:val="006141D1"/>
    <w:rsid w:val="0061553D"/>
    <w:rsid w:val="00616802"/>
    <w:rsid w:val="00616CDB"/>
    <w:rsid w:val="006176C4"/>
    <w:rsid w:val="00617E12"/>
    <w:rsid w:val="00621477"/>
    <w:rsid w:val="00621CF7"/>
    <w:rsid w:val="006245AD"/>
    <w:rsid w:val="006257E9"/>
    <w:rsid w:val="00630702"/>
    <w:rsid w:val="00631C87"/>
    <w:rsid w:val="00631D6B"/>
    <w:rsid w:val="00634436"/>
    <w:rsid w:val="0063479F"/>
    <w:rsid w:val="00635849"/>
    <w:rsid w:val="00635F62"/>
    <w:rsid w:val="0063600C"/>
    <w:rsid w:val="006364A1"/>
    <w:rsid w:val="00637025"/>
    <w:rsid w:val="00637B8F"/>
    <w:rsid w:val="00637BFD"/>
    <w:rsid w:val="00640ACC"/>
    <w:rsid w:val="00644ACF"/>
    <w:rsid w:val="0064589C"/>
    <w:rsid w:val="006467DD"/>
    <w:rsid w:val="006471CC"/>
    <w:rsid w:val="00647763"/>
    <w:rsid w:val="00647C4B"/>
    <w:rsid w:val="006504C4"/>
    <w:rsid w:val="0065079F"/>
    <w:rsid w:val="0065277F"/>
    <w:rsid w:val="00654BCD"/>
    <w:rsid w:val="00656535"/>
    <w:rsid w:val="0065669D"/>
    <w:rsid w:val="006576FD"/>
    <w:rsid w:val="0065783E"/>
    <w:rsid w:val="006606CB"/>
    <w:rsid w:val="0066174C"/>
    <w:rsid w:val="006620DB"/>
    <w:rsid w:val="00663183"/>
    <w:rsid w:val="006635D1"/>
    <w:rsid w:val="00663C7D"/>
    <w:rsid w:val="006641E9"/>
    <w:rsid w:val="006645FE"/>
    <w:rsid w:val="006657B5"/>
    <w:rsid w:val="006703E7"/>
    <w:rsid w:val="00670A4F"/>
    <w:rsid w:val="00673CAC"/>
    <w:rsid w:val="00674E42"/>
    <w:rsid w:val="00675795"/>
    <w:rsid w:val="00675DA8"/>
    <w:rsid w:val="006768D7"/>
    <w:rsid w:val="00676BF5"/>
    <w:rsid w:val="00677792"/>
    <w:rsid w:val="0068142D"/>
    <w:rsid w:val="0068174D"/>
    <w:rsid w:val="0068185F"/>
    <w:rsid w:val="00682112"/>
    <w:rsid w:val="006821FB"/>
    <w:rsid w:val="0068260E"/>
    <w:rsid w:val="00685AC5"/>
    <w:rsid w:val="00686480"/>
    <w:rsid w:val="006872BA"/>
    <w:rsid w:val="006876B1"/>
    <w:rsid w:val="00690539"/>
    <w:rsid w:val="00690A7B"/>
    <w:rsid w:val="00690C1A"/>
    <w:rsid w:val="00690E25"/>
    <w:rsid w:val="006916BB"/>
    <w:rsid w:val="006917D7"/>
    <w:rsid w:val="0069357D"/>
    <w:rsid w:val="00693BFC"/>
    <w:rsid w:val="006943FF"/>
    <w:rsid w:val="00694F44"/>
    <w:rsid w:val="0069552A"/>
    <w:rsid w:val="0069587C"/>
    <w:rsid w:val="0069792B"/>
    <w:rsid w:val="006A1CDA"/>
    <w:rsid w:val="006A3D7C"/>
    <w:rsid w:val="006B0C5F"/>
    <w:rsid w:val="006B3365"/>
    <w:rsid w:val="006B4698"/>
    <w:rsid w:val="006B48A2"/>
    <w:rsid w:val="006B57B6"/>
    <w:rsid w:val="006B5B0B"/>
    <w:rsid w:val="006B74C1"/>
    <w:rsid w:val="006B7F68"/>
    <w:rsid w:val="006C007C"/>
    <w:rsid w:val="006C0E82"/>
    <w:rsid w:val="006C2A8E"/>
    <w:rsid w:val="006C2F6A"/>
    <w:rsid w:val="006C4355"/>
    <w:rsid w:val="006C5698"/>
    <w:rsid w:val="006C69F8"/>
    <w:rsid w:val="006C6F5E"/>
    <w:rsid w:val="006C7802"/>
    <w:rsid w:val="006C7ACF"/>
    <w:rsid w:val="006D052E"/>
    <w:rsid w:val="006D0CDF"/>
    <w:rsid w:val="006D19D3"/>
    <w:rsid w:val="006D2192"/>
    <w:rsid w:val="006D3C7D"/>
    <w:rsid w:val="006D5D5F"/>
    <w:rsid w:val="006D6895"/>
    <w:rsid w:val="006E019C"/>
    <w:rsid w:val="006E214E"/>
    <w:rsid w:val="006E21FC"/>
    <w:rsid w:val="006E2731"/>
    <w:rsid w:val="006E31A1"/>
    <w:rsid w:val="006E3755"/>
    <w:rsid w:val="006E4277"/>
    <w:rsid w:val="006E4449"/>
    <w:rsid w:val="006E5657"/>
    <w:rsid w:val="006E6E51"/>
    <w:rsid w:val="006F06E6"/>
    <w:rsid w:val="006F0F99"/>
    <w:rsid w:val="006F1072"/>
    <w:rsid w:val="006F3BCA"/>
    <w:rsid w:val="006F4028"/>
    <w:rsid w:val="006F496B"/>
    <w:rsid w:val="006F63A5"/>
    <w:rsid w:val="00700156"/>
    <w:rsid w:val="00700C0E"/>
    <w:rsid w:val="00701670"/>
    <w:rsid w:val="00702083"/>
    <w:rsid w:val="0070276E"/>
    <w:rsid w:val="00702F8F"/>
    <w:rsid w:val="00703856"/>
    <w:rsid w:val="007108EA"/>
    <w:rsid w:val="00711A36"/>
    <w:rsid w:val="00712EE0"/>
    <w:rsid w:val="00714A2D"/>
    <w:rsid w:val="007154C6"/>
    <w:rsid w:val="007157D5"/>
    <w:rsid w:val="00716E5F"/>
    <w:rsid w:val="007172AD"/>
    <w:rsid w:val="0071738C"/>
    <w:rsid w:val="00717EAB"/>
    <w:rsid w:val="007210F4"/>
    <w:rsid w:val="0072357D"/>
    <w:rsid w:val="0072416F"/>
    <w:rsid w:val="007243AA"/>
    <w:rsid w:val="00735328"/>
    <w:rsid w:val="0073557E"/>
    <w:rsid w:val="0073685B"/>
    <w:rsid w:val="007376B6"/>
    <w:rsid w:val="00740631"/>
    <w:rsid w:val="00742DDD"/>
    <w:rsid w:val="00743654"/>
    <w:rsid w:val="00743F42"/>
    <w:rsid w:val="007441F4"/>
    <w:rsid w:val="00746A0D"/>
    <w:rsid w:val="007470C8"/>
    <w:rsid w:val="007472C3"/>
    <w:rsid w:val="00751F9B"/>
    <w:rsid w:val="00752677"/>
    <w:rsid w:val="00752BE2"/>
    <w:rsid w:val="00754104"/>
    <w:rsid w:val="00754593"/>
    <w:rsid w:val="00754EC9"/>
    <w:rsid w:val="00756C36"/>
    <w:rsid w:val="00760339"/>
    <w:rsid w:val="007611C7"/>
    <w:rsid w:val="0076247D"/>
    <w:rsid w:val="0076319E"/>
    <w:rsid w:val="00763311"/>
    <w:rsid w:val="007661BE"/>
    <w:rsid w:val="007664D6"/>
    <w:rsid w:val="007664ED"/>
    <w:rsid w:val="00767875"/>
    <w:rsid w:val="00767E99"/>
    <w:rsid w:val="00770800"/>
    <w:rsid w:val="00772412"/>
    <w:rsid w:val="00772DB1"/>
    <w:rsid w:val="007731F3"/>
    <w:rsid w:val="00773B67"/>
    <w:rsid w:val="00776EC5"/>
    <w:rsid w:val="00777858"/>
    <w:rsid w:val="00777CB9"/>
    <w:rsid w:val="00780D87"/>
    <w:rsid w:val="00782D3C"/>
    <w:rsid w:val="00784362"/>
    <w:rsid w:val="00786291"/>
    <w:rsid w:val="00786F23"/>
    <w:rsid w:val="0078728A"/>
    <w:rsid w:val="0078782F"/>
    <w:rsid w:val="00790520"/>
    <w:rsid w:val="007906F4"/>
    <w:rsid w:val="00790878"/>
    <w:rsid w:val="00792F6E"/>
    <w:rsid w:val="00793014"/>
    <w:rsid w:val="00793B01"/>
    <w:rsid w:val="007966B4"/>
    <w:rsid w:val="00797FA6"/>
    <w:rsid w:val="007A0A12"/>
    <w:rsid w:val="007A1FFF"/>
    <w:rsid w:val="007A2815"/>
    <w:rsid w:val="007A5967"/>
    <w:rsid w:val="007B0117"/>
    <w:rsid w:val="007B0800"/>
    <w:rsid w:val="007B0A79"/>
    <w:rsid w:val="007B0D2D"/>
    <w:rsid w:val="007B251D"/>
    <w:rsid w:val="007B303D"/>
    <w:rsid w:val="007B4664"/>
    <w:rsid w:val="007B5895"/>
    <w:rsid w:val="007B77D1"/>
    <w:rsid w:val="007B7D06"/>
    <w:rsid w:val="007C18D0"/>
    <w:rsid w:val="007C238D"/>
    <w:rsid w:val="007C361D"/>
    <w:rsid w:val="007C4007"/>
    <w:rsid w:val="007C594A"/>
    <w:rsid w:val="007D0389"/>
    <w:rsid w:val="007D0B38"/>
    <w:rsid w:val="007D1DB1"/>
    <w:rsid w:val="007D3525"/>
    <w:rsid w:val="007D4EE9"/>
    <w:rsid w:val="007D7F52"/>
    <w:rsid w:val="007E2101"/>
    <w:rsid w:val="007E25A6"/>
    <w:rsid w:val="007E35F3"/>
    <w:rsid w:val="007E4B63"/>
    <w:rsid w:val="007E6C00"/>
    <w:rsid w:val="007F0D1D"/>
    <w:rsid w:val="007F1017"/>
    <w:rsid w:val="007F17B7"/>
    <w:rsid w:val="007F4309"/>
    <w:rsid w:val="007F4716"/>
    <w:rsid w:val="007F4A3F"/>
    <w:rsid w:val="007F5185"/>
    <w:rsid w:val="007F5946"/>
    <w:rsid w:val="007F7941"/>
    <w:rsid w:val="00800398"/>
    <w:rsid w:val="008014E1"/>
    <w:rsid w:val="00802E94"/>
    <w:rsid w:val="00803920"/>
    <w:rsid w:val="00805142"/>
    <w:rsid w:val="0080641E"/>
    <w:rsid w:val="008068FD"/>
    <w:rsid w:val="0080706B"/>
    <w:rsid w:val="00807A8B"/>
    <w:rsid w:val="00812149"/>
    <w:rsid w:val="008141C0"/>
    <w:rsid w:val="0081594D"/>
    <w:rsid w:val="00816168"/>
    <w:rsid w:val="008166EF"/>
    <w:rsid w:val="008175DF"/>
    <w:rsid w:val="00817FAB"/>
    <w:rsid w:val="00821066"/>
    <w:rsid w:val="00824864"/>
    <w:rsid w:val="008262BC"/>
    <w:rsid w:val="008264E5"/>
    <w:rsid w:val="008264EB"/>
    <w:rsid w:val="0082733C"/>
    <w:rsid w:val="00831843"/>
    <w:rsid w:val="00832DE5"/>
    <w:rsid w:val="00833B05"/>
    <w:rsid w:val="0083590B"/>
    <w:rsid w:val="00835BE4"/>
    <w:rsid w:val="008375AD"/>
    <w:rsid w:val="00840CA2"/>
    <w:rsid w:val="00841B73"/>
    <w:rsid w:val="00842BC9"/>
    <w:rsid w:val="00842C95"/>
    <w:rsid w:val="00842E25"/>
    <w:rsid w:val="00846693"/>
    <w:rsid w:val="008470B9"/>
    <w:rsid w:val="00847A91"/>
    <w:rsid w:val="0085057B"/>
    <w:rsid w:val="00850CEB"/>
    <w:rsid w:val="00856E9A"/>
    <w:rsid w:val="008579E2"/>
    <w:rsid w:val="00862502"/>
    <w:rsid w:val="00863898"/>
    <w:rsid w:val="0086439B"/>
    <w:rsid w:val="008645F7"/>
    <w:rsid w:val="008654F1"/>
    <w:rsid w:val="0086684A"/>
    <w:rsid w:val="00866E9E"/>
    <w:rsid w:val="00870BBD"/>
    <w:rsid w:val="00870EC6"/>
    <w:rsid w:val="0087117B"/>
    <w:rsid w:val="00872F2D"/>
    <w:rsid w:val="008733B3"/>
    <w:rsid w:val="00874548"/>
    <w:rsid w:val="0087517A"/>
    <w:rsid w:val="008777D2"/>
    <w:rsid w:val="00880A75"/>
    <w:rsid w:val="00882874"/>
    <w:rsid w:val="00883787"/>
    <w:rsid w:val="00884868"/>
    <w:rsid w:val="008854A1"/>
    <w:rsid w:val="00886992"/>
    <w:rsid w:val="00887216"/>
    <w:rsid w:val="00887F30"/>
    <w:rsid w:val="00890407"/>
    <w:rsid w:val="00891899"/>
    <w:rsid w:val="00891EC0"/>
    <w:rsid w:val="00892A83"/>
    <w:rsid w:val="00892E17"/>
    <w:rsid w:val="0089433A"/>
    <w:rsid w:val="00894489"/>
    <w:rsid w:val="00896039"/>
    <w:rsid w:val="008963A5"/>
    <w:rsid w:val="008970AA"/>
    <w:rsid w:val="008A056C"/>
    <w:rsid w:val="008A13D5"/>
    <w:rsid w:val="008A392B"/>
    <w:rsid w:val="008A3A51"/>
    <w:rsid w:val="008A3C3E"/>
    <w:rsid w:val="008A5111"/>
    <w:rsid w:val="008A6759"/>
    <w:rsid w:val="008A7349"/>
    <w:rsid w:val="008A79DE"/>
    <w:rsid w:val="008A7E2C"/>
    <w:rsid w:val="008B0E64"/>
    <w:rsid w:val="008B1299"/>
    <w:rsid w:val="008B136E"/>
    <w:rsid w:val="008B1549"/>
    <w:rsid w:val="008B1FB2"/>
    <w:rsid w:val="008B2E8C"/>
    <w:rsid w:val="008B2F84"/>
    <w:rsid w:val="008B3B87"/>
    <w:rsid w:val="008B5E21"/>
    <w:rsid w:val="008B7D7E"/>
    <w:rsid w:val="008C1E5B"/>
    <w:rsid w:val="008C25E5"/>
    <w:rsid w:val="008C3FB9"/>
    <w:rsid w:val="008C4E42"/>
    <w:rsid w:val="008C7382"/>
    <w:rsid w:val="008C7ECB"/>
    <w:rsid w:val="008D12D0"/>
    <w:rsid w:val="008D38FE"/>
    <w:rsid w:val="008D3AC4"/>
    <w:rsid w:val="008D4105"/>
    <w:rsid w:val="008E1258"/>
    <w:rsid w:val="008E1A4F"/>
    <w:rsid w:val="008E1B9E"/>
    <w:rsid w:val="008E2E82"/>
    <w:rsid w:val="008E3437"/>
    <w:rsid w:val="008E42F3"/>
    <w:rsid w:val="008E4FB9"/>
    <w:rsid w:val="008E7CB9"/>
    <w:rsid w:val="008F0429"/>
    <w:rsid w:val="008F120A"/>
    <w:rsid w:val="008F18D7"/>
    <w:rsid w:val="008F3018"/>
    <w:rsid w:val="008F336A"/>
    <w:rsid w:val="008F38C2"/>
    <w:rsid w:val="008F3ED7"/>
    <w:rsid w:val="008F48EB"/>
    <w:rsid w:val="008F4C90"/>
    <w:rsid w:val="008F4F0B"/>
    <w:rsid w:val="008F61B9"/>
    <w:rsid w:val="008F661B"/>
    <w:rsid w:val="008F6F70"/>
    <w:rsid w:val="009003F7"/>
    <w:rsid w:val="009009FE"/>
    <w:rsid w:val="0090101F"/>
    <w:rsid w:val="00902312"/>
    <w:rsid w:val="00903354"/>
    <w:rsid w:val="0090380D"/>
    <w:rsid w:val="00903D37"/>
    <w:rsid w:val="00904C84"/>
    <w:rsid w:val="00905247"/>
    <w:rsid w:val="0090555D"/>
    <w:rsid w:val="00905895"/>
    <w:rsid w:val="00906289"/>
    <w:rsid w:val="009062A5"/>
    <w:rsid w:val="00906A89"/>
    <w:rsid w:val="00906B8A"/>
    <w:rsid w:val="00906E40"/>
    <w:rsid w:val="00906FD4"/>
    <w:rsid w:val="00907350"/>
    <w:rsid w:val="00910A91"/>
    <w:rsid w:val="00911272"/>
    <w:rsid w:val="009120FD"/>
    <w:rsid w:val="00914122"/>
    <w:rsid w:val="00914DFF"/>
    <w:rsid w:val="00915DBD"/>
    <w:rsid w:val="0091690C"/>
    <w:rsid w:val="00916F54"/>
    <w:rsid w:val="009209A5"/>
    <w:rsid w:val="009242C2"/>
    <w:rsid w:val="009265BB"/>
    <w:rsid w:val="009300AA"/>
    <w:rsid w:val="00931642"/>
    <w:rsid w:val="0093230C"/>
    <w:rsid w:val="00932350"/>
    <w:rsid w:val="00932860"/>
    <w:rsid w:val="00932AB3"/>
    <w:rsid w:val="00935905"/>
    <w:rsid w:val="009362D8"/>
    <w:rsid w:val="009374B6"/>
    <w:rsid w:val="00941E7B"/>
    <w:rsid w:val="009427B0"/>
    <w:rsid w:val="00943A0D"/>
    <w:rsid w:val="0094537C"/>
    <w:rsid w:val="009476D2"/>
    <w:rsid w:val="009527F6"/>
    <w:rsid w:val="00953F60"/>
    <w:rsid w:val="00955BF9"/>
    <w:rsid w:val="00956BEC"/>
    <w:rsid w:val="00960357"/>
    <w:rsid w:val="009608DF"/>
    <w:rsid w:val="00962CB9"/>
    <w:rsid w:val="00964312"/>
    <w:rsid w:val="009646C4"/>
    <w:rsid w:val="009678E0"/>
    <w:rsid w:val="00971729"/>
    <w:rsid w:val="00973854"/>
    <w:rsid w:val="00974F75"/>
    <w:rsid w:val="009752D1"/>
    <w:rsid w:val="009756BC"/>
    <w:rsid w:val="00976266"/>
    <w:rsid w:val="00977C21"/>
    <w:rsid w:val="009807B4"/>
    <w:rsid w:val="00981273"/>
    <w:rsid w:val="0098184B"/>
    <w:rsid w:val="00982331"/>
    <w:rsid w:val="00983B48"/>
    <w:rsid w:val="00983E57"/>
    <w:rsid w:val="00985DB0"/>
    <w:rsid w:val="009862CB"/>
    <w:rsid w:val="00987DA4"/>
    <w:rsid w:val="00992611"/>
    <w:rsid w:val="009943D0"/>
    <w:rsid w:val="00994B06"/>
    <w:rsid w:val="0099623D"/>
    <w:rsid w:val="00996B1A"/>
    <w:rsid w:val="00997418"/>
    <w:rsid w:val="009A07E1"/>
    <w:rsid w:val="009A1821"/>
    <w:rsid w:val="009A2AB5"/>
    <w:rsid w:val="009A366A"/>
    <w:rsid w:val="009A42C5"/>
    <w:rsid w:val="009A5F01"/>
    <w:rsid w:val="009A7D71"/>
    <w:rsid w:val="009B0BC5"/>
    <w:rsid w:val="009B1727"/>
    <w:rsid w:val="009B239E"/>
    <w:rsid w:val="009B3E26"/>
    <w:rsid w:val="009B729B"/>
    <w:rsid w:val="009C094D"/>
    <w:rsid w:val="009C0F04"/>
    <w:rsid w:val="009C1112"/>
    <w:rsid w:val="009C2811"/>
    <w:rsid w:val="009C2B3A"/>
    <w:rsid w:val="009C3455"/>
    <w:rsid w:val="009C4027"/>
    <w:rsid w:val="009C41BF"/>
    <w:rsid w:val="009C53A8"/>
    <w:rsid w:val="009C6824"/>
    <w:rsid w:val="009C7880"/>
    <w:rsid w:val="009D0162"/>
    <w:rsid w:val="009D111A"/>
    <w:rsid w:val="009D14AA"/>
    <w:rsid w:val="009D5B91"/>
    <w:rsid w:val="009D6236"/>
    <w:rsid w:val="009D6D9F"/>
    <w:rsid w:val="009E214C"/>
    <w:rsid w:val="009E365E"/>
    <w:rsid w:val="009E4C07"/>
    <w:rsid w:val="009E5796"/>
    <w:rsid w:val="009E57AE"/>
    <w:rsid w:val="009E5D68"/>
    <w:rsid w:val="009E6BA0"/>
    <w:rsid w:val="009E7523"/>
    <w:rsid w:val="009E7681"/>
    <w:rsid w:val="009E77F3"/>
    <w:rsid w:val="009F015D"/>
    <w:rsid w:val="009F02A7"/>
    <w:rsid w:val="009F3652"/>
    <w:rsid w:val="00A0065F"/>
    <w:rsid w:val="00A012C4"/>
    <w:rsid w:val="00A0141F"/>
    <w:rsid w:val="00A03D43"/>
    <w:rsid w:val="00A04380"/>
    <w:rsid w:val="00A054A2"/>
    <w:rsid w:val="00A05AD8"/>
    <w:rsid w:val="00A071B0"/>
    <w:rsid w:val="00A0739A"/>
    <w:rsid w:val="00A10D50"/>
    <w:rsid w:val="00A112C3"/>
    <w:rsid w:val="00A13948"/>
    <w:rsid w:val="00A1403E"/>
    <w:rsid w:val="00A14C88"/>
    <w:rsid w:val="00A15D32"/>
    <w:rsid w:val="00A17D0A"/>
    <w:rsid w:val="00A204DE"/>
    <w:rsid w:val="00A21078"/>
    <w:rsid w:val="00A2107D"/>
    <w:rsid w:val="00A21E01"/>
    <w:rsid w:val="00A2210A"/>
    <w:rsid w:val="00A23AD5"/>
    <w:rsid w:val="00A26326"/>
    <w:rsid w:val="00A263C2"/>
    <w:rsid w:val="00A27828"/>
    <w:rsid w:val="00A27AEC"/>
    <w:rsid w:val="00A35D16"/>
    <w:rsid w:val="00A37BCE"/>
    <w:rsid w:val="00A40ED9"/>
    <w:rsid w:val="00A41FDE"/>
    <w:rsid w:val="00A4201B"/>
    <w:rsid w:val="00A4342F"/>
    <w:rsid w:val="00A43C59"/>
    <w:rsid w:val="00A444B0"/>
    <w:rsid w:val="00A44570"/>
    <w:rsid w:val="00A44C66"/>
    <w:rsid w:val="00A501CD"/>
    <w:rsid w:val="00A50ECD"/>
    <w:rsid w:val="00A5112E"/>
    <w:rsid w:val="00A52729"/>
    <w:rsid w:val="00A52928"/>
    <w:rsid w:val="00A52D43"/>
    <w:rsid w:val="00A52E50"/>
    <w:rsid w:val="00A53675"/>
    <w:rsid w:val="00A56030"/>
    <w:rsid w:val="00A56B6A"/>
    <w:rsid w:val="00A578DC"/>
    <w:rsid w:val="00A60775"/>
    <w:rsid w:val="00A6725B"/>
    <w:rsid w:val="00A70AB6"/>
    <w:rsid w:val="00A70CF8"/>
    <w:rsid w:val="00A7280E"/>
    <w:rsid w:val="00A72BA5"/>
    <w:rsid w:val="00A7388A"/>
    <w:rsid w:val="00A755D2"/>
    <w:rsid w:val="00A75AA6"/>
    <w:rsid w:val="00A77683"/>
    <w:rsid w:val="00A776BB"/>
    <w:rsid w:val="00A8036B"/>
    <w:rsid w:val="00A827DC"/>
    <w:rsid w:val="00A8328E"/>
    <w:rsid w:val="00A8347D"/>
    <w:rsid w:val="00A86E8B"/>
    <w:rsid w:val="00A877AF"/>
    <w:rsid w:val="00A908D7"/>
    <w:rsid w:val="00A913D4"/>
    <w:rsid w:val="00A91446"/>
    <w:rsid w:val="00A9147E"/>
    <w:rsid w:val="00A91C91"/>
    <w:rsid w:val="00A93072"/>
    <w:rsid w:val="00A93F92"/>
    <w:rsid w:val="00A959D8"/>
    <w:rsid w:val="00A9682A"/>
    <w:rsid w:val="00A969D6"/>
    <w:rsid w:val="00A96DAA"/>
    <w:rsid w:val="00A970D1"/>
    <w:rsid w:val="00A978E8"/>
    <w:rsid w:val="00A979A6"/>
    <w:rsid w:val="00A97C4D"/>
    <w:rsid w:val="00AA0BCF"/>
    <w:rsid w:val="00AA462D"/>
    <w:rsid w:val="00AA7AD8"/>
    <w:rsid w:val="00AB042A"/>
    <w:rsid w:val="00AB1251"/>
    <w:rsid w:val="00AB144A"/>
    <w:rsid w:val="00AB1656"/>
    <w:rsid w:val="00AB19F9"/>
    <w:rsid w:val="00AB2D34"/>
    <w:rsid w:val="00AB3430"/>
    <w:rsid w:val="00AB4D27"/>
    <w:rsid w:val="00AB6A77"/>
    <w:rsid w:val="00AB79EA"/>
    <w:rsid w:val="00AB7CFA"/>
    <w:rsid w:val="00AC0597"/>
    <w:rsid w:val="00AC0918"/>
    <w:rsid w:val="00AC441F"/>
    <w:rsid w:val="00AC4C65"/>
    <w:rsid w:val="00AC5CD8"/>
    <w:rsid w:val="00AC5FD7"/>
    <w:rsid w:val="00AC6740"/>
    <w:rsid w:val="00AC77BA"/>
    <w:rsid w:val="00AC7A6C"/>
    <w:rsid w:val="00AD17E0"/>
    <w:rsid w:val="00AD5449"/>
    <w:rsid w:val="00AD6B81"/>
    <w:rsid w:val="00AE0790"/>
    <w:rsid w:val="00AE2E84"/>
    <w:rsid w:val="00AE3300"/>
    <w:rsid w:val="00AE38E4"/>
    <w:rsid w:val="00AE6880"/>
    <w:rsid w:val="00AF059A"/>
    <w:rsid w:val="00AF2039"/>
    <w:rsid w:val="00AF2D43"/>
    <w:rsid w:val="00AF48BE"/>
    <w:rsid w:val="00AF4F8E"/>
    <w:rsid w:val="00AF69BB"/>
    <w:rsid w:val="00AF6E2A"/>
    <w:rsid w:val="00AF6E86"/>
    <w:rsid w:val="00B0059C"/>
    <w:rsid w:val="00B00800"/>
    <w:rsid w:val="00B0251F"/>
    <w:rsid w:val="00B034D9"/>
    <w:rsid w:val="00B059C9"/>
    <w:rsid w:val="00B10F21"/>
    <w:rsid w:val="00B1283D"/>
    <w:rsid w:val="00B141FA"/>
    <w:rsid w:val="00B213C1"/>
    <w:rsid w:val="00B21472"/>
    <w:rsid w:val="00B21F5D"/>
    <w:rsid w:val="00B23764"/>
    <w:rsid w:val="00B24A8B"/>
    <w:rsid w:val="00B24BBD"/>
    <w:rsid w:val="00B30831"/>
    <w:rsid w:val="00B30FFF"/>
    <w:rsid w:val="00B31B71"/>
    <w:rsid w:val="00B320E6"/>
    <w:rsid w:val="00B33789"/>
    <w:rsid w:val="00B42851"/>
    <w:rsid w:val="00B43A0F"/>
    <w:rsid w:val="00B43B49"/>
    <w:rsid w:val="00B47913"/>
    <w:rsid w:val="00B47A69"/>
    <w:rsid w:val="00B504AC"/>
    <w:rsid w:val="00B50DB8"/>
    <w:rsid w:val="00B51F18"/>
    <w:rsid w:val="00B53905"/>
    <w:rsid w:val="00B54B5B"/>
    <w:rsid w:val="00B555E7"/>
    <w:rsid w:val="00B5562E"/>
    <w:rsid w:val="00B567D5"/>
    <w:rsid w:val="00B57000"/>
    <w:rsid w:val="00B60939"/>
    <w:rsid w:val="00B60AFD"/>
    <w:rsid w:val="00B618A9"/>
    <w:rsid w:val="00B62715"/>
    <w:rsid w:val="00B62BBF"/>
    <w:rsid w:val="00B649EB"/>
    <w:rsid w:val="00B653AB"/>
    <w:rsid w:val="00B653EA"/>
    <w:rsid w:val="00B6632C"/>
    <w:rsid w:val="00B66703"/>
    <w:rsid w:val="00B66C2F"/>
    <w:rsid w:val="00B66F25"/>
    <w:rsid w:val="00B67872"/>
    <w:rsid w:val="00B708F2"/>
    <w:rsid w:val="00B7178A"/>
    <w:rsid w:val="00B720AD"/>
    <w:rsid w:val="00B7315B"/>
    <w:rsid w:val="00B76575"/>
    <w:rsid w:val="00B818A4"/>
    <w:rsid w:val="00B8216D"/>
    <w:rsid w:val="00B848CC"/>
    <w:rsid w:val="00B8545F"/>
    <w:rsid w:val="00B8649C"/>
    <w:rsid w:val="00B86902"/>
    <w:rsid w:val="00B92C33"/>
    <w:rsid w:val="00B92D0B"/>
    <w:rsid w:val="00B94945"/>
    <w:rsid w:val="00BA053A"/>
    <w:rsid w:val="00BA0C73"/>
    <w:rsid w:val="00BA3A87"/>
    <w:rsid w:val="00BA6E72"/>
    <w:rsid w:val="00BB0249"/>
    <w:rsid w:val="00BB1843"/>
    <w:rsid w:val="00BB18E1"/>
    <w:rsid w:val="00BB29C6"/>
    <w:rsid w:val="00BB5156"/>
    <w:rsid w:val="00BB632E"/>
    <w:rsid w:val="00BB7405"/>
    <w:rsid w:val="00BC0F19"/>
    <w:rsid w:val="00BC3D84"/>
    <w:rsid w:val="00BC6C0D"/>
    <w:rsid w:val="00BC7349"/>
    <w:rsid w:val="00BD0438"/>
    <w:rsid w:val="00BD0723"/>
    <w:rsid w:val="00BD1847"/>
    <w:rsid w:val="00BD240E"/>
    <w:rsid w:val="00BD27C3"/>
    <w:rsid w:val="00BD33D1"/>
    <w:rsid w:val="00BD5B96"/>
    <w:rsid w:val="00BD5BC7"/>
    <w:rsid w:val="00BD6CF3"/>
    <w:rsid w:val="00BD6D97"/>
    <w:rsid w:val="00BD6F43"/>
    <w:rsid w:val="00BD7B53"/>
    <w:rsid w:val="00BE01D0"/>
    <w:rsid w:val="00BE0DA5"/>
    <w:rsid w:val="00BE2180"/>
    <w:rsid w:val="00BE31BB"/>
    <w:rsid w:val="00BE3B30"/>
    <w:rsid w:val="00BE4275"/>
    <w:rsid w:val="00BE4B02"/>
    <w:rsid w:val="00BE5DFD"/>
    <w:rsid w:val="00BE6F16"/>
    <w:rsid w:val="00BE7B56"/>
    <w:rsid w:val="00BE7BAE"/>
    <w:rsid w:val="00BF15EE"/>
    <w:rsid w:val="00BF2433"/>
    <w:rsid w:val="00BF362E"/>
    <w:rsid w:val="00BF61C9"/>
    <w:rsid w:val="00C04F18"/>
    <w:rsid w:val="00C05CB4"/>
    <w:rsid w:val="00C05CE7"/>
    <w:rsid w:val="00C0732A"/>
    <w:rsid w:val="00C13F9E"/>
    <w:rsid w:val="00C14953"/>
    <w:rsid w:val="00C15965"/>
    <w:rsid w:val="00C16CC5"/>
    <w:rsid w:val="00C21596"/>
    <w:rsid w:val="00C22BE5"/>
    <w:rsid w:val="00C23272"/>
    <w:rsid w:val="00C25418"/>
    <w:rsid w:val="00C25873"/>
    <w:rsid w:val="00C25D88"/>
    <w:rsid w:val="00C25D9C"/>
    <w:rsid w:val="00C27654"/>
    <w:rsid w:val="00C27BAD"/>
    <w:rsid w:val="00C30B10"/>
    <w:rsid w:val="00C31365"/>
    <w:rsid w:val="00C31649"/>
    <w:rsid w:val="00C32DC2"/>
    <w:rsid w:val="00C33493"/>
    <w:rsid w:val="00C35A7A"/>
    <w:rsid w:val="00C3755D"/>
    <w:rsid w:val="00C40385"/>
    <w:rsid w:val="00C4148C"/>
    <w:rsid w:val="00C4310F"/>
    <w:rsid w:val="00C45F2A"/>
    <w:rsid w:val="00C472BB"/>
    <w:rsid w:val="00C47AD7"/>
    <w:rsid w:val="00C47FFB"/>
    <w:rsid w:val="00C5002C"/>
    <w:rsid w:val="00C508F2"/>
    <w:rsid w:val="00C53D68"/>
    <w:rsid w:val="00C544FC"/>
    <w:rsid w:val="00C5611F"/>
    <w:rsid w:val="00C569D5"/>
    <w:rsid w:val="00C56B10"/>
    <w:rsid w:val="00C6162B"/>
    <w:rsid w:val="00C6256F"/>
    <w:rsid w:val="00C64B28"/>
    <w:rsid w:val="00C65576"/>
    <w:rsid w:val="00C657A9"/>
    <w:rsid w:val="00C658C7"/>
    <w:rsid w:val="00C66165"/>
    <w:rsid w:val="00C67B19"/>
    <w:rsid w:val="00C70966"/>
    <w:rsid w:val="00C71919"/>
    <w:rsid w:val="00C72513"/>
    <w:rsid w:val="00C728BB"/>
    <w:rsid w:val="00C750C8"/>
    <w:rsid w:val="00C767C0"/>
    <w:rsid w:val="00C7702A"/>
    <w:rsid w:val="00C772B1"/>
    <w:rsid w:val="00C81B8C"/>
    <w:rsid w:val="00C8212E"/>
    <w:rsid w:val="00C8213F"/>
    <w:rsid w:val="00C82971"/>
    <w:rsid w:val="00C82A99"/>
    <w:rsid w:val="00C8311E"/>
    <w:rsid w:val="00C84ADB"/>
    <w:rsid w:val="00C85926"/>
    <w:rsid w:val="00C85AB2"/>
    <w:rsid w:val="00C863F9"/>
    <w:rsid w:val="00C8797A"/>
    <w:rsid w:val="00C90635"/>
    <w:rsid w:val="00C93734"/>
    <w:rsid w:val="00C938CF"/>
    <w:rsid w:val="00C95425"/>
    <w:rsid w:val="00C97CC4"/>
    <w:rsid w:val="00CA0E26"/>
    <w:rsid w:val="00CA11F5"/>
    <w:rsid w:val="00CA1938"/>
    <w:rsid w:val="00CA3133"/>
    <w:rsid w:val="00CA481D"/>
    <w:rsid w:val="00CA5245"/>
    <w:rsid w:val="00CA5571"/>
    <w:rsid w:val="00CA565E"/>
    <w:rsid w:val="00CA567B"/>
    <w:rsid w:val="00CA5D5B"/>
    <w:rsid w:val="00CA7B09"/>
    <w:rsid w:val="00CB06E7"/>
    <w:rsid w:val="00CB09C4"/>
    <w:rsid w:val="00CB379D"/>
    <w:rsid w:val="00CB39D7"/>
    <w:rsid w:val="00CB4C86"/>
    <w:rsid w:val="00CB5917"/>
    <w:rsid w:val="00CB5B1A"/>
    <w:rsid w:val="00CC21CF"/>
    <w:rsid w:val="00CC235F"/>
    <w:rsid w:val="00CC2542"/>
    <w:rsid w:val="00CC3919"/>
    <w:rsid w:val="00CC3D45"/>
    <w:rsid w:val="00CC4A16"/>
    <w:rsid w:val="00CC55AC"/>
    <w:rsid w:val="00CC6A10"/>
    <w:rsid w:val="00CC71F8"/>
    <w:rsid w:val="00CC7228"/>
    <w:rsid w:val="00CD01F6"/>
    <w:rsid w:val="00CD3AB9"/>
    <w:rsid w:val="00CD6ADC"/>
    <w:rsid w:val="00CE04B2"/>
    <w:rsid w:val="00CE0D70"/>
    <w:rsid w:val="00CE12FA"/>
    <w:rsid w:val="00CE6274"/>
    <w:rsid w:val="00CE66B1"/>
    <w:rsid w:val="00CF03D5"/>
    <w:rsid w:val="00CF1955"/>
    <w:rsid w:val="00CF20C0"/>
    <w:rsid w:val="00CF2774"/>
    <w:rsid w:val="00CF280B"/>
    <w:rsid w:val="00CF35D3"/>
    <w:rsid w:val="00CF38A2"/>
    <w:rsid w:val="00CF42EB"/>
    <w:rsid w:val="00CF456B"/>
    <w:rsid w:val="00CF5A22"/>
    <w:rsid w:val="00CF6653"/>
    <w:rsid w:val="00D0155D"/>
    <w:rsid w:val="00D01A5F"/>
    <w:rsid w:val="00D02546"/>
    <w:rsid w:val="00D0262E"/>
    <w:rsid w:val="00D030EB"/>
    <w:rsid w:val="00D03639"/>
    <w:rsid w:val="00D03F65"/>
    <w:rsid w:val="00D110BD"/>
    <w:rsid w:val="00D124DC"/>
    <w:rsid w:val="00D13995"/>
    <w:rsid w:val="00D14556"/>
    <w:rsid w:val="00D147B0"/>
    <w:rsid w:val="00D14AC3"/>
    <w:rsid w:val="00D14E6E"/>
    <w:rsid w:val="00D1554C"/>
    <w:rsid w:val="00D15649"/>
    <w:rsid w:val="00D15A45"/>
    <w:rsid w:val="00D16CEC"/>
    <w:rsid w:val="00D17522"/>
    <w:rsid w:val="00D17D6C"/>
    <w:rsid w:val="00D205E1"/>
    <w:rsid w:val="00D217A4"/>
    <w:rsid w:val="00D2238C"/>
    <w:rsid w:val="00D27BE8"/>
    <w:rsid w:val="00D3169F"/>
    <w:rsid w:val="00D3170D"/>
    <w:rsid w:val="00D357FF"/>
    <w:rsid w:val="00D365F2"/>
    <w:rsid w:val="00D371ED"/>
    <w:rsid w:val="00D408A6"/>
    <w:rsid w:val="00D40F74"/>
    <w:rsid w:val="00D41FB0"/>
    <w:rsid w:val="00D44238"/>
    <w:rsid w:val="00D47684"/>
    <w:rsid w:val="00D54A61"/>
    <w:rsid w:val="00D56F82"/>
    <w:rsid w:val="00D6270D"/>
    <w:rsid w:val="00D62D44"/>
    <w:rsid w:val="00D65D78"/>
    <w:rsid w:val="00D661C0"/>
    <w:rsid w:val="00D67753"/>
    <w:rsid w:val="00D67976"/>
    <w:rsid w:val="00D704CF"/>
    <w:rsid w:val="00D704F6"/>
    <w:rsid w:val="00D70711"/>
    <w:rsid w:val="00D728D6"/>
    <w:rsid w:val="00D73292"/>
    <w:rsid w:val="00D734F7"/>
    <w:rsid w:val="00D7359B"/>
    <w:rsid w:val="00D74643"/>
    <w:rsid w:val="00D76A44"/>
    <w:rsid w:val="00D7773B"/>
    <w:rsid w:val="00D77D8F"/>
    <w:rsid w:val="00D81CE9"/>
    <w:rsid w:val="00D86C25"/>
    <w:rsid w:val="00D877BF"/>
    <w:rsid w:val="00D90593"/>
    <w:rsid w:val="00D9064E"/>
    <w:rsid w:val="00D92C60"/>
    <w:rsid w:val="00D93753"/>
    <w:rsid w:val="00D947AE"/>
    <w:rsid w:val="00D94ECE"/>
    <w:rsid w:val="00D96732"/>
    <w:rsid w:val="00D970D6"/>
    <w:rsid w:val="00D9739C"/>
    <w:rsid w:val="00D97610"/>
    <w:rsid w:val="00D9778B"/>
    <w:rsid w:val="00DA0E3E"/>
    <w:rsid w:val="00DA12D8"/>
    <w:rsid w:val="00DA1794"/>
    <w:rsid w:val="00DA3390"/>
    <w:rsid w:val="00DA7146"/>
    <w:rsid w:val="00DA77A5"/>
    <w:rsid w:val="00DA79D9"/>
    <w:rsid w:val="00DB0AF8"/>
    <w:rsid w:val="00DB2788"/>
    <w:rsid w:val="00DB28A0"/>
    <w:rsid w:val="00DB2D25"/>
    <w:rsid w:val="00DB2EC6"/>
    <w:rsid w:val="00DB3667"/>
    <w:rsid w:val="00DB7784"/>
    <w:rsid w:val="00DB7E54"/>
    <w:rsid w:val="00DC12FD"/>
    <w:rsid w:val="00DC4B1C"/>
    <w:rsid w:val="00DC5049"/>
    <w:rsid w:val="00DC5501"/>
    <w:rsid w:val="00DC6642"/>
    <w:rsid w:val="00DD096C"/>
    <w:rsid w:val="00DD0CFD"/>
    <w:rsid w:val="00DD233C"/>
    <w:rsid w:val="00DD2377"/>
    <w:rsid w:val="00DD3F28"/>
    <w:rsid w:val="00DD4537"/>
    <w:rsid w:val="00DD4B08"/>
    <w:rsid w:val="00DD4E15"/>
    <w:rsid w:val="00DD5024"/>
    <w:rsid w:val="00DD6FF8"/>
    <w:rsid w:val="00DD77DB"/>
    <w:rsid w:val="00DE045B"/>
    <w:rsid w:val="00DE1522"/>
    <w:rsid w:val="00DE1900"/>
    <w:rsid w:val="00DE1B68"/>
    <w:rsid w:val="00DE3288"/>
    <w:rsid w:val="00DE3FAE"/>
    <w:rsid w:val="00DE451E"/>
    <w:rsid w:val="00DE4FCB"/>
    <w:rsid w:val="00DE54E6"/>
    <w:rsid w:val="00DE5BB9"/>
    <w:rsid w:val="00DE74D7"/>
    <w:rsid w:val="00DF21BC"/>
    <w:rsid w:val="00DF35D1"/>
    <w:rsid w:val="00DF521A"/>
    <w:rsid w:val="00DF55B1"/>
    <w:rsid w:val="00DF5D2B"/>
    <w:rsid w:val="00E00B72"/>
    <w:rsid w:val="00E00F27"/>
    <w:rsid w:val="00E01424"/>
    <w:rsid w:val="00E01580"/>
    <w:rsid w:val="00E01910"/>
    <w:rsid w:val="00E02040"/>
    <w:rsid w:val="00E04485"/>
    <w:rsid w:val="00E0539B"/>
    <w:rsid w:val="00E06AD5"/>
    <w:rsid w:val="00E07A3F"/>
    <w:rsid w:val="00E10149"/>
    <w:rsid w:val="00E109AB"/>
    <w:rsid w:val="00E13014"/>
    <w:rsid w:val="00E14B71"/>
    <w:rsid w:val="00E153E4"/>
    <w:rsid w:val="00E161BC"/>
    <w:rsid w:val="00E162F3"/>
    <w:rsid w:val="00E16372"/>
    <w:rsid w:val="00E20ED6"/>
    <w:rsid w:val="00E21358"/>
    <w:rsid w:val="00E2249B"/>
    <w:rsid w:val="00E22A0D"/>
    <w:rsid w:val="00E234AE"/>
    <w:rsid w:val="00E236CA"/>
    <w:rsid w:val="00E26022"/>
    <w:rsid w:val="00E2771E"/>
    <w:rsid w:val="00E304A4"/>
    <w:rsid w:val="00E33A15"/>
    <w:rsid w:val="00E33BA9"/>
    <w:rsid w:val="00E34C3C"/>
    <w:rsid w:val="00E35A5A"/>
    <w:rsid w:val="00E37569"/>
    <w:rsid w:val="00E37B5E"/>
    <w:rsid w:val="00E41B0E"/>
    <w:rsid w:val="00E41E30"/>
    <w:rsid w:val="00E424CB"/>
    <w:rsid w:val="00E43085"/>
    <w:rsid w:val="00E431E5"/>
    <w:rsid w:val="00E43D70"/>
    <w:rsid w:val="00E4495A"/>
    <w:rsid w:val="00E44E44"/>
    <w:rsid w:val="00E477B5"/>
    <w:rsid w:val="00E47B2C"/>
    <w:rsid w:val="00E51560"/>
    <w:rsid w:val="00E51884"/>
    <w:rsid w:val="00E52AE1"/>
    <w:rsid w:val="00E52C1F"/>
    <w:rsid w:val="00E55424"/>
    <w:rsid w:val="00E55BB5"/>
    <w:rsid w:val="00E56FA1"/>
    <w:rsid w:val="00E600C3"/>
    <w:rsid w:val="00E632B9"/>
    <w:rsid w:val="00E6428A"/>
    <w:rsid w:val="00E64A55"/>
    <w:rsid w:val="00E65E79"/>
    <w:rsid w:val="00E6671F"/>
    <w:rsid w:val="00E67416"/>
    <w:rsid w:val="00E714A5"/>
    <w:rsid w:val="00E718B6"/>
    <w:rsid w:val="00E71CE5"/>
    <w:rsid w:val="00E71CFC"/>
    <w:rsid w:val="00E73581"/>
    <w:rsid w:val="00E740EF"/>
    <w:rsid w:val="00E7443E"/>
    <w:rsid w:val="00E74A8E"/>
    <w:rsid w:val="00E74B9F"/>
    <w:rsid w:val="00E75AC9"/>
    <w:rsid w:val="00E75E38"/>
    <w:rsid w:val="00E76E49"/>
    <w:rsid w:val="00E771E3"/>
    <w:rsid w:val="00E77D9F"/>
    <w:rsid w:val="00E80A72"/>
    <w:rsid w:val="00E80D98"/>
    <w:rsid w:val="00E81D01"/>
    <w:rsid w:val="00E83BDF"/>
    <w:rsid w:val="00E84FCD"/>
    <w:rsid w:val="00E85CA9"/>
    <w:rsid w:val="00E86BDE"/>
    <w:rsid w:val="00E87282"/>
    <w:rsid w:val="00E90125"/>
    <w:rsid w:val="00E9027C"/>
    <w:rsid w:val="00E91725"/>
    <w:rsid w:val="00E91DE6"/>
    <w:rsid w:val="00E9211A"/>
    <w:rsid w:val="00E92273"/>
    <w:rsid w:val="00E93EE4"/>
    <w:rsid w:val="00E9577E"/>
    <w:rsid w:val="00E95DFE"/>
    <w:rsid w:val="00E97393"/>
    <w:rsid w:val="00EA058C"/>
    <w:rsid w:val="00EA05FF"/>
    <w:rsid w:val="00EA3864"/>
    <w:rsid w:val="00EA43ED"/>
    <w:rsid w:val="00EA4BC9"/>
    <w:rsid w:val="00EA59C5"/>
    <w:rsid w:val="00EA61E3"/>
    <w:rsid w:val="00EA6898"/>
    <w:rsid w:val="00EA6A56"/>
    <w:rsid w:val="00EB08A5"/>
    <w:rsid w:val="00EB1549"/>
    <w:rsid w:val="00EB15B6"/>
    <w:rsid w:val="00EB2216"/>
    <w:rsid w:val="00EB2746"/>
    <w:rsid w:val="00EB2908"/>
    <w:rsid w:val="00EB294A"/>
    <w:rsid w:val="00EB3597"/>
    <w:rsid w:val="00EB4916"/>
    <w:rsid w:val="00EB495F"/>
    <w:rsid w:val="00EB536F"/>
    <w:rsid w:val="00EC00C9"/>
    <w:rsid w:val="00EC396F"/>
    <w:rsid w:val="00EC55D1"/>
    <w:rsid w:val="00EC6FE8"/>
    <w:rsid w:val="00ED2658"/>
    <w:rsid w:val="00ED44F5"/>
    <w:rsid w:val="00ED5AA2"/>
    <w:rsid w:val="00ED6783"/>
    <w:rsid w:val="00ED68F8"/>
    <w:rsid w:val="00ED6A08"/>
    <w:rsid w:val="00EE07D3"/>
    <w:rsid w:val="00EE2BEA"/>
    <w:rsid w:val="00EE307C"/>
    <w:rsid w:val="00EE635A"/>
    <w:rsid w:val="00EE6DAD"/>
    <w:rsid w:val="00EF206A"/>
    <w:rsid w:val="00EF2E64"/>
    <w:rsid w:val="00EF406A"/>
    <w:rsid w:val="00EF7106"/>
    <w:rsid w:val="00F0033A"/>
    <w:rsid w:val="00F014C4"/>
    <w:rsid w:val="00F01617"/>
    <w:rsid w:val="00F021AE"/>
    <w:rsid w:val="00F0223C"/>
    <w:rsid w:val="00F02489"/>
    <w:rsid w:val="00F02E17"/>
    <w:rsid w:val="00F03FD7"/>
    <w:rsid w:val="00F04B15"/>
    <w:rsid w:val="00F0506D"/>
    <w:rsid w:val="00F0530A"/>
    <w:rsid w:val="00F067A2"/>
    <w:rsid w:val="00F067BC"/>
    <w:rsid w:val="00F06E3C"/>
    <w:rsid w:val="00F07DDD"/>
    <w:rsid w:val="00F108D4"/>
    <w:rsid w:val="00F108FA"/>
    <w:rsid w:val="00F122E6"/>
    <w:rsid w:val="00F13FCC"/>
    <w:rsid w:val="00F142A7"/>
    <w:rsid w:val="00F16A40"/>
    <w:rsid w:val="00F16C69"/>
    <w:rsid w:val="00F20325"/>
    <w:rsid w:val="00F24837"/>
    <w:rsid w:val="00F24971"/>
    <w:rsid w:val="00F24CF5"/>
    <w:rsid w:val="00F2575F"/>
    <w:rsid w:val="00F26A6D"/>
    <w:rsid w:val="00F27154"/>
    <w:rsid w:val="00F30A21"/>
    <w:rsid w:val="00F312D8"/>
    <w:rsid w:val="00F32014"/>
    <w:rsid w:val="00F322EF"/>
    <w:rsid w:val="00F32B7D"/>
    <w:rsid w:val="00F33DE9"/>
    <w:rsid w:val="00F3430D"/>
    <w:rsid w:val="00F348B9"/>
    <w:rsid w:val="00F35CEE"/>
    <w:rsid w:val="00F3619A"/>
    <w:rsid w:val="00F37005"/>
    <w:rsid w:val="00F4163D"/>
    <w:rsid w:val="00F437E6"/>
    <w:rsid w:val="00F44672"/>
    <w:rsid w:val="00F46CB6"/>
    <w:rsid w:val="00F52A9F"/>
    <w:rsid w:val="00F55ADB"/>
    <w:rsid w:val="00F55E73"/>
    <w:rsid w:val="00F55E88"/>
    <w:rsid w:val="00F5649C"/>
    <w:rsid w:val="00F60092"/>
    <w:rsid w:val="00F60F53"/>
    <w:rsid w:val="00F62D50"/>
    <w:rsid w:val="00F6540B"/>
    <w:rsid w:val="00F66F61"/>
    <w:rsid w:val="00F67573"/>
    <w:rsid w:val="00F67688"/>
    <w:rsid w:val="00F70A48"/>
    <w:rsid w:val="00F70FD7"/>
    <w:rsid w:val="00F718C3"/>
    <w:rsid w:val="00F7433A"/>
    <w:rsid w:val="00F74E03"/>
    <w:rsid w:val="00F771A6"/>
    <w:rsid w:val="00F80325"/>
    <w:rsid w:val="00F80E5D"/>
    <w:rsid w:val="00F827FA"/>
    <w:rsid w:val="00F82899"/>
    <w:rsid w:val="00F851CE"/>
    <w:rsid w:val="00F86B00"/>
    <w:rsid w:val="00F87254"/>
    <w:rsid w:val="00F90574"/>
    <w:rsid w:val="00F93A86"/>
    <w:rsid w:val="00F9643F"/>
    <w:rsid w:val="00F966B3"/>
    <w:rsid w:val="00F97A78"/>
    <w:rsid w:val="00FA0A07"/>
    <w:rsid w:val="00FA2430"/>
    <w:rsid w:val="00FA24E7"/>
    <w:rsid w:val="00FA347C"/>
    <w:rsid w:val="00FA5DBA"/>
    <w:rsid w:val="00FA69CD"/>
    <w:rsid w:val="00FA7152"/>
    <w:rsid w:val="00FB1E9C"/>
    <w:rsid w:val="00FB1F83"/>
    <w:rsid w:val="00FB232E"/>
    <w:rsid w:val="00FB2FCB"/>
    <w:rsid w:val="00FB45BA"/>
    <w:rsid w:val="00FB5DB1"/>
    <w:rsid w:val="00FC1074"/>
    <w:rsid w:val="00FC1884"/>
    <w:rsid w:val="00FC386A"/>
    <w:rsid w:val="00FD0879"/>
    <w:rsid w:val="00FD2100"/>
    <w:rsid w:val="00FD446D"/>
    <w:rsid w:val="00FD4EFD"/>
    <w:rsid w:val="00FE04E9"/>
    <w:rsid w:val="00FE0E17"/>
    <w:rsid w:val="00FE1219"/>
    <w:rsid w:val="00FE13AC"/>
    <w:rsid w:val="00FE150C"/>
    <w:rsid w:val="00FE219E"/>
    <w:rsid w:val="00FE2FA2"/>
    <w:rsid w:val="00FE39B0"/>
    <w:rsid w:val="00FE43B4"/>
    <w:rsid w:val="00FE7373"/>
    <w:rsid w:val="00FE7612"/>
    <w:rsid w:val="00FF0AC5"/>
    <w:rsid w:val="00FF0CC9"/>
    <w:rsid w:val="00FF3512"/>
    <w:rsid w:val="00FF3DCF"/>
    <w:rsid w:val="00FF468B"/>
    <w:rsid w:val="00FF4DB5"/>
    <w:rsid w:val="00FF5AA3"/>
    <w:rsid w:val="00FF644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3A68D8"/>
    <w:pPr>
      <w:numPr>
        <w:numId w:val="0"/>
      </w:numPr>
      <w:ind w:left="720" w:hanging="720"/>
      <w:outlineLvl w:val="0"/>
    </w:pPr>
    <w:rPr>
      <w:sz w:val="24"/>
      <w:szCs w:val="24"/>
    </w:rPr>
  </w:style>
  <w:style w:type="paragraph" w:styleId="Heading2">
    <w:name w:val="heading 2"/>
    <w:basedOn w:val="PBACHeading1"/>
    <w:next w:val="Normal"/>
    <w:link w:val="Heading2Char"/>
    <w:qFormat/>
    <w:rsid w:val="003A68D8"/>
    <w:pPr>
      <w:outlineLvl w:val="1"/>
    </w:pPr>
  </w:style>
  <w:style w:type="paragraph" w:styleId="Heading3">
    <w:name w:val="heading 3"/>
    <w:basedOn w:val="PBACHeading1"/>
    <w:next w:val="Normal"/>
    <w:qFormat/>
    <w:rsid w:val="003A68D8"/>
    <w:pPr>
      <w:numPr>
        <w:numId w:val="0"/>
      </w:numPr>
      <w:ind w:left="720" w:hanging="720"/>
      <w:outlineLvl w:val="2"/>
    </w:pPr>
    <w:rPr>
      <w:i/>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3A68D8"/>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aption Char1 Char Char,Caption Char Char Char Char,Caption Char2 Char Char1 Char Char,Caption Char1 Char Char Char Char Char,Caption Char Char Char Char Char Char Char,Caption Char Char1 Char Char Char Cha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aption Char1 Char Char Char,Caption Char Char Char Char Char,Caption Char2 Char Char1 Char Char Char,Caption Char1 Char Char Char Char Char Char,Caption Char Char Char Char Char Char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character" w:customStyle="1" w:styleId="MainBodyTextChar">
    <w:name w:val="Main Body Text Char"/>
    <w:link w:val="MainBodyText"/>
    <w:uiPriority w:val="99"/>
    <w:rsid w:val="0012072A"/>
    <w:rPr>
      <w:rFonts w:ascii="Arial" w:hAnsi="Arial"/>
      <w:sz w:val="22"/>
      <w:szCs w:val="22"/>
    </w:rPr>
  </w:style>
  <w:style w:type="paragraph" w:customStyle="1" w:styleId="MainBodyText">
    <w:name w:val="Main Body Text"/>
    <w:basedOn w:val="Normal"/>
    <w:link w:val="MainBodyTextChar"/>
    <w:uiPriority w:val="99"/>
    <w:rsid w:val="0012072A"/>
    <w:pPr>
      <w:widowControl/>
      <w:spacing w:after="240" w:line="276" w:lineRule="auto"/>
    </w:pPr>
    <w:rPr>
      <w:rFonts w:cs="Times New Roman"/>
      <w:snapToGrid/>
      <w:szCs w:val="22"/>
      <w:lang w:eastAsia="en-AU"/>
    </w:rPr>
  </w:style>
  <w:style w:type="paragraph" w:customStyle="1" w:styleId="TableParagraph">
    <w:name w:val="Table Paragraph"/>
    <w:basedOn w:val="Normal"/>
    <w:uiPriority w:val="1"/>
    <w:qFormat/>
    <w:rsid w:val="00EC6FE8"/>
    <w:pPr>
      <w:widowControl/>
      <w:autoSpaceDE w:val="0"/>
      <w:autoSpaceDN w:val="0"/>
      <w:adjustRightInd w:val="0"/>
      <w:jc w:val="left"/>
    </w:pPr>
    <w:rPr>
      <w:rFonts w:ascii="Times New Roman" w:hAnsi="Times New Roman" w:cs="Times New Roman"/>
      <w:snapToGrid/>
      <w:sz w:val="24"/>
      <w:szCs w:val="24"/>
      <w:lang w:eastAsia="en-AU"/>
    </w:rPr>
  </w:style>
  <w:style w:type="paragraph" w:customStyle="1" w:styleId="COMtblcap">
    <w:name w:val="COMtblcap"/>
    <w:basedOn w:val="Normal"/>
    <w:link w:val="COMtblcapChar"/>
    <w:qFormat/>
    <w:rsid w:val="003A568F"/>
    <w:pPr>
      <w:keepNext/>
      <w:widowControl/>
    </w:pPr>
    <w:rPr>
      <w:b/>
      <w:snapToGrid/>
      <w:sz w:val="20"/>
      <w:lang w:val="en-US"/>
    </w:rPr>
  </w:style>
  <w:style w:type="character" w:customStyle="1" w:styleId="COMtblcapChar">
    <w:name w:val="COMtblcap Char"/>
    <w:link w:val="COMtblcap"/>
    <w:rsid w:val="003A568F"/>
    <w:rPr>
      <w:rFonts w:ascii="Arial" w:hAnsi="Arial" w:cs="Arial"/>
      <w:b/>
      <w:lang w:val="en-US" w:eastAsia="en-US"/>
    </w:rPr>
  </w:style>
  <w:style w:type="paragraph" w:customStyle="1" w:styleId="TableTextHeading">
    <w:name w:val="Table Text Heading"/>
    <w:basedOn w:val="Normal"/>
    <w:rsid w:val="002F601F"/>
    <w:pPr>
      <w:widowControl/>
      <w:spacing w:before="60" w:after="60"/>
      <w:jc w:val="center"/>
    </w:pPr>
    <w:rPr>
      <w:rFonts w:ascii="Arial Bold" w:hAnsi="Arial Bold" w:cs="Times New Roman"/>
      <w:b/>
      <w:snapToGrid/>
      <w:sz w:val="18"/>
      <w:lang w:eastAsia="en-AU"/>
    </w:rPr>
  </w:style>
  <w:style w:type="paragraph" w:customStyle="1" w:styleId="TableText1">
    <w:name w:val="Table Text"/>
    <w:basedOn w:val="Normal"/>
    <w:uiPriority w:val="99"/>
    <w:rsid w:val="00033317"/>
    <w:pPr>
      <w:widowControl/>
      <w:spacing w:before="60" w:after="60"/>
      <w:jc w:val="left"/>
    </w:pPr>
    <w:rPr>
      <w:rFonts w:cs="Times New Roman"/>
      <w:snapToGrid/>
      <w:sz w:val="18"/>
      <w:lang w:eastAsia="en-AU"/>
    </w:rPr>
  </w:style>
  <w:style w:type="paragraph" w:customStyle="1" w:styleId="COMtbl-textCentred">
    <w:name w:val="COMtbl-text Centred"/>
    <w:basedOn w:val="Normal"/>
    <w:qFormat/>
    <w:rsid w:val="00DD5024"/>
    <w:pPr>
      <w:tabs>
        <w:tab w:val="left" w:pos="720"/>
      </w:tabs>
      <w:jc w:val="center"/>
    </w:pPr>
    <w:rPr>
      <w:rFonts w:ascii="Arial Narrow" w:hAnsi="Arial Narrow"/>
      <w:sz w:val="20"/>
    </w:rPr>
  </w:style>
  <w:style w:type="paragraph" w:customStyle="1" w:styleId="KMC16-Tablecontent">
    <w:name w:val="KMC16 - Table content"/>
    <w:basedOn w:val="Normal"/>
    <w:link w:val="KMC16-TablecontentChar"/>
    <w:qFormat/>
    <w:rsid w:val="00DD5024"/>
    <w:pPr>
      <w:widowControl/>
      <w:spacing w:before="40" w:after="40"/>
      <w:jc w:val="center"/>
    </w:pPr>
    <w:rPr>
      <w:rFonts w:ascii="Arial Narrow" w:hAnsi="Arial Narrow"/>
      <w:snapToGrid/>
      <w:color w:val="000000"/>
      <w:sz w:val="20"/>
      <w:szCs w:val="22"/>
      <w:lang w:val="en-GB"/>
    </w:rPr>
  </w:style>
  <w:style w:type="character" w:customStyle="1" w:styleId="KMC16-TablecontentChar">
    <w:name w:val="KMC16 - Table content Char"/>
    <w:basedOn w:val="DefaultParagraphFont"/>
    <w:link w:val="KMC16-Tablecontent"/>
    <w:rsid w:val="00DD5024"/>
    <w:rPr>
      <w:rFonts w:ascii="Arial Narrow" w:hAnsi="Arial Narrow" w:cs="Arial"/>
      <w:color w:val="000000"/>
      <w:szCs w:val="22"/>
      <w:lang w:val="en-GB" w:eastAsia="en-US"/>
    </w:rPr>
  </w:style>
  <w:style w:type="paragraph" w:customStyle="1" w:styleId="COMtbl-textLeftAligned">
    <w:name w:val="COMtbl-text Left Aligned"/>
    <w:basedOn w:val="Normal"/>
    <w:qFormat/>
    <w:rsid w:val="00DD5024"/>
    <w:pPr>
      <w:tabs>
        <w:tab w:val="left" w:pos="720"/>
      </w:tabs>
      <w:jc w:val="left"/>
    </w:pPr>
    <w:rPr>
      <w:rFonts w:ascii="Arial Narrow" w:hAnsi="Arial Narrow"/>
      <w:sz w:val="20"/>
    </w:rPr>
  </w:style>
  <w:style w:type="character" w:customStyle="1" w:styleId="apple-converted-space">
    <w:name w:val="apple-converted-space"/>
    <w:basedOn w:val="DefaultParagraphFont"/>
    <w:rsid w:val="0080706B"/>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424CB"/>
    <w:pPr>
      <w:widowControl/>
      <w:spacing w:after="160" w:line="240" w:lineRule="exact"/>
      <w:jc w:val="left"/>
    </w:pPr>
    <w:rPr>
      <w:rFonts w:ascii="Verdana" w:eastAsia="MS Mincho" w:hAnsi="Verdana" w:cs="Verdana"/>
      <w:snapToGrid/>
      <w:sz w:val="20"/>
      <w:lang w:val="en-US"/>
    </w:rPr>
  </w:style>
  <w:style w:type="character" w:styleId="IntenseReference">
    <w:name w:val="Intense Reference"/>
    <w:uiPriority w:val="32"/>
    <w:qFormat/>
    <w:rsid w:val="00E424CB"/>
    <w:rPr>
      <w:b/>
      <w:bCs/>
      <w:smallCaps/>
      <w:color w:val="C0504D"/>
      <w:spacing w:val="5"/>
      <w:u w:val="single"/>
    </w:rPr>
  </w:style>
  <w:style w:type="paragraph" w:styleId="FootnoteText">
    <w:name w:val="footnote text"/>
    <w:basedOn w:val="Normal"/>
    <w:link w:val="FootnoteTextChar"/>
    <w:semiHidden/>
    <w:unhideWhenUsed/>
    <w:rsid w:val="00DF35D1"/>
    <w:rPr>
      <w:sz w:val="20"/>
    </w:rPr>
  </w:style>
  <w:style w:type="character" w:customStyle="1" w:styleId="FootnoteTextChar">
    <w:name w:val="Footnote Text Char"/>
    <w:basedOn w:val="DefaultParagraphFont"/>
    <w:link w:val="FootnoteText"/>
    <w:semiHidden/>
    <w:rsid w:val="00DF35D1"/>
    <w:rPr>
      <w:rFonts w:ascii="Arial" w:hAnsi="Arial" w:cs="Arial"/>
      <w:snapToGrid w:val="0"/>
      <w:lang w:eastAsia="en-US"/>
    </w:rPr>
  </w:style>
  <w:style w:type="character" w:styleId="FootnoteReference">
    <w:name w:val="footnote reference"/>
    <w:basedOn w:val="DefaultParagraphFont"/>
    <w:semiHidden/>
    <w:unhideWhenUsed/>
    <w:rsid w:val="00DF35D1"/>
    <w:rPr>
      <w:vertAlign w:val="superscript"/>
    </w:rPr>
  </w:style>
  <w:style w:type="character" w:styleId="FollowedHyperlink">
    <w:name w:val="FollowedHyperlink"/>
    <w:basedOn w:val="DefaultParagraphFont"/>
    <w:semiHidden/>
    <w:unhideWhenUsed/>
    <w:rsid w:val="001E3AC3"/>
    <w:rPr>
      <w:color w:val="800080" w:themeColor="followedHyperlink"/>
      <w:u w:val="single"/>
    </w:rPr>
  </w:style>
  <w:style w:type="character" w:customStyle="1" w:styleId="ListParagraphChar">
    <w:name w:val="List Paragraph Char"/>
    <w:aliases w:val="BulletPoints Char"/>
    <w:link w:val="ListParagraph"/>
    <w:uiPriority w:val="72"/>
    <w:rsid w:val="006E21FC"/>
    <w:rPr>
      <w:rFonts w:ascii="Arial" w:hAnsi="Arial" w:cs="Arial"/>
      <w:snapToGrid w:val="0"/>
      <w:sz w:val="22"/>
      <w:lang w:eastAsia="en-US"/>
    </w:rPr>
  </w:style>
  <w:style w:type="paragraph" w:customStyle="1" w:styleId="Default">
    <w:name w:val="Default"/>
    <w:rsid w:val="008F38C2"/>
    <w:pPr>
      <w:autoSpaceDE w:val="0"/>
      <w:autoSpaceDN w:val="0"/>
      <w:adjustRightInd w:val="0"/>
    </w:pPr>
    <w:rPr>
      <w:rFonts w:ascii="Arial" w:eastAsiaTheme="minorHAnsi" w:hAnsi="Arial" w:cs="Arial"/>
      <w:color w:val="000000"/>
      <w:sz w:val="24"/>
      <w:szCs w:val="24"/>
      <w:lang w:eastAsia="en-US"/>
    </w:rPr>
  </w:style>
  <w:style w:type="paragraph" w:customStyle="1" w:styleId="PBACheading10">
    <w:name w:val="PBAC heading 1"/>
    <w:qFormat/>
    <w:rsid w:val="001E6680"/>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3A68D8"/>
    <w:pPr>
      <w:numPr>
        <w:numId w:val="0"/>
      </w:numPr>
      <w:ind w:left="720" w:hanging="720"/>
      <w:outlineLvl w:val="0"/>
    </w:pPr>
    <w:rPr>
      <w:sz w:val="24"/>
      <w:szCs w:val="24"/>
    </w:rPr>
  </w:style>
  <w:style w:type="paragraph" w:styleId="Heading2">
    <w:name w:val="heading 2"/>
    <w:basedOn w:val="PBACHeading1"/>
    <w:next w:val="Normal"/>
    <w:link w:val="Heading2Char"/>
    <w:qFormat/>
    <w:rsid w:val="003A68D8"/>
    <w:pPr>
      <w:outlineLvl w:val="1"/>
    </w:pPr>
  </w:style>
  <w:style w:type="paragraph" w:styleId="Heading3">
    <w:name w:val="heading 3"/>
    <w:basedOn w:val="PBACHeading1"/>
    <w:next w:val="Normal"/>
    <w:qFormat/>
    <w:rsid w:val="003A68D8"/>
    <w:pPr>
      <w:numPr>
        <w:numId w:val="0"/>
      </w:numPr>
      <w:ind w:left="720" w:hanging="720"/>
      <w:outlineLvl w:val="2"/>
    </w:pPr>
    <w:rPr>
      <w:i/>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3A68D8"/>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aption Char1 Char Char,Caption Char Char Char Char,Caption Char2 Char Char1 Char Char,Caption Char1 Char Char Char Char Char,Caption Char Char Char Char Char Char Char,Caption Char Char1 Char Char Char Cha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aption Char1 Char Char Char,Caption Char Char Char Char Char,Caption Char2 Char Char1 Char Char Char,Caption Char1 Char Char Char Char Char Char,Caption Char Char Char Char Char Char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character" w:customStyle="1" w:styleId="MainBodyTextChar">
    <w:name w:val="Main Body Text Char"/>
    <w:link w:val="MainBodyText"/>
    <w:uiPriority w:val="99"/>
    <w:rsid w:val="0012072A"/>
    <w:rPr>
      <w:rFonts w:ascii="Arial" w:hAnsi="Arial"/>
      <w:sz w:val="22"/>
      <w:szCs w:val="22"/>
    </w:rPr>
  </w:style>
  <w:style w:type="paragraph" w:customStyle="1" w:styleId="MainBodyText">
    <w:name w:val="Main Body Text"/>
    <w:basedOn w:val="Normal"/>
    <w:link w:val="MainBodyTextChar"/>
    <w:uiPriority w:val="99"/>
    <w:rsid w:val="0012072A"/>
    <w:pPr>
      <w:widowControl/>
      <w:spacing w:after="240" w:line="276" w:lineRule="auto"/>
    </w:pPr>
    <w:rPr>
      <w:rFonts w:cs="Times New Roman"/>
      <w:snapToGrid/>
      <w:szCs w:val="22"/>
      <w:lang w:eastAsia="en-AU"/>
    </w:rPr>
  </w:style>
  <w:style w:type="paragraph" w:customStyle="1" w:styleId="TableParagraph">
    <w:name w:val="Table Paragraph"/>
    <w:basedOn w:val="Normal"/>
    <w:uiPriority w:val="1"/>
    <w:qFormat/>
    <w:rsid w:val="00EC6FE8"/>
    <w:pPr>
      <w:widowControl/>
      <w:autoSpaceDE w:val="0"/>
      <w:autoSpaceDN w:val="0"/>
      <w:adjustRightInd w:val="0"/>
      <w:jc w:val="left"/>
    </w:pPr>
    <w:rPr>
      <w:rFonts w:ascii="Times New Roman" w:hAnsi="Times New Roman" w:cs="Times New Roman"/>
      <w:snapToGrid/>
      <w:sz w:val="24"/>
      <w:szCs w:val="24"/>
      <w:lang w:eastAsia="en-AU"/>
    </w:rPr>
  </w:style>
  <w:style w:type="paragraph" w:customStyle="1" w:styleId="COMtblcap">
    <w:name w:val="COMtblcap"/>
    <w:basedOn w:val="Normal"/>
    <w:link w:val="COMtblcapChar"/>
    <w:qFormat/>
    <w:rsid w:val="003A568F"/>
    <w:pPr>
      <w:keepNext/>
      <w:widowControl/>
    </w:pPr>
    <w:rPr>
      <w:b/>
      <w:snapToGrid/>
      <w:sz w:val="20"/>
      <w:lang w:val="en-US"/>
    </w:rPr>
  </w:style>
  <w:style w:type="character" w:customStyle="1" w:styleId="COMtblcapChar">
    <w:name w:val="COMtblcap Char"/>
    <w:link w:val="COMtblcap"/>
    <w:rsid w:val="003A568F"/>
    <w:rPr>
      <w:rFonts w:ascii="Arial" w:hAnsi="Arial" w:cs="Arial"/>
      <w:b/>
      <w:lang w:val="en-US" w:eastAsia="en-US"/>
    </w:rPr>
  </w:style>
  <w:style w:type="paragraph" w:customStyle="1" w:styleId="TableTextHeading">
    <w:name w:val="Table Text Heading"/>
    <w:basedOn w:val="Normal"/>
    <w:rsid w:val="002F601F"/>
    <w:pPr>
      <w:widowControl/>
      <w:spacing w:before="60" w:after="60"/>
      <w:jc w:val="center"/>
    </w:pPr>
    <w:rPr>
      <w:rFonts w:ascii="Arial Bold" w:hAnsi="Arial Bold" w:cs="Times New Roman"/>
      <w:b/>
      <w:snapToGrid/>
      <w:sz w:val="18"/>
      <w:lang w:eastAsia="en-AU"/>
    </w:rPr>
  </w:style>
  <w:style w:type="paragraph" w:customStyle="1" w:styleId="TableText1">
    <w:name w:val="Table Text"/>
    <w:basedOn w:val="Normal"/>
    <w:uiPriority w:val="99"/>
    <w:rsid w:val="00033317"/>
    <w:pPr>
      <w:widowControl/>
      <w:spacing w:before="60" w:after="60"/>
      <w:jc w:val="left"/>
    </w:pPr>
    <w:rPr>
      <w:rFonts w:cs="Times New Roman"/>
      <w:snapToGrid/>
      <w:sz w:val="18"/>
      <w:lang w:eastAsia="en-AU"/>
    </w:rPr>
  </w:style>
  <w:style w:type="paragraph" w:customStyle="1" w:styleId="COMtbl-textCentred">
    <w:name w:val="COMtbl-text Centred"/>
    <w:basedOn w:val="Normal"/>
    <w:qFormat/>
    <w:rsid w:val="00DD5024"/>
    <w:pPr>
      <w:tabs>
        <w:tab w:val="left" w:pos="720"/>
      </w:tabs>
      <w:jc w:val="center"/>
    </w:pPr>
    <w:rPr>
      <w:rFonts w:ascii="Arial Narrow" w:hAnsi="Arial Narrow"/>
      <w:sz w:val="20"/>
    </w:rPr>
  </w:style>
  <w:style w:type="paragraph" w:customStyle="1" w:styleId="KMC16-Tablecontent">
    <w:name w:val="KMC16 - Table content"/>
    <w:basedOn w:val="Normal"/>
    <w:link w:val="KMC16-TablecontentChar"/>
    <w:qFormat/>
    <w:rsid w:val="00DD5024"/>
    <w:pPr>
      <w:widowControl/>
      <w:spacing w:before="40" w:after="40"/>
      <w:jc w:val="center"/>
    </w:pPr>
    <w:rPr>
      <w:rFonts w:ascii="Arial Narrow" w:hAnsi="Arial Narrow"/>
      <w:snapToGrid/>
      <w:color w:val="000000"/>
      <w:sz w:val="20"/>
      <w:szCs w:val="22"/>
      <w:lang w:val="en-GB"/>
    </w:rPr>
  </w:style>
  <w:style w:type="character" w:customStyle="1" w:styleId="KMC16-TablecontentChar">
    <w:name w:val="KMC16 - Table content Char"/>
    <w:basedOn w:val="DefaultParagraphFont"/>
    <w:link w:val="KMC16-Tablecontent"/>
    <w:rsid w:val="00DD5024"/>
    <w:rPr>
      <w:rFonts w:ascii="Arial Narrow" w:hAnsi="Arial Narrow" w:cs="Arial"/>
      <w:color w:val="000000"/>
      <w:szCs w:val="22"/>
      <w:lang w:val="en-GB" w:eastAsia="en-US"/>
    </w:rPr>
  </w:style>
  <w:style w:type="paragraph" w:customStyle="1" w:styleId="COMtbl-textLeftAligned">
    <w:name w:val="COMtbl-text Left Aligned"/>
    <w:basedOn w:val="Normal"/>
    <w:qFormat/>
    <w:rsid w:val="00DD5024"/>
    <w:pPr>
      <w:tabs>
        <w:tab w:val="left" w:pos="720"/>
      </w:tabs>
      <w:jc w:val="left"/>
    </w:pPr>
    <w:rPr>
      <w:rFonts w:ascii="Arial Narrow" w:hAnsi="Arial Narrow"/>
      <w:sz w:val="20"/>
    </w:rPr>
  </w:style>
  <w:style w:type="character" w:customStyle="1" w:styleId="apple-converted-space">
    <w:name w:val="apple-converted-space"/>
    <w:basedOn w:val="DefaultParagraphFont"/>
    <w:rsid w:val="0080706B"/>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424CB"/>
    <w:pPr>
      <w:widowControl/>
      <w:spacing w:after="160" w:line="240" w:lineRule="exact"/>
      <w:jc w:val="left"/>
    </w:pPr>
    <w:rPr>
      <w:rFonts w:ascii="Verdana" w:eastAsia="MS Mincho" w:hAnsi="Verdana" w:cs="Verdana"/>
      <w:snapToGrid/>
      <w:sz w:val="20"/>
      <w:lang w:val="en-US"/>
    </w:rPr>
  </w:style>
  <w:style w:type="character" w:styleId="IntenseReference">
    <w:name w:val="Intense Reference"/>
    <w:uiPriority w:val="32"/>
    <w:qFormat/>
    <w:rsid w:val="00E424CB"/>
    <w:rPr>
      <w:b/>
      <w:bCs/>
      <w:smallCaps/>
      <w:color w:val="C0504D"/>
      <w:spacing w:val="5"/>
      <w:u w:val="single"/>
    </w:rPr>
  </w:style>
  <w:style w:type="paragraph" w:styleId="FootnoteText">
    <w:name w:val="footnote text"/>
    <w:basedOn w:val="Normal"/>
    <w:link w:val="FootnoteTextChar"/>
    <w:semiHidden/>
    <w:unhideWhenUsed/>
    <w:rsid w:val="00DF35D1"/>
    <w:rPr>
      <w:sz w:val="20"/>
    </w:rPr>
  </w:style>
  <w:style w:type="character" w:customStyle="1" w:styleId="FootnoteTextChar">
    <w:name w:val="Footnote Text Char"/>
    <w:basedOn w:val="DefaultParagraphFont"/>
    <w:link w:val="FootnoteText"/>
    <w:semiHidden/>
    <w:rsid w:val="00DF35D1"/>
    <w:rPr>
      <w:rFonts w:ascii="Arial" w:hAnsi="Arial" w:cs="Arial"/>
      <w:snapToGrid w:val="0"/>
      <w:lang w:eastAsia="en-US"/>
    </w:rPr>
  </w:style>
  <w:style w:type="character" w:styleId="FootnoteReference">
    <w:name w:val="footnote reference"/>
    <w:basedOn w:val="DefaultParagraphFont"/>
    <w:semiHidden/>
    <w:unhideWhenUsed/>
    <w:rsid w:val="00DF35D1"/>
    <w:rPr>
      <w:vertAlign w:val="superscript"/>
    </w:rPr>
  </w:style>
  <w:style w:type="character" w:styleId="FollowedHyperlink">
    <w:name w:val="FollowedHyperlink"/>
    <w:basedOn w:val="DefaultParagraphFont"/>
    <w:semiHidden/>
    <w:unhideWhenUsed/>
    <w:rsid w:val="001E3AC3"/>
    <w:rPr>
      <w:color w:val="800080" w:themeColor="followedHyperlink"/>
      <w:u w:val="single"/>
    </w:rPr>
  </w:style>
  <w:style w:type="character" w:customStyle="1" w:styleId="ListParagraphChar">
    <w:name w:val="List Paragraph Char"/>
    <w:aliases w:val="BulletPoints Char"/>
    <w:link w:val="ListParagraph"/>
    <w:uiPriority w:val="72"/>
    <w:rsid w:val="006E21FC"/>
    <w:rPr>
      <w:rFonts w:ascii="Arial" w:hAnsi="Arial" w:cs="Arial"/>
      <w:snapToGrid w:val="0"/>
      <w:sz w:val="22"/>
      <w:lang w:eastAsia="en-US"/>
    </w:rPr>
  </w:style>
  <w:style w:type="paragraph" w:customStyle="1" w:styleId="Default">
    <w:name w:val="Default"/>
    <w:rsid w:val="008F38C2"/>
    <w:pPr>
      <w:autoSpaceDE w:val="0"/>
      <w:autoSpaceDN w:val="0"/>
      <w:adjustRightInd w:val="0"/>
    </w:pPr>
    <w:rPr>
      <w:rFonts w:ascii="Arial" w:eastAsiaTheme="minorHAnsi" w:hAnsi="Arial" w:cs="Arial"/>
      <w:color w:val="000000"/>
      <w:sz w:val="24"/>
      <w:szCs w:val="24"/>
      <w:lang w:eastAsia="en-US"/>
    </w:rPr>
  </w:style>
  <w:style w:type="paragraph" w:customStyle="1" w:styleId="PBACheading10">
    <w:name w:val="PBAC heading 1"/>
    <w:qFormat/>
    <w:rsid w:val="001E6680"/>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8193">
      <w:bodyDiv w:val="1"/>
      <w:marLeft w:val="0"/>
      <w:marRight w:val="0"/>
      <w:marTop w:val="0"/>
      <w:marBottom w:val="0"/>
      <w:divBdr>
        <w:top w:val="none" w:sz="0" w:space="0" w:color="auto"/>
        <w:left w:val="none" w:sz="0" w:space="0" w:color="auto"/>
        <w:bottom w:val="none" w:sz="0" w:space="0" w:color="auto"/>
        <w:right w:val="none" w:sz="0" w:space="0" w:color="auto"/>
      </w:divBdr>
    </w:div>
    <w:div w:id="342174284">
      <w:bodyDiv w:val="1"/>
      <w:marLeft w:val="0"/>
      <w:marRight w:val="0"/>
      <w:marTop w:val="0"/>
      <w:marBottom w:val="0"/>
      <w:divBdr>
        <w:top w:val="none" w:sz="0" w:space="0" w:color="auto"/>
        <w:left w:val="none" w:sz="0" w:space="0" w:color="auto"/>
        <w:bottom w:val="none" w:sz="0" w:space="0" w:color="auto"/>
        <w:right w:val="none" w:sz="0" w:space="0" w:color="auto"/>
      </w:divBdr>
    </w:div>
    <w:div w:id="673456190">
      <w:bodyDiv w:val="1"/>
      <w:marLeft w:val="0"/>
      <w:marRight w:val="0"/>
      <w:marTop w:val="0"/>
      <w:marBottom w:val="0"/>
      <w:divBdr>
        <w:top w:val="none" w:sz="0" w:space="0" w:color="auto"/>
        <w:left w:val="none" w:sz="0" w:space="0" w:color="auto"/>
        <w:bottom w:val="none" w:sz="0" w:space="0" w:color="auto"/>
        <w:right w:val="none" w:sz="0" w:space="0" w:color="auto"/>
      </w:divBdr>
    </w:div>
    <w:div w:id="691804286">
      <w:bodyDiv w:val="1"/>
      <w:marLeft w:val="0"/>
      <w:marRight w:val="0"/>
      <w:marTop w:val="0"/>
      <w:marBottom w:val="0"/>
      <w:divBdr>
        <w:top w:val="none" w:sz="0" w:space="0" w:color="auto"/>
        <w:left w:val="none" w:sz="0" w:space="0" w:color="auto"/>
        <w:bottom w:val="none" w:sz="0" w:space="0" w:color="auto"/>
        <w:right w:val="none" w:sz="0" w:space="0" w:color="auto"/>
      </w:divBdr>
    </w:div>
    <w:div w:id="714157544">
      <w:bodyDiv w:val="1"/>
      <w:marLeft w:val="0"/>
      <w:marRight w:val="0"/>
      <w:marTop w:val="0"/>
      <w:marBottom w:val="0"/>
      <w:divBdr>
        <w:top w:val="none" w:sz="0" w:space="0" w:color="auto"/>
        <w:left w:val="none" w:sz="0" w:space="0" w:color="auto"/>
        <w:bottom w:val="none" w:sz="0" w:space="0" w:color="auto"/>
        <w:right w:val="none" w:sz="0" w:space="0" w:color="auto"/>
      </w:divBdr>
      <w:divsChild>
        <w:div w:id="679815936">
          <w:marLeft w:val="0"/>
          <w:marRight w:val="0"/>
          <w:marTop w:val="0"/>
          <w:marBottom w:val="0"/>
          <w:divBdr>
            <w:top w:val="none" w:sz="0" w:space="0" w:color="auto"/>
            <w:left w:val="none" w:sz="0" w:space="0" w:color="auto"/>
            <w:bottom w:val="none" w:sz="0" w:space="0" w:color="auto"/>
            <w:right w:val="none" w:sz="0" w:space="0" w:color="auto"/>
          </w:divBdr>
          <w:divsChild>
            <w:div w:id="1330061659">
              <w:marLeft w:val="0"/>
              <w:marRight w:val="0"/>
              <w:marTop w:val="0"/>
              <w:marBottom w:val="0"/>
              <w:divBdr>
                <w:top w:val="none" w:sz="0" w:space="0" w:color="auto"/>
                <w:left w:val="none" w:sz="0" w:space="0" w:color="auto"/>
                <w:bottom w:val="none" w:sz="0" w:space="0" w:color="auto"/>
                <w:right w:val="none" w:sz="0" w:space="0" w:color="auto"/>
              </w:divBdr>
              <w:divsChild>
                <w:div w:id="1937327207">
                  <w:marLeft w:val="0"/>
                  <w:marRight w:val="0"/>
                  <w:marTop w:val="0"/>
                  <w:marBottom w:val="0"/>
                  <w:divBdr>
                    <w:top w:val="none" w:sz="0" w:space="0" w:color="auto"/>
                    <w:left w:val="none" w:sz="0" w:space="0" w:color="auto"/>
                    <w:bottom w:val="none" w:sz="0" w:space="0" w:color="auto"/>
                    <w:right w:val="none" w:sz="0" w:space="0" w:color="auto"/>
                  </w:divBdr>
                  <w:divsChild>
                    <w:div w:id="1494643833">
                      <w:marLeft w:val="0"/>
                      <w:marRight w:val="0"/>
                      <w:marTop w:val="0"/>
                      <w:marBottom w:val="0"/>
                      <w:divBdr>
                        <w:top w:val="none" w:sz="0" w:space="0" w:color="auto"/>
                        <w:left w:val="none" w:sz="0" w:space="0" w:color="auto"/>
                        <w:bottom w:val="none" w:sz="0" w:space="0" w:color="auto"/>
                        <w:right w:val="none" w:sz="0" w:space="0" w:color="auto"/>
                      </w:divBdr>
                      <w:divsChild>
                        <w:div w:id="668872886">
                          <w:marLeft w:val="0"/>
                          <w:marRight w:val="0"/>
                          <w:marTop w:val="0"/>
                          <w:marBottom w:val="0"/>
                          <w:divBdr>
                            <w:top w:val="none" w:sz="0" w:space="0" w:color="auto"/>
                            <w:left w:val="none" w:sz="0" w:space="0" w:color="auto"/>
                            <w:bottom w:val="none" w:sz="0" w:space="0" w:color="auto"/>
                            <w:right w:val="none" w:sz="0" w:space="0" w:color="auto"/>
                          </w:divBdr>
                          <w:divsChild>
                            <w:div w:id="14369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21295">
      <w:bodyDiv w:val="1"/>
      <w:marLeft w:val="0"/>
      <w:marRight w:val="0"/>
      <w:marTop w:val="0"/>
      <w:marBottom w:val="0"/>
      <w:divBdr>
        <w:top w:val="none" w:sz="0" w:space="0" w:color="auto"/>
        <w:left w:val="none" w:sz="0" w:space="0" w:color="auto"/>
        <w:bottom w:val="none" w:sz="0" w:space="0" w:color="auto"/>
        <w:right w:val="none" w:sz="0" w:space="0" w:color="auto"/>
      </w:divBdr>
      <w:divsChild>
        <w:div w:id="1534270430">
          <w:marLeft w:val="0"/>
          <w:marRight w:val="0"/>
          <w:marTop w:val="0"/>
          <w:marBottom w:val="0"/>
          <w:divBdr>
            <w:top w:val="none" w:sz="0" w:space="0" w:color="auto"/>
            <w:left w:val="none" w:sz="0" w:space="0" w:color="auto"/>
            <w:bottom w:val="none" w:sz="0" w:space="0" w:color="auto"/>
            <w:right w:val="none" w:sz="0" w:space="0" w:color="auto"/>
          </w:divBdr>
          <w:divsChild>
            <w:div w:id="162088410">
              <w:marLeft w:val="0"/>
              <w:marRight w:val="0"/>
              <w:marTop w:val="0"/>
              <w:marBottom w:val="0"/>
              <w:divBdr>
                <w:top w:val="none" w:sz="0" w:space="0" w:color="auto"/>
                <w:left w:val="none" w:sz="0" w:space="0" w:color="auto"/>
                <w:bottom w:val="none" w:sz="0" w:space="0" w:color="auto"/>
                <w:right w:val="none" w:sz="0" w:space="0" w:color="auto"/>
              </w:divBdr>
              <w:divsChild>
                <w:div w:id="288972402">
                  <w:marLeft w:val="0"/>
                  <w:marRight w:val="0"/>
                  <w:marTop w:val="0"/>
                  <w:marBottom w:val="0"/>
                  <w:divBdr>
                    <w:top w:val="none" w:sz="0" w:space="0" w:color="auto"/>
                    <w:left w:val="none" w:sz="0" w:space="0" w:color="auto"/>
                    <w:bottom w:val="none" w:sz="0" w:space="0" w:color="auto"/>
                    <w:right w:val="none" w:sz="0" w:space="0" w:color="auto"/>
                  </w:divBdr>
                  <w:divsChild>
                    <w:div w:id="768161833">
                      <w:marLeft w:val="0"/>
                      <w:marRight w:val="0"/>
                      <w:marTop w:val="0"/>
                      <w:marBottom w:val="0"/>
                      <w:divBdr>
                        <w:top w:val="none" w:sz="0" w:space="0" w:color="auto"/>
                        <w:left w:val="none" w:sz="0" w:space="0" w:color="auto"/>
                        <w:bottom w:val="none" w:sz="0" w:space="0" w:color="auto"/>
                        <w:right w:val="none" w:sz="0" w:space="0" w:color="auto"/>
                      </w:divBdr>
                      <w:divsChild>
                        <w:div w:id="16754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613145">
      <w:bodyDiv w:val="1"/>
      <w:marLeft w:val="0"/>
      <w:marRight w:val="0"/>
      <w:marTop w:val="0"/>
      <w:marBottom w:val="0"/>
      <w:divBdr>
        <w:top w:val="none" w:sz="0" w:space="0" w:color="auto"/>
        <w:left w:val="none" w:sz="0" w:space="0" w:color="auto"/>
        <w:bottom w:val="none" w:sz="0" w:space="0" w:color="auto"/>
        <w:right w:val="none" w:sz="0" w:space="0" w:color="auto"/>
      </w:divBdr>
    </w:div>
    <w:div w:id="812523776">
      <w:bodyDiv w:val="1"/>
      <w:marLeft w:val="0"/>
      <w:marRight w:val="0"/>
      <w:marTop w:val="0"/>
      <w:marBottom w:val="0"/>
      <w:divBdr>
        <w:top w:val="none" w:sz="0" w:space="0" w:color="auto"/>
        <w:left w:val="none" w:sz="0" w:space="0" w:color="auto"/>
        <w:bottom w:val="none" w:sz="0" w:space="0" w:color="auto"/>
        <w:right w:val="none" w:sz="0" w:space="0" w:color="auto"/>
      </w:divBdr>
    </w:div>
    <w:div w:id="910503677">
      <w:bodyDiv w:val="1"/>
      <w:marLeft w:val="0"/>
      <w:marRight w:val="0"/>
      <w:marTop w:val="0"/>
      <w:marBottom w:val="0"/>
      <w:divBdr>
        <w:top w:val="none" w:sz="0" w:space="0" w:color="auto"/>
        <w:left w:val="none" w:sz="0" w:space="0" w:color="auto"/>
        <w:bottom w:val="none" w:sz="0" w:space="0" w:color="auto"/>
        <w:right w:val="none" w:sz="0" w:space="0" w:color="auto"/>
      </w:divBdr>
    </w:div>
    <w:div w:id="1328826479">
      <w:bodyDiv w:val="1"/>
      <w:marLeft w:val="0"/>
      <w:marRight w:val="0"/>
      <w:marTop w:val="0"/>
      <w:marBottom w:val="0"/>
      <w:divBdr>
        <w:top w:val="none" w:sz="0" w:space="0" w:color="auto"/>
        <w:left w:val="none" w:sz="0" w:space="0" w:color="auto"/>
        <w:bottom w:val="none" w:sz="0" w:space="0" w:color="auto"/>
        <w:right w:val="none" w:sz="0" w:space="0" w:color="auto"/>
      </w:divBdr>
      <w:divsChild>
        <w:div w:id="772670343">
          <w:marLeft w:val="0"/>
          <w:marRight w:val="0"/>
          <w:marTop w:val="0"/>
          <w:marBottom w:val="0"/>
          <w:divBdr>
            <w:top w:val="none" w:sz="0" w:space="0" w:color="auto"/>
            <w:left w:val="none" w:sz="0" w:space="0" w:color="auto"/>
            <w:bottom w:val="none" w:sz="0" w:space="0" w:color="auto"/>
            <w:right w:val="none" w:sz="0" w:space="0" w:color="auto"/>
          </w:divBdr>
          <w:divsChild>
            <w:div w:id="1050568646">
              <w:marLeft w:val="0"/>
              <w:marRight w:val="0"/>
              <w:marTop w:val="0"/>
              <w:marBottom w:val="0"/>
              <w:divBdr>
                <w:top w:val="none" w:sz="0" w:space="0" w:color="auto"/>
                <w:left w:val="none" w:sz="0" w:space="0" w:color="auto"/>
                <w:bottom w:val="none" w:sz="0" w:space="0" w:color="auto"/>
                <w:right w:val="none" w:sz="0" w:space="0" w:color="auto"/>
              </w:divBdr>
              <w:divsChild>
                <w:div w:id="1761177457">
                  <w:marLeft w:val="0"/>
                  <w:marRight w:val="0"/>
                  <w:marTop w:val="0"/>
                  <w:marBottom w:val="0"/>
                  <w:divBdr>
                    <w:top w:val="none" w:sz="0" w:space="0" w:color="auto"/>
                    <w:left w:val="none" w:sz="0" w:space="0" w:color="auto"/>
                    <w:bottom w:val="none" w:sz="0" w:space="0" w:color="auto"/>
                    <w:right w:val="none" w:sz="0" w:space="0" w:color="auto"/>
                  </w:divBdr>
                  <w:divsChild>
                    <w:div w:id="1197549770">
                      <w:marLeft w:val="0"/>
                      <w:marRight w:val="0"/>
                      <w:marTop w:val="0"/>
                      <w:marBottom w:val="0"/>
                      <w:divBdr>
                        <w:top w:val="none" w:sz="0" w:space="0" w:color="auto"/>
                        <w:left w:val="none" w:sz="0" w:space="0" w:color="auto"/>
                        <w:bottom w:val="none" w:sz="0" w:space="0" w:color="auto"/>
                        <w:right w:val="none" w:sz="0" w:space="0" w:color="auto"/>
                      </w:divBdr>
                      <w:divsChild>
                        <w:div w:id="1331518355">
                          <w:marLeft w:val="0"/>
                          <w:marRight w:val="0"/>
                          <w:marTop w:val="0"/>
                          <w:marBottom w:val="0"/>
                          <w:divBdr>
                            <w:top w:val="none" w:sz="0" w:space="0" w:color="auto"/>
                            <w:left w:val="none" w:sz="0" w:space="0" w:color="auto"/>
                            <w:bottom w:val="none" w:sz="0" w:space="0" w:color="auto"/>
                            <w:right w:val="none" w:sz="0" w:space="0" w:color="auto"/>
                          </w:divBdr>
                          <w:divsChild>
                            <w:div w:id="13748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098803">
      <w:bodyDiv w:val="1"/>
      <w:marLeft w:val="0"/>
      <w:marRight w:val="0"/>
      <w:marTop w:val="0"/>
      <w:marBottom w:val="0"/>
      <w:divBdr>
        <w:top w:val="none" w:sz="0" w:space="0" w:color="auto"/>
        <w:left w:val="none" w:sz="0" w:space="0" w:color="auto"/>
        <w:bottom w:val="none" w:sz="0" w:space="0" w:color="auto"/>
        <w:right w:val="none" w:sz="0" w:space="0" w:color="auto"/>
      </w:divBdr>
    </w:div>
    <w:div w:id="1628926569">
      <w:bodyDiv w:val="1"/>
      <w:marLeft w:val="0"/>
      <w:marRight w:val="0"/>
      <w:marTop w:val="0"/>
      <w:marBottom w:val="0"/>
      <w:divBdr>
        <w:top w:val="none" w:sz="0" w:space="0" w:color="auto"/>
        <w:left w:val="none" w:sz="0" w:space="0" w:color="auto"/>
        <w:bottom w:val="none" w:sz="0" w:space="0" w:color="auto"/>
        <w:right w:val="none" w:sz="0" w:space="0" w:color="auto"/>
      </w:divBdr>
      <w:divsChild>
        <w:div w:id="1668096342">
          <w:marLeft w:val="0"/>
          <w:marRight w:val="0"/>
          <w:marTop w:val="0"/>
          <w:marBottom w:val="0"/>
          <w:divBdr>
            <w:top w:val="none" w:sz="0" w:space="0" w:color="auto"/>
            <w:left w:val="none" w:sz="0" w:space="0" w:color="auto"/>
            <w:bottom w:val="none" w:sz="0" w:space="0" w:color="auto"/>
            <w:right w:val="none" w:sz="0" w:space="0" w:color="auto"/>
          </w:divBdr>
          <w:divsChild>
            <w:div w:id="158353886">
              <w:marLeft w:val="0"/>
              <w:marRight w:val="0"/>
              <w:marTop w:val="0"/>
              <w:marBottom w:val="0"/>
              <w:divBdr>
                <w:top w:val="none" w:sz="0" w:space="0" w:color="auto"/>
                <w:left w:val="none" w:sz="0" w:space="0" w:color="auto"/>
                <w:bottom w:val="none" w:sz="0" w:space="0" w:color="auto"/>
                <w:right w:val="none" w:sz="0" w:space="0" w:color="auto"/>
              </w:divBdr>
              <w:divsChild>
                <w:div w:id="1061828479">
                  <w:marLeft w:val="0"/>
                  <w:marRight w:val="0"/>
                  <w:marTop w:val="0"/>
                  <w:marBottom w:val="0"/>
                  <w:divBdr>
                    <w:top w:val="none" w:sz="0" w:space="0" w:color="auto"/>
                    <w:left w:val="none" w:sz="0" w:space="0" w:color="auto"/>
                    <w:bottom w:val="none" w:sz="0" w:space="0" w:color="auto"/>
                    <w:right w:val="none" w:sz="0" w:space="0" w:color="auto"/>
                  </w:divBdr>
                  <w:divsChild>
                    <w:div w:id="62414693">
                      <w:marLeft w:val="0"/>
                      <w:marRight w:val="0"/>
                      <w:marTop w:val="0"/>
                      <w:marBottom w:val="0"/>
                      <w:divBdr>
                        <w:top w:val="none" w:sz="0" w:space="0" w:color="auto"/>
                        <w:left w:val="none" w:sz="0" w:space="0" w:color="auto"/>
                        <w:bottom w:val="none" w:sz="0" w:space="0" w:color="auto"/>
                        <w:right w:val="none" w:sz="0" w:space="0" w:color="auto"/>
                      </w:divBdr>
                      <w:divsChild>
                        <w:div w:id="705833607">
                          <w:marLeft w:val="0"/>
                          <w:marRight w:val="0"/>
                          <w:marTop w:val="0"/>
                          <w:marBottom w:val="0"/>
                          <w:divBdr>
                            <w:top w:val="none" w:sz="0" w:space="0" w:color="auto"/>
                            <w:left w:val="none" w:sz="0" w:space="0" w:color="auto"/>
                            <w:bottom w:val="none" w:sz="0" w:space="0" w:color="auto"/>
                            <w:right w:val="none" w:sz="0" w:space="0" w:color="auto"/>
                          </w:divBdr>
                          <w:divsChild>
                            <w:div w:id="12539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56420">
      <w:bodyDiv w:val="1"/>
      <w:marLeft w:val="0"/>
      <w:marRight w:val="0"/>
      <w:marTop w:val="0"/>
      <w:marBottom w:val="0"/>
      <w:divBdr>
        <w:top w:val="none" w:sz="0" w:space="0" w:color="auto"/>
        <w:left w:val="none" w:sz="0" w:space="0" w:color="auto"/>
        <w:bottom w:val="none" w:sz="0" w:space="0" w:color="auto"/>
        <w:right w:val="none" w:sz="0" w:space="0" w:color="auto"/>
      </w:divBdr>
    </w:div>
    <w:div w:id="1830054991">
      <w:bodyDiv w:val="1"/>
      <w:marLeft w:val="0"/>
      <w:marRight w:val="0"/>
      <w:marTop w:val="0"/>
      <w:marBottom w:val="0"/>
      <w:divBdr>
        <w:top w:val="none" w:sz="0" w:space="0" w:color="auto"/>
        <w:left w:val="none" w:sz="0" w:space="0" w:color="auto"/>
        <w:bottom w:val="none" w:sz="0" w:space="0" w:color="auto"/>
        <w:right w:val="none" w:sz="0" w:space="0" w:color="auto"/>
      </w:divBdr>
    </w:div>
    <w:div w:id="2030567716">
      <w:bodyDiv w:val="1"/>
      <w:marLeft w:val="0"/>
      <w:marRight w:val="0"/>
      <w:marTop w:val="0"/>
      <w:marBottom w:val="0"/>
      <w:divBdr>
        <w:top w:val="none" w:sz="0" w:space="0" w:color="auto"/>
        <w:left w:val="none" w:sz="0" w:space="0" w:color="auto"/>
        <w:bottom w:val="none" w:sz="0" w:space="0" w:color="auto"/>
        <w:right w:val="none" w:sz="0" w:space="0" w:color="auto"/>
      </w:divBdr>
    </w:div>
    <w:div w:id="2031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C2DC2-9343-45A4-ADBF-B7D5EB89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12028</Words>
  <Characters>69520</Characters>
  <Application>Microsoft Office Word</Application>
  <DocSecurity>0</DocSecurity>
  <Lines>579</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2017-02-07T00:56:00Z</dcterms:created>
  <dcterms:modified xsi:type="dcterms:W3CDTF">2017-02-16T21:30:00Z</dcterms:modified>
</cp:coreProperties>
</file>