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55FE" w:rsidRPr="00961B75" w:rsidRDefault="00EE5418" w:rsidP="00963A67">
      <w:pPr>
        <w:pStyle w:val="Heading1"/>
        <w:widowControl/>
        <w:ind w:left="709" w:hanging="709"/>
        <w:jc w:val="left"/>
        <w:rPr>
          <w:caps w:val="0"/>
          <w:sz w:val="28"/>
        </w:rPr>
      </w:pPr>
      <w:bookmarkStart w:id="0" w:name="_Toc461551695"/>
      <w:bookmarkStart w:id="1" w:name="_GoBack"/>
      <w:bookmarkEnd w:id="1"/>
      <w:r w:rsidRPr="00961B75">
        <w:rPr>
          <w:caps w:val="0"/>
          <w:sz w:val="28"/>
        </w:rPr>
        <w:t>5.11</w:t>
      </w:r>
      <w:r w:rsidR="00B60939" w:rsidRPr="00961B75">
        <w:rPr>
          <w:caps w:val="0"/>
          <w:sz w:val="28"/>
        </w:rPr>
        <w:tab/>
      </w:r>
      <w:r w:rsidR="00802FCC" w:rsidRPr="00961B75">
        <w:rPr>
          <w:rFonts w:cs="Arial Bold"/>
          <w:caps w:val="0"/>
          <w:sz w:val="28"/>
        </w:rPr>
        <w:t xml:space="preserve">PARITAPREVIR with RITONAVIR </w:t>
      </w:r>
      <w:r w:rsidR="000C3280" w:rsidRPr="00961B75">
        <w:rPr>
          <w:rFonts w:cs="Arial Bold"/>
          <w:caps w:val="0"/>
          <w:sz w:val="28"/>
        </w:rPr>
        <w:t xml:space="preserve">and </w:t>
      </w:r>
      <w:r w:rsidR="00802FCC" w:rsidRPr="00961B75">
        <w:rPr>
          <w:rFonts w:cs="Arial Bold"/>
          <w:caps w:val="0"/>
          <w:sz w:val="28"/>
        </w:rPr>
        <w:t xml:space="preserve">OMBITASVIR, </w:t>
      </w:r>
      <w:r w:rsidR="00802FCC" w:rsidRPr="00961B75">
        <w:rPr>
          <w:rFonts w:cs="Arial Bold"/>
          <w:caps w:val="0"/>
          <w:sz w:val="28"/>
        </w:rPr>
        <w:br/>
        <w:t xml:space="preserve">Tablet containing 75 mg paritaprevir with 50 mg ritonavir </w:t>
      </w:r>
      <w:r w:rsidR="000C3280" w:rsidRPr="00961B75">
        <w:rPr>
          <w:rFonts w:cs="Arial Bold"/>
          <w:caps w:val="0"/>
          <w:sz w:val="28"/>
        </w:rPr>
        <w:t xml:space="preserve">and </w:t>
      </w:r>
      <w:r w:rsidR="00802FCC" w:rsidRPr="00961B75">
        <w:rPr>
          <w:rFonts w:cs="Arial Bold"/>
          <w:caps w:val="0"/>
          <w:sz w:val="28"/>
        </w:rPr>
        <w:t xml:space="preserve">12.5 mg ombitasvir, </w:t>
      </w:r>
      <w:r w:rsidR="00802FCC" w:rsidRPr="00961B75">
        <w:rPr>
          <w:rFonts w:cs="Arial Bold"/>
          <w:caps w:val="0"/>
          <w:sz w:val="28"/>
        </w:rPr>
        <w:br/>
      </w:r>
      <w:proofErr w:type="spellStart"/>
      <w:r w:rsidR="00EF55FE" w:rsidRPr="00961B75">
        <w:rPr>
          <w:caps w:val="0"/>
          <w:sz w:val="28"/>
        </w:rPr>
        <w:t>Technivie</w:t>
      </w:r>
      <w:proofErr w:type="spellEnd"/>
      <w:r w:rsidR="00EF55FE" w:rsidRPr="00961B75">
        <w:rPr>
          <w:caps w:val="0"/>
          <w:sz w:val="28"/>
          <w:vertAlign w:val="superscript"/>
        </w:rPr>
        <w:t>®</w:t>
      </w:r>
      <w:r w:rsidR="00EF55FE" w:rsidRPr="00961B75">
        <w:rPr>
          <w:caps w:val="0"/>
          <w:sz w:val="28"/>
        </w:rPr>
        <w:t xml:space="preserve">, </w:t>
      </w:r>
      <w:r w:rsidR="00802FCC" w:rsidRPr="00961B75">
        <w:rPr>
          <w:caps w:val="0"/>
          <w:sz w:val="28"/>
        </w:rPr>
        <w:br/>
      </w:r>
      <w:proofErr w:type="spellStart"/>
      <w:r w:rsidR="00EF55FE" w:rsidRPr="00961B75">
        <w:rPr>
          <w:rFonts w:cs="Arial Bold"/>
          <w:caps w:val="0"/>
          <w:sz w:val="28"/>
        </w:rPr>
        <w:t>AbbVie</w:t>
      </w:r>
      <w:proofErr w:type="spellEnd"/>
      <w:r w:rsidR="00EF55FE" w:rsidRPr="00961B75">
        <w:rPr>
          <w:rFonts w:cs="Arial Bold"/>
          <w:caps w:val="0"/>
          <w:sz w:val="28"/>
        </w:rPr>
        <w:t xml:space="preserve"> Pty Ltd</w:t>
      </w:r>
      <w:r w:rsidR="00EF55FE" w:rsidRPr="00961B75">
        <w:rPr>
          <w:caps w:val="0"/>
          <w:sz w:val="28"/>
        </w:rPr>
        <w:t>.</w:t>
      </w:r>
      <w:bookmarkEnd w:id="0"/>
    </w:p>
    <w:p w:rsidR="00B60939" w:rsidRPr="00961B75" w:rsidRDefault="00B60939" w:rsidP="004611DA">
      <w:pPr>
        <w:widowControl/>
      </w:pPr>
    </w:p>
    <w:p w:rsidR="00F714D1" w:rsidRPr="00961B75" w:rsidRDefault="00F714D1" w:rsidP="004611DA">
      <w:pPr>
        <w:widowControl/>
      </w:pPr>
    </w:p>
    <w:p w:rsidR="00B50DB8" w:rsidRPr="00961B75" w:rsidRDefault="00B50DB8" w:rsidP="004611DA">
      <w:pPr>
        <w:pStyle w:val="PBACHeading1"/>
      </w:pPr>
      <w:bookmarkStart w:id="2" w:name="_Toc461551697"/>
      <w:r w:rsidRPr="00961B75">
        <w:t>Purpose of Application</w:t>
      </w:r>
      <w:bookmarkEnd w:id="2"/>
    </w:p>
    <w:p w:rsidR="00B60939" w:rsidRPr="00961B75" w:rsidRDefault="00B60939" w:rsidP="004611DA">
      <w:pPr>
        <w:widowControl/>
        <w:rPr>
          <w:szCs w:val="22"/>
        </w:rPr>
      </w:pPr>
    </w:p>
    <w:p w:rsidR="002C2775" w:rsidRPr="00961B75" w:rsidRDefault="00027E24" w:rsidP="00EF7F25">
      <w:pPr>
        <w:pStyle w:val="ListParagraph"/>
        <w:widowControl/>
        <w:numPr>
          <w:ilvl w:val="1"/>
          <w:numId w:val="1"/>
        </w:numPr>
        <w:rPr>
          <w:szCs w:val="22"/>
        </w:rPr>
      </w:pPr>
      <w:r w:rsidRPr="00961B75">
        <w:t xml:space="preserve">The submission requested a </w:t>
      </w:r>
      <w:r w:rsidR="00765C4C" w:rsidRPr="00961B75">
        <w:t>G</w:t>
      </w:r>
      <w:r w:rsidR="00F714D1" w:rsidRPr="00961B75">
        <w:t xml:space="preserve">eneral </w:t>
      </w:r>
      <w:r w:rsidR="00765C4C" w:rsidRPr="00961B75">
        <w:t>S</w:t>
      </w:r>
      <w:r w:rsidR="00F714D1" w:rsidRPr="00961B75">
        <w:t>chedule</w:t>
      </w:r>
      <w:r w:rsidRPr="00961B75">
        <w:t xml:space="preserve"> and </w:t>
      </w:r>
      <w:r w:rsidR="0097685A" w:rsidRPr="00961B75">
        <w:t>S</w:t>
      </w:r>
      <w:r w:rsidR="00F671D2" w:rsidRPr="00961B75">
        <w:t xml:space="preserve">ection </w:t>
      </w:r>
      <w:r w:rsidRPr="00961B75">
        <w:t>100 Authority Required listing for the fixed dose combination (FDC)</w:t>
      </w:r>
      <w:r w:rsidR="00DA502D" w:rsidRPr="00961B75">
        <w:rPr>
          <w:snapToGrid/>
          <w:szCs w:val="22"/>
        </w:rPr>
        <w:t xml:space="preserve"> of </w:t>
      </w:r>
      <w:r w:rsidR="00F671D2" w:rsidRPr="00961B75">
        <w:rPr>
          <w:snapToGrid/>
          <w:szCs w:val="22"/>
        </w:rPr>
        <w:t xml:space="preserve">paritaprevir 75 mg, ritonavir 50 mg and </w:t>
      </w:r>
      <w:r w:rsidR="00E86267" w:rsidRPr="00961B75">
        <w:rPr>
          <w:snapToGrid/>
          <w:szCs w:val="22"/>
        </w:rPr>
        <w:t>ombitasvir</w:t>
      </w:r>
      <w:r w:rsidR="00DA502D" w:rsidRPr="00961B75">
        <w:rPr>
          <w:snapToGrid/>
          <w:szCs w:val="22"/>
        </w:rPr>
        <w:t xml:space="preserve"> 12.5</w:t>
      </w:r>
      <w:r w:rsidR="00D2570B" w:rsidRPr="00961B75">
        <w:rPr>
          <w:snapToGrid/>
          <w:szCs w:val="22"/>
        </w:rPr>
        <w:t xml:space="preserve"> </w:t>
      </w:r>
      <w:r w:rsidR="00DA502D" w:rsidRPr="00961B75">
        <w:rPr>
          <w:snapToGrid/>
          <w:szCs w:val="22"/>
        </w:rPr>
        <w:t xml:space="preserve">mg </w:t>
      </w:r>
      <w:r w:rsidR="00996358" w:rsidRPr="00961B75">
        <w:rPr>
          <w:snapToGrid/>
          <w:szCs w:val="22"/>
        </w:rPr>
        <w:t>(</w:t>
      </w:r>
      <w:r w:rsidR="00DA502D" w:rsidRPr="00961B75">
        <w:rPr>
          <w:snapToGrid/>
          <w:szCs w:val="22"/>
        </w:rPr>
        <w:t xml:space="preserve">herein referred to as </w:t>
      </w:r>
      <w:proofErr w:type="spellStart"/>
      <w:r w:rsidR="00DA502D" w:rsidRPr="00961B75">
        <w:rPr>
          <w:snapToGrid/>
          <w:szCs w:val="22"/>
        </w:rPr>
        <w:t>Technivie</w:t>
      </w:r>
      <w:proofErr w:type="spellEnd"/>
      <w:r w:rsidR="00DA502D" w:rsidRPr="00961B75">
        <w:rPr>
          <w:snapToGrid/>
          <w:szCs w:val="22"/>
        </w:rPr>
        <w:t>®</w:t>
      </w:r>
      <w:r w:rsidR="00996358" w:rsidRPr="00961B75">
        <w:rPr>
          <w:snapToGrid/>
          <w:szCs w:val="22"/>
        </w:rPr>
        <w:t>)</w:t>
      </w:r>
      <w:r w:rsidRPr="00961B75">
        <w:t xml:space="preserve"> </w:t>
      </w:r>
      <w:r w:rsidR="00DA502D" w:rsidRPr="00961B75">
        <w:t xml:space="preserve">in combination with ribavirin (RBV) </w:t>
      </w:r>
      <w:r w:rsidRPr="00961B75">
        <w:t>for treatment of patients infected with genotype 4 (GT4) chronic hepatitis C (CHC), irrespective of</w:t>
      </w:r>
      <w:r w:rsidR="00DA502D" w:rsidRPr="00961B75">
        <w:t xml:space="preserve"> previous treatment history</w:t>
      </w:r>
      <w:r w:rsidR="00961B75">
        <w:t xml:space="preserve">. </w:t>
      </w:r>
      <w:r w:rsidR="00DA502D" w:rsidRPr="00961B75">
        <w:t>RBV is to be dispensed separately via the P</w:t>
      </w:r>
      <w:r w:rsidR="00D2570B" w:rsidRPr="00961B75">
        <w:t xml:space="preserve">harmaceutical </w:t>
      </w:r>
      <w:r w:rsidR="00DA502D" w:rsidRPr="00961B75">
        <w:t>B</w:t>
      </w:r>
      <w:r w:rsidR="00D2570B" w:rsidRPr="00961B75">
        <w:t xml:space="preserve">enefits </w:t>
      </w:r>
      <w:r w:rsidR="00DA502D" w:rsidRPr="00961B75">
        <w:t>S</w:t>
      </w:r>
      <w:r w:rsidR="00D2570B" w:rsidRPr="00961B75">
        <w:t>cheme (PBS)</w:t>
      </w:r>
      <w:r w:rsidR="00DA502D" w:rsidRPr="00961B75">
        <w:t xml:space="preserve"> and will not be co-packaged with </w:t>
      </w:r>
      <w:proofErr w:type="spellStart"/>
      <w:r w:rsidR="00DA502D" w:rsidRPr="00961B75">
        <w:t>Technivie</w:t>
      </w:r>
      <w:proofErr w:type="spellEnd"/>
      <w:r w:rsidR="00DA502D" w:rsidRPr="00961B75">
        <w:t>®.</w:t>
      </w:r>
    </w:p>
    <w:p w:rsidR="00DA502D" w:rsidRPr="00961B75" w:rsidRDefault="00DA502D" w:rsidP="004611DA">
      <w:pPr>
        <w:pStyle w:val="ListParagraph"/>
        <w:widowControl/>
        <w:rPr>
          <w:szCs w:val="22"/>
        </w:rPr>
      </w:pPr>
    </w:p>
    <w:p w:rsidR="00393F09" w:rsidRPr="00961B75" w:rsidRDefault="00393F09" w:rsidP="004611DA">
      <w:pPr>
        <w:pStyle w:val="ListParagraph"/>
        <w:widowControl/>
        <w:rPr>
          <w:szCs w:val="22"/>
        </w:rPr>
      </w:pPr>
    </w:p>
    <w:p w:rsidR="00B50DB8" w:rsidRPr="00961B75" w:rsidRDefault="00B50DB8" w:rsidP="004611DA">
      <w:pPr>
        <w:pStyle w:val="PBACHeading1"/>
        <w:keepNext/>
      </w:pPr>
      <w:bookmarkStart w:id="3" w:name="_Toc461551698"/>
      <w:r w:rsidRPr="00961B75">
        <w:t>Requested listing</w:t>
      </w:r>
      <w:bookmarkEnd w:id="3"/>
    </w:p>
    <w:p w:rsidR="00CA741E" w:rsidRPr="00961B75" w:rsidRDefault="00CA741E" w:rsidP="004611DA">
      <w:pPr>
        <w:keepNext/>
        <w:widowControl/>
      </w:pPr>
    </w:p>
    <w:p w:rsidR="00617E12" w:rsidRPr="00961B75" w:rsidRDefault="00CA741E" w:rsidP="00EF7F25">
      <w:pPr>
        <w:pStyle w:val="ListParagraph"/>
        <w:widowControl/>
        <w:numPr>
          <w:ilvl w:val="1"/>
          <w:numId w:val="1"/>
        </w:numPr>
      </w:pPr>
      <w:r w:rsidRPr="00961B75">
        <w:t xml:space="preserve">The requested listings </w:t>
      </w:r>
      <w:r w:rsidR="000C3280" w:rsidRPr="00961B75">
        <w:t>are provided below</w:t>
      </w:r>
      <w:r w:rsidR="00C02825" w:rsidRPr="00961B75">
        <w:t xml:space="preserve">. The Secretariat proposed the addition of notes consistent with other drugs supplied under the </w:t>
      </w:r>
      <w:r w:rsidR="00C02825" w:rsidRPr="007917BE">
        <w:rPr>
          <w:i/>
        </w:rPr>
        <w:t>General Statement for Drugs for the Treatment of Hepatitis C</w:t>
      </w:r>
      <w:r w:rsidR="00C02825" w:rsidRPr="00961B75">
        <w:t xml:space="preserve"> (no increase in the maximum quantity, number of units or repeats may be authorised). The Secretariat also proposed that the prescriber type should include medical practitioners experienced in the treatment of hepatitis C, in line with changes to the </w:t>
      </w:r>
      <w:r w:rsidR="00C02825" w:rsidRPr="007917BE">
        <w:rPr>
          <w:i/>
        </w:rPr>
        <w:t>General Statement</w:t>
      </w:r>
      <w:r w:rsidR="00C02825" w:rsidRPr="00961B75">
        <w:t xml:space="preserve"> that were </w:t>
      </w:r>
      <w:r w:rsidR="009A4F5D">
        <w:t>implemented on 1 </w:t>
      </w:r>
      <w:r w:rsidR="00F714D1" w:rsidRPr="009A4F5D">
        <w:t>November</w:t>
      </w:r>
      <w:r w:rsidR="009A4F5D">
        <w:t> </w:t>
      </w:r>
      <w:r w:rsidR="00F714D1" w:rsidRPr="009A4F5D">
        <w:t>2016</w:t>
      </w:r>
      <w:r w:rsidR="00F714D1" w:rsidRPr="00961B75">
        <w:t xml:space="preserve">. </w:t>
      </w:r>
      <w:r w:rsidR="00C02825" w:rsidRPr="00961B75">
        <w:t xml:space="preserve">In addition, the Secretariat proposed that the pregnancy caution below need not apply to </w:t>
      </w:r>
      <w:proofErr w:type="spellStart"/>
      <w:r w:rsidR="00C02825" w:rsidRPr="00961B75">
        <w:t>Technivie</w:t>
      </w:r>
      <w:proofErr w:type="spellEnd"/>
      <w:r w:rsidR="00C02825" w:rsidRPr="00961B75">
        <w:t>®</w:t>
      </w:r>
      <w:r w:rsidR="00324EAE" w:rsidRPr="00961B75">
        <w:t xml:space="preserve"> (Category B3</w:t>
      </w:r>
      <w:r w:rsidR="00C02825" w:rsidRPr="00961B75">
        <w:t xml:space="preserve">), since this is already included on all PBS </w:t>
      </w:r>
      <w:r w:rsidR="00143A56">
        <w:t>RBV</w:t>
      </w:r>
      <w:r w:rsidR="00C02825" w:rsidRPr="00961B75">
        <w:t xml:space="preserve"> listings (Category X).</w:t>
      </w:r>
    </w:p>
    <w:p w:rsidR="004611DA" w:rsidRPr="00961B75" w:rsidRDefault="004611DA" w:rsidP="004611DA">
      <w:pPr>
        <w:pStyle w:val="ListParagraph"/>
        <w:widowControl/>
      </w:pPr>
    </w:p>
    <w:tbl>
      <w:tblPr>
        <w:tblW w:w="4633" w:type="pct"/>
        <w:tblInd w:w="709" w:type="dxa"/>
        <w:tblLayout w:type="fixed"/>
        <w:tblCellMar>
          <w:left w:w="28" w:type="dxa"/>
          <w:right w:w="28" w:type="dxa"/>
        </w:tblCellMar>
        <w:tblLook w:val="04A0" w:firstRow="1" w:lastRow="0" w:firstColumn="1" w:lastColumn="0" w:noHBand="0" w:noVBand="1"/>
      </w:tblPr>
      <w:tblGrid>
        <w:gridCol w:w="1588"/>
        <w:gridCol w:w="1841"/>
        <w:gridCol w:w="29"/>
        <w:gridCol w:w="596"/>
        <w:gridCol w:w="651"/>
        <w:gridCol w:w="1702"/>
        <w:gridCol w:w="1133"/>
        <w:gridCol w:w="875"/>
      </w:tblGrid>
      <w:tr w:rsidR="00CA741E" w:rsidRPr="00961B75" w:rsidTr="009D259B">
        <w:trPr>
          <w:cantSplit/>
          <w:trHeight w:val="471"/>
        </w:trPr>
        <w:tc>
          <w:tcPr>
            <w:tcW w:w="2055" w:type="pct"/>
            <w:gridSpan w:val="3"/>
            <w:tcBorders>
              <w:top w:val="nil"/>
              <w:left w:val="nil"/>
              <w:bottom w:val="single" w:sz="4" w:space="0" w:color="auto"/>
              <w:right w:val="nil"/>
            </w:tcBorders>
            <w:hideMark/>
          </w:tcPr>
          <w:p w:rsidR="00CA741E" w:rsidRPr="00961B75" w:rsidRDefault="00CA741E" w:rsidP="004611DA">
            <w:pPr>
              <w:keepNext/>
              <w:widowControl/>
              <w:rPr>
                <w:rFonts w:ascii="Arial Narrow" w:hAnsi="Arial Narrow"/>
                <w:sz w:val="20"/>
              </w:rPr>
            </w:pPr>
            <w:r w:rsidRPr="00961B75">
              <w:rPr>
                <w:rFonts w:ascii="Arial Narrow" w:hAnsi="Arial Narrow"/>
                <w:sz w:val="20"/>
              </w:rPr>
              <w:t>Name, Restriction,</w:t>
            </w:r>
          </w:p>
          <w:p w:rsidR="00CA741E" w:rsidRPr="00961B75" w:rsidRDefault="00CA741E" w:rsidP="004611DA">
            <w:pPr>
              <w:keepNext/>
              <w:widowControl/>
              <w:rPr>
                <w:rFonts w:ascii="Arial Narrow" w:hAnsi="Arial Narrow"/>
                <w:sz w:val="20"/>
              </w:rPr>
            </w:pPr>
            <w:r w:rsidRPr="00961B75">
              <w:rPr>
                <w:rFonts w:ascii="Arial Narrow" w:hAnsi="Arial Narrow"/>
                <w:sz w:val="20"/>
              </w:rPr>
              <w:t>Manner of administration and form</w:t>
            </w:r>
          </w:p>
        </w:tc>
        <w:tc>
          <w:tcPr>
            <w:tcW w:w="354" w:type="pct"/>
            <w:tcBorders>
              <w:top w:val="nil"/>
              <w:left w:val="nil"/>
              <w:bottom w:val="single" w:sz="4" w:space="0" w:color="auto"/>
              <w:right w:val="nil"/>
            </w:tcBorders>
            <w:hideMark/>
          </w:tcPr>
          <w:p w:rsidR="00CA741E" w:rsidRPr="00961B75" w:rsidRDefault="00CA741E" w:rsidP="004611DA">
            <w:pPr>
              <w:keepNext/>
              <w:widowControl/>
              <w:jc w:val="center"/>
              <w:rPr>
                <w:rFonts w:ascii="Arial Narrow" w:hAnsi="Arial Narrow"/>
                <w:sz w:val="20"/>
              </w:rPr>
            </w:pPr>
            <w:r w:rsidRPr="00961B75">
              <w:rPr>
                <w:rFonts w:ascii="Arial Narrow" w:hAnsi="Arial Narrow"/>
                <w:sz w:val="20"/>
              </w:rPr>
              <w:t>Max.</w:t>
            </w:r>
          </w:p>
          <w:p w:rsidR="00CA741E" w:rsidRPr="00961B75" w:rsidRDefault="00CA741E" w:rsidP="004611DA">
            <w:pPr>
              <w:keepNext/>
              <w:widowControl/>
              <w:jc w:val="center"/>
              <w:rPr>
                <w:rFonts w:ascii="Arial Narrow" w:hAnsi="Arial Narrow"/>
                <w:sz w:val="20"/>
              </w:rPr>
            </w:pPr>
            <w:r w:rsidRPr="00961B75">
              <w:rPr>
                <w:rFonts w:ascii="Arial Narrow" w:hAnsi="Arial Narrow"/>
                <w:sz w:val="20"/>
              </w:rPr>
              <w:t>Qty</w:t>
            </w:r>
            <w:r w:rsidR="00543A72" w:rsidRPr="00961B75">
              <w:rPr>
                <w:rFonts w:ascii="Arial Narrow" w:hAnsi="Arial Narrow"/>
                <w:sz w:val="20"/>
              </w:rPr>
              <w:t xml:space="preserve"> (units)</w:t>
            </w:r>
          </w:p>
        </w:tc>
        <w:tc>
          <w:tcPr>
            <w:tcW w:w="387" w:type="pct"/>
            <w:tcBorders>
              <w:top w:val="nil"/>
              <w:left w:val="nil"/>
              <w:bottom w:val="single" w:sz="4" w:space="0" w:color="auto"/>
              <w:right w:val="nil"/>
            </w:tcBorders>
            <w:hideMark/>
          </w:tcPr>
          <w:p w:rsidR="00CA741E" w:rsidRPr="00961B75" w:rsidRDefault="00CA741E" w:rsidP="004611DA">
            <w:pPr>
              <w:keepNext/>
              <w:widowControl/>
              <w:jc w:val="center"/>
              <w:rPr>
                <w:rFonts w:ascii="Arial Narrow" w:hAnsi="Arial Narrow"/>
                <w:sz w:val="20"/>
              </w:rPr>
            </w:pPr>
            <w:r w:rsidRPr="00961B75">
              <w:rPr>
                <w:rFonts w:ascii="Arial Narrow" w:hAnsi="Arial Narrow"/>
                <w:sz w:val="20"/>
              </w:rPr>
              <w:t>№.of</w:t>
            </w:r>
          </w:p>
          <w:p w:rsidR="00CA741E" w:rsidRPr="00961B75" w:rsidRDefault="00CA741E" w:rsidP="004611DA">
            <w:pPr>
              <w:keepNext/>
              <w:widowControl/>
              <w:jc w:val="center"/>
              <w:rPr>
                <w:rFonts w:ascii="Arial Narrow" w:hAnsi="Arial Narrow"/>
                <w:sz w:val="20"/>
              </w:rPr>
            </w:pPr>
            <w:r w:rsidRPr="00961B75">
              <w:rPr>
                <w:rFonts w:ascii="Arial Narrow" w:hAnsi="Arial Narrow"/>
                <w:sz w:val="20"/>
              </w:rPr>
              <w:t>Rpts</w:t>
            </w:r>
          </w:p>
        </w:tc>
        <w:tc>
          <w:tcPr>
            <w:tcW w:w="1011" w:type="pct"/>
            <w:tcBorders>
              <w:top w:val="nil"/>
              <w:left w:val="nil"/>
              <w:bottom w:val="single" w:sz="4" w:space="0" w:color="auto"/>
              <w:right w:val="nil"/>
            </w:tcBorders>
            <w:hideMark/>
          </w:tcPr>
          <w:p w:rsidR="00CA741E" w:rsidRPr="00961B75" w:rsidRDefault="00CA741E" w:rsidP="004611DA">
            <w:pPr>
              <w:keepNext/>
              <w:widowControl/>
              <w:jc w:val="center"/>
              <w:rPr>
                <w:rFonts w:ascii="Arial Narrow" w:hAnsi="Arial Narrow"/>
                <w:sz w:val="20"/>
              </w:rPr>
            </w:pPr>
            <w:r w:rsidRPr="00961B75">
              <w:rPr>
                <w:rFonts w:ascii="Arial Narrow" w:hAnsi="Arial Narrow"/>
                <w:sz w:val="20"/>
              </w:rPr>
              <w:t>Dispensed Price for Max. Qty</w:t>
            </w:r>
          </w:p>
        </w:tc>
        <w:tc>
          <w:tcPr>
            <w:tcW w:w="1193" w:type="pct"/>
            <w:gridSpan w:val="2"/>
            <w:tcBorders>
              <w:top w:val="nil"/>
              <w:left w:val="nil"/>
              <w:bottom w:val="single" w:sz="4" w:space="0" w:color="auto"/>
              <w:right w:val="nil"/>
            </w:tcBorders>
            <w:hideMark/>
          </w:tcPr>
          <w:p w:rsidR="00CA741E" w:rsidRPr="00961B75" w:rsidRDefault="00CA741E" w:rsidP="004611DA">
            <w:pPr>
              <w:keepNext/>
              <w:widowControl/>
              <w:jc w:val="center"/>
              <w:rPr>
                <w:rFonts w:ascii="Arial Narrow" w:hAnsi="Arial Narrow"/>
                <w:sz w:val="20"/>
              </w:rPr>
            </w:pPr>
            <w:r w:rsidRPr="00961B75">
              <w:rPr>
                <w:rFonts w:ascii="Arial Narrow" w:hAnsi="Arial Narrow"/>
                <w:sz w:val="20"/>
              </w:rPr>
              <w:t>Proprietary Name and Manufacturer</w:t>
            </w:r>
          </w:p>
        </w:tc>
      </w:tr>
      <w:tr w:rsidR="00CA741E" w:rsidRPr="00961B75" w:rsidTr="009D259B">
        <w:trPr>
          <w:cantSplit/>
          <w:trHeight w:val="577"/>
        </w:trPr>
        <w:tc>
          <w:tcPr>
            <w:tcW w:w="2038" w:type="pct"/>
            <w:gridSpan w:val="2"/>
            <w:hideMark/>
          </w:tcPr>
          <w:p w:rsidR="00CA741E" w:rsidRPr="00961B75" w:rsidRDefault="00CA741E" w:rsidP="004611DA">
            <w:pPr>
              <w:keepNext/>
              <w:widowControl/>
              <w:jc w:val="left"/>
              <w:rPr>
                <w:rFonts w:ascii="Arial Narrow" w:hAnsi="Arial Narrow"/>
                <w:smallCaps/>
                <w:sz w:val="20"/>
              </w:rPr>
            </w:pPr>
            <w:r w:rsidRPr="00961B75">
              <w:rPr>
                <w:rFonts w:ascii="Arial Narrow" w:hAnsi="Arial Narrow"/>
                <w:smallCaps/>
                <w:sz w:val="20"/>
              </w:rPr>
              <w:t>Paritaprevir/ritonavir and ombitasvir</w:t>
            </w:r>
          </w:p>
          <w:p w:rsidR="00CA741E" w:rsidRPr="00961B75" w:rsidRDefault="00CA741E" w:rsidP="004611DA">
            <w:pPr>
              <w:keepNext/>
              <w:widowControl/>
              <w:rPr>
                <w:rFonts w:ascii="Arial Narrow" w:hAnsi="Arial Narrow"/>
                <w:sz w:val="20"/>
              </w:rPr>
            </w:pPr>
            <w:r w:rsidRPr="00961B75">
              <w:rPr>
                <w:rFonts w:ascii="Arial Narrow" w:hAnsi="Arial Narrow"/>
                <w:sz w:val="20"/>
              </w:rPr>
              <w:t>Tablets 75/50/12.5mg</w:t>
            </w:r>
          </w:p>
          <w:p w:rsidR="00C0599A" w:rsidRPr="00961B75" w:rsidRDefault="00C0599A" w:rsidP="004611DA">
            <w:pPr>
              <w:keepNext/>
              <w:widowControl/>
              <w:rPr>
                <w:rFonts w:ascii="Arial Narrow" w:hAnsi="Arial Narrow"/>
                <w:b/>
                <w:bCs/>
                <w:sz w:val="20"/>
              </w:rPr>
            </w:pPr>
          </w:p>
        </w:tc>
        <w:tc>
          <w:tcPr>
            <w:tcW w:w="371" w:type="pct"/>
            <w:gridSpan w:val="2"/>
            <w:vAlign w:val="center"/>
          </w:tcPr>
          <w:p w:rsidR="00CA741E" w:rsidRPr="00961B75" w:rsidRDefault="00CA741E" w:rsidP="004611DA">
            <w:pPr>
              <w:keepNext/>
              <w:widowControl/>
              <w:jc w:val="center"/>
              <w:rPr>
                <w:rFonts w:ascii="Arial Narrow" w:hAnsi="Arial Narrow"/>
                <w:sz w:val="20"/>
              </w:rPr>
            </w:pPr>
            <w:r w:rsidRPr="00961B75">
              <w:rPr>
                <w:rFonts w:ascii="Arial Narrow" w:hAnsi="Arial Narrow"/>
                <w:sz w:val="20"/>
              </w:rPr>
              <w:t>56</w:t>
            </w:r>
          </w:p>
        </w:tc>
        <w:tc>
          <w:tcPr>
            <w:tcW w:w="387" w:type="pct"/>
            <w:vAlign w:val="center"/>
          </w:tcPr>
          <w:p w:rsidR="00CA741E" w:rsidRPr="00961B75" w:rsidRDefault="00CA741E" w:rsidP="004611DA">
            <w:pPr>
              <w:keepNext/>
              <w:widowControl/>
              <w:jc w:val="center"/>
              <w:rPr>
                <w:rFonts w:ascii="Arial Narrow" w:hAnsi="Arial Narrow"/>
                <w:sz w:val="20"/>
              </w:rPr>
            </w:pPr>
            <w:r w:rsidRPr="00961B75">
              <w:rPr>
                <w:rFonts w:ascii="Arial Narrow" w:hAnsi="Arial Narrow"/>
                <w:sz w:val="20"/>
              </w:rPr>
              <w:t>2</w:t>
            </w:r>
          </w:p>
        </w:tc>
        <w:tc>
          <w:tcPr>
            <w:tcW w:w="1011" w:type="pct"/>
            <w:vAlign w:val="center"/>
          </w:tcPr>
          <w:p w:rsidR="00CA741E" w:rsidRPr="00961B75" w:rsidRDefault="00CA741E" w:rsidP="004611DA">
            <w:pPr>
              <w:keepNext/>
              <w:widowControl/>
              <w:jc w:val="center"/>
              <w:rPr>
                <w:rFonts w:ascii="Arial Narrow" w:hAnsi="Arial Narrow"/>
                <w:sz w:val="20"/>
              </w:rPr>
            </w:pPr>
            <w:r w:rsidRPr="00961B75">
              <w:rPr>
                <w:rFonts w:ascii="Arial Narrow" w:hAnsi="Arial Narrow"/>
                <w:sz w:val="20"/>
              </w:rPr>
              <w:t>$</w:t>
            </w:r>
            <w:r w:rsidR="0040233E">
              <w:rPr>
                <w:rFonts w:ascii="Arial Narrow" w:hAnsi="Arial Narrow"/>
                <w:noProof/>
                <w:color w:val="000000"/>
                <w:sz w:val="20"/>
                <w:highlight w:val="black"/>
              </w:rPr>
              <w:t>'''''''''''''''''''''''</w:t>
            </w:r>
            <w:r w:rsidRPr="00961B75">
              <w:rPr>
                <w:rFonts w:ascii="Arial Narrow" w:hAnsi="Arial Narrow"/>
                <w:sz w:val="20"/>
              </w:rPr>
              <w:t>*</w:t>
            </w:r>
          </w:p>
        </w:tc>
        <w:tc>
          <w:tcPr>
            <w:tcW w:w="673" w:type="pct"/>
            <w:vAlign w:val="center"/>
            <w:hideMark/>
          </w:tcPr>
          <w:p w:rsidR="00CA741E" w:rsidRPr="00961B75" w:rsidRDefault="00CA741E" w:rsidP="004611DA">
            <w:pPr>
              <w:keepNext/>
              <w:widowControl/>
              <w:jc w:val="center"/>
              <w:rPr>
                <w:rFonts w:ascii="Arial Narrow" w:hAnsi="Arial Narrow"/>
                <w:sz w:val="20"/>
              </w:rPr>
            </w:pPr>
            <w:proofErr w:type="spellStart"/>
            <w:r w:rsidRPr="00961B75">
              <w:rPr>
                <w:rFonts w:ascii="Arial Narrow" w:hAnsi="Arial Narrow"/>
                <w:sz w:val="20"/>
              </w:rPr>
              <w:t>Technivie</w:t>
            </w:r>
            <w:proofErr w:type="spellEnd"/>
            <w:r w:rsidRPr="00961B75">
              <w:rPr>
                <w:rFonts w:ascii="Arial Narrow" w:hAnsi="Arial Narrow"/>
                <w:sz w:val="20"/>
              </w:rPr>
              <w:t>®</w:t>
            </w:r>
          </w:p>
        </w:tc>
        <w:tc>
          <w:tcPr>
            <w:tcW w:w="519" w:type="pct"/>
            <w:vAlign w:val="center"/>
            <w:hideMark/>
          </w:tcPr>
          <w:p w:rsidR="00CA741E" w:rsidRPr="00961B75" w:rsidRDefault="00CA741E" w:rsidP="004611DA">
            <w:pPr>
              <w:keepNext/>
              <w:widowControl/>
              <w:jc w:val="center"/>
              <w:rPr>
                <w:rFonts w:ascii="Arial Narrow" w:hAnsi="Arial Narrow"/>
                <w:sz w:val="20"/>
              </w:rPr>
            </w:pPr>
            <w:proofErr w:type="spellStart"/>
            <w:r w:rsidRPr="00961B75">
              <w:rPr>
                <w:rFonts w:ascii="Arial Narrow" w:hAnsi="Arial Narrow"/>
                <w:sz w:val="20"/>
              </w:rPr>
              <w:t>AbbVie</w:t>
            </w:r>
            <w:proofErr w:type="spellEnd"/>
            <w:r w:rsidRPr="00961B75">
              <w:rPr>
                <w:rFonts w:ascii="Arial Narrow" w:hAnsi="Arial Narrow"/>
                <w:sz w:val="20"/>
              </w:rPr>
              <w:t xml:space="preserve"> Pty Ltd</w:t>
            </w:r>
          </w:p>
        </w:tc>
      </w:tr>
      <w:tr w:rsidR="00CA741E" w:rsidRPr="00961B75" w:rsidTr="00C0599A">
        <w:trPr>
          <w:trHeight w:val="20"/>
        </w:trPr>
        <w:tc>
          <w:tcPr>
            <w:tcW w:w="5000" w:type="pct"/>
            <w:gridSpan w:val="8"/>
            <w:tcBorders>
              <w:bottom w:val="single" w:sz="4" w:space="0" w:color="auto"/>
            </w:tcBorders>
            <w:vAlign w:val="center"/>
            <w:hideMark/>
          </w:tcPr>
          <w:p w:rsidR="00CA741E" w:rsidRPr="00961B75" w:rsidRDefault="00C0599A" w:rsidP="004611DA">
            <w:pPr>
              <w:widowControl/>
              <w:snapToGrid w:val="0"/>
              <w:spacing w:line="20" w:lineRule="atLeast"/>
              <w:rPr>
                <w:lang w:eastAsia="en-AU"/>
              </w:rPr>
            </w:pPr>
            <w:r w:rsidRPr="00961B75">
              <w:rPr>
                <w:rFonts w:ascii="Arial Narrow" w:hAnsi="Arial Narrow"/>
                <w:b/>
                <w:bCs/>
                <w:sz w:val="20"/>
              </w:rPr>
              <w:t>Section 85 and Section 100 (Authority Required)</w:t>
            </w:r>
          </w:p>
        </w:tc>
      </w:tr>
      <w:tr w:rsidR="00C0599A" w:rsidRPr="00961B75" w:rsidTr="00CA741E">
        <w:trPr>
          <w:trHeight w:val="20"/>
        </w:trPr>
        <w:tc>
          <w:tcPr>
            <w:tcW w:w="5000" w:type="pct"/>
            <w:gridSpan w:val="8"/>
            <w:tcBorders>
              <w:top w:val="single" w:sz="4" w:space="0" w:color="auto"/>
              <w:left w:val="single" w:sz="4" w:space="0" w:color="auto"/>
              <w:bottom w:val="single" w:sz="4" w:space="0" w:color="auto"/>
              <w:right w:val="single" w:sz="4" w:space="0" w:color="auto"/>
            </w:tcBorders>
            <w:vAlign w:val="center"/>
          </w:tcPr>
          <w:p w:rsidR="00C0599A" w:rsidRPr="00961B75" w:rsidRDefault="00C0599A" w:rsidP="004611DA">
            <w:pPr>
              <w:widowControl/>
              <w:snapToGrid w:val="0"/>
              <w:spacing w:line="20" w:lineRule="atLeast"/>
              <w:rPr>
                <w:rFonts w:ascii="Arial Narrow" w:hAnsi="Arial Narrow"/>
                <w:b/>
                <w:bCs/>
                <w:sz w:val="20"/>
                <w:lang w:eastAsia="en-AU"/>
              </w:rPr>
            </w:pPr>
            <w:r w:rsidRPr="00961B75">
              <w:rPr>
                <w:rFonts w:ascii="Arial Narrow" w:hAnsi="Arial Narrow"/>
                <w:b/>
                <w:bCs/>
                <w:sz w:val="20"/>
                <w:lang w:eastAsia="en-AU"/>
              </w:rPr>
              <w:t>Treatment phase:</w:t>
            </w:r>
          </w:p>
        </w:tc>
      </w:tr>
      <w:tr w:rsidR="00CA741E" w:rsidRPr="00961B75" w:rsidTr="00CA741E">
        <w:trPr>
          <w:trHeight w:val="20"/>
        </w:trPr>
        <w:tc>
          <w:tcPr>
            <w:tcW w:w="944" w:type="pct"/>
            <w:tcBorders>
              <w:top w:val="single" w:sz="4" w:space="0" w:color="auto"/>
              <w:left w:val="single" w:sz="4" w:space="0" w:color="auto"/>
              <w:bottom w:val="single" w:sz="4" w:space="0" w:color="auto"/>
              <w:right w:val="single" w:sz="4" w:space="0" w:color="auto"/>
            </w:tcBorders>
            <w:hideMark/>
          </w:tcPr>
          <w:p w:rsidR="00CA741E" w:rsidRPr="00961B75" w:rsidRDefault="00CA741E" w:rsidP="004611DA">
            <w:pPr>
              <w:widowControl/>
              <w:snapToGrid w:val="0"/>
              <w:spacing w:line="20" w:lineRule="atLeast"/>
              <w:rPr>
                <w:lang w:eastAsia="en-AU"/>
              </w:rPr>
            </w:pPr>
            <w:r w:rsidRPr="00961B75">
              <w:rPr>
                <w:rFonts w:ascii="Arial Narrow" w:hAnsi="Arial Narrow"/>
                <w:sz w:val="20"/>
                <w:lang w:eastAsia="en-AU"/>
              </w:rPr>
              <w:t>Duration</w:t>
            </w:r>
          </w:p>
        </w:tc>
        <w:tc>
          <w:tcPr>
            <w:tcW w:w="4056" w:type="pct"/>
            <w:gridSpan w:val="7"/>
            <w:tcBorders>
              <w:top w:val="single" w:sz="4" w:space="0" w:color="auto"/>
              <w:left w:val="single" w:sz="4" w:space="0" w:color="auto"/>
              <w:bottom w:val="single" w:sz="4" w:space="0" w:color="auto"/>
              <w:right w:val="single" w:sz="4" w:space="0" w:color="auto"/>
            </w:tcBorders>
          </w:tcPr>
          <w:p w:rsidR="00CA741E" w:rsidRPr="00961B75" w:rsidRDefault="00CA741E" w:rsidP="004611DA">
            <w:pPr>
              <w:widowControl/>
              <w:snapToGrid w:val="0"/>
              <w:spacing w:line="20" w:lineRule="atLeast"/>
              <w:rPr>
                <w:rFonts w:ascii="Arial Narrow" w:hAnsi="Arial Narrow"/>
                <w:sz w:val="20"/>
                <w:lang w:eastAsia="en-AU"/>
              </w:rPr>
            </w:pPr>
            <w:r w:rsidRPr="00961B75">
              <w:rPr>
                <w:rFonts w:ascii="Arial Narrow" w:hAnsi="Arial Narrow"/>
                <w:sz w:val="20"/>
                <w:lang w:eastAsia="en-AU"/>
              </w:rPr>
              <w:t>12 weeks of treatment for all patients</w:t>
            </w:r>
          </w:p>
        </w:tc>
      </w:tr>
      <w:tr w:rsidR="00CA741E" w:rsidRPr="00961B75" w:rsidTr="00CA741E">
        <w:trPr>
          <w:trHeight w:val="20"/>
        </w:trPr>
        <w:tc>
          <w:tcPr>
            <w:tcW w:w="944" w:type="pct"/>
            <w:tcBorders>
              <w:top w:val="single" w:sz="4" w:space="0" w:color="auto"/>
              <w:left w:val="single" w:sz="4" w:space="0" w:color="auto"/>
              <w:bottom w:val="single" w:sz="4" w:space="0" w:color="auto"/>
              <w:right w:val="single" w:sz="4" w:space="0" w:color="auto"/>
            </w:tcBorders>
            <w:hideMark/>
          </w:tcPr>
          <w:p w:rsidR="00CA741E" w:rsidRPr="00961B75" w:rsidRDefault="00CA741E" w:rsidP="004611DA">
            <w:pPr>
              <w:widowControl/>
              <w:snapToGrid w:val="0"/>
              <w:spacing w:line="20" w:lineRule="atLeast"/>
              <w:rPr>
                <w:rFonts w:ascii="Arial Narrow" w:hAnsi="Arial Narrow"/>
                <w:sz w:val="20"/>
                <w:lang w:eastAsia="en-AU"/>
              </w:rPr>
            </w:pPr>
            <w:r w:rsidRPr="00961B75">
              <w:rPr>
                <w:rFonts w:ascii="Arial Narrow" w:hAnsi="Arial Narrow"/>
                <w:sz w:val="20"/>
                <w:lang w:eastAsia="en-AU"/>
              </w:rPr>
              <w:t>Condition</w:t>
            </w:r>
          </w:p>
        </w:tc>
        <w:tc>
          <w:tcPr>
            <w:tcW w:w="4056" w:type="pct"/>
            <w:gridSpan w:val="7"/>
            <w:tcBorders>
              <w:top w:val="single" w:sz="4" w:space="0" w:color="auto"/>
              <w:left w:val="single" w:sz="4" w:space="0" w:color="auto"/>
              <w:bottom w:val="single" w:sz="4" w:space="0" w:color="auto"/>
              <w:right w:val="single" w:sz="4" w:space="0" w:color="auto"/>
            </w:tcBorders>
          </w:tcPr>
          <w:p w:rsidR="00CA741E" w:rsidRPr="00961B75" w:rsidRDefault="00CA741E" w:rsidP="004611DA">
            <w:pPr>
              <w:widowControl/>
              <w:snapToGrid w:val="0"/>
              <w:spacing w:line="20" w:lineRule="atLeast"/>
              <w:rPr>
                <w:rFonts w:ascii="Arial Narrow" w:hAnsi="Arial Narrow"/>
                <w:sz w:val="20"/>
                <w:lang w:eastAsia="en-AU"/>
              </w:rPr>
            </w:pPr>
            <w:r w:rsidRPr="00961B75">
              <w:rPr>
                <w:rFonts w:ascii="Arial Narrow" w:hAnsi="Arial Narrow"/>
                <w:sz w:val="20"/>
                <w:lang w:eastAsia="en-AU"/>
              </w:rPr>
              <w:t>Genotype 4, Chronic Hepatitis C infection</w:t>
            </w:r>
          </w:p>
        </w:tc>
      </w:tr>
      <w:tr w:rsidR="00CA741E" w:rsidRPr="00961B75" w:rsidTr="00CA741E">
        <w:trPr>
          <w:trHeight w:val="20"/>
        </w:trPr>
        <w:tc>
          <w:tcPr>
            <w:tcW w:w="944" w:type="pct"/>
            <w:tcBorders>
              <w:top w:val="single" w:sz="4" w:space="0" w:color="auto"/>
              <w:left w:val="single" w:sz="4" w:space="0" w:color="auto"/>
              <w:bottom w:val="single" w:sz="4" w:space="0" w:color="auto"/>
              <w:right w:val="single" w:sz="4" w:space="0" w:color="auto"/>
            </w:tcBorders>
            <w:hideMark/>
          </w:tcPr>
          <w:p w:rsidR="00CA741E" w:rsidRPr="00961B75" w:rsidRDefault="00CA741E" w:rsidP="004611DA">
            <w:pPr>
              <w:widowControl/>
              <w:snapToGrid w:val="0"/>
              <w:spacing w:line="20" w:lineRule="atLeast"/>
              <w:rPr>
                <w:lang w:eastAsia="en-AU"/>
              </w:rPr>
            </w:pPr>
            <w:r w:rsidRPr="00961B75">
              <w:rPr>
                <w:rFonts w:ascii="Arial Narrow" w:hAnsi="Arial Narrow"/>
                <w:sz w:val="20"/>
                <w:lang w:eastAsia="en-AU"/>
              </w:rPr>
              <w:t>Clinical criteria</w:t>
            </w:r>
          </w:p>
        </w:tc>
        <w:tc>
          <w:tcPr>
            <w:tcW w:w="4056" w:type="pct"/>
            <w:gridSpan w:val="7"/>
            <w:tcBorders>
              <w:top w:val="single" w:sz="4" w:space="0" w:color="auto"/>
              <w:left w:val="single" w:sz="4" w:space="0" w:color="auto"/>
              <w:bottom w:val="single" w:sz="4" w:space="0" w:color="auto"/>
              <w:right w:val="single" w:sz="4" w:space="0" w:color="auto"/>
            </w:tcBorders>
          </w:tcPr>
          <w:p w:rsidR="00CA741E" w:rsidRDefault="00CA741E" w:rsidP="007F6AD4">
            <w:pPr>
              <w:widowControl/>
              <w:snapToGrid w:val="0"/>
              <w:spacing w:line="20" w:lineRule="atLeast"/>
              <w:ind w:right="137"/>
              <w:rPr>
                <w:rFonts w:ascii="Arial Narrow" w:hAnsi="Arial Narrow"/>
                <w:sz w:val="20"/>
                <w:lang w:eastAsia="en-AU"/>
              </w:rPr>
            </w:pPr>
            <w:r w:rsidRPr="00961B75">
              <w:rPr>
                <w:rFonts w:ascii="Arial Narrow" w:hAnsi="Arial Narrow"/>
                <w:sz w:val="20"/>
                <w:lang w:eastAsia="en-AU"/>
              </w:rPr>
              <w:t>Patient must meet the criteria set out in the General Statement for Drugs for the Treatment of Hepatitis C; AND</w:t>
            </w:r>
          </w:p>
          <w:p w:rsidR="009D259B" w:rsidRPr="00961B75" w:rsidRDefault="009D259B" w:rsidP="007F6AD4">
            <w:pPr>
              <w:widowControl/>
              <w:snapToGrid w:val="0"/>
              <w:spacing w:line="20" w:lineRule="atLeast"/>
              <w:ind w:right="137"/>
              <w:rPr>
                <w:rFonts w:ascii="Arial Narrow" w:hAnsi="Arial Narrow"/>
                <w:sz w:val="20"/>
                <w:lang w:eastAsia="en-AU"/>
              </w:rPr>
            </w:pPr>
          </w:p>
          <w:p w:rsidR="00CA741E" w:rsidRDefault="00CA741E" w:rsidP="007F6AD4">
            <w:pPr>
              <w:widowControl/>
              <w:snapToGrid w:val="0"/>
              <w:spacing w:line="20" w:lineRule="atLeast"/>
              <w:ind w:right="137"/>
              <w:rPr>
                <w:rFonts w:ascii="Arial Narrow" w:hAnsi="Arial Narrow"/>
                <w:sz w:val="20"/>
                <w:lang w:eastAsia="en-AU"/>
              </w:rPr>
            </w:pPr>
            <w:r w:rsidRPr="00961B75">
              <w:rPr>
                <w:rFonts w:ascii="Arial Narrow" w:hAnsi="Arial Narrow"/>
                <w:sz w:val="20"/>
                <w:lang w:eastAsia="en-AU"/>
              </w:rPr>
              <w:t>Patient must be taking this drug as part of a regimen set out in the matrix in the General Statement for Drugs for the Treatment of Hepatitis C, based on the hepatitis C virus genotype, patient treatment history and cirrhotic status;</w:t>
            </w:r>
            <w:r w:rsidR="009D259B">
              <w:rPr>
                <w:rFonts w:ascii="Arial Narrow" w:hAnsi="Arial Narrow"/>
                <w:sz w:val="20"/>
                <w:lang w:eastAsia="en-AU"/>
              </w:rPr>
              <w:t xml:space="preserve"> </w:t>
            </w:r>
            <w:r w:rsidRPr="00961B75">
              <w:rPr>
                <w:rFonts w:ascii="Arial Narrow" w:hAnsi="Arial Narrow"/>
                <w:sz w:val="20"/>
                <w:lang w:eastAsia="en-AU"/>
              </w:rPr>
              <w:t>AND</w:t>
            </w:r>
          </w:p>
          <w:p w:rsidR="009D259B" w:rsidRPr="00961B75" w:rsidRDefault="009D259B" w:rsidP="007F6AD4">
            <w:pPr>
              <w:widowControl/>
              <w:snapToGrid w:val="0"/>
              <w:spacing w:line="20" w:lineRule="atLeast"/>
              <w:ind w:right="137"/>
              <w:rPr>
                <w:rFonts w:ascii="Arial Narrow" w:hAnsi="Arial Narrow"/>
                <w:sz w:val="20"/>
                <w:lang w:eastAsia="en-AU"/>
              </w:rPr>
            </w:pPr>
          </w:p>
          <w:p w:rsidR="00CA741E" w:rsidRPr="00961B75" w:rsidRDefault="00CA741E" w:rsidP="007F6AD4">
            <w:pPr>
              <w:widowControl/>
              <w:snapToGrid w:val="0"/>
              <w:spacing w:line="20" w:lineRule="atLeast"/>
              <w:ind w:right="137"/>
              <w:rPr>
                <w:rFonts w:ascii="Arial Narrow" w:hAnsi="Arial Narrow"/>
                <w:lang w:eastAsia="en-AU"/>
              </w:rPr>
            </w:pPr>
            <w:r w:rsidRPr="00961B75">
              <w:rPr>
                <w:rFonts w:ascii="Arial Narrow" w:hAnsi="Arial Narrow"/>
                <w:sz w:val="20"/>
                <w:lang w:eastAsia="en-AU"/>
              </w:rPr>
              <w:t>The treatment must be limited to a maximum duration of 12 weeks.</w:t>
            </w:r>
          </w:p>
        </w:tc>
      </w:tr>
      <w:tr w:rsidR="00CA741E" w:rsidRPr="00961B75" w:rsidTr="00CA741E">
        <w:trPr>
          <w:trHeight w:val="20"/>
        </w:trPr>
        <w:tc>
          <w:tcPr>
            <w:tcW w:w="944" w:type="pct"/>
            <w:tcBorders>
              <w:top w:val="single" w:sz="4" w:space="0" w:color="auto"/>
              <w:left w:val="single" w:sz="4" w:space="0" w:color="auto"/>
              <w:bottom w:val="single" w:sz="4" w:space="0" w:color="auto"/>
              <w:right w:val="single" w:sz="4" w:space="0" w:color="auto"/>
            </w:tcBorders>
            <w:hideMark/>
          </w:tcPr>
          <w:p w:rsidR="00CA741E" w:rsidRPr="00961B75" w:rsidRDefault="00CA741E" w:rsidP="004611DA">
            <w:pPr>
              <w:widowControl/>
              <w:snapToGrid w:val="0"/>
              <w:spacing w:line="20" w:lineRule="atLeast"/>
              <w:rPr>
                <w:lang w:eastAsia="en-AU"/>
              </w:rPr>
            </w:pPr>
            <w:r w:rsidRPr="00961B75">
              <w:rPr>
                <w:rFonts w:ascii="Arial Narrow" w:hAnsi="Arial Narrow"/>
                <w:sz w:val="20"/>
                <w:lang w:eastAsia="en-AU"/>
              </w:rPr>
              <w:t>Population criteria</w:t>
            </w:r>
          </w:p>
        </w:tc>
        <w:tc>
          <w:tcPr>
            <w:tcW w:w="4056" w:type="pct"/>
            <w:gridSpan w:val="7"/>
            <w:tcBorders>
              <w:top w:val="single" w:sz="4" w:space="0" w:color="auto"/>
              <w:left w:val="single" w:sz="4" w:space="0" w:color="auto"/>
              <w:bottom w:val="single" w:sz="4" w:space="0" w:color="auto"/>
              <w:right w:val="single" w:sz="4" w:space="0" w:color="auto"/>
            </w:tcBorders>
          </w:tcPr>
          <w:p w:rsidR="00CA741E" w:rsidRPr="00961B75" w:rsidRDefault="00CA741E" w:rsidP="007F6AD4">
            <w:pPr>
              <w:widowControl/>
              <w:snapToGrid w:val="0"/>
              <w:spacing w:line="20" w:lineRule="atLeast"/>
              <w:ind w:right="137"/>
              <w:rPr>
                <w:rFonts w:ascii="Arial Narrow" w:hAnsi="Arial Narrow"/>
                <w:sz w:val="20"/>
                <w:lang w:eastAsia="en-AU"/>
              </w:rPr>
            </w:pPr>
            <w:r w:rsidRPr="00961B75">
              <w:rPr>
                <w:rFonts w:ascii="Arial Narrow" w:hAnsi="Arial Narrow"/>
                <w:sz w:val="20"/>
                <w:lang w:eastAsia="en-AU"/>
              </w:rPr>
              <w:t>Patient must be aged 18 years or older.</w:t>
            </w:r>
          </w:p>
          <w:p w:rsidR="00CA741E" w:rsidRPr="00961B75" w:rsidRDefault="00CA741E" w:rsidP="007F6AD4">
            <w:pPr>
              <w:widowControl/>
              <w:snapToGrid w:val="0"/>
              <w:spacing w:line="20" w:lineRule="atLeast"/>
              <w:ind w:right="137"/>
              <w:rPr>
                <w:rFonts w:ascii="Arial Narrow" w:hAnsi="Arial Narrow"/>
                <w:sz w:val="20"/>
                <w:lang w:eastAsia="en-AU"/>
              </w:rPr>
            </w:pPr>
            <w:r w:rsidRPr="00961B75">
              <w:rPr>
                <w:rFonts w:ascii="Arial Narrow" w:hAnsi="Arial Narrow"/>
                <w:sz w:val="20"/>
                <w:lang w:eastAsia="en-AU"/>
              </w:rPr>
              <w:t>Patient must not be pregnant or breastfeeding. Female partners of male patients must not be pregnant. Patients and their partners must each be using an effective form of contraception if of child-bearing age.</w:t>
            </w:r>
          </w:p>
        </w:tc>
      </w:tr>
      <w:tr w:rsidR="00CA741E" w:rsidRPr="00961B75" w:rsidTr="00CA741E">
        <w:trPr>
          <w:trHeight w:val="20"/>
        </w:trPr>
        <w:tc>
          <w:tcPr>
            <w:tcW w:w="944" w:type="pct"/>
            <w:tcBorders>
              <w:top w:val="single" w:sz="4" w:space="0" w:color="auto"/>
              <w:left w:val="single" w:sz="4" w:space="0" w:color="auto"/>
              <w:bottom w:val="single" w:sz="4" w:space="0" w:color="auto"/>
              <w:right w:val="single" w:sz="4" w:space="0" w:color="auto"/>
            </w:tcBorders>
            <w:hideMark/>
          </w:tcPr>
          <w:p w:rsidR="00CA741E" w:rsidRPr="00961B75" w:rsidRDefault="00CA741E" w:rsidP="004611DA">
            <w:pPr>
              <w:widowControl/>
              <w:snapToGrid w:val="0"/>
              <w:spacing w:line="20" w:lineRule="atLeast"/>
              <w:rPr>
                <w:rFonts w:ascii="Arial Narrow" w:hAnsi="Arial Narrow"/>
                <w:sz w:val="20"/>
                <w:lang w:eastAsia="en-AU"/>
              </w:rPr>
            </w:pPr>
            <w:r w:rsidRPr="00961B75">
              <w:rPr>
                <w:rFonts w:ascii="Arial Narrow" w:hAnsi="Arial Narrow"/>
                <w:sz w:val="20"/>
                <w:lang w:eastAsia="en-AU"/>
              </w:rPr>
              <w:lastRenderedPageBreak/>
              <w:t>Treatment criteria</w:t>
            </w:r>
          </w:p>
          <w:p w:rsidR="00CA741E" w:rsidRPr="00961B75" w:rsidRDefault="00CA741E" w:rsidP="004611DA">
            <w:pPr>
              <w:widowControl/>
              <w:snapToGrid w:val="0"/>
              <w:spacing w:line="20" w:lineRule="atLeast"/>
              <w:jc w:val="left"/>
              <w:rPr>
                <w:rFonts w:ascii="Arial Narrow" w:hAnsi="Arial Narrow"/>
                <w:sz w:val="20"/>
                <w:lang w:eastAsia="en-AU"/>
              </w:rPr>
            </w:pPr>
            <w:r w:rsidRPr="00961B75">
              <w:rPr>
                <w:rFonts w:ascii="Arial Narrow" w:hAnsi="Arial Narrow"/>
                <w:sz w:val="20"/>
                <w:lang w:eastAsia="en-AU"/>
              </w:rPr>
              <w:t>(as per General Statement for Drugs for the Treatment of Hepatitis C)</w:t>
            </w:r>
          </w:p>
        </w:tc>
        <w:tc>
          <w:tcPr>
            <w:tcW w:w="4056" w:type="pct"/>
            <w:gridSpan w:val="7"/>
            <w:tcBorders>
              <w:top w:val="single" w:sz="4" w:space="0" w:color="auto"/>
              <w:left w:val="single" w:sz="4" w:space="0" w:color="auto"/>
              <w:bottom w:val="single" w:sz="4" w:space="0" w:color="auto"/>
              <w:right w:val="single" w:sz="4" w:space="0" w:color="auto"/>
            </w:tcBorders>
          </w:tcPr>
          <w:p w:rsidR="00CA741E" w:rsidRPr="00961B75" w:rsidRDefault="00CA741E" w:rsidP="007F6AD4">
            <w:pPr>
              <w:pStyle w:val="TableText0"/>
              <w:spacing w:after="0"/>
              <w:ind w:right="137"/>
              <w:rPr>
                <w:rFonts w:eastAsia="Calibri"/>
              </w:rPr>
            </w:pPr>
            <w:r w:rsidRPr="00961B75">
              <w:rPr>
                <w:rFonts w:eastAsia="Calibri"/>
              </w:rPr>
              <w:t xml:space="preserve">Must be treated by a gastroenterologist, </w:t>
            </w:r>
            <w:proofErr w:type="spellStart"/>
            <w:r w:rsidRPr="00961B75">
              <w:rPr>
                <w:rFonts w:eastAsia="Calibri"/>
              </w:rPr>
              <w:t>hepatologist</w:t>
            </w:r>
            <w:proofErr w:type="spellEnd"/>
            <w:r w:rsidRPr="00961B75">
              <w:rPr>
                <w:rFonts w:eastAsia="Calibri"/>
              </w:rPr>
              <w:t xml:space="preserve"> or infectious diseases physician experienced in the treatment of chronic hepatitis C infection; or in consultation with a gastroenterologist, </w:t>
            </w:r>
            <w:proofErr w:type="spellStart"/>
            <w:r w:rsidRPr="00961B75">
              <w:rPr>
                <w:rFonts w:eastAsia="Calibri"/>
              </w:rPr>
              <w:t>hepatologist</w:t>
            </w:r>
            <w:proofErr w:type="spellEnd"/>
            <w:r w:rsidRPr="00961B75">
              <w:rPr>
                <w:rFonts w:eastAsia="Calibri"/>
              </w:rPr>
              <w:t xml:space="preserve"> or infectious diseases physician experienced in the treatment of chronic hepatitis C infection.</w:t>
            </w:r>
          </w:p>
          <w:p w:rsidR="00CA741E" w:rsidRPr="00961B75" w:rsidRDefault="00CA741E" w:rsidP="007F6AD4">
            <w:pPr>
              <w:pStyle w:val="TableText0"/>
              <w:spacing w:after="0"/>
              <w:ind w:right="137"/>
              <w:rPr>
                <w:rFonts w:eastAsia="Calibri"/>
              </w:rPr>
            </w:pPr>
            <w:r w:rsidRPr="00961B75">
              <w:rPr>
                <w:rFonts w:eastAsia="Calibri"/>
              </w:rPr>
              <w:t>The following information must be provided at the time of application:</w:t>
            </w:r>
          </w:p>
          <w:p w:rsidR="00CA741E" w:rsidRPr="00961B75" w:rsidRDefault="00CA741E" w:rsidP="007F6AD4">
            <w:pPr>
              <w:pStyle w:val="TableText0"/>
              <w:spacing w:after="0"/>
              <w:ind w:right="137"/>
              <w:rPr>
                <w:rFonts w:eastAsia="Calibri"/>
              </w:rPr>
            </w:pPr>
            <w:r w:rsidRPr="00961B75">
              <w:rPr>
                <w:rFonts w:eastAsia="Calibri"/>
              </w:rPr>
              <w:t>a) the hepatitis C virus genotype; and</w:t>
            </w:r>
          </w:p>
          <w:p w:rsidR="00CA741E" w:rsidRPr="00961B75" w:rsidRDefault="00CA741E" w:rsidP="007F6AD4">
            <w:pPr>
              <w:pStyle w:val="TableText0"/>
              <w:spacing w:after="0"/>
              <w:ind w:right="137"/>
              <w:rPr>
                <w:rFonts w:eastAsia="Calibri"/>
              </w:rPr>
            </w:pPr>
            <w:r w:rsidRPr="00961B75">
              <w:rPr>
                <w:rFonts w:eastAsia="Calibri"/>
              </w:rPr>
              <w:t>b) the patient’s cirrhotic status (non-cirrhotic or cirrhotic)</w:t>
            </w:r>
          </w:p>
          <w:p w:rsidR="00CA741E" w:rsidRPr="00961B75" w:rsidRDefault="00CA741E" w:rsidP="007F6AD4">
            <w:pPr>
              <w:pStyle w:val="TableText0"/>
              <w:spacing w:after="0"/>
              <w:ind w:right="137"/>
              <w:rPr>
                <w:rFonts w:eastAsia="Calibri"/>
              </w:rPr>
            </w:pPr>
          </w:p>
          <w:p w:rsidR="00CA741E" w:rsidRPr="00961B75" w:rsidRDefault="00CA741E" w:rsidP="007F6AD4">
            <w:pPr>
              <w:pStyle w:val="TableText0"/>
              <w:spacing w:after="0"/>
              <w:ind w:right="137"/>
              <w:rPr>
                <w:rFonts w:eastAsia="Calibri"/>
              </w:rPr>
            </w:pPr>
            <w:r w:rsidRPr="00961B75">
              <w:rPr>
                <w:rFonts w:eastAsia="Calibri"/>
              </w:rPr>
              <w:t>The following information must be documented in the patient’s medical records:</w:t>
            </w:r>
          </w:p>
          <w:p w:rsidR="00CA741E" w:rsidRPr="00961B75" w:rsidRDefault="00CA741E" w:rsidP="007F6AD4">
            <w:pPr>
              <w:pStyle w:val="TableText0"/>
              <w:spacing w:after="0"/>
              <w:ind w:right="137"/>
              <w:rPr>
                <w:rFonts w:eastAsia="Calibri"/>
              </w:rPr>
            </w:pPr>
            <w:r w:rsidRPr="00961B75">
              <w:rPr>
                <w:rFonts w:eastAsia="Calibri"/>
              </w:rPr>
              <w:t>a) evidence of chronic hepatitis C infection (repeatedly antibody to hepatitis C virus (anti-HCV) positive and hepatitis C virus ribonucleic acid (HCV RNA) positive); and</w:t>
            </w:r>
          </w:p>
          <w:p w:rsidR="00CA741E" w:rsidRPr="00961B75" w:rsidRDefault="00CA741E" w:rsidP="007F6AD4">
            <w:pPr>
              <w:pStyle w:val="TableText0"/>
              <w:spacing w:after="0"/>
              <w:ind w:right="137"/>
              <w:rPr>
                <w:rFonts w:eastAsia="Calibri"/>
              </w:rPr>
            </w:pPr>
            <w:r w:rsidRPr="00961B75">
              <w:rPr>
                <w:rFonts w:eastAsia="Calibri"/>
              </w:rPr>
              <w:t>b) evidence of the hepatitis C virus genotype</w:t>
            </w:r>
          </w:p>
        </w:tc>
      </w:tr>
    </w:tbl>
    <w:p w:rsidR="00C52B4E" w:rsidRPr="00961B75" w:rsidRDefault="00C52B4E"/>
    <w:tbl>
      <w:tblPr>
        <w:tblW w:w="4633" w:type="pct"/>
        <w:tblInd w:w="709" w:type="dxa"/>
        <w:tblLayout w:type="fixed"/>
        <w:tblCellMar>
          <w:left w:w="28" w:type="dxa"/>
          <w:right w:w="28" w:type="dxa"/>
        </w:tblCellMar>
        <w:tblLook w:val="04A0" w:firstRow="1" w:lastRow="0" w:firstColumn="1" w:lastColumn="0" w:noHBand="0" w:noVBand="1"/>
      </w:tblPr>
      <w:tblGrid>
        <w:gridCol w:w="1589"/>
        <w:gridCol w:w="3719"/>
        <w:gridCol w:w="3107"/>
      </w:tblGrid>
      <w:tr w:rsidR="00CA741E" w:rsidRPr="00961B75" w:rsidTr="00CA741E">
        <w:trPr>
          <w:trHeight w:val="20"/>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rsidR="00CA741E" w:rsidRPr="00961B75" w:rsidRDefault="00CA741E" w:rsidP="004611DA">
            <w:pPr>
              <w:widowControl/>
              <w:snapToGrid w:val="0"/>
              <w:spacing w:line="20" w:lineRule="atLeast"/>
              <w:rPr>
                <w:lang w:eastAsia="en-AU"/>
              </w:rPr>
            </w:pPr>
            <w:r w:rsidRPr="00961B75">
              <w:rPr>
                <w:rFonts w:ascii="Arial Narrow" w:hAnsi="Arial Narrow"/>
                <w:b/>
                <w:bCs/>
                <w:sz w:val="20"/>
                <w:lang w:eastAsia="en-AU"/>
              </w:rPr>
              <w:t xml:space="preserve">Treatment Matrix: </w:t>
            </w:r>
          </w:p>
        </w:tc>
      </w:tr>
      <w:tr w:rsidR="00CA741E" w:rsidRPr="00961B75" w:rsidTr="00CA741E">
        <w:trPr>
          <w:trHeight w:val="20"/>
        </w:trPr>
        <w:tc>
          <w:tcPr>
            <w:tcW w:w="5000" w:type="pct"/>
            <w:gridSpan w:val="3"/>
            <w:tcBorders>
              <w:top w:val="single" w:sz="4" w:space="0" w:color="auto"/>
              <w:left w:val="single" w:sz="4" w:space="0" w:color="auto"/>
              <w:bottom w:val="single" w:sz="4" w:space="0" w:color="auto"/>
              <w:right w:val="single" w:sz="4" w:space="0" w:color="auto"/>
            </w:tcBorders>
            <w:vAlign w:val="center"/>
          </w:tcPr>
          <w:p w:rsidR="00CA741E" w:rsidRPr="00961B75" w:rsidRDefault="00CA741E" w:rsidP="004611DA">
            <w:pPr>
              <w:widowControl/>
              <w:snapToGrid w:val="0"/>
              <w:spacing w:line="20" w:lineRule="atLeast"/>
              <w:rPr>
                <w:rFonts w:ascii="Arial Narrow" w:hAnsi="Arial Narrow"/>
                <w:b/>
                <w:bCs/>
                <w:sz w:val="20"/>
                <w:lang w:eastAsia="en-AU"/>
              </w:rPr>
            </w:pPr>
            <w:r w:rsidRPr="00961B75">
              <w:rPr>
                <w:rFonts w:ascii="Arial Narrow" w:hAnsi="Arial Narrow"/>
                <w:b/>
                <w:bCs/>
                <w:sz w:val="20"/>
                <w:lang w:eastAsia="en-AU"/>
              </w:rPr>
              <w:t>Hepatitis C-Non-cirrhotic patients</w:t>
            </w:r>
          </w:p>
        </w:tc>
      </w:tr>
      <w:tr w:rsidR="00CA741E" w:rsidRPr="00961B75" w:rsidTr="00CA741E">
        <w:trPr>
          <w:trHeight w:val="20"/>
        </w:trPr>
        <w:tc>
          <w:tcPr>
            <w:tcW w:w="944" w:type="pct"/>
            <w:tcBorders>
              <w:top w:val="single" w:sz="4" w:space="0" w:color="auto"/>
              <w:left w:val="single" w:sz="4" w:space="0" w:color="auto"/>
              <w:bottom w:val="single" w:sz="4" w:space="0" w:color="auto"/>
              <w:right w:val="single" w:sz="4" w:space="0" w:color="auto"/>
            </w:tcBorders>
            <w:hideMark/>
          </w:tcPr>
          <w:p w:rsidR="00CA741E" w:rsidRPr="00961B75" w:rsidRDefault="00CA741E" w:rsidP="004611DA">
            <w:pPr>
              <w:widowControl/>
              <w:snapToGrid w:val="0"/>
              <w:spacing w:line="20" w:lineRule="atLeast"/>
              <w:rPr>
                <w:b/>
                <w:lang w:eastAsia="en-AU"/>
              </w:rPr>
            </w:pPr>
            <w:r w:rsidRPr="00961B75">
              <w:rPr>
                <w:rFonts w:ascii="Arial Narrow" w:hAnsi="Arial Narrow"/>
                <w:b/>
                <w:sz w:val="20"/>
                <w:lang w:eastAsia="en-AU"/>
              </w:rPr>
              <w:t>Genotype 4</w:t>
            </w:r>
          </w:p>
        </w:tc>
        <w:tc>
          <w:tcPr>
            <w:tcW w:w="2210" w:type="pct"/>
            <w:tcBorders>
              <w:top w:val="single" w:sz="4" w:space="0" w:color="auto"/>
              <w:left w:val="single" w:sz="4" w:space="0" w:color="auto"/>
              <w:bottom w:val="single" w:sz="4" w:space="0" w:color="auto"/>
              <w:right w:val="single" w:sz="4" w:space="0" w:color="auto"/>
            </w:tcBorders>
          </w:tcPr>
          <w:p w:rsidR="00CA741E" w:rsidRPr="00961B75" w:rsidRDefault="00CA741E" w:rsidP="004611DA">
            <w:pPr>
              <w:widowControl/>
              <w:snapToGrid w:val="0"/>
              <w:spacing w:line="20" w:lineRule="atLeast"/>
              <w:jc w:val="center"/>
              <w:rPr>
                <w:rFonts w:ascii="Arial Narrow" w:hAnsi="Arial Narrow"/>
                <w:b/>
                <w:sz w:val="20"/>
                <w:lang w:eastAsia="en-AU"/>
              </w:rPr>
            </w:pPr>
            <w:r w:rsidRPr="00961B75">
              <w:rPr>
                <w:rFonts w:ascii="Arial Narrow" w:hAnsi="Arial Narrow"/>
                <w:b/>
                <w:sz w:val="20"/>
                <w:lang w:eastAsia="en-AU"/>
              </w:rPr>
              <w:t>Treatment Naïve</w:t>
            </w:r>
          </w:p>
        </w:tc>
        <w:tc>
          <w:tcPr>
            <w:tcW w:w="1846" w:type="pct"/>
            <w:tcBorders>
              <w:top w:val="single" w:sz="4" w:space="0" w:color="auto"/>
              <w:left w:val="single" w:sz="4" w:space="0" w:color="auto"/>
              <w:bottom w:val="single" w:sz="4" w:space="0" w:color="auto"/>
              <w:right w:val="single" w:sz="4" w:space="0" w:color="auto"/>
            </w:tcBorders>
          </w:tcPr>
          <w:p w:rsidR="00CA741E" w:rsidRPr="00961B75" w:rsidRDefault="00CA741E" w:rsidP="004611DA">
            <w:pPr>
              <w:widowControl/>
              <w:snapToGrid w:val="0"/>
              <w:spacing w:line="20" w:lineRule="atLeast"/>
              <w:jc w:val="center"/>
              <w:rPr>
                <w:rFonts w:ascii="Arial Narrow" w:hAnsi="Arial Narrow"/>
                <w:b/>
                <w:sz w:val="20"/>
                <w:lang w:eastAsia="en-AU"/>
              </w:rPr>
            </w:pPr>
            <w:r w:rsidRPr="00961B75">
              <w:rPr>
                <w:rFonts w:ascii="Arial Narrow" w:hAnsi="Arial Narrow"/>
                <w:b/>
                <w:sz w:val="20"/>
                <w:lang w:eastAsia="en-AU"/>
              </w:rPr>
              <w:t>Treatment Experienced</w:t>
            </w:r>
          </w:p>
        </w:tc>
      </w:tr>
      <w:tr w:rsidR="00CA741E" w:rsidRPr="00961B75" w:rsidTr="00CA741E">
        <w:trPr>
          <w:trHeight w:val="20"/>
        </w:trPr>
        <w:tc>
          <w:tcPr>
            <w:tcW w:w="944" w:type="pct"/>
            <w:tcBorders>
              <w:top w:val="single" w:sz="4" w:space="0" w:color="auto"/>
              <w:left w:val="single" w:sz="4" w:space="0" w:color="auto"/>
              <w:bottom w:val="single" w:sz="4" w:space="0" w:color="auto"/>
              <w:right w:val="single" w:sz="4" w:space="0" w:color="auto"/>
            </w:tcBorders>
          </w:tcPr>
          <w:p w:rsidR="00CA741E" w:rsidRPr="00961B75" w:rsidRDefault="00CA741E" w:rsidP="004611DA">
            <w:pPr>
              <w:widowControl/>
              <w:snapToGrid w:val="0"/>
              <w:spacing w:line="20" w:lineRule="atLeast"/>
              <w:rPr>
                <w:rFonts w:ascii="Arial Narrow" w:hAnsi="Arial Narrow"/>
                <w:sz w:val="20"/>
                <w:lang w:eastAsia="en-AU"/>
              </w:rPr>
            </w:pPr>
          </w:p>
        </w:tc>
        <w:tc>
          <w:tcPr>
            <w:tcW w:w="2210" w:type="pct"/>
            <w:tcBorders>
              <w:top w:val="single" w:sz="4" w:space="0" w:color="auto"/>
              <w:left w:val="single" w:sz="4" w:space="0" w:color="auto"/>
              <w:bottom w:val="single" w:sz="4" w:space="0" w:color="auto"/>
              <w:right w:val="single" w:sz="4" w:space="0" w:color="auto"/>
            </w:tcBorders>
            <w:vAlign w:val="center"/>
          </w:tcPr>
          <w:p w:rsidR="00CA741E" w:rsidRPr="00961B75" w:rsidRDefault="00CA741E" w:rsidP="004611DA">
            <w:pPr>
              <w:widowControl/>
              <w:snapToGrid w:val="0"/>
              <w:spacing w:line="20" w:lineRule="atLeast"/>
              <w:jc w:val="left"/>
              <w:rPr>
                <w:rFonts w:ascii="Arial Narrow" w:hAnsi="Arial Narrow"/>
                <w:sz w:val="20"/>
                <w:lang w:eastAsia="en-AU"/>
              </w:rPr>
            </w:pPr>
            <w:r w:rsidRPr="00961B75">
              <w:rPr>
                <w:rFonts w:ascii="Arial Narrow" w:hAnsi="Arial Narrow"/>
                <w:sz w:val="20"/>
                <w:lang w:eastAsia="en-AU"/>
              </w:rPr>
              <w:t xml:space="preserve">PARITAPREVIR + RITONAVIR + OMBITASVIR and RBV [12 weeks ] </w:t>
            </w:r>
          </w:p>
        </w:tc>
        <w:tc>
          <w:tcPr>
            <w:tcW w:w="1846" w:type="pct"/>
            <w:tcBorders>
              <w:top w:val="single" w:sz="4" w:space="0" w:color="auto"/>
              <w:left w:val="single" w:sz="4" w:space="0" w:color="auto"/>
              <w:bottom w:val="single" w:sz="4" w:space="0" w:color="auto"/>
              <w:right w:val="single" w:sz="4" w:space="0" w:color="auto"/>
            </w:tcBorders>
            <w:vAlign w:val="center"/>
          </w:tcPr>
          <w:p w:rsidR="00CA741E" w:rsidRPr="00961B75" w:rsidRDefault="00CA741E" w:rsidP="004611DA">
            <w:pPr>
              <w:widowControl/>
              <w:snapToGrid w:val="0"/>
              <w:spacing w:line="20" w:lineRule="atLeast"/>
              <w:jc w:val="left"/>
              <w:rPr>
                <w:rFonts w:ascii="Arial Narrow" w:hAnsi="Arial Narrow"/>
                <w:sz w:val="20"/>
                <w:lang w:eastAsia="en-AU"/>
              </w:rPr>
            </w:pPr>
            <w:r w:rsidRPr="00961B75">
              <w:rPr>
                <w:rFonts w:ascii="Arial Narrow" w:hAnsi="Arial Narrow"/>
                <w:sz w:val="20"/>
                <w:lang w:eastAsia="en-AU"/>
              </w:rPr>
              <w:t xml:space="preserve">PARITAPREVIR + RITONAVIR + OMBITASVIR and RBV [12 weeks ] </w:t>
            </w:r>
          </w:p>
        </w:tc>
      </w:tr>
      <w:tr w:rsidR="00CA741E" w:rsidRPr="00961B75" w:rsidTr="00CA741E">
        <w:trPr>
          <w:trHeight w:val="20"/>
        </w:trPr>
        <w:tc>
          <w:tcPr>
            <w:tcW w:w="5000" w:type="pct"/>
            <w:gridSpan w:val="3"/>
            <w:tcBorders>
              <w:top w:val="single" w:sz="4" w:space="0" w:color="auto"/>
              <w:left w:val="single" w:sz="4" w:space="0" w:color="auto"/>
              <w:bottom w:val="single" w:sz="4" w:space="0" w:color="auto"/>
              <w:right w:val="single" w:sz="4" w:space="0" w:color="auto"/>
            </w:tcBorders>
          </w:tcPr>
          <w:p w:rsidR="00CA741E" w:rsidRPr="00961B75" w:rsidRDefault="00CA741E" w:rsidP="004611DA">
            <w:pPr>
              <w:widowControl/>
              <w:snapToGrid w:val="0"/>
              <w:spacing w:line="20" w:lineRule="atLeast"/>
              <w:rPr>
                <w:rFonts w:ascii="Arial Narrow" w:hAnsi="Arial Narrow"/>
                <w:b/>
                <w:sz w:val="20"/>
                <w:lang w:eastAsia="en-AU"/>
              </w:rPr>
            </w:pPr>
            <w:r w:rsidRPr="00961B75">
              <w:rPr>
                <w:rFonts w:ascii="Arial Narrow" w:hAnsi="Arial Narrow"/>
                <w:b/>
                <w:sz w:val="20"/>
                <w:lang w:eastAsia="en-AU"/>
              </w:rPr>
              <w:t>Hepatitis C-Cirrhotic patients</w:t>
            </w:r>
          </w:p>
        </w:tc>
      </w:tr>
      <w:tr w:rsidR="00CA741E" w:rsidRPr="00961B75" w:rsidTr="00CA741E">
        <w:trPr>
          <w:trHeight w:val="20"/>
        </w:trPr>
        <w:tc>
          <w:tcPr>
            <w:tcW w:w="944" w:type="pct"/>
            <w:tcBorders>
              <w:top w:val="single" w:sz="4" w:space="0" w:color="auto"/>
              <w:left w:val="single" w:sz="4" w:space="0" w:color="auto"/>
              <w:bottom w:val="single" w:sz="4" w:space="0" w:color="auto"/>
              <w:right w:val="single" w:sz="4" w:space="0" w:color="auto"/>
            </w:tcBorders>
          </w:tcPr>
          <w:p w:rsidR="00CA741E" w:rsidRPr="00961B75" w:rsidRDefault="00CA741E" w:rsidP="004611DA">
            <w:pPr>
              <w:widowControl/>
              <w:snapToGrid w:val="0"/>
              <w:spacing w:line="20" w:lineRule="atLeast"/>
              <w:rPr>
                <w:rFonts w:ascii="Arial Narrow" w:hAnsi="Arial Narrow"/>
                <w:b/>
                <w:sz w:val="20"/>
                <w:lang w:eastAsia="en-AU"/>
              </w:rPr>
            </w:pPr>
            <w:r w:rsidRPr="00961B75">
              <w:rPr>
                <w:rFonts w:ascii="Arial Narrow" w:hAnsi="Arial Narrow"/>
                <w:b/>
                <w:sz w:val="20"/>
                <w:lang w:eastAsia="en-AU"/>
              </w:rPr>
              <w:t>Genotype 4</w:t>
            </w:r>
          </w:p>
        </w:tc>
        <w:tc>
          <w:tcPr>
            <w:tcW w:w="2210" w:type="pct"/>
            <w:tcBorders>
              <w:top w:val="single" w:sz="4" w:space="0" w:color="auto"/>
              <w:left w:val="single" w:sz="4" w:space="0" w:color="auto"/>
              <w:bottom w:val="single" w:sz="4" w:space="0" w:color="auto"/>
              <w:right w:val="single" w:sz="4" w:space="0" w:color="auto"/>
            </w:tcBorders>
          </w:tcPr>
          <w:p w:rsidR="00CA741E" w:rsidRPr="00961B75" w:rsidRDefault="00CA741E" w:rsidP="004611DA">
            <w:pPr>
              <w:widowControl/>
              <w:snapToGrid w:val="0"/>
              <w:spacing w:line="20" w:lineRule="atLeast"/>
              <w:jc w:val="center"/>
              <w:rPr>
                <w:rFonts w:ascii="Arial Narrow" w:hAnsi="Arial Narrow"/>
                <w:b/>
                <w:sz w:val="20"/>
                <w:lang w:eastAsia="en-AU"/>
              </w:rPr>
            </w:pPr>
            <w:r w:rsidRPr="00961B75">
              <w:rPr>
                <w:rFonts w:ascii="Arial Narrow" w:hAnsi="Arial Narrow"/>
                <w:b/>
                <w:sz w:val="20"/>
                <w:lang w:eastAsia="en-AU"/>
              </w:rPr>
              <w:t>Treatment Naïve</w:t>
            </w:r>
          </w:p>
        </w:tc>
        <w:tc>
          <w:tcPr>
            <w:tcW w:w="1846" w:type="pct"/>
            <w:tcBorders>
              <w:top w:val="single" w:sz="4" w:space="0" w:color="auto"/>
              <w:left w:val="single" w:sz="4" w:space="0" w:color="auto"/>
              <w:bottom w:val="single" w:sz="4" w:space="0" w:color="auto"/>
              <w:right w:val="single" w:sz="4" w:space="0" w:color="auto"/>
            </w:tcBorders>
          </w:tcPr>
          <w:p w:rsidR="00CA741E" w:rsidRPr="00961B75" w:rsidRDefault="00CA741E" w:rsidP="004611DA">
            <w:pPr>
              <w:widowControl/>
              <w:snapToGrid w:val="0"/>
              <w:spacing w:line="20" w:lineRule="atLeast"/>
              <w:jc w:val="center"/>
              <w:rPr>
                <w:rFonts w:ascii="Arial Narrow" w:hAnsi="Arial Narrow"/>
                <w:b/>
                <w:sz w:val="20"/>
                <w:lang w:eastAsia="en-AU"/>
              </w:rPr>
            </w:pPr>
            <w:r w:rsidRPr="00961B75">
              <w:rPr>
                <w:rFonts w:ascii="Arial Narrow" w:hAnsi="Arial Narrow"/>
                <w:b/>
                <w:sz w:val="20"/>
                <w:lang w:eastAsia="en-AU"/>
              </w:rPr>
              <w:t>Treatment Experienced</w:t>
            </w:r>
          </w:p>
        </w:tc>
      </w:tr>
      <w:tr w:rsidR="00CA741E" w:rsidRPr="00961B75" w:rsidTr="00CA741E">
        <w:trPr>
          <w:trHeight w:val="20"/>
        </w:trPr>
        <w:tc>
          <w:tcPr>
            <w:tcW w:w="944" w:type="pct"/>
            <w:tcBorders>
              <w:top w:val="single" w:sz="4" w:space="0" w:color="auto"/>
              <w:left w:val="single" w:sz="4" w:space="0" w:color="auto"/>
              <w:bottom w:val="single" w:sz="4" w:space="0" w:color="auto"/>
              <w:right w:val="single" w:sz="4" w:space="0" w:color="auto"/>
            </w:tcBorders>
          </w:tcPr>
          <w:p w:rsidR="00CA741E" w:rsidRPr="00961B75" w:rsidRDefault="00CA741E" w:rsidP="004611DA">
            <w:pPr>
              <w:widowControl/>
              <w:snapToGrid w:val="0"/>
              <w:spacing w:line="20" w:lineRule="atLeast"/>
              <w:rPr>
                <w:rFonts w:ascii="Arial Narrow" w:hAnsi="Arial Narrow"/>
                <w:sz w:val="20"/>
                <w:lang w:eastAsia="en-AU"/>
              </w:rPr>
            </w:pPr>
          </w:p>
        </w:tc>
        <w:tc>
          <w:tcPr>
            <w:tcW w:w="2210" w:type="pct"/>
            <w:tcBorders>
              <w:top w:val="single" w:sz="4" w:space="0" w:color="auto"/>
              <w:left w:val="single" w:sz="4" w:space="0" w:color="auto"/>
              <w:bottom w:val="single" w:sz="4" w:space="0" w:color="auto"/>
              <w:right w:val="single" w:sz="4" w:space="0" w:color="auto"/>
            </w:tcBorders>
            <w:vAlign w:val="center"/>
          </w:tcPr>
          <w:p w:rsidR="00CA741E" w:rsidRPr="00961B75" w:rsidRDefault="00CA741E" w:rsidP="004611DA">
            <w:pPr>
              <w:widowControl/>
              <w:snapToGrid w:val="0"/>
              <w:spacing w:line="20" w:lineRule="atLeast"/>
              <w:jc w:val="left"/>
              <w:rPr>
                <w:rFonts w:ascii="Arial Narrow" w:hAnsi="Arial Narrow"/>
                <w:sz w:val="20"/>
                <w:lang w:eastAsia="en-AU"/>
              </w:rPr>
            </w:pPr>
            <w:r w:rsidRPr="00961B75">
              <w:rPr>
                <w:rFonts w:ascii="Arial Narrow" w:hAnsi="Arial Narrow"/>
                <w:sz w:val="20"/>
                <w:lang w:eastAsia="en-AU"/>
              </w:rPr>
              <w:t xml:space="preserve">PARITAPREVIR + RITONAVIR + OMBITASVIR and RBV [12 weeks ] </w:t>
            </w:r>
          </w:p>
        </w:tc>
        <w:tc>
          <w:tcPr>
            <w:tcW w:w="1846" w:type="pct"/>
            <w:tcBorders>
              <w:top w:val="single" w:sz="4" w:space="0" w:color="auto"/>
              <w:left w:val="single" w:sz="4" w:space="0" w:color="auto"/>
              <w:bottom w:val="single" w:sz="4" w:space="0" w:color="auto"/>
              <w:right w:val="single" w:sz="4" w:space="0" w:color="auto"/>
            </w:tcBorders>
            <w:vAlign w:val="center"/>
          </w:tcPr>
          <w:p w:rsidR="00CA741E" w:rsidRPr="00961B75" w:rsidRDefault="00CA741E" w:rsidP="004611DA">
            <w:pPr>
              <w:widowControl/>
              <w:snapToGrid w:val="0"/>
              <w:spacing w:line="20" w:lineRule="atLeast"/>
              <w:jc w:val="left"/>
              <w:rPr>
                <w:rFonts w:ascii="Arial Narrow" w:hAnsi="Arial Narrow"/>
                <w:sz w:val="20"/>
                <w:lang w:eastAsia="en-AU"/>
              </w:rPr>
            </w:pPr>
            <w:r w:rsidRPr="00961B75">
              <w:rPr>
                <w:rFonts w:ascii="Arial Narrow" w:hAnsi="Arial Narrow"/>
                <w:sz w:val="20"/>
                <w:lang w:eastAsia="en-AU"/>
              </w:rPr>
              <w:t xml:space="preserve">PARITAPREVIR + RITONAVIR + OMBITASVIR and RBV [12 weeks ] </w:t>
            </w:r>
          </w:p>
        </w:tc>
      </w:tr>
    </w:tbl>
    <w:p w:rsidR="00CA741E" w:rsidRPr="00961B75" w:rsidRDefault="00CA741E" w:rsidP="004611DA">
      <w:pPr>
        <w:pStyle w:val="BodyText"/>
        <w:widowControl/>
        <w:ind w:left="709"/>
        <w:rPr>
          <w:rFonts w:ascii="Arial Narrow" w:hAnsi="Arial Narrow"/>
          <w:b/>
          <w:snapToGrid/>
          <w:sz w:val="18"/>
          <w:szCs w:val="14"/>
          <w:lang w:eastAsia="en-AU"/>
        </w:rPr>
      </w:pPr>
      <w:r w:rsidRPr="00961B75">
        <w:rPr>
          <w:rFonts w:ascii="Arial Narrow" w:hAnsi="Arial Narrow"/>
          <w:snapToGrid/>
          <w:sz w:val="18"/>
          <w:szCs w:val="14"/>
          <w:lang w:eastAsia="en-AU"/>
        </w:rPr>
        <w:t>*</w:t>
      </w:r>
      <w:r w:rsidRPr="00961B75">
        <w:rPr>
          <w:rFonts w:ascii="Arial Narrow" w:hAnsi="Arial Narrow"/>
          <w:snapToGrid/>
          <w:sz w:val="18"/>
          <w:szCs w:val="14"/>
          <w:lang w:eastAsia="en-AU"/>
        </w:rPr>
        <w:tab/>
        <w:t>Price is the published DPMQ</w:t>
      </w:r>
      <w:r w:rsidR="00961B75">
        <w:rPr>
          <w:rFonts w:ascii="Arial Narrow" w:hAnsi="Arial Narrow"/>
          <w:snapToGrid/>
          <w:sz w:val="18"/>
          <w:szCs w:val="14"/>
          <w:lang w:eastAsia="en-AU"/>
        </w:rPr>
        <w:t xml:space="preserve">. </w:t>
      </w:r>
      <w:r w:rsidRPr="00961B75">
        <w:rPr>
          <w:rFonts w:ascii="Arial Narrow" w:hAnsi="Arial Narrow"/>
          <w:snapToGrid/>
          <w:sz w:val="18"/>
          <w:szCs w:val="14"/>
          <w:lang w:eastAsia="en-AU"/>
        </w:rPr>
        <w:t xml:space="preserve">The </w:t>
      </w:r>
      <w:r w:rsidR="003B1A7C" w:rsidRPr="00961B75">
        <w:rPr>
          <w:rFonts w:ascii="Arial Narrow" w:hAnsi="Arial Narrow"/>
          <w:snapToGrid/>
          <w:sz w:val="18"/>
          <w:szCs w:val="14"/>
          <w:lang w:eastAsia="en-AU"/>
        </w:rPr>
        <w:t>s</w:t>
      </w:r>
      <w:r w:rsidRPr="00961B75">
        <w:rPr>
          <w:rFonts w:ascii="Arial Narrow" w:hAnsi="Arial Narrow"/>
          <w:snapToGrid/>
          <w:sz w:val="18"/>
          <w:szCs w:val="14"/>
          <w:lang w:eastAsia="en-AU"/>
        </w:rPr>
        <w:t>ponsor has proposed a confidential effective DPMQ of $</w:t>
      </w:r>
      <w:r w:rsidR="0040233E">
        <w:rPr>
          <w:rFonts w:ascii="Arial Narrow" w:hAnsi="Arial Narrow"/>
          <w:noProof/>
          <w:snapToGrid/>
          <w:color w:val="000000"/>
          <w:sz w:val="18"/>
          <w:szCs w:val="14"/>
          <w:highlight w:val="black"/>
          <w:lang w:eastAsia="en-AU"/>
        </w:rPr>
        <w:t>'''''''''''''''''''</w:t>
      </w:r>
      <w:r w:rsidRPr="00961B75">
        <w:rPr>
          <w:rFonts w:ascii="Arial Narrow" w:hAnsi="Arial Narrow"/>
          <w:snapToGrid/>
          <w:sz w:val="18"/>
          <w:szCs w:val="14"/>
          <w:lang w:eastAsia="en-AU"/>
        </w:rPr>
        <w:t xml:space="preserve"> per pack.</w:t>
      </w:r>
    </w:p>
    <w:p w:rsidR="00996358" w:rsidRPr="00961B75" w:rsidRDefault="00996358" w:rsidP="004611DA">
      <w:pPr>
        <w:pStyle w:val="ListParagraph"/>
        <w:widowControl/>
        <w:rPr>
          <w:szCs w:val="22"/>
        </w:rPr>
      </w:pPr>
    </w:p>
    <w:p w:rsidR="00C0599A" w:rsidRPr="00961B75" w:rsidRDefault="00C0599A" w:rsidP="00EF7F25">
      <w:pPr>
        <w:pStyle w:val="ListParagraph"/>
        <w:widowControl/>
        <w:numPr>
          <w:ilvl w:val="1"/>
          <w:numId w:val="1"/>
        </w:numPr>
        <w:rPr>
          <w:szCs w:val="22"/>
        </w:rPr>
      </w:pPr>
      <w:r w:rsidRPr="00961B75">
        <w:rPr>
          <w:szCs w:val="22"/>
        </w:rPr>
        <w:t xml:space="preserve">Listing </w:t>
      </w:r>
      <w:r w:rsidR="00E83B31">
        <w:rPr>
          <w:szCs w:val="22"/>
        </w:rPr>
        <w:t xml:space="preserve">of </w:t>
      </w:r>
      <w:proofErr w:type="spellStart"/>
      <w:r w:rsidR="00E83B31">
        <w:rPr>
          <w:szCs w:val="22"/>
        </w:rPr>
        <w:t>Technivie</w:t>
      </w:r>
      <w:proofErr w:type="spellEnd"/>
      <w:r w:rsidR="00E83B31">
        <w:rPr>
          <w:szCs w:val="22"/>
        </w:rPr>
        <w:t>®+</w:t>
      </w:r>
      <w:r w:rsidR="00996358" w:rsidRPr="00961B75">
        <w:rPr>
          <w:szCs w:val="22"/>
        </w:rPr>
        <w:t xml:space="preserve">RBV </w:t>
      </w:r>
      <w:r w:rsidRPr="00961B75">
        <w:rPr>
          <w:szCs w:val="22"/>
        </w:rPr>
        <w:t xml:space="preserve">was </w:t>
      </w:r>
      <w:r w:rsidR="00F714D1" w:rsidRPr="00961B75">
        <w:rPr>
          <w:szCs w:val="22"/>
        </w:rPr>
        <w:t xml:space="preserve">initially </w:t>
      </w:r>
      <w:r w:rsidRPr="00961B75">
        <w:rPr>
          <w:szCs w:val="22"/>
        </w:rPr>
        <w:t xml:space="preserve">sought on </w:t>
      </w:r>
      <w:r w:rsidR="00996358" w:rsidRPr="00961B75">
        <w:rPr>
          <w:szCs w:val="22"/>
        </w:rPr>
        <w:t>a cost-effectiveness and cost-utility basis compared with</w:t>
      </w:r>
      <w:r w:rsidRPr="00961B75">
        <w:rPr>
          <w:szCs w:val="22"/>
        </w:rPr>
        <w:t xml:space="preserve"> ‘no treatment’.</w:t>
      </w:r>
    </w:p>
    <w:p w:rsidR="00996358" w:rsidRPr="00961B75" w:rsidRDefault="00996358" w:rsidP="004611DA">
      <w:pPr>
        <w:pStyle w:val="ListParagraph"/>
        <w:widowControl/>
        <w:rPr>
          <w:szCs w:val="22"/>
        </w:rPr>
      </w:pPr>
    </w:p>
    <w:p w:rsidR="00A80E0D" w:rsidRPr="00961B75" w:rsidRDefault="00996358" w:rsidP="00EF7F25">
      <w:pPr>
        <w:pStyle w:val="ListParagraph"/>
        <w:widowControl/>
        <w:numPr>
          <w:ilvl w:val="1"/>
          <w:numId w:val="1"/>
        </w:numPr>
      </w:pPr>
      <w:r w:rsidRPr="00961B75">
        <w:rPr>
          <w:szCs w:val="22"/>
        </w:rPr>
        <w:t xml:space="preserve">The </w:t>
      </w:r>
      <w:r w:rsidR="00BA3466" w:rsidRPr="00961B75">
        <w:rPr>
          <w:szCs w:val="22"/>
        </w:rPr>
        <w:t>s</w:t>
      </w:r>
      <w:r w:rsidRPr="00961B75">
        <w:rPr>
          <w:szCs w:val="22"/>
        </w:rPr>
        <w:t xml:space="preserve">ponsor </w:t>
      </w:r>
      <w:r w:rsidR="00F714D1" w:rsidRPr="00961B75">
        <w:rPr>
          <w:szCs w:val="22"/>
        </w:rPr>
        <w:t xml:space="preserve">subsequently </w:t>
      </w:r>
      <w:r w:rsidRPr="00961B75">
        <w:rPr>
          <w:szCs w:val="22"/>
        </w:rPr>
        <w:t>indicated a</w:t>
      </w:r>
      <w:r w:rsidR="00E83B31">
        <w:rPr>
          <w:szCs w:val="22"/>
        </w:rPr>
        <w:t xml:space="preserve"> willingness to list </w:t>
      </w:r>
      <w:proofErr w:type="spellStart"/>
      <w:r w:rsidR="00E83B31">
        <w:rPr>
          <w:szCs w:val="22"/>
        </w:rPr>
        <w:t>Technivie</w:t>
      </w:r>
      <w:proofErr w:type="spellEnd"/>
      <w:r w:rsidR="00E83B31">
        <w:rPr>
          <w:szCs w:val="22"/>
        </w:rPr>
        <w:t>®</w:t>
      </w:r>
      <w:r w:rsidR="00D641F0">
        <w:rPr>
          <w:szCs w:val="22"/>
        </w:rPr>
        <w:t xml:space="preserve"> </w:t>
      </w:r>
      <w:r w:rsidR="00E83B31">
        <w:rPr>
          <w:szCs w:val="22"/>
        </w:rPr>
        <w:t>+</w:t>
      </w:r>
      <w:r w:rsidR="00D641F0">
        <w:rPr>
          <w:szCs w:val="22"/>
        </w:rPr>
        <w:t xml:space="preserve"> </w:t>
      </w:r>
      <w:r w:rsidRPr="00961B75">
        <w:rPr>
          <w:szCs w:val="22"/>
        </w:rPr>
        <w:t>RBV on a cost-minimisation basis to g</w:t>
      </w:r>
      <w:r w:rsidR="00E83B31">
        <w:rPr>
          <w:szCs w:val="22"/>
        </w:rPr>
        <w:t>razoprevir-elbasvir</w:t>
      </w:r>
      <w:r w:rsidR="00D641F0">
        <w:rPr>
          <w:szCs w:val="22"/>
        </w:rPr>
        <w:t xml:space="preserve"> </w:t>
      </w:r>
      <w:r w:rsidR="00E83B31">
        <w:rPr>
          <w:szCs w:val="22"/>
        </w:rPr>
        <w:t>±</w:t>
      </w:r>
      <w:r w:rsidR="00D641F0">
        <w:rPr>
          <w:szCs w:val="22"/>
        </w:rPr>
        <w:t xml:space="preserve"> </w:t>
      </w:r>
      <w:r w:rsidR="00A80E0D" w:rsidRPr="00961B75">
        <w:rPr>
          <w:szCs w:val="22"/>
        </w:rPr>
        <w:t>ribavirin (GZ</w:t>
      </w:r>
      <w:r w:rsidR="00664590" w:rsidRPr="00961B75">
        <w:rPr>
          <w:szCs w:val="22"/>
        </w:rPr>
        <w:t>R</w:t>
      </w:r>
      <w:r w:rsidR="00A80E0D" w:rsidRPr="00961B75">
        <w:rPr>
          <w:szCs w:val="22"/>
        </w:rPr>
        <w:t>-EBR</w:t>
      </w:r>
      <w:r w:rsidR="00D641F0">
        <w:rPr>
          <w:szCs w:val="22"/>
        </w:rPr>
        <w:t xml:space="preserve"> </w:t>
      </w:r>
      <w:r w:rsidR="00A80E0D" w:rsidRPr="00961B75">
        <w:rPr>
          <w:szCs w:val="22"/>
        </w:rPr>
        <w:t>±</w:t>
      </w:r>
      <w:r w:rsidR="00D641F0">
        <w:rPr>
          <w:szCs w:val="22"/>
        </w:rPr>
        <w:t xml:space="preserve"> </w:t>
      </w:r>
      <w:r w:rsidR="00A80E0D" w:rsidRPr="00961B75">
        <w:rPr>
          <w:szCs w:val="22"/>
        </w:rPr>
        <w:t>RBV)</w:t>
      </w:r>
      <w:r w:rsidR="00496A8F" w:rsidRPr="00961B75">
        <w:rPr>
          <w:szCs w:val="22"/>
        </w:rPr>
        <w:t>,</w:t>
      </w:r>
      <w:r w:rsidR="00A80E0D" w:rsidRPr="00961B75">
        <w:rPr>
          <w:szCs w:val="22"/>
        </w:rPr>
        <w:t xml:space="preserve"> </w:t>
      </w:r>
      <w:r w:rsidRPr="00961B75">
        <w:rPr>
          <w:szCs w:val="22"/>
        </w:rPr>
        <w:t>which was considered at the July 2016 PBAC meeting and received a positive recommendation for listing.</w:t>
      </w:r>
      <w:r w:rsidR="00AF674B" w:rsidRPr="00961B75">
        <w:rPr>
          <w:szCs w:val="22"/>
        </w:rPr>
        <w:t xml:space="preserve"> The cost-minimisation checklist for this comparison was completed during the evaluation</w:t>
      </w:r>
      <w:r w:rsidR="00FE3FF0" w:rsidRPr="00961B75">
        <w:rPr>
          <w:szCs w:val="22"/>
        </w:rPr>
        <w:t>.</w:t>
      </w:r>
    </w:p>
    <w:p w:rsidR="00E77769" w:rsidRPr="00961B75" w:rsidRDefault="00E77769" w:rsidP="00E77769">
      <w:pPr>
        <w:pStyle w:val="ListParagraph"/>
      </w:pPr>
    </w:p>
    <w:p w:rsidR="00E77769" w:rsidRPr="00961B75" w:rsidRDefault="00E77769" w:rsidP="00EF7F25">
      <w:pPr>
        <w:pStyle w:val="ListParagraph"/>
        <w:widowControl/>
        <w:numPr>
          <w:ilvl w:val="1"/>
          <w:numId w:val="1"/>
        </w:numPr>
        <w:rPr>
          <w:szCs w:val="22"/>
        </w:rPr>
      </w:pPr>
      <w:r w:rsidRPr="00961B75">
        <w:t>The ESC noted the updated draft P</w:t>
      </w:r>
      <w:r w:rsidR="00E83B31">
        <w:t>roduct Information (P</w:t>
      </w:r>
      <w:r w:rsidRPr="00961B75">
        <w:t>I</w:t>
      </w:r>
      <w:r w:rsidR="00E83B31">
        <w:t>)</w:t>
      </w:r>
      <w:r w:rsidRPr="00961B75">
        <w:t xml:space="preserve"> (13 September 2016) provided with the P</w:t>
      </w:r>
      <w:r w:rsidR="00936838" w:rsidRPr="00961B75">
        <w:t>re-Sub-Committee Response (P</w:t>
      </w:r>
      <w:r w:rsidRPr="00961B75">
        <w:t>SCR</w:t>
      </w:r>
      <w:r w:rsidR="00936838" w:rsidRPr="00961B75">
        <w:t>)</w:t>
      </w:r>
      <w:r w:rsidRPr="00961B75">
        <w:t xml:space="preserve">, </w:t>
      </w:r>
      <w:r w:rsidRPr="00961B75">
        <w:rPr>
          <w:szCs w:val="22"/>
        </w:rPr>
        <w:t xml:space="preserve">which stated that use of </w:t>
      </w:r>
      <w:proofErr w:type="spellStart"/>
      <w:r w:rsidRPr="00961B75">
        <w:rPr>
          <w:szCs w:val="22"/>
        </w:rPr>
        <w:t>Technivie</w:t>
      </w:r>
      <w:proofErr w:type="spellEnd"/>
      <w:r w:rsidRPr="00961B75">
        <w:rPr>
          <w:szCs w:val="22"/>
        </w:rPr>
        <w:t xml:space="preserve">® is not recommended in patients with moderate hepatic impairment (Child-Pugh B) and is contraindicated in patients with severe hepatic impairment (Child-Pugh C). The ESC noted that </w:t>
      </w:r>
      <w:r w:rsidR="002D66A1" w:rsidRPr="00961B75">
        <w:rPr>
          <w:szCs w:val="22"/>
        </w:rPr>
        <w:t xml:space="preserve">the </w:t>
      </w:r>
      <w:r w:rsidRPr="00961B75">
        <w:rPr>
          <w:szCs w:val="22"/>
        </w:rPr>
        <w:t>TGA</w:t>
      </w:r>
      <w:r w:rsidR="00613C27" w:rsidRPr="00961B75">
        <w:rPr>
          <w:szCs w:val="22"/>
        </w:rPr>
        <w:t>-</w:t>
      </w:r>
      <w:r w:rsidRPr="00961B75">
        <w:rPr>
          <w:szCs w:val="22"/>
        </w:rPr>
        <w:t>approved PI</w:t>
      </w:r>
      <w:r w:rsidR="00024439" w:rsidRPr="00961B75">
        <w:rPr>
          <w:szCs w:val="22"/>
        </w:rPr>
        <w:t>s</w:t>
      </w:r>
      <w:r w:rsidRPr="00961B75">
        <w:rPr>
          <w:szCs w:val="22"/>
        </w:rPr>
        <w:t xml:space="preserve"> for PBS-listed </w:t>
      </w:r>
      <w:proofErr w:type="spellStart"/>
      <w:r w:rsidRPr="00961B75">
        <w:t>Viekira</w:t>
      </w:r>
      <w:proofErr w:type="spellEnd"/>
      <w:r w:rsidRPr="00961B75">
        <w:t xml:space="preserve"> Pak® and </w:t>
      </w:r>
      <w:proofErr w:type="spellStart"/>
      <w:r w:rsidRPr="00961B75">
        <w:t>Viekira</w:t>
      </w:r>
      <w:proofErr w:type="spellEnd"/>
      <w:r w:rsidRPr="00961B75">
        <w:t xml:space="preserve"> Pak-RBV®</w:t>
      </w:r>
      <w:r w:rsidR="002D66A1" w:rsidRPr="00961B75">
        <w:t xml:space="preserve"> </w:t>
      </w:r>
      <w:r w:rsidR="00024439" w:rsidRPr="00961B75">
        <w:t>have</w:t>
      </w:r>
      <w:r w:rsidR="002D66A1" w:rsidRPr="00961B75">
        <w:t xml:space="preserve"> </w:t>
      </w:r>
      <w:r w:rsidR="008C165F" w:rsidRPr="00961B75">
        <w:t xml:space="preserve">also </w:t>
      </w:r>
      <w:r w:rsidR="002D66A1" w:rsidRPr="00961B75">
        <w:t xml:space="preserve">recently been updated </w:t>
      </w:r>
      <w:r w:rsidR="008C165F" w:rsidRPr="00961B75">
        <w:t>to include these additional statements</w:t>
      </w:r>
      <w:r w:rsidR="003A026B" w:rsidRPr="00961B75">
        <w:t xml:space="preserve"> </w:t>
      </w:r>
      <w:r w:rsidR="008C165F" w:rsidRPr="00961B75">
        <w:t xml:space="preserve">(see also </w:t>
      </w:r>
      <w:r w:rsidR="006F1EA7" w:rsidRPr="00CD3D0E">
        <w:t>paragraphs 6.</w:t>
      </w:r>
      <w:r w:rsidR="006730BF" w:rsidRPr="00CD3D0E">
        <w:t>23</w:t>
      </w:r>
      <w:r w:rsidR="006F1EA7" w:rsidRPr="00CD3D0E">
        <w:t xml:space="preserve"> – 6.2</w:t>
      </w:r>
      <w:r w:rsidR="006730BF" w:rsidRPr="00CD3D0E">
        <w:t>7</w:t>
      </w:r>
      <w:r w:rsidR="006F1EA7" w:rsidRPr="00CD3D0E">
        <w:t xml:space="preserve"> and 6.</w:t>
      </w:r>
      <w:r w:rsidR="006730BF" w:rsidRPr="00CD3D0E">
        <w:t>40</w:t>
      </w:r>
      <w:r w:rsidR="008C165F" w:rsidRPr="00CD3D0E">
        <w:t xml:space="preserve"> – 6.</w:t>
      </w:r>
      <w:r w:rsidR="006730BF" w:rsidRPr="00CD3D0E">
        <w:t>41</w:t>
      </w:r>
      <w:r w:rsidR="008C165F" w:rsidRPr="00CD3D0E">
        <w:t>).</w:t>
      </w:r>
    </w:p>
    <w:p w:rsidR="00B24D94" w:rsidRPr="00961B75" w:rsidRDefault="00B24D94" w:rsidP="007F6AD4">
      <w:pPr>
        <w:pStyle w:val="ListParagraph"/>
        <w:widowControl/>
      </w:pPr>
    </w:p>
    <w:p w:rsidR="00E95062" w:rsidRPr="00961B75" w:rsidRDefault="00E95062" w:rsidP="00E95062">
      <w:pPr>
        <w:pStyle w:val="ListParagraph"/>
        <w:ind w:left="709"/>
        <w:rPr>
          <w:i/>
          <w:szCs w:val="22"/>
        </w:rPr>
      </w:pPr>
      <w:r w:rsidRPr="00961B75">
        <w:rPr>
          <w:i/>
          <w:szCs w:val="22"/>
        </w:rPr>
        <w:t>For more detail on PBAC’s view, see section 7 “PBAC outcome”</w:t>
      </w:r>
    </w:p>
    <w:p w:rsidR="00BA3466" w:rsidRPr="00961B75" w:rsidRDefault="00BA3466" w:rsidP="004611DA">
      <w:pPr>
        <w:pStyle w:val="ListParagraph"/>
        <w:widowControl/>
      </w:pPr>
    </w:p>
    <w:p w:rsidR="00E95062" w:rsidRPr="00961B75" w:rsidRDefault="00E95062" w:rsidP="004611DA">
      <w:pPr>
        <w:pStyle w:val="ListParagraph"/>
        <w:widowControl/>
      </w:pPr>
    </w:p>
    <w:p w:rsidR="00B50DB8" w:rsidRPr="00961B75" w:rsidRDefault="00B50DB8" w:rsidP="004611DA">
      <w:pPr>
        <w:pStyle w:val="PBACHeading1"/>
      </w:pPr>
      <w:bookmarkStart w:id="4" w:name="_Toc461551699"/>
      <w:r w:rsidRPr="00961B75">
        <w:t>Background</w:t>
      </w:r>
      <w:bookmarkEnd w:id="4"/>
    </w:p>
    <w:p w:rsidR="00B60939" w:rsidRPr="00961B75" w:rsidRDefault="00B60939" w:rsidP="004611DA">
      <w:pPr>
        <w:widowControl/>
        <w:rPr>
          <w:szCs w:val="22"/>
        </w:rPr>
      </w:pPr>
    </w:p>
    <w:p w:rsidR="00F37225" w:rsidRPr="00961B75" w:rsidRDefault="001A0640" w:rsidP="00EF7F25">
      <w:pPr>
        <w:pStyle w:val="ListParagraph"/>
        <w:widowControl/>
        <w:numPr>
          <w:ilvl w:val="1"/>
          <w:numId w:val="1"/>
        </w:numPr>
        <w:rPr>
          <w:snapToGrid/>
        </w:rPr>
      </w:pPr>
      <w:r w:rsidRPr="00961B75">
        <w:rPr>
          <w:b/>
          <w:bCs/>
          <w:szCs w:val="22"/>
        </w:rPr>
        <w:t xml:space="preserve">TGA status at time of </w:t>
      </w:r>
      <w:r w:rsidR="00D43ADA" w:rsidRPr="00961B75">
        <w:rPr>
          <w:b/>
          <w:bCs/>
          <w:szCs w:val="22"/>
        </w:rPr>
        <w:t>PBAC consideration</w:t>
      </w:r>
      <w:r w:rsidRPr="00961B75">
        <w:rPr>
          <w:b/>
          <w:bCs/>
          <w:szCs w:val="22"/>
        </w:rPr>
        <w:t>:</w:t>
      </w:r>
      <w:r w:rsidR="00254E60" w:rsidRPr="00961B75">
        <w:rPr>
          <w:b/>
          <w:bCs/>
          <w:szCs w:val="22"/>
        </w:rPr>
        <w:t xml:space="preserve"> </w:t>
      </w:r>
      <w:r w:rsidR="00F37225" w:rsidRPr="00961B75">
        <w:rPr>
          <w:snapToGrid/>
        </w:rPr>
        <w:t>The submission was made under the TGA/PBAC Parallel Process.</w:t>
      </w:r>
      <w:r w:rsidR="005A290A" w:rsidRPr="00961B75">
        <w:rPr>
          <w:snapToGrid/>
        </w:rPr>
        <w:t xml:space="preserve"> </w:t>
      </w:r>
      <w:proofErr w:type="spellStart"/>
      <w:r w:rsidR="005A290A" w:rsidRPr="00961B75">
        <w:rPr>
          <w:snapToGrid/>
        </w:rPr>
        <w:t>Technivie</w:t>
      </w:r>
      <w:proofErr w:type="spellEnd"/>
      <w:r w:rsidR="005A290A" w:rsidRPr="00961B75">
        <w:rPr>
          <w:snapToGrid/>
        </w:rPr>
        <w:t>® was considered at the 312</w:t>
      </w:r>
      <w:r w:rsidR="005A290A" w:rsidRPr="00961B75">
        <w:rPr>
          <w:snapToGrid/>
          <w:vertAlign w:val="superscript"/>
        </w:rPr>
        <w:t>th</w:t>
      </w:r>
      <w:r w:rsidR="005A290A" w:rsidRPr="00961B75">
        <w:rPr>
          <w:snapToGrid/>
        </w:rPr>
        <w:t xml:space="preserve"> ACPM meeting on 7 October 2016, and the draft ACPM resolution was available at the time of the PBAC meeting.</w:t>
      </w:r>
      <w:r w:rsidR="00254E60" w:rsidRPr="00961B75">
        <w:rPr>
          <w:snapToGrid/>
        </w:rPr>
        <w:t xml:space="preserve"> </w:t>
      </w:r>
      <w:r w:rsidR="00254E60" w:rsidRPr="00961B75">
        <w:rPr>
          <w:bCs/>
          <w:szCs w:val="22"/>
        </w:rPr>
        <w:t>At the time of the ESC meeting, the TGA Delegate’s Overview</w:t>
      </w:r>
      <w:r w:rsidR="00247871" w:rsidRPr="00961B75">
        <w:rPr>
          <w:bCs/>
          <w:szCs w:val="22"/>
        </w:rPr>
        <w:t>, and updated draft Product Information (dated 13 September 2016)</w:t>
      </w:r>
      <w:r w:rsidR="00254E60" w:rsidRPr="00961B75">
        <w:rPr>
          <w:bCs/>
          <w:szCs w:val="22"/>
        </w:rPr>
        <w:t xml:space="preserve"> </w:t>
      </w:r>
      <w:r w:rsidR="00247871" w:rsidRPr="00961B75">
        <w:rPr>
          <w:bCs/>
          <w:szCs w:val="22"/>
        </w:rPr>
        <w:t>were</w:t>
      </w:r>
      <w:r w:rsidR="00254E60" w:rsidRPr="00961B75">
        <w:rPr>
          <w:bCs/>
          <w:szCs w:val="22"/>
        </w:rPr>
        <w:t xml:space="preserve"> available</w:t>
      </w:r>
      <w:r w:rsidR="00961B75">
        <w:rPr>
          <w:bCs/>
          <w:szCs w:val="22"/>
        </w:rPr>
        <w:t xml:space="preserve">. </w:t>
      </w:r>
      <w:r w:rsidR="00F37225" w:rsidRPr="00961B75">
        <w:rPr>
          <w:snapToGrid/>
        </w:rPr>
        <w:t xml:space="preserve">At the time of evaluation, the </w:t>
      </w:r>
      <w:r w:rsidR="00BA3466" w:rsidRPr="00961B75">
        <w:rPr>
          <w:snapToGrid/>
        </w:rPr>
        <w:t>C</w:t>
      </w:r>
      <w:r w:rsidR="00F37225" w:rsidRPr="00961B75">
        <w:rPr>
          <w:snapToGrid/>
        </w:rPr>
        <w:t xml:space="preserve">linical </w:t>
      </w:r>
      <w:r w:rsidR="00BA3466" w:rsidRPr="00961B75">
        <w:rPr>
          <w:snapToGrid/>
        </w:rPr>
        <w:t>E</w:t>
      </w:r>
      <w:r w:rsidR="00F37225" w:rsidRPr="00961B75">
        <w:rPr>
          <w:snapToGrid/>
        </w:rPr>
        <w:t>valuat</w:t>
      </w:r>
      <w:r w:rsidR="00BA3466" w:rsidRPr="00961B75">
        <w:rPr>
          <w:snapToGrid/>
        </w:rPr>
        <w:t>ion</w:t>
      </w:r>
      <w:r w:rsidR="00F37225" w:rsidRPr="00961B75">
        <w:rPr>
          <w:snapToGrid/>
        </w:rPr>
        <w:t xml:space="preserve"> </w:t>
      </w:r>
      <w:r w:rsidR="00BA3466" w:rsidRPr="00961B75">
        <w:rPr>
          <w:snapToGrid/>
        </w:rPr>
        <w:t>R</w:t>
      </w:r>
      <w:r w:rsidR="00F37225" w:rsidRPr="00961B75">
        <w:rPr>
          <w:snapToGrid/>
        </w:rPr>
        <w:t>eport</w:t>
      </w:r>
      <w:r w:rsidR="00254E60" w:rsidRPr="00961B75">
        <w:rPr>
          <w:snapToGrid/>
        </w:rPr>
        <w:t>s Round 1 and 2</w:t>
      </w:r>
      <w:r w:rsidR="005A290A" w:rsidRPr="00961B75">
        <w:rPr>
          <w:snapToGrid/>
        </w:rPr>
        <w:t xml:space="preserve"> </w:t>
      </w:r>
      <w:r w:rsidR="00254E60" w:rsidRPr="00961B75">
        <w:rPr>
          <w:snapToGrid/>
        </w:rPr>
        <w:t>were</w:t>
      </w:r>
      <w:r w:rsidR="00F37225" w:rsidRPr="00961B75">
        <w:rPr>
          <w:snapToGrid/>
        </w:rPr>
        <w:t xml:space="preserve"> available. </w:t>
      </w:r>
    </w:p>
    <w:p w:rsidR="00F37225" w:rsidRPr="00961B75" w:rsidRDefault="00F37225" w:rsidP="004611DA">
      <w:pPr>
        <w:widowControl/>
        <w:ind w:left="720"/>
        <w:contextualSpacing/>
        <w:rPr>
          <w:snapToGrid/>
          <w:szCs w:val="22"/>
        </w:rPr>
      </w:pPr>
    </w:p>
    <w:p w:rsidR="00F37225" w:rsidRPr="00961B75" w:rsidRDefault="00F37225" w:rsidP="00EF7F25">
      <w:pPr>
        <w:widowControl/>
        <w:numPr>
          <w:ilvl w:val="1"/>
          <w:numId w:val="1"/>
        </w:numPr>
        <w:contextualSpacing/>
        <w:rPr>
          <w:snapToGrid/>
          <w:szCs w:val="22"/>
        </w:rPr>
      </w:pPr>
      <w:r w:rsidRPr="00961B75">
        <w:rPr>
          <w:snapToGrid/>
          <w:szCs w:val="22"/>
        </w:rPr>
        <w:t xml:space="preserve">This was the first submission of </w:t>
      </w:r>
      <w:proofErr w:type="spellStart"/>
      <w:r w:rsidR="00DA502D" w:rsidRPr="00961B75">
        <w:rPr>
          <w:snapToGrid/>
          <w:szCs w:val="22"/>
        </w:rPr>
        <w:t>Technivie</w:t>
      </w:r>
      <w:proofErr w:type="spellEnd"/>
      <w:r w:rsidR="00DA502D" w:rsidRPr="00961B75">
        <w:rPr>
          <w:snapToGrid/>
          <w:szCs w:val="22"/>
        </w:rPr>
        <w:t>®</w:t>
      </w:r>
      <w:r w:rsidR="00B24D94" w:rsidRPr="00961B75">
        <w:rPr>
          <w:snapToGrid/>
          <w:szCs w:val="22"/>
        </w:rPr>
        <w:t xml:space="preserve"> to the PBAC</w:t>
      </w:r>
      <w:r w:rsidR="00961B75">
        <w:rPr>
          <w:snapToGrid/>
          <w:szCs w:val="22"/>
        </w:rPr>
        <w:t xml:space="preserve">. </w:t>
      </w:r>
      <w:r w:rsidR="00B24D94" w:rsidRPr="00961B75">
        <w:t>A similar FDC is currently listed on the PBS (</w:t>
      </w:r>
      <w:r w:rsidR="00DA502D" w:rsidRPr="00961B75">
        <w:t>par</w:t>
      </w:r>
      <w:r w:rsidR="00B24D94" w:rsidRPr="00961B75">
        <w:t>itaprevir/ritonavir/ombitasvir and</w:t>
      </w:r>
      <w:r w:rsidR="00DA502D" w:rsidRPr="00961B75">
        <w:t xml:space="preserve"> dasabuvir</w:t>
      </w:r>
      <w:r w:rsidR="00D641F0">
        <w:t xml:space="preserve"> </w:t>
      </w:r>
      <w:r w:rsidR="00631ADA">
        <w:t>±</w:t>
      </w:r>
      <w:r w:rsidR="00D641F0">
        <w:t xml:space="preserve"> </w:t>
      </w:r>
      <w:r w:rsidR="006405E6" w:rsidRPr="00961B75">
        <w:t>ribavirin (</w:t>
      </w:r>
      <w:proofErr w:type="spellStart"/>
      <w:r w:rsidR="00B24D94" w:rsidRPr="00961B75">
        <w:t>Viekira</w:t>
      </w:r>
      <w:proofErr w:type="spellEnd"/>
      <w:r w:rsidR="00B24D94" w:rsidRPr="00961B75">
        <w:t xml:space="preserve"> PAK® </w:t>
      </w:r>
      <w:r w:rsidR="006405E6" w:rsidRPr="00961B75">
        <w:t xml:space="preserve">and </w:t>
      </w:r>
      <w:proofErr w:type="spellStart"/>
      <w:r w:rsidR="006405E6" w:rsidRPr="00961B75">
        <w:t>Viekira</w:t>
      </w:r>
      <w:proofErr w:type="spellEnd"/>
      <w:r w:rsidR="006405E6" w:rsidRPr="00961B75">
        <w:t xml:space="preserve"> Pak-RBV®)</w:t>
      </w:r>
      <w:r w:rsidR="006B1423" w:rsidRPr="00961B75">
        <w:t>)</w:t>
      </w:r>
      <w:r w:rsidR="006405E6" w:rsidRPr="00961B75">
        <w:t xml:space="preserve"> </w:t>
      </w:r>
      <w:r w:rsidR="00DA502D" w:rsidRPr="00961B75">
        <w:t>for genotype 1 (GT1) HCV</w:t>
      </w:r>
      <w:r w:rsidR="00961B75">
        <w:t xml:space="preserve">. </w:t>
      </w:r>
      <w:r w:rsidR="00DA502D" w:rsidRPr="00961B75">
        <w:t>It contains the same active ingredients with the exception of dasabuvir, which has no activ</w:t>
      </w:r>
      <w:r w:rsidR="006405E6" w:rsidRPr="00961B75">
        <w:t xml:space="preserve">ity against GT4 HCV. </w:t>
      </w:r>
      <w:proofErr w:type="spellStart"/>
      <w:r w:rsidR="006405E6" w:rsidRPr="00961B75">
        <w:t>Viekira</w:t>
      </w:r>
      <w:proofErr w:type="spellEnd"/>
      <w:r w:rsidR="006405E6" w:rsidRPr="00961B75">
        <w:t xml:space="preserve"> Pak</w:t>
      </w:r>
      <w:r w:rsidR="00DA502D" w:rsidRPr="00961B75">
        <w:t xml:space="preserve">® </w:t>
      </w:r>
      <w:r w:rsidR="006405E6" w:rsidRPr="00961B75">
        <w:t xml:space="preserve">and </w:t>
      </w:r>
      <w:proofErr w:type="spellStart"/>
      <w:r w:rsidR="006405E6" w:rsidRPr="00961B75">
        <w:t>Viekira</w:t>
      </w:r>
      <w:proofErr w:type="spellEnd"/>
      <w:r w:rsidR="006405E6" w:rsidRPr="00961B75">
        <w:t xml:space="preserve"> Pak-RBV® </w:t>
      </w:r>
      <w:r w:rsidR="006B1423" w:rsidRPr="00961B75">
        <w:t xml:space="preserve">were </w:t>
      </w:r>
      <w:r w:rsidR="00DA502D" w:rsidRPr="00961B75">
        <w:t>recommended at the July 2015 PBAC meeting.</w:t>
      </w:r>
    </w:p>
    <w:p w:rsidR="00996358" w:rsidRPr="00961B75" w:rsidRDefault="00996358" w:rsidP="004611DA">
      <w:pPr>
        <w:pStyle w:val="ListParagraph"/>
        <w:widowControl/>
        <w:rPr>
          <w:snapToGrid/>
          <w:szCs w:val="22"/>
        </w:rPr>
      </w:pPr>
    </w:p>
    <w:p w:rsidR="00E55BB5" w:rsidRPr="00961B75" w:rsidRDefault="00996358" w:rsidP="00EF7F25">
      <w:pPr>
        <w:widowControl/>
        <w:numPr>
          <w:ilvl w:val="1"/>
          <w:numId w:val="1"/>
        </w:numPr>
        <w:contextualSpacing/>
      </w:pPr>
      <w:r w:rsidRPr="00961B75">
        <w:rPr>
          <w:snapToGrid/>
          <w:szCs w:val="22"/>
        </w:rPr>
        <w:t>GZ</w:t>
      </w:r>
      <w:r w:rsidR="00664590" w:rsidRPr="00961B75">
        <w:rPr>
          <w:snapToGrid/>
          <w:szCs w:val="22"/>
        </w:rPr>
        <w:t>R</w:t>
      </w:r>
      <w:r w:rsidRPr="00961B75">
        <w:rPr>
          <w:snapToGrid/>
          <w:szCs w:val="22"/>
        </w:rPr>
        <w:t>-EBR</w:t>
      </w:r>
      <w:r w:rsidR="00D641F0">
        <w:rPr>
          <w:snapToGrid/>
          <w:szCs w:val="22"/>
        </w:rPr>
        <w:t xml:space="preserve"> </w:t>
      </w:r>
      <w:r w:rsidRPr="00961B75">
        <w:rPr>
          <w:snapToGrid/>
          <w:szCs w:val="22"/>
        </w:rPr>
        <w:t>±</w:t>
      </w:r>
      <w:r w:rsidR="00D641F0">
        <w:rPr>
          <w:snapToGrid/>
          <w:szCs w:val="22"/>
        </w:rPr>
        <w:t xml:space="preserve"> </w:t>
      </w:r>
      <w:r w:rsidRPr="00961B75">
        <w:rPr>
          <w:snapToGrid/>
          <w:szCs w:val="22"/>
        </w:rPr>
        <w:t>RBV received a positive recommendation for listing at the July 2016</w:t>
      </w:r>
      <w:r w:rsidRPr="00961B75">
        <w:rPr>
          <w:szCs w:val="22"/>
        </w:rPr>
        <w:t xml:space="preserve"> PBAC meeting for the treatment of </w:t>
      </w:r>
      <w:r w:rsidR="00BA3466" w:rsidRPr="00961B75">
        <w:rPr>
          <w:szCs w:val="22"/>
        </w:rPr>
        <w:t>GT4</w:t>
      </w:r>
      <w:r w:rsidRPr="00961B75">
        <w:rPr>
          <w:szCs w:val="22"/>
        </w:rPr>
        <w:t xml:space="preserve">, </w:t>
      </w:r>
      <w:r w:rsidR="00BA3466" w:rsidRPr="00961B75">
        <w:rPr>
          <w:szCs w:val="22"/>
        </w:rPr>
        <w:t>c</w:t>
      </w:r>
      <w:r w:rsidRPr="00961B75">
        <w:rPr>
          <w:szCs w:val="22"/>
        </w:rPr>
        <w:t xml:space="preserve">hronic </w:t>
      </w:r>
      <w:r w:rsidR="00BA3466" w:rsidRPr="00961B75">
        <w:rPr>
          <w:szCs w:val="22"/>
        </w:rPr>
        <w:t>h</w:t>
      </w:r>
      <w:r w:rsidRPr="00961B75">
        <w:rPr>
          <w:szCs w:val="22"/>
        </w:rPr>
        <w:t>epatitis C infection.</w:t>
      </w:r>
      <w:r w:rsidR="00BC1E6C" w:rsidRPr="00961B75">
        <w:rPr>
          <w:szCs w:val="22"/>
        </w:rPr>
        <w:t xml:space="preserve"> </w:t>
      </w:r>
      <w:r w:rsidR="000C3280" w:rsidRPr="00961B75">
        <w:rPr>
          <w:szCs w:val="22"/>
        </w:rPr>
        <w:t xml:space="preserve">At the time of </w:t>
      </w:r>
      <w:r w:rsidR="002A761C" w:rsidRPr="00961B75">
        <w:rPr>
          <w:szCs w:val="22"/>
        </w:rPr>
        <w:t>the November 2016 PBAC meeting,</w:t>
      </w:r>
      <w:r w:rsidR="000C3280" w:rsidRPr="00961B75">
        <w:rPr>
          <w:szCs w:val="22"/>
        </w:rPr>
        <w:t xml:space="preserve"> GZR-EBR</w:t>
      </w:r>
      <w:r w:rsidR="00D641F0">
        <w:rPr>
          <w:szCs w:val="22"/>
        </w:rPr>
        <w:t xml:space="preserve"> </w:t>
      </w:r>
      <w:r w:rsidR="000C3280" w:rsidRPr="00961B75">
        <w:rPr>
          <w:szCs w:val="22"/>
        </w:rPr>
        <w:t>±</w:t>
      </w:r>
      <w:r w:rsidR="00D641F0">
        <w:rPr>
          <w:szCs w:val="22"/>
        </w:rPr>
        <w:t xml:space="preserve"> </w:t>
      </w:r>
      <w:r w:rsidR="000C3280" w:rsidRPr="00961B75">
        <w:rPr>
          <w:szCs w:val="22"/>
        </w:rPr>
        <w:t>RBV w</w:t>
      </w:r>
      <w:r w:rsidR="00D641F0">
        <w:rPr>
          <w:szCs w:val="22"/>
        </w:rPr>
        <w:t>as not PBS listed for this use.</w:t>
      </w:r>
    </w:p>
    <w:p w:rsidR="00BA3466" w:rsidRPr="00961B75" w:rsidRDefault="00BA3466" w:rsidP="004611DA">
      <w:pPr>
        <w:widowControl/>
      </w:pPr>
    </w:p>
    <w:p w:rsidR="00E95062" w:rsidRPr="00961B75" w:rsidRDefault="00E95062" w:rsidP="004611DA">
      <w:pPr>
        <w:widowControl/>
      </w:pPr>
    </w:p>
    <w:p w:rsidR="00B50DB8" w:rsidRPr="00961B75" w:rsidRDefault="00B50DB8" w:rsidP="004611DA">
      <w:pPr>
        <w:pStyle w:val="PBACHeading1"/>
      </w:pPr>
      <w:bookmarkStart w:id="5" w:name="_Toc461551700"/>
      <w:r w:rsidRPr="00961B75">
        <w:t>Clinical place for the proposed therapy</w:t>
      </w:r>
      <w:bookmarkEnd w:id="5"/>
    </w:p>
    <w:p w:rsidR="00027E24" w:rsidRPr="00961B75" w:rsidRDefault="00027E24" w:rsidP="004611DA">
      <w:pPr>
        <w:widowControl/>
        <w:rPr>
          <w:szCs w:val="22"/>
        </w:rPr>
      </w:pPr>
    </w:p>
    <w:p w:rsidR="00027E24" w:rsidRPr="00961B75" w:rsidRDefault="00027E24" w:rsidP="00EF7F25">
      <w:pPr>
        <w:pStyle w:val="ListParagraph"/>
        <w:widowControl/>
        <w:numPr>
          <w:ilvl w:val="1"/>
          <w:numId w:val="1"/>
        </w:numPr>
        <w:rPr>
          <w:szCs w:val="22"/>
        </w:rPr>
      </w:pPr>
      <w:r w:rsidRPr="00961B75">
        <w:rPr>
          <w:szCs w:val="22"/>
        </w:rPr>
        <w:t>Hepatitis C is a blood</w:t>
      </w:r>
      <w:r w:rsidR="00E57995" w:rsidRPr="00961B75">
        <w:rPr>
          <w:szCs w:val="22"/>
        </w:rPr>
        <w:t>-</w:t>
      </w:r>
      <w:r w:rsidRPr="00961B75">
        <w:rPr>
          <w:szCs w:val="22"/>
        </w:rPr>
        <w:t xml:space="preserve">borne inflammatory liver disease caused by the hepatitis C virus (HCV), with approximately 75-80% of people exposed to HCV developing </w:t>
      </w:r>
      <w:r w:rsidR="00BA3466" w:rsidRPr="00961B75">
        <w:rPr>
          <w:szCs w:val="22"/>
        </w:rPr>
        <w:t>c</w:t>
      </w:r>
      <w:r w:rsidRPr="00961B75">
        <w:rPr>
          <w:szCs w:val="22"/>
        </w:rPr>
        <w:t xml:space="preserve">hronic </w:t>
      </w:r>
      <w:r w:rsidR="00BA3466" w:rsidRPr="00961B75">
        <w:rPr>
          <w:szCs w:val="22"/>
        </w:rPr>
        <w:t>h</w:t>
      </w:r>
      <w:r w:rsidRPr="00961B75">
        <w:rPr>
          <w:szCs w:val="22"/>
        </w:rPr>
        <w:t>epatitis C infection which may lead to cirrhosis, liver failure, hepatocellular carcinoma and death</w:t>
      </w:r>
      <w:r w:rsidR="00961B75">
        <w:rPr>
          <w:szCs w:val="22"/>
        </w:rPr>
        <w:t xml:space="preserve">. </w:t>
      </w:r>
      <w:r w:rsidRPr="00961B75">
        <w:rPr>
          <w:szCs w:val="22"/>
        </w:rPr>
        <w:t>In Australia, approximately 230,000 people were estimated to be living with chronic HCV infection in 2014 (Kirby 2015), of which 2% would have genotype 4 (G</w:t>
      </w:r>
      <w:r w:rsidR="009E3E46">
        <w:rPr>
          <w:szCs w:val="22"/>
        </w:rPr>
        <w:t xml:space="preserve">T4) </w:t>
      </w:r>
      <w:proofErr w:type="gramStart"/>
      <w:r w:rsidR="009E3E46">
        <w:rPr>
          <w:szCs w:val="22"/>
        </w:rPr>
        <w:t>infection</w:t>
      </w:r>
      <w:proofErr w:type="gramEnd"/>
      <w:r w:rsidR="009E3E46">
        <w:rPr>
          <w:szCs w:val="22"/>
        </w:rPr>
        <w:t xml:space="preserve"> (</w:t>
      </w:r>
      <w:proofErr w:type="spellStart"/>
      <w:r w:rsidR="009E3E46">
        <w:rPr>
          <w:szCs w:val="22"/>
        </w:rPr>
        <w:t>Bruggmann</w:t>
      </w:r>
      <w:proofErr w:type="spellEnd"/>
      <w:r w:rsidR="009E3E46">
        <w:rPr>
          <w:szCs w:val="22"/>
        </w:rPr>
        <w:t xml:space="preserve"> 2014).</w:t>
      </w:r>
    </w:p>
    <w:p w:rsidR="00996358" w:rsidRPr="00961B75" w:rsidRDefault="00996358" w:rsidP="004611DA">
      <w:pPr>
        <w:pStyle w:val="ListParagraph"/>
        <w:widowControl/>
        <w:rPr>
          <w:szCs w:val="22"/>
        </w:rPr>
      </w:pPr>
    </w:p>
    <w:p w:rsidR="00480EF1" w:rsidRPr="00961B75" w:rsidRDefault="00027E24" w:rsidP="00480EF1">
      <w:pPr>
        <w:pStyle w:val="ListParagraph"/>
        <w:numPr>
          <w:ilvl w:val="1"/>
          <w:numId w:val="1"/>
        </w:numPr>
        <w:rPr>
          <w:szCs w:val="22"/>
        </w:rPr>
      </w:pPr>
      <w:proofErr w:type="spellStart"/>
      <w:r w:rsidRPr="00961B75">
        <w:rPr>
          <w:szCs w:val="22"/>
        </w:rPr>
        <w:t>Technivie</w:t>
      </w:r>
      <w:proofErr w:type="spellEnd"/>
      <w:r w:rsidRPr="00961B75">
        <w:rPr>
          <w:szCs w:val="22"/>
        </w:rPr>
        <w:t xml:space="preserve">® is a </w:t>
      </w:r>
      <w:proofErr w:type="spellStart"/>
      <w:r w:rsidRPr="00961B75">
        <w:rPr>
          <w:szCs w:val="22"/>
        </w:rPr>
        <w:t>peginterfero</w:t>
      </w:r>
      <w:r w:rsidR="00BB102D" w:rsidRPr="00961B75">
        <w:rPr>
          <w:szCs w:val="22"/>
        </w:rPr>
        <w:t>n</w:t>
      </w:r>
      <w:proofErr w:type="spellEnd"/>
      <w:r w:rsidR="00205B1C" w:rsidRPr="00961B75">
        <w:rPr>
          <w:szCs w:val="22"/>
        </w:rPr>
        <w:t>-</w:t>
      </w:r>
      <w:r w:rsidR="00BB102D" w:rsidRPr="00961B75">
        <w:rPr>
          <w:szCs w:val="22"/>
        </w:rPr>
        <w:t>free direct acting antiviral</w:t>
      </w:r>
      <w:r w:rsidR="006405E6" w:rsidRPr="00961B75">
        <w:rPr>
          <w:szCs w:val="22"/>
        </w:rPr>
        <w:t xml:space="preserve"> (DAA)</w:t>
      </w:r>
      <w:r w:rsidR="00961B75">
        <w:rPr>
          <w:szCs w:val="22"/>
        </w:rPr>
        <w:t xml:space="preserve">. </w:t>
      </w:r>
      <w:r w:rsidR="00A80E0D" w:rsidRPr="00961B75">
        <w:rPr>
          <w:szCs w:val="22"/>
        </w:rPr>
        <w:t>Prior to the PBAC July 2016 recommendation for GZR-EBR</w:t>
      </w:r>
      <w:r w:rsidR="00D641F0">
        <w:rPr>
          <w:szCs w:val="22"/>
        </w:rPr>
        <w:t xml:space="preserve"> </w:t>
      </w:r>
      <w:r w:rsidR="00A80E0D" w:rsidRPr="00961B75">
        <w:rPr>
          <w:szCs w:val="22"/>
        </w:rPr>
        <w:t>±</w:t>
      </w:r>
      <w:r w:rsidR="00D641F0">
        <w:rPr>
          <w:szCs w:val="22"/>
        </w:rPr>
        <w:t xml:space="preserve"> </w:t>
      </w:r>
      <w:r w:rsidR="00A80E0D" w:rsidRPr="00961B75">
        <w:rPr>
          <w:szCs w:val="22"/>
        </w:rPr>
        <w:t xml:space="preserve">RBV, sofosbuvir plus </w:t>
      </w:r>
      <w:proofErr w:type="spellStart"/>
      <w:r w:rsidR="00DB52F9" w:rsidRPr="00961B75">
        <w:rPr>
          <w:szCs w:val="22"/>
        </w:rPr>
        <w:t>peginterferon</w:t>
      </w:r>
      <w:proofErr w:type="spellEnd"/>
      <w:r w:rsidR="00D641F0">
        <w:rPr>
          <w:szCs w:val="22"/>
        </w:rPr>
        <w:t xml:space="preserve"> </w:t>
      </w:r>
      <w:r w:rsidR="009E3E46">
        <w:rPr>
          <w:szCs w:val="22"/>
        </w:rPr>
        <w:t>+</w:t>
      </w:r>
      <w:r w:rsidR="00D641F0">
        <w:rPr>
          <w:szCs w:val="22"/>
        </w:rPr>
        <w:t xml:space="preserve"> </w:t>
      </w:r>
      <w:r w:rsidR="00DB52F9" w:rsidRPr="00961B75">
        <w:rPr>
          <w:szCs w:val="22"/>
        </w:rPr>
        <w:t>ribavirin 12 weeks (SOF</w:t>
      </w:r>
      <w:r w:rsidR="00D641F0">
        <w:rPr>
          <w:szCs w:val="22"/>
        </w:rPr>
        <w:t xml:space="preserve"> </w:t>
      </w:r>
      <w:r w:rsidR="00DB52F9" w:rsidRPr="00961B75">
        <w:rPr>
          <w:szCs w:val="22"/>
        </w:rPr>
        <w:t>+</w:t>
      </w:r>
      <w:r w:rsidR="00D641F0">
        <w:rPr>
          <w:szCs w:val="22"/>
        </w:rPr>
        <w:t xml:space="preserve"> </w:t>
      </w:r>
      <w:r w:rsidR="00DB52F9" w:rsidRPr="00961B75">
        <w:rPr>
          <w:szCs w:val="22"/>
        </w:rPr>
        <w:t xml:space="preserve">PR) was </w:t>
      </w:r>
      <w:r w:rsidR="00A80E0D" w:rsidRPr="00961B75">
        <w:rPr>
          <w:szCs w:val="22"/>
        </w:rPr>
        <w:t xml:space="preserve">the only treatment </w:t>
      </w:r>
      <w:r w:rsidR="00996358" w:rsidRPr="00961B75">
        <w:rPr>
          <w:szCs w:val="22"/>
        </w:rPr>
        <w:t>regimen for</w:t>
      </w:r>
      <w:r w:rsidR="00A80E0D" w:rsidRPr="00961B75">
        <w:rPr>
          <w:szCs w:val="22"/>
        </w:rPr>
        <w:t xml:space="preserve"> </w:t>
      </w:r>
      <w:r w:rsidR="00DB52F9" w:rsidRPr="00961B75">
        <w:rPr>
          <w:szCs w:val="22"/>
        </w:rPr>
        <w:t>GT4 CHC</w:t>
      </w:r>
      <w:r w:rsidR="00A80E0D" w:rsidRPr="00961B75">
        <w:rPr>
          <w:szCs w:val="22"/>
        </w:rPr>
        <w:t xml:space="preserve"> </w:t>
      </w:r>
      <w:r w:rsidR="008F1C76" w:rsidRPr="00961B75">
        <w:rPr>
          <w:szCs w:val="22"/>
        </w:rPr>
        <w:t xml:space="preserve">recommended for listing </w:t>
      </w:r>
      <w:r w:rsidR="00A80E0D" w:rsidRPr="00961B75">
        <w:rPr>
          <w:szCs w:val="22"/>
        </w:rPr>
        <w:t xml:space="preserve">on </w:t>
      </w:r>
      <w:r w:rsidR="00996358" w:rsidRPr="00961B75">
        <w:rPr>
          <w:szCs w:val="22"/>
        </w:rPr>
        <w:t xml:space="preserve">the </w:t>
      </w:r>
      <w:r w:rsidR="00A80E0D" w:rsidRPr="00961B75">
        <w:rPr>
          <w:szCs w:val="22"/>
        </w:rPr>
        <w:t>PBS.</w:t>
      </w:r>
      <w:r w:rsidR="00480EF1" w:rsidRPr="00961B75">
        <w:rPr>
          <w:szCs w:val="22"/>
        </w:rPr>
        <w:t xml:space="preserve"> The PBAC noted that GZR-EBR is contraindicated in some patients wh</w:t>
      </w:r>
      <w:r w:rsidR="009E3E46">
        <w:rPr>
          <w:szCs w:val="22"/>
        </w:rPr>
        <w:t xml:space="preserve">o may be able to use </w:t>
      </w:r>
      <w:proofErr w:type="spellStart"/>
      <w:r w:rsidR="009E3E46">
        <w:rPr>
          <w:szCs w:val="22"/>
        </w:rPr>
        <w:t>Technivie</w:t>
      </w:r>
      <w:proofErr w:type="spellEnd"/>
      <w:r w:rsidR="009E3E46">
        <w:rPr>
          <w:szCs w:val="22"/>
        </w:rPr>
        <w:t>®</w:t>
      </w:r>
      <w:r w:rsidR="00D641F0">
        <w:rPr>
          <w:szCs w:val="22"/>
        </w:rPr>
        <w:t xml:space="preserve"> </w:t>
      </w:r>
      <w:r w:rsidR="00480EF1" w:rsidRPr="00961B75">
        <w:rPr>
          <w:szCs w:val="22"/>
        </w:rPr>
        <w:t>+</w:t>
      </w:r>
      <w:r w:rsidR="00D641F0">
        <w:rPr>
          <w:szCs w:val="22"/>
        </w:rPr>
        <w:t xml:space="preserve"> RBV.</w:t>
      </w:r>
    </w:p>
    <w:p w:rsidR="006F1EA7" w:rsidRPr="00961B75" w:rsidRDefault="006F1EA7" w:rsidP="006F1EA7">
      <w:pPr>
        <w:pStyle w:val="ListParagraph"/>
        <w:rPr>
          <w:szCs w:val="22"/>
        </w:rPr>
      </w:pPr>
    </w:p>
    <w:p w:rsidR="00E95062" w:rsidRPr="00961B75" w:rsidRDefault="00E95062" w:rsidP="00E95062">
      <w:pPr>
        <w:pStyle w:val="ListParagraph"/>
        <w:ind w:left="709"/>
        <w:rPr>
          <w:i/>
          <w:szCs w:val="22"/>
        </w:rPr>
      </w:pPr>
      <w:r w:rsidRPr="00961B75">
        <w:rPr>
          <w:i/>
          <w:szCs w:val="22"/>
        </w:rPr>
        <w:t>For more detail on PBAC’s view, see section 7 “PBAC outcome”</w:t>
      </w:r>
    </w:p>
    <w:p w:rsidR="00E95062" w:rsidRPr="00961B75" w:rsidRDefault="00E95062" w:rsidP="006F1EA7">
      <w:pPr>
        <w:pStyle w:val="ListParagraph"/>
        <w:rPr>
          <w:szCs w:val="22"/>
        </w:rPr>
      </w:pPr>
    </w:p>
    <w:p w:rsidR="006F1EA7" w:rsidRPr="00961B75" w:rsidRDefault="006F1EA7" w:rsidP="006F1EA7"/>
    <w:p w:rsidR="00B50DB8" w:rsidRPr="00961B75" w:rsidRDefault="00B50DB8" w:rsidP="004611DA">
      <w:pPr>
        <w:pStyle w:val="PBACHeading1"/>
      </w:pPr>
      <w:bookmarkStart w:id="6" w:name="_Toc461551701"/>
      <w:r w:rsidRPr="00961B75">
        <w:t>Comparator</w:t>
      </w:r>
      <w:bookmarkEnd w:id="6"/>
    </w:p>
    <w:p w:rsidR="00B60939" w:rsidRPr="00961B75" w:rsidRDefault="00B60939" w:rsidP="004611DA">
      <w:pPr>
        <w:widowControl/>
      </w:pPr>
    </w:p>
    <w:p w:rsidR="00B60939" w:rsidRPr="00961B75" w:rsidRDefault="00452A6A" w:rsidP="00EF7F25">
      <w:pPr>
        <w:pStyle w:val="ListParagraph"/>
        <w:widowControl/>
        <w:numPr>
          <w:ilvl w:val="1"/>
          <w:numId w:val="1"/>
        </w:numPr>
        <w:rPr>
          <w:szCs w:val="22"/>
        </w:rPr>
      </w:pPr>
      <w:r w:rsidRPr="00961B75">
        <w:t>The nominated m</w:t>
      </w:r>
      <w:r w:rsidR="00DB52F9" w:rsidRPr="00961B75">
        <w:t xml:space="preserve">ain </w:t>
      </w:r>
      <w:r w:rsidRPr="00961B75">
        <w:t>comparator was</w:t>
      </w:r>
      <w:r w:rsidR="00F714D1" w:rsidRPr="00961B75">
        <w:t xml:space="preserve"> initially</w:t>
      </w:r>
      <w:r w:rsidR="00DB52F9" w:rsidRPr="00961B75">
        <w:t xml:space="preserve"> </w:t>
      </w:r>
      <w:r w:rsidR="001B0E5F" w:rsidRPr="00961B75">
        <w:t>‘</w:t>
      </w:r>
      <w:r w:rsidR="00DB52F9" w:rsidRPr="00961B75">
        <w:t>no treatment</w:t>
      </w:r>
      <w:r w:rsidR="001B0E5F" w:rsidRPr="00961B75">
        <w:t>’</w:t>
      </w:r>
      <w:r w:rsidR="00961B75">
        <w:t xml:space="preserve">. </w:t>
      </w:r>
      <w:r w:rsidR="00DB52F9" w:rsidRPr="00961B75">
        <w:t>Supportive comparators</w:t>
      </w:r>
      <w:r w:rsidRPr="00961B75">
        <w:t xml:space="preserve"> were</w:t>
      </w:r>
      <w:r w:rsidR="00DB52F9" w:rsidRPr="00961B75">
        <w:t xml:space="preserve"> </w:t>
      </w:r>
      <w:r w:rsidRPr="00961B75">
        <w:t>GZR-EBR</w:t>
      </w:r>
      <w:r w:rsidR="00D641F0">
        <w:t xml:space="preserve"> </w:t>
      </w:r>
      <w:r w:rsidR="00DB52F9" w:rsidRPr="00961B75">
        <w:t>±</w:t>
      </w:r>
      <w:r w:rsidR="00D641F0">
        <w:t xml:space="preserve"> </w:t>
      </w:r>
      <w:r w:rsidRPr="00961B75">
        <w:t xml:space="preserve">RBV </w:t>
      </w:r>
      <w:r w:rsidR="00DB52F9" w:rsidRPr="00961B75">
        <w:t>and SOF</w:t>
      </w:r>
      <w:r w:rsidR="00D641F0">
        <w:t xml:space="preserve"> </w:t>
      </w:r>
      <w:r w:rsidR="00C6118B" w:rsidRPr="00961B75">
        <w:t>+</w:t>
      </w:r>
      <w:r w:rsidR="00D641F0">
        <w:t xml:space="preserve"> </w:t>
      </w:r>
      <w:r w:rsidR="00DB52F9" w:rsidRPr="00961B75">
        <w:t>PR.</w:t>
      </w:r>
      <w:r w:rsidR="00961B75">
        <w:rPr>
          <w:iCs/>
        </w:rPr>
        <w:t xml:space="preserve"> </w:t>
      </w:r>
      <w:r w:rsidRPr="00961B75">
        <w:t>C</w:t>
      </w:r>
      <w:r w:rsidR="00A80E0D" w:rsidRPr="00961B75">
        <w:t>linical comparison</w:t>
      </w:r>
      <w:r w:rsidRPr="00961B75">
        <w:t>s</w:t>
      </w:r>
      <w:r w:rsidR="00A80E0D" w:rsidRPr="00961B75">
        <w:t xml:space="preserve"> </w:t>
      </w:r>
      <w:r w:rsidRPr="00961B75">
        <w:t>were presented against</w:t>
      </w:r>
      <w:r w:rsidR="00A80E0D" w:rsidRPr="00961B75">
        <w:t xml:space="preserve"> </w:t>
      </w:r>
      <w:r w:rsidRPr="00961B75">
        <w:t>both supportive comparators</w:t>
      </w:r>
      <w:r w:rsidR="00A80E0D" w:rsidRPr="00961B75">
        <w:t>,</w:t>
      </w:r>
      <w:r w:rsidRPr="00961B75">
        <w:t xml:space="preserve"> plus a modelled economic evaluation versus </w:t>
      </w:r>
      <w:r w:rsidR="001B0E5F" w:rsidRPr="00961B75">
        <w:t>‘</w:t>
      </w:r>
      <w:r w:rsidRPr="00961B75">
        <w:t>no treatment</w:t>
      </w:r>
      <w:r w:rsidR="001B0E5F" w:rsidRPr="00961B75">
        <w:t>’</w:t>
      </w:r>
      <w:r w:rsidRPr="00961B75">
        <w:t xml:space="preserve">, assuming zero </w:t>
      </w:r>
      <w:r w:rsidR="009A7177" w:rsidRPr="00961B75">
        <w:t xml:space="preserve">sustained </w:t>
      </w:r>
      <w:r w:rsidRPr="00961B75">
        <w:t>virologic response (SVR) for those not receiving treatment.</w:t>
      </w:r>
    </w:p>
    <w:p w:rsidR="00147C9A" w:rsidRPr="00961B75" w:rsidRDefault="00147C9A" w:rsidP="00147C9A">
      <w:pPr>
        <w:pStyle w:val="ListParagraph"/>
        <w:widowControl/>
        <w:rPr>
          <w:szCs w:val="22"/>
        </w:rPr>
      </w:pPr>
    </w:p>
    <w:p w:rsidR="00147C9A" w:rsidRPr="00961B75" w:rsidRDefault="00147C9A" w:rsidP="00EF7F25">
      <w:pPr>
        <w:pStyle w:val="ListParagraph"/>
        <w:widowControl/>
        <w:numPr>
          <w:ilvl w:val="1"/>
          <w:numId w:val="1"/>
        </w:numPr>
        <w:rPr>
          <w:szCs w:val="22"/>
        </w:rPr>
      </w:pPr>
      <w:r w:rsidRPr="00961B75">
        <w:rPr>
          <w:szCs w:val="22"/>
        </w:rPr>
        <w:t>The PBAC considered that GZR-EBR</w:t>
      </w:r>
      <w:r w:rsidR="00D641F0">
        <w:rPr>
          <w:szCs w:val="22"/>
        </w:rPr>
        <w:t xml:space="preserve"> </w:t>
      </w:r>
      <w:r w:rsidRPr="00961B75">
        <w:t>±</w:t>
      </w:r>
      <w:r w:rsidR="00D641F0">
        <w:t xml:space="preserve"> </w:t>
      </w:r>
      <w:r w:rsidRPr="00961B75">
        <w:t>RBV was the most appropriate comparator on the basis that</w:t>
      </w:r>
      <w:r w:rsidR="00292AB0" w:rsidRPr="00961B75">
        <w:t xml:space="preserve"> it is the therapy most likely to be replaced in clinical practice.</w:t>
      </w:r>
    </w:p>
    <w:p w:rsidR="00DB52F9" w:rsidRPr="00961B75" w:rsidRDefault="00DB52F9" w:rsidP="004611DA">
      <w:pPr>
        <w:pStyle w:val="ListParagraph"/>
        <w:widowControl/>
        <w:rPr>
          <w:szCs w:val="22"/>
        </w:rPr>
      </w:pPr>
    </w:p>
    <w:p w:rsidR="00E95062" w:rsidRPr="00961B75" w:rsidRDefault="00E95062" w:rsidP="00E95062">
      <w:pPr>
        <w:pStyle w:val="ListParagraph"/>
        <w:ind w:left="709"/>
        <w:rPr>
          <w:i/>
          <w:szCs w:val="22"/>
        </w:rPr>
      </w:pPr>
      <w:r w:rsidRPr="00961B75">
        <w:rPr>
          <w:i/>
          <w:szCs w:val="22"/>
        </w:rPr>
        <w:t>For more detail on PBAC’s view, see section 7 “PBAC outcome”</w:t>
      </w:r>
    </w:p>
    <w:p w:rsidR="00571EA4" w:rsidRPr="00961B75" w:rsidRDefault="00571EA4" w:rsidP="004611DA">
      <w:pPr>
        <w:pStyle w:val="ListParagraph"/>
        <w:widowControl/>
        <w:rPr>
          <w:szCs w:val="22"/>
        </w:rPr>
      </w:pPr>
    </w:p>
    <w:p w:rsidR="00E95062" w:rsidRPr="00961B75" w:rsidRDefault="00E95062" w:rsidP="004611DA">
      <w:pPr>
        <w:pStyle w:val="ListParagraph"/>
        <w:widowControl/>
        <w:rPr>
          <w:szCs w:val="22"/>
        </w:rPr>
      </w:pPr>
    </w:p>
    <w:p w:rsidR="00B50DB8" w:rsidRPr="00961B75" w:rsidRDefault="00BD6CF3" w:rsidP="004611DA">
      <w:pPr>
        <w:pStyle w:val="PBACHeading1"/>
      </w:pPr>
      <w:bookmarkStart w:id="7" w:name="_Toc461551702"/>
      <w:r w:rsidRPr="00961B75">
        <w:t>C</w:t>
      </w:r>
      <w:r w:rsidR="00B50DB8" w:rsidRPr="00961B75">
        <w:t>onsideration of the evidence</w:t>
      </w:r>
      <w:bookmarkEnd w:id="7"/>
    </w:p>
    <w:p w:rsidR="00E95062" w:rsidRPr="00961B75" w:rsidRDefault="00E95062" w:rsidP="00B315CE"/>
    <w:p w:rsidR="00E95062" w:rsidRPr="00961B75" w:rsidRDefault="00E95062" w:rsidP="0038364D">
      <w:pPr>
        <w:pStyle w:val="Heading2"/>
        <w:rPr>
          <w:i/>
        </w:rPr>
      </w:pPr>
      <w:r w:rsidRPr="00961B75">
        <w:rPr>
          <w:i/>
        </w:rPr>
        <w:t>Sponsor hearing</w:t>
      </w:r>
    </w:p>
    <w:p w:rsidR="0038364D" w:rsidRPr="00961B75" w:rsidRDefault="0038364D" w:rsidP="0038364D"/>
    <w:p w:rsidR="00E95062" w:rsidRPr="00961B75" w:rsidRDefault="00E95062" w:rsidP="00EF7F25">
      <w:pPr>
        <w:numPr>
          <w:ilvl w:val="1"/>
          <w:numId w:val="1"/>
        </w:numPr>
        <w:contextualSpacing/>
        <w:rPr>
          <w:bCs/>
          <w:szCs w:val="22"/>
        </w:rPr>
      </w:pPr>
      <w:r w:rsidRPr="00961B75">
        <w:rPr>
          <w:bCs/>
          <w:szCs w:val="22"/>
        </w:rPr>
        <w:t>There was no hearing for this item.</w:t>
      </w:r>
    </w:p>
    <w:p w:rsidR="00F928CD" w:rsidRPr="00961B75" w:rsidRDefault="00F928CD" w:rsidP="00F928CD">
      <w:pPr>
        <w:ind w:left="720"/>
        <w:contextualSpacing/>
        <w:rPr>
          <w:bCs/>
          <w:szCs w:val="22"/>
        </w:rPr>
      </w:pPr>
    </w:p>
    <w:p w:rsidR="00E95062" w:rsidRPr="00961B75" w:rsidRDefault="00E95062" w:rsidP="0038364D">
      <w:pPr>
        <w:pStyle w:val="Heading2"/>
        <w:rPr>
          <w:i/>
        </w:rPr>
      </w:pPr>
      <w:r w:rsidRPr="00961B75">
        <w:rPr>
          <w:i/>
        </w:rPr>
        <w:lastRenderedPageBreak/>
        <w:t>Consumer comments</w:t>
      </w:r>
    </w:p>
    <w:p w:rsidR="0038364D" w:rsidRPr="00961B75" w:rsidRDefault="0038364D" w:rsidP="0038364D">
      <w:pPr>
        <w:rPr>
          <w:highlight w:val="yellow"/>
        </w:rPr>
      </w:pPr>
    </w:p>
    <w:p w:rsidR="00313A9C" w:rsidRPr="00961B75" w:rsidRDefault="00313A9C" w:rsidP="00313A9C">
      <w:pPr>
        <w:numPr>
          <w:ilvl w:val="1"/>
          <w:numId w:val="1"/>
        </w:numPr>
        <w:contextualSpacing/>
        <w:rPr>
          <w:bCs/>
          <w:szCs w:val="22"/>
        </w:rPr>
      </w:pPr>
      <w:r w:rsidRPr="00961B75">
        <w:rPr>
          <w:bCs/>
          <w:szCs w:val="22"/>
        </w:rPr>
        <w:t>The PBAC noted and welcomed the input from individuals (3) and organisations (10) via the Consumer Comments facility on the PBS website</w:t>
      </w:r>
      <w:r w:rsidR="00961B75">
        <w:rPr>
          <w:bCs/>
          <w:szCs w:val="22"/>
        </w:rPr>
        <w:t xml:space="preserve">. </w:t>
      </w:r>
      <w:r w:rsidRPr="00961B75">
        <w:rPr>
          <w:bCs/>
          <w:szCs w:val="22"/>
        </w:rPr>
        <w:t>The comments described how this [class of] drug will improve cure rates, reduce treatment duration and offer simpler administration with fewer side effects. The comments also noted that increased treatment of hepatitis C infection will reduce the risk of transmission within the community.</w:t>
      </w:r>
    </w:p>
    <w:p w:rsidR="00313A9C" w:rsidRPr="00961B75" w:rsidRDefault="00313A9C" w:rsidP="00313A9C">
      <w:pPr>
        <w:contextualSpacing/>
        <w:rPr>
          <w:bCs/>
          <w:szCs w:val="22"/>
        </w:rPr>
      </w:pPr>
    </w:p>
    <w:p w:rsidR="00313A9C" w:rsidRPr="00961B75" w:rsidRDefault="00313A9C" w:rsidP="00313A9C">
      <w:pPr>
        <w:numPr>
          <w:ilvl w:val="1"/>
          <w:numId w:val="1"/>
        </w:numPr>
        <w:contextualSpacing/>
        <w:rPr>
          <w:bCs/>
          <w:szCs w:val="22"/>
        </w:rPr>
      </w:pPr>
      <w:r w:rsidRPr="00961B75">
        <w:rPr>
          <w:bCs/>
          <w:szCs w:val="22"/>
        </w:rPr>
        <w:t>The PBAC noted the advice received from the following organisations with regards to the three submissions for chronic hepatitis C treatment made to the PBAC at this meeting  [this submiss</w:t>
      </w:r>
      <w:r w:rsidR="00D641F0">
        <w:rPr>
          <w:bCs/>
          <w:szCs w:val="22"/>
        </w:rPr>
        <w:t xml:space="preserve">ion and items 5.14 sofosbuvir + </w:t>
      </w:r>
      <w:proofErr w:type="spellStart"/>
      <w:r w:rsidRPr="00961B75">
        <w:rPr>
          <w:bCs/>
          <w:szCs w:val="22"/>
        </w:rPr>
        <w:t>velpatasvir</w:t>
      </w:r>
      <w:proofErr w:type="spellEnd"/>
      <w:r w:rsidRPr="00961B75">
        <w:rPr>
          <w:bCs/>
          <w:szCs w:val="22"/>
        </w:rPr>
        <w:t xml:space="preserve"> and 6.03 ledipasvir + sofosbuvir]:</w:t>
      </w:r>
    </w:p>
    <w:p w:rsidR="00313A9C" w:rsidRPr="00961B75" w:rsidRDefault="00313A9C" w:rsidP="00313A9C">
      <w:pPr>
        <w:pStyle w:val="ListParagraph"/>
        <w:numPr>
          <w:ilvl w:val="0"/>
          <w:numId w:val="15"/>
        </w:numPr>
        <w:ind w:left="993" w:hanging="284"/>
      </w:pPr>
      <w:r w:rsidRPr="00961B75">
        <w:t>Hepatitis Australia</w:t>
      </w:r>
    </w:p>
    <w:p w:rsidR="00313A9C" w:rsidRPr="00961B75" w:rsidRDefault="00313A9C" w:rsidP="00313A9C">
      <w:pPr>
        <w:pStyle w:val="ListParagraph"/>
        <w:numPr>
          <w:ilvl w:val="0"/>
          <w:numId w:val="15"/>
        </w:numPr>
        <w:ind w:left="993" w:hanging="284"/>
      </w:pPr>
      <w:r w:rsidRPr="00961B75">
        <w:t>Haemophilia Foundation Australia</w:t>
      </w:r>
    </w:p>
    <w:p w:rsidR="00313A9C" w:rsidRPr="00961B75" w:rsidRDefault="00313A9C" w:rsidP="00313A9C">
      <w:pPr>
        <w:pStyle w:val="ListParagraph"/>
        <w:numPr>
          <w:ilvl w:val="0"/>
          <w:numId w:val="15"/>
        </w:numPr>
        <w:ind w:left="993" w:hanging="284"/>
      </w:pPr>
      <w:r w:rsidRPr="00961B75">
        <w:t>Hepatitis NSW</w:t>
      </w:r>
    </w:p>
    <w:p w:rsidR="00313A9C" w:rsidRPr="00961B75" w:rsidRDefault="00313A9C" w:rsidP="00313A9C">
      <w:pPr>
        <w:pStyle w:val="ListParagraph"/>
        <w:numPr>
          <w:ilvl w:val="0"/>
          <w:numId w:val="15"/>
        </w:numPr>
        <w:ind w:left="993" w:hanging="284"/>
      </w:pPr>
      <w:r w:rsidRPr="00961B75">
        <w:t>ACON</w:t>
      </w:r>
    </w:p>
    <w:p w:rsidR="00313A9C" w:rsidRPr="00961B75" w:rsidRDefault="00313A9C" w:rsidP="00313A9C">
      <w:pPr>
        <w:pStyle w:val="ListParagraph"/>
        <w:numPr>
          <w:ilvl w:val="0"/>
          <w:numId w:val="15"/>
        </w:numPr>
        <w:ind w:left="993" w:hanging="284"/>
      </w:pPr>
      <w:r w:rsidRPr="00961B75">
        <w:t>The Haymarket Foundation</w:t>
      </w:r>
    </w:p>
    <w:p w:rsidR="00313A9C" w:rsidRPr="00961B75" w:rsidRDefault="00313A9C" w:rsidP="00313A9C">
      <w:pPr>
        <w:pStyle w:val="ListParagraph"/>
        <w:numPr>
          <w:ilvl w:val="0"/>
          <w:numId w:val="15"/>
        </w:numPr>
        <w:ind w:left="993" w:hanging="284"/>
      </w:pPr>
      <w:r w:rsidRPr="00961B75">
        <w:t>Hepatitis ACT</w:t>
      </w:r>
    </w:p>
    <w:p w:rsidR="00313A9C" w:rsidRPr="00961B75" w:rsidRDefault="00313A9C" w:rsidP="00313A9C">
      <w:pPr>
        <w:pStyle w:val="ListParagraph"/>
        <w:numPr>
          <w:ilvl w:val="0"/>
          <w:numId w:val="15"/>
        </w:numPr>
        <w:ind w:left="993" w:hanging="284"/>
      </w:pPr>
      <w:r w:rsidRPr="00961B75">
        <w:t>Network of Alcohol and Other Drugs Agencies</w:t>
      </w:r>
    </w:p>
    <w:p w:rsidR="00313A9C" w:rsidRPr="00961B75" w:rsidRDefault="00313A9C" w:rsidP="00313A9C">
      <w:pPr>
        <w:pStyle w:val="ListParagraph"/>
        <w:numPr>
          <w:ilvl w:val="0"/>
          <w:numId w:val="15"/>
        </w:numPr>
        <w:ind w:left="993" w:hanging="284"/>
      </w:pPr>
      <w:r w:rsidRPr="00961B75">
        <w:t>Sex Workers Outreach Project</w:t>
      </w:r>
    </w:p>
    <w:p w:rsidR="00313A9C" w:rsidRPr="00961B75" w:rsidRDefault="00313A9C" w:rsidP="00313A9C">
      <w:pPr>
        <w:pStyle w:val="ListParagraph"/>
        <w:numPr>
          <w:ilvl w:val="0"/>
          <w:numId w:val="15"/>
        </w:numPr>
        <w:ind w:left="993" w:hanging="284"/>
      </w:pPr>
      <w:r w:rsidRPr="00961B75">
        <w:t>St Vincent de Paul Society NSW</w:t>
      </w:r>
    </w:p>
    <w:p w:rsidR="00313A9C" w:rsidRPr="00961B75" w:rsidRDefault="00313A9C" w:rsidP="00313A9C">
      <w:pPr>
        <w:pStyle w:val="ListParagraph"/>
        <w:numPr>
          <w:ilvl w:val="0"/>
          <w:numId w:val="15"/>
        </w:numPr>
        <w:ind w:left="993" w:hanging="284"/>
      </w:pPr>
      <w:r w:rsidRPr="00961B75">
        <w:t>We Help Ourselves</w:t>
      </w:r>
    </w:p>
    <w:p w:rsidR="00313A9C" w:rsidRPr="00961B75" w:rsidRDefault="00313A9C" w:rsidP="00313A9C">
      <w:pPr>
        <w:ind w:left="510"/>
      </w:pPr>
      <w:r w:rsidRPr="00961B75">
        <w:rPr>
          <w:bCs/>
          <w:szCs w:val="22"/>
        </w:rPr>
        <w:t>The PBAC noted the view shared amongst most organisations that these new</w:t>
      </w:r>
      <w:r w:rsidRPr="00961B75">
        <w:t xml:space="preserve"> treatments will help ensure as many GPs as possible are able to prescribe the new direct acting antivirals, that all people living with hepatitis C have access to interferon-free treatment, and that there are multiple treatment options for each hep</w:t>
      </w:r>
      <w:r w:rsidR="00D641F0">
        <w:t>atitis</w:t>
      </w:r>
      <w:r w:rsidRPr="00961B75">
        <w:t xml:space="preserve"> C genotype. The PBAC also noted the advice that there are certain populations living with both HCV and other health conditions, and that successful treatment of HCV would greatly reduce the complexity of the healthcare needs of these groups.</w:t>
      </w:r>
    </w:p>
    <w:p w:rsidR="00E95062" w:rsidRPr="00961B75" w:rsidRDefault="00E95062" w:rsidP="00E95062">
      <w:pPr>
        <w:rPr>
          <w:bCs/>
          <w:szCs w:val="22"/>
          <w:highlight w:val="yellow"/>
        </w:rPr>
      </w:pPr>
    </w:p>
    <w:p w:rsidR="00B60939" w:rsidRPr="00961B75" w:rsidRDefault="00B60939" w:rsidP="004611DA">
      <w:pPr>
        <w:pStyle w:val="Heading2"/>
        <w:widowControl/>
        <w:rPr>
          <w:i/>
        </w:rPr>
      </w:pPr>
      <w:bookmarkStart w:id="8" w:name="_Toc461551703"/>
      <w:r w:rsidRPr="00961B75">
        <w:rPr>
          <w:i/>
        </w:rPr>
        <w:t>Clinical trials</w:t>
      </w:r>
      <w:bookmarkEnd w:id="8"/>
    </w:p>
    <w:p w:rsidR="00B315CE" w:rsidRPr="00961B75" w:rsidRDefault="00B315CE" w:rsidP="00B315CE"/>
    <w:p w:rsidR="00452A6A" w:rsidRPr="00961B75" w:rsidRDefault="00452A6A" w:rsidP="00EF7F25">
      <w:pPr>
        <w:pStyle w:val="ListParagraph"/>
        <w:widowControl/>
        <w:numPr>
          <w:ilvl w:val="1"/>
          <w:numId w:val="1"/>
        </w:numPr>
      </w:pPr>
      <w:r w:rsidRPr="00961B75">
        <w:t xml:space="preserve">No head to head trials comparing </w:t>
      </w:r>
      <w:proofErr w:type="spellStart"/>
      <w:r w:rsidRPr="00961B75">
        <w:t>Technivie</w:t>
      </w:r>
      <w:proofErr w:type="spellEnd"/>
      <w:r w:rsidRPr="00961B75">
        <w:t>® versus any of the nominated comparators were identified</w:t>
      </w:r>
      <w:r w:rsidR="00961B75">
        <w:t xml:space="preserve">. </w:t>
      </w:r>
      <w:r w:rsidRPr="00961B75">
        <w:t xml:space="preserve">The submission was based on: </w:t>
      </w:r>
    </w:p>
    <w:p w:rsidR="00452A6A" w:rsidRPr="00961B75" w:rsidRDefault="00452A6A" w:rsidP="00EF7F25">
      <w:pPr>
        <w:pStyle w:val="ListParagraph"/>
        <w:widowControl/>
        <w:numPr>
          <w:ilvl w:val="0"/>
          <w:numId w:val="2"/>
        </w:numPr>
        <w:ind w:left="1134"/>
      </w:pPr>
      <w:r w:rsidRPr="00961B75">
        <w:t xml:space="preserve">three </w:t>
      </w:r>
      <w:proofErr w:type="spellStart"/>
      <w:r w:rsidRPr="00961B75">
        <w:t>Technivie</w:t>
      </w:r>
      <w:proofErr w:type="spellEnd"/>
      <w:r w:rsidRPr="00961B75">
        <w:t xml:space="preserve">® trials (PEARL I, AGATE I and AGATE II); </w:t>
      </w:r>
    </w:p>
    <w:p w:rsidR="00452A6A" w:rsidRPr="00961B75" w:rsidRDefault="00BC1E6C" w:rsidP="00EF7F25">
      <w:pPr>
        <w:pStyle w:val="ListParagraph"/>
        <w:widowControl/>
        <w:numPr>
          <w:ilvl w:val="0"/>
          <w:numId w:val="2"/>
        </w:numPr>
        <w:ind w:left="1134"/>
      </w:pPr>
      <w:r w:rsidRPr="00961B75">
        <w:t>four</w:t>
      </w:r>
      <w:r w:rsidR="00452A6A" w:rsidRPr="00961B75">
        <w:t xml:space="preserve"> GZR-EBR studies (C-EDGE TN, C-EDGE COINFECTION, C-SCAPE and C-EDGE TE);</w:t>
      </w:r>
      <w:r w:rsidR="00743C98" w:rsidRPr="00961B75">
        <w:t xml:space="preserve"> </w:t>
      </w:r>
      <w:r w:rsidR="00743C98" w:rsidRPr="00961B75">
        <w:rPr>
          <w:iCs/>
        </w:rPr>
        <w:t>the results for</w:t>
      </w:r>
      <w:r w:rsidRPr="00961B75">
        <w:rPr>
          <w:iCs/>
        </w:rPr>
        <w:t xml:space="preserve"> an additional study (</w:t>
      </w:r>
      <w:r w:rsidR="00743C98" w:rsidRPr="00961B75">
        <w:rPr>
          <w:iCs/>
        </w:rPr>
        <w:t>C-EDGE CO-STAR</w:t>
      </w:r>
      <w:r w:rsidRPr="00961B75">
        <w:rPr>
          <w:iCs/>
        </w:rPr>
        <w:t>)</w:t>
      </w:r>
      <w:r w:rsidR="00743C98" w:rsidRPr="00961B75">
        <w:rPr>
          <w:iCs/>
        </w:rPr>
        <w:t xml:space="preserve"> identified during the evaluation</w:t>
      </w:r>
      <w:r w:rsidR="007F32C7" w:rsidRPr="00961B75">
        <w:rPr>
          <w:iCs/>
        </w:rPr>
        <w:t xml:space="preserve"> were incorporated into the Commentary;</w:t>
      </w:r>
      <w:r w:rsidR="00452A6A" w:rsidRPr="00961B75">
        <w:t xml:space="preserve"> and </w:t>
      </w:r>
    </w:p>
    <w:p w:rsidR="00452A6A" w:rsidRPr="00961B75" w:rsidRDefault="00452A6A" w:rsidP="00EF7F25">
      <w:pPr>
        <w:pStyle w:val="ListParagraph"/>
        <w:widowControl/>
        <w:numPr>
          <w:ilvl w:val="0"/>
          <w:numId w:val="2"/>
        </w:numPr>
        <w:ind w:left="1134"/>
      </w:pPr>
      <w:proofErr w:type="gramStart"/>
      <w:r w:rsidRPr="00961B75">
        <w:t>one</w:t>
      </w:r>
      <w:proofErr w:type="gramEnd"/>
      <w:r w:rsidRPr="00961B75">
        <w:t xml:space="preserve"> SOF</w:t>
      </w:r>
      <w:r w:rsidR="00617DAB">
        <w:t xml:space="preserve"> </w:t>
      </w:r>
      <w:r w:rsidRPr="00961B75">
        <w:t>+</w:t>
      </w:r>
      <w:r w:rsidR="00617DAB">
        <w:t xml:space="preserve"> </w:t>
      </w:r>
      <w:r w:rsidRPr="00961B75">
        <w:t xml:space="preserve">RBV </w:t>
      </w:r>
      <w:r w:rsidR="00571EA4" w:rsidRPr="00961B75">
        <w:t xml:space="preserve">study </w:t>
      </w:r>
      <w:r w:rsidRPr="00961B75">
        <w:t xml:space="preserve">(NEUTRINO); </w:t>
      </w:r>
      <w:proofErr w:type="spellStart"/>
      <w:r w:rsidRPr="00961B75">
        <w:rPr>
          <w:iCs/>
        </w:rPr>
        <w:t>Wehmeyer</w:t>
      </w:r>
      <w:proofErr w:type="spellEnd"/>
      <w:r w:rsidRPr="00961B75">
        <w:rPr>
          <w:iCs/>
        </w:rPr>
        <w:t xml:space="preserve"> (2015), identified during the evaluation, was also included in the Commentary.</w:t>
      </w:r>
    </w:p>
    <w:p w:rsidR="00240256" w:rsidRPr="00961B75" w:rsidRDefault="00240256" w:rsidP="004611DA">
      <w:pPr>
        <w:pStyle w:val="ListParagraph"/>
        <w:widowControl/>
        <w:ind w:left="1134"/>
      </w:pPr>
    </w:p>
    <w:p w:rsidR="00240256" w:rsidRPr="00961B75" w:rsidRDefault="00240256" w:rsidP="00EF7F25">
      <w:pPr>
        <w:pStyle w:val="ListParagraph"/>
        <w:widowControl/>
        <w:numPr>
          <w:ilvl w:val="1"/>
          <w:numId w:val="1"/>
        </w:numPr>
        <w:rPr>
          <w:bCs/>
          <w:szCs w:val="22"/>
        </w:rPr>
      </w:pPr>
      <w:r w:rsidRPr="00961B75">
        <w:rPr>
          <w:szCs w:val="22"/>
        </w:rPr>
        <w:t>Details of the studies included in the submission are presented in Table 1</w:t>
      </w:r>
      <w:r w:rsidR="00961B75">
        <w:rPr>
          <w:szCs w:val="22"/>
        </w:rPr>
        <w:t xml:space="preserve">. </w:t>
      </w:r>
      <w:r w:rsidR="00601795" w:rsidRPr="00961B75">
        <w:rPr>
          <w:szCs w:val="22"/>
        </w:rPr>
        <w:t>All studies were treated as non-comparative single arm studies with respect to the estimation of sustained virological response.</w:t>
      </w:r>
    </w:p>
    <w:p w:rsidR="00240256" w:rsidRPr="00961B75" w:rsidRDefault="00240256" w:rsidP="004611DA">
      <w:pPr>
        <w:pStyle w:val="ListParagraph"/>
        <w:widowControl/>
        <w:jc w:val="left"/>
        <w:rPr>
          <w:rStyle w:val="CommentReference"/>
          <w:rFonts w:ascii="Arial" w:hAnsi="Arial"/>
          <w:b w:val="0"/>
          <w:bCs/>
          <w:sz w:val="22"/>
          <w:szCs w:val="22"/>
        </w:rPr>
      </w:pPr>
    </w:p>
    <w:p w:rsidR="00F61419" w:rsidRDefault="00F61419">
      <w:pPr>
        <w:widowControl/>
        <w:jc w:val="left"/>
        <w:rPr>
          <w:rStyle w:val="CommentReference"/>
        </w:rPr>
      </w:pPr>
      <w:r>
        <w:rPr>
          <w:rStyle w:val="CommentReference"/>
        </w:rPr>
        <w:br w:type="page"/>
      </w:r>
    </w:p>
    <w:p w:rsidR="00195904" w:rsidRPr="00961B75" w:rsidRDefault="00195904" w:rsidP="004611DA">
      <w:pPr>
        <w:widowControl/>
        <w:ind w:left="709"/>
        <w:rPr>
          <w:rStyle w:val="CommentReference"/>
        </w:rPr>
      </w:pPr>
      <w:r w:rsidRPr="00961B75">
        <w:rPr>
          <w:rStyle w:val="CommentReference"/>
        </w:rPr>
        <w:t>Table 1: Studies and associated reports presented in the submission</w:t>
      </w:r>
      <w:r w:rsidR="007F32C7" w:rsidRPr="00961B75">
        <w:rPr>
          <w:rStyle w:val="CommentReference"/>
        </w:rPr>
        <w:t xml:space="preserve"> (and identified during the evaluation)</w:t>
      </w:r>
    </w:p>
    <w:tbl>
      <w:tblPr>
        <w:tblW w:w="4637" w:type="pct"/>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142"/>
        <w:gridCol w:w="5263"/>
        <w:gridCol w:w="2018"/>
      </w:tblGrid>
      <w:tr w:rsidR="00195904" w:rsidRPr="00961B75" w:rsidTr="00195904">
        <w:trPr>
          <w:cantSplit/>
          <w:tblHeader/>
        </w:trPr>
        <w:tc>
          <w:tcPr>
            <w:tcW w:w="678" w:type="pct"/>
          </w:tcPr>
          <w:p w:rsidR="00195904" w:rsidRPr="00961B75" w:rsidRDefault="00195904" w:rsidP="004611DA">
            <w:pPr>
              <w:widowControl/>
              <w:jc w:val="left"/>
              <w:rPr>
                <w:rFonts w:ascii="Arial Narrow" w:hAnsi="Arial Narrow"/>
                <w:b/>
                <w:sz w:val="20"/>
              </w:rPr>
            </w:pPr>
            <w:r w:rsidRPr="00961B75">
              <w:rPr>
                <w:rFonts w:ascii="Arial Narrow" w:hAnsi="Arial Narrow"/>
                <w:b/>
                <w:sz w:val="20"/>
              </w:rPr>
              <w:t>Study ID</w:t>
            </w:r>
          </w:p>
        </w:tc>
        <w:tc>
          <w:tcPr>
            <w:tcW w:w="3124" w:type="pct"/>
          </w:tcPr>
          <w:p w:rsidR="00195904" w:rsidRPr="00961B75" w:rsidRDefault="00195904" w:rsidP="004611DA">
            <w:pPr>
              <w:widowControl/>
              <w:jc w:val="center"/>
              <w:rPr>
                <w:rFonts w:ascii="Arial Narrow" w:hAnsi="Arial Narrow"/>
                <w:b/>
                <w:sz w:val="20"/>
              </w:rPr>
            </w:pPr>
            <w:r w:rsidRPr="00961B75">
              <w:rPr>
                <w:rFonts w:ascii="Arial Narrow" w:hAnsi="Arial Narrow"/>
                <w:b/>
                <w:sz w:val="20"/>
              </w:rPr>
              <w:t>Protocol title/ Publication title</w:t>
            </w:r>
          </w:p>
        </w:tc>
        <w:tc>
          <w:tcPr>
            <w:tcW w:w="1198" w:type="pct"/>
          </w:tcPr>
          <w:p w:rsidR="00195904" w:rsidRPr="00961B75" w:rsidRDefault="00195904" w:rsidP="004611DA">
            <w:pPr>
              <w:widowControl/>
              <w:jc w:val="center"/>
              <w:rPr>
                <w:rFonts w:ascii="Arial Narrow" w:hAnsi="Arial Narrow"/>
                <w:b/>
                <w:sz w:val="20"/>
              </w:rPr>
            </w:pPr>
            <w:r w:rsidRPr="00961B75">
              <w:rPr>
                <w:rFonts w:ascii="Arial Narrow" w:hAnsi="Arial Narrow"/>
                <w:b/>
                <w:sz w:val="20"/>
              </w:rPr>
              <w:t>Publication citation</w:t>
            </w:r>
          </w:p>
        </w:tc>
      </w:tr>
      <w:tr w:rsidR="00195904" w:rsidRPr="00961B75" w:rsidTr="00195904">
        <w:tc>
          <w:tcPr>
            <w:tcW w:w="5000" w:type="pct"/>
            <w:gridSpan w:val="3"/>
          </w:tcPr>
          <w:p w:rsidR="00195904" w:rsidRPr="00961B75" w:rsidRDefault="00195904" w:rsidP="004611DA">
            <w:pPr>
              <w:widowControl/>
              <w:jc w:val="left"/>
              <w:rPr>
                <w:rFonts w:ascii="Arial Narrow" w:hAnsi="Arial Narrow"/>
                <w:b/>
                <w:sz w:val="20"/>
              </w:rPr>
            </w:pPr>
            <w:proofErr w:type="spellStart"/>
            <w:r w:rsidRPr="00961B75">
              <w:rPr>
                <w:rFonts w:ascii="Arial Narrow" w:hAnsi="Arial Narrow"/>
                <w:b/>
                <w:sz w:val="20"/>
              </w:rPr>
              <w:t>Technivie</w:t>
            </w:r>
            <w:proofErr w:type="spellEnd"/>
            <w:r w:rsidRPr="00961B75">
              <w:rPr>
                <w:rFonts w:ascii="Arial Narrow" w:hAnsi="Arial Narrow"/>
                <w:b/>
                <w:sz w:val="20"/>
              </w:rPr>
              <w:t>® plus ribavirin</w:t>
            </w:r>
          </w:p>
        </w:tc>
      </w:tr>
      <w:tr w:rsidR="00195904" w:rsidRPr="00961B75" w:rsidTr="00195904">
        <w:trPr>
          <w:trHeight w:val="735"/>
        </w:trPr>
        <w:tc>
          <w:tcPr>
            <w:tcW w:w="678" w:type="pct"/>
            <w:vMerge w:val="restart"/>
            <w:vAlign w:val="center"/>
          </w:tcPr>
          <w:p w:rsidR="00195904" w:rsidRPr="00961B75" w:rsidRDefault="00195904" w:rsidP="004611DA">
            <w:pPr>
              <w:widowControl/>
              <w:jc w:val="left"/>
              <w:rPr>
                <w:rFonts w:ascii="Arial Narrow" w:hAnsi="Arial Narrow"/>
                <w:b/>
                <w:bCs/>
                <w:sz w:val="20"/>
              </w:rPr>
            </w:pPr>
            <w:r w:rsidRPr="00961B75">
              <w:rPr>
                <w:rFonts w:ascii="Arial Narrow" w:hAnsi="Arial Narrow"/>
                <w:b/>
                <w:bCs/>
                <w:sz w:val="20"/>
              </w:rPr>
              <w:t>PEARL I</w:t>
            </w:r>
          </w:p>
          <w:p w:rsidR="00195904" w:rsidRPr="00961B75" w:rsidRDefault="00195904" w:rsidP="004611DA">
            <w:pPr>
              <w:widowControl/>
              <w:jc w:val="left"/>
              <w:rPr>
                <w:rFonts w:ascii="Arial Narrow" w:hAnsi="Arial Narrow"/>
                <w:sz w:val="20"/>
              </w:rPr>
            </w:pPr>
            <w:r w:rsidRPr="00961B75">
              <w:rPr>
                <w:rFonts w:ascii="Arial Narrow" w:hAnsi="Arial Narrow"/>
                <w:sz w:val="20"/>
              </w:rPr>
              <w:t>NCT01685203</w:t>
            </w:r>
          </w:p>
        </w:tc>
        <w:tc>
          <w:tcPr>
            <w:tcW w:w="3124" w:type="pct"/>
            <w:tcBorders>
              <w:bottom w:val="dashed" w:sz="4" w:space="0" w:color="auto"/>
            </w:tcBorders>
          </w:tcPr>
          <w:p w:rsidR="00195904" w:rsidRPr="00961B75" w:rsidRDefault="00195904" w:rsidP="004611DA">
            <w:pPr>
              <w:widowControl/>
              <w:jc w:val="left"/>
              <w:rPr>
                <w:rFonts w:ascii="Arial Narrow" w:hAnsi="Arial Narrow"/>
                <w:bCs/>
                <w:sz w:val="20"/>
              </w:rPr>
            </w:pPr>
            <w:r w:rsidRPr="00961B75">
              <w:rPr>
                <w:rFonts w:ascii="Arial Narrow" w:hAnsi="Arial Narrow"/>
                <w:bCs/>
                <w:sz w:val="20"/>
              </w:rPr>
              <w:t xml:space="preserve">Clinical Study Report: A Randomized, Open-Label Study to Evaluate the Safety and Efficacy of </w:t>
            </w:r>
            <w:proofErr w:type="spellStart"/>
            <w:r w:rsidRPr="00961B75">
              <w:rPr>
                <w:rFonts w:ascii="Arial Narrow" w:hAnsi="Arial Narrow"/>
                <w:bCs/>
                <w:sz w:val="20"/>
              </w:rPr>
              <w:t>Coadministration</w:t>
            </w:r>
            <w:proofErr w:type="spellEnd"/>
            <w:r w:rsidRPr="00961B75">
              <w:rPr>
                <w:rFonts w:ascii="Arial Narrow" w:hAnsi="Arial Narrow"/>
                <w:bCs/>
                <w:sz w:val="20"/>
              </w:rPr>
              <w:t xml:space="preserve"> of ABT-450 with Ritonavir (ABT-450/r) and ABT-267 in Adults with Chronic Hepatitis C Virus Infection (PEARL-I)</w:t>
            </w:r>
          </w:p>
        </w:tc>
        <w:tc>
          <w:tcPr>
            <w:tcW w:w="1198" w:type="pct"/>
            <w:tcBorders>
              <w:bottom w:val="dashed" w:sz="4" w:space="0" w:color="auto"/>
            </w:tcBorders>
          </w:tcPr>
          <w:p w:rsidR="00195904" w:rsidRPr="00961B75" w:rsidRDefault="00195904" w:rsidP="004611DA">
            <w:pPr>
              <w:widowControl/>
              <w:jc w:val="left"/>
              <w:rPr>
                <w:rFonts w:ascii="Arial Narrow" w:hAnsi="Arial Narrow"/>
                <w:b/>
                <w:sz w:val="20"/>
              </w:rPr>
            </w:pPr>
            <w:r w:rsidRPr="00961B75">
              <w:rPr>
                <w:rFonts w:ascii="Arial Narrow" w:hAnsi="Arial Narrow"/>
                <w:bCs/>
                <w:sz w:val="20"/>
              </w:rPr>
              <w:t>30 September 2014</w:t>
            </w:r>
          </w:p>
        </w:tc>
      </w:tr>
      <w:tr w:rsidR="00195904" w:rsidRPr="00961B75" w:rsidTr="00195904">
        <w:trPr>
          <w:trHeight w:val="638"/>
        </w:trPr>
        <w:tc>
          <w:tcPr>
            <w:tcW w:w="678" w:type="pct"/>
            <w:vMerge/>
            <w:vAlign w:val="center"/>
          </w:tcPr>
          <w:p w:rsidR="00195904" w:rsidRPr="00961B75" w:rsidRDefault="00195904" w:rsidP="004611DA">
            <w:pPr>
              <w:widowControl/>
              <w:jc w:val="left"/>
              <w:rPr>
                <w:rFonts w:ascii="Arial Narrow" w:hAnsi="Arial Narrow"/>
                <w:b/>
                <w:bCs/>
                <w:sz w:val="20"/>
              </w:rPr>
            </w:pPr>
          </w:p>
        </w:tc>
        <w:tc>
          <w:tcPr>
            <w:tcW w:w="3124" w:type="pct"/>
            <w:tcBorders>
              <w:top w:val="dashed" w:sz="4" w:space="0" w:color="auto"/>
            </w:tcBorders>
          </w:tcPr>
          <w:p w:rsidR="00195904" w:rsidRPr="00961B75" w:rsidRDefault="00195904" w:rsidP="004611DA">
            <w:pPr>
              <w:widowControl/>
              <w:jc w:val="left"/>
              <w:rPr>
                <w:rFonts w:ascii="Arial Narrow" w:hAnsi="Arial Narrow"/>
                <w:bCs/>
                <w:sz w:val="20"/>
              </w:rPr>
            </w:pPr>
            <w:proofErr w:type="spellStart"/>
            <w:r w:rsidRPr="00961B75">
              <w:rPr>
                <w:rFonts w:ascii="Arial Narrow" w:hAnsi="Arial Narrow"/>
                <w:bCs/>
                <w:sz w:val="20"/>
              </w:rPr>
              <w:t>Hézode</w:t>
            </w:r>
            <w:proofErr w:type="spellEnd"/>
            <w:r w:rsidRPr="00961B75">
              <w:rPr>
                <w:rFonts w:ascii="Arial Narrow" w:hAnsi="Arial Narrow"/>
                <w:bCs/>
                <w:sz w:val="20"/>
              </w:rPr>
              <w:t xml:space="preserve"> C, </w:t>
            </w:r>
            <w:proofErr w:type="spellStart"/>
            <w:r w:rsidRPr="00961B75">
              <w:rPr>
                <w:rFonts w:ascii="Arial Narrow" w:hAnsi="Arial Narrow"/>
                <w:bCs/>
                <w:sz w:val="20"/>
              </w:rPr>
              <w:t>Asselah</w:t>
            </w:r>
            <w:proofErr w:type="spellEnd"/>
            <w:r w:rsidRPr="00961B75">
              <w:rPr>
                <w:rFonts w:ascii="Arial Narrow" w:hAnsi="Arial Narrow"/>
                <w:bCs/>
                <w:sz w:val="20"/>
              </w:rPr>
              <w:t xml:space="preserve"> T, Reddy KR, </w:t>
            </w:r>
            <w:r w:rsidRPr="00961B75">
              <w:rPr>
                <w:rFonts w:ascii="Arial Narrow" w:hAnsi="Arial Narrow"/>
                <w:bCs/>
                <w:i/>
                <w:iCs/>
                <w:sz w:val="20"/>
              </w:rPr>
              <w:t>et al.</w:t>
            </w:r>
            <w:r w:rsidRPr="00961B75">
              <w:rPr>
                <w:rFonts w:ascii="Arial Narrow" w:hAnsi="Arial Narrow"/>
                <w:bCs/>
                <w:sz w:val="20"/>
              </w:rPr>
              <w:t xml:space="preserve"> Ombitasvir plus paritaprevir plus ritonavir with or without ribavirin in treatment-naive and treatment-experienced patients with genotype 4 chronic hepatitis C virus infection (PEARL-I): A randomised, open-label trial. </w:t>
            </w:r>
          </w:p>
        </w:tc>
        <w:tc>
          <w:tcPr>
            <w:tcW w:w="1198" w:type="pct"/>
            <w:tcBorders>
              <w:top w:val="dashed" w:sz="4" w:space="0" w:color="auto"/>
            </w:tcBorders>
          </w:tcPr>
          <w:p w:rsidR="00195904" w:rsidRPr="00961B75" w:rsidRDefault="00195904" w:rsidP="004611DA">
            <w:pPr>
              <w:widowControl/>
              <w:jc w:val="left"/>
              <w:rPr>
                <w:rFonts w:ascii="Arial Narrow" w:hAnsi="Arial Narrow"/>
                <w:bCs/>
                <w:sz w:val="20"/>
              </w:rPr>
            </w:pPr>
            <w:r w:rsidRPr="00961B75">
              <w:rPr>
                <w:rFonts w:ascii="Arial Narrow" w:hAnsi="Arial Narrow"/>
                <w:bCs/>
                <w:i/>
                <w:iCs/>
                <w:sz w:val="20"/>
              </w:rPr>
              <w:t>Lancet</w:t>
            </w:r>
            <w:r w:rsidRPr="00961B75">
              <w:rPr>
                <w:rFonts w:ascii="Arial Narrow" w:hAnsi="Arial Narrow"/>
                <w:bCs/>
                <w:sz w:val="20"/>
              </w:rPr>
              <w:t xml:space="preserve"> 2015; 385(9986): 2502-9. </w:t>
            </w:r>
            <w:proofErr w:type="spellStart"/>
            <w:proofErr w:type="gramStart"/>
            <w:r w:rsidRPr="00961B75">
              <w:rPr>
                <w:rFonts w:ascii="Arial Narrow" w:hAnsi="Arial Narrow"/>
                <w:bCs/>
                <w:sz w:val="20"/>
              </w:rPr>
              <w:t>doi</w:t>
            </w:r>
            <w:proofErr w:type="spellEnd"/>
            <w:proofErr w:type="gramEnd"/>
            <w:r w:rsidRPr="00961B75">
              <w:rPr>
                <w:rFonts w:ascii="Arial Narrow" w:hAnsi="Arial Narrow"/>
                <w:bCs/>
                <w:sz w:val="20"/>
              </w:rPr>
              <w:t>: http://dx.doi.org/10.1016/S0140-6736(15)60159-3.</w:t>
            </w:r>
          </w:p>
        </w:tc>
      </w:tr>
      <w:tr w:rsidR="00195904" w:rsidRPr="00961B75" w:rsidTr="00195904">
        <w:trPr>
          <w:trHeight w:val="836"/>
        </w:trPr>
        <w:tc>
          <w:tcPr>
            <w:tcW w:w="678" w:type="pct"/>
            <w:vMerge w:val="restart"/>
            <w:shd w:val="clear" w:color="auto" w:fill="auto"/>
            <w:vAlign w:val="center"/>
          </w:tcPr>
          <w:p w:rsidR="00195904" w:rsidRPr="00961B75" w:rsidRDefault="00195904" w:rsidP="004611DA">
            <w:pPr>
              <w:widowControl/>
              <w:jc w:val="left"/>
              <w:rPr>
                <w:rFonts w:ascii="Arial Narrow" w:hAnsi="Arial Narrow"/>
                <w:b/>
                <w:bCs/>
                <w:sz w:val="20"/>
              </w:rPr>
            </w:pPr>
            <w:r w:rsidRPr="00961B75">
              <w:rPr>
                <w:rFonts w:ascii="Arial Narrow" w:hAnsi="Arial Narrow"/>
                <w:b/>
                <w:bCs/>
                <w:sz w:val="20"/>
              </w:rPr>
              <w:t>AGATE I</w:t>
            </w:r>
          </w:p>
          <w:p w:rsidR="00195904" w:rsidRPr="00961B75" w:rsidRDefault="00195904" w:rsidP="004611DA">
            <w:pPr>
              <w:widowControl/>
              <w:jc w:val="left"/>
              <w:rPr>
                <w:rFonts w:ascii="Arial Narrow" w:hAnsi="Arial Narrow"/>
                <w:sz w:val="20"/>
              </w:rPr>
            </w:pPr>
            <w:r w:rsidRPr="00961B75">
              <w:rPr>
                <w:rFonts w:ascii="Arial Narrow" w:hAnsi="Arial Narrow"/>
                <w:sz w:val="20"/>
              </w:rPr>
              <w:t>NCT02265237</w:t>
            </w:r>
          </w:p>
        </w:tc>
        <w:tc>
          <w:tcPr>
            <w:tcW w:w="3124" w:type="pct"/>
            <w:tcBorders>
              <w:bottom w:val="dashed" w:sz="4" w:space="0" w:color="auto"/>
            </w:tcBorders>
            <w:shd w:val="clear" w:color="auto" w:fill="auto"/>
          </w:tcPr>
          <w:p w:rsidR="00195904" w:rsidRPr="00961B75" w:rsidRDefault="00195904" w:rsidP="004611DA">
            <w:pPr>
              <w:widowControl/>
              <w:jc w:val="left"/>
              <w:rPr>
                <w:rFonts w:ascii="Arial Narrow" w:hAnsi="Arial Narrow"/>
                <w:bCs/>
                <w:sz w:val="20"/>
              </w:rPr>
            </w:pPr>
            <w:r w:rsidRPr="00961B75">
              <w:rPr>
                <w:rFonts w:ascii="Arial Narrow" w:hAnsi="Arial Narrow"/>
                <w:bCs/>
                <w:sz w:val="20"/>
              </w:rPr>
              <w:t>Clinical Study Report: A Randomized, Open-Label Study to Evaluate the Safety and Efficacy of Ombitasvir/ABT-450/Ritonavir Co-administered with Ribavirin (RBV) in Adults with Genotype 4 Chronic Hepatitis C Virus (HCV) Infection and Cirrhosis (AGATE-I)</w:t>
            </w:r>
          </w:p>
        </w:tc>
        <w:tc>
          <w:tcPr>
            <w:tcW w:w="1198" w:type="pct"/>
            <w:tcBorders>
              <w:bottom w:val="dashed" w:sz="4" w:space="0" w:color="auto"/>
            </w:tcBorders>
            <w:shd w:val="clear" w:color="auto" w:fill="auto"/>
          </w:tcPr>
          <w:p w:rsidR="00195904" w:rsidRPr="00961B75" w:rsidRDefault="00195904" w:rsidP="004611DA">
            <w:pPr>
              <w:widowControl/>
              <w:jc w:val="left"/>
              <w:rPr>
                <w:rFonts w:ascii="Arial Narrow" w:hAnsi="Arial Narrow"/>
                <w:bCs/>
                <w:sz w:val="20"/>
              </w:rPr>
            </w:pPr>
            <w:r w:rsidRPr="00961B75">
              <w:rPr>
                <w:rFonts w:ascii="Arial Narrow" w:hAnsi="Arial Narrow"/>
                <w:bCs/>
                <w:sz w:val="20"/>
              </w:rPr>
              <w:t xml:space="preserve">2 March 2016 </w:t>
            </w:r>
          </w:p>
        </w:tc>
      </w:tr>
      <w:tr w:rsidR="00195904" w:rsidRPr="00961B75" w:rsidTr="00195904">
        <w:trPr>
          <w:trHeight w:val="630"/>
        </w:trPr>
        <w:tc>
          <w:tcPr>
            <w:tcW w:w="678" w:type="pct"/>
            <w:vMerge/>
            <w:shd w:val="clear" w:color="auto" w:fill="auto"/>
            <w:vAlign w:val="center"/>
          </w:tcPr>
          <w:p w:rsidR="00195904" w:rsidRPr="00961B75" w:rsidRDefault="00195904" w:rsidP="004611DA">
            <w:pPr>
              <w:widowControl/>
              <w:jc w:val="left"/>
              <w:rPr>
                <w:rFonts w:ascii="Arial Narrow" w:hAnsi="Arial Narrow"/>
                <w:b/>
                <w:bCs/>
                <w:sz w:val="20"/>
              </w:rPr>
            </w:pPr>
          </w:p>
        </w:tc>
        <w:tc>
          <w:tcPr>
            <w:tcW w:w="3124" w:type="pct"/>
            <w:tcBorders>
              <w:top w:val="dashed" w:sz="4" w:space="0" w:color="auto"/>
            </w:tcBorders>
            <w:shd w:val="clear" w:color="auto" w:fill="auto"/>
          </w:tcPr>
          <w:p w:rsidR="00195904" w:rsidRPr="00961B75" w:rsidRDefault="00195904" w:rsidP="004611DA">
            <w:pPr>
              <w:widowControl/>
              <w:jc w:val="left"/>
              <w:rPr>
                <w:rFonts w:ascii="Arial Narrow" w:hAnsi="Arial Narrow"/>
                <w:bCs/>
                <w:sz w:val="20"/>
              </w:rPr>
            </w:pPr>
            <w:proofErr w:type="spellStart"/>
            <w:r w:rsidRPr="00961B75">
              <w:rPr>
                <w:rFonts w:ascii="Arial Narrow" w:hAnsi="Arial Narrow"/>
                <w:bCs/>
                <w:iCs/>
                <w:sz w:val="20"/>
              </w:rPr>
              <w:t>Asselah</w:t>
            </w:r>
            <w:proofErr w:type="spellEnd"/>
            <w:r w:rsidRPr="00961B75">
              <w:rPr>
                <w:rFonts w:ascii="Arial Narrow" w:hAnsi="Arial Narrow"/>
                <w:bCs/>
                <w:iCs/>
                <w:sz w:val="20"/>
              </w:rPr>
              <w:t xml:space="preserve"> T, </w:t>
            </w:r>
            <w:proofErr w:type="spellStart"/>
            <w:r w:rsidRPr="00961B75">
              <w:rPr>
                <w:rFonts w:ascii="Arial Narrow" w:hAnsi="Arial Narrow"/>
                <w:bCs/>
                <w:iCs/>
                <w:sz w:val="20"/>
              </w:rPr>
              <w:t>Hézode</w:t>
            </w:r>
            <w:proofErr w:type="spellEnd"/>
            <w:r w:rsidRPr="00961B75">
              <w:rPr>
                <w:rFonts w:ascii="Arial Narrow" w:hAnsi="Arial Narrow"/>
                <w:bCs/>
                <w:iCs/>
                <w:sz w:val="20"/>
              </w:rPr>
              <w:t xml:space="preserve"> C, </w:t>
            </w:r>
            <w:proofErr w:type="spellStart"/>
            <w:r w:rsidRPr="00961B75">
              <w:rPr>
                <w:rFonts w:ascii="Arial Narrow" w:hAnsi="Arial Narrow"/>
                <w:bCs/>
                <w:iCs/>
                <w:sz w:val="20"/>
              </w:rPr>
              <w:t>Qaqish</w:t>
            </w:r>
            <w:proofErr w:type="spellEnd"/>
            <w:r w:rsidRPr="00961B75">
              <w:rPr>
                <w:rFonts w:ascii="Arial Narrow" w:hAnsi="Arial Narrow"/>
                <w:bCs/>
                <w:iCs/>
                <w:sz w:val="20"/>
              </w:rPr>
              <w:t xml:space="preserve"> RB, et al. Ombitasvir, paritaprevir, and ritonavir plus ribavirin in adults with hepatitis C virus genotype 4 infection and cirrhosis (AGATE-I): a multicentre, phase 3, randomised open-label </w:t>
            </w:r>
            <w:proofErr w:type="spellStart"/>
            <w:r w:rsidRPr="00961B75">
              <w:rPr>
                <w:rFonts w:ascii="Arial Narrow" w:hAnsi="Arial Narrow"/>
                <w:bCs/>
                <w:iCs/>
                <w:sz w:val="20"/>
              </w:rPr>
              <w:t>trial.</w:t>
            </w:r>
            <w:r w:rsidR="0053375E" w:rsidRPr="00961B75">
              <w:rPr>
                <w:rFonts w:ascii="Arial Narrow" w:hAnsi="Arial Narrow"/>
                <w:bCs/>
                <w:iCs/>
                <w:sz w:val="20"/>
                <w:vertAlign w:val="superscript"/>
              </w:rPr>
              <w:t>a</w:t>
            </w:r>
            <w:proofErr w:type="spellEnd"/>
            <w:r w:rsidRPr="00961B75">
              <w:rPr>
                <w:rFonts w:ascii="Arial Narrow" w:hAnsi="Arial Narrow"/>
                <w:bCs/>
                <w:iCs/>
                <w:sz w:val="20"/>
              </w:rPr>
              <w:t xml:space="preserve"> </w:t>
            </w:r>
            <w:r w:rsidRPr="00961B75">
              <w:rPr>
                <w:rFonts w:ascii="Arial Narrow" w:hAnsi="Arial Narrow"/>
                <w:bCs/>
                <w:sz w:val="20"/>
              </w:rPr>
              <w:t xml:space="preserve"> </w:t>
            </w:r>
          </w:p>
        </w:tc>
        <w:tc>
          <w:tcPr>
            <w:tcW w:w="1198" w:type="pct"/>
            <w:tcBorders>
              <w:top w:val="dashed" w:sz="4" w:space="0" w:color="auto"/>
            </w:tcBorders>
            <w:shd w:val="clear" w:color="auto" w:fill="auto"/>
          </w:tcPr>
          <w:p w:rsidR="00195904" w:rsidRPr="00961B75" w:rsidRDefault="00195904" w:rsidP="004611DA">
            <w:pPr>
              <w:widowControl/>
              <w:jc w:val="left"/>
              <w:rPr>
                <w:rFonts w:ascii="Arial Narrow" w:hAnsi="Arial Narrow"/>
                <w:bCs/>
                <w:sz w:val="20"/>
              </w:rPr>
            </w:pPr>
            <w:r w:rsidRPr="00961B75">
              <w:rPr>
                <w:rFonts w:ascii="Arial Narrow" w:hAnsi="Arial Narrow"/>
                <w:bCs/>
                <w:i/>
                <w:sz w:val="20"/>
              </w:rPr>
              <w:t xml:space="preserve">Lancet </w:t>
            </w:r>
            <w:proofErr w:type="spellStart"/>
            <w:r w:rsidRPr="00961B75">
              <w:rPr>
                <w:rFonts w:ascii="Arial Narrow" w:hAnsi="Arial Narrow"/>
                <w:bCs/>
                <w:i/>
                <w:sz w:val="20"/>
              </w:rPr>
              <w:t>Gastroenterol</w:t>
            </w:r>
            <w:proofErr w:type="spellEnd"/>
            <w:r w:rsidRPr="00961B75">
              <w:rPr>
                <w:rFonts w:ascii="Arial Narrow" w:hAnsi="Arial Narrow"/>
                <w:bCs/>
                <w:i/>
                <w:sz w:val="20"/>
              </w:rPr>
              <w:t xml:space="preserve"> </w:t>
            </w:r>
            <w:proofErr w:type="spellStart"/>
            <w:r w:rsidRPr="00961B75">
              <w:rPr>
                <w:rFonts w:ascii="Arial Narrow" w:hAnsi="Arial Narrow"/>
                <w:bCs/>
                <w:i/>
                <w:sz w:val="20"/>
              </w:rPr>
              <w:t>Hepatol</w:t>
            </w:r>
            <w:proofErr w:type="spellEnd"/>
            <w:r w:rsidRPr="00961B75">
              <w:rPr>
                <w:rFonts w:ascii="Arial Narrow" w:hAnsi="Arial Narrow"/>
                <w:bCs/>
                <w:i/>
                <w:iCs/>
                <w:sz w:val="20"/>
              </w:rPr>
              <w:t xml:space="preserve"> 2016; 1: 25-35.</w:t>
            </w:r>
          </w:p>
          <w:p w:rsidR="00195904" w:rsidRPr="00961B75" w:rsidRDefault="00195904" w:rsidP="004611DA">
            <w:pPr>
              <w:widowControl/>
              <w:jc w:val="left"/>
              <w:rPr>
                <w:rFonts w:ascii="Arial Narrow" w:hAnsi="Arial Narrow"/>
                <w:bCs/>
                <w:sz w:val="20"/>
              </w:rPr>
            </w:pPr>
          </w:p>
        </w:tc>
      </w:tr>
      <w:tr w:rsidR="00195904" w:rsidRPr="00961B75" w:rsidTr="00195904">
        <w:trPr>
          <w:trHeight w:val="194"/>
        </w:trPr>
        <w:tc>
          <w:tcPr>
            <w:tcW w:w="678" w:type="pct"/>
            <w:vMerge w:val="restart"/>
            <w:vAlign w:val="center"/>
          </w:tcPr>
          <w:p w:rsidR="00195904" w:rsidRPr="00961B75" w:rsidRDefault="00195904" w:rsidP="004611DA">
            <w:pPr>
              <w:widowControl/>
              <w:jc w:val="left"/>
              <w:rPr>
                <w:rFonts w:ascii="Arial Narrow" w:hAnsi="Arial Narrow"/>
                <w:b/>
                <w:bCs/>
                <w:sz w:val="20"/>
              </w:rPr>
            </w:pPr>
            <w:r w:rsidRPr="00961B75">
              <w:rPr>
                <w:rFonts w:ascii="Arial Narrow" w:hAnsi="Arial Narrow"/>
                <w:b/>
                <w:bCs/>
                <w:sz w:val="20"/>
              </w:rPr>
              <w:t>AGATE II</w:t>
            </w:r>
          </w:p>
          <w:p w:rsidR="00195904" w:rsidRPr="00961B75" w:rsidRDefault="00195904" w:rsidP="004611DA">
            <w:pPr>
              <w:widowControl/>
              <w:jc w:val="left"/>
              <w:rPr>
                <w:rFonts w:ascii="Arial Narrow" w:hAnsi="Arial Narrow"/>
                <w:sz w:val="20"/>
              </w:rPr>
            </w:pPr>
            <w:r w:rsidRPr="00961B75">
              <w:rPr>
                <w:rFonts w:ascii="Arial Narrow" w:hAnsi="Arial Narrow"/>
                <w:sz w:val="20"/>
              </w:rPr>
              <w:t>NCT02247401</w:t>
            </w:r>
          </w:p>
        </w:tc>
        <w:tc>
          <w:tcPr>
            <w:tcW w:w="3124" w:type="pct"/>
            <w:tcBorders>
              <w:bottom w:val="dashed" w:sz="4" w:space="0" w:color="auto"/>
            </w:tcBorders>
          </w:tcPr>
          <w:p w:rsidR="00195904" w:rsidRPr="00961B75" w:rsidRDefault="00195904" w:rsidP="004611DA">
            <w:pPr>
              <w:widowControl/>
              <w:jc w:val="left"/>
              <w:rPr>
                <w:rFonts w:ascii="Arial Narrow" w:hAnsi="Arial Narrow"/>
                <w:bCs/>
                <w:sz w:val="20"/>
              </w:rPr>
            </w:pPr>
            <w:r w:rsidRPr="00961B75">
              <w:rPr>
                <w:rFonts w:ascii="Arial Narrow" w:hAnsi="Arial Narrow"/>
                <w:bCs/>
                <w:sz w:val="20"/>
              </w:rPr>
              <w:t>Clinical Study Report not yet available</w:t>
            </w:r>
          </w:p>
        </w:tc>
        <w:tc>
          <w:tcPr>
            <w:tcW w:w="1198" w:type="pct"/>
            <w:tcBorders>
              <w:bottom w:val="dashed" w:sz="4" w:space="0" w:color="auto"/>
            </w:tcBorders>
          </w:tcPr>
          <w:p w:rsidR="00195904" w:rsidRPr="00961B75" w:rsidRDefault="00195904" w:rsidP="004611DA">
            <w:pPr>
              <w:widowControl/>
              <w:jc w:val="left"/>
              <w:rPr>
                <w:rFonts w:ascii="Arial Narrow" w:hAnsi="Arial Narrow"/>
                <w:bCs/>
                <w:sz w:val="20"/>
              </w:rPr>
            </w:pPr>
          </w:p>
        </w:tc>
      </w:tr>
      <w:tr w:rsidR="00195904" w:rsidRPr="00961B75" w:rsidTr="00195904">
        <w:trPr>
          <w:trHeight w:val="675"/>
        </w:trPr>
        <w:tc>
          <w:tcPr>
            <w:tcW w:w="678" w:type="pct"/>
            <w:vMerge/>
            <w:vAlign w:val="center"/>
          </w:tcPr>
          <w:p w:rsidR="00195904" w:rsidRPr="00961B75" w:rsidRDefault="00195904" w:rsidP="004611DA">
            <w:pPr>
              <w:widowControl/>
              <w:jc w:val="left"/>
              <w:rPr>
                <w:rFonts w:ascii="Arial Narrow" w:hAnsi="Arial Narrow"/>
                <w:b/>
                <w:bCs/>
                <w:sz w:val="20"/>
              </w:rPr>
            </w:pPr>
          </w:p>
        </w:tc>
        <w:tc>
          <w:tcPr>
            <w:tcW w:w="3124" w:type="pct"/>
            <w:tcBorders>
              <w:top w:val="dashed" w:sz="4" w:space="0" w:color="auto"/>
            </w:tcBorders>
          </w:tcPr>
          <w:p w:rsidR="00195904" w:rsidRPr="00961B75" w:rsidRDefault="00195904" w:rsidP="004611DA">
            <w:pPr>
              <w:widowControl/>
              <w:jc w:val="left"/>
              <w:rPr>
                <w:rFonts w:ascii="Arial Narrow" w:hAnsi="Arial Narrow"/>
                <w:bCs/>
                <w:sz w:val="20"/>
              </w:rPr>
            </w:pPr>
            <w:r w:rsidRPr="00961B75">
              <w:rPr>
                <w:rFonts w:ascii="Arial Narrow" w:hAnsi="Arial Narrow"/>
                <w:bCs/>
                <w:iCs/>
                <w:sz w:val="20"/>
              </w:rPr>
              <w:t xml:space="preserve">Waked I, </w:t>
            </w:r>
            <w:proofErr w:type="spellStart"/>
            <w:r w:rsidRPr="00961B75">
              <w:rPr>
                <w:rFonts w:ascii="Arial Narrow" w:hAnsi="Arial Narrow"/>
                <w:bCs/>
                <w:iCs/>
                <w:sz w:val="20"/>
              </w:rPr>
              <w:t>Shiha</w:t>
            </w:r>
            <w:proofErr w:type="spellEnd"/>
            <w:r w:rsidRPr="00961B75">
              <w:rPr>
                <w:rFonts w:ascii="Arial Narrow" w:hAnsi="Arial Narrow"/>
                <w:bCs/>
                <w:iCs/>
                <w:sz w:val="20"/>
              </w:rPr>
              <w:t xml:space="preserve"> G, </w:t>
            </w:r>
            <w:proofErr w:type="spellStart"/>
            <w:r w:rsidRPr="00961B75">
              <w:rPr>
                <w:rFonts w:ascii="Arial Narrow" w:hAnsi="Arial Narrow"/>
                <w:bCs/>
                <w:iCs/>
                <w:sz w:val="20"/>
              </w:rPr>
              <w:t>Qaqish</w:t>
            </w:r>
            <w:proofErr w:type="spellEnd"/>
            <w:r w:rsidRPr="00961B75">
              <w:rPr>
                <w:rFonts w:ascii="Arial Narrow" w:hAnsi="Arial Narrow"/>
                <w:bCs/>
                <w:iCs/>
                <w:sz w:val="20"/>
              </w:rPr>
              <w:t xml:space="preserve"> RB, et al. Ombitasvir, paritaprevir, and ritonavir plus ribavirin for chronic hepatitis C virus genotype 4 </w:t>
            </w:r>
            <w:proofErr w:type="gramStart"/>
            <w:r w:rsidRPr="00961B75">
              <w:rPr>
                <w:rFonts w:ascii="Arial Narrow" w:hAnsi="Arial Narrow"/>
                <w:bCs/>
                <w:iCs/>
                <w:sz w:val="20"/>
              </w:rPr>
              <w:t>infection</w:t>
            </w:r>
            <w:proofErr w:type="gramEnd"/>
            <w:r w:rsidRPr="00961B75">
              <w:rPr>
                <w:rFonts w:ascii="Arial Narrow" w:hAnsi="Arial Narrow"/>
                <w:bCs/>
                <w:iCs/>
                <w:sz w:val="20"/>
              </w:rPr>
              <w:t xml:space="preserve"> in Egyptian patients with or without compensated cirrhosis (AGATE-II): a multicentre, phase 3, partly randomised open-label trial.</w:t>
            </w:r>
            <w:r w:rsidR="0053375E" w:rsidRPr="00961B75">
              <w:rPr>
                <w:rFonts w:ascii="Arial Narrow" w:hAnsi="Arial Narrow"/>
                <w:bCs/>
                <w:iCs/>
                <w:sz w:val="20"/>
                <w:vertAlign w:val="superscript"/>
              </w:rPr>
              <w:t xml:space="preserve"> a</w:t>
            </w:r>
          </w:p>
        </w:tc>
        <w:tc>
          <w:tcPr>
            <w:tcW w:w="1198" w:type="pct"/>
            <w:tcBorders>
              <w:top w:val="dashed" w:sz="4" w:space="0" w:color="auto"/>
            </w:tcBorders>
          </w:tcPr>
          <w:p w:rsidR="00195904" w:rsidRPr="00961B75" w:rsidRDefault="00195904" w:rsidP="004611DA">
            <w:pPr>
              <w:widowControl/>
              <w:jc w:val="left"/>
              <w:rPr>
                <w:rFonts w:ascii="Arial Narrow" w:hAnsi="Arial Narrow"/>
                <w:bCs/>
                <w:sz w:val="20"/>
              </w:rPr>
            </w:pPr>
            <w:r w:rsidRPr="00961B75">
              <w:rPr>
                <w:rFonts w:ascii="Arial Narrow" w:hAnsi="Arial Narrow"/>
                <w:bCs/>
                <w:i/>
                <w:iCs/>
                <w:sz w:val="20"/>
              </w:rPr>
              <w:t xml:space="preserve">Lancet </w:t>
            </w:r>
            <w:proofErr w:type="spellStart"/>
            <w:r w:rsidRPr="00961B75">
              <w:rPr>
                <w:rFonts w:ascii="Arial Narrow" w:hAnsi="Arial Narrow"/>
                <w:bCs/>
                <w:i/>
                <w:iCs/>
                <w:sz w:val="20"/>
              </w:rPr>
              <w:t>Gastroenterol</w:t>
            </w:r>
            <w:proofErr w:type="spellEnd"/>
            <w:r w:rsidRPr="00961B75">
              <w:rPr>
                <w:rFonts w:ascii="Arial Narrow" w:hAnsi="Arial Narrow"/>
                <w:bCs/>
                <w:i/>
                <w:iCs/>
                <w:sz w:val="20"/>
              </w:rPr>
              <w:t xml:space="preserve"> </w:t>
            </w:r>
            <w:proofErr w:type="spellStart"/>
            <w:r w:rsidRPr="00961B75">
              <w:rPr>
                <w:rFonts w:ascii="Arial Narrow" w:hAnsi="Arial Narrow"/>
                <w:bCs/>
                <w:i/>
                <w:iCs/>
                <w:sz w:val="20"/>
              </w:rPr>
              <w:t>Hepatol</w:t>
            </w:r>
            <w:proofErr w:type="spellEnd"/>
            <w:r w:rsidRPr="00961B75">
              <w:rPr>
                <w:rFonts w:ascii="Arial Narrow" w:hAnsi="Arial Narrow"/>
                <w:bCs/>
                <w:i/>
                <w:iCs/>
                <w:sz w:val="20"/>
              </w:rPr>
              <w:t xml:space="preserve"> 2016; 1: 36–44.</w:t>
            </w:r>
          </w:p>
        </w:tc>
      </w:tr>
      <w:tr w:rsidR="00195904" w:rsidRPr="00961B75" w:rsidTr="00195904">
        <w:tc>
          <w:tcPr>
            <w:tcW w:w="5000" w:type="pct"/>
            <w:gridSpan w:val="3"/>
          </w:tcPr>
          <w:p w:rsidR="00195904" w:rsidRPr="00961B75" w:rsidRDefault="00195904" w:rsidP="00840E94">
            <w:pPr>
              <w:keepNext/>
              <w:widowControl/>
              <w:jc w:val="left"/>
              <w:rPr>
                <w:rFonts w:ascii="Arial Narrow" w:hAnsi="Arial Narrow"/>
                <w:b/>
                <w:sz w:val="20"/>
              </w:rPr>
            </w:pPr>
            <w:r w:rsidRPr="00961B75">
              <w:rPr>
                <w:rFonts w:ascii="Arial Narrow" w:hAnsi="Arial Narrow"/>
                <w:b/>
                <w:sz w:val="20"/>
              </w:rPr>
              <w:t>Grazoprevir</w:t>
            </w:r>
            <w:r w:rsidR="00840E94">
              <w:rPr>
                <w:rFonts w:ascii="Arial Narrow" w:hAnsi="Arial Narrow"/>
                <w:b/>
                <w:sz w:val="20"/>
              </w:rPr>
              <w:t>-</w:t>
            </w:r>
            <w:r w:rsidRPr="00961B75">
              <w:rPr>
                <w:rFonts w:ascii="Arial Narrow" w:hAnsi="Arial Narrow"/>
                <w:b/>
                <w:sz w:val="20"/>
              </w:rPr>
              <w:t>elbasvir ± ribavirin</w:t>
            </w:r>
          </w:p>
        </w:tc>
      </w:tr>
      <w:tr w:rsidR="00195904" w:rsidRPr="00961B75" w:rsidTr="00195904">
        <w:tc>
          <w:tcPr>
            <w:tcW w:w="678" w:type="pct"/>
            <w:vAlign w:val="center"/>
          </w:tcPr>
          <w:p w:rsidR="00195904" w:rsidRPr="00961B75" w:rsidRDefault="00195904" w:rsidP="004611DA">
            <w:pPr>
              <w:widowControl/>
              <w:jc w:val="left"/>
              <w:rPr>
                <w:rFonts w:ascii="Arial Narrow" w:hAnsi="Arial Narrow"/>
                <w:b/>
                <w:bCs/>
                <w:sz w:val="20"/>
              </w:rPr>
            </w:pPr>
            <w:r w:rsidRPr="00961B75">
              <w:rPr>
                <w:rFonts w:ascii="Arial Narrow" w:hAnsi="Arial Narrow"/>
                <w:b/>
                <w:bCs/>
                <w:sz w:val="20"/>
              </w:rPr>
              <w:t xml:space="preserve">C-EDGE TN </w:t>
            </w:r>
          </w:p>
          <w:p w:rsidR="00195904" w:rsidRPr="00961B75" w:rsidRDefault="00195904" w:rsidP="004611DA">
            <w:pPr>
              <w:widowControl/>
              <w:jc w:val="left"/>
              <w:rPr>
                <w:rFonts w:ascii="Arial Narrow" w:hAnsi="Arial Narrow"/>
                <w:sz w:val="20"/>
              </w:rPr>
            </w:pPr>
            <w:r w:rsidRPr="00961B75">
              <w:rPr>
                <w:rFonts w:ascii="Arial Narrow" w:hAnsi="Arial Narrow"/>
                <w:sz w:val="20"/>
              </w:rPr>
              <w:t>NCT02252016</w:t>
            </w:r>
          </w:p>
        </w:tc>
        <w:tc>
          <w:tcPr>
            <w:tcW w:w="3124" w:type="pct"/>
          </w:tcPr>
          <w:p w:rsidR="00195904" w:rsidRPr="00961B75" w:rsidRDefault="00195904" w:rsidP="004611DA">
            <w:pPr>
              <w:widowControl/>
              <w:jc w:val="left"/>
              <w:rPr>
                <w:rFonts w:ascii="Arial Narrow" w:hAnsi="Arial Narrow"/>
                <w:bCs/>
                <w:sz w:val="20"/>
              </w:rPr>
            </w:pPr>
            <w:proofErr w:type="spellStart"/>
            <w:r w:rsidRPr="00961B75">
              <w:rPr>
                <w:rFonts w:ascii="Arial Narrow" w:hAnsi="Arial Narrow"/>
                <w:bCs/>
                <w:sz w:val="20"/>
              </w:rPr>
              <w:t>Zeuzem</w:t>
            </w:r>
            <w:proofErr w:type="spellEnd"/>
            <w:r w:rsidRPr="00961B75">
              <w:rPr>
                <w:rFonts w:ascii="Arial Narrow" w:hAnsi="Arial Narrow"/>
                <w:bCs/>
                <w:sz w:val="20"/>
              </w:rPr>
              <w:t xml:space="preserve"> S, </w:t>
            </w:r>
            <w:proofErr w:type="spellStart"/>
            <w:r w:rsidRPr="00961B75">
              <w:rPr>
                <w:rFonts w:ascii="Arial Narrow" w:hAnsi="Arial Narrow"/>
                <w:bCs/>
                <w:sz w:val="20"/>
              </w:rPr>
              <w:t>Ghalib</w:t>
            </w:r>
            <w:proofErr w:type="spellEnd"/>
            <w:r w:rsidRPr="00961B75">
              <w:rPr>
                <w:rFonts w:ascii="Arial Narrow" w:hAnsi="Arial Narrow"/>
                <w:bCs/>
                <w:sz w:val="20"/>
              </w:rPr>
              <w:t xml:space="preserve"> R, Reddy KR, </w:t>
            </w:r>
            <w:r w:rsidRPr="00961B75">
              <w:rPr>
                <w:rFonts w:ascii="Arial Narrow" w:hAnsi="Arial Narrow"/>
                <w:bCs/>
                <w:i/>
                <w:iCs/>
                <w:sz w:val="20"/>
              </w:rPr>
              <w:t>et al.</w:t>
            </w:r>
            <w:r w:rsidRPr="00961B75">
              <w:rPr>
                <w:rFonts w:ascii="Arial Narrow" w:hAnsi="Arial Narrow"/>
                <w:bCs/>
                <w:sz w:val="20"/>
              </w:rPr>
              <w:t xml:space="preserve"> Grazoprevir-elbasvir combination therapy for treatment-naive cirrhotic and </w:t>
            </w:r>
            <w:proofErr w:type="spellStart"/>
            <w:r w:rsidRPr="00961B75">
              <w:rPr>
                <w:rFonts w:ascii="Arial Narrow" w:hAnsi="Arial Narrow"/>
                <w:bCs/>
                <w:sz w:val="20"/>
              </w:rPr>
              <w:t>noncirrhotic</w:t>
            </w:r>
            <w:proofErr w:type="spellEnd"/>
            <w:r w:rsidRPr="00961B75">
              <w:rPr>
                <w:rFonts w:ascii="Arial Narrow" w:hAnsi="Arial Narrow"/>
                <w:bCs/>
                <w:sz w:val="20"/>
              </w:rPr>
              <w:t xml:space="preserve"> patients with chronic hepatitis C virus genotype 1, 4, or 6 infection: A randomized trial. </w:t>
            </w:r>
          </w:p>
        </w:tc>
        <w:tc>
          <w:tcPr>
            <w:tcW w:w="1198" w:type="pct"/>
          </w:tcPr>
          <w:p w:rsidR="00195904" w:rsidRPr="00961B75" w:rsidRDefault="00195904" w:rsidP="004611DA">
            <w:pPr>
              <w:widowControl/>
              <w:jc w:val="left"/>
              <w:rPr>
                <w:rFonts w:ascii="Arial Narrow" w:hAnsi="Arial Narrow"/>
                <w:bCs/>
                <w:sz w:val="20"/>
              </w:rPr>
            </w:pPr>
            <w:r w:rsidRPr="00961B75">
              <w:rPr>
                <w:rFonts w:ascii="Arial Narrow" w:hAnsi="Arial Narrow"/>
                <w:bCs/>
                <w:i/>
                <w:iCs/>
                <w:sz w:val="20"/>
              </w:rPr>
              <w:t xml:space="preserve">Ann Intern Med </w:t>
            </w:r>
            <w:r w:rsidRPr="00961B75">
              <w:rPr>
                <w:rFonts w:ascii="Arial Narrow" w:hAnsi="Arial Narrow"/>
                <w:bCs/>
                <w:sz w:val="20"/>
              </w:rPr>
              <w:t xml:space="preserve">2015; 163(1): 1-13. </w:t>
            </w:r>
            <w:proofErr w:type="spellStart"/>
            <w:proofErr w:type="gramStart"/>
            <w:r w:rsidRPr="00961B75">
              <w:rPr>
                <w:rFonts w:ascii="Arial Narrow" w:hAnsi="Arial Narrow"/>
                <w:bCs/>
                <w:sz w:val="20"/>
              </w:rPr>
              <w:t>doi</w:t>
            </w:r>
            <w:proofErr w:type="spellEnd"/>
            <w:proofErr w:type="gramEnd"/>
            <w:r w:rsidRPr="00961B75">
              <w:rPr>
                <w:rFonts w:ascii="Arial Narrow" w:hAnsi="Arial Narrow"/>
                <w:bCs/>
                <w:sz w:val="20"/>
              </w:rPr>
              <w:t>: http://dx.doi.org/10.7326/M15-0785.</w:t>
            </w:r>
          </w:p>
        </w:tc>
      </w:tr>
      <w:tr w:rsidR="00195904" w:rsidRPr="00961B75" w:rsidTr="00195904">
        <w:tc>
          <w:tcPr>
            <w:tcW w:w="678" w:type="pct"/>
            <w:vAlign w:val="center"/>
          </w:tcPr>
          <w:p w:rsidR="00195904" w:rsidRPr="00961B75" w:rsidRDefault="00195904" w:rsidP="004611DA">
            <w:pPr>
              <w:widowControl/>
              <w:jc w:val="left"/>
              <w:rPr>
                <w:rFonts w:ascii="Arial Narrow" w:hAnsi="Arial Narrow"/>
                <w:b/>
                <w:bCs/>
                <w:sz w:val="20"/>
              </w:rPr>
            </w:pPr>
            <w:r w:rsidRPr="00961B75">
              <w:rPr>
                <w:rFonts w:ascii="Arial Narrow" w:hAnsi="Arial Narrow"/>
                <w:b/>
                <w:bCs/>
                <w:sz w:val="20"/>
              </w:rPr>
              <w:t>C-EDGE TE</w:t>
            </w:r>
          </w:p>
          <w:p w:rsidR="00195904" w:rsidRPr="00961B75" w:rsidRDefault="00195904" w:rsidP="004611DA">
            <w:pPr>
              <w:widowControl/>
              <w:jc w:val="left"/>
              <w:rPr>
                <w:rFonts w:ascii="Arial Narrow" w:hAnsi="Arial Narrow"/>
                <w:sz w:val="20"/>
              </w:rPr>
            </w:pPr>
            <w:r w:rsidRPr="00961B75">
              <w:rPr>
                <w:rFonts w:ascii="Arial Narrow" w:hAnsi="Arial Narrow"/>
                <w:sz w:val="20"/>
              </w:rPr>
              <w:t>NCT02105701</w:t>
            </w:r>
          </w:p>
        </w:tc>
        <w:tc>
          <w:tcPr>
            <w:tcW w:w="3124" w:type="pct"/>
          </w:tcPr>
          <w:p w:rsidR="00195904" w:rsidRPr="00961B75" w:rsidRDefault="00195904" w:rsidP="004611DA">
            <w:pPr>
              <w:widowControl/>
              <w:jc w:val="left"/>
              <w:rPr>
                <w:rFonts w:ascii="Arial Narrow" w:hAnsi="Arial Narrow"/>
                <w:bCs/>
                <w:sz w:val="20"/>
              </w:rPr>
            </w:pPr>
            <w:proofErr w:type="spellStart"/>
            <w:r w:rsidRPr="00961B75">
              <w:rPr>
                <w:rFonts w:ascii="Arial Narrow" w:hAnsi="Arial Narrow"/>
                <w:bCs/>
                <w:sz w:val="20"/>
              </w:rPr>
              <w:t>Kwo</w:t>
            </w:r>
            <w:proofErr w:type="spellEnd"/>
            <w:r w:rsidRPr="00961B75">
              <w:rPr>
                <w:rFonts w:ascii="Arial Narrow" w:hAnsi="Arial Narrow"/>
                <w:bCs/>
                <w:sz w:val="20"/>
              </w:rPr>
              <w:t xml:space="preserve"> P, </w:t>
            </w:r>
            <w:proofErr w:type="spellStart"/>
            <w:r w:rsidRPr="00961B75">
              <w:rPr>
                <w:rFonts w:ascii="Arial Narrow" w:hAnsi="Arial Narrow"/>
                <w:bCs/>
                <w:sz w:val="20"/>
              </w:rPr>
              <w:t>Gane</w:t>
            </w:r>
            <w:proofErr w:type="spellEnd"/>
            <w:r w:rsidRPr="00961B75">
              <w:rPr>
                <w:rFonts w:ascii="Arial Narrow" w:hAnsi="Arial Narrow"/>
                <w:bCs/>
                <w:sz w:val="20"/>
              </w:rPr>
              <w:t xml:space="preserve"> E, </w:t>
            </w:r>
            <w:proofErr w:type="spellStart"/>
            <w:r w:rsidRPr="00961B75">
              <w:rPr>
                <w:rFonts w:ascii="Arial Narrow" w:hAnsi="Arial Narrow"/>
                <w:bCs/>
                <w:sz w:val="20"/>
              </w:rPr>
              <w:t>Peng</w:t>
            </w:r>
            <w:proofErr w:type="spellEnd"/>
            <w:r w:rsidRPr="00961B75">
              <w:rPr>
                <w:rFonts w:ascii="Arial Narrow" w:hAnsi="Arial Narrow"/>
                <w:bCs/>
                <w:sz w:val="20"/>
              </w:rPr>
              <w:t xml:space="preserve"> C-, </w:t>
            </w:r>
            <w:r w:rsidRPr="00961B75">
              <w:rPr>
                <w:rFonts w:ascii="Arial Narrow" w:hAnsi="Arial Narrow"/>
                <w:bCs/>
                <w:i/>
                <w:iCs/>
                <w:sz w:val="20"/>
              </w:rPr>
              <w:t>et al.</w:t>
            </w:r>
            <w:r w:rsidRPr="00961B75">
              <w:rPr>
                <w:rFonts w:ascii="Arial Narrow" w:hAnsi="Arial Narrow"/>
                <w:bCs/>
                <w:sz w:val="20"/>
              </w:rPr>
              <w:t xml:space="preserve"> Efficacy and safety of grazoprevir/elbasvir plus /- </w:t>
            </w:r>
            <w:proofErr w:type="spellStart"/>
            <w:r w:rsidRPr="00961B75">
              <w:rPr>
                <w:rFonts w:ascii="Arial Narrow" w:hAnsi="Arial Narrow"/>
                <w:bCs/>
                <w:sz w:val="20"/>
              </w:rPr>
              <w:t>rbv</w:t>
            </w:r>
            <w:proofErr w:type="spellEnd"/>
            <w:r w:rsidRPr="00961B75">
              <w:rPr>
                <w:rFonts w:ascii="Arial Narrow" w:hAnsi="Arial Narrow"/>
                <w:bCs/>
                <w:sz w:val="20"/>
              </w:rPr>
              <w:t xml:space="preserve"> for 12 weeks in patients with HCV G1 or G4 infection who previously failed </w:t>
            </w:r>
            <w:proofErr w:type="spellStart"/>
            <w:r w:rsidRPr="00961B75">
              <w:rPr>
                <w:rFonts w:ascii="Arial Narrow" w:hAnsi="Arial Narrow"/>
                <w:bCs/>
                <w:sz w:val="20"/>
              </w:rPr>
              <w:t>peginterferon</w:t>
            </w:r>
            <w:proofErr w:type="spellEnd"/>
            <w:r w:rsidRPr="00961B75">
              <w:rPr>
                <w:rFonts w:ascii="Arial Narrow" w:hAnsi="Arial Narrow"/>
                <w:bCs/>
                <w:sz w:val="20"/>
              </w:rPr>
              <w:t>/</w:t>
            </w:r>
            <w:proofErr w:type="spellStart"/>
            <w:r w:rsidRPr="00961B75">
              <w:rPr>
                <w:rFonts w:ascii="Arial Narrow" w:hAnsi="Arial Narrow"/>
                <w:bCs/>
                <w:sz w:val="20"/>
              </w:rPr>
              <w:t>rbv</w:t>
            </w:r>
            <w:proofErr w:type="spellEnd"/>
            <w:r w:rsidRPr="00961B75">
              <w:rPr>
                <w:rFonts w:ascii="Arial Narrow" w:hAnsi="Arial Narrow"/>
                <w:bCs/>
                <w:sz w:val="20"/>
              </w:rPr>
              <w:t xml:space="preserve">: c-edge treatment-experienced trial. </w:t>
            </w:r>
          </w:p>
        </w:tc>
        <w:tc>
          <w:tcPr>
            <w:tcW w:w="1198" w:type="pct"/>
          </w:tcPr>
          <w:p w:rsidR="00195904" w:rsidRPr="00961B75" w:rsidRDefault="00195904" w:rsidP="004611DA">
            <w:pPr>
              <w:widowControl/>
              <w:jc w:val="left"/>
              <w:rPr>
                <w:rFonts w:ascii="Arial Narrow" w:hAnsi="Arial Narrow"/>
                <w:bCs/>
                <w:sz w:val="20"/>
              </w:rPr>
            </w:pPr>
            <w:r w:rsidRPr="00961B75">
              <w:rPr>
                <w:rFonts w:ascii="Arial Narrow" w:hAnsi="Arial Narrow"/>
                <w:bCs/>
                <w:i/>
                <w:sz w:val="20"/>
              </w:rPr>
              <w:t xml:space="preserve">J </w:t>
            </w:r>
            <w:proofErr w:type="spellStart"/>
            <w:r w:rsidRPr="00961B75">
              <w:rPr>
                <w:rFonts w:ascii="Arial Narrow" w:hAnsi="Arial Narrow"/>
                <w:bCs/>
                <w:i/>
                <w:sz w:val="20"/>
              </w:rPr>
              <w:t>Hepatol</w:t>
            </w:r>
            <w:proofErr w:type="spellEnd"/>
            <w:r w:rsidRPr="00961B75">
              <w:rPr>
                <w:rFonts w:ascii="Arial Narrow" w:hAnsi="Arial Narrow"/>
                <w:bCs/>
                <w:sz w:val="20"/>
              </w:rPr>
              <w:t xml:space="preserve"> </w:t>
            </w:r>
            <w:r w:rsidRPr="00961B75">
              <w:rPr>
                <w:rFonts w:ascii="Arial Narrow" w:hAnsi="Arial Narrow"/>
                <w:bCs/>
                <w:i/>
                <w:iCs/>
                <w:sz w:val="20"/>
              </w:rPr>
              <w:t>2015</w:t>
            </w:r>
            <w:r w:rsidRPr="00961B75">
              <w:rPr>
                <w:rFonts w:ascii="Arial Narrow" w:hAnsi="Arial Narrow"/>
                <w:bCs/>
                <w:sz w:val="20"/>
              </w:rPr>
              <w:t>; 62: S674-S675.</w:t>
            </w:r>
          </w:p>
        </w:tc>
      </w:tr>
      <w:tr w:rsidR="00195904" w:rsidRPr="00961B75" w:rsidTr="00195904">
        <w:tc>
          <w:tcPr>
            <w:tcW w:w="678" w:type="pct"/>
            <w:vAlign w:val="center"/>
          </w:tcPr>
          <w:p w:rsidR="00195904" w:rsidRPr="00961B75" w:rsidRDefault="00195904" w:rsidP="004611DA">
            <w:pPr>
              <w:widowControl/>
              <w:jc w:val="left"/>
              <w:rPr>
                <w:rFonts w:ascii="Arial Narrow" w:hAnsi="Arial Narrow"/>
                <w:b/>
                <w:bCs/>
                <w:sz w:val="20"/>
              </w:rPr>
            </w:pPr>
            <w:r w:rsidRPr="00961B75">
              <w:rPr>
                <w:rFonts w:ascii="Arial Narrow" w:hAnsi="Arial Narrow"/>
                <w:b/>
                <w:bCs/>
                <w:sz w:val="20"/>
              </w:rPr>
              <w:t>C-EDGE CO-INFECTION</w:t>
            </w:r>
          </w:p>
          <w:p w:rsidR="00195904" w:rsidRPr="00961B75" w:rsidRDefault="00195904" w:rsidP="004611DA">
            <w:pPr>
              <w:widowControl/>
              <w:jc w:val="left"/>
              <w:rPr>
                <w:rFonts w:ascii="Arial Narrow" w:hAnsi="Arial Narrow"/>
                <w:sz w:val="20"/>
              </w:rPr>
            </w:pPr>
            <w:r w:rsidRPr="00961B75">
              <w:rPr>
                <w:rFonts w:ascii="Arial Narrow" w:hAnsi="Arial Narrow"/>
                <w:sz w:val="20"/>
              </w:rPr>
              <w:t>NCT02105662</w:t>
            </w:r>
          </w:p>
        </w:tc>
        <w:tc>
          <w:tcPr>
            <w:tcW w:w="3124" w:type="pct"/>
          </w:tcPr>
          <w:p w:rsidR="00195904" w:rsidRPr="00961B75" w:rsidRDefault="00195904" w:rsidP="004611DA">
            <w:pPr>
              <w:widowControl/>
              <w:jc w:val="left"/>
              <w:rPr>
                <w:rFonts w:ascii="Arial Narrow" w:hAnsi="Arial Narrow"/>
                <w:bCs/>
                <w:sz w:val="20"/>
              </w:rPr>
            </w:pPr>
            <w:proofErr w:type="spellStart"/>
            <w:r w:rsidRPr="00961B75">
              <w:rPr>
                <w:rFonts w:ascii="Arial Narrow" w:hAnsi="Arial Narrow"/>
                <w:bCs/>
                <w:sz w:val="20"/>
              </w:rPr>
              <w:t>Rockstroh</w:t>
            </w:r>
            <w:proofErr w:type="spellEnd"/>
            <w:r w:rsidRPr="00961B75">
              <w:rPr>
                <w:rFonts w:ascii="Arial Narrow" w:hAnsi="Arial Narrow"/>
                <w:bCs/>
                <w:sz w:val="20"/>
              </w:rPr>
              <w:t xml:space="preserve"> J, Nelson M, </w:t>
            </w:r>
            <w:proofErr w:type="spellStart"/>
            <w:r w:rsidRPr="00961B75">
              <w:rPr>
                <w:rFonts w:ascii="Arial Narrow" w:hAnsi="Arial Narrow"/>
                <w:bCs/>
                <w:sz w:val="20"/>
              </w:rPr>
              <w:t>Katlama</w:t>
            </w:r>
            <w:proofErr w:type="spellEnd"/>
            <w:r w:rsidRPr="00961B75">
              <w:rPr>
                <w:rFonts w:ascii="Arial Narrow" w:hAnsi="Arial Narrow"/>
                <w:bCs/>
                <w:sz w:val="20"/>
              </w:rPr>
              <w:t xml:space="preserve"> C, et al. Efficacy and safety of grazoprevir (MK-5172) and elbasvir (MK-8742) in patients with hepatitis C virus and HIV co-infection (C-EDGE CO-INFECTION): A non-randomised, open-label trial. </w:t>
            </w:r>
          </w:p>
        </w:tc>
        <w:tc>
          <w:tcPr>
            <w:tcW w:w="1198" w:type="pct"/>
          </w:tcPr>
          <w:p w:rsidR="00195904" w:rsidRPr="00961B75" w:rsidRDefault="00195904" w:rsidP="004611DA">
            <w:pPr>
              <w:widowControl/>
              <w:jc w:val="left"/>
              <w:rPr>
                <w:rFonts w:ascii="Arial Narrow" w:hAnsi="Arial Narrow"/>
                <w:b/>
                <w:sz w:val="20"/>
              </w:rPr>
            </w:pPr>
            <w:r w:rsidRPr="00961B75">
              <w:rPr>
                <w:rFonts w:ascii="Arial Narrow" w:hAnsi="Arial Narrow"/>
                <w:bCs/>
                <w:i/>
                <w:iCs/>
                <w:sz w:val="20"/>
              </w:rPr>
              <w:t xml:space="preserve">Lancet HIV </w:t>
            </w:r>
            <w:r w:rsidRPr="00961B75">
              <w:rPr>
                <w:rFonts w:ascii="Arial Narrow" w:hAnsi="Arial Narrow"/>
                <w:bCs/>
                <w:sz w:val="20"/>
              </w:rPr>
              <w:t xml:space="preserve">2015; 2(8): e319-e327. </w:t>
            </w:r>
            <w:proofErr w:type="spellStart"/>
            <w:proofErr w:type="gramStart"/>
            <w:r w:rsidRPr="00961B75">
              <w:rPr>
                <w:rFonts w:ascii="Arial Narrow" w:hAnsi="Arial Narrow"/>
                <w:bCs/>
                <w:sz w:val="20"/>
              </w:rPr>
              <w:t>doi</w:t>
            </w:r>
            <w:proofErr w:type="spellEnd"/>
            <w:proofErr w:type="gramEnd"/>
            <w:r w:rsidRPr="00961B75">
              <w:rPr>
                <w:rFonts w:ascii="Arial Narrow" w:hAnsi="Arial Narrow"/>
                <w:bCs/>
                <w:sz w:val="20"/>
              </w:rPr>
              <w:t>: http://dx.doi.org/10.1016/S2352-3018(15)00114-9.</w:t>
            </w:r>
          </w:p>
        </w:tc>
      </w:tr>
      <w:tr w:rsidR="00195904" w:rsidRPr="00961B75" w:rsidTr="00195904">
        <w:tc>
          <w:tcPr>
            <w:tcW w:w="678" w:type="pct"/>
            <w:vAlign w:val="center"/>
          </w:tcPr>
          <w:p w:rsidR="00195904" w:rsidRPr="00961B75" w:rsidRDefault="00195904" w:rsidP="004611DA">
            <w:pPr>
              <w:widowControl/>
              <w:jc w:val="left"/>
              <w:rPr>
                <w:rFonts w:ascii="Arial Narrow" w:hAnsi="Arial Narrow"/>
                <w:b/>
                <w:bCs/>
                <w:sz w:val="20"/>
              </w:rPr>
            </w:pPr>
            <w:r w:rsidRPr="00961B75">
              <w:rPr>
                <w:rFonts w:ascii="Arial Narrow" w:hAnsi="Arial Narrow"/>
                <w:b/>
                <w:bCs/>
                <w:sz w:val="20"/>
              </w:rPr>
              <w:t>C-SCAPE</w:t>
            </w:r>
          </w:p>
          <w:p w:rsidR="00195904" w:rsidRPr="00961B75" w:rsidRDefault="00195904" w:rsidP="004611DA">
            <w:pPr>
              <w:widowControl/>
              <w:jc w:val="left"/>
              <w:rPr>
                <w:rFonts w:ascii="Arial Narrow" w:hAnsi="Arial Narrow"/>
                <w:sz w:val="20"/>
              </w:rPr>
            </w:pPr>
            <w:r w:rsidRPr="00961B75">
              <w:rPr>
                <w:rFonts w:ascii="Arial Narrow" w:hAnsi="Arial Narrow"/>
                <w:sz w:val="20"/>
              </w:rPr>
              <w:t>NCT01932762</w:t>
            </w:r>
          </w:p>
        </w:tc>
        <w:tc>
          <w:tcPr>
            <w:tcW w:w="3124" w:type="pct"/>
          </w:tcPr>
          <w:p w:rsidR="00195904" w:rsidRPr="00961B75" w:rsidRDefault="00195904" w:rsidP="004611DA">
            <w:pPr>
              <w:widowControl/>
              <w:jc w:val="left"/>
              <w:rPr>
                <w:rFonts w:ascii="Arial Narrow" w:hAnsi="Arial Narrow"/>
                <w:bCs/>
                <w:sz w:val="20"/>
              </w:rPr>
            </w:pPr>
            <w:r w:rsidRPr="00961B75">
              <w:rPr>
                <w:rFonts w:ascii="Arial Narrow" w:hAnsi="Arial Narrow"/>
                <w:bCs/>
                <w:sz w:val="20"/>
              </w:rPr>
              <w:t xml:space="preserve">Brown A, </w:t>
            </w:r>
            <w:proofErr w:type="spellStart"/>
            <w:r w:rsidRPr="00961B75">
              <w:rPr>
                <w:rFonts w:ascii="Arial Narrow" w:hAnsi="Arial Narrow"/>
                <w:bCs/>
                <w:sz w:val="20"/>
              </w:rPr>
              <w:t>Hezode</w:t>
            </w:r>
            <w:proofErr w:type="spellEnd"/>
            <w:r w:rsidRPr="00961B75">
              <w:rPr>
                <w:rFonts w:ascii="Arial Narrow" w:hAnsi="Arial Narrow"/>
                <w:bCs/>
                <w:sz w:val="20"/>
              </w:rPr>
              <w:t xml:space="preserve"> C, Zuckerman E, </w:t>
            </w:r>
            <w:r w:rsidRPr="00961B75">
              <w:rPr>
                <w:rFonts w:ascii="Arial Narrow" w:hAnsi="Arial Narrow"/>
                <w:bCs/>
                <w:i/>
                <w:iCs/>
                <w:sz w:val="20"/>
              </w:rPr>
              <w:t>et al.</w:t>
            </w:r>
            <w:r w:rsidRPr="00961B75">
              <w:rPr>
                <w:rFonts w:ascii="Arial Narrow" w:hAnsi="Arial Narrow"/>
                <w:bCs/>
                <w:sz w:val="20"/>
              </w:rPr>
              <w:t xml:space="preserve"> C-SCAPE: Efficacy And Safety Of 12 Weeks Of Grazoprevir Plus /- Elbasvir Plus /- Ribavirin In Patients With HCV GT2, 4, 5 Or 6 Infection. </w:t>
            </w:r>
          </w:p>
        </w:tc>
        <w:tc>
          <w:tcPr>
            <w:tcW w:w="1198" w:type="pct"/>
          </w:tcPr>
          <w:p w:rsidR="00195904" w:rsidRPr="00961B75" w:rsidRDefault="00195904" w:rsidP="004611DA">
            <w:pPr>
              <w:widowControl/>
              <w:jc w:val="left"/>
              <w:rPr>
                <w:rFonts w:ascii="Arial Narrow" w:hAnsi="Arial Narrow"/>
                <w:b/>
                <w:sz w:val="20"/>
              </w:rPr>
            </w:pPr>
            <w:r w:rsidRPr="00961B75">
              <w:rPr>
                <w:rFonts w:ascii="Arial Narrow" w:hAnsi="Arial Narrow"/>
                <w:bCs/>
                <w:i/>
                <w:iCs/>
                <w:sz w:val="20"/>
              </w:rPr>
              <w:t xml:space="preserve">J </w:t>
            </w:r>
            <w:proofErr w:type="spellStart"/>
            <w:r w:rsidRPr="00961B75">
              <w:rPr>
                <w:rFonts w:ascii="Arial Narrow" w:hAnsi="Arial Narrow"/>
                <w:bCs/>
                <w:i/>
                <w:iCs/>
                <w:sz w:val="20"/>
              </w:rPr>
              <w:t>Hepatol</w:t>
            </w:r>
            <w:proofErr w:type="spellEnd"/>
            <w:r w:rsidRPr="00961B75">
              <w:rPr>
                <w:rFonts w:ascii="Arial Narrow" w:hAnsi="Arial Narrow"/>
                <w:bCs/>
                <w:sz w:val="20"/>
              </w:rPr>
              <w:t xml:space="preserve"> 2015; 62: S619.</w:t>
            </w:r>
          </w:p>
        </w:tc>
      </w:tr>
      <w:tr w:rsidR="00195904" w:rsidRPr="00961B75" w:rsidTr="00195904">
        <w:tc>
          <w:tcPr>
            <w:tcW w:w="678" w:type="pct"/>
            <w:vAlign w:val="center"/>
          </w:tcPr>
          <w:p w:rsidR="00195904" w:rsidRPr="00961B75" w:rsidRDefault="00195904" w:rsidP="004611DA">
            <w:pPr>
              <w:widowControl/>
              <w:jc w:val="left"/>
              <w:rPr>
                <w:rFonts w:ascii="Arial Narrow" w:hAnsi="Arial Narrow"/>
                <w:b/>
                <w:bCs/>
                <w:iCs/>
                <w:sz w:val="20"/>
              </w:rPr>
            </w:pPr>
            <w:r w:rsidRPr="00961B75">
              <w:rPr>
                <w:rFonts w:ascii="Arial Narrow" w:hAnsi="Arial Narrow"/>
                <w:b/>
                <w:bCs/>
                <w:iCs/>
                <w:sz w:val="20"/>
              </w:rPr>
              <w:t>C-EDGE CO-STAR</w:t>
            </w:r>
            <w:r w:rsidR="0053375E" w:rsidRPr="00961B75">
              <w:rPr>
                <w:rFonts w:ascii="Arial Narrow" w:hAnsi="Arial Narrow"/>
                <w:bCs/>
                <w:iCs/>
                <w:sz w:val="20"/>
                <w:vertAlign w:val="superscript"/>
              </w:rPr>
              <w:t xml:space="preserve"> a</w:t>
            </w:r>
          </w:p>
          <w:p w:rsidR="00195904" w:rsidRPr="00961B75" w:rsidRDefault="00195904" w:rsidP="004611DA">
            <w:pPr>
              <w:widowControl/>
              <w:jc w:val="left"/>
              <w:rPr>
                <w:rFonts w:ascii="Arial Narrow" w:hAnsi="Arial Narrow"/>
                <w:iCs/>
                <w:sz w:val="20"/>
              </w:rPr>
            </w:pPr>
            <w:r w:rsidRPr="00961B75">
              <w:rPr>
                <w:rFonts w:ascii="Arial Narrow" w:hAnsi="Arial Narrow"/>
                <w:iCs/>
                <w:sz w:val="20"/>
              </w:rPr>
              <w:t>NCT02105688</w:t>
            </w:r>
          </w:p>
        </w:tc>
        <w:tc>
          <w:tcPr>
            <w:tcW w:w="3124" w:type="pct"/>
          </w:tcPr>
          <w:p w:rsidR="00195904" w:rsidRPr="00961B75" w:rsidRDefault="00195904" w:rsidP="004611DA">
            <w:pPr>
              <w:widowControl/>
              <w:jc w:val="left"/>
              <w:rPr>
                <w:rFonts w:ascii="Arial Narrow" w:hAnsi="Arial Narrow"/>
                <w:bCs/>
                <w:iCs/>
                <w:sz w:val="20"/>
              </w:rPr>
            </w:pPr>
            <w:r w:rsidRPr="00961B75">
              <w:rPr>
                <w:rFonts w:ascii="Arial Narrow" w:hAnsi="Arial Narrow"/>
                <w:bCs/>
                <w:iCs/>
                <w:sz w:val="20"/>
              </w:rPr>
              <w:t xml:space="preserve">Dore GJ, </w:t>
            </w:r>
            <w:proofErr w:type="spellStart"/>
            <w:r w:rsidRPr="00961B75">
              <w:rPr>
                <w:rFonts w:ascii="Arial Narrow" w:hAnsi="Arial Narrow"/>
                <w:bCs/>
                <w:iCs/>
                <w:sz w:val="20"/>
              </w:rPr>
              <w:t>Altice</w:t>
            </w:r>
            <w:proofErr w:type="spellEnd"/>
            <w:r w:rsidRPr="00961B75">
              <w:rPr>
                <w:rFonts w:ascii="Arial Narrow" w:hAnsi="Arial Narrow"/>
                <w:bCs/>
                <w:iCs/>
                <w:sz w:val="20"/>
              </w:rPr>
              <w:t xml:space="preserve"> F, </w:t>
            </w:r>
            <w:proofErr w:type="spellStart"/>
            <w:proofErr w:type="gramStart"/>
            <w:r w:rsidRPr="00961B75">
              <w:rPr>
                <w:rFonts w:ascii="Arial Narrow" w:hAnsi="Arial Narrow"/>
                <w:bCs/>
                <w:iCs/>
                <w:sz w:val="20"/>
              </w:rPr>
              <w:t>Litwin</w:t>
            </w:r>
            <w:proofErr w:type="spellEnd"/>
            <w:proofErr w:type="gramEnd"/>
            <w:r w:rsidRPr="00961B75">
              <w:rPr>
                <w:rFonts w:ascii="Arial Narrow" w:hAnsi="Arial Narrow"/>
                <w:bCs/>
                <w:iCs/>
                <w:sz w:val="20"/>
              </w:rPr>
              <w:t xml:space="preserve"> AH, et al. Elbasvir–Grazoprevir to Treat Hepatitis C Virus Infection in Persons Receiving Opioid Agonist Therapy: A Randomized Trial.</w:t>
            </w:r>
            <w:r w:rsidR="0053375E" w:rsidRPr="00961B75">
              <w:rPr>
                <w:rFonts w:ascii="Arial Narrow" w:hAnsi="Arial Narrow"/>
                <w:bCs/>
                <w:iCs/>
                <w:sz w:val="20"/>
                <w:vertAlign w:val="superscript"/>
              </w:rPr>
              <w:t xml:space="preserve"> a</w:t>
            </w:r>
            <w:r w:rsidRPr="00961B75">
              <w:rPr>
                <w:rFonts w:ascii="Arial Narrow" w:hAnsi="Arial Narrow"/>
                <w:bCs/>
                <w:iCs/>
                <w:sz w:val="20"/>
              </w:rPr>
              <w:t xml:space="preserve"> </w:t>
            </w:r>
          </w:p>
        </w:tc>
        <w:tc>
          <w:tcPr>
            <w:tcW w:w="1198" w:type="pct"/>
          </w:tcPr>
          <w:p w:rsidR="00195904" w:rsidRPr="00961B75" w:rsidRDefault="00195904" w:rsidP="004611DA">
            <w:pPr>
              <w:widowControl/>
              <w:jc w:val="left"/>
              <w:rPr>
                <w:rFonts w:ascii="Arial Narrow" w:hAnsi="Arial Narrow"/>
                <w:bCs/>
                <w:i/>
                <w:iCs/>
                <w:sz w:val="20"/>
              </w:rPr>
            </w:pPr>
            <w:r w:rsidRPr="00961B75">
              <w:rPr>
                <w:rFonts w:ascii="Arial Narrow" w:hAnsi="Arial Narrow"/>
                <w:bCs/>
                <w:i/>
                <w:iCs/>
                <w:sz w:val="20"/>
              </w:rPr>
              <w:t>Ann Intern Med Published online 9 August 2016; doi</w:t>
            </w:r>
            <w:proofErr w:type="gramStart"/>
            <w:r w:rsidRPr="00961B75">
              <w:rPr>
                <w:rFonts w:ascii="Arial Narrow" w:hAnsi="Arial Narrow"/>
                <w:bCs/>
                <w:i/>
                <w:iCs/>
                <w:sz w:val="20"/>
              </w:rPr>
              <w:t>:10.7326</w:t>
            </w:r>
            <w:proofErr w:type="gramEnd"/>
            <w:r w:rsidRPr="00961B75">
              <w:rPr>
                <w:rFonts w:ascii="Arial Narrow" w:hAnsi="Arial Narrow"/>
                <w:bCs/>
                <w:i/>
                <w:iCs/>
                <w:sz w:val="20"/>
              </w:rPr>
              <w:t>/M16-0816.</w:t>
            </w:r>
          </w:p>
        </w:tc>
      </w:tr>
      <w:tr w:rsidR="00195904" w:rsidRPr="00961B75" w:rsidTr="00195904">
        <w:tc>
          <w:tcPr>
            <w:tcW w:w="5000" w:type="pct"/>
            <w:gridSpan w:val="3"/>
            <w:vAlign w:val="center"/>
          </w:tcPr>
          <w:p w:rsidR="00195904" w:rsidRPr="00961B75" w:rsidRDefault="00195904" w:rsidP="004611DA">
            <w:pPr>
              <w:widowControl/>
              <w:jc w:val="left"/>
              <w:rPr>
                <w:rFonts w:ascii="Arial Narrow" w:hAnsi="Arial Narrow"/>
                <w:b/>
                <w:sz w:val="20"/>
              </w:rPr>
            </w:pPr>
            <w:r w:rsidRPr="00961B75">
              <w:rPr>
                <w:rFonts w:ascii="Arial Narrow" w:hAnsi="Arial Narrow"/>
                <w:b/>
                <w:sz w:val="20"/>
              </w:rPr>
              <w:t xml:space="preserve">Sofosbuvir plus </w:t>
            </w:r>
            <w:proofErr w:type="spellStart"/>
            <w:r w:rsidRPr="00961B75">
              <w:rPr>
                <w:rFonts w:ascii="Arial Narrow" w:hAnsi="Arial Narrow"/>
                <w:b/>
                <w:sz w:val="20"/>
              </w:rPr>
              <w:t>peginterferon</w:t>
            </w:r>
            <w:proofErr w:type="spellEnd"/>
            <w:r w:rsidRPr="00961B75">
              <w:rPr>
                <w:rFonts w:ascii="Arial Narrow" w:hAnsi="Arial Narrow"/>
                <w:b/>
                <w:sz w:val="20"/>
              </w:rPr>
              <w:t xml:space="preserve"> plus ribavirin (supplementary study)</w:t>
            </w:r>
          </w:p>
        </w:tc>
      </w:tr>
      <w:tr w:rsidR="00195904" w:rsidRPr="00961B75" w:rsidTr="00195904">
        <w:trPr>
          <w:trHeight w:val="690"/>
        </w:trPr>
        <w:tc>
          <w:tcPr>
            <w:tcW w:w="678" w:type="pct"/>
            <w:vMerge w:val="restart"/>
            <w:vAlign w:val="center"/>
          </w:tcPr>
          <w:p w:rsidR="00195904" w:rsidRPr="00961B75" w:rsidRDefault="00195904" w:rsidP="004611DA">
            <w:pPr>
              <w:widowControl/>
              <w:jc w:val="left"/>
              <w:rPr>
                <w:rFonts w:ascii="Arial Narrow" w:hAnsi="Arial Narrow"/>
                <w:b/>
                <w:bCs/>
                <w:sz w:val="20"/>
              </w:rPr>
            </w:pPr>
            <w:r w:rsidRPr="00961B75">
              <w:rPr>
                <w:rFonts w:ascii="Arial Narrow" w:hAnsi="Arial Narrow"/>
                <w:b/>
                <w:bCs/>
                <w:sz w:val="20"/>
              </w:rPr>
              <w:t>NEUTRINO</w:t>
            </w:r>
          </w:p>
          <w:p w:rsidR="00195904" w:rsidRPr="00961B75" w:rsidRDefault="00195904" w:rsidP="004611DA">
            <w:pPr>
              <w:widowControl/>
              <w:jc w:val="left"/>
              <w:rPr>
                <w:rFonts w:ascii="Arial Narrow" w:hAnsi="Arial Narrow"/>
                <w:sz w:val="20"/>
              </w:rPr>
            </w:pPr>
            <w:r w:rsidRPr="00961B75">
              <w:rPr>
                <w:rFonts w:ascii="Arial Narrow" w:hAnsi="Arial Narrow"/>
                <w:sz w:val="20"/>
              </w:rPr>
              <w:t>NCT01641640</w:t>
            </w:r>
          </w:p>
        </w:tc>
        <w:tc>
          <w:tcPr>
            <w:tcW w:w="3124" w:type="pct"/>
            <w:tcBorders>
              <w:bottom w:val="dashed" w:sz="4" w:space="0" w:color="auto"/>
            </w:tcBorders>
          </w:tcPr>
          <w:p w:rsidR="00195904" w:rsidRPr="00961B75" w:rsidRDefault="00195904" w:rsidP="004611DA">
            <w:pPr>
              <w:widowControl/>
              <w:jc w:val="left"/>
              <w:rPr>
                <w:rFonts w:ascii="Arial Narrow" w:hAnsi="Arial Narrow"/>
                <w:bCs/>
                <w:sz w:val="20"/>
              </w:rPr>
            </w:pPr>
            <w:proofErr w:type="spellStart"/>
            <w:r w:rsidRPr="00961B75">
              <w:rPr>
                <w:rFonts w:ascii="Arial Narrow" w:hAnsi="Arial Narrow"/>
                <w:bCs/>
                <w:sz w:val="20"/>
              </w:rPr>
              <w:t>Lawitz</w:t>
            </w:r>
            <w:proofErr w:type="spellEnd"/>
            <w:r w:rsidRPr="00961B75">
              <w:rPr>
                <w:rFonts w:ascii="Arial Narrow" w:hAnsi="Arial Narrow"/>
                <w:bCs/>
                <w:sz w:val="20"/>
              </w:rPr>
              <w:t xml:space="preserve"> E, </w:t>
            </w:r>
            <w:proofErr w:type="spellStart"/>
            <w:r w:rsidRPr="00961B75">
              <w:rPr>
                <w:rFonts w:ascii="Arial Narrow" w:hAnsi="Arial Narrow"/>
                <w:bCs/>
                <w:sz w:val="20"/>
              </w:rPr>
              <w:t>Mangia</w:t>
            </w:r>
            <w:proofErr w:type="spellEnd"/>
            <w:r w:rsidRPr="00961B75">
              <w:rPr>
                <w:rFonts w:ascii="Arial Narrow" w:hAnsi="Arial Narrow"/>
                <w:bCs/>
                <w:sz w:val="20"/>
              </w:rPr>
              <w:t xml:space="preserve"> A, </w:t>
            </w:r>
            <w:proofErr w:type="spellStart"/>
            <w:r w:rsidRPr="00961B75">
              <w:rPr>
                <w:rFonts w:ascii="Arial Narrow" w:hAnsi="Arial Narrow"/>
                <w:bCs/>
                <w:sz w:val="20"/>
              </w:rPr>
              <w:t>Wyles</w:t>
            </w:r>
            <w:proofErr w:type="spellEnd"/>
            <w:r w:rsidRPr="00961B75">
              <w:rPr>
                <w:rFonts w:ascii="Arial Narrow" w:hAnsi="Arial Narrow"/>
                <w:bCs/>
                <w:sz w:val="20"/>
              </w:rPr>
              <w:t xml:space="preserve"> D, </w:t>
            </w:r>
            <w:r w:rsidRPr="00961B75">
              <w:rPr>
                <w:rFonts w:ascii="Arial Narrow" w:hAnsi="Arial Narrow"/>
                <w:bCs/>
                <w:i/>
                <w:iCs/>
                <w:sz w:val="20"/>
              </w:rPr>
              <w:t>et al</w:t>
            </w:r>
            <w:r w:rsidRPr="00961B75">
              <w:rPr>
                <w:rFonts w:ascii="Arial Narrow" w:hAnsi="Arial Narrow"/>
                <w:bCs/>
                <w:sz w:val="20"/>
              </w:rPr>
              <w:t>. Sofosbuvir for Previously Untreated</w:t>
            </w:r>
            <w:r w:rsidR="00840E94">
              <w:rPr>
                <w:rFonts w:ascii="Arial Narrow" w:hAnsi="Arial Narrow"/>
                <w:bCs/>
                <w:sz w:val="20"/>
              </w:rPr>
              <w:t xml:space="preserve"> Chronic Hepatitis C Infection.</w:t>
            </w:r>
          </w:p>
        </w:tc>
        <w:tc>
          <w:tcPr>
            <w:tcW w:w="1198" w:type="pct"/>
            <w:tcBorders>
              <w:bottom w:val="dashed" w:sz="4" w:space="0" w:color="auto"/>
            </w:tcBorders>
          </w:tcPr>
          <w:p w:rsidR="00195904" w:rsidRPr="00961B75" w:rsidRDefault="00195904" w:rsidP="004611DA">
            <w:pPr>
              <w:widowControl/>
              <w:jc w:val="left"/>
              <w:rPr>
                <w:rFonts w:ascii="Arial Narrow" w:hAnsi="Arial Narrow"/>
                <w:bCs/>
                <w:i/>
                <w:iCs/>
                <w:sz w:val="20"/>
              </w:rPr>
            </w:pPr>
            <w:r w:rsidRPr="00961B75">
              <w:rPr>
                <w:rFonts w:ascii="Arial Narrow" w:hAnsi="Arial Narrow"/>
                <w:bCs/>
                <w:i/>
                <w:iCs/>
                <w:sz w:val="20"/>
              </w:rPr>
              <w:t xml:space="preserve">N </w:t>
            </w:r>
            <w:proofErr w:type="spellStart"/>
            <w:r w:rsidRPr="00961B75">
              <w:rPr>
                <w:rFonts w:ascii="Arial Narrow" w:hAnsi="Arial Narrow"/>
                <w:bCs/>
                <w:i/>
                <w:iCs/>
                <w:sz w:val="20"/>
              </w:rPr>
              <w:t>Engl</w:t>
            </w:r>
            <w:proofErr w:type="spellEnd"/>
            <w:r w:rsidRPr="00961B75">
              <w:rPr>
                <w:rFonts w:ascii="Arial Narrow" w:hAnsi="Arial Narrow"/>
                <w:bCs/>
                <w:i/>
                <w:iCs/>
                <w:sz w:val="20"/>
              </w:rPr>
              <w:t xml:space="preserve"> J Med</w:t>
            </w:r>
            <w:r w:rsidRPr="00961B75">
              <w:rPr>
                <w:rFonts w:ascii="Arial Narrow" w:hAnsi="Arial Narrow"/>
                <w:bCs/>
                <w:sz w:val="20"/>
              </w:rPr>
              <w:t xml:space="preserve"> 2013; 368: 1878-87. DOI: 10.1056/NEJMoa1214853</w:t>
            </w:r>
          </w:p>
        </w:tc>
      </w:tr>
      <w:tr w:rsidR="00195904" w:rsidRPr="00961B75" w:rsidTr="00195904">
        <w:trPr>
          <w:trHeight w:val="720"/>
        </w:trPr>
        <w:tc>
          <w:tcPr>
            <w:tcW w:w="678" w:type="pct"/>
            <w:vMerge/>
            <w:vAlign w:val="center"/>
          </w:tcPr>
          <w:p w:rsidR="00195904" w:rsidRPr="00961B75" w:rsidRDefault="00195904" w:rsidP="004611DA">
            <w:pPr>
              <w:widowControl/>
              <w:jc w:val="left"/>
              <w:rPr>
                <w:rFonts w:ascii="Arial Narrow" w:hAnsi="Arial Narrow"/>
                <w:b/>
                <w:bCs/>
                <w:sz w:val="20"/>
              </w:rPr>
            </w:pPr>
          </w:p>
        </w:tc>
        <w:tc>
          <w:tcPr>
            <w:tcW w:w="3124" w:type="pct"/>
            <w:tcBorders>
              <w:top w:val="dashed" w:sz="4" w:space="0" w:color="auto"/>
              <w:bottom w:val="dashed" w:sz="4" w:space="0" w:color="auto"/>
            </w:tcBorders>
          </w:tcPr>
          <w:p w:rsidR="00195904" w:rsidRPr="00961B75" w:rsidRDefault="00195904" w:rsidP="004611DA">
            <w:pPr>
              <w:widowControl/>
              <w:jc w:val="left"/>
              <w:rPr>
                <w:rFonts w:ascii="Arial Narrow" w:hAnsi="Arial Narrow"/>
                <w:bCs/>
                <w:sz w:val="20"/>
              </w:rPr>
            </w:pPr>
            <w:proofErr w:type="spellStart"/>
            <w:r w:rsidRPr="00961B75">
              <w:rPr>
                <w:rFonts w:ascii="Arial Narrow" w:hAnsi="Arial Narrow"/>
                <w:bCs/>
                <w:sz w:val="20"/>
              </w:rPr>
              <w:t>Stepanova</w:t>
            </w:r>
            <w:proofErr w:type="spellEnd"/>
            <w:r w:rsidRPr="00961B75">
              <w:rPr>
                <w:rFonts w:ascii="Arial Narrow" w:hAnsi="Arial Narrow"/>
                <w:bCs/>
                <w:sz w:val="20"/>
              </w:rPr>
              <w:t xml:space="preserve"> M, Nader F, Cure S, </w:t>
            </w:r>
            <w:r w:rsidRPr="00961B75">
              <w:rPr>
                <w:rFonts w:ascii="Arial Narrow" w:hAnsi="Arial Narrow"/>
                <w:bCs/>
                <w:i/>
                <w:iCs/>
                <w:sz w:val="20"/>
              </w:rPr>
              <w:t>et al</w:t>
            </w:r>
            <w:r w:rsidRPr="00961B75">
              <w:rPr>
                <w:rFonts w:ascii="Arial Narrow" w:hAnsi="Arial Narrow"/>
                <w:bCs/>
                <w:sz w:val="20"/>
              </w:rPr>
              <w:t xml:space="preserve">. Patients' preferences and health utility assessment with SF-6D and EQ-5D in patients with chronic hepatitis C treated with sofosbuvir regimens. </w:t>
            </w:r>
          </w:p>
        </w:tc>
        <w:tc>
          <w:tcPr>
            <w:tcW w:w="1198" w:type="pct"/>
            <w:tcBorders>
              <w:top w:val="dashed" w:sz="4" w:space="0" w:color="auto"/>
              <w:bottom w:val="dashed" w:sz="4" w:space="0" w:color="auto"/>
            </w:tcBorders>
          </w:tcPr>
          <w:p w:rsidR="00195904" w:rsidRPr="00961B75" w:rsidRDefault="00195904" w:rsidP="004611DA">
            <w:pPr>
              <w:widowControl/>
              <w:jc w:val="left"/>
              <w:rPr>
                <w:rFonts w:ascii="Arial Narrow" w:hAnsi="Arial Narrow"/>
                <w:bCs/>
                <w:i/>
                <w:iCs/>
                <w:sz w:val="20"/>
              </w:rPr>
            </w:pPr>
            <w:r w:rsidRPr="00961B75">
              <w:rPr>
                <w:rFonts w:ascii="Arial Narrow" w:hAnsi="Arial Narrow"/>
                <w:bCs/>
                <w:i/>
                <w:iCs/>
                <w:sz w:val="20"/>
              </w:rPr>
              <w:t xml:space="preserve">Aliment </w:t>
            </w:r>
            <w:proofErr w:type="spellStart"/>
            <w:r w:rsidRPr="00961B75">
              <w:rPr>
                <w:rFonts w:ascii="Arial Narrow" w:hAnsi="Arial Narrow"/>
                <w:bCs/>
                <w:i/>
                <w:iCs/>
                <w:sz w:val="20"/>
              </w:rPr>
              <w:t>Pharmacol</w:t>
            </w:r>
            <w:proofErr w:type="spellEnd"/>
            <w:r w:rsidRPr="00961B75">
              <w:rPr>
                <w:rFonts w:ascii="Arial Narrow" w:hAnsi="Arial Narrow"/>
                <w:bCs/>
                <w:i/>
                <w:iCs/>
                <w:sz w:val="20"/>
              </w:rPr>
              <w:t xml:space="preserve"> </w:t>
            </w:r>
            <w:proofErr w:type="spellStart"/>
            <w:r w:rsidRPr="00961B75">
              <w:rPr>
                <w:rFonts w:ascii="Arial Narrow" w:hAnsi="Arial Narrow"/>
                <w:bCs/>
                <w:i/>
                <w:iCs/>
                <w:sz w:val="20"/>
              </w:rPr>
              <w:t>Ther</w:t>
            </w:r>
            <w:proofErr w:type="spellEnd"/>
            <w:r w:rsidRPr="00961B75">
              <w:rPr>
                <w:rFonts w:ascii="Arial Narrow" w:hAnsi="Arial Narrow"/>
                <w:bCs/>
                <w:i/>
                <w:iCs/>
                <w:sz w:val="20"/>
              </w:rPr>
              <w:t xml:space="preserve"> </w:t>
            </w:r>
            <w:r w:rsidRPr="00961B75">
              <w:rPr>
                <w:rFonts w:ascii="Arial Narrow" w:hAnsi="Arial Narrow"/>
                <w:bCs/>
                <w:sz w:val="20"/>
              </w:rPr>
              <w:t xml:space="preserve">2014; 40(6): 676-685. </w:t>
            </w:r>
          </w:p>
        </w:tc>
      </w:tr>
      <w:tr w:rsidR="00195904" w:rsidRPr="00961B75" w:rsidTr="00195904">
        <w:trPr>
          <w:trHeight w:val="642"/>
        </w:trPr>
        <w:tc>
          <w:tcPr>
            <w:tcW w:w="678" w:type="pct"/>
            <w:vMerge/>
            <w:vAlign w:val="center"/>
          </w:tcPr>
          <w:p w:rsidR="00195904" w:rsidRPr="00961B75" w:rsidRDefault="00195904" w:rsidP="004611DA">
            <w:pPr>
              <w:widowControl/>
              <w:jc w:val="left"/>
              <w:rPr>
                <w:rFonts w:ascii="Arial Narrow" w:hAnsi="Arial Narrow"/>
                <w:b/>
                <w:bCs/>
                <w:sz w:val="20"/>
              </w:rPr>
            </w:pPr>
          </w:p>
        </w:tc>
        <w:tc>
          <w:tcPr>
            <w:tcW w:w="3124" w:type="pct"/>
            <w:tcBorders>
              <w:top w:val="dashed" w:sz="4" w:space="0" w:color="auto"/>
            </w:tcBorders>
          </w:tcPr>
          <w:p w:rsidR="00195904" w:rsidRPr="00961B75" w:rsidRDefault="00195904" w:rsidP="004611DA">
            <w:pPr>
              <w:widowControl/>
              <w:jc w:val="left"/>
              <w:rPr>
                <w:rFonts w:ascii="Arial Narrow" w:hAnsi="Arial Narrow"/>
                <w:bCs/>
                <w:sz w:val="20"/>
              </w:rPr>
            </w:pPr>
            <w:proofErr w:type="spellStart"/>
            <w:r w:rsidRPr="00961B75">
              <w:rPr>
                <w:rFonts w:ascii="Arial Narrow" w:hAnsi="Arial Narrow"/>
                <w:bCs/>
                <w:sz w:val="20"/>
              </w:rPr>
              <w:t>Younossi</w:t>
            </w:r>
            <w:proofErr w:type="spellEnd"/>
            <w:r w:rsidRPr="00961B75">
              <w:rPr>
                <w:rFonts w:ascii="Arial Narrow" w:hAnsi="Arial Narrow"/>
                <w:bCs/>
                <w:sz w:val="20"/>
              </w:rPr>
              <w:t xml:space="preserve"> ZM, </w:t>
            </w:r>
            <w:proofErr w:type="spellStart"/>
            <w:r w:rsidRPr="00961B75">
              <w:rPr>
                <w:rFonts w:ascii="Arial Narrow" w:hAnsi="Arial Narrow"/>
                <w:bCs/>
                <w:sz w:val="20"/>
              </w:rPr>
              <w:t>Stepanova</w:t>
            </w:r>
            <w:proofErr w:type="spellEnd"/>
            <w:r w:rsidRPr="00961B75">
              <w:rPr>
                <w:rFonts w:ascii="Arial Narrow" w:hAnsi="Arial Narrow"/>
                <w:bCs/>
                <w:sz w:val="20"/>
              </w:rPr>
              <w:t xml:space="preserve"> M, Henry L, </w:t>
            </w:r>
            <w:r w:rsidRPr="00961B75">
              <w:rPr>
                <w:rFonts w:ascii="Arial Narrow" w:hAnsi="Arial Narrow"/>
                <w:bCs/>
                <w:i/>
                <w:iCs/>
                <w:sz w:val="20"/>
              </w:rPr>
              <w:t>et al.</w:t>
            </w:r>
            <w:r w:rsidRPr="00961B75">
              <w:rPr>
                <w:rFonts w:ascii="Arial Narrow" w:hAnsi="Arial Narrow"/>
                <w:bCs/>
                <w:sz w:val="20"/>
              </w:rPr>
              <w:t xml:space="preserve"> Effects of sofosbuvir-based treatment, with and without interferon, on outcome and productivity of patients with chronic hepatitis C. </w:t>
            </w:r>
          </w:p>
        </w:tc>
        <w:tc>
          <w:tcPr>
            <w:tcW w:w="1198" w:type="pct"/>
            <w:tcBorders>
              <w:top w:val="dashed" w:sz="4" w:space="0" w:color="auto"/>
            </w:tcBorders>
          </w:tcPr>
          <w:p w:rsidR="00195904" w:rsidRPr="00961B75" w:rsidRDefault="00195904" w:rsidP="004611DA">
            <w:pPr>
              <w:widowControl/>
              <w:jc w:val="left"/>
              <w:rPr>
                <w:rFonts w:ascii="Arial Narrow" w:hAnsi="Arial Narrow"/>
                <w:bCs/>
                <w:i/>
                <w:iCs/>
                <w:sz w:val="20"/>
              </w:rPr>
            </w:pPr>
            <w:proofErr w:type="spellStart"/>
            <w:r w:rsidRPr="00961B75">
              <w:rPr>
                <w:rFonts w:ascii="Arial Narrow" w:hAnsi="Arial Narrow"/>
                <w:bCs/>
                <w:i/>
                <w:iCs/>
                <w:sz w:val="20"/>
              </w:rPr>
              <w:t>Clin</w:t>
            </w:r>
            <w:proofErr w:type="spellEnd"/>
            <w:r w:rsidRPr="00961B75">
              <w:rPr>
                <w:rFonts w:ascii="Arial Narrow" w:hAnsi="Arial Narrow"/>
                <w:bCs/>
                <w:i/>
                <w:iCs/>
                <w:sz w:val="20"/>
              </w:rPr>
              <w:t xml:space="preserve"> </w:t>
            </w:r>
            <w:proofErr w:type="spellStart"/>
            <w:r w:rsidRPr="00961B75">
              <w:rPr>
                <w:rFonts w:ascii="Arial Narrow" w:hAnsi="Arial Narrow"/>
                <w:bCs/>
                <w:i/>
                <w:iCs/>
                <w:sz w:val="20"/>
              </w:rPr>
              <w:t>Gastroenterol</w:t>
            </w:r>
            <w:proofErr w:type="spellEnd"/>
            <w:r w:rsidRPr="00961B75">
              <w:rPr>
                <w:rFonts w:ascii="Arial Narrow" w:hAnsi="Arial Narrow"/>
                <w:bCs/>
                <w:i/>
                <w:iCs/>
                <w:sz w:val="20"/>
              </w:rPr>
              <w:t xml:space="preserve"> </w:t>
            </w:r>
            <w:proofErr w:type="spellStart"/>
            <w:r w:rsidRPr="00961B75">
              <w:rPr>
                <w:rFonts w:ascii="Arial Narrow" w:hAnsi="Arial Narrow"/>
                <w:bCs/>
                <w:i/>
                <w:iCs/>
                <w:sz w:val="20"/>
              </w:rPr>
              <w:t>Hepatol</w:t>
            </w:r>
            <w:proofErr w:type="spellEnd"/>
            <w:r w:rsidRPr="00961B75">
              <w:rPr>
                <w:rFonts w:ascii="Arial Narrow" w:hAnsi="Arial Narrow"/>
                <w:bCs/>
                <w:i/>
                <w:iCs/>
                <w:sz w:val="20"/>
              </w:rPr>
              <w:t xml:space="preserve"> </w:t>
            </w:r>
            <w:r w:rsidRPr="00961B75">
              <w:rPr>
                <w:rFonts w:ascii="Arial Narrow" w:hAnsi="Arial Narrow"/>
                <w:bCs/>
                <w:sz w:val="20"/>
              </w:rPr>
              <w:t>2014; 12(8): 1349-59.e13.</w:t>
            </w:r>
          </w:p>
        </w:tc>
      </w:tr>
      <w:tr w:rsidR="00195904" w:rsidRPr="00961B75" w:rsidTr="00195904">
        <w:tc>
          <w:tcPr>
            <w:tcW w:w="678" w:type="pct"/>
            <w:vAlign w:val="center"/>
          </w:tcPr>
          <w:p w:rsidR="00195904" w:rsidRPr="00961B75" w:rsidRDefault="00195904" w:rsidP="004611DA">
            <w:pPr>
              <w:widowControl/>
              <w:jc w:val="left"/>
              <w:rPr>
                <w:rFonts w:ascii="Arial Narrow" w:hAnsi="Arial Narrow"/>
                <w:b/>
                <w:bCs/>
                <w:iCs/>
                <w:snapToGrid/>
                <w:sz w:val="20"/>
              </w:rPr>
            </w:pPr>
            <w:proofErr w:type="spellStart"/>
            <w:r w:rsidRPr="00961B75">
              <w:rPr>
                <w:rFonts w:ascii="Arial Narrow" w:hAnsi="Arial Narrow"/>
                <w:b/>
                <w:bCs/>
                <w:iCs/>
                <w:snapToGrid/>
                <w:sz w:val="20"/>
              </w:rPr>
              <w:t>Wehmeyer</w:t>
            </w:r>
            <w:proofErr w:type="spellEnd"/>
            <w:r w:rsidRPr="00961B75">
              <w:rPr>
                <w:rFonts w:ascii="Arial Narrow" w:hAnsi="Arial Narrow"/>
                <w:b/>
                <w:bCs/>
                <w:iCs/>
                <w:snapToGrid/>
                <w:sz w:val="20"/>
              </w:rPr>
              <w:t xml:space="preserve"> 2015</w:t>
            </w:r>
            <w:r w:rsidR="0053375E" w:rsidRPr="00961B75">
              <w:rPr>
                <w:rFonts w:ascii="Arial Narrow" w:hAnsi="Arial Narrow"/>
                <w:bCs/>
                <w:iCs/>
                <w:sz w:val="20"/>
                <w:vertAlign w:val="superscript"/>
              </w:rPr>
              <w:t xml:space="preserve"> a</w:t>
            </w:r>
          </w:p>
          <w:p w:rsidR="00195904" w:rsidRPr="00961B75" w:rsidRDefault="00195904" w:rsidP="004611DA">
            <w:pPr>
              <w:widowControl/>
              <w:jc w:val="left"/>
              <w:rPr>
                <w:rFonts w:ascii="Arial Narrow" w:hAnsi="Arial Narrow"/>
                <w:b/>
                <w:bCs/>
                <w:iCs/>
                <w:snapToGrid/>
                <w:sz w:val="20"/>
              </w:rPr>
            </w:pPr>
          </w:p>
        </w:tc>
        <w:tc>
          <w:tcPr>
            <w:tcW w:w="3124" w:type="pct"/>
          </w:tcPr>
          <w:p w:rsidR="00195904" w:rsidRPr="00961B75" w:rsidRDefault="00195904" w:rsidP="004611DA">
            <w:pPr>
              <w:pStyle w:val="FootnoteText"/>
              <w:widowControl/>
            </w:pPr>
            <w:proofErr w:type="spellStart"/>
            <w:r w:rsidRPr="00961B75">
              <w:rPr>
                <w:rFonts w:ascii="Arial Narrow" w:hAnsi="Arial Narrow"/>
              </w:rPr>
              <w:t>Wehmeyer</w:t>
            </w:r>
            <w:proofErr w:type="spellEnd"/>
            <w:r w:rsidRPr="00961B75">
              <w:rPr>
                <w:rFonts w:ascii="Arial Narrow" w:hAnsi="Arial Narrow"/>
              </w:rPr>
              <w:t xml:space="preserve"> M., Jordan S., </w:t>
            </w:r>
            <w:proofErr w:type="spellStart"/>
            <w:r w:rsidRPr="00961B75">
              <w:rPr>
                <w:rFonts w:ascii="Arial Narrow" w:hAnsi="Arial Narrow"/>
              </w:rPr>
              <w:t>Lütha</w:t>
            </w:r>
            <w:proofErr w:type="spellEnd"/>
            <w:r w:rsidRPr="00961B75">
              <w:rPr>
                <w:rFonts w:ascii="Arial Narrow" w:hAnsi="Arial Narrow"/>
              </w:rPr>
              <w:t xml:space="preserve"> S., et al. Efficacy and safety of sofosbuvir-based triple therapy in hepatitis C genotype 4 infection</w:t>
            </w:r>
            <w:r w:rsidR="0053375E" w:rsidRPr="00961B75">
              <w:rPr>
                <w:rFonts w:ascii="Arial Narrow" w:hAnsi="Arial Narrow"/>
                <w:bCs/>
                <w:iCs/>
                <w:vertAlign w:val="superscript"/>
              </w:rPr>
              <w:t xml:space="preserve"> a</w:t>
            </w:r>
          </w:p>
        </w:tc>
        <w:tc>
          <w:tcPr>
            <w:tcW w:w="1198" w:type="pct"/>
          </w:tcPr>
          <w:p w:rsidR="00195904" w:rsidRPr="00961B75" w:rsidRDefault="00195904" w:rsidP="004611DA">
            <w:pPr>
              <w:widowControl/>
              <w:jc w:val="left"/>
              <w:rPr>
                <w:rFonts w:ascii="Arial Narrow" w:hAnsi="Arial Narrow"/>
                <w:bCs/>
                <w:i/>
                <w:iCs/>
                <w:sz w:val="20"/>
              </w:rPr>
            </w:pPr>
            <w:r w:rsidRPr="00961B75">
              <w:rPr>
                <w:rFonts w:ascii="Arial Narrow" w:hAnsi="Arial Narrow"/>
                <w:i/>
                <w:sz w:val="20"/>
              </w:rPr>
              <w:t>Digestive and Liver Disease 2015; 47: 811–814.</w:t>
            </w:r>
          </w:p>
        </w:tc>
      </w:tr>
    </w:tbl>
    <w:p w:rsidR="0053375E" w:rsidRPr="00961B75" w:rsidRDefault="0053375E" w:rsidP="004611DA">
      <w:pPr>
        <w:pStyle w:val="TableFooter"/>
        <w:widowControl/>
        <w:ind w:left="709"/>
        <w:rPr>
          <w:iCs/>
          <w:szCs w:val="18"/>
        </w:rPr>
      </w:pPr>
      <w:proofErr w:type="gramStart"/>
      <w:r w:rsidRPr="00961B75">
        <w:rPr>
          <w:bCs/>
          <w:iCs/>
          <w:szCs w:val="18"/>
          <w:vertAlign w:val="superscript"/>
        </w:rPr>
        <w:t>a</w:t>
      </w:r>
      <w:proofErr w:type="gramEnd"/>
      <w:r w:rsidRPr="00961B75">
        <w:rPr>
          <w:bCs/>
          <w:iCs/>
          <w:szCs w:val="18"/>
          <w:vertAlign w:val="superscript"/>
        </w:rPr>
        <w:t xml:space="preserve"> </w:t>
      </w:r>
      <w:r w:rsidRPr="00961B75">
        <w:rPr>
          <w:bCs/>
          <w:iCs/>
          <w:szCs w:val="18"/>
        </w:rPr>
        <w:t>Trial and/or report identified during the evaluation.</w:t>
      </w:r>
    </w:p>
    <w:p w:rsidR="00195904" w:rsidRPr="00961B75" w:rsidRDefault="00195904" w:rsidP="004611DA">
      <w:pPr>
        <w:pStyle w:val="TableFooter"/>
        <w:widowControl/>
        <w:ind w:left="709"/>
        <w:rPr>
          <w:iCs/>
        </w:rPr>
      </w:pPr>
      <w:r w:rsidRPr="00961B75">
        <w:rPr>
          <w:iCs/>
        </w:rPr>
        <w:t xml:space="preserve">Note: Abstracts/presentations of conference proceedings were not included if a relevant peer-reviewed journal article was available. </w:t>
      </w:r>
      <w:proofErr w:type="spellStart"/>
      <w:r w:rsidRPr="00961B75">
        <w:rPr>
          <w:iCs/>
        </w:rPr>
        <w:t>Technivie</w:t>
      </w:r>
      <w:proofErr w:type="spellEnd"/>
      <w:r w:rsidRPr="00961B75">
        <w:rPr>
          <w:iCs/>
        </w:rPr>
        <w:t>® represents treatment with paritaprevir/ritonavir/ombitasvir.</w:t>
      </w:r>
    </w:p>
    <w:p w:rsidR="00195904" w:rsidRPr="00961B75" w:rsidRDefault="00195904" w:rsidP="004611DA">
      <w:pPr>
        <w:pStyle w:val="TableFooter"/>
        <w:widowControl/>
        <w:ind w:left="709"/>
      </w:pPr>
      <w:r w:rsidRPr="00961B75">
        <w:t>Source: Table B-3, pp69-71 of the submission</w:t>
      </w:r>
    </w:p>
    <w:p w:rsidR="00862502" w:rsidRPr="00961B75" w:rsidRDefault="00862502" w:rsidP="004611DA">
      <w:pPr>
        <w:widowControl/>
        <w:rPr>
          <w:szCs w:val="22"/>
        </w:rPr>
      </w:pPr>
    </w:p>
    <w:p w:rsidR="00240256" w:rsidRPr="00961B75" w:rsidRDefault="008F120A" w:rsidP="00EF7F25">
      <w:pPr>
        <w:pStyle w:val="ListParagraph"/>
        <w:widowControl/>
        <w:numPr>
          <w:ilvl w:val="1"/>
          <w:numId w:val="1"/>
        </w:numPr>
        <w:rPr>
          <w:szCs w:val="22"/>
        </w:rPr>
      </w:pPr>
      <w:r w:rsidRPr="00961B75">
        <w:rPr>
          <w:szCs w:val="22"/>
        </w:rPr>
        <w:t>The key features of</w:t>
      </w:r>
      <w:r w:rsidR="008605C0" w:rsidRPr="00961B75">
        <w:rPr>
          <w:szCs w:val="22"/>
        </w:rPr>
        <w:t xml:space="preserve"> the included studies </w:t>
      </w:r>
      <w:r w:rsidRPr="00961B75">
        <w:rPr>
          <w:szCs w:val="22"/>
        </w:rPr>
        <w:t xml:space="preserve">are summarised in </w:t>
      </w:r>
      <w:r w:rsidR="00240256" w:rsidRPr="00961B75">
        <w:rPr>
          <w:szCs w:val="22"/>
        </w:rPr>
        <w:t>Table 2</w:t>
      </w:r>
      <w:r w:rsidRPr="00961B75">
        <w:rPr>
          <w:szCs w:val="22"/>
        </w:rPr>
        <w:t>.</w:t>
      </w:r>
    </w:p>
    <w:p w:rsidR="00195904" w:rsidRPr="00961B75" w:rsidRDefault="00195904" w:rsidP="004611DA">
      <w:pPr>
        <w:widowControl/>
        <w:rPr>
          <w:szCs w:val="22"/>
        </w:rPr>
      </w:pPr>
    </w:p>
    <w:p w:rsidR="007F1017" w:rsidRPr="00961B75" w:rsidRDefault="008605C0" w:rsidP="004611DA">
      <w:pPr>
        <w:widowControl/>
        <w:ind w:firstLine="720"/>
        <w:rPr>
          <w:rStyle w:val="CommentReference"/>
        </w:rPr>
      </w:pPr>
      <w:r w:rsidRPr="00961B75">
        <w:rPr>
          <w:rStyle w:val="CommentReference"/>
        </w:rPr>
        <w:t>Table 2</w:t>
      </w:r>
      <w:r w:rsidR="007F1017" w:rsidRPr="00961B75">
        <w:rPr>
          <w:rStyle w:val="CommentReference"/>
        </w:rPr>
        <w:t>: Key features of the included evidence</w:t>
      </w:r>
    </w:p>
    <w:tbl>
      <w:tblPr>
        <w:tblW w:w="8572"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952"/>
        <w:gridCol w:w="352"/>
        <w:gridCol w:w="992"/>
        <w:gridCol w:w="630"/>
        <w:gridCol w:w="429"/>
        <w:gridCol w:w="406"/>
        <w:gridCol w:w="565"/>
        <w:gridCol w:w="798"/>
        <w:gridCol w:w="1063"/>
        <w:gridCol w:w="901"/>
        <w:gridCol w:w="742"/>
        <w:gridCol w:w="742"/>
      </w:tblGrid>
      <w:tr w:rsidR="008605C0" w:rsidRPr="00961B75" w:rsidTr="008605C0">
        <w:trPr>
          <w:cantSplit/>
          <w:trHeight w:val="191"/>
          <w:tblHeader/>
        </w:trPr>
        <w:tc>
          <w:tcPr>
            <w:tcW w:w="952" w:type="dxa"/>
            <w:vMerge w:val="restart"/>
            <w:shd w:val="clear" w:color="auto" w:fill="auto"/>
            <w:vAlign w:val="center"/>
          </w:tcPr>
          <w:p w:rsidR="008605C0" w:rsidRPr="00961B75" w:rsidRDefault="008605C0" w:rsidP="004611DA">
            <w:pPr>
              <w:keepLines/>
              <w:widowControl/>
              <w:jc w:val="left"/>
              <w:rPr>
                <w:rFonts w:ascii="Arial Narrow" w:hAnsi="Arial Narrow"/>
                <w:b/>
                <w:sz w:val="20"/>
              </w:rPr>
            </w:pPr>
            <w:r w:rsidRPr="00961B75">
              <w:rPr>
                <w:rFonts w:ascii="Arial Narrow" w:hAnsi="Arial Narrow"/>
                <w:b/>
                <w:sz w:val="20"/>
              </w:rPr>
              <w:t>Trial</w:t>
            </w:r>
          </w:p>
        </w:tc>
        <w:tc>
          <w:tcPr>
            <w:tcW w:w="352" w:type="dxa"/>
            <w:vMerge w:val="restart"/>
            <w:shd w:val="clear" w:color="auto" w:fill="auto"/>
            <w:vAlign w:val="center"/>
          </w:tcPr>
          <w:p w:rsidR="008605C0" w:rsidRPr="00961B75" w:rsidRDefault="008605C0" w:rsidP="004611DA">
            <w:pPr>
              <w:keepLines/>
              <w:widowControl/>
              <w:jc w:val="center"/>
              <w:rPr>
                <w:rFonts w:ascii="Arial Narrow" w:hAnsi="Arial Narrow"/>
                <w:b/>
                <w:sz w:val="20"/>
              </w:rPr>
            </w:pPr>
            <w:r w:rsidRPr="00961B75">
              <w:rPr>
                <w:rFonts w:ascii="Arial Narrow" w:hAnsi="Arial Narrow"/>
                <w:b/>
                <w:sz w:val="20"/>
              </w:rPr>
              <w:t>N</w:t>
            </w:r>
          </w:p>
        </w:tc>
        <w:tc>
          <w:tcPr>
            <w:tcW w:w="992" w:type="dxa"/>
            <w:vMerge w:val="restart"/>
            <w:shd w:val="clear" w:color="auto" w:fill="auto"/>
            <w:vAlign w:val="center"/>
          </w:tcPr>
          <w:p w:rsidR="008605C0" w:rsidRPr="00961B75" w:rsidRDefault="008605C0" w:rsidP="004611DA">
            <w:pPr>
              <w:keepLines/>
              <w:widowControl/>
              <w:jc w:val="center"/>
              <w:rPr>
                <w:rFonts w:ascii="Arial Narrow" w:hAnsi="Arial Narrow"/>
                <w:b/>
                <w:sz w:val="20"/>
              </w:rPr>
            </w:pPr>
            <w:r w:rsidRPr="00961B75">
              <w:rPr>
                <w:rFonts w:ascii="Arial Narrow" w:hAnsi="Arial Narrow"/>
                <w:b/>
                <w:sz w:val="20"/>
              </w:rPr>
              <w:t>Design/ duration</w:t>
            </w:r>
          </w:p>
        </w:tc>
        <w:tc>
          <w:tcPr>
            <w:tcW w:w="630" w:type="dxa"/>
            <w:vMerge w:val="restart"/>
            <w:shd w:val="clear" w:color="auto" w:fill="auto"/>
            <w:vAlign w:val="center"/>
          </w:tcPr>
          <w:p w:rsidR="008605C0" w:rsidRPr="00961B75" w:rsidRDefault="008605C0" w:rsidP="004611DA">
            <w:pPr>
              <w:keepLines/>
              <w:widowControl/>
              <w:jc w:val="center"/>
              <w:rPr>
                <w:rFonts w:ascii="Arial Narrow" w:hAnsi="Arial Narrow"/>
                <w:b/>
                <w:iCs/>
                <w:sz w:val="20"/>
                <w:highlight w:val="yellow"/>
              </w:rPr>
            </w:pPr>
            <w:r w:rsidRPr="00961B75">
              <w:rPr>
                <w:rFonts w:ascii="Arial Narrow" w:hAnsi="Arial Narrow"/>
                <w:b/>
                <w:iCs/>
                <w:sz w:val="20"/>
              </w:rPr>
              <w:t xml:space="preserve">Risk of </w:t>
            </w:r>
            <w:proofErr w:type="spellStart"/>
            <w:r w:rsidRPr="00961B75">
              <w:rPr>
                <w:rFonts w:ascii="Arial Narrow" w:hAnsi="Arial Narrow"/>
                <w:b/>
                <w:iCs/>
                <w:sz w:val="20"/>
              </w:rPr>
              <w:t>bias</w:t>
            </w:r>
            <w:r w:rsidR="00BF312E" w:rsidRPr="00961B75">
              <w:rPr>
                <w:rFonts w:ascii="Arial Narrow" w:hAnsi="Arial Narrow"/>
                <w:b/>
                <w:iCs/>
                <w:sz w:val="20"/>
                <w:vertAlign w:val="superscript"/>
              </w:rPr>
              <w:t>d</w:t>
            </w:r>
            <w:proofErr w:type="spellEnd"/>
          </w:p>
        </w:tc>
        <w:tc>
          <w:tcPr>
            <w:tcW w:w="429" w:type="dxa"/>
            <w:vMerge w:val="restart"/>
            <w:shd w:val="clear" w:color="auto" w:fill="auto"/>
            <w:vAlign w:val="center"/>
          </w:tcPr>
          <w:p w:rsidR="008605C0" w:rsidRPr="00961B75" w:rsidRDefault="008605C0" w:rsidP="004611DA">
            <w:pPr>
              <w:keepLines/>
              <w:widowControl/>
              <w:jc w:val="center"/>
              <w:rPr>
                <w:rFonts w:ascii="Arial Narrow" w:hAnsi="Arial Narrow"/>
                <w:b/>
                <w:sz w:val="20"/>
              </w:rPr>
            </w:pPr>
            <w:proofErr w:type="spellStart"/>
            <w:r w:rsidRPr="00961B75">
              <w:rPr>
                <w:rFonts w:ascii="Arial Narrow" w:hAnsi="Arial Narrow"/>
                <w:b/>
                <w:sz w:val="20"/>
              </w:rPr>
              <w:t>Tx</w:t>
            </w:r>
            <w:proofErr w:type="spellEnd"/>
            <w:r w:rsidRPr="00961B75">
              <w:rPr>
                <w:rFonts w:ascii="Arial Narrow" w:hAnsi="Arial Narrow"/>
                <w:b/>
                <w:sz w:val="20"/>
              </w:rPr>
              <w:t xml:space="preserve"> arm</w:t>
            </w:r>
          </w:p>
        </w:tc>
        <w:tc>
          <w:tcPr>
            <w:tcW w:w="406" w:type="dxa"/>
            <w:vMerge w:val="restart"/>
            <w:vAlign w:val="center"/>
          </w:tcPr>
          <w:p w:rsidR="008605C0" w:rsidRPr="00961B75" w:rsidRDefault="008605C0" w:rsidP="004611DA">
            <w:pPr>
              <w:keepLines/>
              <w:widowControl/>
              <w:jc w:val="center"/>
              <w:rPr>
                <w:rFonts w:ascii="Arial Narrow" w:hAnsi="Arial Narrow"/>
                <w:b/>
                <w:sz w:val="20"/>
              </w:rPr>
            </w:pPr>
            <w:r w:rsidRPr="00961B75">
              <w:rPr>
                <w:rFonts w:ascii="Arial Narrow" w:hAnsi="Arial Narrow"/>
                <w:b/>
                <w:sz w:val="20"/>
              </w:rPr>
              <w:t>n</w:t>
            </w:r>
          </w:p>
        </w:tc>
        <w:tc>
          <w:tcPr>
            <w:tcW w:w="2426" w:type="dxa"/>
            <w:gridSpan w:val="3"/>
            <w:shd w:val="clear" w:color="auto" w:fill="auto"/>
            <w:vAlign w:val="center"/>
          </w:tcPr>
          <w:p w:rsidR="008605C0" w:rsidRPr="00961B75" w:rsidRDefault="008605C0" w:rsidP="004611DA">
            <w:pPr>
              <w:keepLines/>
              <w:widowControl/>
              <w:jc w:val="center"/>
              <w:rPr>
                <w:rFonts w:ascii="Arial Narrow" w:hAnsi="Arial Narrow"/>
                <w:b/>
                <w:sz w:val="20"/>
              </w:rPr>
            </w:pPr>
            <w:r w:rsidRPr="00961B75">
              <w:rPr>
                <w:rFonts w:ascii="Arial Narrow" w:hAnsi="Arial Narrow"/>
                <w:b/>
                <w:sz w:val="20"/>
              </w:rPr>
              <w:t>Patient population</w:t>
            </w:r>
          </w:p>
        </w:tc>
        <w:tc>
          <w:tcPr>
            <w:tcW w:w="901" w:type="dxa"/>
            <w:vMerge w:val="restart"/>
            <w:shd w:val="clear" w:color="auto" w:fill="auto"/>
            <w:vAlign w:val="center"/>
          </w:tcPr>
          <w:p w:rsidR="008605C0" w:rsidRPr="00961B75" w:rsidRDefault="008605C0" w:rsidP="004611DA">
            <w:pPr>
              <w:keepLines/>
              <w:widowControl/>
              <w:jc w:val="center"/>
              <w:rPr>
                <w:rFonts w:ascii="Arial Narrow" w:hAnsi="Arial Narrow"/>
                <w:b/>
                <w:sz w:val="20"/>
              </w:rPr>
            </w:pPr>
            <w:proofErr w:type="spellStart"/>
            <w:r w:rsidRPr="00961B75">
              <w:rPr>
                <w:rFonts w:ascii="Arial Narrow" w:hAnsi="Arial Narrow"/>
                <w:b/>
                <w:sz w:val="20"/>
              </w:rPr>
              <w:t>Tx</w:t>
            </w:r>
            <w:proofErr w:type="spellEnd"/>
          </w:p>
        </w:tc>
        <w:tc>
          <w:tcPr>
            <w:tcW w:w="742" w:type="dxa"/>
            <w:vMerge w:val="restart"/>
            <w:vAlign w:val="center"/>
          </w:tcPr>
          <w:p w:rsidR="008605C0" w:rsidRPr="00961B75" w:rsidRDefault="008605C0" w:rsidP="004611DA">
            <w:pPr>
              <w:keepLines/>
              <w:widowControl/>
              <w:jc w:val="center"/>
              <w:rPr>
                <w:rFonts w:ascii="Arial Narrow" w:hAnsi="Arial Narrow"/>
                <w:b/>
                <w:sz w:val="20"/>
              </w:rPr>
            </w:pPr>
            <w:proofErr w:type="spellStart"/>
            <w:r w:rsidRPr="00961B75">
              <w:rPr>
                <w:rFonts w:ascii="Arial Narrow" w:hAnsi="Arial Narrow"/>
                <w:b/>
                <w:sz w:val="20"/>
              </w:rPr>
              <w:t>Tx</w:t>
            </w:r>
            <w:proofErr w:type="spellEnd"/>
            <w:r w:rsidRPr="00961B75">
              <w:rPr>
                <w:rFonts w:ascii="Arial Narrow" w:hAnsi="Arial Narrow"/>
                <w:b/>
                <w:sz w:val="20"/>
              </w:rPr>
              <w:t xml:space="preserve"> duration (weeks)</w:t>
            </w:r>
          </w:p>
        </w:tc>
        <w:tc>
          <w:tcPr>
            <w:tcW w:w="742" w:type="dxa"/>
            <w:vMerge w:val="restart"/>
            <w:vAlign w:val="center"/>
          </w:tcPr>
          <w:p w:rsidR="008605C0" w:rsidRPr="00961B75" w:rsidRDefault="008605C0" w:rsidP="004611DA">
            <w:pPr>
              <w:keepLines/>
              <w:widowControl/>
              <w:jc w:val="center"/>
              <w:rPr>
                <w:rFonts w:ascii="Arial Narrow" w:hAnsi="Arial Narrow"/>
                <w:b/>
                <w:sz w:val="20"/>
              </w:rPr>
            </w:pPr>
            <w:r w:rsidRPr="00961B75">
              <w:rPr>
                <w:rFonts w:ascii="Arial Narrow" w:hAnsi="Arial Narrow"/>
                <w:b/>
                <w:sz w:val="20"/>
              </w:rPr>
              <w:t>Key outcome</w:t>
            </w:r>
          </w:p>
        </w:tc>
      </w:tr>
      <w:tr w:rsidR="008605C0" w:rsidRPr="00961B75" w:rsidTr="008605C0">
        <w:trPr>
          <w:cantSplit/>
        </w:trPr>
        <w:tc>
          <w:tcPr>
            <w:tcW w:w="952" w:type="dxa"/>
            <w:vMerge/>
            <w:shd w:val="clear" w:color="auto" w:fill="auto"/>
            <w:vAlign w:val="center"/>
          </w:tcPr>
          <w:p w:rsidR="008605C0" w:rsidRPr="00961B75" w:rsidRDefault="008605C0" w:rsidP="004611DA">
            <w:pPr>
              <w:keepLines/>
              <w:widowControl/>
              <w:jc w:val="left"/>
              <w:rPr>
                <w:rFonts w:ascii="Arial Narrow" w:hAnsi="Arial Narrow"/>
                <w:bCs/>
                <w:sz w:val="20"/>
              </w:rPr>
            </w:pPr>
          </w:p>
        </w:tc>
        <w:tc>
          <w:tcPr>
            <w:tcW w:w="352" w:type="dxa"/>
            <w:vMerge/>
            <w:shd w:val="clear" w:color="auto" w:fill="auto"/>
            <w:vAlign w:val="center"/>
          </w:tcPr>
          <w:p w:rsidR="008605C0" w:rsidRPr="00961B75" w:rsidRDefault="008605C0" w:rsidP="004611DA">
            <w:pPr>
              <w:keepLines/>
              <w:widowControl/>
              <w:jc w:val="center"/>
              <w:rPr>
                <w:rFonts w:ascii="Arial Narrow" w:hAnsi="Arial Narrow"/>
                <w:bCs/>
                <w:sz w:val="20"/>
              </w:rPr>
            </w:pPr>
          </w:p>
        </w:tc>
        <w:tc>
          <w:tcPr>
            <w:tcW w:w="992" w:type="dxa"/>
            <w:vMerge/>
            <w:shd w:val="clear" w:color="auto" w:fill="auto"/>
            <w:vAlign w:val="center"/>
          </w:tcPr>
          <w:p w:rsidR="008605C0" w:rsidRPr="00961B75" w:rsidRDefault="008605C0" w:rsidP="004611DA">
            <w:pPr>
              <w:keepLines/>
              <w:widowControl/>
              <w:jc w:val="center"/>
              <w:rPr>
                <w:rFonts w:ascii="Arial Narrow" w:hAnsi="Arial Narrow"/>
                <w:bCs/>
                <w:sz w:val="20"/>
              </w:rPr>
            </w:pPr>
          </w:p>
        </w:tc>
        <w:tc>
          <w:tcPr>
            <w:tcW w:w="630" w:type="dxa"/>
            <w:vMerge/>
            <w:shd w:val="clear" w:color="auto" w:fill="auto"/>
            <w:vAlign w:val="center"/>
          </w:tcPr>
          <w:p w:rsidR="008605C0" w:rsidRPr="00961B75" w:rsidRDefault="008605C0" w:rsidP="004611DA">
            <w:pPr>
              <w:keepLines/>
              <w:widowControl/>
              <w:jc w:val="center"/>
              <w:rPr>
                <w:rFonts w:ascii="Arial Narrow" w:hAnsi="Arial Narrow"/>
                <w:bCs/>
                <w:iCs/>
                <w:sz w:val="20"/>
              </w:rPr>
            </w:pPr>
          </w:p>
        </w:tc>
        <w:tc>
          <w:tcPr>
            <w:tcW w:w="429" w:type="dxa"/>
            <w:vMerge/>
            <w:shd w:val="clear" w:color="auto" w:fill="auto"/>
            <w:vAlign w:val="center"/>
          </w:tcPr>
          <w:p w:rsidR="008605C0" w:rsidRPr="00961B75" w:rsidRDefault="008605C0" w:rsidP="004611DA">
            <w:pPr>
              <w:keepLines/>
              <w:widowControl/>
              <w:jc w:val="center"/>
              <w:rPr>
                <w:rFonts w:ascii="Arial Narrow" w:hAnsi="Arial Narrow"/>
                <w:b/>
                <w:sz w:val="20"/>
              </w:rPr>
            </w:pPr>
          </w:p>
        </w:tc>
        <w:tc>
          <w:tcPr>
            <w:tcW w:w="406" w:type="dxa"/>
            <w:vMerge/>
            <w:vAlign w:val="center"/>
          </w:tcPr>
          <w:p w:rsidR="008605C0" w:rsidRPr="00961B75" w:rsidRDefault="008605C0" w:rsidP="004611DA">
            <w:pPr>
              <w:keepLines/>
              <w:widowControl/>
              <w:jc w:val="center"/>
              <w:rPr>
                <w:rFonts w:ascii="Arial Narrow" w:hAnsi="Arial Narrow"/>
                <w:b/>
                <w:iCs/>
                <w:sz w:val="20"/>
              </w:rPr>
            </w:pPr>
          </w:p>
        </w:tc>
        <w:tc>
          <w:tcPr>
            <w:tcW w:w="565" w:type="dxa"/>
            <w:shd w:val="clear" w:color="auto" w:fill="auto"/>
            <w:vAlign w:val="center"/>
          </w:tcPr>
          <w:p w:rsidR="008605C0" w:rsidRPr="00961B75" w:rsidRDefault="008605C0" w:rsidP="004611DA">
            <w:pPr>
              <w:keepLines/>
              <w:widowControl/>
              <w:jc w:val="center"/>
              <w:rPr>
                <w:rFonts w:ascii="Arial Narrow" w:hAnsi="Arial Narrow"/>
                <w:b/>
                <w:iCs/>
                <w:sz w:val="20"/>
              </w:rPr>
            </w:pPr>
            <w:r w:rsidRPr="00961B75">
              <w:rPr>
                <w:rFonts w:ascii="Arial Narrow" w:hAnsi="Arial Narrow"/>
                <w:b/>
                <w:iCs/>
                <w:sz w:val="20"/>
              </w:rPr>
              <w:t xml:space="preserve">HCV </w:t>
            </w:r>
            <w:proofErr w:type="spellStart"/>
            <w:r w:rsidRPr="00961B75">
              <w:rPr>
                <w:rFonts w:ascii="Arial Narrow" w:hAnsi="Arial Narrow"/>
                <w:b/>
                <w:iCs/>
                <w:sz w:val="20"/>
              </w:rPr>
              <w:t>Gt</w:t>
            </w:r>
            <w:proofErr w:type="spellEnd"/>
          </w:p>
        </w:tc>
        <w:tc>
          <w:tcPr>
            <w:tcW w:w="798" w:type="dxa"/>
            <w:shd w:val="clear" w:color="auto" w:fill="auto"/>
            <w:vAlign w:val="center"/>
          </w:tcPr>
          <w:p w:rsidR="008605C0" w:rsidRPr="00961B75" w:rsidRDefault="008605C0" w:rsidP="004611DA">
            <w:pPr>
              <w:keepLines/>
              <w:widowControl/>
              <w:jc w:val="center"/>
              <w:rPr>
                <w:rFonts w:ascii="Arial Narrow" w:hAnsi="Arial Narrow"/>
                <w:b/>
                <w:iCs/>
                <w:sz w:val="20"/>
              </w:rPr>
            </w:pPr>
            <w:r w:rsidRPr="00961B75">
              <w:rPr>
                <w:rFonts w:ascii="Arial Narrow" w:hAnsi="Arial Narrow"/>
                <w:b/>
                <w:iCs/>
                <w:sz w:val="20"/>
              </w:rPr>
              <w:t>Cirrhosis</w:t>
            </w:r>
          </w:p>
          <w:p w:rsidR="008605C0" w:rsidRPr="00961B75" w:rsidRDefault="004F68EB" w:rsidP="004611DA">
            <w:pPr>
              <w:keepLines/>
              <w:widowControl/>
              <w:jc w:val="center"/>
              <w:rPr>
                <w:rFonts w:ascii="Arial Narrow" w:hAnsi="Arial Narrow"/>
                <w:b/>
                <w:sz w:val="20"/>
              </w:rPr>
            </w:pPr>
            <w:r w:rsidRPr="00961B75">
              <w:rPr>
                <w:rFonts w:ascii="Arial Narrow" w:hAnsi="Arial Narrow"/>
                <w:b/>
                <w:iCs/>
                <w:sz w:val="20"/>
                <w:vertAlign w:val="superscript"/>
              </w:rPr>
              <w:t>a</w:t>
            </w:r>
          </w:p>
        </w:tc>
        <w:tc>
          <w:tcPr>
            <w:tcW w:w="1063" w:type="dxa"/>
            <w:vAlign w:val="center"/>
          </w:tcPr>
          <w:p w:rsidR="008605C0" w:rsidRPr="00961B75" w:rsidRDefault="008605C0" w:rsidP="004611DA">
            <w:pPr>
              <w:keepLines/>
              <w:widowControl/>
              <w:jc w:val="center"/>
              <w:rPr>
                <w:rFonts w:ascii="Arial Narrow" w:hAnsi="Arial Narrow"/>
                <w:bCs/>
                <w:sz w:val="20"/>
              </w:rPr>
            </w:pPr>
            <w:proofErr w:type="spellStart"/>
            <w:r w:rsidRPr="00961B75">
              <w:rPr>
                <w:rFonts w:ascii="Arial Narrow" w:hAnsi="Arial Narrow"/>
                <w:b/>
                <w:sz w:val="20"/>
              </w:rPr>
              <w:t>Tx</w:t>
            </w:r>
            <w:proofErr w:type="spellEnd"/>
            <w:r w:rsidRPr="00961B75">
              <w:rPr>
                <w:rFonts w:ascii="Arial Narrow" w:hAnsi="Arial Narrow"/>
                <w:b/>
                <w:sz w:val="20"/>
              </w:rPr>
              <w:t xml:space="preserve"> history</w:t>
            </w:r>
          </w:p>
        </w:tc>
        <w:tc>
          <w:tcPr>
            <w:tcW w:w="901" w:type="dxa"/>
            <w:vMerge/>
            <w:shd w:val="clear" w:color="auto" w:fill="auto"/>
            <w:vAlign w:val="center"/>
          </w:tcPr>
          <w:p w:rsidR="008605C0" w:rsidRPr="00961B75" w:rsidRDefault="008605C0" w:rsidP="004611DA">
            <w:pPr>
              <w:keepLines/>
              <w:widowControl/>
              <w:jc w:val="center"/>
              <w:rPr>
                <w:rFonts w:ascii="Arial Narrow" w:hAnsi="Arial Narrow"/>
                <w:bCs/>
                <w:sz w:val="20"/>
              </w:rPr>
            </w:pPr>
          </w:p>
        </w:tc>
        <w:tc>
          <w:tcPr>
            <w:tcW w:w="742" w:type="dxa"/>
            <w:vMerge/>
            <w:vAlign w:val="center"/>
          </w:tcPr>
          <w:p w:rsidR="008605C0" w:rsidRPr="00961B75" w:rsidRDefault="008605C0" w:rsidP="004611DA">
            <w:pPr>
              <w:keepLines/>
              <w:widowControl/>
              <w:jc w:val="center"/>
              <w:rPr>
                <w:rFonts w:ascii="Arial Narrow" w:hAnsi="Arial Narrow"/>
                <w:sz w:val="20"/>
              </w:rPr>
            </w:pPr>
          </w:p>
        </w:tc>
        <w:tc>
          <w:tcPr>
            <w:tcW w:w="742" w:type="dxa"/>
            <w:vMerge/>
            <w:vAlign w:val="center"/>
          </w:tcPr>
          <w:p w:rsidR="008605C0" w:rsidRPr="00961B75" w:rsidRDefault="008605C0" w:rsidP="004611DA">
            <w:pPr>
              <w:keepLines/>
              <w:widowControl/>
              <w:jc w:val="center"/>
              <w:rPr>
                <w:rFonts w:ascii="Arial Narrow" w:hAnsi="Arial Narrow"/>
                <w:sz w:val="20"/>
              </w:rPr>
            </w:pPr>
          </w:p>
        </w:tc>
      </w:tr>
      <w:tr w:rsidR="008605C0" w:rsidRPr="00961B75" w:rsidTr="008605C0">
        <w:trPr>
          <w:cantSplit/>
        </w:trPr>
        <w:tc>
          <w:tcPr>
            <w:tcW w:w="8572" w:type="dxa"/>
            <w:gridSpan w:val="12"/>
            <w:shd w:val="clear" w:color="auto" w:fill="auto"/>
            <w:vAlign w:val="center"/>
          </w:tcPr>
          <w:p w:rsidR="008605C0" w:rsidRPr="00961B75" w:rsidRDefault="008605C0" w:rsidP="004611DA">
            <w:pPr>
              <w:keepLines/>
              <w:widowControl/>
              <w:jc w:val="left"/>
              <w:rPr>
                <w:rFonts w:ascii="Arial Narrow" w:hAnsi="Arial Narrow"/>
                <w:sz w:val="20"/>
              </w:rPr>
            </w:pPr>
            <w:proofErr w:type="spellStart"/>
            <w:r w:rsidRPr="00961B75">
              <w:rPr>
                <w:rFonts w:ascii="Arial Narrow" w:hAnsi="Arial Narrow"/>
                <w:b/>
                <w:sz w:val="20"/>
              </w:rPr>
              <w:t>Technivie</w:t>
            </w:r>
            <w:proofErr w:type="spellEnd"/>
            <w:r w:rsidRPr="00961B75">
              <w:rPr>
                <w:rFonts w:ascii="Arial Narrow" w:hAnsi="Arial Narrow"/>
                <w:b/>
                <w:sz w:val="20"/>
              </w:rPr>
              <w:t>® + ribavirin</w:t>
            </w:r>
          </w:p>
        </w:tc>
      </w:tr>
      <w:tr w:rsidR="008605C0" w:rsidRPr="00961B75" w:rsidTr="008605C0">
        <w:trPr>
          <w:cantSplit/>
        </w:trPr>
        <w:tc>
          <w:tcPr>
            <w:tcW w:w="952" w:type="dxa"/>
            <w:vMerge w:val="restart"/>
            <w:shd w:val="clear" w:color="auto" w:fill="auto"/>
            <w:vAlign w:val="center"/>
          </w:tcPr>
          <w:p w:rsidR="008605C0" w:rsidRPr="00961B75" w:rsidRDefault="008605C0" w:rsidP="004611DA">
            <w:pPr>
              <w:keepLines/>
              <w:widowControl/>
              <w:jc w:val="left"/>
              <w:rPr>
                <w:rFonts w:ascii="Arial Narrow" w:hAnsi="Arial Narrow"/>
                <w:bCs/>
                <w:sz w:val="20"/>
              </w:rPr>
            </w:pPr>
            <w:r w:rsidRPr="00961B75">
              <w:rPr>
                <w:rFonts w:ascii="Arial Narrow" w:hAnsi="Arial Narrow"/>
                <w:bCs/>
                <w:sz w:val="20"/>
              </w:rPr>
              <w:t>PEARL I</w:t>
            </w:r>
          </w:p>
        </w:tc>
        <w:tc>
          <w:tcPr>
            <w:tcW w:w="352" w:type="dxa"/>
            <w:vMerge w:val="restart"/>
            <w:shd w:val="clear" w:color="auto" w:fill="auto"/>
            <w:vAlign w:val="center"/>
          </w:tcPr>
          <w:p w:rsidR="008605C0" w:rsidRPr="00961B75" w:rsidRDefault="008605C0" w:rsidP="004611DA">
            <w:pPr>
              <w:keepLines/>
              <w:widowControl/>
              <w:jc w:val="center"/>
              <w:rPr>
                <w:rFonts w:ascii="Arial Narrow" w:hAnsi="Arial Narrow"/>
                <w:bCs/>
                <w:sz w:val="20"/>
              </w:rPr>
            </w:pPr>
            <w:r w:rsidRPr="00961B75">
              <w:rPr>
                <w:rFonts w:ascii="Arial Narrow" w:hAnsi="Arial Narrow"/>
                <w:bCs/>
                <w:sz w:val="20"/>
              </w:rPr>
              <w:t>316</w:t>
            </w:r>
          </w:p>
        </w:tc>
        <w:tc>
          <w:tcPr>
            <w:tcW w:w="992" w:type="dxa"/>
            <w:vMerge w:val="restart"/>
            <w:shd w:val="clear" w:color="auto" w:fill="auto"/>
            <w:vAlign w:val="center"/>
          </w:tcPr>
          <w:p w:rsidR="008605C0" w:rsidRPr="00961B75" w:rsidRDefault="008605C0" w:rsidP="004611DA">
            <w:pPr>
              <w:keepLines/>
              <w:widowControl/>
              <w:jc w:val="center"/>
              <w:rPr>
                <w:rFonts w:ascii="Arial Narrow" w:hAnsi="Arial Narrow"/>
                <w:bCs/>
                <w:sz w:val="20"/>
              </w:rPr>
            </w:pPr>
            <w:r w:rsidRPr="00961B75">
              <w:rPr>
                <w:rFonts w:ascii="Arial Narrow" w:hAnsi="Arial Narrow"/>
                <w:bCs/>
                <w:sz w:val="20"/>
              </w:rPr>
              <w:t>R, OL, MC, Phase II</w:t>
            </w:r>
          </w:p>
        </w:tc>
        <w:tc>
          <w:tcPr>
            <w:tcW w:w="630" w:type="dxa"/>
            <w:vMerge w:val="restart"/>
            <w:shd w:val="clear" w:color="auto" w:fill="auto"/>
            <w:vAlign w:val="center"/>
          </w:tcPr>
          <w:p w:rsidR="008605C0" w:rsidRPr="00961B75" w:rsidRDefault="008605C0" w:rsidP="004611DA">
            <w:pPr>
              <w:keepLines/>
              <w:widowControl/>
              <w:jc w:val="center"/>
              <w:rPr>
                <w:rFonts w:ascii="Arial Narrow" w:hAnsi="Arial Narrow"/>
                <w:bCs/>
                <w:iCs/>
                <w:sz w:val="20"/>
              </w:rPr>
            </w:pPr>
            <w:r w:rsidRPr="00961B75">
              <w:rPr>
                <w:rFonts w:ascii="Arial Narrow" w:hAnsi="Arial Narrow"/>
                <w:bCs/>
                <w:iCs/>
                <w:sz w:val="20"/>
              </w:rPr>
              <w:t>NA</w:t>
            </w:r>
          </w:p>
        </w:tc>
        <w:tc>
          <w:tcPr>
            <w:tcW w:w="429" w:type="dxa"/>
            <w:shd w:val="clear" w:color="auto" w:fill="auto"/>
            <w:vAlign w:val="center"/>
          </w:tcPr>
          <w:p w:rsidR="008605C0" w:rsidRPr="00961B75" w:rsidRDefault="008605C0" w:rsidP="004611DA">
            <w:pPr>
              <w:keepLines/>
              <w:widowControl/>
              <w:jc w:val="center"/>
              <w:rPr>
                <w:rFonts w:ascii="Arial Narrow" w:hAnsi="Arial Narrow"/>
                <w:bCs/>
                <w:sz w:val="20"/>
              </w:rPr>
            </w:pPr>
            <w:r w:rsidRPr="00961B75">
              <w:rPr>
                <w:rFonts w:ascii="Arial Narrow" w:hAnsi="Arial Narrow"/>
                <w:bCs/>
                <w:sz w:val="20"/>
              </w:rPr>
              <w:t>1</w:t>
            </w:r>
          </w:p>
        </w:tc>
        <w:tc>
          <w:tcPr>
            <w:tcW w:w="406" w:type="dxa"/>
            <w:shd w:val="clear" w:color="auto" w:fill="auto"/>
            <w:vAlign w:val="center"/>
          </w:tcPr>
          <w:p w:rsidR="008605C0" w:rsidRPr="00961B75" w:rsidRDefault="008605C0" w:rsidP="004611DA">
            <w:pPr>
              <w:keepLines/>
              <w:widowControl/>
              <w:jc w:val="center"/>
              <w:rPr>
                <w:rFonts w:ascii="Arial Narrow" w:hAnsi="Arial Narrow"/>
                <w:sz w:val="20"/>
              </w:rPr>
            </w:pPr>
            <w:r w:rsidRPr="00961B75">
              <w:rPr>
                <w:rFonts w:ascii="Arial Narrow" w:hAnsi="Arial Narrow"/>
                <w:sz w:val="20"/>
              </w:rPr>
              <w:t>44</w:t>
            </w:r>
          </w:p>
        </w:tc>
        <w:tc>
          <w:tcPr>
            <w:tcW w:w="565" w:type="dxa"/>
            <w:shd w:val="clear" w:color="auto" w:fill="auto"/>
            <w:vAlign w:val="center"/>
          </w:tcPr>
          <w:p w:rsidR="008605C0" w:rsidRPr="00961B75" w:rsidRDefault="008605C0" w:rsidP="004611DA">
            <w:pPr>
              <w:keepLines/>
              <w:widowControl/>
              <w:jc w:val="center"/>
              <w:rPr>
                <w:rFonts w:ascii="Arial Narrow" w:hAnsi="Arial Narrow"/>
                <w:bCs/>
                <w:sz w:val="20"/>
              </w:rPr>
            </w:pPr>
            <w:r w:rsidRPr="00961B75">
              <w:rPr>
                <w:rFonts w:ascii="Arial Narrow" w:hAnsi="Arial Narrow"/>
                <w:sz w:val="20"/>
              </w:rPr>
              <w:t>4</w:t>
            </w:r>
          </w:p>
        </w:tc>
        <w:tc>
          <w:tcPr>
            <w:tcW w:w="798" w:type="dxa"/>
            <w:shd w:val="clear" w:color="auto" w:fill="auto"/>
            <w:vAlign w:val="center"/>
          </w:tcPr>
          <w:p w:rsidR="008605C0" w:rsidRPr="00961B75" w:rsidRDefault="008605C0" w:rsidP="004611DA">
            <w:pPr>
              <w:keepLines/>
              <w:widowControl/>
              <w:jc w:val="center"/>
              <w:rPr>
                <w:rFonts w:ascii="Arial Narrow" w:hAnsi="Arial Narrow"/>
                <w:bCs/>
                <w:sz w:val="20"/>
              </w:rPr>
            </w:pPr>
            <w:r w:rsidRPr="00961B75">
              <w:rPr>
                <w:rFonts w:ascii="Arial Narrow" w:hAnsi="Arial Narrow"/>
                <w:sz w:val="20"/>
              </w:rPr>
              <w:t>No</w:t>
            </w:r>
          </w:p>
        </w:tc>
        <w:tc>
          <w:tcPr>
            <w:tcW w:w="1063" w:type="dxa"/>
            <w:shd w:val="clear" w:color="auto" w:fill="auto"/>
            <w:vAlign w:val="center"/>
          </w:tcPr>
          <w:p w:rsidR="008605C0" w:rsidRPr="00961B75" w:rsidRDefault="008605C0" w:rsidP="004611DA">
            <w:pPr>
              <w:keepLines/>
              <w:widowControl/>
              <w:jc w:val="center"/>
              <w:rPr>
                <w:rFonts w:ascii="Arial Narrow" w:hAnsi="Arial Narrow"/>
                <w:bCs/>
                <w:sz w:val="20"/>
              </w:rPr>
            </w:pPr>
            <w:r w:rsidRPr="00961B75">
              <w:rPr>
                <w:rFonts w:ascii="Arial Narrow" w:hAnsi="Arial Narrow"/>
                <w:sz w:val="20"/>
              </w:rPr>
              <w:t>Naïve</w:t>
            </w:r>
          </w:p>
        </w:tc>
        <w:tc>
          <w:tcPr>
            <w:tcW w:w="901" w:type="dxa"/>
            <w:shd w:val="clear" w:color="auto" w:fill="auto"/>
            <w:vAlign w:val="center"/>
          </w:tcPr>
          <w:p w:rsidR="008605C0" w:rsidRPr="00961B75" w:rsidRDefault="008605C0" w:rsidP="004611DA">
            <w:pPr>
              <w:keepLines/>
              <w:widowControl/>
              <w:jc w:val="center"/>
              <w:rPr>
                <w:rFonts w:ascii="Arial Narrow" w:hAnsi="Arial Narrow"/>
                <w:bCs/>
                <w:sz w:val="20"/>
              </w:rPr>
            </w:pPr>
            <w:proofErr w:type="spellStart"/>
            <w:r w:rsidRPr="00961B75">
              <w:rPr>
                <w:rFonts w:ascii="Arial Narrow" w:hAnsi="Arial Narrow"/>
                <w:bCs/>
                <w:sz w:val="20"/>
              </w:rPr>
              <w:t>Technivie</w:t>
            </w:r>
            <w:proofErr w:type="spellEnd"/>
            <w:r w:rsidRPr="00961B75">
              <w:rPr>
                <w:rFonts w:ascii="Arial Narrow" w:hAnsi="Arial Narrow"/>
                <w:bCs/>
                <w:sz w:val="20"/>
              </w:rPr>
              <w:t>®</w:t>
            </w:r>
          </w:p>
        </w:tc>
        <w:tc>
          <w:tcPr>
            <w:tcW w:w="742" w:type="dxa"/>
            <w:shd w:val="clear" w:color="auto" w:fill="auto"/>
            <w:vAlign w:val="center"/>
          </w:tcPr>
          <w:p w:rsidR="008605C0" w:rsidRPr="00961B75" w:rsidRDefault="008605C0" w:rsidP="004611DA">
            <w:pPr>
              <w:keepLines/>
              <w:widowControl/>
              <w:jc w:val="center"/>
              <w:rPr>
                <w:rFonts w:ascii="Arial Narrow" w:hAnsi="Arial Narrow"/>
                <w:smallCaps/>
                <w:sz w:val="20"/>
              </w:rPr>
            </w:pPr>
            <w:r w:rsidRPr="00961B75">
              <w:rPr>
                <w:rFonts w:ascii="Arial Narrow" w:hAnsi="Arial Narrow"/>
                <w:sz w:val="20"/>
              </w:rPr>
              <w:t>12</w:t>
            </w:r>
          </w:p>
        </w:tc>
        <w:tc>
          <w:tcPr>
            <w:tcW w:w="742" w:type="dxa"/>
            <w:vMerge w:val="restart"/>
            <w:vAlign w:val="center"/>
          </w:tcPr>
          <w:p w:rsidR="008605C0" w:rsidRPr="00961B75" w:rsidRDefault="008605C0" w:rsidP="004611DA">
            <w:pPr>
              <w:keepLines/>
              <w:widowControl/>
              <w:jc w:val="center"/>
              <w:rPr>
                <w:rFonts w:ascii="Arial Narrow" w:hAnsi="Arial Narrow"/>
                <w:smallCaps/>
                <w:sz w:val="20"/>
              </w:rPr>
            </w:pPr>
            <w:r w:rsidRPr="00961B75">
              <w:rPr>
                <w:rFonts w:ascii="Arial Narrow" w:hAnsi="Arial Narrow"/>
                <w:smallCaps/>
                <w:sz w:val="20"/>
              </w:rPr>
              <w:t>SVR12</w:t>
            </w:r>
          </w:p>
        </w:tc>
      </w:tr>
      <w:tr w:rsidR="008605C0" w:rsidRPr="00961B75" w:rsidTr="008605C0">
        <w:trPr>
          <w:cantSplit/>
        </w:trPr>
        <w:tc>
          <w:tcPr>
            <w:tcW w:w="952" w:type="dxa"/>
            <w:vMerge/>
            <w:shd w:val="clear" w:color="auto" w:fill="auto"/>
            <w:vAlign w:val="center"/>
          </w:tcPr>
          <w:p w:rsidR="008605C0" w:rsidRPr="00961B75" w:rsidRDefault="008605C0" w:rsidP="004611DA">
            <w:pPr>
              <w:keepLines/>
              <w:widowControl/>
              <w:jc w:val="left"/>
              <w:rPr>
                <w:rFonts w:ascii="Arial Narrow" w:hAnsi="Arial Narrow"/>
                <w:bCs/>
                <w:sz w:val="20"/>
              </w:rPr>
            </w:pPr>
          </w:p>
        </w:tc>
        <w:tc>
          <w:tcPr>
            <w:tcW w:w="352" w:type="dxa"/>
            <w:vMerge/>
            <w:shd w:val="clear" w:color="auto" w:fill="auto"/>
            <w:vAlign w:val="center"/>
          </w:tcPr>
          <w:p w:rsidR="008605C0" w:rsidRPr="00961B75" w:rsidRDefault="008605C0" w:rsidP="004611DA">
            <w:pPr>
              <w:keepLines/>
              <w:widowControl/>
              <w:jc w:val="center"/>
              <w:rPr>
                <w:rFonts w:ascii="Arial Narrow" w:hAnsi="Arial Narrow"/>
                <w:bCs/>
                <w:sz w:val="20"/>
              </w:rPr>
            </w:pPr>
          </w:p>
        </w:tc>
        <w:tc>
          <w:tcPr>
            <w:tcW w:w="992" w:type="dxa"/>
            <w:vMerge/>
            <w:shd w:val="clear" w:color="auto" w:fill="auto"/>
            <w:vAlign w:val="center"/>
          </w:tcPr>
          <w:p w:rsidR="008605C0" w:rsidRPr="00961B75" w:rsidRDefault="008605C0" w:rsidP="004611DA">
            <w:pPr>
              <w:keepLines/>
              <w:widowControl/>
              <w:jc w:val="center"/>
              <w:rPr>
                <w:rFonts w:ascii="Arial Narrow" w:hAnsi="Arial Narrow"/>
                <w:bCs/>
                <w:sz w:val="20"/>
              </w:rPr>
            </w:pPr>
          </w:p>
        </w:tc>
        <w:tc>
          <w:tcPr>
            <w:tcW w:w="630" w:type="dxa"/>
            <w:vMerge/>
            <w:shd w:val="clear" w:color="auto" w:fill="auto"/>
            <w:vAlign w:val="center"/>
          </w:tcPr>
          <w:p w:rsidR="008605C0" w:rsidRPr="00961B75" w:rsidRDefault="008605C0" w:rsidP="004611DA">
            <w:pPr>
              <w:keepLines/>
              <w:widowControl/>
              <w:jc w:val="center"/>
              <w:rPr>
                <w:rFonts w:ascii="Arial Narrow" w:hAnsi="Arial Narrow"/>
                <w:bCs/>
                <w:iCs/>
                <w:sz w:val="20"/>
              </w:rPr>
            </w:pPr>
          </w:p>
        </w:tc>
        <w:tc>
          <w:tcPr>
            <w:tcW w:w="429" w:type="dxa"/>
            <w:shd w:val="clear" w:color="auto" w:fill="D9D9D9" w:themeFill="background1" w:themeFillShade="D9"/>
            <w:vAlign w:val="center"/>
          </w:tcPr>
          <w:p w:rsidR="008605C0" w:rsidRPr="00961B75" w:rsidRDefault="008605C0" w:rsidP="004611DA">
            <w:pPr>
              <w:keepLines/>
              <w:widowControl/>
              <w:jc w:val="center"/>
              <w:rPr>
                <w:rFonts w:ascii="Arial Narrow" w:hAnsi="Arial Narrow"/>
                <w:bCs/>
                <w:sz w:val="20"/>
              </w:rPr>
            </w:pPr>
            <w:r w:rsidRPr="00961B75">
              <w:rPr>
                <w:rFonts w:ascii="Arial Narrow" w:hAnsi="Arial Narrow"/>
                <w:bCs/>
                <w:sz w:val="20"/>
              </w:rPr>
              <w:t>4</w:t>
            </w:r>
          </w:p>
        </w:tc>
        <w:tc>
          <w:tcPr>
            <w:tcW w:w="406" w:type="dxa"/>
            <w:shd w:val="clear" w:color="auto" w:fill="D9D9D9" w:themeFill="background1" w:themeFillShade="D9"/>
            <w:vAlign w:val="center"/>
          </w:tcPr>
          <w:p w:rsidR="008605C0" w:rsidRPr="00961B75" w:rsidRDefault="008605C0" w:rsidP="004611DA">
            <w:pPr>
              <w:keepLines/>
              <w:widowControl/>
              <w:jc w:val="center"/>
              <w:rPr>
                <w:rFonts w:ascii="Arial Narrow" w:hAnsi="Arial Narrow"/>
                <w:sz w:val="20"/>
              </w:rPr>
            </w:pPr>
            <w:r w:rsidRPr="00961B75">
              <w:rPr>
                <w:rFonts w:ascii="Arial Narrow" w:hAnsi="Arial Narrow"/>
                <w:sz w:val="20"/>
              </w:rPr>
              <w:t>42</w:t>
            </w:r>
          </w:p>
        </w:tc>
        <w:tc>
          <w:tcPr>
            <w:tcW w:w="565" w:type="dxa"/>
            <w:shd w:val="clear" w:color="auto" w:fill="D9D9D9" w:themeFill="background1" w:themeFillShade="D9"/>
            <w:vAlign w:val="center"/>
          </w:tcPr>
          <w:p w:rsidR="008605C0" w:rsidRPr="00961B75" w:rsidRDefault="008605C0" w:rsidP="004611DA">
            <w:pPr>
              <w:keepLines/>
              <w:widowControl/>
              <w:jc w:val="center"/>
              <w:rPr>
                <w:rFonts w:ascii="Arial Narrow" w:hAnsi="Arial Narrow"/>
                <w:bCs/>
                <w:sz w:val="20"/>
              </w:rPr>
            </w:pPr>
            <w:r w:rsidRPr="00961B75">
              <w:rPr>
                <w:rFonts w:ascii="Arial Narrow" w:hAnsi="Arial Narrow"/>
                <w:sz w:val="20"/>
              </w:rPr>
              <w:t>4</w:t>
            </w:r>
          </w:p>
        </w:tc>
        <w:tc>
          <w:tcPr>
            <w:tcW w:w="798" w:type="dxa"/>
            <w:shd w:val="clear" w:color="auto" w:fill="D9D9D9" w:themeFill="background1" w:themeFillShade="D9"/>
            <w:vAlign w:val="center"/>
          </w:tcPr>
          <w:p w:rsidR="008605C0" w:rsidRPr="00961B75" w:rsidRDefault="008605C0" w:rsidP="004611DA">
            <w:pPr>
              <w:keepLines/>
              <w:widowControl/>
              <w:jc w:val="center"/>
              <w:rPr>
                <w:rFonts w:ascii="Arial Narrow" w:hAnsi="Arial Narrow"/>
                <w:bCs/>
                <w:sz w:val="20"/>
              </w:rPr>
            </w:pPr>
            <w:r w:rsidRPr="00961B75">
              <w:rPr>
                <w:rFonts w:ascii="Arial Narrow" w:hAnsi="Arial Narrow"/>
                <w:sz w:val="20"/>
              </w:rPr>
              <w:t>No</w:t>
            </w:r>
          </w:p>
        </w:tc>
        <w:tc>
          <w:tcPr>
            <w:tcW w:w="1063" w:type="dxa"/>
            <w:shd w:val="clear" w:color="auto" w:fill="D9D9D9" w:themeFill="background1" w:themeFillShade="D9"/>
            <w:vAlign w:val="center"/>
          </w:tcPr>
          <w:p w:rsidR="008605C0" w:rsidRPr="00961B75" w:rsidRDefault="008605C0" w:rsidP="004611DA">
            <w:pPr>
              <w:keepLines/>
              <w:widowControl/>
              <w:jc w:val="center"/>
              <w:rPr>
                <w:rFonts w:ascii="Arial Narrow" w:hAnsi="Arial Narrow"/>
                <w:bCs/>
                <w:sz w:val="20"/>
              </w:rPr>
            </w:pPr>
            <w:r w:rsidRPr="00961B75">
              <w:rPr>
                <w:rFonts w:ascii="Arial Narrow" w:hAnsi="Arial Narrow"/>
                <w:sz w:val="20"/>
              </w:rPr>
              <w:t>Naïve</w:t>
            </w:r>
          </w:p>
        </w:tc>
        <w:tc>
          <w:tcPr>
            <w:tcW w:w="901" w:type="dxa"/>
            <w:shd w:val="clear" w:color="auto" w:fill="D9D9D9" w:themeFill="background1" w:themeFillShade="D9"/>
            <w:vAlign w:val="center"/>
          </w:tcPr>
          <w:p w:rsidR="008605C0" w:rsidRPr="00961B75" w:rsidRDefault="008605C0" w:rsidP="004611DA">
            <w:pPr>
              <w:keepLines/>
              <w:widowControl/>
              <w:jc w:val="center"/>
              <w:rPr>
                <w:rFonts w:ascii="Arial Narrow" w:hAnsi="Arial Narrow"/>
                <w:bCs/>
                <w:sz w:val="20"/>
              </w:rPr>
            </w:pPr>
            <w:proofErr w:type="spellStart"/>
            <w:r w:rsidRPr="00961B75">
              <w:rPr>
                <w:rFonts w:ascii="Arial Narrow" w:hAnsi="Arial Narrow"/>
                <w:bCs/>
                <w:sz w:val="20"/>
              </w:rPr>
              <w:t>Technivie</w:t>
            </w:r>
            <w:proofErr w:type="spellEnd"/>
            <w:r w:rsidRPr="00961B75">
              <w:rPr>
                <w:rFonts w:ascii="Arial Narrow" w:hAnsi="Arial Narrow"/>
                <w:bCs/>
                <w:sz w:val="20"/>
              </w:rPr>
              <w:t>®+RBV</w:t>
            </w:r>
          </w:p>
        </w:tc>
        <w:tc>
          <w:tcPr>
            <w:tcW w:w="742" w:type="dxa"/>
            <w:shd w:val="clear" w:color="auto" w:fill="D9D9D9" w:themeFill="background1" w:themeFillShade="D9"/>
            <w:vAlign w:val="center"/>
          </w:tcPr>
          <w:p w:rsidR="008605C0" w:rsidRPr="00961B75" w:rsidRDefault="008605C0" w:rsidP="004611DA">
            <w:pPr>
              <w:keepLines/>
              <w:widowControl/>
              <w:jc w:val="center"/>
              <w:rPr>
                <w:rFonts w:ascii="Arial Narrow" w:hAnsi="Arial Narrow"/>
                <w:sz w:val="20"/>
              </w:rPr>
            </w:pPr>
            <w:r w:rsidRPr="00961B75">
              <w:rPr>
                <w:rFonts w:ascii="Arial Narrow" w:hAnsi="Arial Narrow"/>
                <w:sz w:val="20"/>
              </w:rPr>
              <w:t>12</w:t>
            </w:r>
          </w:p>
        </w:tc>
        <w:tc>
          <w:tcPr>
            <w:tcW w:w="742" w:type="dxa"/>
            <w:vMerge/>
            <w:vAlign w:val="center"/>
          </w:tcPr>
          <w:p w:rsidR="008605C0" w:rsidRPr="00961B75" w:rsidRDefault="008605C0" w:rsidP="004611DA">
            <w:pPr>
              <w:keepLines/>
              <w:widowControl/>
              <w:jc w:val="center"/>
              <w:rPr>
                <w:rFonts w:ascii="Arial Narrow" w:hAnsi="Arial Narrow"/>
                <w:sz w:val="20"/>
              </w:rPr>
            </w:pPr>
          </w:p>
        </w:tc>
      </w:tr>
      <w:tr w:rsidR="008605C0" w:rsidRPr="00961B75" w:rsidTr="008605C0">
        <w:trPr>
          <w:cantSplit/>
        </w:trPr>
        <w:tc>
          <w:tcPr>
            <w:tcW w:w="952" w:type="dxa"/>
            <w:vMerge/>
            <w:shd w:val="clear" w:color="auto" w:fill="auto"/>
            <w:vAlign w:val="center"/>
          </w:tcPr>
          <w:p w:rsidR="008605C0" w:rsidRPr="00961B75" w:rsidRDefault="008605C0" w:rsidP="004611DA">
            <w:pPr>
              <w:keepLines/>
              <w:widowControl/>
              <w:jc w:val="left"/>
              <w:rPr>
                <w:rFonts w:ascii="Arial Narrow" w:hAnsi="Arial Narrow"/>
                <w:bCs/>
                <w:sz w:val="20"/>
              </w:rPr>
            </w:pPr>
          </w:p>
        </w:tc>
        <w:tc>
          <w:tcPr>
            <w:tcW w:w="352" w:type="dxa"/>
            <w:vMerge/>
            <w:shd w:val="clear" w:color="auto" w:fill="auto"/>
            <w:vAlign w:val="center"/>
          </w:tcPr>
          <w:p w:rsidR="008605C0" w:rsidRPr="00961B75" w:rsidRDefault="008605C0" w:rsidP="004611DA">
            <w:pPr>
              <w:keepLines/>
              <w:widowControl/>
              <w:jc w:val="center"/>
              <w:rPr>
                <w:rFonts w:ascii="Arial Narrow" w:hAnsi="Arial Narrow"/>
                <w:bCs/>
                <w:sz w:val="20"/>
              </w:rPr>
            </w:pPr>
          </w:p>
        </w:tc>
        <w:tc>
          <w:tcPr>
            <w:tcW w:w="992" w:type="dxa"/>
            <w:vMerge/>
            <w:shd w:val="clear" w:color="auto" w:fill="auto"/>
            <w:vAlign w:val="center"/>
          </w:tcPr>
          <w:p w:rsidR="008605C0" w:rsidRPr="00961B75" w:rsidRDefault="008605C0" w:rsidP="004611DA">
            <w:pPr>
              <w:keepLines/>
              <w:widowControl/>
              <w:jc w:val="center"/>
              <w:rPr>
                <w:rFonts w:ascii="Arial Narrow" w:hAnsi="Arial Narrow"/>
                <w:bCs/>
                <w:sz w:val="20"/>
              </w:rPr>
            </w:pPr>
          </w:p>
        </w:tc>
        <w:tc>
          <w:tcPr>
            <w:tcW w:w="630" w:type="dxa"/>
            <w:vMerge/>
            <w:shd w:val="clear" w:color="auto" w:fill="auto"/>
            <w:vAlign w:val="center"/>
          </w:tcPr>
          <w:p w:rsidR="008605C0" w:rsidRPr="00961B75" w:rsidRDefault="008605C0" w:rsidP="004611DA">
            <w:pPr>
              <w:keepLines/>
              <w:widowControl/>
              <w:jc w:val="center"/>
              <w:rPr>
                <w:rFonts w:ascii="Arial Narrow" w:hAnsi="Arial Narrow"/>
                <w:bCs/>
                <w:iCs/>
                <w:sz w:val="20"/>
              </w:rPr>
            </w:pPr>
          </w:p>
        </w:tc>
        <w:tc>
          <w:tcPr>
            <w:tcW w:w="429" w:type="dxa"/>
            <w:shd w:val="clear" w:color="auto" w:fill="D9D9D9" w:themeFill="background1" w:themeFillShade="D9"/>
            <w:vAlign w:val="center"/>
          </w:tcPr>
          <w:p w:rsidR="008605C0" w:rsidRPr="00961B75" w:rsidRDefault="008605C0" w:rsidP="004611DA">
            <w:pPr>
              <w:keepLines/>
              <w:widowControl/>
              <w:jc w:val="center"/>
              <w:rPr>
                <w:rFonts w:ascii="Arial Narrow" w:hAnsi="Arial Narrow"/>
                <w:bCs/>
                <w:sz w:val="20"/>
              </w:rPr>
            </w:pPr>
            <w:r w:rsidRPr="00961B75">
              <w:rPr>
                <w:rFonts w:ascii="Arial Narrow" w:hAnsi="Arial Narrow"/>
                <w:bCs/>
                <w:sz w:val="20"/>
              </w:rPr>
              <w:t>6</w:t>
            </w:r>
          </w:p>
        </w:tc>
        <w:tc>
          <w:tcPr>
            <w:tcW w:w="406" w:type="dxa"/>
            <w:shd w:val="clear" w:color="auto" w:fill="D9D9D9" w:themeFill="background1" w:themeFillShade="D9"/>
            <w:vAlign w:val="center"/>
          </w:tcPr>
          <w:p w:rsidR="008605C0" w:rsidRPr="00961B75" w:rsidRDefault="008605C0" w:rsidP="004611DA">
            <w:pPr>
              <w:keepLines/>
              <w:widowControl/>
              <w:jc w:val="center"/>
              <w:rPr>
                <w:rFonts w:ascii="Arial Narrow" w:hAnsi="Arial Narrow"/>
                <w:sz w:val="20"/>
              </w:rPr>
            </w:pPr>
            <w:r w:rsidRPr="00961B75">
              <w:rPr>
                <w:rFonts w:ascii="Arial Narrow" w:hAnsi="Arial Narrow"/>
                <w:sz w:val="20"/>
              </w:rPr>
              <w:t>49</w:t>
            </w:r>
          </w:p>
        </w:tc>
        <w:tc>
          <w:tcPr>
            <w:tcW w:w="565" w:type="dxa"/>
            <w:shd w:val="clear" w:color="auto" w:fill="D9D9D9" w:themeFill="background1" w:themeFillShade="D9"/>
            <w:vAlign w:val="center"/>
          </w:tcPr>
          <w:p w:rsidR="008605C0" w:rsidRPr="00961B75" w:rsidRDefault="008605C0" w:rsidP="004611DA">
            <w:pPr>
              <w:keepLines/>
              <w:widowControl/>
              <w:jc w:val="center"/>
              <w:rPr>
                <w:rFonts w:ascii="Arial Narrow" w:hAnsi="Arial Narrow"/>
                <w:bCs/>
                <w:sz w:val="20"/>
              </w:rPr>
            </w:pPr>
            <w:r w:rsidRPr="00961B75">
              <w:rPr>
                <w:rFonts w:ascii="Arial Narrow" w:hAnsi="Arial Narrow"/>
                <w:sz w:val="20"/>
              </w:rPr>
              <w:t>4</w:t>
            </w:r>
          </w:p>
        </w:tc>
        <w:tc>
          <w:tcPr>
            <w:tcW w:w="798" w:type="dxa"/>
            <w:shd w:val="clear" w:color="auto" w:fill="D9D9D9" w:themeFill="background1" w:themeFillShade="D9"/>
            <w:vAlign w:val="center"/>
          </w:tcPr>
          <w:p w:rsidR="008605C0" w:rsidRPr="00961B75" w:rsidRDefault="008605C0" w:rsidP="004611DA">
            <w:pPr>
              <w:keepLines/>
              <w:widowControl/>
              <w:jc w:val="center"/>
              <w:rPr>
                <w:rFonts w:ascii="Arial Narrow" w:hAnsi="Arial Narrow"/>
                <w:bCs/>
                <w:sz w:val="20"/>
              </w:rPr>
            </w:pPr>
            <w:r w:rsidRPr="00961B75">
              <w:rPr>
                <w:rFonts w:ascii="Arial Narrow" w:hAnsi="Arial Narrow"/>
                <w:sz w:val="20"/>
              </w:rPr>
              <w:t>No</w:t>
            </w:r>
          </w:p>
        </w:tc>
        <w:tc>
          <w:tcPr>
            <w:tcW w:w="1063" w:type="dxa"/>
            <w:shd w:val="clear" w:color="auto" w:fill="D9D9D9" w:themeFill="background1" w:themeFillShade="D9"/>
            <w:vAlign w:val="center"/>
          </w:tcPr>
          <w:p w:rsidR="008605C0" w:rsidRPr="00961B75" w:rsidRDefault="008605C0" w:rsidP="004611DA">
            <w:pPr>
              <w:keepLines/>
              <w:widowControl/>
              <w:jc w:val="center"/>
              <w:rPr>
                <w:rFonts w:ascii="Arial Narrow" w:hAnsi="Arial Narrow"/>
                <w:bCs/>
                <w:sz w:val="20"/>
              </w:rPr>
            </w:pPr>
            <w:r w:rsidRPr="00961B75">
              <w:rPr>
                <w:rFonts w:ascii="Arial Narrow" w:hAnsi="Arial Narrow"/>
                <w:sz w:val="20"/>
              </w:rPr>
              <w:t>Experienced</w:t>
            </w:r>
          </w:p>
        </w:tc>
        <w:tc>
          <w:tcPr>
            <w:tcW w:w="901" w:type="dxa"/>
            <w:shd w:val="clear" w:color="auto" w:fill="D9D9D9" w:themeFill="background1" w:themeFillShade="D9"/>
            <w:vAlign w:val="center"/>
          </w:tcPr>
          <w:p w:rsidR="008605C0" w:rsidRPr="00961B75" w:rsidRDefault="008605C0" w:rsidP="004611DA">
            <w:pPr>
              <w:keepLines/>
              <w:widowControl/>
              <w:jc w:val="center"/>
              <w:rPr>
                <w:rFonts w:ascii="Arial Narrow" w:hAnsi="Arial Narrow"/>
                <w:bCs/>
                <w:sz w:val="20"/>
              </w:rPr>
            </w:pPr>
            <w:proofErr w:type="spellStart"/>
            <w:r w:rsidRPr="00961B75">
              <w:rPr>
                <w:rFonts w:ascii="Arial Narrow" w:hAnsi="Arial Narrow"/>
                <w:bCs/>
                <w:sz w:val="20"/>
              </w:rPr>
              <w:t>Technivie</w:t>
            </w:r>
            <w:proofErr w:type="spellEnd"/>
            <w:r w:rsidRPr="00961B75">
              <w:rPr>
                <w:rFonts w:ascii="Arial Narrow" w:hAnsi="Arial Narrow"/>
                <w:bCs/>
                <w:sz w:val="20"/>
              </w:rPr>
              <w:t>®+RBV</w:t>
            </w:r>
          </w:p>
        </w:tc>
        <w:tc>
          <w:tcPr>
            <w:tcW w:w="742" w:type="dxa"/>
            <w:shd w:val="clear" w:color="auto" w:fill="D9D9D9" w:themeFill="background1" w:themeFillShade="D9"/>
            <w:vAlign w:val="center"/>
          </w:tcPr>
          <w:p w:rsidR="008605C0" w:rsidRPr="00961B75" w:rsidRDefault="008605C0" w:rsidP="004611DA">
            <w:pPr>
              <w:keepLines/>
              <w:widowControl/>
              <w:jc w:val="center"/>
              <w:rPr>
                <w:rFonts w:ascii="Arial Narrow" w:hAnsi="Arial Narrow"/>
                <w:sz w:val="20"/>
              </w:rPr>
            </w:pPr>
            <w:r w:rsidRPr="00961B75">
              <w:rPr>
                <w:rFonts w:ascii="Arial Narrow" w:hAnsi="Arial Narrow"/>
                <w:sz w:val="20"/>
              </w:rPr>
              <w:t>12</w:t>
            </w:r>
          </w:p>
        </w:tc>
        <w:tc>
          <w:tcPr>
            <w:tcW w:w="742" w:type="dxa"/>
            <w:vMerge/>
            <w:vAlign w:val="center"/>
          </w:tcPr>
          <w:p w:rsidR="008605C0" w:rsidRPr="00961B75" w:rsidRDefault="008605C0" w:rsidP="004611DA">
            <w:pPr>
              <w:keepLines/>
              <w:widowControl/>
              <w:jc w:val="center"/>
              <w:rPr>
                <w:rFonts w:ascii="Arial Narrow" w:hAnsi="Arial Narrow"/>
                <w:sz w:val="20"/>
              </w:rPr>
            </w:pPr>
          </w:p>
        </w:tc>
      </w:tr>
      <w:tr w:rsidR="008605C0" w:rsidRPr="00961B75" w:rsidTr="008605C0">
        <w:trPr>
          <w:cantSplit/>
        </w:trPr>
        <w:tc>
          <w:tcPr>
            <w:tcW w:w="952" w:type="dxa"/>
            <w:vMerge w:val="restart"/>
            <w:shd w:val="clear" w:color="auto" w:fill="auto"/>
            <w:vAlign w:val="center"/>
          </w:tcPr>
          <w:p w:rsidR="008605C0" w:rsidRPr="00961B75" w:rsidRDefault="008605C0" w:rsidP="004611DA">
            <w:pPr>
              <w:keepLines/>
              <w:widowControl/>
              <w:jc w:val="left"/>
              <w:rPr>
                <w:rFonts w:ascii="Arial Narrow" w:hAnsi="Arial Narrow"/>
                <w:bCs/>
                <w:sz w:val="20"/>
              </w:rPr>
            </w:pPr>
            <w:r w:rsidRPr="00961B75">
              <w:rPr>
                <w:rFonts w:ascii="Arial Narrow" w:hAnsi="Arial Narrow"/>
                <w:bCs/>
                <w:sz w:val="20"/>
              </w:rPr>
              <w:t>AGATE I (part 1)</w:t>
            </w:r>
          </w:p>
        </w:tc>
        <w:tc>
          <w:tcPr>
            <w:tcW w:w="352" w:type="dxa"/>
            <w:vMerge w:val="restart"/>
            <w:shd w:val="clear" w:color="auto" w:fill="auto"/>
            <w:vAlign w:val="center"/>
          </w:tcPr>
          <w:p w:rsidR="008605C0" w:rsidRPr="00961B75" w:rsidRDefault="008605C0" w:rsidP="004611DA">
            <w:pPr>
              <w:keepLines/>
              <w:widowControl/>
              <w:jc w:val="center"/>
              <w:rPr>
                <w:rFonts w:ascii="Arial Narrow" w:hAnsi="Arial Narrow"/>
                <w:bCs/>
                <w:sz w:val="20"/>
              </w:rPr>
            </w:pPr>
            <w:r w:rsidRPr="00961B75">
              <w:rPr>
                <w:rFonts w:ascii="Arial Narrow" w:hAnsi="Arial Narrow"/>
                <w:bCs/>
                <w:sz w:val="20"/>
              </w:rPr>
              <w:t>148</w:t>
            </w:r>
          </w:p>
        </w:tc>
        <w:tc>
          <w:tcPr>
            <w:tcW w:w="992" w:type="dxa"/>
            <w:vMerge w:val="restart"/>
            <w:shd w:val="clear" w:color="auto" w:fill="auto"/>
            <w:vAlign w:val="center"/>
          </w:tcPr>
          <w:p w:rsidR="008605C0" w:rsidRPr="00961B75" w:rsidRDefault="008605C0" w:rsidP="004611DA">
            <w:pPr>
              <w:keepLines/>
              <w:widowControl/>
              <w:jc w:val="center"/>
              <w:rPr>
                <w:rFonts w:ascii="Arial Narrow" w:hAnsi="Arial Narrow"/>
                <w:bCs/>
                <w:sz w:val="20"/>
              </w:rPr>
            </w:pPr>
            <w:r w:rsidRPr="00961B75">
              <w:rPr>
                <w:rFonts w:ascii="Arial Narrow" w:hAnsi="Arial Narrow"/>
                <w:bCs/>
                <w:sz w:val="20"/>
              </w:rPr>
              <w:t>R, OL, MC, Phase III</w:t>
            </w:r>
          </w:p>
        </w:tc>
        <w:tc>
          <w:tcPr>
            <w:tcW w:w="630" w:type="dxa"/>
            <w:vMerge w:val="restart"/>
            <w:shd w:val="clear" w:color="auto" w:fill="auto"/>
            <w:vAlign w:val="center"/>
          </w:tcPr>
          <w:p w:rsidR="008605C0" w:rsidRPr="00961B75" w:rsidRDefault="008605C0" w:rsidP="004611DA">
            <w:pPr>
              <w:keepLines/>
              <w:widowControl/>
              <w:jc w:val="center"/>
              <w:rPr>
                <w:rFonts w:ascii="Arial Narrow" w:hAnsi="Arial Narrow"/>
                <w:bCs/>
                <w:iCs/>
                <w:sz w:val="20"/>
              </w:rPr>
            </w:pPr>
            <w:r w:rsidRPr="00961B75">
              <w:rPr>
                <w:rFonts w:ascii="Arial Narrow" w:hAnsi="Arial Narrow"/>
                <w:bCs/>
                <w:iCs/>
                <w:sz w:val="20"/>
              </w:rPr>
              <w:t>NA</w:t>
            </w:r>
          </w:p>
        </w:tc>
        <w:tc>
          <w:tcPr>
            <w:tcW w:w="429" w:type="dxa"/>
            <w:shd w:val="clear" w:color="auto" w:fill="D9D9D9" w:themeFill="background1" w:themeFillShade="D9"/>
            <w:vAlign w:val="center"/>
          </w:tcPr>
          <w:p w:rsidR="008605C0" w:rsidRPr="00961B75" w:rsidRDefault="008605C0" w:rsidP="004611DA">
            <w:pPr>
              <w:keepLines/>
              <w:widowControl/>
              <w:jc w:val="center"/>
              <w:rPr>
                <w:rFonts w:ascii="Arial Narrow" w:hAnsi="Arial Narrow"/>
                <w:bCs/>
                <w:sz w:val="20"/>
              </w:rPr>
            </w:pPr>
            <w:r w:rsidRPr="00961B75">
              <w:rPr>
                <w:rFonts w:ascii="Arial Narrow" w:hAnsi="Arial Narrow"/>
                <w:bCs/>
                <w:sz w:val="20"/>
              </w:rPr>
              <w:t>A</w:t>
            </w:r>
          </w:p>
        </w:tc>
        <w:tc>
          <w:tcPr>
            <w:tcW w:w="406" w:type="dxa"/>
            <w:shd w:val="clear" w:color="auto" w:fill="D9D9D9" w:themeFill="background1" w:themeFillShade="D9"/>
            <w:vAlign w:val="center"/>
          </w:tcPr>
          <w:p w:rsidR="008605C0" w:rsidRPr="00961B75" w:rsidRDefault="008605C0" w:rsidP="004611DA">
            <w:pPr>
              <w:keepLines/>
              <w:widowControl/>
              <w:jc w:val="center"/>
              <w:rPr>
                <w:rFonts w:ascii="Arial Narrow" w:hAnsi="Arial Narrow"/>
                <w:bCs/>
                <w:sz w:val="20"/>
              </w:rPr>
            </w:pPr>
            <w:r w:rsidRPr="00961B75">
              <w:rPr>
                <w:rFonts w:ascii="Arial Narrow" w:hAnsi="Arial Narrow"/>
                <w:bCs/>
                <w:sz w:val="20"/>
              </w:rPr>
              <w:t>59</w:t>
            </w:r>
          </w:p>
        </w:tc>
        <w:tc>
          <w:tcPr>
            <w:tcW w:w="565" w:type="dxa"/>
            <w:shd w:val="clear" w:color="auto" w:fill="D9D9D9" w:themeFill="background1" w:themeFillShade="D9"/>
            <w:vAlign w:val="center"/>
          </w:tcPr>
          <w:p w:rsidR="008605C0" w:rsidRPr="00961B75" w:rsidRDefault="008605C0" w:rsidP="004611DA">
            <w:pPr>
              <w:keepLines/>
              <w:widowControl/>
              <w:jc w:val="center"/>
              <w:rPr>
                <w:rFonts w:ascii="Arial Narrow" w:hAnsi="Arial Narrow"/>
                <w:bCs/>
                <w:sz w:val="20"/>
              </w:rPr>
            </w:pPr>
            <w:r w:rsidRPr="00961B75">
              <w:rPr>
                <w:rFonts w:ascii="Arial Narrow" w:hAnsi="Arial Narrow"/>
                <w:bCs/>
                <w:sz w:val="20"/>
              </w:rPr>
              <w:t>4</w:t>
            </w:r>
          </w:p>
        </w:tc>
        <w:tc>
          <w:tcPr>
            <w:tcW w:w="798" w:type="dxa"/>
            <w:shd w:val="clear" w:color="auto" w:fill="D9D9D9" w:themeFill="background1" w:themeFillShade="D9"/>
            <w:vAlign w:val="center"/>
          </w:tcPr>
          <w:p w:rsidR="008605C0" w:rsidRPr="00961B75" w:rsidRDefault="008605C0" w:rsidP="004611DA">
            <w:pPr>
              <w:keepLines/>
              <w:widowControl/>
              <w:jc w:val="center"/>
              <w:rPr>
                <w:rFonts w:ascii="Arial Narrow" w:hAnsi="Arial Narrow"/>
                <w:sz w:val="20"/>
              </w:rPr>
            </w:pPr>
            <w:r w:rsidRPr="00961B75">
              <w:rPr>
                <w:rFonts w:ascii="Arial Narrow" w:hAnsi="Arial Narrow"/>
                <w:sz w:val="20"/>
              </w:rPr>
              <w:t>Yes</w:t>
            </w:r>
          </w:p>
        </w:tc>
        <w:tc>
          <w:tcPr>
            <w:tcW w:w="1063" w:type="dxa"/>
            <w:shd w:val="clear" w:color="auto" w:fill="D9D9D9" w:themeFill="background1" w:themeFillShade="D9"/>
            <w:vAlign w:val="center"/>
          </w:tcPr>
          <w:p w:rsidR="008605C0" w:rsidRPr="00961B75" w:rsidRDefault="008605C0" w:rsidP="004611DA">
            <w:pPr>
              <w:keepLines/>
              <w:widowControl/>
              <w:jc w:val="center"/>
              <w:rPr>
                <w:rFonts w:ascii="Arial Narrow" w:hAnsi="Arial Narrow"/>
                <w:bCs/>
                <w:sz w:val="20"/>
                <w:vertAlign w:val="superscript"/>
              </w:rPr>
            </w:pPr>
            <w:r w:rsidRPr="00961B75">
              <w:rPr>
                <w:rFonts w:ascii="Arial Narrow" w:hAnsi="Arial Narrow"/>
                <w:bCs/>
                <w:sz w:val="20"/>
              </w:rPr>
              <w:t>Naïve or experienced</w:t>
            </w:r>
          </w:p>
        </w:tc>
        <w:tc>
          <w:tcPr>
            <w:tcW w:w="901" w:type="dxa"/>
            <w:shd w:val="clear" w:color="auto" w:fill="D9D9D9" w:themeFill="background1" w:themeFillShade="D9"/>
            <w:vAlign w:val="center"/>
          </w:tcPr>
          <w:p w:rsidR="008605C0" w:rsidRPr="00961B75" w:rsidRDefault="008605C0" w:rsidP="004611DA">
            <w:pPr>
              <w:keepLines/>
              <w:widowControl/>
              <w:jc w:val="center"/>
              <w:rPr>
                <w:rFonts w:ascii="Arial Narrow" w:hAnsi="Arial Narrow"/>
                <w:bCs/>
                <w:sz w:val="20"/>
              </w:rPr>
            </w:pPr>
            <w:proofErr w:type="spellStart"/>
            <w:r w:rsidRPr="00961B75">
              <w:rPr>
                <w:rFonts w:ascii="Arial Narrow" w:hAnsi="Arial Narrow"/>
                <w:bCs/>
                <w:sz w:val="20"/>
              </w:rPr>
              <w:t>Technivie</w:t>
            </w:r>
            <w:proofErr w:type="spellEnd"/>
            <w:r w:rsidRPr="00961B75">
              <w:rPr>
                <w:rFonts w:ascii="Arial Narrow" w:hAnsi="Arial Narrow"/>
                <w:bCs/>
                <w:sz w:val="20"/>
              </w:rPr>
              <w:t>®+RBV</w:t>
            </w:r>
          </w:p>
        </w:tc>
        <w:tc>
          <w:tcPr>
            <w:tcW w:w="742" w:type="dxa"/>
            <w:shd w:val="clear" w:color="auto" w:fill="D9D9D9" w:themeFill="background1" w:themeFillShade="D9"/>
            <w:vAlign w:val="center"/>
          </w:tcPr>
          <w:p w:rsidR="008605C0" w:rsidRPr="00961B75" w:rsidRDefault="008605C0" w:rsidP="004611DA">
            <w:pPr>
              <w:keepLines/>
              <w:widowControl/>
              <w:jc w:val="center"/>
              <w:rPr>
                <w:rFonts w:ascii="Arial Narrow" w:hAnsi="Arial Narrow"/>
                <w:sz w:val="20"/>
              </w:rPr>
            </w:pPr>
            <w:r w:rsidRPr="00961B75">
              <w:rPr>
                <w:rFonts w:ascii="Arial Narrow" w:hAnsi="Arial Narrow"/>
                <w:sz w:val="20"/>
              </w:rPr>
              <w:t>12</w:t>
            </w:r>
          </w:p>
        </w:tc>
        <w:tc>
          <w:tcPr>
            <w:tcW w:w="742" w:type="dxa"/>
            <w:vMerge w:val="restart"/>
            <w:vAlign w:val="center"/>
          </w:tcPr>
          <w:p w:rsidR="008605C0" w:rsidRPr="00961B75" w:rsidRDefault="008605C0" w:rsidP="004611DA">
            <w:pPr>
              <w:keepLines/>
              <w:widowControl/>
              <w:jc w:val="center"/>
              <w:rPr>
                <w:rFonts w:ascii="Arial Narrow" w:hAnsi="Arial Narrow"/>
                <w:sz w:val="20"/>
              </w:rPr>
            </w:pPr>
            <w:r w:rsidRPr="00961B75">
              <w:rPr>
                <w:rFonts w:ascii="Arial Narrow" w:hAnsi="Arial Narrow"/>
                <w:smallCaps/>
                <w:sz w:val="20"/>
              </w:rPr>
              <w:t>SVR12</w:t>
            </w:r>
          </w:p>
        </w:tc>
      </w:tr>
      <w:tr w:rsidR="008605C0" w:rsidRPr="00961B75" w:rsidTr="008605C0">
        <w:trPr>
          <w:cantSplit/>
        </w:trPr>
        <w:tc>
          <w:tcPr>
            <w:tcW w:w="952" w:type="dxa"/>
            <w:vMerge/>
            <w:shd w:val="clear" w:color="auto" w:fill="auto"/>
            <w:vAlign w:val="center"/>
          </w:tcPr>
          <w:p w:rsidR="008605C0" w:rsidRPr="00961B75" w:rsidRDefault="008605C0" w:rsidP="004611DA">
            <w:pPr>
              <w:keepLines/>
              <w:widowControl/>
              <w:jc w:val="left"/>
              <w:rPr>
                <w:rFonts w:ascii="Arial Narrow" w:hAnsi="Arial Narrow"/>
                <w:bCs/>
                <w:sz w:val="20"/>
              </w:rPr>
            </w:pPr>
          </w:p>
        </w:tc>
        <w:tc>
          <w:tcPr>
            <w:tcW w:w="352" w:type="dxa"/>
            <w:vMerge/>
            <w:shd w:val="clear" w:color="auto" w:fill="auto"/>
            <w:vAlign w:val="center"/>
          </w:tcPr>
          <w:p w:rsidR="008605C0" w:rsidRPr="00961B75" w:rsidRDefault="008605C0" w:rsidP="004611DA">
            <w:pPr>
              <w:keepLines/>
              <w:widowControl/>
              <w:jc w:val="center"/>
              <w:rPr>
                <w:rFonts w:ascii="Arial Narrow" w:hAnsi="Arial Narrow"/>
                <w:bCs/>
                <w:sz w:val="20"/>
              </w:rPr>
            </w:pPr>
          </w:p>
        </w:tc>
        <w:tc>
          <w:tcPr>
            <w:tcW w:w="992" w:type="dxa"/>
            <w:vMerge/>
            <w:shd w:val="clear" w:color="auto" w:fill="auto"/>
            <w:vAlign w:val="center"/>
          </w:tcPr>
          <w:p w:rsidR="008605C0" w:rsidRPr="00961B75" w:rsidRDefault="008605C0" w:rsidP="004611DA">
            <w:pPr>
              <w:keepLines/>
              <w:widowControl/>
              <w:jc w:val="center"/>
              <w:rPr>
                <w:rFonts w:ascii="Arial Narrow" w:hAnsi="Arial Narrow"/>
                <w:bCs/>
                <w:sz w:val="20"/>
              </w:rPr>
            </w:pPr>
          </w:p>
        </w:tc>
        <w:tc>
          <w:tcPr>
            <w:tcW w:w="630" w:type="dxa"/>
            <w:vMerge/>
            <w:shd w:val="clear" w:color="auto" w:fill="auto"/>
            <w:vAlign w:val="center"/>
          </w:tcPr>
          <w:p w:rsidR="008605C0" w:rsidRPr="00961B75" w:rsidRDefault="008605C0" w:rsidP="004611DA">
            <w:pPr>
              <w:keepLines/>
              <w:widowControl/>
              <w:jc w:val="center"/>
              <w:rPr>
                <w:rFonts w:ascii="Arial Narrow" w:hAnsi="Arial Narrow"/>
                <w:bCs/>
                <w:iCs/>
                <w:sz w:val="20"/>
              </w:rPr>
            </w:pPr>
          </w:p>
        </w:tc>
        <w:tc>
          <w:tcPr>
            <w:tcW w:w="429" w:type="dxa"/>
            <w:shd w:val="clear" w:color="auto" w:fill="auto"/>
            <w:vAlign w:val="center"/>
          </w:tcPr>
          <w:p w:rsidR="008605C0" w:rsidRPr="00961B75" w:rsidRDefault="008605C0" w:rsidP="004611DA">
            <w:pPr>
              <w:keepLines/>
              <w:widowControl/>
              <w:jc w:val="center"/>
              <w:rPr>
                <w:rFonts w:ascii="Arial Narrow" w:hAnsi="Arial Narrow"/>
                <w:bCs/>
                <w:sz w:val="20"/>
              </w:rPr>
            </w:pPr>
            <w:r w:rsidRPr="00961B75">
              <w:rPr>
                <w:rFonts w:ascii="Arial Narrow" w:hAnsi="Arial Narrow"/>
                <w:bCs/>
                <w:sz w:val="20"/>
              </w:rPr>
              <w:t>B</w:t>
            </w:r>
          </w:p>
        </w:tc>
        <w:tc>
          <w:tcPr>
            <w:tcW w:w="406" w:type="dxa"/>
            <w:shd w:val="clear" w:color="auto" w:fill="auto"/>
            <w:vAlign w:val="center"/>
          </w:tcPr>
          <w:p w:rsidR="008605C0" w:rsidRPr="00961B75" w:rsidRDefault="008605C0" w:rsidP="004611DA">
            <w:pPr>
              <w:keepLines/>
              <w:widowControl/>
              <w:jc w:val="center"/>
              <w:rPr>
                <w:rFonts w:ascii="Arial Narrow" w:hAnsi="Arial Narrow"/>
                <w:bCs/>
                <w:sz w:val="20"/>
              </w:rPr>
            </w:pPr>
            <w:r w:rsidRPr="00961B75">
              <w:rPr>
                <w:rFonts w:ascii="Arial Narrow" w:hAnsi="Arial Narrow"/>
                <w:bCs/>
                <w:sz w:val="20"/>
              </w:rPr>
              <w:t>61</w:t>
            </w:r>
          </w:p>
        </w:tc>
        <w:tc>
          <w:tcPr>
            <w:tcW w:w="565" w:type="dxa"/>
            <w:shd w:val="clear" w:color="auto" w:fill="auto"/>
            <w:vAlign w:val="center"/>
          </w:tcPr>
          <w:p w:rsidR="008605C0" w:rsidRPr="00961B75" w:rsidRDefault="008605C0" w:rsidP="004611DA">
            <w:pPr>
              <w:keepLines/>
              <w:widowControl/>
              <w:jc w:val="center"/>
              <w:rPr>
                <w:rFonts w:ascii="Arial Narrow" w:hAnsi="Arial Narrow"/>
                <w:bCs/>
                <w:sz w:val="20"/>
              </w:rPr>
            </w:pPr>
            <w:r w:rsidRPr="00961B75">
              <w:rPr>
                <w:rFonts w:ascii="Arial Narrow" w:hAnsi="Arial Narrow"/>
                <w:bCs/>
                <w:sz w:val="20"/>
              </w:rPr>
              <w:t>4</w:t>
            </w:r>
          </w:p>
        </w:tc>
        <w:tc>
          <w:tcPr>
            <w:tcW w:w="798" w:type="dxa"/>
            <w:shd w:val="clear" w:color="auto" w:fill="auto"/>
            <w:vAlign w:val="center"/>
          </w:tcPr>
          <w:p w:rsidR="008605C0" w:rsidRPr="00961B75" w:rsidRDefault="008605C0" w:rsidP="004611DA">
            <w:pPr>
              <w:keepLines/>
              <w:widowControl/>
              <w:jc w:val="center"/>
              <w:rPr>
                <w:rFonts w:ascii="Arial Narrow" w:hAnsi="Arial Narrow"/>
                <w:bCs/>
                <w:sz w:val="20"/>
              </w:rPr>
            </w:pPr>
            <w:r w:rsidRPr="00961B75">
              <w:rPr>
                <w:rFonts w:ascii="Arial Narrow" w:hAnsi="Arial Narrow"/>
                <w:sz w:val="20"/>
              </w:rPr>
              <w:t>Yes</w:t>
            </w:r>
          </w:p>
        </w:tc>
        <w:tc>
          <w:tcPr>
            <w:tcW w:w="1063" w:type="dxa"/>
            <w:shd w:val="clear" w:color="auto" w:fill="auto"/>
            <w:vAlign w:val="center"/>
          </w:tcPr>
          <w:p w:rsidR="008605C0" w:rsidRPr="00961B75" w:rsidRDefault="008605C0" w:rsidP="004611DA">
            <w:pPr>
              <w:keepLines/>
              <w:widowControl/>
              <w:jc w:val="center"/>
              <w:rPr>
                <w:rFonts w:ascii="Arial Narrow" w:hAnsi="Arial Narrow"/>
                <w:bCs/>
                <w:sz w:val="20"/>
                <w:vertAlign w:val="superscript"/>
              </w:rPr>
            </w:pPr>
            <w:r w:rsidRPr="00961B75">
              <w:rPr>
                <w:rFonts w:ascii="Arial Narrow" w:hAnsi="Arial Narrow"/>
                <w:bCs/>
                <w:sz w:val="20"/>
              </w:rPr>
              <w:t>Naïve or experienced</w:t>
            </w:r>
          </w:p>
        </w:tc>
        <w:tc>
          <w:tcPr>
            <w:tcW w:w="901" w:type="dxa"/>
            <w:shd w:val="clear" w:color="auto" w:fill="auto"/>
            <w:vAlign w:val="center"/>
          </w:tcPr>
          <w:p w:rsidR="008605C0" w:rsidRPr="00961B75" w:rsidRDefault="008605C0" w:rsidP="004611DA">
            <w:pPr>
              <w:keepLines/>
              <w:widowControl/>
              <w:jc w:val="center"/>
              <w:rPr>
                <w:rFonts w:ascii="Arial Narrow" w:hAnsi="Arial Narrow"/>
                <w:bCs/>
                <w:sz w:val="20"/>
              </w:rPr>
            </w:pPr>
            <w:proofErr w:type="spellStart"/>
            <w:r w:rsidRPr="00961B75">
              <w:rPr>
                <w:rFonts w:ascii="Arial Narrow" w:hAnsi="Arial Narrow"/>
                <w:bCs/>
                <w:sz w:val="20"/>
              </w:rPr>
              <w:t>Technivie</w:t>
            </w:r>
            <w:proofErr w:type="spellEnd"/>
            <w:r w:rsidRPr="00961B75">
              <w:rPr>
                <w:rFonts w:ascii="Arial Narrow" w:hAnsi="Arial Narrow"/>
                <w:bCs/>
                <w:sz w:val="20"/>
              </w:rPr>
              <w:t>®+RBV</w:t>
            </w:r>
          </w:p>
        </w:tc>
        <w:tc>
          <w:tcPr>
            <w:tcW w:w="742" w:type="dxa"/>
            <w:shd w:val="clear" w:color="auto" w:fill="auto"/>
            <w:vAlign w:val="center"/>
          </w:tcPr>
          <w:p w:rsidR="008605C0" w:rsidRPr="00961B75" w:rsidRDefault="008605C0" w:rsidP="004611DA">
            <w:pPr>
              <w:keepLines/>
              <w:widowControl/>
              <w:jc w:val="center"/>
              <w:rPr>
                <w:rFonts w:ascii="Arial Narrow" w:hAnsi="Arial Narrow"/>
                <w:sz w:val="20"/>
              </w:rPr>
            </w:pPr>
            <w:r w:rsidRPr="00961B75">
              <w:rPr>
                <w:rFonts w:ascii="Arial Narrow" w:hAnsi="Arial Narrow"/>
                <w:sz w:val="20"/>
              </w:rPr>
              <w:t>16</w:t>
            </w:r>
          </w:p>
        </w:tc>
        <w:tc>
          <w:tcPr>
            <w:tcW w:w="742" w:type="dxa"/>
            <w:vMerge/>
            <w:vAlign w:val="center"/>
          </w:tcPr>
          <w:p w:rsidR="008605C0" w:rsidRPr="00961B75" w:rsidRDefault="008605C0" w:rsidP="004611DA">
            <w:pPr>
              <w:keepLines/>
              <w:widowControl/>
              <w:jc w:val="center"/>
              <w:rPr>
                <w:rFonts w:ascii="Arial Narrow" w:hAnsi="Arial Narrow"/>
                <w:sz w:val="20"/>
              </w:rPr>
            </w:pPr>
          </w:p>
        </w:tc>
      </w:tr>
      <w:tr w:rsidR="008605C0" w:rsidRPr="00961B75" w:rsidTr="008605C0">
        <w:trPr>
          <w:cantSplit/>
        </w:trPr>
        <w:tc>
          <w:tcPr>
            <w:tcW w:w="952" w:type="dxa"/>
            <w:vMerge w:val="restart"/>
            <w:shd w:val="clear" w:color="auto" w:fill="auto"/>
            <w:vAlign w:val="center"/>
          </w:tcPr>
          <w:p w:rsidR="008605C0" w:rsidRPr="00961B75" w:rsidRDefault="008605C0" w:rsidP="004611DA">
            <w:pPr>
              <w:keepLines/>
              <w:widowControl/>
              <w:jc w:val="left"/>
              <w:rPr>
                <w:rFonts w:ascii="Arial Narrow" w:hAnsi="Arial Narrow"/>
                <w:bCs/>
                <w:sz w:val="20"/>
              </w:rPr>
            </w:pPr>
            <w:r w:rsidRPr="00961B75">
              <w:rPr>
                <w:rFonts w:ascii="Arial Narrow" w:hAnsi="Arial Narrow"/>
                <w:bCs/>
                <w:sz w:val="20"/>
              </w:rPr>
              <w:t>AGATE II</w:t>
            </w:r>
          </w:p>
        </w:tc>
        <w:tc>
          <w:tcPr>
            <w:tcW w:w="352" w:type="dxa"/>
            <w:vMerge w:val="restart"/>
            <w:shd w:val="clear" w:color="auto" w:fill="auto"/>
            <w:vAlign w:val="center"/>
          </w:tcPr>
          <w:p w:rsidR="008605C0" w:rsidRPr="00961B75" w:rsidRDefault="008605C0" w:rsidP="004611DA">
            <w:pPr>
              <w:keepLines/>
              <w:widowControl/>
              <w:jc w:val="center"/>
              <w:rPr>
                <w:rFonts w:ascii="Arial Narrow" w:hAnsi="Arial Narrow"/>
                <w:bCs/>
                <w:sz w:val="20"/>
              </w:rPr>
            </w:pPr>
            <w:r w:rsidRPr="00961B75">
              <w:rPr>
                <w:rFonts w:ascii="Arial Narrow" w:hAnsi="Arial Narrow"/>
                <w:bCs/>
                <w:sz w:val="20"/>
              </w:rPr>
              <w:t>160</w:t>
            </w:r>
          </w:p>
        </w:tc>
        <w:tc>
          <w:tcPr>
            <w:tcW w:w="992" w:type="dxa"/>
            <w:vMerge w:val="restart"/>
            <w:shd w:val="clear" w:color="auto" w:fill="auto"/>
            <w:vAlign w:val="center"/>
          </w:tcPr>
          <w:p w:rsidR="008605C0" w:rsidRPr="00961B75" w:rsidRDefault="008605C0" w:rsidP="004611DA">
            <w:pPr>
              <w:keepLines/>
              <w:widowControl/>
              <w:jc w:val="center"/>
              <w:rPr>
                <w:rFonts w:ascii="Arial Narrow" w:hAnsi="Arial Narrow"/>
                <w:bCs/>
                <w:sz w:val="20"/>
              </w:rPr>
            </w:pPr>
            <w:r w:rsidRPr="00961B75">
              <w:rPr>
                <w:rFonts w:ascii="Arial Narrow" w:hAnsi="Arial Narrow"/>
                <w:bCs/>
                <w:sz w:val="20"/>
              </w:rPr>
              <w:t>R, OL, MC (Egypt), Phase III</w:t>
            </w:r>
          </w:p>
        </w:tc>
        <w:tc>
          <w:tcPr>
            <w:tcW w:w="630" w:type="dxa"/>
            <w:vMerge w:val="restart"/>
            <w:shd w:val="clear" w:color="auto" w:fill="auto"/>
            <w:vAlign w:val="center"/>
          </w:tcPr>
          <w:p w:rsidR="008605C0" w:rsidRPr="00961B75" w:rsidRDefault="008605C0" w:rsidP="004611DA">
            <w:pPr>
              <w:keepLines/>
              <w:widowControl/>
              <w:jc w:val="center"/>
              <w:rPr>
                <w:rFonts w:ascii="Arial Narrow" w:hAnsi="Arial Narrow"/>
                <w:bCs/>
                <w:iCs/>
                <w:sz w:val="20"/>
              </w:rPr>
            </w:pPr>
            <w:r w:rsidRPr="00961B75">
              <w:rPr>
                <w:rFonts w:ascii="Arial Narrow" w:hAnsi="Arial Narrow"/>
                <w:bCs/>
                <w:iCs/>
                <w:sz w:val="20"/>
              </w:rPr>
              <w:t>NA</w:t>
            </w:r>
          </w:p>
        </w:tc>
        <w:tc>
          <w:tcPr>
            <w:tcW w:w="429" w:type="dxa"/>
            <w:shd w:val="clear" w:color="auto" w:fill="D9D9D9" w:themeFill="background1" w:themeFillShade="D9"/>
            <w:vAlign w:val="center"/>
          </w:tcPr>
          <w:p w:rsidR="008605C0" w:rsidRPr="00961B75" w:rsidRDefault="008605C0" w:rsidP="004611DA">
            <w:pPr>
              <w:keepLines/>
              <w:widowControl/>
              <w:jc w:val="center"/>
              <w:rPr>
                <w:rFonts w:ascii="Arial Narrow" w:hAnsi="Arial Narrow"/>
                <w:bCs/>
                <w:sz w:val="20"/>
              </w:rPr>
            </w:pPr>
            <w:r w:rsidRPr="00961B75">
              <w:rPr>
                <w:rFonts w:ascii="Arial Narrow" w:hAnsi="Arial Narrow"/>
                <w:bCs/>
                <w:sz w:val="20"/>
              </w:rPr>
              <w:t>A</w:t>
            </w:r>
          </w:p>
        </w:tc>
        <w:tc>
          <w:tcPr>
            <w:tcW w:w="406" w:type="dxa"/>
            <w:shd w:val="clear" w:color="auto" w:fill="D9D9D9" w:themeFill="background1" w:themeFillShade="D9"/>
            <w:vAlign w:val="center"/>
          </w:tcPr>
          <w:p w:rsidR="008605C0" w:rsidRPr="00961B75" w:rsidRDefault="008605C0" w:rsidP="004611DA">
            <w:pPr>
              <w:keepLines/>
              <w:widowControl/>
              <w:jc w:val="center"/>
              <w:rPr>
                <w:rFonts w:ascii="Arial Narrow" w:hAnsi="Arial Narrow"/>
                <w:bCs/>
                <w:sz w:val="20"/>
              </w:rPr>
            </w:pPr>
            <w:r w:rsidRPr="00961B75">
              <w:rPr>
                <w:rFonts w:ascii="Arial Narrow" w:hAnsi="Arial Narrow"/>
                <w:bCs/>
                <w:sz w:val="20"/>
              </w:rPr>
              <w:t>100</w:t>
            </w:r>
          </w:p>
        </w:tc>
        <w:tc>
          <w:tcPr>
            <w:tcW w:w="565" w:type="dxa"/>
            <w:shd w:val="clear" w:color="auto" w:fill="D9D9D9" w:themeFill="background1" w:themeFillShade="D9"/>
            <w:vAlign w:val="center"/>
          </w:tcPr>
          <w:p w:rsidR="008605C0" w:rsidRPr="00961B75" w:rsidRDefault="008605C0" w:rsidP="004611DA">
            <w:pPr>
              <w:keepLines/>
              <w:widowControl/>
              <w:jc w:val="center"/>
              <w:rPr>
                <w:rFonts w:ascii="Arial Narrow" w:hAnsi="Arial Narrow"/>
                <w:bCs/>
                <w:sz w:val="20"/>
              </w:rPr>
            </w:pPr>
            <w:r w:rsidRPr="00961B75">
              <w:rPr>
                <w:rFonts w:ascii="Arial Narrow" w:hAnsi="Arial Narrow"/>
                <w:bCs/>
                <w:sz w:val="20"/>
              </w:rPr>
              <w:t>4</w:t>
            </w:r>
          </w:p>
        </w:tc>
        <w:tc>
          <w:tcPr>
            <w:tcW w:w="798" w:type="dxa"/>
            <w:shd w:val="clear" w:color="auto" w:fill="D9D9D9" w:themeFill="background1" w:themeFillShade="D9"/>
            <w:vAlign w:val="center"/>
          </w:tcPr>
          <w:p w:rsidR="008605C0" w:rsidRPr="00961B75" w:rsidRDefault="008605C0" w:rsidP="004611DA">
            <w:pPr>
              <w:keepLines/>
              <w:widowControl/>
              <w:jc w:val="center"/>
              <w:rPr>
                <w:rFonts w:ascii="Arial Narrow" w:hAnsi="Arial Narrow"/>
                <w:bCs/>
                <w:sz w:val="20"/>
              </w:rPr>
            </w:pPr>
            <w:r w:rsidRPr="00961B75">
              <w:rPr>
                <w:rFonts w:ascii="Arial Narrow" w:hAnsi="Arial Narrow"/>
                <w:bCs/>
                <w:sz w:val="20"/>
              </w:rPr>
              <w:t>No</w:t>
            </w:r>
          </w:p>
        </w:tc>
        <w:tc>
          <w:tcPr>
            <w:tcW w:w="1063" w:type="dxa"/>
            <w:shd w:val="clear" w:color="auto" w:fill="D9D9D9" w:themeFill="background1" w:themeFillShade="D9"/>
            <w:vAlign w:val="center"/>
          </w:tcPr>
          <w:p w:rsidR="008605C0" w:rsidRPr="00961B75" w:rsidRDefault="008605C0" w:rsidP="004611DA">
            <w:pPr>
              <w:keepLines/>
              <w:widowControl/>
              <w:jc w:val="center"/>
              <w:rPr>
                <w:rFonts w:ascii="Arial Narrow" w:hAnsi="Arial Narrow"/>
                <w:bCs/>
                <w:sz w:val="20"/>
              </w:rPr>
            </w:pPr>
            <w:r w:rsidRPr="00961B75">
              <w:rPr>
                <w:rFonts w:ascii="Arial Narrow" w:hAnsi="Arial Narrow"/>
                <w:bCs/>
                <w:sz w:val="20"/>
              </w:rPr>
              <w:t>Naïve or experienced</w:t>
            </w:r>
          </w:p>
        </w:tc>
        <w:tc>
          <w:tcPr>
            <w:tcW w:w="901" w:type="dxa"/>
            <w:shd w:val="clear" w:color="auto" w:fill="D9D9D9" w:themeFill="background1" w:themeFillShade="D9"/>
            <w:vAlign w:val="center"/>
          </w:tcPr>
          <w:p w:rsidR="008605C0" w:rsidRPr="00961B75" w:rsidRDefault="008605C0" w:rsidP="004611DA">
            <w:pPr>
              <w:keepLines/>
              <w:widowControl/>
              <w:jc w:val="center"/>
              <w:rPr>
                <w:rFonts w:ascii="Arial Narrow" w:hAnsi="Arial Narrow"/>
                <w:bCs/>
                <w:sz w:val="20"/>
              </w:rPr>
            </w:pPr>
            <w:proofErr w:type="spellStart"/>
            <w:r w:rsidRPr="00961B75">
              <w:rPr>
                <w:rFonts w:ascii="Arial Narrow" w:hAnsi="Arial Narrow"/>
                <w:bCs/>
                <w:sz w:val="20"/>
              </w:rPr>
              <w:t>Technivie</w:t>
            </w:r>
            <w:proofErr w:type="spellEnd"/>
            <w:r w:rsidRPr="00961B75">
              <w:rPr>
                <w:rFonts w:ascii="Arial Narrow" w:hAnsi="Arial Narrow"/>
                <w:bCs/>
                <w:sz w:val="20"/>
              </w:rPr>
              <w:t>®+RBV</w:t>
            </w:r>
          </w:p>
        </w:tc>
        <w:tc>
          <w:tcPr>
            <w:tcW w:w="742" w:type="dxa"/>
            <w:shd w:val="clear" w:color="auto" w:fill="D9D9D9" w:themeFill="background1" w:themeFillShade="D9"/>
            <w:vAlign w:val="center"/>
          </w:tcPr>
          <w:p w:rsidR="008605C0" w:rsidRPr="00961B75" w:rsidRDefault="008605C0" w:rsidP="004611DA">
            <w:pPr>
              <w:keepLines/>
              <w:widowControl/>
              <w:jc w:val="center"/>
              <w:rPr>
                <w:rFonts w:ascii="Arial Narrow" w:hAnsi="Arial Narrow"/>
                <w:sz w:val="20"/>
              </w:rPr>
            </w:pPr>
            <w:r w:rsidRPr="00961B75">
              <w:rPr>
                <w:rFonts w:ascii="Arial Narrow" w:hAnsi="Arial Narrow"/>
                <w:sz w:val="20"/>
              </w:rPr>
              <w:t>12</w:t>
            </w:r>
          </w:p>
        </w:tc>
        <w:tc>
          <w:tcPr>
            <w:tcW w:w="742" w:type="dxa"/>
            <w:vMerge w:val="restart"/>
            <w:vAlign w:val="center"/>
          </w:tcPr>
          <w:p w:rsidR="008605C0" w:rsidRPr="00961B75" w:rsidRDefault="008605C0" w:rsidP="004611DA">
            <w:pPr>
              <w:keepLines/>
              <w:widowControl/>
              <w:jc w:val="center"/>
              <w:rPr>
                <w:rFonts w:ascii="Arial Narrow" w:hAnsi="Arial Narrow"/>
                <w:sz w:val="20"/>
              </w:rPr>
            </w:pPr>
            <w:r w:rsidRPr="00961B75">
              <w:rPr>
                <w:rFonts w:ascii="Arial Narrow" w:hAnsi="Arial Narrow"/>
                <w:smallCaps/>
                <w:sz w:val="20"/>
              </w:rPr>
              <w:t>SVR12</w:t>
            </w:r>
          </w:p>
        </w:tc>
      </w:tr>
      <w:tr w:rsidR="008605C0" w:rsidRPr="00961B75" w:rsidTr="008605C0">
        <w:trPr>
          <w:cantSplit/>
        </w:trPr>
        <w:tc>
          <w:tcPr>
            <w:tcW w:w="952" w:type="dxa"/>
            <w:vMerge/>
            <w:shd w:val="clear" w:color="auto" w:fill="auto"/>
            <w:vAlign w:val="center"/>
          </w:tcPr>
          <w:p w:rsidR="008605C0" w:rsidRPr="00961B75" w:rsidRDefault="008605C0" w:rsidP="004611DA">
            <w:pPr>
              <w:keepLines/>
              <w:widowControl/>
              <w:jc w:val="left"/>
              <w:rPr>
                <w:rFonts w:ascii="Arial Narrow" w:hAnsi="Arial Narrow"/>
                <w:bCs/>
                <w:sz w:val="20"/>
              </w:rPr>
            </w:pPr>
          </w:p>
        </w:tc>
        <w:tc>
          <w:tcPr>
            <w:tcW w:w="352" w:type="dxa"/>
            <w:vMerge/>
            <w:shd w:val="clear" w:color="auto" w:fill="auto"/>
            <w:vAlign w:val="center"/>
          </w:tcPr>
          <w:p w:rsidR="008605C0" w:rsidRPr="00961B75" w:rsidRDefault="008605C0" w:rsidP="004611DA">
            <w:pPr>
              <w:keepLines/>
              <w:widowControl/>
              <w:jc w:val="center"/>
              <w:rPr>
                <w:rFonts w:ascii="Arial Narrow" w:hAnsi="Arial Narrow"/>
                <w:bCs/>
                <w:sz w:val="20"/>
              </w:rPr>
            </w:pPr>
          </w:p>
        </w:tc>
        <w:tc>
          <w:tcPr>
            <w:tcW w:w="992" w:type="dxa"/>
            <w:vMerge/>
            <w:shd w:val="clear" w:color="auto" w:fill="auto"/>
            <w:vAlign w:val="center"/>
          </w:tcPr>
          <w:p w:rsidR="008605C0" w:rsidRPr="00961B75" w:rsidRDefault="008605C0" w:rsidP="004611DA">
            <w:pPr>
              <w:keepLines/>
              <w:widowControl/>
              <w:jc w:val="center"/>
              <w:rPr>
                <w:rFonts w:ascii="Arial Narrow" w:hAnsi="Arial Narrow"/>
                <w:bCs/>
                <w:sz w:val="20"/>
              </w:rPr>
            </w:pPr>
          </w:p>
        </w:tc>
        <w:tc>
          <w:tcPr>
            <w:tcW w:w="630" w:type="dxa"/>
            <w:vMerge/>
            <w:shd w:val="clear" w:color="auto" w:fill="auto"/>
            <w:vAlign w:val="center"/>
          </w:tcPr>
          <w:p w:rsidR="008605C0" w:rsidRPr="00961B75" w:rsidRDefault="008605C0" w:rsidP="004611DA">
            <w:pPr>
              <w:keepLines/>
              <w:widowControl/>
              <w:jc w:val="center"/>
              <w:rPr>
                <w:rFonts w:ascii="Arial Narrow" w:hAnsi="Arial Narrow"/>
                <w:bCs/>
                <w:i/>
                <w:iCs/>
                <w:sz w:val="20"/>
              </w:rPr>
            </w:pPr>
          </w:p>
        </w:tc>
        <w:tc>
          <w:tcPr>
            <w:tcW w:w="429" w:type="dxa"/>
            <w:shd w:val="clear" w:color="auto" w:fill="D9D9D9" w:themeFill="background1" w:themeFillShade="D9"/>
            <w:vAlign w:val="center"/>
          </w:tcPr>
          <w:p w:rsidR="008605C0" w:rsidRPr="00961B75" w:rsidRDefault="008605C0" w:rsidP="004611DA">
            <w:pPr>
              <w:keepLines/>
              <w:widowControl/>
              <w:jc w:val="center"/>
              <w:rPr>
                <w:rFonts w:ascii="Arial Narrow" w:hAnsi="Arial Narrow"/>
                <w:bCs/>
                <w:sz w:val="20"/>
              </w:rPr>
            </w:pPr>
            <w:r w:rsidRPr="00961B75">
              <w:rPr>
                <w:rFonts w:ascii="Arial Narrow" w:hAnsi="Arial Narrow"/>
                <w:bCs/>
                <w:sz w:val="20"/>
              </w:rPr>
              <w:t>B</w:t>
            </w:r>
          </w:p>
        </w:tc>
        <w:tc>
          <w:tcPr>
            <w:tcW w:w="406" w:type="dxa"/>
            <w:shd w:val="clear" w:color="auto" w:fill="D9D9D9" w:themeFill="background1" w:themeFillShade="D9"/>
            <w:vAlign w:val="center"/>
          </w:tcPr>
          <w:p w:rsidR="008605C0" w:rsidRPr="00961B75" w:rsidRDefault="008605C0" w:rsidP="004611DA">
            <w:pPr>
              <w:keepLines/>
              <w:widowControl/>
              <w:jc w:val="center"/>
              <w:rPr>
                <w:rFonts w:ascii="Arial Narrow" w:hAnsi="Arial Narrow"/>
                <w:bCs/>
                <w:sz w:val="20"/>
              </w:rPr>
            </w:pPr>
            <w:r w:rsidRPr="00961B75">
              <w:rPr>
                <w:rFonts w:ascii="Arial Narrow" w:hAnsi="Arial Narrow"/>
                <w:bCs/>
                <w:sz w:val="20"/>
              </w:rPr>
              <w:t>31</w:t>
            </w:r>
          </w:p>
        </w:tc>
        <w:tc>
          <w:tcPr>
            <w:tcW w:w="565" w:type="dxa"/>
            <w:shd w:val="clear" w:color="auto" w:fill="D9D9D9" w:themeFill="background1" w:themeFillShade="D9"/>
            <w:vAlign w:val="center"/>
          </w:tcPr>
          <w:p w:rsidR="008605C0" w:rsidRPr="00961B75" w:rsidRDefault="008605C0" w:rsidP="004611DA">
            <w:pPr>
              <w:keepLines/>
              <w:widowControl/>
              <w:jc w:val="center"/>
              <w:rPr>
                <w:rFonts w:ascii="Arial Narrow" w:hAnsi="Arial Narrow"/>
                <w:bCs/>
                <w:sz w:val="20"/>
              </w:rPr>
            </w:pPr>
            <w:r w:rsidRPr="00961B75">
              <w:rPr>
                <w:rFonts w:ascii="Arial Narrow" w:hAnsi="Arial Narrow"/>
                <w:bCs/>
                <w:sz w:val="20"/>
              </w:rPr>
              <w:t>4</w:t>
            </w:r>
          </w:p>
        </w:tc>
        <w:tc>
          <w:tcPr>
            <w:tcW w:w="798" w:type="dxa"/>
            <w:shd w:val="clear" w:color="auto" w:fill="D9D9D9" w:themeFill="background1" w:themeFillShade="D9"/>
            <w:vAlign w:val="center"/>
          </w:tcPr>
          <w:p w:rsidR="008605C0" w:rsidRPr="00961B75" w:rsidRDefault="008605C0" w:rsidP="004611DA">
            <w:pPr>
              <w:keepLines/>
              <w:widowControl/>
              <w:jc w:val="center"/>
              <w:rPr>
                <w:rFonts w:ascii="Arial Narrow" w:hAnsi="Arial Narrow"/>
                <w:bCs/>
                <w:sz w:val="20"/>
              </w:rPr>
            </w:pPr>
            <w:r w:rsidRPr="00961B75">
              <w:rPr>
                <w:rFonts w:ascii="Arial Narrow" w:hAnsi="Arial Narrow"/>
                <w:bCs/>
                <w:sz w:val="20"/>
              </w:rPr>
              <w:t>Yes</w:t>
            </w:r>
          </w:p>
        </w:tc>
        <w:tc>
          <w:tcPr>
            <w:tcW w:w="1063" w:type="dxa"/>
            <w:shd w:val="clear" w:color="auto" w:fill="D9D9D9" w:themeFill="background1" w:themeFillShade="D9"/>
            <w:vAlign w:val="center"/>
          </w:tcPr>
          <w:p w:rsidR="008605C0" w:rsidRPr="00961B75" w:rsidRDefault="008605C0" w:rsidP="004611DA">
            <w:pPr>
              <w:keepLines/>
              <w:widowControl/>
              <w:jc w:val="center"/>
              <w:rPr>
                <w:rFonts w:ascii="Arial Narrow" w:hAnsi="Arial Narrow"/>
                <w:bCs/>
                <w:sz w:val="20"/>
              </w:rPr>
            </w:pPr>
            <w:r w:rsidRPr="00961B75">
              <w:rPr>
                <w:rFonts w:ascii="Arial Narrow" w:hAnsi="Arial Narrow"/>
                <w:bCs/>
                <w:sz w:val="20"/>
              </w:rPr>
              <w:t>Naïve or experienced</w:t>
            </w:r>
          </w:p>
        </w:tc>
        <w:tc>
          <w:tcPr>
            <w:tcW w:w="901" w:type="dxa"/>
            <w:shd w:val="clear" w:color="auto" w:fill="D9D9D9" w:themeFill="background1" w:themeFillShade="D9"/>
            <w:vAlign w:val="center"/>
          </w:tcPr>
          <w:p w:rsidR="008605C0" w:rsidRPr="00961B75" w:rsidRDefault="008605C0" w:rsidP="004611DA">
            <w:pPr>
              <w:keepLines/>
              <w:widowControl/>
              <w:jc w:val="center"/>
              <w:rPr>
                <w:rFonts w:ascii="Arial Narrow" w:hAnsi="Arial Narrow"/>
                <w:bCs/>
                <w:sz w:val="20"/>
              </w:rPr>
            </w:pPr>
            <w:proofErr w:type="spellStart"/>
            <w:r w:rsidRPr="00961B75">
              <w:rPr>
                <w:rFonts w:ascii="Arial Narrow" w:hAnsi="Arial Narrow"/>
                <w:bCs/>
                <w:sz w:val="20"/>
              </w:rPr>
              <w:t>Technivie</w:t>
            </w:r>
            <w:proofErr w:type="spellEnd"/>
            <w:r w:rsidRPr="00961B75">
              <w:rPr>
                <w:rFonts w:ascii="Arial Narrow" w:hAnsi="Arial Narrow"/>
                <w:bCs/>
                <w:sz w:val="20"/>
              </w:rPr>
              <w:t>®+RBV</w:t>
            </w:r>
          </w:p>
        </w:tc>
        <w:tc>
          <w:tcPr>
            <w:tcW w:w="742" w:type="dxa"/>
            <w:shd w:val="clear" w:color="auto" w:fill="D9D9D9" w:themeFill="background1" w:themeFillShade="D9"/>
            <w:vAlign w:val="center"/>
          </w:tcPr>
          <w:p w:rsidR="008605C0" w:rsidRPr="00961B75" w:rsidRDefault="008605C0" w:rsidP="004611DA">
            <w:pPr>
              <w:keepLines/>
              <w:widowControl/>
              <w:jc w:val="center"/>
              <w:rPr>
                <w:rFonts w:ascii="Arial Narrow" w:hAnsi="Arial Narrow"/>
                <w:sz w:val="20"/>
              </w:rPr>
            </w:pPr>
            <w:r w:rsidRPr="00961B75">
              <w:rPr>
                <w:rFonts w:ascii="Arial Narrow" w:hAnsi="Arial Narrow"/>
                <w:sz w:val="20"/>
              </w:rPr>
              <w:t>12</w:t>
            </w:r>
          </w:p>
        </w:tc>
        <w:tc>
          <w:tcPr>
            <w:tcW w:w="742" w:type="dxa"/>
            <w:vMerge/>
            <w:vAlign w:val="center"/>
          </w:tcPr>
          <w:p w:rsidR="008605C0" w:rsidRPr="00961B75" w:rsidRDefault="008605C0" w:rsidP="004611DA">
            <w:pPr>
              <w:keepLines/>
              <w:widowControl/>
              <w:jc w:val="center"/>
              <w:rPr>
                <w:rFonts w:ascii="Arial Narrow" w:hAnsi="Arial Narrow"/>
                <w:sz w:val="20"/>
              </w:rPr>
            </w:pPr>
          </w:p>
        </w:tc>
      </w:tr>
      <w:tr w:rsidR="008605C0" w:rsidRPr="00961B75" w:rsidTr="008605C0">
        <w:trPr>
          <w:cantSplit/>
        </w:trPr>
        <w:tc>
          <w:tcPr>
            <w:tcW w:w="952" w:type="dxa"/>
            <w:vMerge/>
            <w:shd w:val="clear" w:color="auto" w:fill="auto"/>
            <w:vAlign w:val="center"/>
          </w:tcPr>
          <w:p w:rsidR="008605C0" w:rsidRPr="00961B75" w:rsidRDefault="008605C0" w:rsidP="004611DA">
            <w:pPr>
              <w:keepLines/>
              <w:widowControl/>
              <w:jc w:val="left"/>
              <w:rPr>
                <w:rFonts w:ascii="Arial Narrow" w:hAnsi="Arial Narrow"/>
                <w:bCs/>
                <w:sz w:val="20"/>
              </w:rPr>
            </w:pPr>
          </w:p>
        </w:tc>
        <w:tc>
          <w:tcPr>
            <w:tcW w:w="352" w:type="dxa"/>
            <w:vMerge/>
            <w:shd w:val="clear" w:color="auto" w:fill="auto"/>
            <w:vAlign w:val="center"/>
          </w:tcPr>
          <w:p w:rsidR="008605C0" w:rsidRPr="00961B75" w:rsidRDefault="008605C0" w:rsidP="004611DA">
            <w:pPr>
              <w:keepLines/>
              <w:widowControl/>
              <w:jc w:val="center"/>
              <w:rPr>
                <w:rFonts w:ascii="Arial Narrow" w:hAnsi="Arial Narrow"/>
                <w:bCs/>
                <w:sz w:val="20"/>
              </w:rPr>
            </w:pPr>
          </w:p>
        </w:tc>
        <w:tc>
          <w:tcPr>
            <w:tcW w:w="992" w:type="dxa"/>
            <w:vMerge/>
            <w:shd w:val="clear" w:color="auto" w:fill="auto"/>
            <w:vAlign w:val="center"/>
          </w:tcPr>
          <w:p w:rsidR="008605C0" w:rsidRPr="00961B75" w:rsidRDefault="008605C0" w:rsidP="004611DA">
            <w:pPr>
              <w:keepLines/>
              <w:widowControl/>
              <w:jc w:val="center"/>
              <w:rPr>
                <w:rFonts w:ascii="Arial Narrow" w:hAnsi="Arial Narrow"/>
                <w:bCs/>
                <w:sz w:val="20"/>
              </w:rPr>
            </w:pPr>
          </w:p>
        </w:tc>
        <w:tc>
          <w:tcPr>
            <w:tcW w:w="630" w:type="dxa"/>
            <w:vMerge/>
            <w:shd w:val="clear" w:color="auto" w:fill="auto"/>
            <w:vAlign w:val="center"/>
          </w:tcPr>
          <w:p w:rsidR="008605C0" w:rsidRPr="00961B75" w:rsidRDefault="008605C0" w:rsidP="004611DA">
            <w:pPr>
              <w:keepLines/>
              <w:widowControl/>
              <w:jc w:val="center"/>
              <w:rPr>
                <w:rFonts w:ascii="Arial Narrow" w:hAnsi="Arial Narrow"/>
                <w:bCs/>
                <w:i/>
                <w:iCs/>
                <w:sz w:val="20"/>
              </w:rPr>
            </w:pPr>
          </w:p>
        </w:tc>
        <w:tc>
          <w:tcPr>
            <w:tcW w:w="429" w:type="dxa"/>
            <w:shd w:val="clear" w:color="auto" w:fill="auto"/>
            <w:vAlign w:val="center"/>
          </w:tcPr>
          <w:p w:rsidR="008605C0" w:rsidRPr="00961B75" w:rsidRDefault="008605C0" w:rsidP="004611DA">
            <w:pPr>
              <w:keepLines/>
              <w:widowControl/>
              <w:jc w:val="center"/>
              <w:rPr>
                <w:rFonts w:ascii="Arial Narrow" w:hAnsi="Arial Narrow"/>
                <w:bCs/>
                <w:sz w:val="20"/>
              </w:rPr>
            </w:pPr>
            <w:r w:rsidRPr="00961B75">
              <w:rPr>
                <w:rFonts w:ascii="Arial Narrow" w:hAnsi="Arial Narrow"/>
                <w:bCs/>
                <w:sz w:val="20"/>
              </w:rPr>
              <w:t>C</w:t>
            </w:r>
          </w:p>
        </w:tc>
        <w:tc>
          <w:tcPr>
            <w:tcW w:w="406" w:type="dxa"/>
            <w:shd w:val="clear" w:color="auto" w:fill="auto"/>
            <w:vAlign w:val="center"/>
          </w:tcPr>
          <w:p w:rsidR="008605C0" w:rsidRPr="00961B75" w:rsidRDefault="008605C0" w:rsidP="004611DA">
            <w:pPr>
              <w:keepLines/>
              <w:widowControl/>
              <w:jc w:val="center"/>
              <w:rPr>
                <w:rFonts w:ascii="Arial Narrow" w:hAnsi="Arial Narrow"/>
                <w:bCs/>
                <w:sz w:val="20"/>
              </w:rPr>
            </w:pPr>
            <w:r w:rsidRPr="00961B75">
              <w:rPr>
                <w:rFonts w:ascii="Arial Narrow" w:hAnsi="Arial Narrow"/>
                <w:bCs/>
                <w:sz w:val="20"/>
              </w:rPr>
              <w:t>29</w:t>
            </w:r>
          </w:p>
        </w:tc>
        <w:tc>
          <w:tcPr>
            <w:tcW w:w="565" w:type="dxa"/>
            <w:shd w:val="clear" w:color="auto" w:fill="auto"/>
            <w:vAlign w:val="center"/>
          </w:tcPr>
          <w:p w:rsidR="008605C0" w:rsidRPr="00961B75" w:rsidRDefault="008605C0" w:rsidP="004611DA">
            <w:pPr>
              <w:keepLines/>
              <w:widowControl/>
              <w:jc w:val="center"/>
              <w:rPr>
                <w:rFonts w:ascii="Arial Narrow" w:hAnsi="Arial Narrow"/>
                <w:bCs/>
                <w:sz w:val="20"/>
              </w:rPr>
            </w:pPr>
            <w:r w:rsidRPr="00961B75">
              <w:rPr>
                <w:rFonts w:ascii="Arial Narrow" w:hAnsi="Arial Narrow"/>
                <w:bCs/>
                <w:sz w:val="20"/>
              </w:rPr>
              <w:t>4</w:t>
            </w:r>
          </w:p>
        </w:tc>
        <w:tc>
          <w:tcPr>
            <w:tcW w:w="798" w:type="dxa"/>
            <w:shd w:val="clear" w:color="auto" w:fill="auto"/>
            <w:vAlign w:val="center"/>
          </w:tcPr>
          <w:p w:rsidR="008605C0" w:rsidRPr="00961B75" w:rsidRDefault="008605C0" w:rsidP="004611DA">
            <w:pPr>
              <w:keepLines/>
              <w:widowControl/>
              <w:jc w:val="center"/>
              <w:rPr>
                <w:rFonts w:ascii="Arial Narrow" w:hAnsi="Arial Narrow"/>
                <w:bCs/>
                <w:sz w:val="20"/>
              </w:rPr>
            </w:pPr>
            <w:r w:rsidRPr="00961B75">
              <w:rPr>
                <w:rFonts w:ascii="Arial Narrow" w:hAnsi="Arial Narrow"/>
                <w:bCs/>
                <w:sz w:val="20"/>
              </w:rPr>
              <w:t>Yes</w:t>
            </w:r>
          </w:p>
        </w:tc>
        <w:tc>
          <w:tcPr>
            <w:tcW w:w="1063" w:type="dxa"/>
            <w:shd w:val="clear" w:color="auto" w:fill="auto"/>
            <w:vAlign w:val="center"/>
          </w:tcPr>
          <w:p w:rsidR="008605C0" w:rsidRPr="00961B75" w:rsidRDefault="008605C0" w:rsidP="004611DA">
            <w:pPr>
              <w:keepLines/>
              <w:widowControl/>
              <w:jc w:val="center"/>
              <w:rPr>
                <w:rFonts w:ascii="Arial Narrow" w:hAnsi="Arial Narrow"/>
                <w:bCs/>
                <w:sz w:val="20"/>
              </w:rPr>
            </w:pPr>
            <w:r w:rsidRPr="00961B75">
              <w:rPr>
                <w:rFonts w:ascii="Arial Narrow" w:hAnsi="Arial Narrow"/>
                <w:bCs/>
                <w:sz w:val="20"/>
              </w:rPr>
              <w:t>Naïve or experienced</w:t>
            </w:r>
          </w:p>
        </w:tc>
        <w:tc>
          <w:tcPr>
            <w:tcW w:w="901" w:type="dxa"/>
            <w:shd w:val="clear" w:color="auto" w:fill="auto"/>
            <w:vAlign w:val="center"/>
          </w:tcPr>
          <w:p w:rsidR="008605C0" w:rsidRPr="00961B75" w:rsidRDefault="008605C0" w:rsidP="004611DA">
            <w:pPr>
              <w:keepLines/>
              <w:widowControl/>
              <w:jc w:val="center"/>
              <w:rPr>
                <w:rFonts w:ascii="Arial Narrow" w:hAnsi="Arial Narrow"/>
                <w:bCs/>
                <w:sz w:val="20"/>
              </w:rPr>
            </w:pPr>
            <w:proofErr w:type="spellStart"/>
            <w:r w:rsidRPr="00961B75">
              <w:rPr>
                <w:rFonts w:ascii="Arial Narrow" w:hAnsi="Arial Narrow"/>
                <w:bCs/>
                <w:sz w:val="20"/>
              </w:rPr>
              <w:t>Technivie</w:t>
            </w:r>
            <w:proofErr w:type="spellEnd"/>
            <w:r w:rsidRPr="00961B75">
              <w:rPr>
                <w:rFonts w:ascii="Arial Narrow" w:hAnsi="Arial Narrow"/>
                <w:bCs/>
                <w:sz w:val="20"/>
              </w:rPr>
              <w:t>®+RBV</w:t>
            </w:r>
          </w:p>
        </w:tc>
        <w:tc>
          <w:tcPr>
            <w:tcW w:w="742" w:type="dxa"/>
            <w:shd w:val="clear" w:color="auto" w:fill="auto"/>
            <w:vAlign w:val="center"/>
          </w:tcPr>
          <w:p w:rsidR="008605C0" w:rsidRPr="00961B75" w:rsidRDefault="008605C0" w:rsidP="004611DA">
            <w:pPr>
              <w:keepLines/>
              <w:widowControl/>
              <w:jc w:val="center"/>
              <w:rPr>
                <w:rFonts w:ascii="Arial Narrow" w:hAnsi="Arial Narrow"/>
                <w:sz w:val="20"/>
              </w:rPr>
            </w:pPr>
            <w:r w:rsidRPr="00961B75">
              <w:rPr>
                <w:rFonts w:ascii="Arial Narrow" w:hAnsi="Arial Narrow"/>
                <w:sz w:val="20"/>
              </w:rPr>
              <w:t>24</w:t>
            </w:r>
          </w:p>
        </w:tc>
        <w:tc>
          <w:tcPr>
            <w:tcW w:w="742" w:type="dxa"/>
            <w:vMerge/>
            <w:vAlign w:val="center"/>
          </w:tcPr>
          <w:p w:rsidR="008605C0" w:rsidRPr="00961B75" w:rsidRDefault="008605C0" w:rsidP="004611DA">
            <w:pPr>
              <w:keepLines/>
              <w:widowControl/>
              <w:jc w:val="center"/>
              <w:rPr>
                <w:rFonts w:ascii="Arial Narrow" w:hAnsi="Arial Narrow"/>
                <w:sz w:val="20"/>
              </w:rPr>
            </w:pPr>
          </w:p>
        </w:tc>
      </w:tr>
      <w:tr w:rsidR="008605C0" w:rsidRPr="00961B75" w:rsidTr="008605C0">
        <w:trPr>
          <w:cantSplit/>
        </w:trPr>
        <w:tc>
          <w:tcPr>
            <w:tcW w:w="8572" w:type="dxa"/>
            <w:gridSpan w:val="12"/>
            <w:shd w:val="clear" w:color="auto" w:fill="auto"/>
            <w:vAlign w:val="center"/>
          </w:tcPr>
          <w:p w:rsidR="008605C0" w:rsidRPr="00961B75" w:rsidRDefault="008605C0" w:rsidP="000914CB">
            <w:pPr>
              <w:keepLines/>
              <w:widowControl/>
              <w:jc w:val="left"/>
              <w:rPr>
                <w:rFonts w:ascii="Arial Narrow" w:hAnsi="Arial Narrow"/>
                <w:sz w:val="20"/>
              </w:rPr>
            </w:pPr>
            <w:r w:rsidRPr="00961B75">
              <w:rPr>
                <w:rFonts w:ascii="Arial Narrow" w:hAnsi="Arial Narrow"/>
                <w:b/>
                <w:sz w:val="20"/>
              </w:rPr>
              <w:t>Grazoprevir</w:t>
            </w:r>
            <w:r w:rsidR="000914CB">
              <w:rPr>
                <w:rFonts w:ascii="Arial Narrow" w:hAnsi="Arial Narrow"/>
                <w:b/>
                <w:sz w:val="20"/>
              </w:rPr>
              <w:t>-</w:t>
            </w:r>
            <w:r w:rsidRPr="00961B75">
              <w:rPr>
                <w:rFonts w:ascii="Arial Narrow" w:hAnsi="Arial Narrow"/>
                <w:b/>
                <w:sz w:val="20"/>
              </w:rPr>
              <w:t>elbasvir ± ribavirin</w:t>
            </w:r>
          </w:p>
        </w:tc>
      </w:tr>
      <w:tr w:rsidR="008605C0" w:rsidRPr="00961B75" w:rsidTr="008605C0">
        <w:trPr>
          <w:cantSplit/>
          <w:trHeight w:val="568"/>
        </w:trPr>
        <w:tc>
          <w:tcPr>
            <w:tcW w:w="952" w:type="dxa"/>
            <w:shd w:val="clear" w:color="auto" w:fill="auto"/>
            <w:vAlign w:val="center"/>
          </w:tcPr>
          <w:p w:rsidR="008605C0" w:rsidRPr="00961B75" w:rsidRDefault="008605C0" w:rsidP="004611DA">
            <w:pPr>
              <w:keepLines/>
              <w:widowControl/>
              <w:jc w:val="left"/>
              <w:rPr>
                <w:rFonts w:ascii="Arial Narrow" w:hAnsi="Arial Narrow"/>
                <w:bCs/>
                <w:sz w:val="20"/>
              </w:rPr>
            </w:pPr>
            <w:r w:rsidRPr="00961B75">
              <w:rPr>
                <w:rFonts w:ascii="Arial Narrow" w:hAnsi="Arial Narrow"/>
                <w:sz w:val="20"/>
                <w:szCs w:val="16"/>
              </w:rPr>
              <w:t>C-EDGE TN</w:t>
            </w:r>
          </w:p>
        </w:tc>
        <w:tc>
          <w:tcPr>
            <w:tcW w:w="352" w:type="dxa"/>
            <w:shd w:val="clear" w:color="auto" w:fill="auto"/>
            <w:vAlign w:val="center"/>
          </w:tcPr>
          <w:p w:rsidR="008605C0" w:rsidRPr="00961B75" w:rsidRDefault="008605C0" w:rsidP="004611DA">
            <w:pPr>
              <w:keepLines/>
              <w:widowControl/>
              <w:jc w:val="center"/>
              <w:rPr>
                <w:rFonts w:ascii="Arial Narrow" w:hAnsi="Arial Narrow"/>
                <w:bCs/>
                <w:sz w:val="20"/>
              </w:rPr>
            </w:pPr>
            <w:r w:rsidRPr="00961B75">
              <w:rPr>
                <w:rFonts w:ascii="Arial Narrow" w:hAnsi="Arial Narrow"/>
                <w:bCs/>
                <w:sz w:val="20"/>
              </w:rPr>
              <w:t>421</w:t>
            </w:r>
          </w:p>
        </w:tc>
        <w:tc>
          <w:tcPr>
            <w:tcW w:w="992" w:type="dxa"/>
            <w:vMerge w:val="restart"/>
            <w:shd w:val="clear" w:color="auto" w:fill="auto"/>
            <w:vAlign w:val="center"/>
          </w:tcPr>
          <w:p w:rsidR="008605C0" w:rsidRPr="00961B75" w:rsidRDefault="008605C0" w:rsidP="004611DA">
            <w:pPr>
              <w:keepLines/>
              <w:widowControl/>
              <w:jc w:val="center"/>
              <w:rPr>
                <w:rFonts w:ascii="Arial Narrow" w:hAnsi="Arial Narrow"/>
                <w:bCs/>
                <w:sz w:val="20"/>
              </w:rPr>
            </w:pPr>
            <w:r w:rsidRPr="00961B75">
              <w:rPr>
                <w:rFonts w:ascii="Arial Narrow" w:hAnsi="Arial Narrow"/>
                <w:bCs/>
                <w:sz w:val="20"/>
              </w:rPr>
              <w:t>R, DB, MC, Phase III</w:t>
            </w:r>
          </w:p>
          <w:p w:rsidR="008605C0" w:rsidRPr="00961B75" w:rsidRDefault="008605C0" w:rsidP="004611DA">
            <w:pPr>
              <w:keepLines/>
              <w:widowControl/>
              <w:jc w:val="center"/>
              <w:rPr>
                <w:rFonts w:ascii="Arial Narrow" w:hAnsi="Arial Narrow"/>
                <w:bCs/>
                <w:sz w:val="20"/>
              </w:rPr>
            </w:pPr>
            <w:r w:rsidRPr="00961B75">
              <w:rPr>
                <w:rFonts w:ascii="Arial Narrow" w:hAnsi="Arial Narrow"/>
                <w:bCs/>
                <w:sz w:val="20"/>
              </w:rPr>
              <w:t xml:space="preserve">(deferred </w:t>
            </w:r>
            <w:proofErr w:type="spellStart"/>
            <w:r w:rsidRPr="00961B75">
              <w:rPr>
                <w:rFonts w:ascii="Arial Narrow" w:hAnsi="Arial Narrow"/>
                <w:bCs/>
                <w:sz w:val="20"/>
              </w:rPr>
              <w:t>Tx</w:t>
            </w:r>
            <w:proofErr w:type="spellEnd"/>
            <w:r w:rsidRPr="00961B75">
              <w:rPr>
                <w:rFonts w:ascii="Arial Narrow" w:hAnsi="Arial Narrow"/>
                <w:bCs/>
                <w:sz w:val="20"/>
              </w:rPr>
              <w:t>– OL CO for PBO)</w:t>
            </w:r>
          </w:p>
        </w:tc>
        <w:tc>
          <w:tcPr>
            <w:tcW w:w="630" w:type="dxa"/>
            <w:vMerge w:val="restart"/>
            <w:shd w:val="clear" w:color="auto" w:fill="auto"/>
            <w:vAlign w:val="center"/>
          </w:tcPr>
          <w:p w:rsidR="008605C0" w:rsidRPr="00961B75" w:rsidRDefault="008605C0" w:rsidP="004611DA">
            <w:pPr>
              <w:keepLines/>
              <w:widowControl/>
              <w:jc w:val="center"/>
              <w:rPr>
                <w:rFonts w:ascii="Arial Narrow" w:hAnsi="Arial Narrow"/>
                <w:bCs/>
                <w:iCs/>
                <w:sz w:val="20"/>
              </w:rPr>
            </w:pPr>
            <w:r w:rsidRPr="00961B75">
              <w:rPr>
                <w:rFonts w:ascii="Arial Narrow" w:hAnsi="Arial Narrow"/>
                <w:bCs/>
                <w:iCs/>
                <w:sz w:val="20"/>
              </w:rPr>
              <w:t>NA</w:t>
            </w:r>
          </w:p>
        </w:tc>
        <w:tc>
          <w:tcPr>
            <w:tcW w:w="429" w:type="dxa"/>
            <w:shd w:val="clear" w:color="auto" w:fill="auto"/>
            <w:vAlign w:val="center"/>
          </w:tcPr>
          <w:p w:rsidR="008605C0" w:rsidRPr="00961B75" w:rsidRDefault="008605C0" w:rsidP="004611DA">
            <w:pPr>
              <w:keepLines/>
              <w:widowControl/>
              <w:jc w:val="center"/>
              <w:rPr>
                <w:rFonts w:ascii="Arial Narrow" w:hAnsi="Arial Narrow"/>
                <w:bCs/>
                <w:sz w:val="20"/>
              </w:rPr>
            </w:pPr>
            <w:r w:rsidRPr="00961B75">
              <w:rPr>
                <w:rFonts w:ascii="Arial Narrow" w:hAnsi="Arial Narrow"/>
                <w:bCs/>
                <w:sz w:val="20"/>
              </w:rPr>
              <w:t>ITG</w:t>
            </w:r>
          </w:p>
        </w:tc>
        <w:tc>
          <w:tcPr>
            <w:tcW w:w="406" w:type="dxa"/>
            <w:shd w:val="clear" w:color="auto" w:fill="auto"/>
            <w:vAlign w:val="center"/>
          </w:tcPr>
          <w:p w:rsidR="008605C0" w:rsidRPr="00961B75" w:rsidRDefault="008605C0" w:rsidP="004611DA">
            <w:pPr>
              <w:keepLines/>
              <w:widowControl/>
              <w:jc w:val="center"/>
              <w:rPr>
                <w:rFonts w:ascii="Arial Narrow" w:hAnsi="Arial Narrow"/>
                <w:bCs/>
                <w:sz w:val="20"/>
              </w:rPr>
            </w:pPr>
            <w:r w:rsidRPr="00961B75">
              <w:rPr>
                <w:rFonts w:ascii="Arial Narrow" w:hAnsi="Arial Narrow"/>
                <w:bCs/>
                <w:sz w:val="20"/>
              </w:rPr>
              <w:t>316</w:t>
            </w:r>
          </w:p>
        </w:tc>
        <w:tc>
          <w:tcPr>
            <w:tcW w:w="565" w:type="dxa"/>
            <w:shd w:val="clear" w:color="auto" w:fill="auto"/>
            <w:vAlign w:val="center"/>
          </w:tcPr>
          <w:p w:rsidR="008605C0" w:rsidRPr="00961B75" w:rsidRDefault="008605C0" w:rsidP="004611DA">
            <w:pPr>
              <w:keepLines/>
              <w:widowControl/>
              <w:jc w:val="center"/>
              <w:rPr>
                <w:rFonts w:ascii="Arial Narrow" w:hAnsi="Arial Narrow"/>
                <w:bCs/>
                <w:sz w:val="20"/>
              </w:rPr>
            </w:pPr>
            <w:r w:rsidRPr="00961B75">
              <w:rPr>
                <w:rFonts w:ascii="Arial Narrow" w:hAnsi="Arial Narrow"/>
                <w:bCs/>
                <w:sz w:val="20"/>
              </w:rPr>
              <w:t>1, 4, 6</w:t>
            </w:r>
          </w:p>
        </w:tc>
        <w:tc>
          <w:tcPr>
            <w:tcW w:w="798" w:type="dxa"/>
            <w:shd w:val="clear" w:color="auto" w:fill="auto"/>
            <w:vAlign w:val="center"/>
          </w:tcPr>
          <w:p w:rsidR="008605C0" w:rsidRPr="00961B75" w:rsidRDefault="008605C0" w:rsidP="004611DA">
            <w:pPr>
              <w:keepLines/>
              <w:widowControl/>
              <w:jc w:val="center"/>
              <w:rPr>
                <w:rFonts w:ascii="Arial Narrow" w:hAnsi="Arial Narrow"/>
                <w:bCs/>
                <w:sz w:val="20"/>
              </w:rPr>
            </w:pPr>
            <w:r w:rsidRPr="00961B75">
              <w:rPr>
                <w:rFonts w:ascii="Arial Narrow" w:hAnsi="Arial Narrow"/>
                <w:bCs/>
                <w:sz w:val="20"/>
              </w:rPr>
              <w:t>Mixed</w:t>
            </w:r>
          </w:p>
        </w:tc>
        <w:tc>
          <w:tcPr>
            <w:tcW w:w="1063" w:type="dxa"/>
            <w:shd w:val="clear" w:color="auto" w:fill="auto"/>
            <w:vAlign w:val="center"/>
          </w:tcPr>
          <w:p w:rsidR="008605C0" w:rsidRPr="00961B75" w:rsidRDefault="008605C0" w:rsidP="004611DA">
            <w:pPr>
              <w:keepLines/>
              <w:widowControl/>
              <w:jc w:val="center"/>
              <w:rPr>
                <w:rFonts w:ascii="Arial Narrow" w:hAnsi="Arial Narrow"/>
                <w:bCs/>
                <w:sz w:val="20"/>
              </w:rPr>
            </w:pPr>
            <w:r w:rsidRPr="00961B75">
              <w:rPr>
                <w:rFonts w:ascii="Arial Narrow" w:hAnsi="Arial Narrow"/>
                <w:sz w:val="20"/>
              </w:rPr>
              <w:t>Naïve</w:t>
            </w:r>
          </w:p>
        </w:tc>
        <w:tc>
          <w:tcPr>
            <w:tcW w:w="901" w:type="dxa"/>
            <w:shd w:val="clear" w:color="auto" w:fill="auto"/>
            <w:vAlign w:val="center"/>
          </w:tcPr>
          <w:p w:rsidR="008605C0" w:rsidRPr="00961B75" w:rsidRDefault="008605C0" w:rsidP="004611DA">
            <w:pPr>
              <w:widowControl/>
              <w:jc w:val="center"/>
              <w:rPr>
                <w:rFonts w:ascii="Arial Narrow" w:hAnsi="Arial Narrow"/>
                <w:bCs/>
                <w:sz w:val="20"/>
              </w:rPr>
            </w:pPr>
            <w:r w:rsidRPr="00961B75">
              <w:rPr>
                <w:rFonts w:ascii="Arial Narrow" w:hAnsi="Arial Narrow"/>
                <w:sz w:val="20"/>
                <w:szCs w:val="16"/>
              </w:rPr>
              <w:t>GRZ/EBR</w:t>
            </w:r>
          </w:p>
        </w:tc>
        <w:tc>
          <w:tcPr>
            <w:tcW w:w="742" w:type="dxa"/>
            <w:shd w:val="clear" w:color="auto" w:fill="auto"/>
            <w:vAlign w:val="center"/>
          </w:tcPr>
          <w:p w:rsidR="008605C0" w:rsidRPr="00961B75" w:rsidRDefault="008605C0" w:rsidP="004611DA">
            <w:pPr>
              <w:keepLines/>
              <w:widowControl/>
              <w:jc w:val="center"/>
              <w:rPr>
                <w:rFonts w:ascii="Arial Narrow" w:hAnsi="Arial Narrow"/>
                <w:sz w:val="20"/>
              </w:rPr>
            </w:pPr>
            <w:r w:rsidRPr="00961B75">
              <w:rPr>
                <w:rFonts w:ascii="Arial Narrow" w:hAnsi="Arial Narrow"/>
                <w:sz w:val="20"/>
              </w:rPr>
              <w:t>12</w:t>
            </w:r>
          </w:p>
        </w:tc>
        <w:tc>
          <w:tcPr>
            <w:tcW w:w="742" w:type="dxa"/>
            <w:vMerge w:val="restart"/>
            <w:vAlign w:val="center"/>
          </w:tcPr>
          <w:p w:rsidR="008605C0" w:rsidRPr="00961B75" w:rsidRDefault="008605C0" w:rsidP="004611DA">
            <w:pPr>
              <w:keepLines/>
              <w:widowControl/>
              <w:jc w:val="center"/>
              <w:rPr>
                <w:rFonts w:ascii="Arial Narrow" w:hAnsi="Arial Narrow"/>
                <w:sz w:val="20"/>
              </w:rPr>
            </w:pPr>
            <w:r w:rsidRPr="00961B75">
              <w:rPr>
                <w:rFonts w:ascii="Arial Narrow" w:hAnsi="Arial Narrow"/>
                <w:smallCaps/>
                <w:sz w:val="20"/>
              </w:rPr>
              <w:t>SVR12</w:t>
            </w:r>
          </w:p>
        </w:tc>
      </w:tr>
      <w:tr w:rsidR="008605C0" w:rsidRPr="00961B75" w:rsidTr="008605C0">
        <w:trPr>
          <w:cantSplit/>
          <w:trHeight w:val="569"/>
        </w:trPr>
        <w:tc>
          <w:tcPr>
            <w:tcW w:w="952" w:type="dxa"/>
            <w:tcBorders>
              <w:top w:val="dashSmallGap" w:sz="4" w:space="0" w:color="auto"/>
            </w:tcBorders>
            <w:shd w:val="clear" w:color="auto" w:fill="auto"/>
            <w:vAlign w:val="center"/>
          </w:tcPr>
          <w:p w:rsidR="008605C0" w:rsidRPr="00961B75" w:rsidRDefault="008605C0" w:rsidP="004611DA">
            <w:pPr>
              <w:keepLines/>
              <w:widowControl/>
              <w:ind w:left="76"/>
              <w:jc w:val="left"/>
              <w:rPr>
                <w:rFonts w:ascii="Arial Narrow" w:hAnsi="Arial Narrow"/>
                <w:sz w:val="20"/>
                <w:szCs w:val="16"/>
              </w:rPr>
            </w:pPr>
            <w:proofErr w:type="spellStart"/>
            <w:r w:rsidRPr="00961B75">
              <w:rPr>
                <w:rFonts w:ascii="Arial Narrow" w:hAnsi="Arial Narrow"/>
                <w:sz w:val="20"/>
                <w:szCs w:val="16"/>
              </w:rPr>
              <w:t>Gt</w:t>
            </w:r>
            <w:proofErr w:type="spellEnd"/>
            <w:r w:rsidRPr="00961B75">
              <w:rPr>
                <w:rFonts w:ascii="Arial Narrow" w:hAnsi="Arial Narrow"/>
                <w:sz w:val="20"/>
                <w:szCs w:val="16"/>
              </w:rPr>
              <w:t xml:space="preserve"> 4 </w:t>
            </w:r>
            <w:proofErr w:type="spellStart"/>
            <w:r w:rsidRPr="00961B75">
              <w:rPr>
                <w:rFonts w:ascii="Arial Narrow" w:hAnsi="Arial Narrow"/>
                <w:sz w:val="20"/>
                <w:szCs w:val="16"/>
              </w:rPr>
              <w:t>subgp</w:t>
            </w:r>
            <w:proofErr w:type="spellEnd"/>
          </w:p>
        </w:tc>
        <w:tc>
          <w:tcPr>
            <w:tcW w:w="352" w:type="dxa"/>
            <w:tcBorders>
              <w:top w:val="dashSmallGap" w:sz="4" w:space="0" w:color="auto"/>
            </w:tcBorders>
            <w:shd w:val="clear" w:color="auto" w:fill="auto"/>
            <w:vAlign w:val="center"/>
          </w:tcPr>
          <w:p w:rsidR="008605C0" w:rsidRPr="00961B75" w:rsidRDefault="008605C0" w:rsidP="004611DA">
            <w:pPr>
              <w:keepLines/>
              <w:widowControl/>
              <w:jc w:val="center"/>
              <w:rPr>
                <w:rFonts w:ascii="Arial Narrow" w:hAnsi="Arial Narrow"/>
                <w:bCs/>
                <w:sz w:val="20"/>
              </w:rPr>
            </w:pPr>
            <w:r w:rsidRPr="00961B75">
              <w:rPr>
                <w:rFonts w:ascii="Arial Narrow" w:hAnsi="Arial Narrow"/>
                <w:bCs/>
                <w:sz w:val="20"/>
              </w:rPr>
              <w:t>26</w:t>
            </w:r>
          </w:p>
        </w:tc>
        <w:tc>
          <w:tcPr>
            <w:tcW w:w="992" w:type="dxa"/>
            <w:vMerge/>
            <w:tcBorders>
              <w:top w:val="dashSmallGap" w:sz="4" w:space="0" w:color="auto"/>
            </w:tcBorders>
            <w:shd w:val="clear" w:color="auto" w:fill="auto"/>
            <w:vAlign w:val="center"/>
          </w:tcPr>
          <w:p w:rsidR="008605C0" w:rsidRPr="00961B75" w:rsidRDefault="008605C0" w:rsidP="004611DA">
            <w:pPr>
              <w:keepLines/>
              <w:widowControl/>
              <w:jc w:val="center"/>
              <w:rPr>
                <w:rFonts w:ascii="Arial Narrow" w:hAnsi="Arial Narrow"/>
                <w:bCs/>
                <w:sz w:val="20"/>
              </w:rPr>
            </w:pPr>
          </w:p>
        </w:tc>
        <w:tc>
          <w:tcPr>
            <w:tcW w:w="630" w:type="dxa"/>
            <w:vMerge/>
            <w:tcBorders>
              <w:top w:val="dashSmallGap" w:sz="4" w:space="0" w:color="auto"/>
            </w:tcBorders>
            <w:shd w:val="clear" w:color="auto" w:fill="auto"/>
            <w:vAlign w:val="center"/>
          </w:tcPr>
          <w:p w:rsidR="008605C0" w:rsidRPr="00961B75" w:rsidRDefault="008605C0" w:rsidP="004611DA">
            <w:pPr>
              <w:keepLines/>
              <w:widowControl/>
              <w:jc w:val="center"/>
              <w:rPr>
                <w:rFonts w:ascii="Arial Narrow" w:hAnsi="Arial Narrow"/>
                <w:bCs/>
                <w:iCs/>
                <w:sz w:val="20"/>
              </w:rPr>
            </w:pPr>
          </w:p>
        </w:tc>
        <w:tc>
          <w:tcPr>
            <w:tcW w:w="429" w:type="dxa"/>
            <w:tcBorders>
              <w:top w:val="dashSmallGap" w:sz="4" w:space="0" w:color="auto"/>
            </w:tcBorders>
            <w:shd w:val="clear" w:color="auto" w:fill="D9D9D9" w:themeFill="background1" w:themeFillShade="D9"/>
            <w:vAlign w:val="center"/>
          </w:tcPr>
          <w:p w:rsidR="008605C0" w:rsidRPr="00961B75" w:rsidRDefault="008605C0" w:rsidP="004611DA">
            <w:pPr>
              <w:keepLines/>
              <w:widowControl/>
              <w:jc w:val="center"/>
              <w:rPr>
                <w:rFonts w:ascii="Arial Narrow" w:hAnsi="Arial Narrow"/>
                <w:bCs/>
                <w:sz w:val="20"/>
              </w:rPr>
            </w:pPr>
            <w:r w:rsidRPr="00961B75">
              <w:rPr>
                <w:rFonts w:ascii="Arial Narrow" w:hAnsi="Arial Narrow"/>
                <w:bCs/>
                <w:sz w:val="20"/>
              </w:rPr>
              <w:t>ITG</w:t>
            </w:r>
          </w:p>
        </w:tc>
        <w:tc>
          <w:tcPr>
            <w:tcW w:w="406" w:type="dxa"/>
            <w:tcBorders>
              <w:top w:val="dashSmallGap" w:sz="4" w:space="0" w:color="auto"/>
            </w:tcBorders>
            <w:shd w:val="clear" w:color="auto" w:fill="D9D9D9" w:themeFill="background1" w:themeFillShade="D9"/>
            <w:vAlign w:val="center"/>
          </w:tcPr>
          <w:p w:rsidR="008605C0" w:rsidRPr="00961B75" w:rsidRDefault="008605C0" w:rsidP="004611DA">
            <w:pPr>
              <w:keepLines/>
              <w:widowControl/>
              <w:jc w:val="center"/>
              <w:rPr>
                <w:rFonts w:ascii="Arial Narrow" w:hAnsi="Arial Narrow"/>
                <w:bCs/>
                <w:sz w:val="20"/>
              </w:rPr>
            </w:pPr>
            <w:r w:rsidRPr="00961B75">
              <w:rPr>
                <w:rFonts w:ascii="Arial Narrow" w:hAnsi="Arial Narrow"/>
                <w:bCs/>
                <w:sz w:val="20"/>
              </w:rPr>
              <w:t>18</w:t>
            </w:r>
          </w:p>
        </w:tc>
        <w:tc>
          <w:tcPr>
            <w:tcW w:w="565" w:type="dxa"/>
            <w:tcBorders>
              <w:top w:val="dashSmallGap" w:sz="4" w:space="0" w:color="auto"/>
            </w:tcBorders>
            <w:shd w:val="clear" w:color="auto" w:fill="D9D9D9" w:themeFill="background1" w:themeFillShade="D9"/>
            <w:vAlign w:val="center"/>
          </w:tcPr>
          <w:p w:rsidR="008605C0" w:rsidRPr="00961B75" w:rsidRDefault="008605C0" w:rsidP="004611DA">
            <w:pPr>
              <w:keepLines/>
              <w:widowControl/>
              <w:jc w:val="center"/>
              <w:rPr>
                <w:rFonts w:ascii="Arial Narrow" w:hAnsi="Arial Narrow"/>
                <w:bCs/>
                <w:sz w:val="20"/>
              </w:rPr>
            </w:pPr>
            <w:r w:rsidRPr="00961B75">
              <w:rPr>
                <w:rFonts w:ascii="Arial Narrow" w:hAnsi="Arial Narrow"/>
                <w:bCs/>
                <w:sz w:val="20"/>
              </w:rPr>
              <w:t>4</w:t>
            </w:r>
          </w:p>
        </w:tc>
        <w:tc>
          <w:tcPr>
            <w:tcW w:w="798" w:type="dxa"/>
            <w:tcBorders>
              <w:top w:val="dashSmallGap" w:sz="4" w:space="0" w:color="auto"/>
            </w:tcBorders>
            <w:shd w:val="clear" w:color="auto" w:fill="D9D9D9" w:themeFill="background1" w:themeFillShade="D9"/>
            <w:vAlign w:val="center"/>
          </w:tcPr>
          <w:p w:rsidR="008605C0" w:rsidRPr="00961B75" w:rsidRDefault="008605C0" w:rsidP="004611DA">
            <w:pPr>
              <w:keepLines/>
              <w:widowControl/>
              <w:jc w:val="center"/>
              <w:rPr>
                <w:rFonts w:ascii="Arial Narrow" w:hAnsi="Arial Narrow"/>
                <w:bCs/>
                <w:sz w:val="20"/>
              </w:rPr>
            </w:pPr>
            <w:r w:rsidRPr="00961B75">
              <w:rPr>
                <w:rFonts w:ascii="Arial Narrow" w:hAnsi="Arial Narrow"/>
                <w:bCs/>
                <w:sz w:val="20"/>
              </w:rPr>
              <w:t>Mixed</w:t>
            </w:r>
          </w:p>
        </w:tc>
        <w:tc>
          <w:tcPr>
            <w:tcW w:w="1063" w:type="dxa"/>
            <w:tcBorders>
              <w:top w:val="dashSmallGap" w:sz="4" w:space="0" w:color="auto"/>
            </w:tcBorders>
            <w:shd w:val="clear" w:color="auto" w:fill="D9D9D9" w:themeFill="background1" w:themeFillShade="D9"/>
            <w:vAlign w:val="center"/>
          </w:tcPr>
          <w:p w:rsidR="008605C0" w:rsidRPr="00961B75" w:rsidRDefault="008605C0" w:rsidP="004611DA">
            <w:pPr>
              <w:keepLines/>
              <w:widowControl/>
              <w:jc w:val="center"/>
              <w:rPr>
                <w:rFonts w:ascii="Arial Narrow" w:hAnsi="Arial Narrow"/>
                <w:sz w:val="20"/>
              </w:rPr>
            </w:pPr>
            <w:r w:rsidRPr="00961B75">
              <w:rPr>
                <w:rFonts w:ascii="Arial Narrow" w:hAnsi="Arial Narrow"/>
                <w:sz w:val="20"/>
              </w:rPr>
              <w:t>Naïve</w:t>
            </w:r>
          </w:p>
        </w:tc>
        <w:tc>
          <w:tcPr>
            <w:tcW w:w="901" w:type="dxa"/>
            <w:tcBorders>
              <w:top w:val="dashSmallGap" w:sz="4" w:space="0" w:color="auto"/>
            </w:tcBorders>
            <w:shd w:val="clear" w:color="auto" w:fill="D9D9D9" w:themeFill="background1" w:themeFillShade="D9"/>
            <w:vAlign w:val="center"/>
          </w:tcPr>
          <w:p w:rsidR="008605C0" w:rsidRPr="00961B75" w:rsidRDefault="008605C0" w:rsidP="004611DA">
            <w:pPr>
              <w:widowControl/>
              <w:jc w:val="center"/>
              <w:rPr>
                <w:rFonts w:ascii="Arial Narrow" w:hAnsi="Arial Narrow"/>
                <w:sz w:val="20"/>
                <w:szCs w:val="16"/>
              </w:rPr>
            </w:pPr>
            <w:r w:rsidRPr="00961B75">
              <w:rPr>
                <w:rFonts w:ascii="Arial Narrow" w:hAnsi="Arial Narrow"/>
                <w:sz w:val="20"/>
                <w:szCs w:val="16"/>
              </w:rPr>
              <w:t>GRZ/EBR</w:t>
            </w:r>
          </w:p>
        </w:tc>
        <w:tc>
          <w:tcPr>
            <w:tcW w:w="742" w:type="dxa"/>
            <w:tcBorders>
              <w:top w:val="dashSmallGap" w:sz="4" w:space="0" w:color="auto"/>
            </w:tcBorders>
            <w:shd w:val="clear" w:color="auto" w:fill="D9D9D9" w:themeFill="background1" w:themeFillShade="D9"/>
            <w:vAlign w:val="center"/>
          </w:tcPr>
          <w:p w:rsidR="008605C0" w:rsidRPr="00961B75" w:rsidRDefault="008605C0" w:rsidP="004611DA">
            <w:pPr>
              <w:keepLines/>
              <w:widowControl/>
              <w:jc w:val="center"/>
              <w:rPr>
                <w:rFonts w:ascii="Arial Narrow" w:hAnsi="Arial Narrow"/>
                <w:sz w:val="20"/>
              </w:rPr>
            </w:pPr>
            <w:r w:rsidRPr="00961B75">
              <w:rPr>
                <w:rFonts w:ascii="Arial Narrow" w:hAnsi="Arial Narrow"/>
                <w:sz w:val="20"/>
              </w:rPr>
              <w:t>12</w:t>
            </w:r>
          </w:p>
        </w:tc>
        <w:tc>
          <w:tcPr>
            <w:tcW w:w="742" w:type="dxa"/>
            <w:vMerge/>
            <w:tcBorders>
              <w:top w:val="dashSmallGap" w:sz="4" w:space="0" w:color="auto"/>
            </w:tcBorders>
            <w:vAlign w:val="center"/>
          </w:tcPr>
          <w:p w:rsidR="008605C0" w:rsidRPr="00961B75" w:rsidRDefault="008605C0" w:rsidP="004611DA">
            <w:pPr>
              <w:keepLines/>
              <w:widowControl/>
              <w:jc w:val="center"/>
              <w:rPr>
                <w:rFonts w:ascii="Arial Narrow" w:hAnsi="Arial Narrow"/>
                <w:smallCaps/>
                <w:sz w:val="20"/>
              </w:rPr>
            </w:pPr>
          </w:p>
        </w:tc>
      </w:tr>
      <w:tr w:rsidR="008605C0" w:rsidRPr="00961B75" w:rsidTr="008605C0">
        <w:trPr>
          <w:cantSplit/>
        </w:trPr>
        <w:tc>
          <w:tcPr>
            <w:tcW w:w="952" w:type="dxa"/>
            <w:tcBorders>
              <w:bottom w:val="dashSmallGap" w:sz="4" w:space="0" w:color="auto"/>
            </w:tcBorders>
            <w:shd w:val="clear" w:color="auto" w:fill="auto"/>
            <w:vAlign w:val="center"/>
          </w:tcPr>
          <w:p w:rsidR="008605C0" w:rsidRPr="00961B75" w:rsidRDefault="008605C0" w:rsidP="004611DA">
            <w:pPr>
              <w:keepLines/>
              <w:widowControl/>
              <w:jc w:val="left"/>
              <w:rPr>
                <w:rFonts w:ascii="Arial Narrow" w:hAnsi="Arial Narrow"/>
                <w:bCs/>
                <w:sz w:val="20"/>
              </w:rPr>
            </w:pPr>
            <w:r w:rsidRPr="00961B75">
              <w:rPr>
                <w:rFonts w:ascii="Arial Narrow" w:hAnsi="Arial Narrow"/>
                <w:sz w:val="20"/>
                <w:szCs w:val="16"/>
              </w:rPr>
              <w:t>C-EDGE TE</w:t>
            </w:r>
          </w:p>
        </w:tc>
        <w:tc>
          <w:tcPr>
            <w:tcW w:w="352" w:type="dxa"/>
            <w:shd w:val="clear" w:color="auto" w:fill="auto"/>
            <w:vAlign w:val="center"/>
          </w:tcPr>
          <w:p w:rsidR="008605C0" w:rsidRPr="00961B75" w:rsidRDefault="008605C0" w:rsidP="004611DA">
            <w:pPr>
              <w:keepLines/>
              <w:widowControl/>
              <w:jc w:val="center"/>
              <w:rPr>
                <w:rFonts w:ascii="Arial Narrow" w:hAnsi="Arial Narrow"/>
                <w:bCs/>
                <w:sz w:val="20"/>
              </w:rPr>
            </w:pPr>
            <w:r w:rsidRPr="00961B75">
              <w:rPr>
                <w:rFonts w:ascii="Arial Narrow" w:hAnsi="Arial Narrow"/>
                <w:bCs/>
                <w:sz w:val="20"/>
              </w:rPr>
              <w:t>420</w:t>
            </w:r>
          </w:p>
        </w:tc>
        <w:tc>
          <w:tcPr>
            <w:tcW w:w="992" w:type="dxa"/>
            <w:vMerge w:val="restart"/>
            <w:shd w:val="clear" w:color="auto" w:fill="auto"/>
            <w:vAlign w:val="center"/>
          </w:tcPr>
          <w:p w:rsidR="008605C0" w:rsidRPr="00961B75" w:rsidRDefault="008605C0" w:rsidP="004611DA">
            <w:pPr>
              <w:keepLines/>
              <w:widowControl/>
              <w:jc w:val="center"/>
              <w:rPr>
                <w:rFonts w:ascii="Arial Narrow" w:hAnsi="Arial Narrow"/>
                <w:bCs/>
                <w:sz w:val="20"/>
              </w:rPr>
            </w:pPr>
            <w:r w:rsidRPr="00961B75">
              <w:rPr>
                <w:rFonts w:ascii="Arial Narrow" w:hAnsi="Arial Narrow"/>
                <w:bCs/>
                <w:sz w:val="20"/>
              </w:rPr>
              <w:t>R, OL, MC, Phase III</w:t>
            </w:r>
          </w:p>
        </w:tc>
        <w:tc>
          <w:tcPr>
            <w:tcW w:w="630" w:type="dxa"/>
            <w:vMerge w:val="restart"/>
            <w:shd w:val="clear" w:color="auto" w:fill="auto"/>
            <w:vAlign w:val="center"/>
          </w:tcPr>
          <w:p w:rsidR="008605C0" w:rsidRPr="00961B75" w:rsidRDefault="008605C0" w:rsidP="004611DA">
            <w:pPr>
              <w:keepLines/>
              <w:widowControl/>
              <w:jc w:val="center"/>
              <w:rPr>
                <w:rFonts w:ascii="Arial Narrow" w:hAnsi="Arial Narrow"/>
                <w:bCs/>
                <w:iCs/>
                <w:sz w:val="20"/>
              </w:rPr>
            </w:pPr>
            <w:r w:rsidRPr="00961B75">
              <w:rPr>
                <w:rFonts w:ascii="Arial Narrow" w:hAnsi="Arial Narrow"/>
                <w:bCs/>
                <w:iCs/>
                <w:sz w:val="20"/>
              </w:rPr>
              <w:t>NA</w:t>
            </w:r>
          </w:p>
        </w:tc>
        <w:tc>
          <w:tcPr>
            <w:tcW w:w="429" w:type="dxa"/>
            <w:tcBorders>
              <w:bottom w:val="dashSmallGap" w:sz="4" w:space="0" w:color="auto"/>
            </w:tcBorders>
            <w:shd w:val="clear" w:color="auto" w:fill="auto"/>
            <w:vAlign w:val="center"/>
          </w:tcPr>
          <w:p w:rsidR="008605C0" w:rsidRPr="00961B75" w:rsidRDefault="008605C0" w:rsidP="004611DA">
            <w:pPr>
              <w:keepLines/>
              <w:widowControl/>
              <w:jc w:val="center"/>
              <w:rPr>
                <w:rFonts w:ascii="Arial Narrow" w:hAnsi="Arial Narrow"/>
                <w:bCs/>
                <w:sz w:val="20"/>
              </w:rPr>
            </w:pPr>
            <w:r w:rsidRPr="00961B75">
              <w:rPr>
                <w:rFonts w:ascii="Arial Narrow" w:hAnsi="Arial Narrow"/>
                <w:bCs/>
                <w:sz w:val="20"/>
              </w:rPr>
              <w:t>D</w:t>
            </w:r>
          </w:p>
        </w:tc>
        <w:tc>
          <w:tcPr>
            <w:tcW w:w="406" w:type="dxa"/>
            <w:tcBorders>
              <w:bottom w:val="dashSmallGap" w:sz="4" w:space="0" w:color="auto"/>
            </w:tcBorders>
            <w:shd w:val="clear" w:color="auto" w:fill="auto"/>
            <w:vAlign w:val="center"/>
          </w:tcPr>
          <w:p w:rsidR="008605C0" w:rsidRPr="00961B75" w:rsidRDefault="008605C0" w:rsidP="004611DA">
            <w:pPr>
              <w:keepLines/>
              <w:widowControl/>
              <w:jc w:val="center"/>
              <w:rPr>
                <w:rFonts w:ascii="Arial Narrow" w:hAnsi="Arial Narrow"/>
                <w:bCs/>
                <w:sz w:val="20"/>
              </w:rPr>
            </w:pPr>
            <w:r w:rsidRPr="00961B75">
              <w:rPr>
                <w:rFonts w:ascii="Arial Narrow" w:hAnsi="Arial Narrow"/>
                <w:bCs/>
                <w:sz w:val="20"/>
              </w:rPr>
              <w:t>106</w:t>
            </w:r>
          </w:p>
        </w:tc>
        <w:tc>
          <w:tcPr>
            <w:tcW w:w="565" w:type="dxa"/>
            <w:tcBorders>
              <w:bottom w:val="dashSmallGap" w:sz="4" w:space="0" w:color="auto"/>
            </w:tcBorders>
            <w:shd w:val="clear" w:color="auto" w:fill="auto"/>
            <w:vAlign w:val="center"/>
          </w:tcPr>
          <w:p w:rsidR="008605C0" w:rsidRPr="00961B75" w:rsidRDefault="008605C0" w:rsidP="004611DA">
            <w:pPr>
              <w:keepLines/>
              <w:widowControl/>
              <w:jc w:val="center"/>
              <w:rPr>
                <w:rFonts w:ascii="Arial Narrow" w:hAnsi="Arial Narrow"/>
                <w:bCs/>
                <w:sz w:val="20"/>
              </w:rPr>
            </w:pPr>
            <w:r w:rsidRPr="00961B75">
              <w:rPr>
                <w:rFonts w:ascii="Arial Narrow" w:hAnsi="Arial Narrow"/>
                <w:bCs/>
                <w:sz w:val="20"/>
              </w:rPr>
              <w:t>1, 4, 6</w:t>
            </w:r>
          </w:p>
        </w:tc>
        <w:tc>
          <w:tcPr>
            <w:tcW w:w="798" w:type="dxa"/>
            <w:tcBorders>
              <w:bottom w:val="dashSmallGap" w:sz="4" w:space="0" w:color="auto"/>
            </w:tcBorders>
            <w:shd w:val="clear" w:color="auto" w:fill="auto"/>
            <w:vAlign w:val="center"/>
          </w:tcPr>
          <w:p w:rsidR="008605C0" w:rsidRPr="00961B75" w:rsidRDefault="008605C0" w:rsidP="004611DA">
            <w:pPr>
              <w:keepLines/>
              <w:widowControl/>
              <w:jc w:val="center"/>
              <w:rPr>
                <w:rFonts w:ascii="Arial Narrow" w:hAnsi="Arial Narrow"/>
                <w:bCs/>
                <w:sz w:val="20"/>
              </w:rPr>
            </w:pPr>
            <w:r w:rsidRPr="00961B75">
              <w:rPr>
                <w:rFonts w:ascii="Arial Narrow" w:hAnsi="Arial Narrow"/>
                <w:bCs/>
                <w:sz w:val="20"/>
              </w:rPr>
              <w:t>Mixed</w:t>
            </w:r>
          </w:p>
        </w:tc>
        <w:tc>
          <w:tcPr>
            <w:tcW w:w="1063" w:type="dxa"/>
            <w:tcBorders>
              <w:bottom w:val="dashSmallGap" w:sz="4" w:space="0" w:color="auto"/>
            </w:tcBorders>
            <w:shd w:val="clear" w:color="auto" w:fill="auto"/>
            <w:vAlign w:val="center"/>
          </w:tcPr>
          <w:p w:rsidR="008605C0" w:rsidRPr="00961B75" w:rsidRDefault="008605C0" w:rsidP="004611DA">
            <w:pPr>
              <w:keepLines/>
              <w:widowControl/>
              <w:jc w:val="center"/>
              <w:rPr>
                <w:rFonts w:ascii="Arial Narrow" w:hAnsi="Arial Narrow"/>
                <w:bCs/>
                <w:sz w:val="20"/>
              </w:rPr>
            </w:pPr>
            <w:r w:rsidRPr="00961B75">
              <w:rPr>
                <w:rFonts w:ascii="Arial Narrow" w:hAnsi="Arial Narrow"/>
                <w:sz w:val="20"/>
              </w:rPr>
              <w:t>Experienced</w:t>
            </w:r>
          </w:p>
        </w:tc>
        <w:tc>
          <w:tcPr>
            <w:tcW w:w="901" w:type="dxa"/>
            <w:tcBorders>
              <w:bottom w:val="dashSmallGap" w:sz="4" w:space="0" w:color="auto"/>
            </w:tcBorders>
            <w:shd w:val="clear" w:color="auto" w:fill="auto"/>
            <w:vAlign w:val="center"/>
          </w:tcPr>
          <w:p w:rsidR="008605C0" w:rsidRPr="00961B75" w:rsidRDefault="008605C0" w:rsidP="004611DA">
            <w:pPr>
              <w:keepLines/>
              <w:widowControl/>
              <w:jc w:val="center"/>
              <w:rPr>
                <w:rFonts w:ascii="Arial Narrow" w:hAnsi="Arial Narrow"/>
                <w:bCs/>
                <w:sz w:val="20"/>
              </w:rPr>
            </w:pPr>
            <w:r w:rsidRPr="00961B75">
              <w:rPr>
                <w:rFonts w:ascii="Arial Narrow" w:hAnsi="Arial Narrow"/>
                <w:sz w:val="20"/>
                <w:szCs w:val="16"/>
              </w:rPr>
              <w:t>GRZ/EBR+RBV</w:t>
            </w:r>
          </w:p>
        </w:tc>
        <w:tc>
          <w:tcPr>
            <w:tcW w:w="742" w:type="dxa"/>
            <w:tcBorders>
              <w:bottom w:val="dashSmallGap" w:sz="4" w:space="0" w:color="auto"/>
            </w:tcBorders>
            <w:shd w:val="clear" w:color="auto" w:fill="auto"/>
            <w:vAlign w:val="center"/>
          </w:tcPr>
          <w:p w:rsidR="008605C0" w:rsidRPr="00961B75" w:rsidRDefault="008605C0" w:rsidP="004611DA">
            <w:pPr>
              <w:keepLines/>
              <w:widowControl/>
              <w:jc w:val="center"/>
              <w:rPr>
                <w:rFonts w:ascii="Arial Narrow" w:hAnsi="Arial Narrow"/>
                <w:sz w:val="20"/>
              </w:rPr>
            </w:pPr>
            <w:r w:rsidRPr="00961B75">
              <w:rPr>
                <w:rFonts w:ascii="Arial Narrow" w:hAnsi="Arial Narrow"/>
                <w:sz w:val="20"/>
              </w:rPr>
              <w:t>16</w:t>
            </w:r>
          </w:p>
        </w:tc>
        <w:tc>
          <w:tcPr>
            <w:tcW w:w="742" w:type="dxa"/>
            <w:vMerge w:val="restart"/>
            <w:shd w:val="clear" w:color="auto" w:fill="auto"/>
            <w:vAlign w:val="center"/>
          </w:tcPr>
          <w:p w:rsidR="008605C0" w:rsidRPr="00961B75" w:rsidRDefault="008605C0" w:rsidP="004611DA">
            <w:pPr>
              <w:keepLines/>
              <w:widowControl/>
              <w:jc w:val="center"/>
              <w:rPr>
                <w:rFonts w:ascii="Arial Narrow" w:hAnsi="Arial Narrow"/>
                <w:sz w:val="20"/>
              </w:rPr>
            </w:pPr>
            <w:r w:rsidRPr="00961B75">
              <w:rPr>
                <w:rFonts w:ascii="Arial Narrow" w:hAnsi="Arial Narrow"/>
                <w:smallCaps/>
                <w:sz w:val="20"/>
              </w:rPr>
              <w:t>SVR12</w:t>
            </w:r>
          </w:p>
        </w:tc>
      </w:tr>
      <w:tr w:rsidR="008605C0" w:rsidRPr="00961B75" w:rsidTr="008605C0">
        <w:trPr>
          <w:cantSplit/>
        </w:trPr>
        <w:tc>
          <w:tcPr>
            <w:tcW w:w="952" w:type="dxa"/>
            <w:tcBorders>
              <w:top w:val="dashSmallGap" w:sz="4" w:space="0" w:color="auto"/>
            </w:tcBorders>
            <w:shd w:val="clear" w:color="auto" w:fill="auto"/>
            <w:vAlign w:val="center"/>
          </w:tcPr>
          <w:p w:rsidR="008605C0" w:rsidRPr="00961B75" w:rsidRDefault="008605C0" w:rsidP="004611DA">
            <w:pPr>
              <w:keepLines/>
              <w:widowControl/>
              <w:ind w:left="76"/>
              <w:jc w:val="left"/>
              <w:rPr>
                <w:rFonts w:ascii="Arial Narrow" w:hAnsi="Arial Narrow"/>
                <w:sz w:val="20"/>
                <w:szCs w:val="16"/>
              </w:rPr>
            </w:pPr>
            <w:proofErr w:type="spellStart"/>
            <w:r w:rsidRPr="00961B75">
              <w:rPr>
                <w:rFonts w:ascii="Arial Narrow" w:hAnsi="Arial Narrow"/>
                <w:sz w:val="20"/>
                <w:szCs w:val="16"/>
              </w:rPr>
              <w:t>Gt</w:t>
            </w:r>
            <w:proofErr w:type="spellEnd"/>
            <w:r w:rsidRPr="00961B75">
              <w:rPr>
                <w:rFonts w:ascii="Arial Narrow" w:hAnsi="Arial Narrow"/>
                <w:sz w:val="20"/>
                <w:szCs w:val="16"/>
              </w:rPr>
              <w:t xml:space="preserve"> 4 </w:t>
            </w:r>
            <w:proofErr w:type="spellStart"/>
            <w:r w:rsidRPr="00961B75">
              <w:rPr>
                <w:rFonts w:ascii="Arial Narrow" w:hAnsi="Arial Narrow"/>
                <w:sz w:val="20"/>
                <w:szCs w:val="16"/>
              </w:rPr>
              <w:t>subgp</w:t>
            </w:r>
            <w:proofErr w:type="spellEnd"/>
          </w:p>
        </w:tc>
        <w:tc>
          <w:tcPr>
            <w:tcW w:w="352" w:type="dxa"/>
            <w:shd w:val="clear" w:color="auto" w:fill="auto"/>
            <w:vAlign w:val="center"/>
          </w:tcPr>
          <w:p w:rsidR="008605C0" w:rsidRPr="00961B75" w:rsidRDefault="008605C0" w:rsidP="004611DA">
            <w:pPr>
              <w:keepLines/>
              <w:widowControl/>
              <w:jc w:val="center"/>
              <w:rPr>
                <w:rFonts w:ascii="Arial Narrow" w:hAnsi="Arial Narrow"/>
                <w:bCs/>
                <w:sz w:val="20"/>
              </w:rPr>
            </w:pPr>
            <w:r w:rsidRPr="00961B75">
              <w:rPr>
                <w:rFonts w:ascii="Arial Narrow" w:hAnsi="Arial Narrow"/>
                <w:bCs/>
                <w:sz w:val="20"/>
              </w:rPr>
              <w:t>37</w:t>
            </w:r>
          </w:p>
        </w:tc>
        <w:tc>
          <w:tcPr>
            <w:tcW w:w="992" w:type="dxa"/>
            <w:vMerge/>
            <w:shd w:val="clear" w:color="auto" w:fill="auto"/>
            <w:vAlign w:val="center"/>
          </w:tcPr>
          <w:p w:rsidR="008605C0" w:rsidRPr="00961B75" w:rsidRDefault="008605C0" w:rsidP="004611DA">
            <w:pPr>
              <w:keepLines/>
              <w:widowControl/>
              <w:jc w:val="center"/>
              <w:rPr>
                <w:rFonts w:ascii="Arial Narrow" w:hAnsi="Arial Narrow"/>
                <w:bCs/>
                <w:sz w:val="20"/>
              </w:rPr>
            </w:pPr>
          </w:p>
        </w:tc>
        <w:tc>
          <w:tcPr>
            <w:tcW w:w="630" w:type="dxa"/>
            <w:vMerge/>
            <w:shd w:val="clear" w:color="auto" w:fill="auto"/>
            <w:vAlign w:val="center"/>
          </w:tcPr>
          <w:p w:rsidR="008605C0" w:rsidRPr="00961B75" w:rsidRDefault="008605C0" w:rsidP="004611DA">
            <w:pPr>
              <w:keepLines/>
              <w:widowControl/>
              <w:jc w:val="center"/>
              <w:rPr>
                <w:rFonts w:ascii="Arial Narrow" w:hAnsi="Arial Narrow"/>
                <w:bCs/>
                <w:iCs/>
                <w:sz w:val="20"/>
              </w:rPr>
            </w:pPr>
          </w:p>
        </w:tc>
        <w:tc>
          <w:tcPr>
            <w:tcW w:w="429" w:type="dxa"/>
            <w:shd w:val="clear" w:color="auto" w:fill="D9D9D9" w:themeFill="background1" w:themeFillShade="D9"/>
            <w:vAlign w:val="center"/>
          </w:tcPr>
          <w:p w:rsidR="008605C0" w:rsidRPr="00961B75" w:rsidRDefault="008605C0" w:rsidP="004611DA">
            <w:pPr>
              <w:keepLines/>
              <w:widowControl/>
              <w:jc w:val="center"/>
              <w:rPr>
                <w:rFonts w:ascii="Arial Narrow" w:hAnsi="Arial Narrow"/>
                <w:bCs/>
                <w:sz w:val="20"/>
              </w:rPr>
            </w:pPr>
            <w:r w:rsidRPr="00961B75">
              <w:rPr>
                <w:rFonts w:ascii="Arial Narrow" w:hAnsi="Arial Narrow"/>
                <w:bCs/>
                <w:sz w:val="20"/>
              </w:rPr>
              <w:t>D</w:t>
            </w:r>
          </w:p>
        </w:tc>
        <w:tc>
          <w:tcPr>
            <w:tcW w:w="406" w:type="dxa"/>
            <w:shd w:val="clear" w:color="auto" w:fill="D9D9D9" w:themeFill="background1" w:themeFillShade="D9"/>
            <w:vAlign w:val="center"/>
          </w:tcPr>
          <w:p w:rsidR="008605C0" w:rsidRPr="00961B75" w:rsidRDefault="008605C0" w:rsidP="004611DA">
            <w:pPr>
              <w:keepLines/>
              <w:widowControl/>
              <w:jc w:val="center"/>
              <w:rPr>
                <w:rFonts w:ascii="Arial Narrow" w:hAnsi="Arial Narrow"/>
                <w:bCs/>
                <w:sz w:val="20"/>
              </w:rPr>
            </w:pPr>
            <w:r w:rsidRPr="00961B75">
              <w:rPr>
                <w:rFonts w:ascii="Arial Narrow" w:hAnsi="Arial Narrow"/>
                <w:bCs/>
                <w:sz w:val="20"/>
              </w:rPr>
              <w:t>8</w:t>
            </w:r>
          </w:p>
        </w:tc>
        <w:tc>
          <w:tcPr>
            <w:tcW w:w="565" w:type="dxa"/>
            <w:shd w:val="clear" w:color="auto" w:fill="D9D9D9" w:themeFill="background1" w:themeFillShade="D9"/>
            <w:vAlign w:val="center"/>
          </w:tcPr>
          <w:p w:rsidR="008605C0" w:rsidRPr="00961B75" w:rsidRDefault="008605C0" w:rsidP="004611DA">
            <w:pPr>
              <w:keepLines/>
              <w:widowControl/>
              <w:jc w:val="center"/>
              <w:rPr>
                <w:rFonts w:ascii="Arial Narrow" w:hAnsi="Arial Narrow"/>
                <w:bCs/>
                <w:sz w:val="20"/>
              </w:rPr>
            </w:pPr>
            <w:r w:rsidRPr="00961B75">
              <w:rPr>
                <w:rFonts w:ascii="Arial Narrow" w:hAnsi="Arial Narrow"/>
                <w:bCs/>
                <w:sz w:val="20"/>
              </w:rPr>
              <w:t>4</w:t>
            </w:r>
          </w:p>
        </w:tc>
        <w:tc>
          <w:tcPr>
            <w:tcW w:w="798" w:type="dxa"/>
            <w:shd w:val="clear" w:color="auto" w:fill="D9D9D9" w:themeFill="background1" w:themeFillShade="D9"/>
            <w:vAlign w:val="center"/>
          </w:tcPr>
          <w:p w:rsidR="008605C0" w:rsidRPr="00961B75" w:rsidRDefault="008605C0" w:rsidP="004611DA">
            <w:pPr>
              <w:keepLines/>
              <w:widowControl/>
              <w:jc w:val="center"/>
              <w:rPr>
                <w:rFonts w:ascii="Arial Narrow" w:hAnsi="Arial Narrow"/>
                <w:bCs/>
                <w:sz w:val="20"/>
              </w:rPr>
            </w:pPr>
            <w:r w:rsidRPr="00961B75">
              <w:rPr>
                <w:rFonts w:ascii="Arial Narrow" w:hAnsi="Arial Narrow"/>
                <w:bCs/>
                <w:sz w:val="20"/>
              </w:rPr>
              <w:t>Mixed</w:t>
            </w:r>
          </w:p>
        </w:tc>
        <w:tc>
          <w:tcPr>
            <w:tcW w:w="1063" w:type="dxa"/>
            <w:shd w:val="clear" w:color="auto" w:fill="D9D9D9" w:themeFill="background1" w:themeFillShade="D9"/>
            <w:vAlign w:val="center"/>
          </w:tcPr>
          <w:p w:rsidR="008605C0" w:rsidRPr="00961B75" w:rsidRDefault="008605C0" w:rsidP="004611DA">
            <w:pPr>
              <w:keepLines/>
              <w:widowControl/>
              <w:jc w:val="center"/>
              <w:rPr>
                <w:rFonts w:ascii="Arial Narrow" w:hAnsi="Arial Narrow"/>
                <w:sz w:val="20"/>
              </w:rPr>
            </w:pPr>
            <w:r w:rsidRPr="00961B75">
              <w:rPr>
                <w:rFonts w:ascii="Arial Narrow" w:hAnsi="Arial Narrow"/>
                <w:sz w:val="20"/>
              </w:rPr>
              <w:t>Experienced</w:t>
            </w:r>
          </w:p>
        </w:tc>
        <w:tc>
          <w:tcPr>
            <w:tcW w:w="901" w:type="dxa"/>
            <w:shd w:val="clear" w:color="auto" w:fill="D9D9D9" w:themeFill="background1" w:themeFillShade="D9"/>
            <w:vAlign w:val="center"/>
          </w:tcPr>
          <w:p w:rsidR="008605C0" w:rsidRPr="00961B75" w:rsidRDefault="008605C0" w:rsidP="004611DA">
            <w:pPr>
              <w:keepLines/>
              <w:widowControl/>
              <w:jc w:val="center"/>
              <w:rPr>
                <w:rFonts w:ascii="Arial Narrow" w:hAnsi="Arial Narrow"/>
                <w:sz w:val="20"/>
                <w:szCs w:val="16"/>
              </w:rPr>
            </w:pPr>
            <w:r w:rsidRPr="00961B75">
              <w:rPr>
                <w:rFonts w:ascii="Arial Narrow" w:hAnsi="Arial Narrow"/>
                <w:sz w:val="20"/>
                <w:szCs w:val="16"/>
              </w:rPr>
              <w:t>GRZ/EBR+RBV</w:t>
            </w:r>
          </w:p>
        </w:tc>
        <w:tc>
          <w:tcPr>
            <w:tcW w:w="742" w:type="dxa"/>
            <w:shd w:val="clear" w:color="auto" w:fill="D9D9D9" w:themeFill="background1" w:themeFillShade="D9"/>
            <w:vAlign w:val="center"/>
          </w:tcPr>
          <w:p w:rsidR="008605C0" w:rsidRPr="00961B75" w:rsidRDefault="008605C0" w:rsidP="004611DA">
            <w:pPr>
              <w:keepLines/>
              <w:widowControl/>
              <w:jc w:val="center"/>
              <w:rPr>
                <w:rFonts w:ascii="Arial Narrow" w:hAnsi="Arial Narrow"/>
                <w:sz w:val="20"/>
              </w:rPr>
            </w:pPr>
            <w:r w:rsidRPr="00961B75">
              <w:rPr>
                <w:rFonts w:ascii="Arial Narrow" w:hAnsi="Arial Narrow"/>
                <w:sz w:val="20"/>
              </w:rPr>
              <w:t>16</w:t>
            </w:r>
          </w:p>
        </w:tc>
        <w:tc>
          <w:tcPr>
            <w:tcW w:w="742" w:type="dxa"/>
            <w:vMerge/>
            <w:vAlign w:val="center"/>
          </w:tcPr>
          <w:p w:rsidR="008605C0" w:rsidRPr="00961B75" w:rsidRDefault="008605C0" w:rsidP="004611DA">
            <w:pPr>
              <w:keepLines/>
              <w:widowControl/>
              <w:jc w:val="center"/>
              <w:rPr>
                <w:rFonts w:ascii="Arial Narrow" w:hAnsi="Arial Narrow"/>
                <w:smallCaps/>
                <w:sz w:val="20"/>
              </w:rPr>
            </w:pPr>
          </w:p>
        </w:tc>
      </w:tr>
      <w:tr w:rsidR="008605C0" w:rsidRPr="00961B75" w:rsidTr="008605C0">
        <w:trPr>
          <w:cantSplit/>
          <w:trHeight w:val="338"/>
        </w:trPr>
        <w:tc>
          <w:tcPr>
            <w:tcW w:w="952" w:type="dxa"/>
            <w:vMerge w:val="restart"/>
            <w:shd w:val="clear" w:color="auto" w:fill="auto"/>
            <w:vAlign w:val="center"/>
          </w:tcPr>
          <w:p w:rsidR="008605C0" w:rsidRPr="00961B75" w:rsidRDefault="008605C0" w:rsidP="004611DA">
            <w:pPr>
              <w:keepLines/>
              <w:widowControl/>
              <w:jc w:val="left"/>
              <w:rPr>
                <w:rFonts w:ascii="Arial Narrow" w:hAnsi="Arial Narrow"/>
                <w:bCs/>
                <w:sz w:val="20"/>
              </w:rPr>
            </w:pPr>
            <w:r w:rsidRPr="00961B75">
              <w:rPr>
                <w:rFonts w:ascii="Arial Narrow" w:hAnsi="Arial Narrow"/>
                <w:sz w:val="20"/>
                <w:szCs w:val="16"/>
              </w:rPr>
              <w:t>C-EDGE CO-INFECTION</w:t>
            </w:r>
          </w:p>
        </w:tc>
        <w:tc>
          <w:tcPr>
            <w:tcW w:w="352" w:type="dxa"/>
            <w:vMerge w:val="restart"/>
            <w:shd w:val="clear" w:color="auto" w:fill="auto"/>
            <w:vAlign w:val="center"/>
          </w:tcPr>
          <w:p w:rsidR="008605C0" w:rsidRPr="00961B75" w:rsidRDefault="008605C0" w:rsidP="004611DA">
            <w:pPr>
              <w:keepLines/>
              <w:widowControl/>
              <w:jc w:val="center"/>
              <w:rPr>
                <w:rFonts w:ascii="Arial Narrow" w:hAnsi="Arial Narrow"/>
                <w:bCs/>
                <w:sz w:val="20"/>
              </w:rPr>
            </w:pPr>
            <w:r w:rsidRPr="00961B75">
              <w:rPr>
                <w:rFonts w:ascii="Arial Narrow" w:hAnsi="Arial Narrow"/>
                <w:bCs/>
                <w:sz w:val="20"/>
              </w:rPr>
              <w:t>218</w:t>
            </w:r>
          </w:p>
        </w:tc>
        <w:tc>
          <w:tcPr>
            <w:tcW w:w="992" w:type="dxa"/>
            <w:vMerge w:val="restart"/>
            <w:shd w:val="clear" w:color="auto" w:fill="auto"/>
            <w:vAlign w:val="center"/>
          </w:tcPr>
          <w:p w:rsidR="008605C0" w:rsidRPr="00961B75" w:rsidRDefault="008605C0" w:rsidP="004611DA">
            <w:pPr>
              <w:keepLines/>
              <w:widowControl/>
              <w:jc w:val="center"/>
              <w:rPr>
                <w:rFonts w:ascii="Arial Narrow" w:hAnsi="Arial Narrow"/>
                <w:bCs/>
                <w:sz w:val="20"/>
              </w:rPr>
            </w:pPr>
            <w:r w:rsidRPr="00961B75">
              <w:rPr>
                <w:rFonts w:ascii="Arial Narrow" w:hAnsi="Arial Narrow"/>
                <w:bCs/>
                <w:sz w:val="20"/>
              </w:rPr>
              <w:t>OL, MC, single arm, Phase III</w:t>
            </w:r>
          </w:p>
        </w:tc>
        <w:tc>
          <w:tcPr>
            <w:tcW w:w="630" w:type="dxa"/>
            <w:vMerge w:val="restart"/>
            <w:shd w:val="clear" w:color="auto" w:fill="auto"/>
            <w:vAlign w:val="center"/>
          </w:tcPr>
          <w:p w:rsidR="008605C0" w:rsidRPr="00961B75" w:rsidRDefault="008605C0" w:rsidP="004611DA">
            <w:pPr>
              <w:keepLines/>
              <w:widowControl/>
              <w:jc w:val="center"/>
              <w:rPr>
                <w:rFonts w:ascii="Arial Narrow" w:hAnsi="Arial Narrow"/>
                <w:bCs/>
                <w:iCs/>
                <w:sz w:val="20"/>
              </w:rPr>
            </w:pPr>
            <w:r w:rsidRPr="00961B75">
              <w:rPr>
                <w:rFonts w:ascii="Arial Narrow" w:hAnsi="Arial Narrow"/>
                <w:bCs/>
                <w:iCs/>
                <w:sz w:val="20"/>
              </w:rPr>
              <w:t>NA</w:t>
            </w:r>
          </w:p>
        </w:tc>
        <w:tc>
          <w:tcPr>
            <w:tcW w:w="429" w:type="dxa"/>
            <w:vMerge w:val="restart"/>
            <w:shd w:val="clear" w:color="auto" w:fill="auto"/>
            <w:vAlign w:val="center"/>
          </w:tcPr>
          <w:p w:rsidR="008605C0" w:rsidRPr="00961B75" w:rsidRDefault="008605C0" w:rsidP="004611DA">
            <w:pPr>
              <w:keepLines/>
              <w:widowControl/>
              <w:jc w:val="center"/>
              <w:rPr>
                <w:rFonts w:ascii="Arial Narrow" w:hAnsi="Arial Narrow"/>
                <w:bCs/>
                <w:sz w:val="20"/>
              </w:rPr>
            </w:pPr>
            <w:r w:rsidRPr="00961B75">
              <w:rPr>
                <w:rFonts w:ascii="Arial Narrow" w:hAnsi="Arial Narrow"/>
                <w:bCs/>
                <w:sz w:val="20"/>
              </w:rPr>
              <w:t>-</w:t>
            </w:r>
          </w:p>
        </w:tc>
        <w:tc>
          <w:tcPr>
            <w:tcW w:w="406" w:type="dxa"/>
            <w:vMerge w:val="restart"/>
            <w:shd w:val="clear" w:color="auto" w:fill="auto"/>
            <w:vAlign w:val="center"/>
          </w:tcPr>
          <w:p w:rsidR="008605C0" w:rsidRPr="00961B75" w:rsidRDefault="008605C0" w:rsidP="004611DA">
            <w:pPr>
              <w:keepLines/>
              <w:widowControl/>
              <w:jc w:val="center"/>
              <w:rPr>
                <w:rFonts w:ascii="Arial Narrow" w:hAnsi="Arial Narrow"/>
                <w:bCs/>
                <w:sz w:val="20"/>
              </w:rPr>
            </w:pPr>
            <w:r w:rsidRPr="00961B75">
              <w:rPr>
                <w:rFonts w:ascii="Arial Narrow" w:hAnsi="Arial Narrow"/>
                <w:bCs/>
                <w:sz w:val="20"/>
              </w:rPr>
              <w:t>218</w:t>
            </w:r>
          </w:p>
        </w:tc>
        <w:tc>
          <w:tcPr>
            <w:tcW w:w="2426" w:type="dxa"/>
            <w:gridSpan w:val="3"/>
            <w:shd w:val="clear" w:color="auto" w:fill="auto"/>
            <w:vAlign w:val="center"/>
          </w:tcPr>
          <w:p w:rsidR="008605C0" w:rsidRPr="00961B75" w:rsidRDefault="008605C0" w:rsidP="004611DA">
            <w:pPr>
              <w:keepLines/>
              <w:widowControl/>
              <w:jc w:val="center"/>
              <w:rPr>
                <w:rFonts w:ascii="Arial Narrow" w:hAnsi="Arial Narrow"/>
                <w:bCs/>
                <w:sz w:val="20"/>
              </w:rPr>
            </w:pPr>
            <w:r w:rsidRPr="00961B75">
              <w:rPr>
                <w:rFonts w:ascii="Arial Narrow" w:hAnsi="Arial Narrow"/>
                <w:bCs/>
                <w:sz w:val="20"/>
              </w:rPr>
              <w:t>HCV/HIV-1 co-infection</w:t>
            </w:r>
          </w:p>
        </w:tc>
        <w:tc>
          <w:tcPr>
            <w:tcW w:w="901" w:type="dxa"/>
            <w:vMerge w:val="restart"/>
            <w:shd w:val="clear" w:color="auto" w:fill="auto"/>
            <w:vAlign w:val="center"/>
          </w:tcPr>
          <w:p w:rsidR="008605C0" w:rsidRPr="00961B75" w:rsidRDefault="008605C0" w:rsidP="004611DA">
            <w:pPr>
              <w:keepLines/>
              <w:widowControl/>
              <w:jc w:val="center"/>
              <w:rPr>
                <w:rFonts w:ascii="Arial Narrow" w:hAnsi="Arial Narrow"/>
                <w:bCs/>
                <w:sz w:val="20"/>
              </w:rPr>
            </w:pPr>
            <w:r w:rsidRPr="00961B75">
              <w:rPr>
                <w:rFonts w:ascii="Arial Narrow" w:hAnsi="Arial Narrow"/>
                <w:sz w:val="20"/>
                <w:szCs w:val="16"/>
              </w:rPr>
              <w:t>GRZ/EBR</w:t>
            </w:r>
          </w:p>
        </w:tc>
        <w:tc>
          <w:tcPr>
            <w:tcW w:w="742" w:type="dxa"/>
            <w:vMerge w:val="restart"/>
            <w:shd w:val="clear" w:color="auto" w:fill="auto"/>
            <w:vAlign w:val="center"/>
          </w:tcPr>
          <w:p w:rsidR="008605C0" w:rsidRPr="00961B75" w:rsidRDefault="008605C0" w:rsidP="004611DA">
            <w:pPr>
              <w:keepLines/>
              <w:widowControl/>
              <w:jc w:val="center"/>
              <w:rPr>
                <w:rFonts w:ascii="Arial Narrow" w:hAnsi="Arial Narrow"/>
                <w:sz w:val="20"/>
              </w:rPr>
            </w:pPr>
            <w:r w:rsidRPr="00961B75">
              <w:rPr>
                <w:rFonts w:ascii="Arial Narrow" w:hAnsi="Arial Narrow"/>
                <w:sz w:val="20"/>
              </w:rPr>
              <w:t>12</w:t>
            </w:r>
          </w:p>
        </w:tc>
        <w:tc>
          <w:tcPr>
            <w:tcW w:w="742" w:type="dxa"/>
            <w:vMerge w:val="restart"/>
            <w:shd w:val="clear" w:color="auto" w:fill="auto"/>
            <w:vAlign w:val="center"/>
          </w:tcPr>
          <w:p w:rsidR="008605C0" w:rsidRPr="00961B75" w:rsidRDefault="008605C0" w:rsidP="004611DA">
            <w:pPr>
              <w:keepLines/>
              <w:widowControl/>
              <w:jc w:val="center"/>
              <w:rPr>
                <w:rFonts w:ascii="Arial Narrow" w:hAnsi="Arial Narrow"/>
                <w:sz w:val="20"/>
              </w:rPr>
            </w:pPr>
            <w:r w:rsidRPr="00961B75">
              <w:rPr>
                <w:rFonts w:ascii="Arial Narrow" w:hAnsi="Arial Narrow"/>
                <w:smallCaps/>
                <w:sz w:val="20"/>
              </w:rPr>
              <w:t>SVR12</w:t>
            </w:r>
          </w:p>
        </w:tc>
      </w:tr>
      <w:tr w:rsidR="008605C0" w:rsidRPr="00961B75" w:rsidTr="008605C0">
        <w:trPr>
          <w:cantSplit/>
          <w:trHeight w:val="339"/>
        </w:trPr>
        <w:tc>
          <w:tcPr>
            <w:tcW w:w="952" w:type="dxa"/>
            <w:vMerge/>
            <w:tcBorders>
              <w:bottom w:val="dashSmallGap" w:sz="4" w:space="0" w:color="auto"/>
            </w:tcBorders>
            <w:shd w:val="clear" w:color="auto" w:fill="auto"/>
            <w:vAlign w:val="center"/>
          </w:tcPr>
          <w:p w:rsidR="008605C0" w:rsidRPr="00961B75" w:rsidRDefault="008605C0" w:rsidP="004611DA">
            <w:pPr>
              <w:keepLines/>
              <w:widowControl/>
              <w:jc w:val="left"/>
              <w:rPr>
                <w:rFonts w:ascii="Arial Narrow" w:hAnsi="Arial Narrow"/>
                <w:sz w:val="20"/>
                <w:szCs w:val="16"/>
              </w:rPr>
            </w:pPr>
          </w:p>
        </w:tc>
        <w:tc>
          <w:tcPr>
            <w:tcW w:w="352" w:type="dxa"/>
            <w:vMerge/>
            <w:tcBorders>
              <w:bottom w:val="dashSmallGap" w:sz="4" w:space="0" w:color="auto"/>
            </w:tcBorders>
            <w:shd w:val="clear" w:color="auto" w:fill="auto"/>
            <w:vAlign w:val="center"/>
          </w:tcPr>
          <w:p w:rsidR="008605C0" w:rsidRPr="00961B75" w:rsidRDefault="008605C0" w:rsidP="004611DA">
            <w:pPr>
              <w:keepLines/>
              <w:widowControl/>
              <w:jc w:val="center"/>
              <w:rPr>
                <w:rFonts w:ascii="Arial Narrow" w:hAnsi="Arial Narrow"/>
                <w:bCs/>
                <w:sz w:val="20"/>
              </w:rPr>
            </w:pPr>
          </w:p>
        </w:tc>
        <w:tc>
          <w:tcPr>
            <w:tcW w:w="992" w:type="dxa"/>
            <w:vMerge/>
            <w:shd w:val="clear" w:color="auto" w:fill="auto"/>
            <w:vAlign w:val="center"/>
          </w:tcPr>
          <w:p w:rsidR="008605C0" w:rsidRPr="00961B75" w:rsidRDefault="008605C0" w:rsidP="004611DA">
            <w:pPr>
              <w:keepLines/>
              <w:widowControl/>
              <w:jc w:val="center"/>
              <w:rPr>
                <w:rFonts w:ascii="Arial Narrow" w:hAnsi="Arial Narrow"/>
                <w:bCs/>
                <w:sz w:val="20"/>
              </w:rPr>
            </w:pPr>
          </w:p>
        </w:tc>
        <w:tc>
          <w:tcPr>
            <w:tcW w:w="630" w:type="dxa"/>
            <w:vMerge/>
            <w:shd w:val="clear" w:color="auto" w:fill="auto"/>
            <w:vAlign w:val="center"/>
          </w:tcPr>
          <w:p w:rsidR="008605C0" w:rsidRPr="00961B75" w:rsidRDefault="008605C0" w:rsidP="004611DA">
            <w:pPr>
              <w:keepLines/>
              <w:widowControl/>
              <w:jc w:val="center"/>
              <w:rPr>
                <w:rFonts w:ascii="Arial Narrow" w:hAnsi="Arial Narrow"/>
                <w:bCs/>
                <w:iCs/>
                <w:sz w:val="20"/>
              </w:rPr>
            </w:pPr>
          </w:p>
        </w:tc>
        <w:tc>
          <w:tcPr>
            <w:tcW w:w="429" w:type="dxa"/>
            <w:vMerge/>
            <w:tcBorders>
              <w:bottom w:val="dashSmallGap" w:sz="4" w:space="0" w:color="auto"/>
            </w:tcBorders>
            <w:shd w:val="clear" w:color="auto" w:fill="auto"/>
            <w:vAlign w:val="center"/>
          </w:tcPr>
          <w:p w:rsidR="008605C0" w:rsidRPr="00961B75" w:rsidRDefault="008605C0" w:rsidP="004611DA">
            <w:pPr>
              <w:keepLines/>
              <w:widowControl/>
              <w:jc w:val="center"/>
              <w:rPr>
                <w:rFonts w:ascii="Arial Narrow" w:hAnsi="Arial Narrow"/>
                <w:bCs/>
                <w:sz w:val="20"/>
              </w:rPr>
            </w:pPr>
          </w:p>
        </w:tc>
        <w:tc>
          <w:tcPr>
            <w:tcW w:w="406" w:type="dxa"/>
            <w:vMerge/>
            <w:tcBorders>
              <w:bottom w:val="dashSmallGap" w:sz="4" w:space="0" w:color="auto"/>
            </w:tcBorders>
            <w:shd w:val="clear" w:color="auto" w:fill="auto"/>
            <w:vAlign w:val="center"/>
          </w:tcPr>
          <w:p w:rsidR="008605C0" w:rsidRPr="00961B75" w:rsidRDefault="008605C0" w:rsidP="004611DA">
            <w:pPr>
              <w:keepLines/>
              <w:widowControl/>
              <w:jc w:val="center"/>
              <w:rPr>
                <w:rFonts w:ascii="Arial Narrow" w:hAnsi="Arial Narrow"/>
                <w:bCs/>
                <w:sz w:val="20"/>
              </w:rPr>
            </w:pPr>
          </w:p>
        </w:tc>
        <w:tc>
          <w:tcPr>
            <w:tcW w:w="565" w:type="dxa"/>
            <w:tcBorders>
              <w:bottom w:val="dashSmallGap" w:sz="4" w:space="0" w:color="auto"/>
            </w:tcBorders>
            <w:shd w:val="clear" w:color="auto" w:fill="auto"/>
            <w:vAlign w:val="center"/>
          </w:tcPr>
          <w:p w:rsidR="008605C0" w:rsidRPr="00961B75" w:rsidRDefault="008605C0" w:rsidP="004611DA">
            <w:pPr>
              <w:keepLines/>
              <w:widowControl/>
              <w:jc w:val="center"/>
              <w:rPr>
                <w:rFonts w:ascii="Arial Narrow" w:hAnsi="Arial Narrow"/>
                <w:bCs/>
                <w:sz w:val="20"/>
              </w:rPr>
            </w:pPr>
            <w:r w:rsidRPr="00961B75">
              <w:rPr>
                <w:rFonts w:ascii="Arial Narrow" w:hAnsi="Arial Narrow"/>
                <w:bCs/>
                <w:sz w:val="20"/>
              </w:rPr>
              <w:t>1, 4, 6</w:t>
            </w:r>
          </w:p>
        </w:tc>
        <w:tc>
          <w:tcPr>
            <w:tcW w:w="798" w:type="dxa"/>
            <w:tcBorders>
              <w:bottom w:val="dashSmallGap" w:sz="4" w:space="0" w:color="auto"/>
            </w:tcBorders>
            <w:shd w:val="clear" w:color="auto" w:fill="auto"/>
            <w:vAlign w:val="center"/>
          </w:tcPr>
          <w:p w:rsidR="008605C0" w:rsidRPr="00961B75" w:rsidRDefault="008605C0" w:rsidP="004611DA">
            <w:pPr>
              <w:keepLines/>
              <w:widowControl/>
              <w:jc w:val="center"/>
              <w:rPr>
                <w:rFonts w:ascii="Arial Narrow" w:hAnsi="Arial Narrow"/>
                <w:bCs/>
                <w:sz w:val="20"/>
              </w:rPr>
            </w:pPr>
            <w:r w:rsidRPr="00961B75">
              <w:rPr>
                <w:rFonts w:ascii="Arial Narrow" w:hAnsi="Arial Narrow"/>
                <w:bCs/>
                <w:sz w:val="20"/>
              </w:rPr>
              <w:t>Mixed</w:t>
            </w:r>
          </w:p>
        </w:tc>
        <w:tc>
          <w:tcPr>
            <w:tcW w:w="1063" w:type="dxa"/>
            <w:tcBorders>
              <w:bottom w:val="dashSmallGap" w:sz="4" w:space="0" w:color="auto"/>
            </w:tcBorders>
            <w:shd w:val="clear" w:color="auto" w:fill="auto"/>
            <w:vAlign w:val="center"/>
          </w:tcPr>
          <w:p w:rsidR="008605C0" w:rsidRPr="00961B75" w:rsidRDefault="008605C0" w:rsidP="004611DA">
            <w:pPr>
              <w:keepLines/>
              <w:widowControl/>
              <w:jc w:val="center"/>
              <w:rPr>
                <w:rFonts w:ascii="Arial Narrow" w:hAnsi="Arial Narrow"/>
                <w:bCs/>
                <w:sz w:val="20"/>
              </w:rPr>
            </w:pPr>
            <w:r w:rsidRPr="00961B75">
              <w:rPr>
                <w:rFonts w:ascii="Arial Narrow" w:hAnsi="Arial Narrow"/>
                <w:sz w:val="20"/>
              </w:rPr>
              <w:t>Naïve</w:t>
            </w:r>
          </w:p>
        </w:tc>
        <w:tc>
          <w:tcPr>
            <w:tcW w:w="901" w:type="dxa"/>
            <w:vMerge/>
            <w:tcBorders>
              <w:bottom w:val="dashSmallGap" w:sz="4" w:space="0" w:color="auto"/>
            </w:tcBorders>
            <w:shd w:val="clear" w:color="auto" w:fill="auto"/>
            <w:vAlign w:val="center"/>
          </w:tcPr>
          <w:p w:rsidR="008605C0" w:rsidRPr="00961B75" w:rsidRDefault="008605C0" w:rsidP="004611DA">
            <w:pPr>
              <w:keepLines/>
              <w:widowControl/>
              <w:jc w:val="center"/>
              <w:rPr>
                <w:rFonts w:ascii="Arial Narrow" w:hAnsi="Arial Narrow"/>
                <w:bCs/>
                <w:sz w:val="20"/>
              </w:rPr>
            </w:pPr>
          </w:p>
        </w:tc>
        <w:tc>
          <w:tcPr>
            <w:tcW w:w="742" w:type="dxa"/>
            <w:vMerge/>
            <w:tcBorders>
              <w:bottom w:val="dashSmallGap" w:sz="4" w:space="0" w:color="auto"/>
            </w:tcBorders>
            <w:shd w:val="clear" w:color="auto" w:fill="auto"/>
            <w:vAlign w:val="center"/>
          </w:tcPr>
          <w:p w:rsidR="008605C0" w:rsidRPr="00961B75" w:rsidRDefault="008605C0" w:rsidP="004611DA">
            <w:pPr>
              <w:keepLines/>
              <w:widowControl/>
              <w:jc w:val="center"/>
              <w:rPr>
                <w:rFonts w:ascii="Arial Narrow" w:hAnsi="Arial Narrow"/>
                <w:sz w:val="20"/>
              </w:rPr>
            </w:pPr>
          </w:p>
        </w:tc>
        <w:tc>
          <w:tcPr>
            <w:tcW w:w="742" w:type="dxa"/>
            <w:vMerge/>
            <w:shd w:val="clear" w:color="auto" w:fill="auto"/>
            <w:vAlign w:val="center"/>
          </w:tcPr>
          <w:p w:rsidR="008605C0" w:rsidRPr="00961B75" w:rsidRDefault="008605C0" w:rsidP="004611DA">
            <w:pPr>
              <w:keepLines/>
              <w:widowControl/>
              <w:jc w:val="center"/>
              <w:rPr>
                <w:rFonts w:ascii="Arial Narrow" w:hAnsi="Arial Narrow"/>
                <w:sz w:val="20"/>
              </w:rPr>
            </w:pPr>
          </w:p>
        </w:tc>
      </w:tr>
      <w:tr w:rsidR="008605C0" w:rsidRPr="00961B75" w:rsidTr="008605C0">
        <w:trPr>
          <w:cantSplit/>
          <w:trHeight w:val="211"/>
        </w:trPr>
        <w:tc>
          <w:tcPr>
            <w:tcW w:w="952" w:type="dxa"/>
            <w:tcBorders>
              <w:top w:val="dashSmallGap" w:sz="4" w:space="0" w:color="auto"/>
            </w:tcBorders>
            <w:shd w:val="clear" w:color="auto" w:fill="auto"/>
            <w:vAlign w:val="center"/>
          </w:tcPr>
          <w:p w:rsidR="008605C0" w:rsidRPr="00961B75" w:rsidRDefault="008605C0" w:rsidP="004611DA">
            <w:pPr>
              <w:keepLines/>
              <w:widowControl/>
              <w:ind w:left="76"/>
              <w:jc w:val="left"/>
              <w:rPr>
                <w:rFonts w:ascii="Arial Narrow" w:hAnsi="Arial Narrow"/>
                <w:sz w:val="20"/>
                <w:szCs w:val="16"/>
              </w:rPr>
            </w:pPr>
            <w:proofErr w:type="spellStart"/>
            <w:r w:rsidRPr="00961B75">
              <w:rPr>
                <w:rFonts w:ascii="Arial Narrow" w:hAnsi="Arial Narrow"/>
                <w:sz w:val="20"/>
                <w:szCs w:val="16"/>
              </w:rPr>
              <w:t>Gt</w:t>
            </w:r>
            <w:proofErr w:type="spellEnd"/>
            <w:r w:rsidRPr="00961B75">
              <w:rPr>
                <w:rFonts w:ascii="Arial Narrow" w:hAnsi="Arial Narrow"/>
                <w:sz w:val="20"/>
                <w:szCs w:val="16"/>
              </w:rPr>
              <w:t xml:space="preserve"> 4 </w:t>
            </w:r>
            <w:proofErr w:type="spellStart"/>
            <w:r w:rsidRPr="00961B75">
              <w:rPr>
                <w:rFonts w:ascii="Arial Narrow" w:hAnsi="Arial Narrow"/>
                <w:sz w:val="20"/>
                <w:szCs w:val="16"/>
              </w:rPr>
              <w:t>subgp</w:t>
            </w:r>
            <w:proofErr w:type="spellEnd"/>
          </w:p>
        </w:tc>
        <w:tc>
          <w:tcPr>
            <w:tcW w:w="352" w:type="dxa"/>
            <w:tcBorders>
              <w:top w:val="dashSmallGap" w:sz="4" w:space="0" w:color="auto"/>
            </w:tcBorders>
            <w:shd w:val="clear" w:color="auto" w:fill="auto"/>
            <w:vAlign w:val="center"/>
          </w:tcPr>
          <w:p w:rsidR="008605C0" w:rsidRPr="00961B75" w:rsidRDefault="008605C0" w:rsidP="004611DA">
            <w:pPr>
              <w:keepLines/>
              <w:widowControl/>
              <w:jc w:val="center"/>
              <w:rPr>
                <w:rFonts w:ascii="Arial Narrow" w:hAnsi="Arial Narrow"/>
                <w:bCs/>
                <w:sz w:val="20"/>
              </w:rPr>
            </w:pPr>
            <w:r w:rsidRPr="00961B75">
              <w:rPr>
                <w:rFonts w:ascii="Arial Narrow" w:hAnsi="Arial Narrow"/>
                <w:bCs/>
                <w:sz w:val="20"/>
              </w:rPr>
              <w:t>28</w:t>
            </w:r>
          </w:p>
        </w:tc>
        <w:tc>
          <w:tcPr>
            <w:tcW w:w="992" w:type="dxa"/>
            <w:vMerge/>
            <w:shd w:val="clear" w:color="auto" w:fill="auto"/>
            <w:vAlign w:val="center"/>
          </w:tcPr>
          <w:p w:rsidR="008605C0" w:rsidRPr="00961B75" w:rsidRDefault="008605C0" w:rsidP="004611DA">
            <w:pPr>
              <w:keepLines/>
              <w:widowControl/>
              <w:jc w:val="center"/>
              <w:rPr>
                <w:rFonts w:ascii="Arial Narrow" w:hAnsi="Arial Narrow"/>
                <w:bCs/>
                <w:sz w:val="20"/>
              </w:rPr>
            </w:pPr>
          </w:p>
        </w:tc>
        <w:tc>
          <w:tcPr>
            <w:tcW w:w="630" w:type="dxa"/>
            <w:vMerge/>
            <w:shd w:val="clear" w:color="auto" w:fill="auto"/>
            <w:vAlign w:val="center"/>
          </w:tcPr>
          <w:p w:rsidR="008605C0" w:rsidRPr="00961B75" w:rsidRDefault="008605C0" w:rsidP="004611DA">
            <w:pPr>
              <w:keepLines/>
              <w:widowControl/>
              <w:jc w:val="center"/>
              <w:rPr>
                <w:rFonts w:ascii="Arial Narrow" w:hAnsi="Arial Narrow"/>
                <w:bCs/>
                <w:iCs/>
                <w:sz w:val="20"/>
              </w:rPr>
            </w:pPr>
          </w:p>
        </w:tc>
        <w:tc>
          <w:tcPr>
            <w:tcW w:w="429" w:type="dxa"/>
            <w:shd w:val="clear" w:color="auto" w:fill="D9D9D9" w:themeFill="background1" w:themeFillShade="D9"/>
            <w:vAlign w:val="center"/>
          </w:tcPr>
          <w:p w:rsidR="008605C0" w:rsidRPr="00961B75" w:rsidRDefault="008605C0" w:rsidP="004611DA">
            <w:pPr>
              <w:keepLines/>
              <w:widowControl/>
              <w:jc w:val="center"/>
              <w:rPr>
                <w:rFonts w:ascii="Arial Narrow" w:hAnsi="Arial Narrow"/>
                <w:bCs/>
                <w:sz w:val="20"/>
              </w:rPr>
            </w:pPr>
            <w:r w:rsidRPr="00961B75">
              <w:rPr>
                <w:rFonts w:ascii="Arial Narrow" w:hAnsi="Arial Narrow"/>
                <w:bCs/>
                <w:sz w:val="20"/>
              </w:rPr>
              <w:t>-</w:t>
            </w:r>
          </w:p>
        </w:tc>
        <w:tc>
          <w:tcPr>
            <w:tcW w:w="406" w:type="dxa"/>
            <w:shd w:val="clear" w:color="auto" w:fill="D9D9D9" w:themeFill="background1" w:themeFillShade="D9"/>
            <w:vAlign w:val="center"/>
          </w:tcPr>
          <w:p w:rsidR="008605C0" w:rsidRPr="00961B75" w:rsidRDefault="008605C0" w:rsidP="004611DA">
            <w:pPr>
              <w:keepLines/>
              <w:widowControl/>
              <w:jc w:val="center"/>
              <w:rPr>
                <w:rFonts w:ascii="Arial Narrow" w:hAnsi="Arial Narrow"/>
                <w:bCs/>
                <w:sz w:val="20"/>
              </w:rPr>
            </w:pPr>
            <w:r w:rsidRPr="00961B75">
              <w:rPr>
                <w:rFonts w:ascii="Arial Narrow" w:hAnsi="Arial Narrow"/>
                <w:bCs/>
                <w:sz w:val="20"/>
              </w:rPr>
              <w:t>28</w:t>
            </w:r>
          </w:p>
        </w:tc>
        <w:tc>
          <w:tcPr>
            <w:tcW w:w="565" w:type="dxa"/>
            <w:shd w:val="clear" w:color="auto" w:fill="D9D9D9" w:themeFill="background1" w:themeFillShade="D9"/>
            <w:vAlign w:val="center"/>
          </w:tcPr>
          <w:p w:rsidR="008605C0" w:rsidRPr="00961B75" w:rsidRDefault="008605C0" w:rsidP="004611DA">
            <w:pPr>
              <w:keepLines/>
              <w:widowControl/>
              <w:jc w:val="center"/>
              <w:rPr>
                <w:rFonts w:ascii="Arial Narrow" w:hAnsi="Arial Narrow"/>
                <w:bCs/>
                <w:sz w:val="20"/>
              </w:rPr>
            </w:pPr>
            <w:r w:rsidRPr="00961B75">
              <w:rPr>
                <w:rFonts w:ascii="Arial Narrow" w:hAnsi="Arial Narrow"/>
                <w:bCs/>
                <w:sz w:val="20"/>
              </w:rPr>
              <w:t>4</w:t>
            </w:r>
          </w:p>
        </w:tc>
        <w:tc>
          <w:tcPr>
            <w:tcW w:w="798" w:type="dxa"/>
            <w:shd w:val="clear" w:color="auto" w:fill="D9D9D9" w:themeFill="background1" w:themeFillShade="D9"/>
            <w:vAlign w:val="center"/>
          </w:tcPr>
          <w:p w:rsidR="008605C0" w:rsidRPr="00961B75" w:rsidRDefault="008605C0" w:rsidP="004611DA">
            <w:pPr>
              <w:keepLines/>
              <w:widowControl/>
              <w:jc w:val="center"/>
              <w:rPr>
                <w:rFonts w:ascii="Arial Narrow" w:hAnsi="Arial Narrow"/>
                <w:bCs/>
                <w:sz w:val="20"/>
              </w:rPr>
            </w:pPr>
            <w:r w:rsidRPr="00961B75">
              <w:rPr>
                <w:rFonts w:ascii="Arial Narrow" w:hAnsi="Arial Narrow"/>
                <w:bCs/>
                <w:sz w:val="20"/>
              </w:rPr>
              <w:t>Mixed</w:t>
            </w:r>
          </w:p>
        </w:tc>
        <w:tc>
          <w:tcPr>
            <w:tcW w:w="1063" w:type="dxa"/>
            <w:shd w:val="clear" w:color="auto" w:fill="D9D9D9" w:themeFill="background1" w:themeFillShade="D9"/>
            <w:vAlign w:val="center"/>
          </w:tcPr>
          <w:p w:rsidR="008605C0" w:rsidRPr="00961B75" w:rsidRDefault="008605C0" w:rsidP="004611DA">
            <w:pPr>
              <w:keepLines/>
              <w:widowControl/>
              <w:jc w:val="center"/>
              <w:rPr>
                <w:rFonts w:ascii="Arial Narrow" w:hAnsi="Arial Narrow"/>
                <w:sz w:val="20"/>
              </w:rPr>
            </w:pPr>
            <w:r w:rsidRPr="00961B75">
              <w:rPr>
                <w:rFonts w:ascii="Arial Narrow" w:hAnsi="Arial Narrow"/>
                <w:sz w:val="20"/>
              </w:rPr>
              <w:t>Naïve</w:t>
            </w:r>
          </w:p>
        </w:tc>
        <w:tc>
          <w:tcPr>
            <w:tcW w:w="901" w:type="dxa"/>
            <w:shd w:val="clear" w:color="auto" w:fill="D9D9D9" w:themeFill="background1" w:themeFillShade="D9"/>
            <w:vAlign w:val="center"/>
          </w:tcPr>
          <w:p w:rsidR="008605C0" w:rsidRPr="00961B75" w:rsidRDefault="008605C0" w:rsidP="004611DA">
            <w:pPr>
              <w:keepLines/>
              <w:widowControl/>
              <w:jc w:val="center"/>
              <w:rPr>
                <w:rFonts w:ascii="Arial Narrow" w:hAnsi="Arial Narrow"/>
                <w:bCs/>
                <w:sz w:val="20"/>
              </w:rPr>
            </w:pPr>
            <w:r w:rsidRPr="00961B75">
              <w:rPr>
                <w:rFonts w:ascii="Arial Narrow" w:hAnsi="Arial Narrow"/>
                <w:sz w:val="20"/>
                <w:szCs w:val="16"/>
              </w:rPr>
              <w:t>GRZ/EBR</w:t>
            </w:r>
          </w:p>
        </w:tc>
        <w:tc>
          <w:tcPr>
            <w:tcW w:w="742" w:type="dxa"/>
            <w:shd w:val="clear" w:color="auto" w:fill="D9D9D9" w:themeFill="background1" w:themeFillShade="D9"/>
            <w:vAlign w:val="center"/>
          </w:tcPr>
          <w:p w:rsidR="008605C0" w:rsidRPr="00961B75" w:rsidRDefault="008605C0" w:rsidP="004611DA">
            <w:pPr>
              <w:keepLines/>
              <w:widowControl/>
              <w:jc w:val="center"/>
              <w:rPr>
                <w:rFonts w:ascii="Arial Narrow" w:hAnsi="Arial Narrow"/>
                <w:sz w:val="20"/>
              </w:rPr>
            </w:pPr>
            <w:r w:rsidRPr="00961B75">
              <w:rPr>
                <w:rFonts w:ascii="Arial Narrow" w:hAnsi="Arial Narrow"/>
                <w:sz w:val="20"/>
              </w:rPr>
              <w:t>12</w:t>
            </w:r>
          </w:p>
        </w:tc>
        <w:tc>
          <w:tcPr>
            <w:tcW w:w="742" w:type="dxa"/>
            <w:vMerge/>
            <w:vAlign w:val="center"/>
          </w:tcPr>
          <w:p w:rsidR="008605C0" w:rsidRPr="00961B75" w:rsidRDefault="008605C0" w:rsidP="004611DA">
            <w:pPr>
              <w:keepLines/>
              <w:widowControl/>
              <w:jc w:val="center"/>
              <w:rPr>
                <w:rFonts w:ascii="Arial Narrow" w:hAnsi="Arial Narrow"/>
                <w:sz w:val="20"/>
              </w:rPr>
            </w:pPr>
          </w:p>
        </w:tc>
      </w:tr>
      <w:tr w:rsidR="008605C0" w:rsidRPr="00961B75" w:rsidTr="008605C0">
        <w:trPr>
          <w:cantSplit/>
        </w:trPr>
        <w:tc>
          <w:tcPr>
            <w:tcW w:w="952" w:type="dxa"/>
            <w:tcBorders>
              <w:bottom w:val="dashSmallGap" w:sz="4" w:space="0" w:color="auto"/>
            </w:tcBorders>
            <w:shd w:val="clear" w:color="auto" w:fill="auto"/>
            <w:vAlign w:val="center"/>
          </w:tcPr>
          <w:p w:rsidR="008605C0" w:rsidRPr="00961B75" w:rsidRDefault="008605C0" w:rsidP="004611DA">
            <w:pPr>
              <w:keepLines/>
              <w:widowControl/>
              <w:jc w:val="left"/>
              <w:rPr>
                <w:rFonts w:ascii="Arial Narrow" w:hAnsi="Arial Narrow"/>
                <w:sz w:val="20"/>
                <w:szCs w:val="16"/>
              </w:rPr>
            </w:pPr>
            <w:r w:rsidRPr="00961B75">
              <w:rPr>
                <w:rFonts w:ascii="Arial Narrow" w:hAnsi="Arial Narrow"/>
                <w:sz w:val="20"/>
                <w:szCs w:val="16"/>
              </w:rPr>
              <w:t>C-SCAPE</w:t>
            </w:r>
          </w:p>
        </w:tc>
        <w:tc>
          <w:tcPr>
            <w:tcW w:w="352" w:type="dxa"/>
            <w:shd w:val="clear" w:color="auto" w:fill="auto"/>
            <w:vAlign w:val="center"/>
          </w:tcPr>
          <w:p w:rsidR="008605C0" w:rsidRPr="00961B75" w:rsidRDefault="008605C0" w:rsidP="004611DA">
            <w:pPr>
              <w:keepLines/>
              <w:widowControl/>
              <w:jc w:val="center"/>
              <w:rPr>
                <w:rFonts w:ascii="Arial Narrow" w:hAnsi="Arial Narrow"/>
                <w:bCs/>
                <w:sz w:val="20"/>
              </w:rPr>
            </w:pPr>
            <w:r w:rsidRPr="00961B75">
              <w:rPr>
                <w:rFonts w:ascii="Arial Narrow" w:hAnsi="Arial Narrow"/>
                <w:bCs/>
                <w:sz w:val="20"/>
              </w:rPr>
              <w:t>98</w:t>
            </w:r>
          </w:p>
        </w:tc>
        <w:tc>
          <w:tcPr>
            <w:tcW w:w="992" w:type="dxa"/>
            <w:vMerge w:val="restart"/>
            <w:shd w:val="clear" w:color="auto" w:fill="auto"/>
            <w:vAlign w:val="center"/>
          </w:tcPr>
          <w:p w:rsidR="008605C0" w:rsidRPr="00961B75" w:rsidRDefault="008605C0" w:rsidP="004611DA">
            <w:pPr>
              <w:keepLines/>
              <w:widowControl/>
              <w:jc w:val="center"/>
              <w:rPr>
                <w:rFonts w:ascii="Arial Narrow" w:hAnsi="Arial Narrow"/>
                <w:bCs/>
                <w:sz w:val="20"/>
              </w:rPr>
            </w:pPr>
            <w:r w:rsidRPr="00961B75">
              <w:rPr>
                <w:rFonts w:ascii="Arial Narrow" w:hAnsi="Arial Narrow"/>
                <w:bCs/>
                <w:sz w:val="20"/>
              </w:rPr>
              <w:t>R, MC Phase II</w:t>
            </w:r>
          </w:p>
        </w:tc>
        <w:tc>
          <w:tcPr>
            <w:tcW w:w="630" w:type="dxa"/>
            <w:vMerge w:val="restart"/>
            <w:shd w:val="clear" w:color="auto" w:fill="auto"/>
            <w:vAlign w:val="center"/>
          </w:tcPr>
          <w:p w:rsidR="008605C0" w:rsidRPr="00961B75" w:rsidRDefault="008605C0" w:rsidP="004611DA">
            <w:pPr>
              <w:keepLines/>
              <w:widowControl/>
              <w:jc w:val="center"/>
              <w:rPr>
                <w:rFonts w:ascii="Arial Narrow" w:hAnsi="Arial Narrow"/>
                <w:bCs/>
                <w:iCs/>
                <w:sz w:val="20"/>
              </w:rPr>
            </w:pPr>
            <w:r w:rsidRPr="00961B75">
              <w:rPr>
                <w:rFonts w:ascii="Arial Narrow" w:hAnsi="Arial Narrow"/>
                <w:bCs/>
                <w:iCs/>
                <w:sz w:val="20"/>
              </w:rPr>
              <w:t>NA</w:t>
            </w:r>
          </w:p>
        </w:tc>
        <w:tc>
          <w:tcPr>
            <w:tcW w:w="429" w:type="dxa"/>
            <w:tcBorders>
              <w:bottom w:val="dashSmallGap" w:sz="4" w:space="0" w:color="auto"/>
            </w:tcBorders>
            <w:shd w:val="clear" w:color="auto" w:fill="auto"/>
            <w:vAlign w:val="center"/>
          </w:tcPr>
          <w:p w:rsidR="008605C0" w:rsidRPr="00961B75" w:rsidRDefault="008605C0" w:rsidP="004611DA">
            <w:pPr>
              <w:keepLines/>
              <w:widowControl/>
              <w:jc w:val="center"/>
              <w:rPr>
                <w:rFonts w:ascii="Arial Narrow" w:hAnsi="Arial Narrow"/>
                <w:bCs/>
                <w:sz w:val="20"/>
              </w:rPr>
            </w:pPr>
            <w:r w:rsidRPr="00961B75">
              <w:rPr>
                <w:rFonts w:ascii="Arial Narrow" w:hAnsi="Arial Narrow"/>
                <w:bCs/>
                <w:sz w:val="20"/>
              </w:rPr>
              <w:t>B3</w:t>
            </w:r>
          </w:p>
        </w:tc>
        <w:tc>
          <w:tcPr>
            <w:tcW w:w="406" w:type="dxa"/>
            <w:tcBorders>
              <w:bottom w:val="dashSmallGap" w:sz="4" w:space="0" w:color="auto"/>
            </w:tcBorders>
            <w:shd w:val="clear" w:color="auto" w:fill="auto"/>
            <w:vAlign w:val="center"/>
          </w:tcPr>
          <w:p w:rsidR="008605C0" w:rsidRPr="00961B75" w:rsidRDefault="008605C0" w:rsidP="004611DA">
            <w:pPr>
              <w:keepLines/>
              <w:widowControl/>
              <w:jc w:val="center"/>
              <w:rPr>
                <w:rFonts w:ascii="Arial Narrow" w:hAnsi="Arial Narrow"/>
                <w:bCs/>
                <w:sz w:val="20"/>
              </w:rPr>
            </w:pPr>
            <w:r w:rsidRPr="00961B75">
              <w:rPr>
                <w:rFonts w:ascii="Arial Narrow" w:hAnsi="Arial Narrow"/>
                <w:bCs/>
                <w:sz w:val="20"/>
              </w:rPr>
              <w:t>19</w:t>
            </w:r>
          </w:p>
        </w:tc>
        <w:tc>
          <w:tcPr>
            <w:tcW w:w="565" w:type="dxa"/>
            <w:tcBorders>
              <w:bottom w:val="dashSmallGap" w:sz="4" w:space="0" w:color="auto"/>
            </w:tcBorders>
            <w:shd w:val="clear" w:color="auto" w:fill="auto"/>
            <w:vAlign w:val="center"/>
          </w:tcPr>
          <w:p w:rsidR="008605C0" w:rsidRPr="00961B75" w:rsidRDefault="008605C0" w:rsidP="004611DA">
            <w:pPr>
              <w:keepLines/>
              <w:widowControl/>
              <w:jc w:val="center"/>
              <w:rPr>
                <w:rFonts w:ascii="Arial Narrow" w:hAnsi="Arial Narrow"/>
                <w:bCs/>
                <w:sz w:val="20"/>
              </w:rPr>
            </w:pPr>
            <w:r w:rsidRPr="00961B75">
              <w:rPr>
                <w:rFonts w:ascii="Arial Narrow" w:hAnsi="Arial Narrow"/>
                <w:bCs/>
                <w:sz w:val="20"/>
              </w:rPr>
              <w:t>4, 5, 6</w:t>
            </w:r>
          </w:p>
        </w:tc>
        <w:tc>
          <w:tcPr>
            <w:tcW w:w="798" w:type="dxa"/>
            <w:tcBorders>
              <w:bottom w:val="dashSmallGap" w:sz="4" w:space="0" w:color="auto"/>
            </w:tcBorders>
            <w:shd w:val="clear" w:color="auto" w:fill="auto"/>
            <w:vAlign w:val="center"/>
          </w:tcPr>
          <w:p w:rsidR="008605C0" w:rsidRPr="00961B75" w:rsidRDefault="008605C0" w:rsidP="004611DA">
            <w:pPr>
              <w:keepLines/>
              <w:widowControl/>
              <w:jc w:val="center"/>
              <w:rPr>
                <w:rFonts w:ascii="Arial Narrow" w:hAnsi="Arial Narrow"/>
                <w:bCs/>
                <w:sz w:val="20"/>
              </w:rPr>
            </w:pPr>
            <w:r w:rsidRPr="00961B75">
              <w:rPr>
                <w:rFonts w:ascii="Arial Narrow" w:hAnsi="Arial Narrow"/>
                <w:bCs/>
                <w:sz w:val="20"/>
              </w:rPr>
              <w:t>No</w:t>
            </w:r>
          </w:p>
        </w:tc>
        <w:tc>
          <w:tcPr>
            <w:tcW w:w="1063" w:type="dxa"/>
            <w:tcBorders>
              <w:bottom w:val="dashSmallGap" w:sz="4" w:space="0" w:color="auto"/>
            </w:tcBorders>
            <w:shd w:val="clear" w:color="auto" w:fill="auto"/>
            <w:vAlign w:val="center"/>
          </w:tcPr>
          <w:p w:rsidR="008605C0" w:rsidRPr="00961B75" w:rsidRDefault="008605C0" w:rsidP="004611DA">
            <w:pPr>
              <w:keepLines/>
              <w:widowControl/>
              <w:jc w:val="center"/>
              <w:rPr>
                <w:rFonts w:ascii="Arial Narrow" w:hAnsi="Arial Narrow"/>
                <w:bCs/>
                <w:sz w:val="20"/>
              </w:rPr>
            </w:pPr>
            <w:r w:rsidRPr="00961B75">
              <w:rPr>
                <w:rFonts w:ascii="Arial Narrow" w:hAnsi="Arial Narrow"/>
                <w:sz w:val="20"/>
              </w:rPr>
              <w:t>Naïve</w:t>
            </w:r>
          </w:p>
        </w:tc>
        <w:tc>
          <w:tcPr>
            <w:tcW w:w="901" w:type="dxa"/>
            <w:tcBorders>
              <w:bottom w:val="dashSmallGap" w:sz="4" w:space="0" w:color="auto"/>
            </w:tcBorders>
            <w:shd w:val="clear" w:color="auto" w:fill="auto"/>
            <w:vAlign w:val="center"/>
          </w:tcPr>
          <w:p w:rsidR="008605C0" w:rsidRPr="00961B75" w:rsidRDefault="008605C0" w:rsidP="004611DA">
            <w:pPr>
              <w:keepLines/>
              <w:widowControl/>
              <w:jc w:val="center"/>
              <w:rPr>
                <w:rFonts w:ascii="Arial Narrow" w:hAnsi="Arial Narrow"/>
                <w:bCs/>
                <w:sz w:val="20"/>
              </w:rPr>
            </w:pPr>
            <w:r w:rsidRPr="00961B75">
              <w:rPr>
                <w:rFonts w:ascii="Arial Narrow" w:hAnsi="Arial Narrow"/>
                <w:sz w:val="20"/>
                <w:szCs w:val="16"/>
              </w:rPr>
              <w:t>GRZ/EBR</w:t>
            </w:r>
          </w:p>
        </w:tc>
        <w:tc>
          <w:tcPr>
            <w:tcW w:w="742" w:type="dxa"/>
            <w:tcBorders>
              <w:bottom w:val="dashSmallGap" w:sz="4" w:space="0" w:color="auto"/>
            </w:tcBorders>
            <w:shd w:val="clear" w:color="auto" w:fill="auto"/>
            <w:vAlign w:val="center"/>
          </w:tcPr>
          <w:p w:rsidR="008605C0" w:rsidRPr="00961B75" w:rsidRDefault="008605C0" w:rsidP="004611DA">
            <w:pPr>
              <w:keepLines/>
              <w:widowControl/>
              <w:jc w:val="center"/>
              <w:rPr>
                <w:rFonts w:ascii="Arial Narrow" w:hAnsi="Arial Narrow"/>
                <w:sz w:val="20"/>
              </w:rPr>
            </w:pPr>
            <w:r w:rsidRPr="00961B75">
              <w:rPr>
                <w:rFonts w:ascii="Arial Narrow" w:hAnsi="Arial Narrow"/>
                <w:sz w:val="20"/>
              </w:rPr>
              <w:t>12</w:t>
            </w:r>
          </w:p>
        </w:tc>
        <w:tc>
          <w:tcPr>
            <w:tcW w:w="742" w:type="dxa"/>
            <w:vMerge w:val="restart"/>
            <w:shd w:val="clear" w:color="auto" w:fill="auto"/>
            <w:vAlign w:val="center"/>
          </w:tcPr>
          <w:p w:rsidR="008605C0" w:rsidRPr="00961B75" w:rsidRDefault="008605C0" w:rsidP="004611DA">
            <w:pPr>
              <w:keepLines/>
              <w:widowControl/>
              <w:jc w:val="center"/>
              <w:rPr>
                <w:rFonts w:ascii="Arial Narrow" w:hAnsi="Arial Narrow"/>
                <w:sz w:val="20"/>
              </w:rPr>
            </w:pPr>
            <w:r w:rsidRPr="00961B75">
              <w:rPr>
                <w:rFonts w:ascii="Arial Narrow" w:hAnsi="Arial Narrow"/>
                <w:smallCaps/>
                <w:sz w:val="20"/>
              </w:rPr>
              <w:t>SVR12</w:t>
            </w:r>
          </w:p>
        </w:tc>
      </w:tr>
      <w:tr w:rsidR="008605C0" w:rsidRPr="00961B75" w:rsidTr="008605C0">
        <w:trPr>
          <w:cantSplit/>
        </w:trPr>
        <w:tc>
          <w:tcPr>
            <w:tcW w:w="952" w:type="dxa"/>
            <w:tcBorders>
              <w:top w:val="dashSmallGap" w:sz="4" w:space="0" w:color="auto"/>
              <w:bottom w:val="single" w:sz="4" w:space="0" w:color="auto"/>
            </w:tcBorders>
            <w:shd w:val="clear" w:color="auto" w:fill="auto"/>
            <w:vAlign w:val="center"/>
          </w:tcPr>
          <w:p w:rsidR="008605C0" w:rsidRPr="00961B75" w:rsidRDefault="008605C0" w:rsidP="004611DA">
            <w:pPr>
              <w:keepLines/>
              <w:widowControl/>
              <w:ind w:left="76"/>
              <w:jc w:val="left"/>
              <w:rPr>
                <w:rFonts w:ascii="Arial Narrow" w:hAnsi="Arial Narrow"/>
                <w:sz w:val="20"/>
                <w:szCs w:val="16"/>
              </w:rPr>
            </w:pPr>
            <w:proofErr w:type="spellStart"/>
            <w:r w:rsidRPr="00961B75">
              <w:rPr>
                <w:rFonts w:ascii="Arial Narrow" w:hAnsi="Arial Narrow"/>
                <w:sz w:val="20"/>
                <w:szCs w:val="16"/>
              </w:rPr>
              <w:t>Gt</w:t>
            </w:r>
            <w:proofErr w:type="spellEnd"/>
            <w:r w:rsidRPr="00961B75">
              <w:rPr>
                <w:rFonts w:ascii="Arial Narrow" w:hAnsi="Arial Narrow"/>
                <w:sz w:val="20"/>
                <w:szCs w:val="16"/>
              </w:rPr>
              <w:t xml:space="preserve"> 4 </w:t>
            </w:r>
            <w:proofErr w:type="spellStart"/>
            <w:r w:rsidRPr="00961B75">
              <w:rPr>
                <w:rFonts w:ascii="Arial Narrow" w:hAnsi="Arial Narrow"/>
                <w:sz w:val="20"/>
                <w:szCs w:val="16"/>
              </w:rPr>
              <w:t>subgp</w:t>
            </w:r>
            <w:proofErr w:type="spellEnd"/>
          </w:p>
        </w:tc>
        <w:tc>
          <w:tcPr>
            <w:tcW w:w="352" w:type="dxa"/>
            <w:shd w:val="clear" w:color="auto" w:fill="auto"/>
            <w:vAlign w:val="center"/>
          </w:tcPr>
          <w:p w:rsidR="008605C0" w:rsidRPr="00961B75" w:rsidRDefault="008605C0" w:rsidP="004611DA">
            <w:pPr>
              <w:keepLines/>
              <w:widowControl/>
              <w:jc w:val="center"/>
              <w:rPr>
                <w:rFonts w:ascii="Arial Narrow" w:hAnsi="Arial Narrow"/>
                <w:bCs/>
                <w:sz w:val="20"/>
              </w:rPr>
            </w:pPr>
            <w:r w:rsidRPr="00961B75">
              <w:rPr>
                <w:rFonts w:ascii="Arial Narrow" w:hAnsi="Arial Narrow"/>
                <w:bCs/>
                <w:sz w:val="20"/>
              </w:rPr>
              <w:t>20</w:t>
            </w:r>
          </w:p>
        </w:tc>
        <w:tc>
          <w:tcPr>
            <w:tcW w:w="992" w:type="dxa"/>
            <w:vMerge/>
            <w:shd w:val="clear" w:color="auto" w:fill="auto"/>
            <w:vAlign w:val="center"/>
          </w:tcPr>
          <w:p w:rsidR="008605C0" w:rsidRPr="00961B75" w:rsidRDefault="008605C0" w:rsidP="004611DA">
            <w:pPr>
              <w:keepLines/>
              <w:widowControl/>
              <w:jc w:val="center"/>
              <w:rPr>
                <w:rFonts w:ascii="Arial Narrow" w:hAnsi="Arial Narrow"/>
                <w:bCs/>
                <w:sz w:val="20"/>
              </w:rPr>
            </w:pPr>
          </w:p>
        </w:tc>
        <w:tc>
          <w:tcPr>
            <w:tcW w:w="630" w:type="dxa"/>
            <w:vMerge/>
            <w:shd w:val="clear" w:color="auto" w:fill="auto"/>
            <w:vAlign w:val="center"/>
          </w:tcPr>
          <w:p w:rsidR="008605C0" w:rsidRPr="00961B75" w:rsidRDefault="008605C0" w:rsidP="004611DA">
            <w:pPr>
              <w:keepLines/>
              <w:widowControl/>
              <w:jc w:val="center"/>
              <w:rPr>
                <w:rFonts w:ascii="Arial Narrow" w:hAnsi="Arial Narrow"/>
                <w:bCs/>
                <w:iCs/>
                <w:sz w:val="20"/>
              </w:rPr>
            </w:pPr>
          </w:p>
        </w:tc>
        <w:tc>
          <w:tcPr>
            <w:tcW w:w="429" w:type="dxa"/>
            <w:tcBorders>
              <w:top w:val="dashSmallGap" w:sz="4" w:space="0" w:color="auto"/>
              <w:bottom w:val="single" w:sz="4" w:space="0" w:color="auto"/>
            </w:tcBorders>
            <w:shd w:val="clear" w:color="auto" w:fill="D9D9D9" w:themeFill="background1" w:themeFillShade="D9"/>
            <w:vAlign w:val="center"/>
          </w:tcPr>
          <w:p w:rsidR="008605C0" w:rsidRPr="00961B75" w:rsidRDefault="008605C0" w:rsidP="004611DA">
            <w:pPr>
              <w:keepLines/>
              <w:widowControl/>
              <w:jc w:val="center"/>
              <w:rPr>
                <w:rFonts w:ascii="Arial Narrow" w:hAnsi="Arial Narrow"/>
                <w:bCs/>
                <w:sz w:val="20"/>
              </w:rPr>
            </w:pPr>
            <w:r w:rsidRPr="00961B75">
              <w:rPr>
                <w:rFonts w:ascii="Arial Narrow" w:hAnsi="Arial Narrow"/>
                <w:bCs/>
                <w:sz w:val="20"/>
              </w:rPr>
              <w:t>B3</w:t>
            </w:r>
          </w:p>
        </w:tc>
        <w:tc>
          <w:tcPr>
            <w:tcW w:w="406" w:type="dxa"/>
            <w:tcBorders>
              <w:top w:val="dashSmallGap" w:sz="4" w:space="0" w:color="auto"/>
              <w:bottom w:val="single" w:sz="4" w:space="0" w:color="auto"/>
            </w:tcBorders>
            <w:shd w:val="clear" w:color="auto" w:fill="D9D9D9" w:themeFill="background1" w:themeFillShade="D9"/>
            <w:vAlign w:val="center"/>
          </w:tcPr>
          <w:p w:rsidR="008605C0" w:rsidRPr="00961B75" w:rsidRDefault="008605C0" w:rsidP="004611DA">
            <w:pPr>
              <w:keepLines/>
              <w:widowControl/>
              <w:jc w:val="center"/>
              <w:rPr>
                <w:rFonts w:ascii="Arial Narrow" w:hAnsi="Arial Narrow"/>
                <w:bCs/>
                <w:sz w:val="20"/>
              </w:rPr>
            </w:pPr>
            <w:r w:rsidRPr="00961B75">
              <w:rPr>
                <w:rFonts w:ascii="Arial Narrow" w:hAnsi="Arial Narrow"/>
                <w:bCs/>
                <w:sz w:val="20"/>
              </w:rPr>
              <w:t>10</w:t>
            </w:r>
          </w:p>
        </w:tc>
        <w:tc>
          <w:tcPr>
            <w:tcW w:w="565" w:type="dxa"/>
            <w:tcBorders>
              <w:top w:val="dashSmallGap" w:sz="4" w:space="0" w:color="auto"/>
              <w:bottom w:val="single" w:sz="4" w:space="0" w:color="auto"/>
            </w:tcBorders>
            <w:shd w:val="clear" w:color="auto" w:fill="D9D9D9" w:themeFill="background1" w:themeFillShade="D9"/>
            <w:vAlign w:val="center"/>
          </w:tcPr>
          <w:p w:rsidR="008605C0" w:rsidRPr="00961B75" w:rsidRDefault="008605C0" w:rsidP="004611DA">
            <w:pPr>
              <w:keepLines/>
              <w:widowControl/>
              <w:jc w:val="center"/>
              <w:rPr>
                <w:rFonts w:ascii="Arial Narrow" w:hAnsi="Arial Narrow"/>
                <w:bCs/>
                <w:sz w:val="20"/>
              </w:rPr>
            </w:pPr>
            <w:r w:rsidRPr="00961B75">
              <w:rPr>
                <w:rFonts w:ascii="Arial Narrow" w:hAnsi="Arial Narrow"/>
                <w:bCs/>
                <w:sz w:val="20"/>
              </w:rPr>
              <w:t>4</w:t>
            </w:r>
          </w:p>
        </w:tc>
        <w:tc>
          <w:tcPr>
            <w:tcW w:w="798" w:type="dxa"/>
            <w:tcBorders>
              <w:top w:val="dashSmallGap" w:sz="4" w:space="0" w:color="auto"/>
              <w:bottom w:val="single" w:sz="4" w:space="0" w:color="auto"/>
            </w:tcBorders>
            <w:shd w:val="clear" w:color="auto" w:fill="D9D9D9" w:themeFill="background1" w:themeFillShade="D9"/>
            <w:vAlign w:val="center"/>
          </w:tcPr>
          <w:p w:rsidR="008605C0" w:rsidRPr="00961B75" w:rsidRDefault="008605C0" w:rsidP="004611DA">
            <w:pPr>
              <w:keepLines/>
              <w:widowControl/>
              <w:jc w:val="center"/>
              <w:rPr>
                <w:rFonts w:ascii="Arial Narrow" w:hAnsi="Arial Narrow"/>
                <w:bCs/>
                <w:sz w:val="20"/>
              </w:rPr>
            </w:pPr>
            <w:r w:rsidRPr="00961B75">
              <w:rPr>
                <w:rFonts w:ascii="Arial Narrow" w:hAnsi="Arial Narrow"/>
                <w:bCs/>
                <w:sz w:val="20"/>
              </w:rPr>
              <w:t>No</w:t>
            </w:r>
          </w:p>
        </w:tc>
        <w:tc>
          <w:tcPr>
            <w:tcW w:w="1063" w:type="dxa"/>
            <w:tcBorders>
              <w:top w:val="dashSmallGap" w:sz="4" w:space="0" w:color="auto"/>
              <w:bottom w:val="single" w:sz="4" w:space="0" w:color="auto"/>
            </w:tcBorders>
            <w:shd w:val="clear" w:color="auto" w:fill="D9D9D9" w:themeFill="background1" w:themeFillShade="D9"/>
            <w:vAlign w:val="center"/>
          </w:tcPr>
          <w:p w:rsidR="008605C0" w:rsidRPr="00961B75" w:rsidRDefault="008605C0" w:rsidP="004611DA">
            <w:pPr>
              <w:keepLines/>
              <w:widowControl/>
              <w:jc w:val="center"/>
              <w:rPr>
                <w:rFonts w:ascii="Arial Narrow" w:hAnsi="Arial Narrow"/>
                <w:sz w:val="20"/>
              </w:rPr>
            </w:pPr>
            <w:r w:rsidRPr="00961B75">
              <w:rPr>
                <w:rFonts w:ascii="Arial Narrow" w:hAnsi="Arial Narrow"/>
                <w:sz w:val="20"/>
              </w:rPr>
              <w:t>Naïve</w:t>
            </w:r>
          </w:p>
        </w:tc>
        <w:tc>
          <w:tcPr>
            <w:tcW w:w="901" w:type="dxa"/>
            <w:tcBorders>
              <w:top w:val="dashSmallGap" w:sz="4" w:space="0" w:color="auto"/>
              <w:bottom w:val="single" w:sz="4" w:space="0" w:color="auto"/>
            </w:tcBorders>
            <w:shd w:val="clear" w:color="auto" w:fill="D9D9D9" w:themeFill="background1" w:themeFillShade="D9"/>
            <w:vAlign w:val="center"/>
          </w:tcPr>
          <w:p w:rsidR="008605C0" w:rsidRPr="00961B75" w:rsidRDefault="008605C0" w:rsidP="004611DA">
            <w:pPr>
              <w:keepLines/>
              <w:widowControl/>
              <w:jc w:val="center"/>
              <w:rPr>
                <w:rFonts w:ascii="Arial Narrow" w:hAnsi="Arial Narrow"/>
                <w:sz w:val="20"/>
                <w:szCs w:val="16"/>
              </w:rPr>
            </w:pPr>
            <w:r w:rsidRPr="00961B75">
              <w:rPr>
                <w:rFonts w:ascii="Arial Narrow" w:hAnsi="Arial Narrow"/>
                <w:sz w:val="20"/>
                <w:szCs w:val="16"/>
              </w:rPr>
              <w:t>GRZ/EBR</w:t>
            </w:r>
          </w:p>
        </w:tc>
        <w:tc>
          <w:tcPr>
            <w:tcW w:w="742" w:type="dxa"/>
            <w:tcBorders>
              <w:top w:val="dashSmallGap" w:sz="4" w:space="0" w:color="auto"/>
              <w:bottom w:val="single" w:sz="4" w:space="0" w:color="auto"/>
            </w:tcBorders>
            <w:shd w:val="clear" w:color="auto" w:fill="D9D9D9" w:themeFill="background1" w:themeFillShade="D9"/>
            <w:vAlign w:val="center"/>
          </w:tcPr>
          <w:p w:rsidR="008605C0" w:rsidRPr="00961B75" w:rsidRDefault="008605C0" w:rsidP="004611DA">
            <w:pPr>
              <w:keepLines/>
              <w:widowControl/>
              <w:jc w:val="center"/>
              <w:rPr>
                <w:rFonts w:ascii="Arial Narrow" w:hAnsi="Arial Narrow"/>
                <w:sz w:val="20"/>
              </w:rPr>
            </w:pPr>
            <w:r w:rsidRPr="00961B75">
              <w:rPr>
                <w:rFonts w:ascii="Arial Narrow" w:hAnsi="Arial Narrow"/>
                <w:sz w:val="20"/>
              </w:rPr>
              <w:t>12</w:t>
            </w:r>
          </w:p>
        </w:tc>
        <w:tc>
          <w:tcPr>
            <w:tcW w:w="742" w:type="dxa"/>
            <w:vMerge/>
            <w:vAlign w:val="center"/>
          </w:tcPr>
          <w:p w:rsidR="008605C0" w:rsidRPr="00961B75" w:rsidRDefault="008605C0" w:rsidP="004611DA">
            <w:pPr>
              <w:keepLines/>
              <w:widowControl/>
              <w:jc w:val="center"/>
              <w:rPr>
                <w:rFonts w:ascii="Arial Narrow" w:hAnsi="Arial Narrow"/>
                <w:smallCaps/>
                <w:sz w:val="20"/>
              </w:rPr>
            </w:pPr>
          </w:p>
        </w:tc>
      </w:tr>
      <w:tr w:rsidR="008605C0" w:rsidRPr="00961B75" w:rsidTr="008605C0">
        <w:trPr>
          <w:cantSplit/>
        </w:trPr>
        <w:tc>
          <w:tcPr>
            <w:tcW w:w="952" w:type="dxa"/>
            <w:vMerge w:val="restart"/>
            <w:tcBorders>
              <w:top w:val="single" w:sz="4" w:space="0" w:color="auto"/>
            </w:tcBorders>
            <w:shd w:val="clear" w:color="auto" w:fill="auto"/>
            <w:vAlign w:val="center"/>
          </w:tcPr>
          <w:p w:rsidR="008605C0" w:rsidRPr="00961B75" w:rsidRDefault="008605C0" w:rsidP="004611DA">
            <w:pPr>
              <w:keepLines/>
              <w:widowControl/>
              <w:ind w:left="-33"/>
              <w:jc w:val="left"/>
              <w:rPr>
                <w:rFonts w:ascii="Arial Narrow" w:hAnsi="Arial Narrow"/>
                <w:iCs/>
                <w:sz w:val="20"/>
                <w:szCs w:val="16"/>
              </w:rPr>
            </w:pPr>
            <w:r w:rsidRPr="00961B75">
              <w:rPr>
                <w:rFonts w:ascii="Arial Narrow" w:hAnsi="Arial Narrow"/>
                <w:iCs/>
                <w:sz w:val="20"/>
                <w:szCs w:val="16"/>
              </w:rPr>
              <w:t>C-EDGE CO-</w:t>
            </w:r>
            <w:proofErr w:type="spellStart"/>
            <w:r w:rsidRPr="00961B75">
              <w:rPr>
                <w:rFonts w:ascii="Arial Narrow" w:hAnsi="Arial Narrow"/>
                <w:iCs/>
                <w:sz w:val="20"/>
                <w:szCs w:val="16"/>
              </w:rPr>
              <w:t>STAR</w:t>
            </w:r>
            <w:r w:rsidR="00BF312E" w:rsidRPr="00961B75">
              <w:rPr>
                <w:rFonts w:ascii="Arial Narrow" w:hAnsi="Arial Narrow"/>
                <w:b/>
                <w:iCs/>
                <w:sz w:val="20"/>
                <w:vertAlign w:val="superscript"/>
              </w:rPr>
              <w:t>d</w:t>
            </w:r>
            <w:proofErr w:type="spellEnd"/>
          </w:p>
        </w:tc>
        <w:tc>
          <w:tcPr>
            <w:tcW w:w="352" w:type="dxa"/>
            <w:vMerge w:val="restart"/>
            <w:shd w:val="clear" w:color="auto" w:fill="auto"/>
            <w:vAlign w:val="center"/>
          </w:tcPr>
          <w:p w:rsidR="008605C0" w:rsidRPr="00961B75" w:rsidRDefault="008605C0" w:rsidP="004611DA">
            <w:pPr>
              <w:keepLines/>
              <w:widowControl/>
              <w:jc w:val="center"/>
              <w:rPr>
                <w:rFonts w:ascii="Arial Narrow" w:hAnsi="Arial Narrow"/>
                <w:bCs/>
                <w:iCs/>
                <w:sz w:val="20"/>
              </w:rPr>
            </w:pPr>
            <w:r w:rsidRPr="00961B75">
              <w:rPr>
                <w:rFonts w:ascii="Arial Narrow" w:hAnsi="Arial Narrow"/>
                <w:bCs/>
                <w:iCs/>
                <w:sz w:val="20"/>
              </w:rPr>
              <w:t>301</w:t>
            </w:r>
          </w:p>
        </w:tc>
        <w:tc>
          <w:tcPr>
            <w:tcW w:w="992" w:type="dxa"/>
            <w:vMerge w:val="restart"/>
            <w:shd w:val="clear" w:color="auto" w:fill="auto"/>
            <w:vAlign w:val="center"/>
          </w:tcPr>
          <w:p w:rsidR="008605C0" w:rsidRPr="00961B75" w:rsidRDefault="008605C0" w:rsidP="004611DA">
            <w:pPr>
              <w:keepLines/>
              <w:widowControl/>
              <w:jc w:val="center"/>
              <w:rPr>
                <w:rFonts w:ascii="Arial Narrow" w:hAnsi="Arial Narrow"/>
                <w:bCs/>
                <w:iCs/>
                <w:sz w:val="20"/>
              </w:rPr>
            </w:pPr>
            <w:r w:rsidRPr="00961B75">
              <w:rPr>
                <w:rFonts w:ascii="Arial Narrow" w:hAnsi="Arial Narrow"/>
                <w:bCs/>
                <w:iCs/>
                <w:sz w:val="20"/>
              </w:rPr>
              <w:t xml:space="preserve">R, DB, MC </w:t>
            </w:r>
          </w:p>
          <w:p w:rsidR="008605C0" w:rsidRPr="00961B75" w:rsidRDefault="008605C0" w:rsidP="004611DA">
            <w:pPr>
              <w:keepLines/>
              <w:widowControl/>
              <w:jc w:val="center"/>
              <w:rPr>
                <w:rFonts w:ascii="Arial Narrow" w:hAnsi="Arial Narrow"/>
                <w:bCs/>
                <w:iCs/>
                <w:sz w:val="20"/>
              </w:rPr>
            </w:pPr>
            <w:r w:rsidRPr="00961B75">
              <w:rPr>
                <w:rFonts w:ascii="Arial Narrow" w:hAnsi="Arial Narrow"/>
                <w:bCs/>
                <w:iCs/>
                <w:sz w:val="20"/>
              </w:rPr>
              <w:t xml:space="preserve">(deferred </w:t>
            </w:r>
            <w:proofErr w:type="spellStart"/>
            <w:r w:rsidRPr="00961B75">
              <w:rPr>
                <w:rFonts w:ascii="Arial Narrow" w:hAnsi="Arial Narrow"/>
                <w:bCs/>
                <w:iCs/>
                <w:sz w:val="20"/>
              </w:rPr>
              <w:t>Tx</w:t>
            </w:r>
            <w:proofErr w:type="spellEnd"/>
            <w:r w:rsidRPr="00961B75">
              <w:rPr>
                <w:rFonts w:ascii="Arial Narrow" w:hAnsi="Arial Narrow"/>
                <w:bCs/>
                <w:iCs/>
                <w:sz w:val="20"/>
              </w:rPr>
              <w:t>– OL CO for PBO for DTG)</w:t>
            </w:r>
          </w:p>
        </w:tc>
        <w:tc>
          <w:tcPr>
            <w:tcW w:w="630" w:type="dxa"/>
            <w:vMerge w:val="restart"/>
            <w:shd w:val="clear" w:color="auto" w:fill="auto"/>
            <w:vAlign w:val="center"/>
          </w:tcPr>
          <w:p w:rsidR="008605C0" w:rsidRPr="00961B75" w:rsidRDefault="008605C0" w:rsidP="004611DA">
            <w:pPr>
              <w:keepLines/>
              <w:widowControl/>
              <w:jc w:val="center"/>
              <w:rPr>
                <w:rFonts w:ascii="Arial Narrow" w:hAnsi="Arial Narrow"/>
                <w:bCs/>
                <w:iCs/>
                <w:sz w:val="20"/>
              </w:rPr>
            </w:pPr>
            <w:r w:rsidRPr="00961B75">
              <w:rPr>
                <w:rFonts w:ascii="Arial Narrow" w:hAnsi="Arial Narrow"/>
                <w:bCs/>
                <w:iCs/>
                <w:sz w:val="20"/>
              </w:rPr>
              <w:t>NA</w:t>
            </w:r>
          </w:p>
        </w:tc>
        <w:tc>
          <w:tcPr>
            <w:tcW w:w="429" w:type="dxa"/>
            <w:tcBorders>
              <w:top w:val="single" w:sz="4" w:space="0" w:color="auto"/>
              <w:bottom w:val="single" w:sz="4" w:space="0" w:color="auto"/>
            </w:tcBorders>
            <w:shd w:val="clear" w:color="auto" w:fill="auto"/>
            <w:vAlign w:val="center"/>
          </w:tcPr>
          <w:p w:rsidR="008605C0" w:rsidRPr="00961B75" w:rsidRDefault="008605C0" w:rsidP="004611DA">
            <w:pPr>
              <w:keepLines/>
              <w:widowControl/>
              <w:jc w:val="center"/>
              <w:rPr>
                <w:rFonts w:ascii="Arial Narrow" w:hAnsi="Arial Narrow"/>
                <w:bCs/>
                <w:iCs/>
                <w:sz w:val="20"/>
              </w:rPr>
            </w:pPr>
            <w:r w:rsidRPr="00961B75">
              <w:rPr>
                <w:rFonts w:ascii="Arial Narrow" w:hAnsi="Arial Narrow"/>
                <w:bCs/>
                <w:iCs/>
                <w:sz w:val="20"/>
              </w:rPr>
              <w:t>-</w:t>
            </w:r>
          </w:p>
        </w:tc>
        <w:tc>
          <w:tcPr>
            <w:tcW w:w="406" w:type="dxa"/>
            <w:tcBorders>
              <w:top w:val="single" w:sz="4" w:space="0" w:color="auto"/>
              <w:bottom w:val="single" w:sz="4" w:space="0" w:color="auto"/>
            </w:tcBorders>
            <w:shd w:val="clear" w:color="auto" w:fill="auto"/>
            <w:vAlign w:val="center"/>
          </w:tcPr>
          <w:p w:rsidR="008605C0" w:rsidRPr="00961B75" w:rsidRDefault="008605C0" w:rsidP="004611DA">
            <w:pPr>
              <w:keepLines/>
              <w:widowControl/>
              <w:jc w:val="center"/>
              <w:rPr>
                <w:rFonts w:ascii="Arial Narrow" w:hAnsi="Arial Narrow"/>
                <w:bCs/>
                <w:iCs/>
                <w:sz w:val="20"/>
              </w:rPr>
            </w:pPr>
            <w:r w:rsidRPr="00961B75">
              <w:rPr>
                <w:rFonts w:ascii="Arial Narrow" w:hAnsi="Arial Narrow"/>
                <w:bCs/>
                <w:iCs/>
                <w:sz w:val="20"/>
              </w:rPr>
              <w:t>-</w:t>
            </w:r>
          </w:p>
        </w:tc>
        <w:tc>
          <w:tcPr>
            <w:tcW w:w="2426" w:type="dxa"/>
            <w:gridSpan w:val="3"/>
            <w:tcBorders>
              <w:top w:val="single" w:sz="4" w:space="0" w:color="auto"/>
              <w:bottom w:val="single" w:sz="4" w:space="0" w:color="auto"/>
            </w:tcBorders>
            <w:shd w:val="clear" w:color="auto" w:fill="auto"/>
            <w:vAlign w:val="center"/>
          </w:tcPr>
          <w:p w:rsidR="008605C0" w:rsidRPr="00961B75" w:rsidRDefault="008605C0" w:rsidP="004611DA">
            <w:pPr>
              <w:keepLines/>
              <w:widowControl/>
              <w:jc w:val="center"/>
              <w:rPr>
                <w:rFonts w:ascii="Arial Narrow" w:hAnsi="Arial Narrow"/>
                <w:iCs/>
                <w:sz w:val="20"/>
              </w:rPr>
            </w:pPr>
            <w:r w:rsidRPr="00961B75">
              <w:rPr>
                <w:rFonts w:ascii="Arial Narrow" w:hAnsi="Arial Narrow"/>
                <w:bCs/>
                <w:iCs/>
                <w:sz w:val="20"/>
              </w:rPr>
              <w:t>Persons who inject drugs</w:t>
            </w:r>
          </w:p>
        </w:tc>
        <w:tc>
          <w:tcPr>
            <w:tcW w:w="901" w:type="dxa"/>
            <w:tcBorders>
              <w:top w:val="single" w:sz="4" w:space="0" w:color="auto"/>
              <w:bottom w:val="single" w:sz="4" w:space="0" w:color="auto"/>
            </w:tcBorders>
            <w:shd w:val="clear" w:color="auto" w:fill="auto"/>
            <w:vAlign w:val="center"/>
          </w:tcPr>
          <w:p w:rsidR="008605C0" w:rsidRPr="00961B75" w:rsidRDefault="008605C0" w:rsidP="004611DA">
            <w:pPr>
              <w:keepLines/>
              <w:widowControl/>
              <w:jc w:val="center"/>
              <w:rPr>
                <w:rFonts w:ascii="Arial Narrow" w:hAnsi="Arial Narrow"/>
                <w:iCs/>
                <w:sz w:val="20"/>
                <w:szCs w:val="16"/>
              </w:rPr>
            </w:pPr>
            <w:r w:rsidRPr="00961B75">
              <w:rPr>
                <w:rFonts w:ascii="Arial Narrow" w:hAnsi="Arial Narrow"/>
                <w:iCs/>
                <w:sz w:val="20"/>
                <w:szCs w:val="16"/>
              </w:rPr>
              <w:t>-</w:t>
            </w:r>
          </w:p>
        </w:tc>
        <w:tc>
          <w:tcPr>
            <w:tcW w:w="742" w:type="dxa"/>
            <w:tcBorders>
              <w:top w:val="single" w:sz="4" w:space="0" w:color="auto"/>
              <w:bottom w:val="single" w:sz="4" w:space="0" w:color="auto"/>
            </w:tcBorders>
            <w:shd w:val="clear" w:color="auto" w:fill="auto"/>
            <w:vAlign w:val="center"/>
          </w:tcPr>
          <w:p w:rsidR="008605C0" w:rsidRPr="00961B75" w:rsidRDefault="008605C0" w:rsidP="004611DA">
            <w:pPr>
              <w:keepLines/>
              <w:widowControl/>
              <w:jc w:val="center"/>
              <w:rPr>
                <w:rFonts w:ascii="Arial Narrow" w:hAnsi="Arial Narrow"/>
                <w:iCs/>
                <w:sz w:val="20"/>
              </w:rPr>
            </w:pPr>
            <w:r w:rsidRPr="00961B75">
              <w:rPr>
                <w:rFonts w:ascii="Arial Narrow" w:hAnsi="Arial Narrow"/>
                <w:iCs/>
                <w:sz w:val="20"/>
              </w:rPr>
              <w:t>-</w:t>
            </w:r>
          </w:p>
        </w:tc>
        <w:tc>
          <w:tcPr>
            <w:tcW w:w="742" w:type="dxa"/>
            <w:vMerge w:val="restart"/>
            <w:shd w:val="clear" w:color="auto" w:fill="auto"/>
            <w:vAlign w:val="center"/>
          </w:tcPr>
          <w:p w:rsidR="008605C0" w:rsidRPr="00961B75" w:rsidRDefault="008605C0" w:rsidP="004611DA">
            <w:pPr>
              <w:keepLines/>
              <w:widowControl/>
              <w:jc w:val="center"/>
              <w:rPr>
                <w:rFonts w:ascii="Arial Narrow" w:hAnsi="Arial Narrow"/>
                <w:iCs/>
                <w:smallCaps/>
                <w:sz w:val="20"/>
              </w:rPr>
            </w:pPr>
            <w:r w:rsidRPr="00961B75">
              <w:rPr>
                <w:rFonts w:ascii="Arial Narrow" w:hAnsi="Arial Narrow"/>
                <w:iCs/>
                <w:smallCaps/>
                <w:sz w:val="20"/>
              </w:rPr>
              <w:t>SVR12</w:t>
            </w:r>
          </w:p>
        </w:tc>
      </w:tr>
      <w:tr w:rsidR="008605C0" w:rsidRPr="00961B75" w:rsidTr="008605C0">
        <w:trPr>
          <w:cantSplit/>
        </w:trPr>
        <w:tc>
          <w:tcPr>
            <w:tcW w:w="952" w:type="dxa"/>
            <w:vMerge/>
            <w:shd w:val="clear" w:color="auto" w:fill="auto"/>
            <w:vAlign w:val="center"/>
          </w:tcPr>
          <w:p w:rsidR="008605C0" w:rsidRPr="00961B75" w:rsidRDefault="008605C0" w:rsidP="004611DA">
            <w:pPr>
              <w:keepLines/>
              <w:widowControl/>
              <w:ind w:left="-33"/>
              <w:jc w:val="left"/>
              <w:rPr>
                <w:rFonts w:ascii="Arial Narrow" w:hAnsi="Arial Narrow"/>
                <w:iCs/>
                <w:sz w:val="20"/>
                <w:szCs w:val="16"/>
              </w:rPr>
            </w:pPr>
          </w:p>
        </w:tc>
        <w:tc>
          <w:tcPr>
            <w:tcW w:w="352" w:type="dxa"/>
            <w:vMerge/>
            <w:shd w:val="clear" w:color="auto" w:fill="auto"/>
            <w:vAlign w:val="center"/>
          </w:tcPr>
          <w:p w:rsidR="008605C0" w:rsidRPr="00961B75" w:rsidRDefault="008605C0" w:rsidP="004611DA">
            <w:pPr>
              <w:keepLines/>
              <w:widowControl/>
              <w:jc w:val="center"/>
              <w:rPr>
                <w:rFonts w:ascii="Arial Narrow" w:hAnsi="Arial Narrow"/>
                <w:bCs/>
                <w:iCs/>
                <w:sz w:val="20"/>
              </w:rPr>
            </w:pPr>
          </w:p>
        </w:tc>
        <w:tc>
          <w:tcPr>
            <w:tcW w:w="992" w:type="dxa"/>
            <w:vMerge/>
            <w:shd w:val="clear" w:color="auto" w:fill="auto"/>
            <w:vAlign w:val="center"/>
          </w:tcPr>
          <w:p w:rsidR="008605C0" w:rsidRPr="00961B75" w:rsidRDefault="008605C0" w:rsidP="004611DA">
            <w:pPr>
              <w:keepLines/>
              <w:widowControl/>
              <w:jc w:val="center"/>
              <w:rPr>
                <w:rFonts w:ascii="Arial Narrow" w:hAnsi="Arial Narrow"/>
                <w:bCs/>
                <w:iCs/>
                <w:sz w:val="20"/>
              </w:rPr>
            </w:pPr>
          </w:p>
        </w:tc>
        <w:tc>
          <w:tcPr>
            <w:tcW w:w="630" w:type="dxa"/>
            <w:vMerge/>
            <w:shd w:val="clear" w:color="auto" w:fill="auto"/>
            <w:vAlign w:val="center"/>
          </w:tcPr>
          <w:p w:rsidR="008605C0" w:rsidRPr="00961B75" w:rsidRDefault="008605C0" w:rsidP="004611DA">
            <w:pPr>
              <w:keepLines/>
              <w:widowControl/>
              <w:jc w:val="center"/>
              <w:rPr>
                <w:rFonts w:ascii="Arial Narrow" w:hAnsi="Arial Narrow"/>
                <w:bCs/>
                <w:iCs/>
                <w:sz w:val="20"/>
              </w:rPr>
            </w:pPr>
          </w:p>
        </w:tc>
        <w:tc>
          <w:tcPr>
            <w:tcW w:w="429" w:type="dxa"/>
            <w:tcBorders>
              <w:top w:val="single" w:sz="4" w:space="0" w:color="auto"/>
              <w:bottom w:val="dashSmallGap" w:sz="4" w:space="0" w:color="auto"/>
            </w:tcBorders>
            <w:shd w:val="clear" w:color="auto" w:fill="auto"/>
            <w:vAlign w:val="center"/>
          </w:tcPr>
          <w:p w:rsidR="008605C0" w:rsidRPr="00961B75" w:rsidRDefault="008605C0" w:rsidP="004611DA">
            <w:pPr>
              <w:keepLines/>
              <w:widowControl/>
              <w:jc w:val="center"/>
              <w:rPr>
                <w:rFonts w:ascii="Arial Narrow" w:hAnsi="Arial Narrow"/>
                <w:bCs/>
                <w:iCs/>
                <w:sz w:val="20"/>
              </w:rPr>
            </w:pPr>
            <w:r w:rsidRPr="00961B75">
              <w:rPr>
                <w:rFonts w:ascii="Arial Narrow" w:hAnsi="Arial Narrow"/>
                <w:bCs/>
                <w:iCs/>
                <w:sz w:val="20"/>
              </w:rPr>
              <w:t>ITG</w:t>
            </w:r>
          </w:p>
        </w:tc>
        <w:tc>
          <w:tcPr>
            <w:tcW w:w="406" w:type="dxa"/>
            <w:tcBorders>
              <w:top w:val="single" w:sz="4" w:space="0" w:color="auto"/>
              <w:bottom w:val="dashSmallGap" w:sz="4" w:space="0" w:color="auto"/>
            </w:tcBorders>
            <w:shd w:val="clear" w:color="auto" w:fill="auto"/>
            <w:vAlign w:val="center"/>
          </w:tcPr>
          <w:p w:rsidR="008605C0" w:rsidRPr="00961B75" w:rsidRDefault="008605C0" w:rsidP="004611DA">
            <w:pPr>
              <w:keepLines/>
              <w:widowControl/>
              <w:jc w:val="center"/>
              <w:rPr>
                <w:rFonts w:ascii="Arial Narrow" w:hAnsi="Arial Narrow"/>
                <w:bCs/>
                <w:iCs/>
                <w:sz w:val="20"/>
              </w:rPr>
            </w:pPr>
            <w:r w:rsidRPr="00961B75">
              <w:rPr>
                <w:rFonts w:ascii="Arial Narrow" w:hAnsi="Arial Narrow"/>
                <w:bCs/>
                <w:iCs/>
                <w:sz w:val="20"/>
              </w:rPr>
              <w:t>201</w:t>
            </w:r>
          </w:p>
        </w:tc>
        <w:tc>
          <w:tcPr>
            <w:tcW w:w="565" w:type="dxa"/>
            <w:tcBorders>
              <w:top w:val="single" w:sz="4" w:space="0" w:color="auto"/>
              <w:bottom w:val="dashSmallGap" w:sz="4" w:space="0" w:color="auto"/>
            </w:tcBorders>
            <w:shd w:val="clear" w:color="auto" w:fill="auto"/>
            <w:vAlign w:val="center"/>
          </w:tcPr>
          <w:p w:rsidR="008605C0" w:rsidRPr="00961B75" w:rsidRDefault="008605C0" w:rsidP="004611DA">
            <w:pPr>
              <w:keepLines/>
              <w:widowControl/>
              <w:jc w:val="center"/>
              <w:rPr>
                <w:rFonts w:ascii="Arial Narrow" w:hAnsi="Arial Narrow"/>
                <w:bCs/>
                <w:iCs/>
                <w:sz w:val="20"/>
              </w:rPr>
            </w:pPr>
            <w:r w:rsidRPr="00961B75">
              <w:rPr>
                <w:rFonts w:ascii="Arial Narrow" w:hAnsi="Arial Narrow"/>
                <w:bCs/>
                <w:iCs/>
                <w:sz w:val="20"/>
              </w:rPr>
              <w:t>1, 4, 6</w:t>
            </w:r>
          </w:p>
        </w:tc>
        <w:tc>
          <w:tcPr>
            <w:tcW w:w="798" w:type="dxa"/>
            <w:tcBorders>
              <w:top w:val="single" w:sz="4" w:space="0" w:color="auto"/>
              <w:bottom w:val="dashSmallGap" w:sz="4" w:space="0" w:color="auto"/>
            </w:tcBorders>
            <w:shd w:val="clear" w:color="auto" w:fill="auto"/>
            <w:vAlign w:val="center"/>
          </w:tcPr>
          <w:p w:rsidR="008605C0" w:rsidRPr="00961B75" w:rsidRDefault="008605C0" w:rsidP="004611DA">
            <w:pPr>
              <w:keepLines/>
              <w:widowControl/>
              <w:jc w:val="center"/>
              <w:rPr>
                <w:rFonts w:ascii="Arial Narrow" w:hAnsi="Arial Narrow"/>
                <w:bCs/>
                <w:iCs/>
                <w:sz w:val="20"/>
              </w:rPr>
            </w:pPr>
            <w:r w:rsidRPr="00961B75">
              <w:rPr>
                <w:rFonts w:ascii="Arial Narrow" w:hAnsi="Arial Narrow"/>
                <w:bCs/>
                <w:iCs/>
                <w:sz w:val="20"/>
              </w:rPr>
              <w:t>Mixed</w:t>
            </w:r>
          </w:p>
        </w:tc>
        <w:tc>
          <w:tcPr>
            <w:tcW w:w="1063" w:type="dxa"/>
            <w:tcBorders>
              <w:top w:val="single" w:sz="4" w:space="0" w:color="auto"/>
              <w:bottom w:val="dashSmallGap" w:sz="4" w:space="0" w:color="auto"/>
            </w:tcBorders>
            <w:shd w:val="clear" w:color="auto" w:fill="auto"/>
            <w:vAlign w:val="center"/>
          </w:tcPr>
          <w:p w:rsidR="008605C0" w:rsidRPr="00961B75" w:rsidRDefault="008605C0" w:rsidP="004611DA">
            <w:pPr>
              <w:keepLines/>
              <w:widowControl/>
              <w:jc w:val="center"/>
              <w:rPr>
                <w:rFonts w:ascii="Arial Narrow" w:hAnsi="Arial Narrow"/>
                <w:iCs/>
                <w:sz w:val="20"/>
              </w:rPr>
            </w:pPr>
            <w:r w:rsidRPr="00961B75">
              <w:rPr>
                <w:rFonts w:ascii="Arial Narrow" w:hAnsi="Arial Narrow"/>
                <w:iCs/>
                <w:sz w:val="20"/>
              </w:rPr>
              <w:t>Naïve</w:t>
            </w:r>
          </w:p>
        </w:tc>
        <w:tc>
          <w:tcPr>
            <w:tcW w:w="901" w:type="dxa"/>
            <w:tcBorders>
              <w:top w:val="single" w:sz="4" w:space="0" w:color="auto"/>
              <w:bottom w:val="dashSmallGap" w:sz="4" w:space="0" w:color="auto"/>
            </w:tcBorders>
            <w:shd w:val="clear" w:color="auto" w:fill="auto"/>
            <w:vAlign w:val="center"/>
          </w:tcPr>
          <w:p w:rsidR="008605C0" w:rsidRPr="00961B75" w:rsidRDefault="008605C0" w:rsidP="004611DA">
            <w:pPr>
              <w:keepLines/>
              <w:widowControl/>
              <w:jc w:val="center"/>
              <w:rPr>
                <w:rFonts w:ascii="Arial Narrow" w:hAnsi="Arial Narrow"/>
                <w:iCs/>
                <w:sz w:val="20"/>
                <w:szCs w:val="16"/>
              </w:rPr>
            </w:pPr>
            <w:r w:rsidRPr="00961B75">
              <w:rPr>
                <w:rFonts w:ascii="Arial Narrow" w:hAnsi="Arial Narrow"/>
                <w:iCs/>
                <w:sz w:val="20"/>
                <w:szCs w:val="16"/>
              </w:rPr>
              <w:t>GRZ/EBR</w:t>
            </w:r>
          </w:p>
        </w:tc>
        <w:tc>
          <w:tcPr>
            <w:tcW w:w="742" w:type="dxa"/>
            <w:tcBorders>
              <w:top w:val="single" w:sz="4" w:space="0" w:color="auto"/>
              <w:bottom w:val="dashSmallGap" w:sz="4" w:space="0" w:color="auto"/>
            </w:tcBorders>
            <w:shd w:val="clear" w:color="auto" w:fill="auto"/>
            <w:vAlign w:val="center"/>
          </w:tcPr>
          <w:p w:rsidR="008605C0" w:rsidRPr="00961B75" w:rsidRDefault="008605C0" w:rsidP="004611DA">
            <w:pPr>
              <w:keepLines/>
              <w:widowControl/>
              <w:jc w:val="center"/>
              <w:rPr>
                <w:rFonts w:ascii="Arial Narrow" w:hAnsi="Arial Narrow"/>
                <w:iCs/>
                <w:sz w:val="20"/>
              </w:rPr>
            </w:pPr>
            <w:r w:rsidRPr="00961B75">
              <w:rPr>
                <w:rFonts w:ascii="Arial Narrow" w:hAnsi="Arial Narrow"/>
                <w:iCs/>
                <w:sz w:val="20"/>
              </w:rPr>
              <w:t>12</w:t>
            </w:r>
          </w:p>
        </w:tc>
        <w:tc>
          <w:tcPr>
            <w:tcW w:w="742" w:type="dxa"/>
            <w:vMerge/>
            <w:shd w:val="clear" w:color="auto" w:fill="auto"/>
            <w:vAlign w:val="center"/>
          </w:tcPr>
          <w:p w:rsidR="008605C0" w:rsidRPr="00961B75" w:rsidRDefault="008605C0" w:rsidP="004611DA">
            <w:pPr>
              <w:keepLines/>
              <w:widowControl/>
              <w:jc w:val="center"/>
              <w:rPr>
                <w:rFonts w:ascii="Arial Narrow" w:hAnsi="Arial Narrow"/>
                <w:iCs/>
                <w:smallCaps/>
                <w:sz w:val="20"/>
              </w:rPr>
            </w:pPr>
          </w:p>
        </w:tc>
      </w:tr>
      <w:tr w:rsidR="008605C0" w:rsidRPr="00961B75" w:rsidTr="008605C0">
        <w:trPr>
          <w:cantSplit/>
        </w:trPr>
        <w:tc>
          <w:tcPr>
            <w:tcW w:w="952" w:type="dxa"/>
            <w:vMerge/>
            <w:tcBorders>
              <w:bottom w:val="single" w:sz="4" w:space="0" w:color="auto"/>
            </w:tcBorders>
            <w:shd w:val="clear" w:color="auto" w:fill="auto"/>
            <w:vAlign w:val="center"/>
          </w:tcPr>
          <w:p w:rsidR="008605C0" w:rsidRPr="00961B75" w:rsidRDefault="008605C0" w:rsidP="004611DA">
            <w:pPr>
              <w:keepLines/>
              <w:widowControl/>
              <w:ind w:left="-33"/>
              <w:jc w:val="left"/>
              <w:rPr>
                <w:rFonts w:ascii="Arial Narrow" w:hAnsi="Arial Narrow"/>
                <w:iCs/>
                <w:sz w:val="20"/>
                <w:szCs w:val="16"/>
              </w:rPr>
            </w:pPr>
          </w:p>
        </w:tc>
        <w:tc>
          <w:tcPr>
            <w:tcW w:w="352" w:type="dxa"/>
            <w:vMerge/>
            <w:shd w:val="clear" w:color="auto" w:fill="auto"/>
            <w:vAlign w:val="center"/>
          </w:tcPr>
          <w:p w:rsidR="008605C0" w:rsidRPr="00961B75" w:rsidRDefault="008605C0" w:rsidP="004611DA">
            <w:pPr>
              <w:keepLines/>
              <w:widowControl/>
              <w:jc w:val="center"/>
              <w:rPr>
                <w:rFonts w:ascii="Arial Narrow" w:hAnsi="Arial Narrow"/>
                <w:bCs/>
                <w:iCs/>
                <w:sz w:val="20"/>
              </w:rPr>
            </w:pPr>
          </w:p>
        </w:tc>
        <w:tc>
          <w:tcPr>
            <w:tcW w:w="992" w:type="dxa"/>
            <w:vMerge/>
            <w:shd w:val="clear" w:color="auto" w:fill="auto"/>
            <w:vAlign w:val="center"/>
          </w:tcPr>
          <w:p w:rsidR="008605C0" w:rsidRPr="00961B75" w:rsidRDefault="008605C0" w:rsidP="004611DA">
            <w:pPr>
              <w:keepLines/>
              <w:widowControl/>
              <w:jc w:val="center"/>
              <w:rPr>
                <w:rFonts w:ascii="Arial Narrow" w:hAnsi="Arial Narrow"/>
                <w:bCs/>
                <w:iCs/>
                <w:sz w:val="20"/>
              </w:rPr>
            </w:pPr>
          </w:p>
        </w:tc>
        <w:tc>
          <w:tcPr>
            <w:tcW w:w="630" w:type="dxa"/>
            <w:vMerge/>
            <w:shd w:val="clear" w:color="auto" w:fill="auto"/>
            <w:vAlign w:val="center"/>
          </w:tcPr>
          <w:p w:rsidR="008605C0" w:rsidRPr="00961B75" w:rsidRDefault="008605C0" w:rsidP="004611DA">
            <w:pPr>
              <w:keepLines/>
              <w:widowControl/>
              <w:jc w:val="center"/>
              <w:rPr>
                <w:rFonts w:ascii="Arial Narrow" w:hAnsi="Arial Narrow"/>
                <w:bCs/>
                <w:iCs/>
                <w:sz w:val="20"/>
              </w:rPr>
            </w:pPr>
          </w:p>
        </w:tc>
        <w:tc>
          <w:tcPr>
            <w:tcW w:w="429" w:type="dxa"/>
            <w:tcBorders>
              <w:top w:val="dashSmallGap" w:sz="4" w:space="0" w:color="auto"/>
              <w:bottom w:val="single" w:sz="4" w:space="0" w:color="auto"/>
            </w:tcBorders>
            <w:shd w:val="clear" w:color="auto" w:fill="auto"/>
            <w:vAlign w:val="center"/>
          </w:tcPr>
          <w:p w:rsidR="008605C0" w:rsidRPr="00961B75" w:rsidRDefault="008605C0" w:rsidP="004611DA">
            <w:pPr>
              <w:keepLines/>
              <w:widowControl/>
              <w:jc w:val="center"/>
              <w:rPr>
                <w:rFonts w:ascii="Arial Narrow" w:hAnsi="Arial Narrow"/>
                <w:bCs/>
                <w:iCs/>
                <w:sz w:val="20"/>
              </w:rPr>
            </w:pPr>
            <w:r w:rsidRPr="00961B75">
              <w:rPr>
                <w:rFonts w:ascii="Arial Narrow" w:hAnsi="Arial Narrow"/>
                <w:bCs/>
                <w:iCs/>
                <w:sz w:val="20"/>
              </w:rPr>
              <w:t>DTG</w:t>
            </w:r>
          </w:p>
        </w:tc>
        <w:tc>
          <w:tcPr>
            <w:tcW w:w="406" w:type="dxa"/>
            <w:tcBorders>
              <w:top w:val="dashSmallGap" w:sz="4" w:space="0" w:color="auto"/>
              <w:bottom w:val="single" w:sz="4" w:space="0" w:color="auto"/>
            </w:tcBorders>
            <w:shd w:val="clear" w:color="auto" w:fill="auto"/>
            <w:vAlign w:val="center"/>
          </w:tcPr>
          <w:p w:rsidR="008605C0" w:rsidRPr="00961B75" w:rsidRDefault="008605C0" w:rsidP="004611DA">
            <w:pPr>
              <w:keepLines/>
              <w:widowControl/>
              <w:jc w:val="center"/>
              <w:rPr>
                <w:rFonts w:ascii="Arial Narrow" w:hAnsi="Arial Narrow"/>
                <w:bCs/>
                <w:iCs/>
                <w:sz w:val="20"/>
                <w:vertAlign w:val="superscript"/>
              </w:rPr>
            </w:pPr>
            <w:r w:rsidRPr="00961B75">
              <w:rPr>
                <w:rFonts w:ascii="Arial Narrow" w:hAnsi="Arial Narrow"/>
                <w:bCs/>
                <w:iCs/>
                <w:sz w:val="20"/>
              </w:rPr>
              <w:t>100</w:t>
            </w:r>
            <w:r w:rsidR="004F68EB" w:rsidRPr="00961B75">
              <w:rPr>
                <w:rFonts w:ascii="Arial Narrow" w:hAnsi="Arial Narrow"/>
                <w:bCs/>
                <w:iCs/>
                <w:sz w:val="20"/>
                <w:vertAlign w:val="superscript"/>
              </w:rPr>
              <w:t>b</w:t>
            </w:r>
          </w:p>
        </w:tc>
        <w:tc>
          <w:tcPr>
            <w:tcW w:w="565" w:type="dxa"/>
            <w:tcBorders>
              <w:top w:val="dashSmallGap" w:sz="4" w:space="0" w:color="auto"/>
              <w:bottom w:val="single" w:sz="4" w:space="0" w:color="auto"/>
            </w:tcBorders>
            <w:shd w:val="clear" w:color="auto" w:fill="auto"/>
            <w:vAlign w:val="center"/>
          </w:tcPr>
          <w:p w:rsidR="008605C0" w:rsidRPr="00961B75" w:rsidRDefault="008605C0" w:rsidP="004611DA">
            <w:pPr>
              <w:keepLines/>
              <w:widowControl/>
              <w:jc w:val="center"/>
              <w:rPr>
                <w:rFonts w:ascii="Arial Narrow" w:hAnsi="Arial Narrow"/>
                <w:bCs/>
                <w:iCs/>
                <w:sz w:val="20"/>
              </w:rPr>
            </w:pPr>
            <w:r w:rsidRPr="00961B75">
              <w:rPr>
                <w:rFonts w:ascii="Arial Narrow" w:hAnsi="Arial Narrow"/>
                <w:bCs/>
                <w:iCs/>
                <w:sz w:val="20"/>
              </w:rPr>
              <w:t>1, 4, 6</w:t>
            </w:r>
          </w:p>
        </w:tc>
        <w:tc>
          <w:tcPr>
            <w:tcW w:w="798" w:type="dxa"/>
            <w:tcBorders>
              <w:top w:val="dashSmallGap" w:sz="4" w:space="0" w:color="auto"/>
              <w:bottom w:val="single" w:sz="4" w:space="0" w:color="auto"/>
            </w:tcBorders>
            <w:shd w:val="clear" w:color="auto" w:fill="auto"/>
            <w:vAlign w:val="center"/>
          </w:tcPr>
          <w:p w:rsidR="008605C0" w:rsidRPr="00961B75" w:rsidRDefault="008605C0" w:rsidP="004611DA">
            <w:pPr>
              <w:keepLines/>
              <w:widowControl/>
              <w:jc w:val="center"/>
              <w:rPr>
                <w:rFonts w:ascii="Arial Narrow" w:hAnsi="Arial Narrow"/>
                <w:bCs/>
                <w:iCs/>
                <w:sz w:val="20"/>
              </w:rPr>
            </w:pPr>
            <w:r w:rsidRPr="00961B75">
              <w:rPr>
                <w:rFonts w:ascii="Arial Narrow" w:hAnsi="Arial Narrow"/>
                <w:bCs/>
                <w:iCs/>
                <w:sz w:val="20"/>
              </w:rPr>
              <w:t>Mixed</w:t>
            </w:r>
          </w:p>
        </w:tc>
        <w:tc>
          <w:tcPr>
            <w:tcW w:w="1063" w:type="dxa"/>
            <w:tcBorders>
              <w:top w:val="dashSmallGap" w:sz="4" w:space="0" w:color="auto"/>
              <w:bottom w:val="single" w:sz="4" w:space="0" w:color="auto"/>
            </w:tcBorders>
            <w:shd w:val="clear" w:color="auto" w:fill="auto"/>
            <w:vAlign w:val="center"/>
          </w:tcPr>
          <w:p w:rsidR="008605C0" w:rsidRPr="00961B75" w:rsidRDefault="008605C0" w:rsidP="004611DA">
            <w:pPr>
              <w:keepLines/>
              <w:widowControl/>
              <w:jc w:val="center"/>
              <w:rPr>
                <w:rFonts w:ascii="Arial Narrow" w:hAnsi="Arial Narrow"/>
                <w:iCs/>
                <w:sz w:val="20"/>
              </w:rPr>
            </w:pPr>
            <w:r w:rsidRPr="00961B75">
              <w:rPr>
                <w:rFonts w:ascii="Arial Narrow" w:hAnsi="Arial Narrow"/>
                <w:iCs/>
                <w:sz w:val="20"/>
              </w:rPr>
              <w:t>Naïve</w:t>
            </w:r>
          </w:p>
        </w:tc>
        <w:tc>
          <w:tcPr>
            <w:tcW w:w="901" w:type="dxa"/>
            <w:tcBorders>
              <w:top w:val="dashSmallGap" w:sz="4" w:space="0" w:color="auto"/>
              <w:bottom w:val="single" w:sz="4" w:space="0" w:color="auto"/>
            </w:tcBorders>
            <w:shd w:val="clear" w:color="auto" w:fill="auto"/>
            <w:vAlign w:val="center"/>
          </w:tcPr>
          <w:p w:rsidR="008605C0" w:rsidRPr="00961B75" w:rsidRDefault="008605C0" w:rsidP="004611DA">
            <w:pPr>
              <w:keepLines/>
              <w:widowControl/>
              <w:jc w:val="center"/>
              <w:rPr>
                <w:rFonts w:ascii="Arial Narrow" w:hAnsi="Arial Narrow"/>
                <w:iCs/>
                <w:sz w:val="20"/>
                <w:szCs w:val="16"/>
              </w:rPr>
            </w:pPr>
            <w:r w:rsidRPr="00961B75">
              <w:rPr>
                <w:rFonts w:ascii="Arial Narrow" w:hAnsi="Arial Narrow"/>
                <w:iCs/>
                <w:sz w:val="20"/>
                <w:szCs w:val="16"/>
              </w:rPr>
              <w:t>GRZ/EBR</w:t>
            </w:r>
          </w:p>
        </w:tc>
        <w:tc>
          <w:tcPr>
            <w:tcW w:w="742" w:type="dxa"/>
            <w:tcBorders>
              <w:top w:val="dashSmallGap" w:sz="4" w:space="0" w:color="auto"/>
              <w:bottom w:val="single" w:sz="4" w:space="0" w:color="auto"/>
            </w:tcBorders>
            <w:shd w:val="clear" w:color="auto" w:fill="auto"/>
            <w:vAlign w:val="center"/>
          </w:tcPr>
          <w:p w:rsidR="008605C0" w:rsidRPr="00961B75" w:rsidRDefault="008605C0" w:rsidP="004611DA">
            <w:pPr>
              <w:keepLines/>
              <w:widowControl/>
              <w:jc w:val="center"/>
              <w:rPr>
                <w:rFonts w:ascii="Arial Narrow" w:hAnsi="Arial Narrow"/>
                <w:iCs/>
                <w:sz w:val="20"/>
              </w:rPr>
            </w:pPr>
            <w:r w:rsidRPr="00961B75">
              <w:rPr>
                <w:rFonts w:ascii="Arial Narrow" w:hAnsi="Arial Narrow"/>
                <w:iCs/>
                <w:sz w:val="20"/>
              </w:rPr>
              <w:t>12</w:t>
            </w:r>
          </w:p>
        </w:tc>
        <w:tc>
          <w:tcPr>
            <w:tcW w:w="742" w:type="dxa"/>
            <w:vMerge/>
            <w:shd w:val="clear" w:color="auto" w:fill="auto"/>
            <w:vAlign w:val="center"/>
          </w:tcPr>
          <w:p w:rsidR="008605C0" w:rsidRPr="00961B75" w:rsidRDefault="008605C0" w:rsidP="004611DA">
            <w:pPr>
              <w:keepLines/>
              <w:widowControl/>
              <w:jc w:val="center"/>
              <w:rPr>
                <w:rFonts w:ascii="Arial Narrow" w:hAnsi="Arial Narrow"/>
                <w:iCs/>
                <w:smallCaps/>
                <w:sz w:val="20"/>
              </w:rPr>
            </w:pPr>
          </w:p>
        </w:tc>
      </w:tr>
      <w:tr w:rsidR="008605C0" w:rsidRPr="00961B75" w:rsidTr="008605C0">
        <w:trPr>
          <w:cantSplit/>
        </w:trPr>
        <w:tc>
          <w:tcPr>
            <w:tcW w:w="952" w:type="dxa"/>
            <w:vMerge w:val="restart"/>
            <w:tcBorders>
              <w:top w:val="single" w:sz="4" w:space="0" w:color="auto"/>
            </w:tcBorders>
            <w:shd w:val="clear" w:color="auto" w:fill="auto"/>
            <w:vAlign w:val="center"/>
          </w:tcPr>
          <w:p w:rsidR="008605C0" w:rsidRPr="00961B75" w:rsidRDefault="008605C0" w:rsidP="004611DA">
            <w:pPr>
              <w:keepLines/>
              <w:widowControl/>
              <w:ind w:left="76"/>
              <w:jc w:val="left"/>
              <w:rPr>
                <w:rFonts w:ascii="Arial Narrow" w:hAnsi="Arial Narrow"/>
                <w:iCs/>
                <w:sz w:val="20"/>
                <w:szCs w:val="16"/>
              </w:rPr>
            </w:pPr>
            <w:proofErr w:type="spellStart"/>
            <w:r w:rsidRPr="00961B75">
              <w:rPr>
                <w:rFonts w:ascii="Arial Narrow" w:hAnsi="Arial Narrow"/>
                <w:iCs/>
                <w:sz w:val="20"/>
                <w:szCs w:val="16"/>
              </w:rPr>
              <w:t>Gt</w:t>
            </w:r>
            <w:proofErr w:type="spellEnd"/>
            <w:r w:rsidRPr="00961B75">
              <w:rPr>
                <w:rFonts w:ascii="Arial Narrow" w:hAnsi="Arial Narrow"/>
                <w:iCs/>
                <w:sz w:val="20"/>
                <w:szCs w:val="16"/>
              </w:rPr>
              <w:t xml:space="preserve"> 4 </w:t>
            </w:r>
            <w:proofErr w:type="spellStart"/>
            <w:r w:rsidRPr="00961B75">
              <w:rPr>
                <w:rFonts w:ascii="Arial Narrow" w:hAnsi="Arial Narrow"/>
                <w:iCs/>
                <w:sz w:val="20"/>
                <w:szCs w:val="16"/>
              </w:rPr>
              <w:t>subgp</w:t>
            </w:r>
            <w:r w:rsidR="00BF312E" w:rsidRPr="00961B75">
              <w:rPr>
                <w:rFonts w:ascii="Arial Narrow" w:hAnsi="Arial Narrow"/>
                <w:b/>
                <w:iCs/>
                <w:sz w:val="20"/>
                <w:vertAlign w:val="superscript"/>
              </w:rPr>
              <w:t>d</w:t>
            </w:r>
            <w:proofErr w:type="spellEnd"/>
          </w:p>
        </w:tc>
        <w:tc>
          <w:tcPr>
            <w:tcW w:w="352" w:type="dxa"/>
            <w:vMerge w:val="restart"/>
            <w:shd w:val="clear" w:color="auto" w:fill="auto"/>
            <w:vAlign w:val="center"/>
          </w:tcPr>
          <w:p w:rsidR="008605C0" w:rsidRPr="00961B75" w:rsidRDefault="008605C0" w:rsidP="004611DA">
            <w:pPr>
              <w:keepLines/>
              <w:widowControl/>
              <w:jc w:val="center"/>
              <w:rPr>
                <w:rFonts w:ascii="Arial Narrow" w:hAnsi="Arial Narrow"/>
                <w:bCs/>
                <w:iCs/>
                <w:sz w:val="20"/>
              </w:rPr>
            </w:pPr>
            <w:r w:rsidRPr="00961B75">
              <w:rPr>
                <w:rFonts w:ascii="Arial Narrow" w:hAnsi="Arial Narrow"/>
                <w:bCs/>
                <w:iCs/>
                <w:sz w:val="20"/>
              </w:rPr>
              <w:t>18</w:t>
            </w:r>
          </w:p>
        </w:tc>
        <w:tc>
          <w:tcPr>
            <w:tcW w:w="992" w:type="dxa"/>
            <w:vMerge/>
            <w:shd w:val="clear" w:color="auto" w:fill="auto"/>
            <w:vAlign w:val="center"/>
          </w:tcPr>
          <w:p w:rsidR="008605C0" w:rsidRPr="00961B75" w:rsidRDefault="008605C0" w:rsidP="004611DA">
            <w:pPr>
              <w:keepLines/>
              <w:widowControl/>
              <w:jc w:val="center"/>
              <w:rPr>
                <w:rFonts w:ascii="Arial Narrow" w:hAnsi="Arial Narrow"/>
                <w:bCs/>
                <w:iCs/>
                <w:sz w:val="20"/>
              </w:rPr>
            </w:pPr>
          </w:p>
        </w:tc>
        <w:tc>
          <w:tcPr>
            <w:tcW w:w="630" w:type="dxa"/>
            <w:vMerge/>
            <w:shd w:val="clear" w:color="auto" w:fill="auto"/>
            <w:vAlign w:val="center"/>
          </w:tcPr>
          <w:p w:rsidR="008605C0" w:rsidRPr="00961B75" w:rsidRDefault="008605C0" w:rsidP="004611DA">
            <w:pPr>
              <w:keepLines/>
              <w:widowControl/>
              <w:jc w:val="center"/>
              <w:rPr>
                <w:rFonts w:ascii="Arial Narrow" w:hAnsi="Arial Narrow"/>
                <w:bCs/>
                <w:iCs/>
                <w:sz w:val="20"/>
              </w:rPr>
            </w:pPr>
          </w:p>
        </w:tc>
        <w:tc>
          <w:tcPr>
            <w:tcW w:w="429" w:type="dxa"/>
            <w:tcBorders>
              <w:top w:val="single" w:sz="4" w:space="0" w:color="auto"/>
              <w:bottom w:val="dashSmallGap" w:sz="4" w:space="0" w:color="auto"/>
            </w:tcBorders>
            <w:shd w:val="clear" w:color="auto" w:fill="D9D9D9" w:themeFill="background1" w:themeFillShade="D9"/>
            <w:vAlign w:val="center"/>
          </w:tcPr>
          <w:p w:rsidR="008605C0" w:rsidRPr="00961B75" w:rsidRDefault="008605C0" w:rsidP="004611DA">
            <w:pPr>
              <w:keepLines/>
              <w:widowControl/>
              <w:jc w:val="center"/>
              <w:rPr>
                <w:rFonts w:ascii="Arial Narrow" w:hAnsi="Arial Narrow"/>
                <w:bCs/>
                <w:iCs/>
                <w:sz w:val="20"/>
              </w:rPr>
            </w:pPr>
            <w:r w:rsidRPr="00961B75">
              <w:rPr>
                <w:rFonts w:ascii="Arial Narrow" w:hAnsi="Arial Narrow"/>
                <w:bCs/>
                <w:iCs/>
                <w:sz w:val="20"/>
              </w:rPr>
              <w:t>ITG</w:t>
            </w:r>
          </w:p>
        </w:tc>
        <w:tc>
          <w:tcPr>
            <w:tcW w:w="406" w:type="dxa"/>
            <w:tcBorders>
              <w:top w:val="single" w:sz="4" w:space="0" w:color="auto"/>
              <w:bottom w:val="dashSmallGap" w:sz="4" w:space="0" w:color="auto"/>
            </w:tcBorders>
            <w:shd w:val="clear" w:color="auto" w:fill="D9D9D9" w:themeFill="background1" w:themeFillShade="D9"/>
            <w:vAlign w:val="center"/>
          </w:tcPr>
          <w:p w:rsidR="008605C0" w:rsidRPr="00961B75" w:rsidRDefault="008605C0" w:rsidP="004611DA">
            <w:pPr>
              <w:keepLines/>
              <w:widowControl/>
              <w:jc w:val="center"/>
              <w:rPr>
                <w:rFonts w:ascii="Arial Narrow" w:hAnsi="Arial Narrow"/>
                <w:bCs/>
                <w:iCs/>
                <w:sz w:val="20"/>
              </w:rPr>
            </w:pPr>
            <w:r w:rsidRPr="00961B75">
              <w:rPr>
                <w:rFonts w:ascii="Arial Narrow" w:hAnsi="Arial Narrow"/>
                <w:bCs/>
                <w:iCs/>
                <w:sz w:val="20"/>
              </w:rPr>
              <w:t>12</w:t>
            </w:r>
          </w:p>
        </w:tc>
        <w:tc>
          <w:tcPr>
            <w:tcW w:w="565" w:type="dxa"/>
            <w:tcBorders>
              <w:top w:val="single" w:sz="4" w:space="0" w:color="auto"/>
              <w:bottom w:val="dashSmallGap" w:sz="4" w:space="0" w:color="auto"/>
            </w:tcBorders>
            <w:shd w:val="clear" w:color="auto" w:fill="D9D9D9" w:themeFill="background1" w:themeFillShade="D9"/>
            <w:vAlign w:val="center"/>
          </w:tcPr>
          <w:p w:rsidR="008605C0" w:rsidRPr="00961B75" w:rsidRDefault="008605C0" w:rsidP="004611DA">
            <w:pPr>
              <w:keepLines/>
              <w:widowControl/>
              <w:jc w:val="center"/>
              <w:rPr>
                <w:rFonts w:ascii="Arial Narrow" w:hAnsi="Arial Narrow"/>
                <w:bCs/>
                <w:iCs/>
                <w:sz w:val="20"/>
              </w:rPr>
            </w:pPr>
            <w:r w:rsidRPr="00961B75">
              <w:rPr>
                <w:rFonts w:ascii="Arial Narrow" w:hAnsi="Arial Narrow"/>
                <w:bCs/>
                <w:iCs/>
                <w:sz w:val="20"/>
              </w:rPr>
              <w:t>4</w:t>
            </w:r>
          </w:p>
        </w:tc>
        <w:tc>
          <w:tcPr>
            <w:tcW w:w="798" w:type="dxa"/>
            <w:tcBorders>
              <w:top w:val="single" w:sz="4" w:space="0" w:color="auto"/>
              <w:bottom w:val="dashSmallGap" w:sz="4" w:space="0" w:color="auto"/>
            </w:tcBorders>
            <w:shd w:val="clear" w:color="auto" w:fill="D9D9D9" w:themeFill="background1" w:themeFillShade="D9"/>
            <w:vAlign w:val="center"/>
          </w:tcPr>
          <w:p w:rsidR="008605C0" w:rsidRPr="00961B75" w:rsidRDefault="008605C0" w:rsidP="004611DA">
            <w:pPr>
              <w:keepLines/>
              <w:widowControl/>
              <w:jc w:val="center"/>
              <w:rPr>
                <w:rFonts w:ascii="Arial Narrow" w:hAnsi="Arial Narrow"/>
                <w:bCs/>
                <w:iCs/>
                <w:sz w:val="20"/>
              </w:rPr>
            </w:pPr>
            <w:r w:rsidRPr="00961B75">
              <w:rPr>
                <w:rFonts w:ascii="Arial Narrow" w:hAnsi="Arial Narrow"/>
                <w:bCs/>
                <w:iCs/>
                <w:sz w:val="20"/>
              </w:rPr>
              <w:t>Mixed</w:t>
            </w:r>
          </w:p>
        </w:tc>
        <w:tc>
          <w:tcPr>
            <w:tcW w:w="1063" w:type="dxa"/>
            <w:tcBorders>
              <w:top w:val="single" w:sz="4" w:space="0" w:color="auto"/>
              <w:bottom w:val="dashSmallGap" w:sz="4" w:space="0" w:color="auto"/>
            </w:tcBorders>
            <w:shd w:val="clear" w:color="auto" w:fill="D9D9D9" w:themeFill="background1" w:themeFillShade="D9"/>
            <w:vAlign w:val="center"/>
          </w:tcPr>
          <w:p w:rsidR="008605C0" w:rsidRPr="00961B75" w:rsidRDefault="008605C0" w:rsidP="004611DA">
            <w:pPr>
              <w:keepLines/>
              <w:widowControl/>
              <w:jc w:val="center"/>
              <w:rPr>
                <w:rFonts w:ascii="Arial Narrow" w:hAnsi="Arial Narrow"/>
                <w:iCs/>
                <w:sz w:val="20"/>
              </w:rPr>
            </w:pPr>
            <w:r w:rsidRPr="00961B75">
              <w:rPr>
                <w:rFonts w:ascii="Arial Narrow" w:hAnsi="Arial Narrow"/>
                <w:iCs/>
                <w:sz w:val="20"/>
              </w:rPr>
              <w:t>Naïve</w:t>
            </w:r>
          </w:p>
        </w:tc>
        <w:tc>
          <w:tcPr>
            <w:tcW w:w="901" w:type="dxa"/>
            <w:tcBorders>
              <w:top w:val="single" w:sz="4" w:space="0" w:color="auto"/>
              <w:bottom w:val="dashSmallGap" w:sz="4" w:space="0" w:color="auto"/>
            </w:tcBorders>
            <w:shd w:val="clear" w:color="auto" w:fill="D9D9D9" w:themeFill="background1" w:themeFillShade="D9"/>
            <w:vAlign w:val="center"/>
          </w:tcPr>
          <w:p w:rsidR="008605C0" w:rsidRPr="00961B75" w:rsidRDefault="008605C0" w:rsidP="004611DA">
            <w:pPr>
              <w:keepLines/>
              <w:widowControl/>
              <w:jc w:val="center"/>
              <w:rPr>
                <w:rFonts w:ascii="Arial Narrow" w:hAnsi="Arial Narrow"/>
                <w:iCs/>
                <w:sz w:val="20"/>
                <w:szCs w:val="16"/>
              </w:rPr>
            </w:pPr>
            <w:r w:rsidRPr="00961B75">
              <w:rPr>
                <w:rFonts w:ascii="Arial Narrow" w:hAnsi="Arial Narrow"/>
                <w:iCs/>
                <w:sz w:val="20"/>
                <w:szCs w:val="16"/>
              </w:rPr>
              <w:t>GRZ/EBR</w:t>
            </w:r>
          </w:p>
        </w:tc>
        <w:tc>
          <w:tcPr>
            <w:tcW w:w="742" w:type="dxa"/>
            <w:tcBorders>
              <w:top w:val="single" w:sz="4" w:space="0" w:color="auto"/>
              <w:bottom w:val="dashSmallGap" w:sz="4" w:space="0" w:color="auto"/>
            </w:tcBorders>
            <w:shd w:val="clear" w:color="auto" w:fill="D9D9D9" w:themeFill="background1" w:themeFillShade="D9"/>
            <w:vAlign w:val="center"/>
          </w:tcPr>
          <w:p w:rsidR="008605C0" w:rsidRPr="00961B75" w:rsidRDefault="008605C0" w:rsidP="004611DA">
            <w:pPr>
              <w:keepLines/>
              <w:widowControl/>
              <w:jc w:val="center"/>
              <w:rPr>
                <w:rFonts w:ascii="Arial Narrow" w:hAnsi="Arial Narrow"/>
                <w:iCs/>
                <w:sz w:val="20"/>
              </w:rPr>
            </w:pPr>
            <w:r w:rsidRPr="00961B75">
              <w:rPr>
                <w:rFonts w:ascii="Arial Narrow" w:hAnsi="Arial Narrow"/>
                <w:iCs/>
                <w:sz w:val="20"/>
              </w:rPr>
              <w:t>12</w:t>
            </w:r>
          </w:p>
        </w:tc>
        <w:tc>
          <w:tcPr>
            <w:tcW w:w="742" w:type="dxa"/>
            <w:vMerge/>
            <w:shd w:val="clear" w:color="auto" w:fill="auto"/>
            <w:vAlign w:val="center"/>
          </w:tcPr>
          <w:p w:rsidR="008605C0" w:rsidRPr="00961B75" w:rsidRDefault="008605C0" w:rsidP="004611DA">
            <w:pPr>
              <w:keepLines/>
              <w:widowControl/>
              <w:jc w:val="center"/>
              <w:rPr>
                <w:rFonts w:ascii="Arial Narrow" w:hAnsi="Arial Narrow"/>
                <w:iCs/>
                <w:smallCaps/>
                <w:sz w:val="20"/>
              </w:rPr>
            </w:pPr>
          </w:p>
        </w:tc>
      </w:tr>
      <w:tr w:rsidR="008605C0" w:rsidRPr="00961B75" w:rsidTr="008605C0">
        <w:trPr>
          <w:cantSplit/>
        </w:trPr>
        <w:tc>
          <w:tcPr>
            <w:tcW w:w="952" w:type="dxa"/>
            <w:vMerge/>
            <w:shd w:val="clear" w:color="auto" w:fill="auto"/>
            <w:vAlign w:val="center"/>
          </w:tcPr>
          <w:p w:rsidR="008605C0" w:rsidRPr="00961B75" w:rsidRDefault="008605C0" w:rsidP="004611DA">
            <w:pPr>
              <w:keepLines/>
              <w:widowControl/>
              <w:ind w:left="76"/>
              <w:jc w:val="left"/>
              <w:rPr>
                <w:rFonts w:ascii="Arial Narrow" w:hAnsi="Arial Narrow"/>
                <w:iCs/>
                <w:sz w:val="20"/>
                <w:szCs w:val="16"/>
              </w:rPr>
            </w:pPr>
          </w:p>
        </w:tc>
        <w:tc>
          <w:tcPr>
            <w:tcW w:w="352" w:type="dxa"/>
            <w:vMerge/>
            <w:shd w:val="clear" w:color="auto" w:fill="auto"/>
            <w:vAlign w:val="center"/>
          </w:tcPr>
          <w:p w:rsidR="008605C0" w:rsidRPr="00961B75" w:rsidRDefault="008605C0" w:rsidP="004611DA">
            <w:pPr>
              <w:keepLines/>
              <w:widowControl/>
              <w:jc w:val="center"/>
              <w:rPr>
                <w:rFonts w:ascii="Arial Narrow" w:hAnsi="Arial Narrow"/>
                <w:bCs/>
                <w:iCs/>
                <w:sz w:val="20"/>
              </w:rPr>
            </w:pPr>
          </w:p>
        </w:tc>
        <w:tc>
          <w:tcPr>
            <w:tcW w:w="992" w:type="dxa"/>
            <w:vMerge/>
            <w:shd w:val="clear" w:color="auto" w:fill="auto"/>
            <w:vAlign w:val="center"/>
          </w:tcPr>
          <w:p w:rsidR="008605C0" w:rsidRPr="00961B75" w:rsidRDefault="008605C0" w:rsidP="004611DA">
            <w:pPr>
              <w:keepLines/>
              <w:widowControl/>
              <w:jc w:val="center"/>
              <w:rPr>
                <w:rFonts w:ascii="Arial Narrow" w:hAnsi="Arial Narrow"/>
                <w:bCs/>
                <w:iCs/>
                <w:sz w:val="20"/>
              </w:rPr>
            </w:pPr>
          </w:p>
        </w:tc>
        <w:tc>
          <w:tcPr>
            <w:tcW w:w="630" w:type="dxa"/>
            <w:vMerge/>
            <w:shd w:val="clear" w:color="auto" w:fill="auto"/>
            <w:vAlign w:val="center"/>
          </w:tcPr>
          <w:p w:rsidR="008605C0" w:rsidRPr="00961B75" w:rsidRDefault="008605C0" w:rsidP="004611DA">
            <w:pPr>
              <w:keepLines/>
              <w:widowControl/>
              <w:jc w:val="center"/>
              <w:rPr>
                <w:rFonts w:ascii="Arial Narrow" w:hAnsi="Arial Narrow"/>
                <w:bCs/>
                <w:iCs/>
                <w:sz w:val="20"/>
              </w:rPr>
            </w:pPr>
          </w:p>
        </w:tc>
        <w:tc>
          <w:tcPr>
            <w:tcW w:w="429" w:type="dxa"/>
            <w:tcBorders>
              <w:top w:val="dashSmallGap" w:sz="4" w:space="0" w:color="auto"/>
            </w:tcBorders>
            <w:shd w:val="clear" w:color="auto" w:fill="D9D9D9" w:themeFill="background1" w:themeFillShade="D9"/>
            <w:vAlign w:val="center"/>
          </w:tcPr>
          <w:p w:rsidR="008605C0" w:rsidRPr="00961B75" w:rsidRDefault="008605C0" w:rsidP="004611DA">
            <w:pPr>
              <w:keepLines/>
              <w:widowControl/>
              <w:jc w:val="center"/>
              <w:rPr>
                <w:rFonts w:ascii="Arial Narrow" w:hAnsi="Arial Narrow"/>
                <w:bCs/>
                <w:iCs/>
                <w:sz w:val="20"/>
              </w:rPr>
            </w:pPr>
            <w:r w:rsidRPr="00961B75">
              <w:rPr>
                <w:rFonts w:ascii="Arial Narrow" w:hAnsi="Arial Narrow"/>
                <w:bCs/>
                <w:iCs/>
                <w:sz w:val="20"/>
              </w:rPr>
              <w:t>DTG</w:t>
            </w:r>
          </w:p>
        </w:tc>
        <w:tc>
          <w:tcPr>
            <w:tcW w:w="406" w:type="dxa"/>
            <w:tcBorders>
              <w:top w:val="dashSmallGap" w:sz="4" w:space="0" w:color="auto"/>
            </w:tcBorders>
            <w:shd w:val="clear" w:color="auto" w:fill="D9D9D9" w:themeFill="background1" w:themeFillShade="D9"/>
            <w:vAlign w:val="center"/>
          </w:tcPr>
          <w:p w:rsidR="008605C0" w:rsidRPr="00961B75" w:rsidRDefault="008605C0" w:rsidP="004611DA">
            <w:pPr>
              <w:keepLines/>
              <w:widowControl/>
              <w:jc w:val="center"/>
              <w:rPr>
                <w:rFonts w:ascii="Arial Narrow" w:hAnsi="Arial Narrow"/>
                <w:bCs/>
                <w:iCs/>
                <w:sz w:val="20"/>
              </w:rPr>
            </w:pPr>
            <w:r w:rsidRPr="00961B75">
              <w:rPr>
                <w:rFonts w:ascii="Arial Narrow" w:hAnsi="Arial Narrow"/>
                <w:bCs/>
                <w:iCs/>
                <w:sz w:val="20"/>
              </w:rPr>
              <w:t>6</w:t>
            </w:r>
          </w:p>
        </w:tc>
        <w:tc>
          <w:tcPr>
            <w:tcW w:w="565" w:type="dxa"/>
            <w:tcBorders>
              <w:top w:val="dashSmallGap" w:sz="4" w:space="0" w:color="auto"/>
            </w:tcBorders>
            <w:shd w:val="clear" w:color="auto" w:fill="D9D9D9" w:themeFill="background1" w:themeFillShade="D9"/>
            <w:vAlign w:val="center"/>
          </w:tcPr>
          <w:p w:rsidR="008605C0" w:rsidRPr="00961B75" w:rsidRDefault="008605C0" w:rsidP="004611DA">
            <w:pPr>
              <w:keepLines/>
              <w:widowControl/>
              <w:jc w:val="center"/>
              <w:rPr>
                <w:rFonts w:ascii="Arial Narrow" w:hAnsi="Arial Narrow"/>
                <w:bCs/>
                <w:iCs/>
                <w:sz w:val="20"/>
              </w:rPr>
            </w:pPr>
            <w:r w:rsidRPr="00961B75">
              <w:rPr>
                <w:rFonts w:ascii="Arial Narrow" w:hAnsi="Arial Narrow"/>
                <w:bCs/>
                <w:iCs/>
                <w:sz w:val="20"/>
              </w:rPr>
              <w:t>4</w:t>
            </w:r>
          </w:p>
        </w:tc>
        <w:tc>
          <w:tcPr>
            <w:tcW w:w="798" w:type="dxa"/>
            <w:tcBorders>
              <w:top w:val="dashSmallGap" w:sz="4" w:space="0" w:color="auto"/>
            </w:tcBorders>
            <w:shd w:val="clear" w:color="auto" w:fill="D9D9D9" w:themeFill="background1" w:themeFillShade="D9"/>
            <w:vAlign w:val="center"/>
          </w:tcPr>
          <w:p w:rsidR="008605C0" w:rsidRPr="00961B75" w:rsidRDefault="008605C0" w:rsidP="004611DA">
            <w:pPr>
              <w:keepLines/>
              <w:widowControl/>
              <w:jc w:val="center"/>
              <w:rPr>
                <w:rFonts w:ascii="Arial Narrow" w:hAnsi="Arial Narrow"/>
                <w:bCs/>
                <w:iCs/>
                <w:sz w:val="20"/>
              </w:rPr>
            </w:pPr>
            <w:r w:rsidRPr="00961B75">
              <w:rPr>
                <w:rFonts w:ascii="Arial Narrow" w:hAnsi="Arial Narrow"/>
                <w:bCs/>
                <w:iCs/>
                <w:sz w:val="20"/>
              </w:rPr>
              <w:t>Mixed</w:t>
            </w:r>
          </w:p>
        </w:tc>
        <w:tc>
          <w:tcPr>
            <w:tcW w:w="1063" w:type="dxa"/>
            <w:tcBorders>
              <w:top w:val="dashSmallGap" w:sz="4" w:space="0" w:color="auto"/>
            </w:tcBorders>
            <w:shd w:val="clear" w:color="auto" w:fill="D9D9D9" w:themeFill="background1" w:themeFillShade="D9"/>
            <w:vAlign w:val="center"/>
          </w:tcPr>
          <w:p w:rsidR="008605C0" w:rsidRPr="00961B75" w:rsidRDefault="008605C0" w:rsidP="004611DA">
            <w:pPr>
              <w:keepLines/>
              <w:widowControl/>
              <w:jc w:val="center"/>
              <w:rPr>
                <w:rFonts w:ascii="Arial Narrow" w:hAnsi="Arial Narrow"/>
                <w:iCs/>
                <w:sz w:val="20"/>
              </w:rPr>
            </w:pPr>
            <w:r w:rsidRPr="00961B75">
              <w:rPr>
                <w:rFonts w:ascii="Arial Narrow" w:hAnsi="Arial Narrow"/>
                <w:iCs/>
                <w:sz w:val="20"/>
              </w:rPr>
              <w:t>Naïve</w:t>
            </w:r>
          </w:p>
        </w:tc>
        <w:tc>
          <w:tcPr>
            <w:tcW w:w="901" w:type="dxa"/>
            <w:tcBorders>
              <w:top w:val="dashSmallGap" w:sz="4" w:space="0" w:color="auto"/>
            </w:tcBorders>
            <w:shd w:val="clear" w:color="auto" w:fill="D9D9D9" w:themeFill="background1" w:themeFillShade="D9"/>
            <w:vAlign w:val="center"/>
          </w:tcPr>
          <w:p w:rsidR="008605C0" w:rsidRPr="00961B75" w:rsidRDefault="008605C0" w:rsidP="004611DA">
            <w:pPr>
              <w:keepLines/>
              <w:widowControl/>
              <w:jc w:val="center"/>
              <w:rPr>
                <w:rFonts w:ascii="Arial Narrow" w:hAnsi="Arial Narrow"/>
                <w:iCs/>
                <w:sz w:val="20"/>
                <w:szCs w:val="16"/>
              </w:rPr>
            </w:pPr>
            <w:r w:rsidRPr="00961B75">
              <w:rPr>
                <w:rFonts w:ascii="Arial Narrow" w:hAnsi="Arial Narrow"/>
                <w:iCs/>
                <w:sz w:val="20"/>
                <w:szCs w:val="16"/>
              </w:rPr>
              <w:t>GRZ/EBR</w:t>
            </w:r>
          </w:p>
        </w:tc>
        <w:tc>
          <w:tcPr>
            <w:tcW w:w="742" w:type="dxa"/>
            <w:tcBorders>
              <w:top w:val="dashSmallGap" w:sz="4" w:space="0" w:color="auto"/>
            </w:tcBorders>
            <w:shd w:val="clear" w:color="auto" w:fill="D9D9D9" w:themeFill="background1" w:themeFillShade="D9"/>
            <w:vAlign w:val="center"/>
          </w:tcPr>
          <w:p w:rsidR="008605C0" w:rsidRPr="00961B75" w:rsidRDefault="008605C0" w:rsidP="004611DA">
            <w:pPr>
              <w:keepLines/>
              <w:widowControl/>
              <w:jc w:val="center"/>
              <w:rPr>
                <w:rFonts w:ascii="Arial Narrow" w:hAnsi="Arial Narrow"/>
                <w:iCs/>
                <w:sz w:val="20"/>
              </w:rPr>
            </w:pPr>
            <w:r w:rsidRPr="00961B75">
              <w:rPr>
                <w:rFonts w:ascii="Arial Narrow" w:hAnsi="Arial Narrow"/>
                <w:iCs/>
                <w:sz w:val="20"/>
              </w:rPr>
              <w:t>12</w:t>
            </w:r>
          </w:p>
        </w:tc>
        <w:tc>
          <w:tcPr>
            <w:tcW w:w="742" w:type="dxa"/>
            <w:vMerge/>
            <w:shd w:val="clear" w:color="auto" w:fill="auto"/>
            <w:vAlign w:val="center"/>
          </w:tcPr>
          <w:p w:rsidR="008605C0" w:rsidRPr="00961B75" w:rsidRDefault="008605C0" w:rsidP="004611DA">
            <w:pPr>
              <w:keepLines/>
              <w:widowControl/>
              <w:jc w:val="center"/>
              <w:rPr>
                <w:rFonts w:ascii="Arial Narrow" w:hAnsi="Arial Narrow"/>
                <w:iCs/>
                <w:smallCaps/>
                <w:sz w:val="20"/>
              </w:rPr>
            </w:pPr>
          </w:p>
        </w:tc>
      </w:tr>
      <w:tr w:rsidR="008605C0" w:rsidRPr="00961B75" w:rsidTr="008605C0">
        <w:trPr>
          <w:cantSplit/>
        </w:trPr>
        <w:tc>
          <w:tcPr>
            <w:tcW w:w="8572" w:type="dxa"/>
            <w:gridSpan w:val="12"/>
            <w:shd w:val="clear" w:color="auto" w:fill="auto"/>
            <w:vAlign w:val="center"/>
          </w:tcPr>
          <w:p w:rsidR="008605C0" w:rsidRPr="00961B75" w:rsidRDefault="008605C0" w:rsidP="004611DA">
            <w:pPr>
              <w:keepLines/>
              <w:widowControl/>
              <w:jc w:val="left"/>
              <w:rPr>
                <w:rFonts w:ascii="Arial Narrow" w:hAnsi="Arial Narrow"/>
                <w:sz w:val="20"/>
              </w:rPr>
            </w:pPr>
            <w:r w:rsidRPr="00961B75">
              <w:rPr>
                <w:rFonts w:ascii="Arial Narrow" w:hAnsi="Arial Narrow"/>
                <w:b/>
                <w:sz w:val="20"/>
              </w:rPr>
              <w:t xml:space="preserve">Sofosbuvir plus </w:t>
            </w:r>
            <w:proofErr w:type="spellStart"/>
            <w:r w:rsidRPr="00961B75">
              <w:rPr>
                <w:rFonts w:ascii="Arial Narrow" w:hAnsi="Arial Narrow"/>
                <w:b/>
                <w:sz w:val="20"/>
              </w:rPr>
              <w:t>peginterferon</w:t>
            </w:r>
            <w:proofErr w:type="spellEnd"/>
            <w:r w:rsidRPr="00961B75">
              <w:rPr>
                <w:rFonts w:ascii="Arial Narrow" w:hAnsi="Arial Narrow"/>
                <w:b/>
                <w:sz w:val="20"/>
              </w:rPr>
              <w:t xml:space="preserve"> plus ribavirin</w:t>
            </w:r>
          </w:p>
        </w:tc>
      </w:tr>
      <w:tr w:rsidR="008605C0" w:rsidRPr="00961B75" w:rsidTr="008605C0">
        <w:trPr>
          <w:cantSplit/>
          <w:trHeight w:val="339"/>
        </w:trPr>
        <w:tc>
          <w:tcPr>
            <w:tcW w:w="952" w:type="dxa"/>
            <w:tcBorders>
              <w:bottom w:val="dashSmallGap" w:sz="4" w:space="0" w:color="auto"/>
            </w:tcBorders>
            <w:shd w:val="clear" w:color="auto" w:fill="auto"/>
            <w:vAlign w:val="center"/>
          </w:tcPr>
          <w:p w:rsidR="008605C0" w:rsidRPr="00961B75" w:rsidRDefault="008605C0" w:rsidP="004611DA">
            <w:pPr>
              <w:keepLines/>
              <w:widowControl/>
              <w:jc w:val="left"/>
              <w:rPr>
                <w:rFonts w:ascii="Arial Narrow" w:hAnsi="Arial Narrow"/>
                <w:sz w:val="20"/>
                <w:szCs w:val="16"/>
              </w:rPr>
            </w:pPr>
            <w:r w:rsidRPr="00961B75">
              <w:rPr>
                <w:rFonts w:ascii="Arial Narrow" w:hAnsi="Arial Narrow"/>
                <w:sz w:val="20"/>
                <w:szCs w:val="16"/>
              </w:rPr>
              <w:t>NEUTRINO</w:t>
            </w:r>
          </w:p>
        </w:tc>
        <w:tc>
          <w:tcPr>
            <w:tcW w:w="352" w:type="dxa"/>
            <w:shd w:val="clear" w:color="auto" w:fill="auto"/>
            <w:vAlign w:val="center"/>
          </w:tcPr>
          <w:p w:rsidR="008605C0" w:rsidRPr="00961B75" w:rsidRDefault="008605C0" w:rsidP="004611DA">
            <w:pPr>
              <w:keepLines/>
              <w:widowControl/>
              <w:jc w:val="center"/>
              <w:rPr>
                <w:rFonts w:ascii="Arial Narrow" w:hAnsi="Arial Narrow"/>
                <w:bCs/>
                <w:sz w:val="20"/>
              </w:rPr>
            </w:pPr>
            <w:r w:rsidRPr="00961B75">
              <w:rPr>
                <w:rFonts w:ascii="Arial Narrow" w:hAnsi="Arial Narrow"/>
                <w:bCs/>
                <w:sz w:val="20"/>
              </w:rPr>
              <w:t>327</w:t>
            </w:r>
          </w:p>
        </w:tc>
        <w:tc>
          <w:tcPr>
            <w:tcW w:w="992" w:type="dxa"/>
            <w:vMerge w:val="restart"/>
            <w:shd w:val="clear" w:color="auto" w:fill="auto"/>
            <w:vAlign w:val="center"/>
          </w:tcPr>
          <w:p w:rsidR="008605C0" w:rsidRPr="00961B75" w:rsidRDefault="008605C0" w:rsidP="004611DA">
            <w:pPr>
              <w:keepLines/>
              <w:widowControl/>
              <w:jc w:val="center"/>
              <w:rPr>
                <w:rFonts w:ascii="Arial Narrow" w:hAnsi="Arial Narrow"/>
                <w:bCs/>
                <w:sz w:val="20"/>
              </w:rPr>
            </w:pPr>
            <w:r w:rsidRPr="00961B75">
              <w:rPr>
                <w:rFonts w:ascii="Arial Narrow" w:hAnsi="Arial Narrow"/>
                <w:bCs/>
                <w:sz w:val="20"/>
              </w:rPr>
              <w:t>OL, MC, single arm, Phase III</w:t>
            </w:r>
          </w:p>
        </w:tc>
        <w:tc>
          <w:tcPr>
            <w:tcW w:w="630" w:type="dxa"/>
            <w:vMerge w:val="restart"/>
            <w:shd w:val="clear" w:color="auto" w:fill="auto"/>
            <w:vAlign w:val="center"/>
          </w:tcPr>
          <w:p w:rsidR="008605C0" w:rsidRPr="00961B75" w:rsidRDefault="008605C0" w:rsidP="004611DA">
            <w:pPr>
              <w:keepLines/>
              <w:widowControl/>
              <w:jc w:val="center"/>
              <w:rPr>
                <w:rFonts w:ascii="Arial Narrow" w:hAnsi="Arial Narrow"/>
                <w:bCs/>
                <w:iCs/>
                <w:sz w:val="20"/>
              </w:rPr>
            </w:pPr>
            <w:r w:rsidRPr="00961B75">
              <w:rPr>
                <w:rFonts w:ascii="Arial Narrow" w:hAnsi="Arial Narrow"/>
                <w:bCs/>
                <w:iCs/>
                <w:sz w:val="20"/>
              </w:rPr>
              <w:t>NA</w:t>
            </w:r>
          </w:p>
        </w:tc>
        <w:tc>
          <w:tcPr>
            <w:tcW w:w="429" w:type="dxa"/>
            <w:tcBorders>
              <w:bottom w:val="dashSmallGap" w:sz="4" w:space="0" w:color="auto"/>
            </w:tcBorders>
            <w:shd w:val="clear" w:color="auto" w:fill="auto"/>
            <w:vAlign w:val="center"/>
          </w:tcPr>
          <w:p w:rsidR="008605C0" w:rsidRPr="00961B75" w:rsidRDefault="008605C0" w:rsidP="004611DA">
            <w:pPr>
              <w:keepLines/>
              <w:widowControl/>
              <w:jc w:val="center"/>
              <w:rPr>
                <w:rFonts w:ascii="Arial Narrow" w:hAnsi="Arial Narrow"/>
                <w:bCs/>
                <w:sz w:val="20"/>
              </w:rPr>
            </w:pPr>
            <w:r w:rsidRPr="00961B75">
              <w:rPr>
                <w:rFonts w:ascii="Arial Narrow" w:hAnsi="Arial Narrow"/>
                <w:bCs/>
                <w:sz w:val="20"/>
              </w:rPr>
              <w:t>-</w:t>
            </w:r>
          </w:p>
        </w:tc>
        <w:tc>
          <w:tcPr>
            <w:tcW w:w="406" w:type="dxa"/>
            <w:tcBorders>
              <w:bottom w:val="dashSmallGap" w:sz="4" w:space="0" w:color="auto"/>
            </w:tcBorders>
            <w:shd w:val="clear" w:color="auto" w:fill="auto"/>
            <w:vAlign w:val="center"/>
          </w:tcPr>
          <w:p w:rsidR="008605C0" w:rsidRPr="00961B75" w:rsidRDefault="008605C0" w:rsidP="004611DA">
            <w:pPr>
              <w:keepLines/>
              <w:widowControl/>
              <w:jc w:val="center"/>
              <w:rPr>
                <w:rFonts w:ascii="Arial Narrow" w:hAnsi="Arial Narrow"/>
                <w:bCs/>
                <w:sz w:val="20"/>
              </w:rPr>
            </w:pPr>
            <w:r w:rsidRPr="00961B75">
              <w:rPr>
                <w:rFonts w:ascii="Arial Narrow" w:hAnsi="Arial Narrow"/>
                <w:bCs/>
                <w:sz w:val="20"/>
              </w:rPr>
              <w:t>327</w:t>
            </w:r>
          </w:p>
        </w:tc>
        <w:tc>
          <w:tcPr>
            <w:tcW w:w="565" w:type="dxa"/>
            <w:tcBorders>
              <w:bottom w:val="dashSmallGap" w:sz="4" w:space="0" w:color="auto"/>
            </w:tcBorders>
            <w:shd w:val="clear" w:color="auto" w:fill="auto"/>
            <w:vAlign w:val="center"/>
          </w:tcPr>
          <w:p w:rsidR="008605C0" w:rsidRPr="00961B75" w:rsidRDefault="008605C0" w:rsidP="004611DA">
            <w:pPr>
              <w:keepLines/>
              <w:widowControl/>
              <w:jc w:val="center"/>
              <w:rPr>
                <w:rFonts w:ascii="Arial Narrow" w:hAnsi="Arial Narrow"/>
                <w:bCs/>
                <w:sz w:val="20"/>
              </w:rPr>
            </w:pPr>
            <w:r w:rsidRPr="00961B75">
              <w:rPr>
                <w:rFonts w:ascii="Arial Narrow" w:hAnsi="Arial Narrow"/>
                <w:bCs/>
                <w:sz w:val="20"/>
              </w:rPr>
              <w:t>1, 4-6</w:t>
            </w:r>
          </w:p>
        </w:tc>
        <w:tc>
          <w:tcPr>
            <w:tcW w:w="798" w:type="dxa"/>
            <w:tcBorders>
              <w:bottom w:val="dashSmallGap" w:sz="4" w:space="0" w:color="auto"/>
            </w:tcBorders>
            <w:shd w:val="clear" w:color="auto" w:fill="auto"/>
            <w:vAlign w:val="center"/>
          </w:tcPr>
          <w:p w:rsidR="008605C0" w:rsidRPr="00961B75" w:rsidRDefault="008605C0" w:rsidP="004611DA">
            <w:pPr>
              <w:keepLines/>
              <w:widowControl/>
              <w:jc w:val="center"/>
              <w:rPr>
                <w:rFonts w:ascii="Arial Narrow" w:hAnsi="Arial Narrow"/>
                <w:bCs/>
                <w:sz w:val="20"/>
              </w:rPr>
            </w:pPr>
            <w:r w:rsidRPr="00961B75">
              <w:rPr>
                <w:rFonts w:ascii="Arial Narrow" w:hAnsi="Arial Narrow"/>
                <w:bCs/>
                <w:sz w:val="20"/>
              </w:rPr>
              <w:t>Mixed</w:t>
            </w:r>
          </w:p>
        </w:tc>
        <w:tc>
          <w:tcPr>
            <w:tcW w:w="1063" w:type="dxa"/>
            <w:tcBorders>
              <w:bottom w:val="dashSmallGap" w:sz="4" w:space="0" w:color="auto"/>
            </w:tcBorders>
            <w:shd w:val="clear" w:color="auto" w:fill="auto"/>
            <w:vAlign w:val="center"/>
          </w:tcPr>
          <w:p w:rsidR="008605C0" w:rsidRPr="00961B75" w:rsidRDefault="008605C0" w:rsidP="004611DA">
            <w:pPr>
              <w:keepLines/>
              <w:widowControl/>
              <w:jc w:val="center"/>
              <w:rPr>
                <w:rFonts w:ascii="Arial Narrow" w:hAnsi="Arial Narrow"/>
                <w:bCs/>
                <w:sz w:val="20"/>
              </w:rPr>
            </w:pPr>
            <w:r w:rsidRPr="00961B75">
              <w:rPr>
                <w:rFonts w:ascii="Arial Narrow" w:hAnsi="Arial Narrow"/>
                <w:bCs/>
                <w:sz w:val="20"/>
              </w:rPr>
              <w:t xml:space="preserve">Naïve </w:t>
            </w:r>
          </w:p>
        </w:tc>
        <w:tc>
          <w:tcPr>
            <w:tcW w:w="901" w:type="dxa"/>
            <w:tcBorders>
              <w:bottom w:val="dashSmallGap" w:sz="4" w:space="0" w:color="auto"/>
            </w:tcBorders>
            <w:shd w:val="clear" w:color="auto" w:fill="auto"/>
            <w:vAlign w:val="center"/>
          </w:tcPr>
          <w:p w:rsidR="008605C0" w:rsidRPr="00961B75" w:rsidRDefault="008605C0" w:rsidP="004611DA">
            <w:pPr>
              <w:keepLines/>
              <w:widowControl/>
              <w:jc w:val="center"/>
              <w:rPr>
                <w:rFonts w:ascii="Arial Narrow" w:hAnsi="Arial Narrow"/>
                <w:bCs/>
                <w:sz w:val="20"/>
              </w:rPr>
            </w:pPr>
            <w:r w:rsidRPr="00961B75">
              <w:rPr>
                <w:rFonts w:ascii="Arial Narrow" w:hAnsi="Arial Narrow"/>
                <w:bCs/>
                <w:sz w:val="20"/>
              </w:rPr>
              <w:t>SOF+PR</w:t>
            </w:r>
          </w:p>
        </w:tc>
        <w:tc>
          <w:tcPr>
            <w:tcW w:w="742" w:type="dxa"/>
            <w:tcBorders>
              <w:bottom w:val="dashSmallGap" w:sz="4" w:space="0" w:color="auto"/>
            </w:tcBorders>
            <w:shd w:val="clear" w:color="auto" w:fill="auto"/>
            <w:vAlign w:val="center"/>
          </w:tcPr>
          <w:p w:rsidR="008605C0" w:rsidRPr="00961B75" w:rsidRDefault="008605C0" w:rsidP="004611DA">
            <w:pPr>
              <w:keepLines/>
              <w:widowControl/>
              <w:jc w:val="center"/>
              <w:rPr>
                <w:rFonts w:ascii="Arial Narrow" w:hAnsi="Arial Narrow"/>
                <w:sz w:val="20"/>
              </w:rPr>
            </w:pPr>
            <w:r w:rsidRPr="00961B75">
              <w:rPr>
                <w:rFonts w:ascii="Arial Narrow" w:hAnsi="Arial Narrow"/>
                <w:sz w:val="20"/>
              </w:rPr>
              <w:t>12</w:t>
            </w:r>
          </w:p>
        </w:tc>
        <w:tc>
          <w:tcPr>
            <w:tcW w:w="742" w:type="dxa"/>
            <w:vMerge w:val="restart"/>
            <w:shd w:val="clear" w:color="auto" w:fill="auto"/>
            <w:vAlign w:val="center"/>
          </w:tcPr>
          <w:p w:rsidR="008605C0" w:rsidRPr="00961B75" w:rsidRDefault="008605C0" w:rsidP="004611DA">
            <w:pPr>
              <w:keepLines/>
              <w:widowControl/>
              <w:jc w:val="center"/>
              <w:rPr>
                <w:rFonts w:ascii="Arial Narrow" w:hAnsi="Arial Narrow"/>
                <w:sz w:val="20"/>
              </w:rPr>
            </w:pPr>
            <w:r w:rsidRPr="00961B75">
              <w:rPr>
                <w:rFonts w:ascii="Arial Narrow" w:hAnsi="Arial Narrow"/>
                <w:sz w:val="20"/>
              </w:rPr>
              <w:t>SVR12</w:t>
            </w:r>
          </w:p>
        </w:tc>
      </w:tr>
      <w:tr w:rsidR="008605C0" w:rsidRPr="00961B75" w:rsidTr="008605C0">
        <w:trPr>
          <w:cantSplit/>
          <w:trHeight w:val="339"/>
        </w:trPr>
        <w:tc>
          <w:tcPr>
            <w:tcW w:w="952" w:type="dxa"/>
            <w:tcBorders>
              <w:top w:val="dashSmallGap" w:sz="4" w:space="0" w:color="auto"/>
            </w:tcBorders>
            <w:shd w:val="clear" w:color="auto" w:fill="auto"/>
            <w:vAlign w:val="center"/>
          </w:tcPr>
          <w:p w:rsidR="008605C0" w:rsidRPr="00961B75" w:rsidRDefault="008605C0" w:rsidP="004611DA">
            <w:pPr>
              <w:keepLines/>
              <w:widowControl/>
              <w:ind w:left="76"/>
              <w:jc w:val="left"/>
              <w:rPr>
                <w:rFonts w:ascii="Arial Narrow" w:hAnsi="Arial Narrow"/>
                <w:sz w:val="20"/>
                <w:szCs w:val="16"/>
              </w:rPr>
            </w:pPr>
            <w:proofErr w:type="spellStart"/>
            <w:r w:rsidRPr="00961B75">
              <w:rPr>
                <w:rFonts w:ascii="Arial Narrow" w:hAnsi="Arial Narrow"/>
                <w:sz w:val="20"/>
                <w:szCs w:val="16"/>
              </w:rPr>
              <w:t>Gt</w:t>
            </w:r>
            <w:proofErr w:type="spellEnd"/>
            <w:r w:rsidRPr="00961B75">
              <w:rPr>
                <w:rFonts w:ascii="Arial Narrow" w:hAnsi="Arial Narrow"/>
                <w:sz w:val="20"/>
                <w:szCs w:val="16"/>
              </w:rPr>
              <w:t xml:space="preserve"> 4 </w:t>
            </w:r>
            <w:proofErr w:type="spellStart"/>
            <w:r w:rsidRPr="00961B75">
              <w:rPr>
                <w:rFonts w:ascii="Arial Narrow" w:hAnsi="Arial Narrow"/>
                <w:sz w:val="20"/>
                <w:szCs w:val="16"/>
              </w:rPr>
              <w:t>subgp</w:t>
            </w:r>
            <w:proofErr w:type="spellEnd"/>
          </w:p>
        </w:tc>
        <w:tc>
          <w:tcPr>
            <w:tcW w:w="352" w:type="dxa"/>
            <w:shd w:val="clear" w:color="auto" w:fill="auto"/>
            <w:vAlign w:val="center"/>
          </w:tcPr>
          <w:p w:rsidR="008605C0" w:rsidRPr="00961B75" w:rsidRDefault="008605C0" w:rsidP="004611DA">
            <w:pPr>
              <w:keepLines/>
              <w:widowControl/>
              <w:jc w:val="center"/>
              <w:rPr>
                <w:rFonts w:ascii="Arial Narrow" w:hAnsi="Arial Narrow"/>
                <w:bCs/>
                <w:sz w:val="20"/>
              </w:rPr>
            </w:pPr>
            <w:r w:rsidRPr="00961B75">
              <w:rPr>
                <w:rFonts w:ascii="Arial Narrow" w:hAnsi="Arial Narrow"/>
                <w:bCs/>
                <w:sz w:val="20"/>
              </w:rPr>
              <w:t>28</w:t>
            </w:r>
          </w:p>
        </w:tc>
        <w:tc>
          <w:tcPr>
            <w:tcW w:w="992" w:type="dxa"/>
            <w:vMerge/>
            <w:shd w:val="clear" w:color="auto" w:fill="auto"/>
            <w:vAlign w:val="center"/>
          </w:tcPr>
          <w:p w:rsidR="008605C0" w:rsidRPr="00961B75" w:rsidRDefault="008605C0" w:rsidP="004611DA">
            <w:pPr>
              <w:keepLines/>
              <w:widowControl/>
              <w:jc w:val="center"/>
              <w:rPr>
                <w:rFonts w:ascii="Arial Narrow" w:hAnsi="Arial Narrow"/>
                <w:bCs/>
                <w:sz w:val="20"/>
              </w:rPr>
            </w:pPr>
          </w:p>
        </w:tc>
        <w:tc>
          <w:tcPr>
            <w:tcW w:w="630" w:type="dxa"/>
            <w:vMerge/>
            <w:shd w:val="clear" w:color="auto" w:fill="auto"/>
            <w:vAlign w:val="center"/>
          </w:tcPr>
          <w:p w:rsidR="008605C0" w:rsidRPr="00961B75" w:rsidRDefault="008605C0" w:rsidP="004611DA">
            <w:pPr>
              <w:keepLines/>
              <w:widowControl/>
              <w:jc w:val="center"/>
              <w:rPr>
                <w:rFonts w:ascii="Arial Narrow" w:hAnsi="Arial Narrow"/>
                <w:bCs/>
                <w:iCs/>
                <w:sz w:val="20"/>
              </w:rPr>
            </w:pPr>
          </w:p>
        </w:tc>
        <w:tc>
          <w:tcPr>
            <w:tcW w:w="429" w:type="dxa"/>
            <w:tcBorders>
              <w:top w:val="dashSmallGap" w:sz="4" w:space="0" w:color="auto"/>
            </w:tcBorders>
            <w:shd w:val="clear" w:color="auto" w:fill="D9D9D9" w:themeFill="background1" w:themeFillShade="D9"/>
            <w:vAlign w:val="center"/>
          </w:tcPr>
          <w:p w:rsidR="008605C0" w:rsidRPr="00961B75" w:rsidRDefault="008605C0" w:rsidP="004611DA">
            <w:pPr>
              <w:keepLines/>
              <w:widowControl/>
              <w:jc w:val="center"/>
              <w:rPr>
                <w:rFonts w:ascii="Arial Narrow" w:hAnsi="Arial Narrow"/>
                <w:bCs/>
                <w:sz w:val="20"/>
              </w:rPr>
            </w:pPr>
            <w:r w:rsidRPr="00961B75">
              <w:rPr>
                <w:rFonts w:ascii="Arial Narrow" w:hAnsi="Arial Narrow"/>
                <w:bCs/>
                <w:sz w:val="20"/>
              </w:rPr>
              <w:t>-</w:t>
            </w:r>
          </w:p>
        </w:tc>
        <w:tc>
          <w:tcPr>
            <w:tcW w:w="406" w:type="dxa"/>
            <w:tcBorders>
              <w:top w:val="dashSmallGap" w:sz="4" w:space="0" w:color="auto"/>
            </w:tcBorders>
            <w:shd w:val="clear" w:color="auto" w:fill="D9D9D9" w:themeFill="background1" w:themeFillShade="D9"/>
            <w:vAlign w:val="center"/>
          </w:tcPr>
          <w:p w:rsidR="008605C0" w:rsidRPr="00961B75" w:rsidRDefault="008605C0" w:rsidP="004611DA">
            <w:pPr>
              <w:keepLines/>
              <w:widowControl/>
              <w:jc w:val="center"/>
              <w:rPr>
                <w:rFonts w:ascii="Arial Narrow" w:hAnsi="Arial Narrow"/>
                <w:bCs/>
                <w:sz w:val="20"/>
              </w:rPr>
            </w:pPr>
            <w:r w:rsidRPr="00961B75">
              <w:rPr>
                <w:rFonts w:ascii="Arial Narrow" w:hAnsi="Arial Narrow"/>
                <w:bCs/>
                <w:sz w:val="20"/>
              </w:rPr>
              <w:t>28</w:t>
            </w:r>
          </w:p>
        </w:tc>
        <w:tc>
          <w:tcPr>
            <w:tcW w:w="565" w:type="dxa"/>
            <w:tcBorders>
              <w:top w:val="dashSmallGap" w:sz="4" w:space="0" w:color="auto"/>
            </w:tcBorders>
            <w:shd w:val="clear" w:color="auto" w:fill="D9D9D9" w:themeFill="background1" w:themeFillShade="D9"/>
            <w:vAlign w:val="center"/>
          </w:tcPr>
          <w:p w:rsidR="008605C0" w:rsidRPr="00961B75" w:rsidRDefault="008605C0" w:rsidP="004611DA">
            <w:pPr>
              <w:keepLines/>
              <w:widowControl/>
              <w:jc w:val="center"/>
              <w:rPr>
                <w:rFonts w:ascii="Arial Narrow" w:hAnsi="Arial Narrow"/>
                <w:bCs/>
                <w:sz w:val="20"/>
              </w:rPr>
            </w:pPr>
            <w:r w:rsidRPr="00961B75">
              <w:rPr>
                <w:rFonts w:ascii="Arial Narrow" w:hAnsi="Arial Narrow"/>
                <w:bCs/>
                <w:sz w:val="20"/>
              </w:rPr>
              <w:t>4</w:t>
            </w:r>
          </w:p>
        </w:tc>
        <w:tc>
          <w:tcPr>
            <w:tcW w:w="798" w:type="dxa"/>
            <w:tcBorders>
              <w:top w:val="dashSmallGap" w:sz="4" w:space="0" w:color="auto"/>
            </w:tcBorders>
            <w:shd w:val="clear" w:color="auto" w:fill="D9D9D9" w:themeFill="background1" w:themeFillShade="D9"/>
            <w:vAlign w:val="center"/>
          </w:tcPr>
          <w:p w:rsidR="008605C0" w:rsidRPr="00961B75" w:rsidRDefault="008605C0" w:rsidP="004611DA">
            <w:pPr>
              <w:keepLines/>
              <w:widowControl/>
              <w:jc w:val="center"/>
              <w:rPr>
                <w:rFonts w:ascii="Arial Narrow" w:hAnsi="Arial Narrow"/>
                <w:bCs/>
                <w:sz w:val="20"/>
              </w:rPr>
            </w:pPr>
            <w:r w:rsidRPr="00961B75">
              <w:rPr>
                <w:rFonts w:ascii="Arial Narrow" w:hAnsi="Arial Narrow"/>
                <w:bCs/>
                <w:sz w:val="20"/>
              </w:rPr>
              <w:t>Mixed</w:t>
            </w:r>
          </w:p>
        </w:tc>
        <w:tc>
          <w:tcPr>
            <w:tcW w:w="1063" w:type="dxa"/>
            <w:tcBorders>
              <w:top w:val="dashSmallGap" w:sz="4" w:space="0" w:color="auto"/>
            </w:tcBorders>
            <w:shd w:val="clear" w:color="auto" w:fill="D9D9D9" w:themeFill="background1" w:themeFillShade="D9"/>
            <w:vAlign w:val="center"/>
          </w:tcPr>
          <w:p w:rsidR="008605C0" w:rsidRPr="00961B75" w:rsidRDefault="008605C0" w:rsidP="004611DA">
            <w:pPr>
              <w:keepLines/>
              <w:widowControl/>
              <w:jc w:val="center"/>
              <w:rPr>
                <w:rFonts w:ascii="Arial Narrow" w:hAnsi="Arial Narrow"/>
                <w:bCs/>
                <w:sz w:val="20"/>
              </w:rPr>
            </w:pPr>
            <w:r w:rsidRPr="00961B75">
              <w:rPr>
                <w:rFonts w:ascii="Arial Narrow" w:hAnsi="Arial Narrow"/>
                <w:bCs/>
                <w:sz w:val="20"/>
              </w:rPr>
              <w:t xml:space="preserve">Naïve </w:t>
            </w:r>
          </w:p>
        </w:tc>
        <w:tc>
          <w:tcPr>
            <w:tcW w:w="901" w:type="dxa"/>
            <w:tcBorders>
              <w:top w:val="dashSmallGap" w:sz="4" w:space="0" w:color="auto"/>
            </w:tcBorders>
            <w:shd w:val="clear" w:color="auto" w:fill="D9D9D9" w:themeFill="background1" w:themeFillShade="D9"/>
            <w:vAlign w:val="center"/>
          </w:tcPr>
          <w:p w:rsidR="008605C0" w:rsidRPr="00961B75" w:rsidRDefault="008605C0" w:rsidP="004611DA">
            <w:pPr>
              <w:keepLines/>
              <w:widowControl/>
              <w:jc w:val="center"/>
              <w:rPr>
                <w:rFonts w:ascii="Arial Narrow" w:hAnsi="Arial Narrow"/>
                <w:bCs/>
                <w:sz w:val="20"/>
              </w:rPr>
            </w:pPr>
            <w:r w:rsidRPr="00961B75">
              <w:rPr>
                <w:rFonts w:ascii="Arial Narrow" w:hAnsi="Arial Narrow"/>
                <w:bCs/>
                <w:sz w:val="20"/>
              </w:rPr>
              <w:t>SOF+PR</w:t>
            </w:r>
          </w:p>
        </w:tc>
        <w:tc>
          <w:tcPr>
            <w:tcW w:w="742" w:type="dxa"/>
            <w:tcBorders>
              <w:top w:val="dashSmallGap" w:sz="4" w:space="0" w:color="auto"/>
            </w:tcBorders>
            <w:shd w:val="clear" w:color="auto" w:fill="D9D9D9" w:themeFill="background1" w:themeFillShade="D9"/>
            <w:vAlign w:val="center"/>
          </w:tcPr>
          <w:p w:rsidR="008605C0" w:rsidRPr="00961B75" w:rsidRDefault="008605C0" w:rsidP="004611DA">
            <w:pPr>
              <w:keepLines/>
              <w:widowControl/>
              <w:jc w:val="center"/>
              <w:rPr>
                <w:rFonts w:ascii="Arial Narrow" w:hAnsi="Arial Narrow"/>
                <w:sz w:val="20"/>
              </w:rPr>
            </w:pPr>
            <w:r w:rsidRPr="00961B75">
              <w:rPr>
                <w:rFonts w:ascii="Arial Narrow" w:hAnsi="Arial Narrow"/>
                <w:sz w:val="20"/>
              </w:rPr>
              <w:t>12</w:t>
            </w:r>
          </w:p>
        </w:tc>
        <w:tc>
          <w:tcPr>
            <w:tcW w:w="742" w:type="dxa"/>
            <w:vMerge/>
            <w:vAlign w:val="center"/>
          </w:tcPr>
          <w:p w:rsidR="008605C0" w:rsidRPr="00961B75" w:rsidRDefault="008605C0" w:rsidP="004611DA">
            <w:pPr>
              <w:keepLines/>
              <w:widowControl/>
              <w:jc w:val="center"/>
              <w:rPr>
                <w:rFonts w:ascii="Arial Narrow" w:hAnsi="Arial Narrow"/>
                <w:sz w:val="20"/>
              </w:rPr>
            </w:pPr>
          </w:p>
        </w:tc>
      </w:tr>
      <w:tr w:rsidR="008605C0" w:rsidRPr="00961B75" w:rsidTr="008605C0">
        <w:trPr>
          <w:cantSplit/>
          <w:trHeight w:val="339"/>
        </w:trPr>
        <w:tc>
          <w:tcPr>
            <w:tcW w:w="952" w:type="dxa"/>
            <w:tcBorders>
              <w:top w:val="dashSmallGap" w:sz="4" w:space="0" w:color="auto"/>
            </w:tcBorders>
            <w:shd w:val="clear" w:color="auto" w:fill="auto"/>
            <w:vAlign w:val="center"/>
          </w:tcPr>
          <w:p w:rsidR="008605C0" w:rsidRPr="00961B75" w:rsidRDefault="008605C0" w:rsidP="004611DA">
            <w:pPr>
              <w:keepLines/>
              <w:widowControl/>
              <w:ind w:left="76"/>
              <w:jc w:val="left"/>
              <w:rPr>
                <w:rFonts w:ascii="Arial Narrow" w:hAnsi="Arial Narrow"/>
                <w:sz w:val="20"/>
                <w:szCs w:val="16"/>
              </w:rPr>
            </w:pPr>
            <w:r w:rsidRPr="00961B75">
              <w:rPr>
                <w:rFonts w:ascii="Arial Narrow" w:hAnsi="Arial Narrow"/>
                <w:sz w:val="20"/>
                <w:szCs w:val="16"/>
              </w:rPr>
              <w:t xml:space="preserve">Cirrhosis </w:t>
            </w:r>
            <w:proofErr w:type="spellStart"/>
            <w:r w:rsidRPr="00961B75">
              <w:rPr>
                <w:rFonts w:ascii="Arial Narrow" w:hAnsi="Arial Narrow"/>
                <w:sz w:val="20"/>
                <w:szCs w:val="16"/>
              </w:rPr>
              <w:t>subgp</w:t>
            </w:r>
            <w:proofErr w:type="spellEnd"/>
          </w:p>
        </w:tc>
        <w:tc>
          <w:tcPr>
            <w:tcW w:w="352" w:type="dxa"/>
            <w:shd w:val="clear" w:color="auto" w:fill="auto"/>
            <w:vAlign w:val="center"/>
          </w:tcPr>
          <w:p w:rsidR="008605C0" w:rsidRPr="00961B75" w:rsidRDefault="008605C0" w:rsidP="004611DA">
            <w:pPr>
              <w:keepLines/>
              <w:widowControl/>
              <w:jc w:val="center"/>
              <w:rPr>
                <w:rFonts w:ascii="Arial Narrow" w:hAnsi="Arial Narrow"/>
                <w:bCs/>
                <w:sz w:val="20"/>
              </w:rPr>
            </w:pPr>
            <w:r w:rsidRPr="00961B75">
              <w:rPr>
                <w:rFonts w:ascii="Arial Narrow" w:hAnsi="Arial Narrow"/>
                <w:bCs/>
                <w:sz w:val="20"/>
              </w:rPr>
              <w:t>54</w:t>
            </w:r>
          </w:p>
        </w:tc>
        <w:tc>
          <w:tcPr>
            <w:tcW w:w="992" w:type="dxa"/>
            <w:vMerge/>
            <w:shd w:val="clear" w:color="auto" w:fill="auto"/>
            <w:vAlign w:val="center"/>
          </w:tcPr>
          <w:p w:rsidR="008605C0" w:rsidRPr="00961B75" w:rsidRDefault="008605C0" w:rsidP="004611DA">
            <w:pPr>
              <w:keepLines/>
              <w:widowControl/>
              <w:jc w:val="center"/>
              <w:rPr>
                <w:rFonts w:ascii="Arial Narrow" w:hAnsi="Arial Narrow"/>
                <w:bCs/>
                <w:sz w:val="20"/>
              </w:rPr>
            </w:pPr>
          </w:p>
        </w:tc>
        <w:tc>
          <w:tcPr>
            <w:tcW w:w="630" w:type="dxa"/>
            <w:vMerge/>
            <w:shd w:val="clear" w:color="auto" w:fill="auto"/>
            <w:vAlign w:val="center"/>
          </w:tcPr>
          <w:p w:rsidR="008605C0" w:rsidRPr="00961B75" w:rsidRDefault="008605C0" w:rsidP="004611DA">
            <w:pPr>
              <w:keepLines/>
              <w:widowControl/>
              <w:jc w:val="center"/>
              <w:rPr>
                <w:rFonts w:ascii="Arial Narrow" w:hAnsi="Arial Narrow"/>
                <w:bCs/>
                <w:iCs/>
                <w:sz w:val="20"/>
              </w:rPr>
            </w:pPr>
          </w:p>
        </w:tc>
        <w:tc>
          <w:tcPr>
            <w:tcW w:w="429" w:type="dxa"/>
            <w:tcBorders>
              <w:top w:val="dashSmallGap" w:sz="4" w:space="0" w:color="auto"/>
            </w:tcBorders>
            <w:shd w:val="clear" w:color="auto" w:fill="D9D9D9" w:themeFill="background1" w:themeFillShade="D9"/>
            <w:vAlign w:val="center"/>
          </w:tcPr>
          <w:p w:rsidR="008605C0" w:rsidRPr="00961B75" w:rsidRDefault="008605C0" w:rsidP="004611DA">
            <w:pPr>
              <w:keepLines/>
              <w:widowControl/>
              <w:jc w:val="center"/>
              <w:rPr>
                <w:rFonts w:ascii="Arial Narrow" w:hAnsi="Arial Narrow"/>
                <w:bCs/>
                <w:sz w:val="20"/>
              </w:rPr>
            </w:pPr>
            <w:r w:rsidRPr="00961B75">
              <w:rPr>
                <w:rFonts w:ascii="Arial Narrow" w:hAnsi="Arial Narrow"/>
                <w:bCs/>
                <w:sz w:val="20"/>
              </w:rPr>
              <w:t>-</w:t>
            </w:r>
          </w:p>
        </w:tc>
        <w:tc>
          <w:tcPr>
            <w:tcW w:w="406" w:type="dxa"/>
            <w:tcBorders>
              <w:top w:val="dashSmallGap" w:sz="4" w:space="0" w:color="auto"/>
            </w:tcBorders>
            <w:shd w:val="clear" w:color="auto" w:fill="D9D9D9" w:themeFill="background1" w:themeFillShade="D9"/>
            <w:vAlign w:val="center"/>
          </w:tcPr>
          <w:p w:rsidR="008605C0" w:rsidRPr="00961B75" w:rsidRDefault="008605C0" w:rsidP="004611DA">
            <w:pPr>
              <w:keepLines/>
              <w:widowControl/>
              <w:jc w:val="center"/>
              <w:rPr>
                <w:rFonts w:ascii="Arial Narrow" w:hAnsi="Arial Narrow"/>
                <w:bCs/>
                <w:sz w:val="20"/>
              </w:rPr>
            </w:pPr>
            <w:r w:rsidRPr="00961B75">
              <w:rPr>
                <w:rFonts w:ascii="Arial Narrow" w:hAnsi="Arial Narrow"/>
                <w:bCs/>
                <w:sz w:val="20"/>
              </w:rPr>
              <w:t>54</w:t>
            </w:r>
          </w:p>
        </w:tc>
        <w:tc>
          <w:tcPr>
            <w:tcW w:w="565" w:type="dxa"/>
            <w:tcBorders>
              <w:top w:val="dashSmallGap" w:sz="4" w:space="0" w:color="auto"/>
            </w:tcBorders>
            <w:shd w:val="clear" w:color="auto" w:fill="D9D9D9" w:themeFill="background1" w:themeFillShade="D9"/>
            <w:vAlign w:val="center"/>
          </w:tcPr>
          <w:p w:rsidR="008605C0" w:rsidRPr="00961B75" w:rsidRDefault="008605C0" w:rsidP="004611DA">
            <w:pPr>
              <w:keepLines/>
              <w:widowControl/>
              <w:jc w:val="center"/>
              <w:rPr>
                <w:rFonts w:ascii="Arial Narrow" w:hAnsi="Arial Narrow"/>
                <w:bCs/>
                <w:sz w:val="20"/>
              </w:rPr>
            </w:pPr>
            <w:r w:rsidRPr="00961B75">
              <w:rPr>
                <w:rFonts w:ascii="Arial Narrow" w:hAnsi="Arial Narrow"/>
                <w:bCs/>
                <w:sz w:val="20"/>
              </w:rPr>
              <w:t>1, 4-6</w:t>
            </w:r>
          </w:p>
        </w:tc>
        <w:tc>
          <w:tcPr>
            <w:tcW w:w="798" w:type="dxa"/>
            <w:tcBorders>
              <w:top w:val="dashSmallGap" w:sz="4" w:space="0" w:color="auto"/>
            </w:tcBorders>
            <w:shd w:val="clear" w:color="auto" w:fill="D9D9D9" w:themeFill="background1" w:themeFillShade="D9"/>
            <w:vAlign w:val="center"/>
          </w:tcPr>
          <w:p w:rsidR="008605C0" w:rsidRPr="00961B75" w:rsidRDefault="008605C0" w:rsidP="004611DA">
            <w:pPr>
              <w:keepLines/>
              <w:widowControl/>
              <w:jc w:val="center"/>
              <w:rPr>
                <w:rFonts w:ascii="Arial Narrow" w:hAnsi="Arial Narrow"/>
                <w:bCs/>
                <w:sz w:val="20"/>
              </w:rPr>
            </w:pPr>
            <w:r w:rsidRPr="00961B75">
              <w:rPr>
                <w:rFonts w:ascii="Arial Narrow" w:hAnsi="Arial Narrow"/>
                <w:bCs/>
                <w:sz w:val="20"/>
              </w:rPr>
              <w:t>Yes</w:t>
            </w:r>
          </w:p>
        </w:tc>
        <w:tc>
          <w:tcPr>
            <w:tcW w:w="1063" w:type="dxa"/>
            <w:tcBorders>
              <w:top w:val="dashSmallGap" w:sz="4" w:space="0" w:color="auto"/>
            </w:tcBorders>
            <w:shd w:val="clear" w:color="auto" w:fill="D9D9D9" w:themeFill="background1" w:themeFillShade="D9"/>
            <w:vAlign w:val="center"/>
          </w:tcPr>
          <w:p w:rsidR="008605C0" w:rsidRPr="00961B75" w:rsidRDefault="008605C0" w:rsidP="004611DA">
            <w:pPr>
              <w:keepLines/>
              <w:widowControl/>
              <w:jc w:val="center"/>
              <w:rPr>
                <w:rFonts w:ascii="Arial Narrow" w:hAnsi="Arial Narrow"/>
                <w:bCs/>
                <w:sz w:val="20"/>
              </w:rPr>
            </w:pPr>
            <w:r w:rsidRPr="00961B75">
              <w:rPr>
                <w:rFonts w:ascii="Arial Narrow" w:hAnsi="Arial Narrow"/>
                <w:bCs/>
                <w:sz w:val="20"/>
              </w:rPr>
              <w:t>Naïve</w:t>
            </w:r>
          </w:p>
        </w:tc>
        <w:tc>
          <w:tcPr>
            <w:tcW w:w="901" w:type="dxa"/>
            <w:tcBorders>
              <w:top w:val="dashSmallGap" w:sz="4" w:space="0" w:color="auto"/>
            </w:tcBorders>
            <w:shd w:val="clear" w:color="auto" w:fill="D9D9D9" w:themeFill="background1" w:themeFillShade="D9"/>
            <w:vAlign w:val="center"/>
          </w:tcPr>
          <w:p w:rsidR="008605C0" w:rsidRPr="00961B75" w:rsidRDefault="008605C0" w:rsidP="004611DA">
            <w:pPr>
              <w:keepLines/>
              <w:widowControl/>
              <w:jc w:val="center"/>
              <w:rPr>
                <w:rFonts w:ascii="Arial Narrow" w:hAnsi="Arial Narrow"/>
                <w:bCs/>
                <w:sz w:val="20"/>
              </w:rPr>
            </w:pPr>
            <w:r w:rsidRPr="00961B75">
              <w:rPr>
                <w:rFonts w:ascii="Arial Narrow" w:hAnsi="Arial Narrow"/>
                <w:bCs/>
                <w:sz w:val="20"/>
              </w:rPr>
              <w:t>SOF+PR</w:t>
            </w:r>
          </w:p>
        </w:tc>
        <w:tc>
          <w:tcPr>
            <w:tcW w:w="742" w:type="dxa"/>
            <w:tcBorders>
              <w:top w:val="dashSmallGap" w:sz="4" w:space="0" w:color="auto"/>
            </w:tcBorders>
            <w:shd w:val="clear" w:color="auto" w:fill="D9D9D9" w:themeFill="background1" w:themeFillShade="D9"/>
            <w:vAlign w:val="center"/>
          </w:tcPr>
          <w:p w:rsidR="008605C0" w:rsidRPr="00961B75" w:rsidRDefault="008605C0" w:rsidP="004611DA">
            <w:pPr>
              <w:keepLines/>
              <w:widowControl/>
              <w:jc w:val="center"/>
              <w:rPr>
                <w:rFonts w:ascii="Arial Narrow" w:hAnsi="Arial Narrow"/>
                <w:sz w:val="20"/>
              </w:rPr>
            </w:pPr>
            <w:r w:rsidRPr="00961B75">
              <w:rPr>
                <w:rFonts w:ascii="Arial Narrow" w:hAnsi="Arial Narrow"/>
                <w:sz w:val="20"/>
              </w:rPr>
              <w:t>12</w:t>
            </w:r>
          </w:p>
        </w:tc>
        <w:tc>
          <w:tcPr>
            <w:tcW w:w="742" w:type="dxa"/>
            <w:vMerge/>
            <w:vAlign w:val="center"/>
          </w:tcPr>
          <w:p w:rsidR="008605C0" w:rsidRPr="00961B75" w:rsidRDefault="008605C0" w:rsidP="004611DA">
            <w:pPr>
              <w:keepLines/>
              <w:widowControl/>
              <w:jc w:val="center"/>
              <w:rPr>
                <w:rFonts w:ascii="Arial Narrow" w:hAnsi="Arial Narrow"/>
                <w:sz w:val="20"/>
              </w:rPr>
            </w:pPr>
          </w:p>
        </w:tc>
      </w:tr>
      <w:tr w:rsidR="008605C0" w:rsidRPr="00961B75" w:rsidTr="008605C0">
        <w:trPr>
          <w:cantSplit/>
          <w:trHeight w:val="339"/>
        </w:trPr>
        <w:tc>
          <w:tcPr>
            <w:tcW w:w="952" w:type="dxa"/>
            <w:shd w:val="clear" w:color="auto" w:fill="auto"/>
            <w:vAlign w:val="center"/>
          </w:tcPr>
          <w:p w:rsidR="008605C0" w:rsidRPr="00961B75" w:rsidRDefault="008605C0" w:rsidP="004611DA">
            <w:pPr>
              <w:keepLines/>
              <w:widowControl/>
              <w:jc w:val="left"/>
              <w:rPr>
                <w:rFonts w:ascii="Arial Narrow" w:hAnsi="Arial Narrow"/>
                <w:sz w:val="20"/>
                <w:szCs w:val="16"/>
              </w:rPr>
            </w:pPr>
            <w:proofErr w:type="spellStart"/>
            <w:r w:rsidRPr="00961B75">
              <w:rPr>
                <w:rFonts w:ascii="Arial Narrow" w:hAnsi="Arial Narrow"/>
                <w:sz w:val="20"/>
                <w:szCs w:val="16"/>
              </w:rPr>
              <w:t>Wehmeyer</w:t>
            </w:r>
            <w:proofErr w:type="spellEnd"/>
            <w:r w:rsidRPr="00961B75">
              <w:rPr>
                <w:rFonts w:ascii="Arial Narrow" w:hAnsi="Arial Narrow"/>
                <w:sz w:val="20"/>
                <w:szCs w:val="16"/>
              </w:rPr>
              <w:t xml:space="preserve"> 2015</w:t>
            </w:r>
            <w:r w:rsidR="00BF312E" w:rsidRPr="00961B75">
              <w:rPr>
                <w:rFonts w:ascii="Arial Narrow" w:hAnsi="Arial Narrow"/>
                <w:b/>
                <w:iCs/>
                <w:sz w:val="20"/>
                <w:vertAlign w:val="superscript"/>
              </w:rPr>
              <w:t>d</w:t>
            </w:r>
          </w:p>
        </w:tc>
        <w:tc>
          <w:tcPr>
            <w:tcW w:w="352" w:type="dxa"/>
            <w:shd w:val="clear" w:color="auto" w:fill="auto"/>
            <w:vAlign w:val="center"/>
          </w:tcPr>
          <w:p w:rsidR="008605C0" w:rsidRPr="00961B75" w:rsidRDefault="008605C0" w:rsidP="004611DA">
            <w:pPr>
              <w:keepLines/>
              <w:widowControl/>
              <w:jc w:val="center"/>
              <w:rPr>
                <w:rFonts w:ascii="Arial Narrow" w:hAnsi="Arial Narrow"/>
                <w:bCs/>
                <w:sz w:val="20"/>
              </w:rPr>
            </w:pPr>
            <w:r w:rsidRPr="00961B75">
              <w:rPr>
                <w:rFonts w:ascii="Arial Narrow" w:hAnsi="Arial Narrow"/>
                <w:bCs/>
                <w:sz w:val="20"/>
              </w:rPr>
              <w:t>87</w:t>
            </w:r>
          </w:p>
        </w:tc>
        <w:tc>
          <w:tcPr>
            <w:tcW w:w="992" w:type="dxa"/>
            <w:shd w:val="clear" w:color="auto" w:fill="auto"/>
            <w:vAlign w:val="center"/>
          </w:tcPr>
          <w:p w:rsidR="008605C0" w:rsidRPr="00961B75" w:rsidRDefault="008605C0" w:rsidP="004611DA">
            <w:pPr>
              <w:keepLines/>
              <w:widowControl/>
              <w:jc w:val="center"/>
              <w:rPr>
                <w:rFonts w:ascii="Arial Narrow" w:hAnsi="Arial Narrow"/>
                <w:bCs/>
                <w:sz w:val="20"/>
              </w:rPr>
            </w:pPr>
            <w:r w:rsidRPr="00961B75">
              <w:rPr>
                <w:rFonts w:ascii="Arial Narrow" w:hAnsi="Arial Narrow"/>
                <w:bCs/>
                <w:sz w:val="20"/>
              </w:rPr>
              <w:t>MC, Cohort</w:t>
            </w:r>
          </w:p>
        </w:tc>
        <w:tc>
          <w:tcPr>
            <w:tcW w:w="630" w:type="dxa"/>
            <w:shd w:val="clear" w:color="auto" w:fill="auto"/>
            <w:vAlign w:val="center"/>
          </w:tcPr>
          <w:p w:rsidR="008605C0" w:rsidRPr="00961B75" w:rsidRDefault="008605C0" w:rsidP="004611DA">
            <w:pPr>
              <w:keepLines/>
              <w:widowControl/>
              <w:jc w:val="center"/>
              <w:rPr>
                <w:rFonts w:ascii="Arial Narrow" w:hAnsi="Arial Narrow"/>
                <w:bCs/>
                <w:iCs/>
                <w:sz w:val="20"/>
              </w:rPr>
            </w:pPr>
            <w:r w:rsidRPr="00961B75">
              <w:rPr>
                <w:rFonts w:ascii="Arial Narrow" w:hAnsi="Arial Narrow"/>
                <w:bCs/>
                <w:iCs/>
                <w:sz w:val="20"/>
              </w:rPr>
              <w:t>NA</w:t>
            </w:r>
          </w:p>
        </w:tc>
        <w:tc>
          <w:tcPr>
            <w:tcW w:w="429" w:type="dxa"/>
            <w:shd w:val="clear" w:color="auto" w:fill="D9D9D9" w:themeFill="background1" w:themeFillShade="D9"/>
            <w:vAlign w:val="center"/>
          </w:tcPr>
          <w:p w:rsidR="008605C0" w:rsidRPr="00961B75" w:rsidRDefault="008605C0" w:rsidP="004611DA">
            <w:pPr>
              <w:keepLines/>
              <w:widowControl/>
              <w:jc w:val="center"/>
              <w:rPr>
                <w:rFonts w:ascii="Arial Narrow" w:hAnsi="Arial Narrow"/>
                <w:bCs/>
                <w:sz w:val="20"/>
              </w:rPr>
            </w:pPr>
            <w:r w:rsidRPr="00961B75">
              <w:rPr>
                <w:rFonts w:ascii="Arial Narrow" w:hAnsi="Arial Narrow"/>
                <w:bCs/>
                <w:sz w:val="20"/>
              </w:rPr>
              <w:t>1</w:t>
            </w:r>
          </w:p>
        </w:tc>
        <w:tc>
          <w:tcPr>
            <w:tcW w:w="406" w:type="dxa"/>
            <w:shd w:val="clear" w:color="auto" w:fill="D9D9D9" w:themeFill="background1" w:themeFillShade="D9"/>
            <w:vAlign w:val="center"/>
          </w:tcPr>
          <w:p w:rsidR="008605C0" w:rsidRPr="00961B75" w:rsidRDefault="008605C0" w:rsidP="004611DA">
            <w:pPr>
              <w:keepLines/>
              <w:widowControl/>
              <w:jc w:val="center"/>
              <w:rPr>
                <w:rFonts w:ascii="Arial Narrow" w:hAnsi="Arial Narrow"/>
                <w:bCs/>
                <w:sz w:val="20"/>
              </w:rPr>
            </w:pPr>
            <w:r w:rsidRPr="00961B75">
              <w:rPr>
                <w:rFonts w:ascii="Arial Narrow" w:hAnsi="Arial Narrow"/>
                <w:bCs/>
                <w:sz w:val="20"/>
              </w:rPr>
              <w:t>24</w:t>
            </w:r>
          </w:p>
        </w:tc>
        <w:tc>
          <w:tcPr>
            <w:tcW w:w="565" w:type="dxa"/>
            <w:shd w:val="clear" w:color="auto" w:fill="D9D9D9" w:themeFill="background1" w:themeFillShade="D9"/>
            <w:vAlign w:val="center"/>
          </w:tcPr>
          <w:p w:rsidR="008605C0" w:rsidRPr="00961B75" w:rsidRDefault="008605C0" w:rsidP="004611DA">
            <w:pPr>
              <w:keepLines/>
              <w:widowControl/>
              <w:jc w:val="center"/>
              <w:rPr>
                <w:rFonts w:ascii="Arial Narrow" w:hAnsi="Arial Narrow"/>
                <w:bCs/>
                <w:sz w:val="20"/>
              </w:rPr>
            </w:pPr>
            <w:r w:rsidRPr="00961B75">
              <w:rPr>
                <w:rFonts w:ascii="Arial Narrow" w:hAnsi="Arial Narrow"/>
                <w:bCs/>
                <w:sz w:val="20"/>
              </w:rPr>
              <w:t>4</w:t>
            </w:r>
          </w:p>
        </w:tc>
        <w:tc>
          <w:tcPr>
            <w:tcW w:w="798" w:type="dxa"/>
            <w:shd w:val="clear" w:color="auto" w:fill="D9D9D9" w:themeFill="background1" w:themeFillShade="D9"/>
            <w:vAlign w:val="center"/>
          </w:tcPr>
          <w:p w:rsidR="008605C0" w:rsidRPr="00961B75" w:rsidRDefault="008605C0" w:rsidP="004611DA">
            <w:pPr>
              <w:keepLines/>
              <w:widowControl/>
              <w:jc w:val="center"/>
              <w:rPr>
                <w:rFonts w:ascii="Arial Narrow" w:hAnsi="Arial Narrow"/>
                <w:bCs/>
                <w:sz w:val="20"/>
              </w:rPr>
            </w:pPr>
            <w:r w:rsidRPr="00961B75">
              <w:rPr>
                <w:rFonts w:ascii="Arial Narrow" w:hAnsi="Arial Narrow"/>
                <w:bCs/>
                <w:sz w:val="20"/>
              </w:rPr>
              <w:t>Mixed</w:t>
            </w:r>
          </w:p>
        </w:tc>
        <w:tc>
          <w:tcPr>
            <w:tcW w:w="1063" w:type="dxa"/>
            <w:shd w:val="clear" w:color="auto" w:fill="D9D9D9" w:themeFill="background1" w:themeFillShade="D9"/>
            <w:vAlign w:val="center"/>
          </w:tcPr>
          <w:p w:rsidR="008605C0" w:rsidRPr="00961B75" w:rsidRDefault="008605C0" w:rsidP="004611DA">
            <w:pPr>
              <w:keepLines/>
              <w:widowControl/>
              <w:jc w:val="center"/>
              <w:rPr>
                <w:rFonts w:ascii="Arial Narrow" w:hAnsi="Arial Narrow"/>
                <w:bCs/>
                <w:sz w:val="20"/>
                <w:vertAlign w:val="superscript"/>
              </w:rPr>
            </w:pPr>
            <w:r w:rsidRPr="00961B75">
              <w:rPr>
                <w:rFonts w:ascii="Arial Narrow" w:hAnsi="Arial Narrow"/>
                <w:bCs/>
                <w:sz w:val="20"/>
              </w:rPr>
              <w:t xml:space="preserve">Naïve or </w:t>
            </w:r>
            <w:proofErr w:type="spellStart"/>
            <w:r w:rsidRPr="00961B75">
              <w:rPr>
                <w:rFonts w:ascii="Arial Narrow" w:hAnsi="Arial Narrow"/>
                <w:bCs/>
                <w:sz w:val="20"/>
              </w:rPr>
              <w:t>experienced</w:t>
            </w:r>
            <w:r w:rsidR="004F68EB" w:rsidRPr="00961B75">
              <w:rPr>
                <w:rFonts w:ascii="Arial Narrow" w:hAnsi="Arial Narrow"/>
                <w:bCs/>
                <w:sz w:val="20"/>
                <w:vertAlign w:val="superscript"/>
              </w:rPr>
              <w:t>c</w:t>
            </w:r>
            <w:proofErr w:type="spellEnd"/>
          </w:p>
        </w:tc>
        <w:tc>
          <w:tcPr>
            <w:tcW w:w="901" w:type="dxa"/>
            <w:shd w:val="clear" w:color="auto" w:fill="D9D9D9" w:themeFill="background1" w:themeFillShade="D9"/>
            <w:vAlign w:val="center"/>
          </w:tcPr>
          <w:p w:rsidR="008605C0" w:rsidRPr="00961B75" w:rsidRDefault="008605C0" w:rsidP="004611DA">
            <w:pPr>
              <w:keepLines/>
              <w:widowControl/>
              <w:jc w:val="center"/>
              <w:rPr>
                <w:rFonts w:ascii="Arial Narrow" w:hAnsi="Arial Narrow"/>
                <w:bCs/>
                <w:sz w:val="20"/>
              </w:rPr>
            </w:pPr>
            <w:r w:rsidRPr="00961B75">
              <w:rPr>
                <w:rFonts w:ascii="Arial Narrow" w:hAnsi="Arial Narrow"/>
                <w:bCs/>
                <w:sz w:val="20"/>
              </w:rPr>
              <w:t>SOF +PR</w:t>
            </w:r>
          </w:p>
        </w:tc>
        <w:tc>
          <w:tcPr>
            <w:tcW w:w="742" w:type="dxa"/>
            <w:shd w:val="clear" w:color="auto" w:fill="D9D9D9" w:themeFill="background1" w:themeFillShade="D9"/>
            <w:vAlign w:val="center"/>
          </w:tcPr>
          <w:p w:rsidR="008605C0" w:rsidRPr="00961B75" w:rsidRDefault="008605C0" w:rsidP="004611DA">
            <w:pPr>
              <w:keepLines/>
              <w:widowControl/>
              <w:jc w:val="center"/>
              <w:rPr>
                <w:rFonts w:ascii="Arial Narrow" w:hAnsi="Arial Narrow"/>
                <w:sz w:val="20"/>
              </w:rPr>
            </w:pPr>
            <w:r w:rsidRPr="00961B75">
              <w:rPr>
                <w:rFonts w:ascii="Arial Narrow" w:hAnsi="Arial Narrow"/>
                <w:sz w:val="20"/>
              </w:rPr>
              <w:t>12</w:t>
            </w:r>
          </w:p>
        </w:tc>
        <w:tc>
          <w:tcPr>
            <w:tcW w:w="742" w:type="dxa"/>
            <w:vAlign w:val="center"/>
          </w:tcPr>
          <w:p w:rsidR="008605C0" w:rsidRPr="00961B75" w:rsidRDefault="008605C0" w:rsidP="004611DA">
            <w:pPr>
              <w:keepLines/>
              <w:widowControl/>
              <w:jc w:val="center"/>
              <w:rPr>
                <w:rFonts w:ascii="Arial Narrow" w:hAnsi="Arial Narrow"/>
                <w:sz w:val="20"/>
              </w:rPr>
            </w:pPr>
            <w:r w:rsidRPr="00961B75">
              <w:rPr>
                <w:rFonts w:ascii="Arial Narrow" w:hAnsi="Arial Narrow"/>
                <w:sz w:val="20"/>
              </w:rPr>
              <w:t>SVR12</w:t>
            </w:r>
          </w:p>
        </w:tc>
      </w:tr>
    </w:tbl>
    <w:p w:rsidR="008605C0" w:rsidRPr="00961B75" w:rsidRDefault="008605C0" w:rsidP="004611DA">
      <w:pPr>
        <w:widowControl/>
        <w:ind w:left="709"/>
        <w:rPr>
          <w:rFonts w:ascii="Arial Narrow" w:hAnsi="Arial Narrow"/>
          <w:iCs/>
          <w:sz w:val="18"/>
        </w:rPr>
      </w:pPr>
      <w:r w:rsidRPr="00961B75">
        <w:rPr>
          <w:rFonts w:ascii="Arial Narrow" w:hAnsi="Arial Narrow"/>
          <w:iCs/>
          <w:sz w:val="18"/>
        </w:rPr>
        <w:t xml:space="preserve">Note: </w:t>
      </w:r>
      <w:proofErr w:type="spellStart"/>
      <w:r w:rsidRPr="00961B75">
        <w:rPr>
          <w:rFonts w:ascii="Arial Narrow" w:hAnsi="Arial Narrow"/>
          <w:iCs/>
          <w:sz w:val="18"/>
        </w:rPr>
        <w:t>Technivie</w:t>
      </w:r>
      <w:proofErr w:type="spellEnd"/>
      <w:r w:rsidRPr="00961B75">
        <w:rPr>
          <w:rFonts w:ascii="Arial Narrow" w:hAnsi="Arial Narrow"/>
          <w:iCs/>
          <w:sz w:val="18"/>
        </w:rPr>
        <w:t>® represents treatment with paritaprevir/ritonavir/ombitasvir. Treatment</w:t>
      </w:r>
      <w:r w:rsidR="00C255E6">
        <w:rPr>
          <w:rFonts w:ascii="Arial Narrow" w:hAnsi="Arial Narrow"/>
          <w:iCs/>
          <w:sz w:val="18"/>
        </w:rPr>
        <w:t xml:space="preserve"> </w:t>
      </w:r>
      <w:r w:rsidRPr="00961B75">
        <w:rPr>
          <w:rFonts w:ascii="Arial Narrow" w:hAnsi="Arial Narrow"/>
          <w:iCs/>
          <w:sz w:val="18"/>
        </w:rPr>
        <w:t xml:space="preserve">experienced patients include those who have failed </w:t>
      </w:r>
      <w:proofErr w:type="spellStart"/>
      <w:r w:rsidRPr="00961B75">
        <w:rPr>
          <w:rFonts w:ascii="Arial Narrow" w:hAnsi="Arial Narrow"/>
          <w:iCs/>
          <w:sz w:val="18"/>
        </w:rPr>
        <w:t>peginterferon</w:t>
      </w:r>
      <w:proofErr w:type="spellEnd"/>
      <w:r w:rsidRPr="00961B75">
        <w:rPr>
          <w:rFonts w:ascii="Arial Narrow" w:hAnsi="Arial Narrow"/>
          <w:iCs/>
          <w:sz w:val="18"/>
        </w:rPr>
        <w:t xml:space="preserve"> plus ribavirin. Shaded cells represent the treatment arms that are included in the naïve indirect comparisons.</w:t>
      </w:r>
    </w:p>
    <w:p w:rsidR="008605C0" w:rsidRPr="00961B75" w:rsidRDefault="008605C0" w:rsidP="004611DA">
      <w:pPr>
        <w:widowControl/>
        <w:ind w:left="709"/>
        <w:rPr>
          <w:rFonts w:ascii="Arial Narrow" w:hAnsi="Arial Narrow"/>
          <w:sz w:val="18"/>
          <w:szCs w:val="18"/>
        </w:rPr>
      </w:pPr>
      <w:r w:rsidRPr="00961B75">
        <w:rPr>
          <w:rFonts w:ascii="Arial Narrow" w:hAnsi="Arial Narrow"/>
          <w:sz w:val="18"/>
          <w:szCs w:val="18"/>
        </w:rPr>
        <w:t xml:space="preserve">Abbreviations: CO = crossover; D=delayed treatment group, DB = double-blind; DTG = deferred treatment group; EBR = elbasvir; GRZ = grazoprevir; </w:t>
      </w:r>
      <w:proofErr w:type="spellStart"/>
      <w:r w:rsidRPr="00961B75">
        <w:rPr>
          <w:rFonts w:ascii="Arial Narrow" w:hAnsi="Arial Narrow"/>
          <w:sz w:val="18"/>
          <w:szCs w:val="18"/>
        </w:rPr>
        <w:t>Gt</w:t>
      </w:r>
      <w:proofErr w:type="spellEnd"/>
      <w:r w:rsidRPr="00961B75">
        <w:rPr>
          <w:rFonts w:ascii="Arial Narrow" w:hAnsi="Arial Narrow"/>
          <w:sz w:val="18"/>
          <w:szCs w:val="18"/>
        </w:rPr>
        <w:t xml:space="preserve"> = genotype; HCV = hepatitis C virus; HIV = human immunodeficiency virus; ITG = immediate treatment group; MC = multi-centre; NA = not applicable; OL = open-label; PBO = placebo; PR = </w:t>
      </w:r>
      <w:proofErr w:type="spellStart"/>
      <w:r w:rsidRPr="00961B75">
        <w:rPr>
          <w:rFonts w:ascii="Arial Narrow" w:hAnsi="Arial Narrow"/>
          <w:sz w:val="18"/>
          <w:szCs w:val="18"/>
        </w:rPr>
        <w:t>peginterferon</w:t>
      </w:r>
      <w:proofErr w:type="spellEnd"/>
      <w:r w:rsidRPr="00961B75">
        <w:rPr>
          <w:rFonts w:ascii="Arial Narrow" w:hAnsi="Arial Narrow"/>
          <w:sz w:val="18"/>
          <w:szCs w:val="18"/>
        </w:rPr>
        <w:t xml:space="preserve"> plus ribavirin; R = randomised; RBV=ribavirin; </w:t>
      </w:r>
      <w:proofErr w:type="spellStart"/>
      <w:r w:rsidRPr="00961B75">
        <w:rPr>
          <w:rFonts w:ascii="Arial Narrow" w:hAnsi="Arial Narrow"/>
          <w:sz w:val="18"/>
          <w:szCs w:val="18"/>
        </w:rPr>
        <w:t>Tx</w:t>
      </w:r>
      <w:proofErr w:type="spellEnd"/>
      <w:r w:rsidRPr="00961B75">
        <w:rPr>
          <w:rFonts w:ascii="Arial Narrow" w:hAnsi="Arial Narrow"/>
          <w:sz w:val="18"/>
          <w:szCs w:val="18"/>
        </w:rPr>
        <w:t xml:space="preserve"> = treatment; SOF = sofosbuvir; </w:t>
      </w:r>
      <w:proofErr w:type="spellStart"/>
      <w:r w:rsidRPr="00961B75">
        <w:rPr>
          <w:rFonts w:ascii="Arial Narrow" w:hAnsi="Arial Narrow"/>
          <w:sz w:val="18"/>
          <w:szCs w:val="18"/>
        </w:rPr>
        <w:t>subgp</w:t>
      </w:r>
      <w:proofErr w:type="spellEnd"/>
      <w:r w:rsidRPr="00961B75">
        <w:rPr>
          <w:rFonts w:ascii="Arial Narrow" w:hAnsi="Arial Narrow"/>
          <w:sz w:val="18"/>
          <w:szCs w:val="18"/>
        </w:rPr>
        <w:t xml:space="preserve"> = subgroup; SVR12 = sustained virological response at 12 weeks following the completion of treatment</w:t>
      </w:r>
    </w:p>
    <w:p w:rsidR="008605C0" w:rsidRPr="00961B75" w:rsidRDefault="004F68EB" w:rsidP="004611DA">
      <w:pPr>
        <w:widowControl/>
        <w:ind w:left="709"/>
        <w:rPr>
          <w:rFonts w:ascii="Arial Narrow" w:hAnsi="Arial Narrow"/>
          <w:sz w:val="18"/>
          <w:szCs w:val="18"/>
        </w:rPr>
      </w:pPr>
      <w:proofErr w:type="spellStart"/>
      <w:proofErr w:type="gramStart"/>
      <w:r w:rsidRPr="00961B75">
        <w:rPr>
          <w:rFonts w:ascii="Arial Narrow" w:hAnsi="Arial Narrow"/>
          <w:sz w:val="18"/>
          <w:szCs w:val="18"/>
          <w:vertAlign w:val="superscript"/>
        </w:rPr>
        <w:t>a</w:t>
      </w:r>
      <w:proofErr w:type="spellEnd"/>
      <w:proofErr w:type="gramEnd"/>
      <w:r w:rsidR="008605C0" w:rsidRPr="00961B75">
        <w:rPr>
          <w:rFonts w:ascii="Arial Narrow" w:hAnsi="Arial Narrow"/>
          <w:sz w:val="18"/>
          <w:szCs w:val="18"/>
        </w:rPr>
        <w:tab/>
        <w:t xml:space="preserve">all studies had excluded patients with decompensated cirrhosis (no information for </w:t>
      </w:r>
      <w:proofErr w:type="spellStart"/>
      <w:r w:rsidR="008605C0" w:rsidRPr="00961B75">
        <w:rPr>
          <w:rFonts w:ascii="Arial Narrow" w:hAnsi="Arial Narrow"/>
          <w:sz w:val="18"/>
          <w:szCs w:val="18"/>
        </w:rPr>
        <w:t>Wehm</w:t>
      </w:r>
      <w:r w:rsidR="00E7564A" w:rsidRPr="00961B75">
        <w:rPr>
          <w:rFonts w:ascii="Arial Narrow" w:hAnsi="Arial Narrow"/>
          <w:sz w:val="18"/>
          <w:szCs w:val="18"/>
        </w:rPr>
        <w:t>eyer</w:t>
      </w:r>
      <w:proofErr w:type="spellEnd"/>
      <w:r w:rsidR="00E7564A" w:rsidRPr="00961B75">
        <w:rPr>
          <w:rFonts w:ascii="Arial Narrow" w:hAnsi="Arial Narrow"/>
          <w:sz w:val="18"/>
          <w:szCs w:val="18"/>
        </w:rPr>
        <w:t xml:space="preserve"> 2015 study)</w:t>
      </w:r>
    </w:p>
    <w:p w:rsidR="008605C0" w:rsidRPr="00961B75" w:rsidRDefault="004F68EB" w:rsidP="004611DA">
      <w:pPr>
        <w:widowControl/>
        <w:ind w:left="709"/>
        <w:rPr>
          <w:rFonts w:ascii="Arial Narrow" w:hAnsi="Arial Narrow"/>
          <w:i/>
          <w:iCs/>
          <w:sz w:val="18"/>
          <w:szCs w:val="18"/>
        </w:rPr>
      </w:pPr>
      <w:proofErr w:type="gramStart"/>
      <w:r w:rsidRPr="00961B75">
        <w:rPr>
          <w:rFonts w:ascii="Arial Narrow" w:hAnsi="Arial Narrow"/>
          <w:sz w:val="18"/>
          <w:szCs w:val="18"/>
          <w:vertAlign w:val="superscript"/>
        </w:rPr>
        <w:t>b</w:t>
      </w:r>
      <w:proofErr w:type="gramEnd"/>
      <w:r w:rsidRPr="00961B75">
        <w:rPr>
          <w:rFonts w:ascii="Arial Narrow" w:hAnsi="Arial Narrow"/>
          <w:sz w:val="18"/>
          <w:szCs w:val="18"/>
        </w:rPr>
        <w:tab/>
      </w:r>
      <w:r w:rsidR="008605C0" w:rsidRPr="00961B75">
        <w:rPr>
          <w:rFonts w:ascii="Arial Narrow" w:hAnsi="Arial Narrow"/>
          <w:iCs/>
          <w:sz w:val="18"/>
          <w:szCs w:val="18"/>
        </w:rPr>
        <w:t>100 randomised to placebo, 95 received deferred GRZ-EBR treatment</w:t>
      </w:r>
    </w:p>
    <w:p w:rsidR="008605C0" w:rsidRPr="00961B75" w:rsidRDefault="004F68EB" w:rsidP="004611DA">
      <w:pPr>
        <w:widowControl/>
        <w:ind w:left="709"/>
        <w:rPr>
          <w:rFonts w:ascii="Arial Narrow" w:hAnsi="Arial Narrow"/>
          <w:sz w:val="18"/>
          <w:szCs w:val="18"/>
        </w:rPr>
      </w:pPr>
      <w:proofErr w:type="gramStart"/>
      <w:r w:rsidRPr="00961B75">
        <w:rPr>
          <w:rFonts w:ascii="Arial Narrow" w:hAnsi="Arial Narrow"/>
          <w:sz w:val="18"/>
          <w:szCs w:val="18"/>
          <w:vertAlign w:val="superscript"/>
        </w:rPr>
        <w:t>c</w:t>
      </w:r>
      <w:proofErr w:type="gramEnd"/>
      <w:r w:rsidR="008605C0" w:rsidRPr="00961B75">
        <w:rPr>
          <w:rFonts w:ascii="Arial Narrow" w:hAnsi="Arial Narrow"/>
          <w:sz w:val="18"/>
          <w:szCs w:val="18"/>
          <w:vertAlign w:val="superscript"/>
        </w:rPr>
        <w:tab/>
      </w:r>
      <w:r w:rsidR="008605C0" w:rsidRPr="00961B75">
        <w:rPr>
          <w:rFonts w:ascii="Arial Narrow" w:hAnsi="Arial Narrow"/>
          <w:sz w:val="18"/>
          <w:szCs w:val="18"/>
        </w:rPr>
        <w:t xml:space="preserve">failed </w:t>
      </w:r>
      <w:proofErr w:type="spellStart"/>
      <w:r w:rsidR="00E7564A" w:rsidRPr="00961B75">
        <w:rPr>
          <w:rFonts w:ascii="Arial Narrow" w:hAnsi="Arial Narrow"/>
          <w:sz w:val="18"/>
          <w:szCs w:val="18"/>
        </w:rPr>
        <w:t>peginterferon</w:t>
      </w:r>
      <w:proofErr w:type="spellEnd"/>
      <w:r w:rsidR="008605C0" w:rsidRPr="00961B75">
        <w:rPr>
          <w:rFonts w:ascii="Arial Narrow" w:hAnsi="Arial Narrow"/>
          <w:sz w:val="18"/>
          <w:szCs w:val="18"/>
        </w:rPr>
        <w:t xml:space="preserve"> plus ribavirin was not defined in </w:t>
      </w:r>
      <w:proofErr w:type="spellStart"/>
      <w:r w:rsidR="008605C0" w:rsidRPr="00961B75">
        <w:rPr>
          <w:rFonts w:ascii="Arial Narrow" w:hAnsi="Arial Narrow"/>
          <w:sz w:val="18"/>
          <w:szCs w:val="18"/>
        </w:rPr>
        <w:t>Wehm</w:t>
      </w:r>
      <w:r w:rsidR="00E7564A" w:rsidRPr="00961B75">
        <w:rPr>
          <w:rFonts w:ascii="Arial Narrow" w:hAnsi="Arial Narrow"/>
          <w:sz w:val="18"/>
          <w:szCs w:val="18"/>
        </w:rPr>
        <w:t>e</w:t>
      </w:r>
      <w:r w:rsidR="008605C0" w:rsidRPr="00961B75">
        <w:rPr>
          <w:rFonts w:ascii="Arial Narrow" w:hAnsi="Arial Narrow"/>
          <w:sz w:val="18"/>
          <w:szCs w:val="18"/>
        </w:rPr>
        <w:t>yer</w:t>
      </w:r>
      <w:proofErr w:type="spellEnd"/>
      <w:r w:rsidR="008605C0" w:rsidRPr="00961B75">
        <w:rPr>
          <w:rFonts w:ascii="Arial Narrow" w:hAnsi="Arial Narrow"/>
          <w:sz w:val="18"/>
          <w:szCs w:val="18"/>
        </w:rPr>
        <w:t xml:space="preserve"> 2015</w:t>
      </w:r>
    </w:p>
    <w:p w:rsidR="00EC09DA" w:rsidRPr="00961B75" w:rsidRDefault="00EC09DA" w:rsidP="00EC09DA">
      <w:pPr>
        <w:widowControl/>
        <w:ind w:left="709"/>
        <w:rPr>
          <w:rFonts w:ascii="Arial Narrow" w:hAnsi="Arial Narrow"/>
          <w:sz w:val="18"/>
          <w:szCs w:val="18"/>
        </w:rPr>
      </w:pPr>
      <w:proofErr w:type="gramStart"/>
      <w:r w:rsidRPr="00961B75">
        <w:rPr>
          <w:rFonts w:ascii="Arial Narrow" w:hAnsi="Arial Narrow"/>
          <w:iCs/>
          <w:sz w:val="18"/>
          <w:szCs w:val="18"/>
          <w:vertAlign w:val="superscript"/>
        </w:rPr>
        <w:t>d</w:t>
      </w:r>
      <w:proofErr w:type="gramEnd"/>
      <w:r w:rsidRPr="00961B75">
        <w:rPr>
          <w:rFonts w:ascii="Arial Narrow" w:hAnsi="Arial Narrow"/>
          <w:iCs/>
          <w:sz w:val="18"/>
          <w:szCs w:val="18"/>
          <w:vertAlign w:val="superscript"/>
        </w:rPr>
        <w:tab/>
      </w:r>
      <w:r w:rsidRPr="00961B75">
        <w:rPr>
          <w:rFonts w:ascii="Arial Narrow" w:hAnsi="Arial Narrow"/>
          <w:iCs/>
          <w:sz w:val="18"/>
          <w:szCs w:val="18"/>
        </w:rPr>
        <w:t>indicates results extracted during the evaluation</w:t>
      </w:r>
    </w:p>
    <w:p w:rsidR="008605C0" w:rsidRPr="00961B75" w:rsidRDefault="008605C0" w:rsidP="004611DA">
      <w:pPr>
        <w:widowControl/>
        <w:ind w:left="709"/>
        <w:rPr>
          <w:rFonts w:ascii="Arial Narrow" w:hAnsi="Arial Narrow"/>
          <w:i/>
          <w:sz w:val="18"/>
          <w:szCs w:val="18"/>
        </w:rPr>
      </w:pPr>
      <w:r w:rsidRPr="00961B75">
        <w:rPr>
          <w:rFonts w:ascii="Arial Narrow" w:hAnsi="Arial Narrow"/>
          <w:sz w:val="18"/>
          <w:szCs w:val="18"/>
        </w:rPr>
        <w:t>Source: constructed during the evaluation</w:t>
      </w:r>
      <w:r w:rsidR="00BF312E" w:rsidRPr="00961B75">
        <w:rPr>
          <w:rFonts w:ascii="Arial Narrow" w:hAnsi="Arial Narrow"/>
          <w:sz w:val="18"/>
          <w:szCs w:val="18"/>
        </w:rPr>
        <w:t>.</w:t>
      </w:r>
    </w:p>
    <w:p w:rsidR="008605C0" w:rsidRPr="00961B75" w:rsidRDefault="008605C0" w:rsidP="004611DA">
      <w:pPr>
        <w:widowControl/>
        <w:ind w:firstLine="720"/>
        <w:rPr>
          <w:rStyle w:val="CommentReference"/>
        </w:rPr>
      </w:pPr>
    </w:p>
    <w:p w:rsidR="00601795" w:rsidRPr="00961B75" w:rsidRDefault="00601795" w:rsidP="00EF7F25">
      <w:pPr>
        <w:pStyle w:val="ListParagraph"/>
        <w:widowControl/>
        <w:numPr>
          <w:ilvl w:val="1"/>
          <w:numId w:val="1"/>
        </w:numPr>
        <w:rPr>
          <w:szCs w:val="22"/>
        </w:rPr>
      </w:pPr>
      <w:r w:rsidRPr="00961B75">
        <w:rPr>
          <w:szCs w:val="22"/>
        </w:rPr>
        <w:t xml:space="preserve">There was no common comparator across the </w:t>
      </w:r>
      <w:r w:rsidR="00E86267" w:rsidRPr="00961B75">
        <w:rPr>
          <w:szCs w:val="22"/>
        </w:rPr>
        <w:t>studies;</w:t>
      </w:r>
      <w:r w:rsidRPr="00961B75">
        <w:rPr>
          <w:szCs w:val="22"/>
        </w:rPr>
        <w:t xml:space="preserve"> overall </w:t>
      </w:r>
      <w:r w:rsidR="00195904" w:rsidRPr="00961B75">
        <w:rPr>
          <w:szCs w:val="22"/>
        </w:rPr>
        <w:t xml:space="preserve">the evaluation of efficacy in GT4 CHC was based on the results of single arms of </w:t>
      </w:r>
      <w:r w:rsidR="00841E99" w:rsidRPr="00961B75">
        <w:rPr>
          <w:szCs w:val="22"/>
        </w:rPr>
        <w:t xml:space="preserve">the included </w:t>
      </w:r>
      <w:r w:rsidRPr="00961B75">
        <w:rPr>
          <w:szCs w:val="22"/>
        </w:rPr>
        <w:t>studies using unadjusted indirect comparisons.</w:t>
      </w:r>
    </w:p>
    <w:p w:rsidR="00240256" w:rsidRPr="00961B75" w:rsidRDefault="00240256" w:rsidP="004611DA">
      <w:pPr>
        <w:pStyle w:val="ListParagraph"/>
        <w:widowControl/>
        <w:rPr>
          <w:szCs w:val="22"/>
        </w:rPr>
      </w:pPr>
    </w:p>
    <w:p w:rsidR="00601795" w:rsidRPr="00961B75" w:rsidRDefault="00601795" w:rsidP="00EF7F25">
      <w:pPr>
        <w:pStyle w:val="ListParagraph"/>
        <w:widowControl/>
        <w:numPr>
          <w:ilvl w:val="1"/>
          <w:numId w:val="1"/>
        </w:numPr>
        <w:rPr>
          <w:szCs w:val="22"/>
        </w:rPr>
      </w:pPr>
      <w:r w:rsidRPr="00961B75">
        <w:rPr>
          <w:szCs w:val="22"/>
        </w:rPr>
        <w:t xml:space="preserve">The risk of bias associated with comparisons of </w:t>
      </w:r>
      <w:proofErr w:type="spellStart"/>
      <w:r w:rsidRPr="00961B75">
        <w:rPr>
          <w:szCs w:val="22"/>
        </w:rPr>
        <w:t>Technivie</w:t>
      </w:r>
      <w:proofErr w:type="spellEnd"/>
      <w:r w:rsidRPr="00961B75">
        <w:rPr>
          <w:szCs w:val="22"/>
        </w:rPr>
        <w:t>® + RBV against active comparators (GRZ-EBR</w:t>
      </w:r>
      <w:r w:rsidR="000914CB">
        <w:rPr>
          <w:szCs w:val="22"/>
        </w:rPr>
        <w:t xml:space="preserve"> </w:t>
      </w:r>
      <w:r w:rsidRPr="00961B75">
        <w:rPr>
          <w:szCs w:val="22"/>
        </w:rPr>
        <w:t>±</w:t>
      </w:r>
      <w:r w:rsidR="000914CB">
        <w:rPr>
          <w:szCs w:val="22"/>
        </w:rPr>
        <w:t xml:space="preserve"> </w:t>
      </w:r>
      <w:r w:rsidRPr="00961B75">
        <w:rPr>
          <w:szCs w:val="22"/>
        </w:rPr>
        <w:t>RBV and SOF</w:t>
      </w:r>
      <w:r w:rsidR="000914CB">
        <w:rPr>
          <w:szCs w:val="22"/>
        </w:rPr>
        <w:t xml:space="preserve"> </w:t>
      </w:r>
      <w:r w:rsidR="00652874" w:rsidRPr="00961B75">
        <w:rPr>
          <w:szCs w:val="22"/>
        </w:rPr>
        <w:t>+</w:t>
      </w:r>
      <w:r w:rsidR="000914CB">
        <w:rPr>
          <w:szCs w:val="22"/>
        </w:rPr>
        <w:t xml:space="preserve"> </w:t>
      </w:r>
      <w:r w:rsidRPr="00961B75">
        <w:rPr>
          <w:szCs w:val="22"/>
        </w:rPr>
        <w:t xml:space="preserve">PR) </w:t>
      </w:r>
      <w:r w:rsidR="00DA2B3F" w:rsidRPr="00961B75">
        <w:rPr>
          <w:szCs w:val="22"/>
        </w:rPr>
        <w:t xml:space="preserve">was </w:t>
      </w:r>
      <w:r w:rsidRPr="00961B75">
        <w:rPr>
          <w:szCs w:val="22"/>
        </w:rPr>
        <w:t>considered high</w:t>
      </w:r>
      <w:r w:rsidR="00B84334" w:rsidRPr="00961B75">
        <w:rPr>
          <w:szCs w:val="22"/>
        </w:rPr>
        <w:t xml:space="preserve"> by the evaluation</w:t>
      </w:r>
      <w:r w:rsidR="00220297" w:rsidRPr="00961B75">
        <w:rPr>
          <w:szCs w:val="22"/>
        </w:rPr>
        <w:t>. T</w:t>
      </w:r>
      <w:r w:rsidRPr="00961B75">
        <w:rPr>
          <w:szCs w:val="22"/>
        </w:rPr>
        <w:t xml:space="preserve">his </w:t>
      </w:r>
      <w:r w:rsidR="00DA2B3F" w:rsidRPr="00961B75">
        <w:rPr>
          <w:szCs w:val="22"/>
        </w:rPr>
        <w:t xml:space="preserve">was </w:t>
      </w:r>
      <w:r w:rsidRPr="00961B75">
        <w:rPr>
          <w:szCs w:val="22"/>
        </w:rPr>
        <w:t>because despite being an objective outcome, sustained virologic response (SVR) is affected by differences in baseline patient characteristics and other clinical parameters</w:t>
      </w:r>
      <w:r w:rsidR="00961B75">
        <w:rPr>
          <w:szCs w:val="22"/>
        </w:rPr>
        <w:t xml:space="preserve">. </w:t>
      </w:r>
      <w:r w:rsidRPr="00961B75">
        <w:rPr>
          <w:szCs w:val="22"/>
        </w:rPr>
        <w:t>Even in apparently similar populations, the magnitude of any difference in SVR rates between trials is not only related to the treatments administered but also known and unknown confounders. Therefore, in the absence of a common comparator arm, exchangeability between trials/studies cannot be ascertained</w:t>
      </w:r>
      <w:r w:rsidR="00961B75">
        <w:rPr>
          <w:szCs w:val="22"/>
        </w:rPr>
        <w:t xml:space="preserve">. </w:t>
      </w:r>
      <w:r w:rsidR="004F68EB" w:rsidRPr="00961B75">
        <w:rPr>
          <w:szCs w:val="22"/>
        </w:rPr>
        <w:t xml:space="preserve">The comparison was </w:t>
      </w:r>
      <w:r w:rsidR="003B4679" w:rsidRPr="00961B75">
        <w:rPr>
          <w:szCs w:val="22"/>
        </w:rPr>
        <w:t>made even more difficult as the submission further relied on subgroups within the single arms of some studies</w:t>
      </w:r>
      <w:r w:rsidR="00961B75">
        <w:rPr>
          <w:szCs w:val="22"/>
        </w:rPr>
        <w:t xml:space="preserve">. </w:t>
      </w:r>
      <w:r w:rsidR="003B4679" w:rsidRPr="00961B75">
        <w:rPr>
          <w:szCs w:val="22"/>
        </w:rPr>
        <w:t xml:space="preserve">GT4 patients were a minority (as low as 6%) in some studies, and the reporting of baseline characteristics and efficacy outcomes for these patients was limited, making the assessment of exchangeability impossible. </w:t>
      </w:r>
      <w:r w:rsidR="007C59C9" w:rsidRPr="00961B75">
        <w:rPr>
          <w:szCs w:val="22"/>
        </w:rPr>
        <w:t>The ESC considered the trial populations f</w:t>
      </w:r>
      <w:r w:rsidR="00F135BF" w:rsidRPr="00961B75">
        <w:rPr>
          <w:szCs w:val="22"/>
        </w:rPr>
        <w:t xml:space="preserve">or </w:t>
      </w:r>
      <w:proofErr w:type="spellStart"/>
      <w:r w:rsidR="00F135BF" w:rsidRPr="00961B75">
        <w:rPr>
          <w:szCs w:val="22"/>
        </w:rPr>
        <w:t>Technivie</w:t>
      </w:r>
      <w:proofErr w:type="spellEnd"/>
      <w:r w:rsidR="00F135BF" w:rsidRPr="00961B75">
        <w:rPr>
          <w:szCs w:val="22"/>
        </w:rPr>
        <w:t>® + RBV and GRZ-EBR</w:t>
      </w:r>
      <w:r w:rsidR="000914CB">
        <w:rPr>
          <w:szCs w:val="22"/>
        </w:rPr>
        <w:t xml:space="preserve"> </w:t>
      </w:r>
      <w:r w:rsidR="007C59C9" w:rsidRPr="00961B75">
        <w:rPr>
          <w:szCs w:val="22"/>
        </w:rPr>
        <w:t>±</w:t>
      </w:r>
      <w:r w:rsidR="000914CB">
        <w:rPr>
          <w:szCs w:val="22"/>
        </w:rPr>
        <w:t xml:space="preserve"> </w:t>
      </w:r>
      <w:r w:rsidR="007C59C9" w:rsidRPr="00961B75">
        <w:rPr>
          <w:szCs w:val="22"/>
        </w:rPr>
        <w:t>RBV reasonably comparable in terms of HCV RNA at baseline</w:t>
      </w:r>
      <w:r w:rsidR="0067168D" w:rsidRPr="00961B75">
        <w:rPr>
          <w:szCs w:val="22"/>
        </w:rPr>
        <w:t xml:space="preserve"> and noted that the exchangeability of such studies may be further informed by comparing viral load of the study population</w:t>
      </w:r>
      <w:r w:rsidR="000F32EF" w:rsidRPr="00961B75">
        <w:rPr>
          <w:szCs w:val="22"/>
        </w:rPr>
        <w:t>s</w:t>
      </w:r>
      <w:r w:rsidR="0067168D" w:rsidRPr="00961B75">
        <w:rPr>
          <w:szCs w:val="22"/>
        </w:rPr>
        <w:t>.</w:t>
      </w:r>
    </w:p>
    <w:p w:rsidR="0097255D" w:rsidRPr="00961B75" w:rsidRDefault="0097255D" w:rsidP="0097255D">
      <w:pPr>
        <w:pStyle w:val="ListParagraph"/>
        <w:widowControl/>
        <w:rPr>
          <w:szCs w:val="22"/>
        </w:rPr>
      </w:pPr>
    </w:p>
    <w:p w:rsidR="0097255D" w:rsidRPr="00961B75" w:rsidRDefault="0097255D" w:rsidP="0097255D">
      <w:pPr>
        <w:pStyle w:val="ListParagraph"/>
        <w:widowControl/>
        <w:numPr>
          <w:ilvl w:val="1"/>
          <w:numId w:val="1"/>
        </w:numPr>
        <w:rPr>
          <w:szCs w:val="22"/>
        </w:rPr>
      </w:pPr>
      <w:r w:rsidRPr="00961B75">
        <w:rPr>
          <w:szCs w:val="22"/>
        </w:rPr>
        <w:t xml:space="preserve">The Pre-PBAC Response (p2) presented a comparison of baseline viral load in treatment arms for </w:t>
      </w:r>
      <w:proofErr w:type="spellStart"/>
      <w:r w:rsidRPr="00961B75">
        <w:rPr>
          <w:szCs w:val="22"/>
        </w:rPr>
        <w:t>Technivie</w:t>
      </w:r>
      <w:proofErr w:type="spellEnd"/>
      <w:r w:rsidRPr="00961B75">
        <w:rPr>
          <w:szCs w:val="22"/>
        </w:rPr>
        <w:t xml:space="preserve">® trials </w:t>
      </w:r>
      <w:proofErr w:type="spellStart"/>
      <w:r w:rsidRPr="00961B75">
        <w:rPr>
          <w:szCs w:val="22"/>
        </w:rPr>
        <w:t>vs</w:t>
      </w:r>
      <w:proofErr w:type="spellEnd"/>
      <w:r w:rsidRPr="00961B75">
        <w:rPr>
          <w:szCs w:val="22"/>
        </w:rPr>
        <w:t xml:space="preserve"> GZR-EBR trials (where information was available). The Pre-PBAC Response stated that it was difficult to draw conclusions from such data, but noted that mean HCV RNA values at baseline were in a similar numerical range.</w:t>
      </w:r>
    </w:p>
    <w:p w:rsidR="00240256" w:rsidRPr="00961B75" w:rsidRDefault="00240256" w:rsidP="004611DA">
      <w:pPr>
        <w:pStyle w:val="ListParagraph"/>
        <w:widowControl/>
        <w:rPr>
          <w:szCs w:val="22"/>
        </w:rPr>
      </w:pPr>
    </w:p>
    <w:p w:rsidR="00601795" w:rsidRPr="00961B75" w:rsidRDefault="00601795" w:rsidP="00EF7F25">
      <w:pPr>
        <w:pStyle w:val="ListParagraph"/>
        <w:widowControl/>
        <w:numPr>
          <w:ilvl w:val="1"/>
          <w:numId w:val="1"/>
        </w:numPr>
        <w:rPr>
          <w:szCs w:val="22"/>
        </w:rPr>
      </w:pPr>
      <w:r w:rsidRPr="00961B75">
        <w:rPr>
          <w:szCs w:val="22"/>
        </w:rPr>
        <w:t>A majority of the included studies were open-label</w:t>
      </w:r>
      <w:r w:rsidR="00961B75">
        <w:rPr>
          <w:szCs w:val="22"/>
        </w:rPr>
        <w:t xml:space="preserve">. </w:t>
      </w:r>
      <w:r w:rsidRPr="00961B75">
        <w:rPr>
          <w:szCs w:val="22"/>
        </w:rPr>
        <w:t>Although this is not expected to generate bias in the assessment of virologic response, as it is measured using an objective test, there is risk of bias in the attribution of the causation of adverse events (AEs) and in the grading of the severity of AEs.</w:t>
      </w:r>
    </w:p>
    <w:p w:rsidR="00B60939" w:rsidRPr="00961B75" w:rsidRDefault="00B60939" w:rsidP="004611DA">
      <w:pPr>
        <w:widowControl/>
        <w:rPr>
          <w:szCs w:val="22"/>
        </w:rPr>
      </w:pPr>
    </w:p>
    <w:p w:rsidR="00B60939" w:rsidRPr="00961B75" w:rsidRDefault="00B60939" w:rsidP="004611DA">
      <w:pPr>
        <w:pStyle w:val="Heading2"/>
        <w:widowControl/>
        <w:rPr>
          <w:i/>
        </w:rPr>
      </w:pPr>
      <w:bookmarkStart w:id="9" w:name="_Toc461551704"/>
      <w:r w:rsidRPr="00961B75">
        <w:rPr>
          <w:i/>
        </w:rPr>
        <w:t>Comparative effectiveness</w:t>
      </w:r>
      <w:bookmarkEnd w:id="9"/>
    </w:p>
    <w:p w:rsidR="00B60939" w:rsidRPr="00961B75" w:rsidRDefault="00B60939" w:rsidP="004611DA">
      <w:pPr>
        <w:widowControl/>
        <w:rPr>
          <w:szCs w:val="22"/>
        </w:rPr>
      </w:pPr>
    </w:p>
    <w:p w:rsidR="00240256" w:rsidRPr="00961B75" w:rsidRDefault="00240256" w:rsidP="00EF7F25">
      <w:pPr>
        <w:pStyle w:val="ListParagraph"/>
        <w:widowControl/>
        <w:numPr>
          <w:ilvl w:val="1"/>
          <w:numId w:val="1"/>
        </w:numPr>
        <w:rPr>
          <w:szCs w:val="22"/>
        </w:rPr>
      </w:pPr>
      <w:r w:rsidRPr="00961B75">
        <w:rPr>
          <w:szCs w:val="22"/>
        </w:rPr>
        <w:t>Table 3 summarise</w:t>
      </w:r>
      <w:r w:rsidR="00FD74D5" w:rsidRPr="00961B75">
        <w:rPr>
          <w:szCs w:val="22"/>
        </w:rPr>
        <w:t>s</w:t>
      </w:r>
      <w:r w:rsidRPr="00961B75">
        <w:rPr>
          <w:szCs w:val="22"/>
        </w:rPr>
        <w:t xml:space="preserve"> the SVR rates </w:t>
      </w:r>
      <w:r w:rsidR="003B4679" w:rsidRPr="00961B75">
        <w:rPr>
          <w:szCs w:val="22"/>
        </w:rPr>
        <w:t xml:space="preserve">measured at 12 weeks after the end of treatment (SVR12) </w:t>
      </w:r>
      <w:r w:rsidRPr="00961B75">
        <w:rPr>
          <w:szCs w:val="22"/>
        </w:rPr>
        <w:t xml:space="preserve">observed in patients treated with </w:t>
      </w:r>
      <w:proofErr w:type="spellStart"/>
      <w:r w:rsidRPr="00961B75">
        <w:rPr>
          <w:szCs w:val="22"/>
        </w:rPr>
        <w:t>Technivie</w:t>
      </w:r>
      <w:proofErr w:type="spellEnd"/>
      <w:r w:rsidRPr="00961B75">
        <w:rPr>
          <w:szCs w:val="22"/>
        </w:rPr>
        <w:t>®</w:t>
      </w:r>
      <w:r w:rsidR="00F135BF" w:rsidRPr="00961B75">
        <w:rPr>
          <w:szCs w:val="22"/>
        </w:rPr>
        <w:t xml:space="preserve"> + RBV</w:t>
      </w:r>
      <w:r w:rsidR="00622870" w:rsidRPr="00961B75">
        <w:rPr>
          <w:szCs w:val="22"/>
        </w:rPr>
        <w:t xml:space="preserve"> and</w:t>
      </w:r>
      <w:r w:rsidRPr="00961B75">
        <w:rPr>
          <w:szCs w:val="22"/>
        </w:rPr>
        <w:t xml:space="preserve"> GZR-EBR</w:t>
      </w:r>
      <w:r w:rsidR="00F135BF" w:rsidRPr="00961B75">
        <w:rPr>
          <w:szCs w:val="22"/>
        </w:rPr>
        <w:t xml:space="preserve"> </w:t>
      </w:r>
      <w:r w:rsidRPr="00961B75">
        <w:rPr>
          <w:szCs w:val="22"/>
        </w:rPr>
        <w:t>±</w:t>
      </w:r>
      <w:r w:rsidR="00F135BF" w:rsidRPr="00961B75">
        <w:rPr>
          <w:szCs w:val="22"/>
        </w:rPr>
        <w:t xml:space="preserve"> </w:t>
      </w:r>
      <w:r w:rsidRPr="00961B75">
        <w:rPr>
          <w:szCs w:val="22"/>
        </w:rPr>
        <w:t>RBV.</w:t>
      </w:r>
    </w:p>
    <w:p w:rsidR="00240256" w:rsidRPr="00961B75" w:rsidRDefault="00240256" w:rsidP="004611DA">
      <w:pPr>
        <w:widowControl/>
        <w:jc w:val="left"/>
        <w:rPr>
          <w:b/>
          <w:bCs/>
          <w:szCs w:val="22"/>
        </w:rPr>
      </w:pPr>
    </w:p>
    <w:p w:rsidR="00707065" w:rsidRDefault="00707065">
      <w:pPr>
        <w:widowControl/>
        <w:jc w:val="left"/>
        <w:rPr>
          <w:rFonts w:ascii="Arial Narrow" w:hAnsi="Arial Narrow"/>
          <w:b/>
          <w:bCs/>
          <w:sz w:val="20"/>
        </w:rPr>
      </w:pPr>
      <w:r>
        <w:rPr>
          <w:rFonts w:ascii="Arial Narrow" w:hAnsi="Arial Narrow"/>
          <w:b/>
          <w:bCs/>
          <w:sz w:val="20"/>
        </w:rPr>
        <w:br w:type="page"/>
      </w:r>
    </w:p>
    <w:p w:rsidR="00841E99" w:rsidRPr="00961B75" w:rsidRDefault="000E1CA5" w:rsidP="004611DA">
      <w:pPr>
        <w:pStyle w:val="BodyText"/>
        <w:widowControl/>
        <w:ind w:left="709"/>
        <w:rPr>
          <w:rFonts w:ascii="Arial Narrow" w:hAnsi="Arial Narrow"/>
          <w:b/>
          <w:bCs/>
          <w:sz w:val="20"/>
        </w:rPr>
      </w:pPr>
      <w:r w:rsidRPr="00961B75">
        <w:rPr>
          <w:rFonts w:ascii="Arial Narrow" w:hAnsi="Arial Narrow"/>
          <w:b/>
          <w:bCs/>
          <w:sz w:val="20"/>
        </w:rPr>
        <w:t xml:space="preserve">Table </w:t>
      </w:r>
      <w:r w:rsidR="00841E99" w:rsidRPr="00961B75">
        <w:rPr>
          <w:rFonts w:ascii="Arial Narrow" w:hAnsi="Arial Narrow"/>
          <w:b/>
          <w:bCs/>
          <w:sz w:val="20"/>
        </w:rPr>
        <w:t xml:space="preserve">3: Comparison of SVR12 rates (n/N (%) [95% CI]): </w:t>
      </w:r>
      <w:proofErr w:type="spellStart"/>
      <w:r w:rsidR="00841E99" w:rsidRPr="00961B75">
        <w:rPr>
          <w:rFonts w:ascii="Arial Narrow" w:hAnsi="Arial Narrow"/>
          <w:b/>
          <w:bCs/>
          <w:sz w:val="20"/>
        </w:rPr>
        <w:t>Technivie</w:t>
      </w:r>
      <w:proofErr w:type="spellEnd"/>
      <w:r w:rsidR="00841E99" w:rsidRPr="00961B75">
        <w:rPr>
          <w:rFonts w:ascii="Arial Narrow" w:hAnsi="Arial Narrow"/>
          <w:b/>
          <w:bCs/>
          <w:sz w:val="20"/>
        </w:rPr>
        <w:t>® +RBV12 versus GZR-EBR 12 and GZR</w:t>
      </w:r>
      <w:r w:rsidR="00B5799C" w:rsidRPr="00961B75">
        <w:rPr>
          <w:rFonts w:ascii="Arial Narrow" w:hAnsi="Arial Narrow"/>
          <w:b/>
          <w:bCs/>
          <w:sz w:val="20"/>
        </w:rPr>
        <w:t>-EBR +</w:t>
      </w:r>
      <w:r w:rsidR="00841E99" w:rsidRPr="00961B75">
        <w:rPr>
          <w:rFonts w:ascii="Arial Narrow" w:hAnsi="Arial Narrow"/>
          <w:b/>
          <w:bCs/>
          <w:sz w:val="20"/>
        </w:rPr>
        <w:t xml:space="preserve"> RBV16</w:t>
      </w:r>
    </w:p>
    <w:tbl>
      <w:tblPr>
        <w:tblW w:w="4558" w:type="pct"/>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693"/>
        <w:gridCol w:w="873"/>
        <w:gridCol w:w="714"/>
        <w:gridCol w:w="164"/>
        <w:gridCol w:w="700"/>
        <w:gridCol w:w="7"/>
        <w:gridCol w:w="993"/>
        <w:gridCol w:w="856"/>
        <w:gridCol w:w="858"/>
        <w:gridCol w:w="858"/>
        <w:gridCol w:w="854"/>
        <w:gridCol w:w="709"/>
      </w:tblGrid>
      <w:tr w:rsidR="00841E99" w:rsidRPr="00961B75" w:rsidTr="00841E99">
        <w:trPr>
          <w:trHeight w:val="60"/>
        </w:trPr>
        <w:tc>
          <w:tcPr>
            <w:tcW w:w="5000" w:type="pct"/>
            <w:gridSpan w:val="12"/>
            <w:shd w:val="clear" w:color="auto" w:fill="D9D9D9" w:themeFill="background1" w:themeFillShade="D9"/>
            <w:vAlign w:val="center"/>
          </w:tcPr>
          <w:p w:rsidR="00841E99" w:rsidRPr="00961B75" w:rsidRDefault="00C255E6" w:rsidP="004611DA">
            <w:pPr>
              <w:widowControl/>
              <w:jc w:val="center"/>
              <w:rPr>
                <w:rFonts w:ascii="Arial Narrow" w:hAnsi="Arial Narrow"/>
                <w:i/>
                <w:iCs/>
                <w:sz w:val="20"/>
              </w:rPr>
            </w:pPr>
            <w:r>
              <w:rPr>
                <w:rFonts w:ascii="Arial Narrow" w:hAnsi="Arial Narrow"/>
                <w:b/>
                <w:bCs/>
                <w:sz w:val="20"/>
              </w:rPr>
              <w:t xml:space="preserve">Treatment </w:t>
            </w:r>
            <w:r w:rsidR="00841E99" w:rsidRPr="00961B75">
              <w:rPr>
                <w:rFonts w:ascii="Arial Narrow" w:hAnsi="Arial Narrow"/>
                <w:b/>
                <w:bCs/>
                <w:sz w:val="20"/>
              </w:rPr>
              <w:t>naïve</w:t>
            </w:r>
          </w:p>
        </w:tc>
      </w:tr>
      <w:tr w:rsidR="00841E99" w:rsidRPr="00961B75" w:rsidTr="00135295">
        <w:trPr>
          <w:trHeight w:val="145"/>
        </w:trPr>
        <w:tc>
          <w:tcPr>
            <w:tcW w:w="419" w:type="pct"/>
            <w:vAlign w:val="center"/>
          </w:tcPr>
          <w:p w:rsidR="00841E99" w:rsidRPr="00961B75" w:rsidRDefault="00841E99" w:rsidP="004611DA">
            <w:pPr>
              <w:widowControl/>
              <w:jc w:val="left"/>
              <w:rPr>
                <w:rFonts w:ascii="Arial Narrow" w:hAnsi="Arial Narrow"/>
                <w:sz w:val="20"/>
              </w:rPr>
            </w:pPr>
          </w:p>
        </w:tc>
        <w:tc>
          <w:tcPr>
            <w:tcW w:w="2084" w:type="pct"/>
            <w:gridSpan w:val="6"/>
            <w:tcBorders>
              <w:right w:val="double" w:sz="4" w:space="0" w:color="auto"/>
            </w:tcBorders>
            <w:vAlign w:val="center"/>
          </w:tcPr>
          <w:p w:rsidR="00841E99" w:rsidRPr="00961B75" w:rsidRDefault="00841E99" w:rsidP="004611DA">
            <w:pPr>
              <w:widowControl/>
              <w:jc w:val="center"/>
              <w:rPr>
                <w:rFonts w:ascii="Arial Narrow" w:hAnsi="Arial Narrow"/>
                <w:sz w:val="20"/>
              </w:rPr>
            </w:pPr>
            <w:proofErr w:type="spellStart"/>
            <w:r w:rsidRPr="00961B75">
              <w:rPr>
                <w:rFonts w:ascii="Arial Narrow" w:hAnsi="Arial Narrow"/>
                <w:b/>
                <w:bCs/>
                <w:sz w:val="20"/>
              </w:rPr>
              <w:t>Technivie</w:t>
            </w:r>
            <w:proofErr w:type="spellEnd"/>
            <w:r w:rsidRPr="00961B75">
              <w:rPr>
                <w:rFonts w:ascii="Arial Narrow" w:hAnsi="Arial Narrow"/>
                <w:b/>
                <w:bCs/>
                <w:sz w:val="20"/>
              </w:rPr>
              <w:t>® + RBV12</w:t>
            </w:r>
          </w:p>
        </w:tc>
        <w:tc>
          <w:tcPr>
            <w:tcW w:w="2498" w:type="pct"/>
            <w:gridSpan w:val="5"/>
            <w:tcBorders>
              <w:left w:val="double" w:sz="4" w:space="0" w:color="auto"/>
            </w:tcBorders>
            <w:vAlign w:val="center"/>
          </w:tcPr>
          <w:p w:rsidR="00841E99" w:rsidRPr="00961B75" w:rsidRDefault="00841E99" w:rsidP="004611DA">
            <w:pPr>
              <w:widowControl/>
              <w:jc w:val="center"/>
              <w:rPr>
                <w:rFonts w:ascii="Arial Narrow" w:hAnsi="Arial Narrow"/>
                <w:i/>
                <w:iCs/>
                <w:sz w:val="20"/>
              </w:rPr>
            </w:pPr>
            <w:r w:rsidRPr="00961B75">
              <w:rPr>
                <w:rFonts w:ascii="Arial Narrow" w:hAnsi="Arial Narrow"/>
                <w:b/>
                <w:bCs/>
                <w:sz w:val="20"/>
              </w:rPr>
              <w:t>GZR-EBR12</w:t>
            </w:r>
          </w:p>
        </w:tc>
      </w:tr>
      <w:tr w:rsidR="00841E99" w:rsidRPr="00961B75" w:rsidTr="00135295">
        <w:trPr>
          <w:trHeight w:val="375"/>
        </w:trPr>
        <w:tc>
          <w:tcPr>
            <w:tcW w:w="419" w:type="pct"/>
            <w:vAlign w:val="center"/>
          </w:tcPr>
          <w:p w:rsidR="00841E99" w:rsidRPr="00961B75" w:rsidRDefault="00841E99" w:rsidP="004611DA">
            <w:pPr>
              <w:widowControl/>
              <w:jc w:val="left"/>
              <w:rPr>
                <w:rFonts w:ascii="Arial Narrow" w:hAnsi="Arial Narrow"/>
                <w:sz w:val="20"/>
              </w:rPr>
            </w:pPr>
          </w:p>
        </w:tc>
        <w:tc>
          <w:tcPr>
            <w:tcW w:w="527" w:type="pct"/>
            <w:vAlign w:val="center"/>
          </w:tcPr>
          <w:p w:rsidR="00841E99" w:rsidRPr="00961B75" w:rsidRDefault="00841E99" w:rsidP="004611DA">
            <w:pPr>
              <w:widowControl/>
              <w:jc w:val="center"/>
              <w:rPr>
                <w:rFonts w:ascii="Arial Narrow" w:hAnsi="Arial Narrow"/>
                <w:sz w:val="20"/>
              </w:rPr>
            </w:pPr>
            <w:r w:rsidRPr="00961B75">
              <w:rPr>
                <w:rFonts w:ascii="Arial Narrow" w:hAnsi="Arial Narrow"/>
                <w:b/>
                <w:bCs/>
                <w:sz w:val="20"/>
              </w:rPr>
              <w:t>PEARL I</w:t>
            </w:r>
          </w:p>
        </w:tc>
        <w:tc>
          <w:tcPr>
            <w:tcW w:w="431" w:type="pct"/>
            <w:vAlign w:val="center"/>
          </w:tcPr>
          <w:p w:rsidR="00841E99" w:rsidRPr="00961B75" w:rsidRDefault="00841E99" w:rsidP="004611DA">
            <w:pPr>
              <w:widowControl/>
              <w:jc w:val="center"/>
              <w:rPr>
                <w:rFonts w:ascii="Arial Narrow" w:hAnsi="Arial Narrow"/>
                <w:sz w:val="20"/>
              </w:rPr>
            </w:pPr>
            <w:r w:rsidRPr="00961B75">
              <w:rPr>
                <w:rFonts w:ascii="Arial Narrow" w:hAnsi="Arial Narrow"/>
                <w:b/>
                <w:bCs/>
                <w:sz w:val="20"/>
              </w:rPr>
              <w:t>AGATE I</w:t>
            </w:r>
          </w:p>
        </w:tc>
        <w:tc>
          <w:tcPr>
            <w:tcW w:w="1125" w:type="pct"/>
            <w:gridSpan w:val="4"/>
            <w:tcBorders>
              <w:right w:val="double" w:sz="4" w:space="0" w:color="auto"/>
            </w:tcBorders>
            <w:vAlign w:val="center"/>
          </w:tcPr>
          <w:p w:rsidR="00841E99" w:rsidRPr="00961B75" w:rsidRDefault="00841E99" w:rsidP="004611DA">
            <w:pPr>
              <w:widowControl/>
              <w:jc w:val="center"/>
              <w:rPr>
                <w:rFonts w:ascii="Arial Narrow" w:hAnsi="Arial Narrow"/>
                <w:sz w:val="20"/>
              </w:rPr>
            </w:pPr>
            <w:r w:rsidRPr="00961B75">
              <w:rPr>
                <w:rFonts w:ascii="Arial Narrow" w:hAnsi="Arial Narrow"/>
                <w:b/>
                <w:bCs/>
                <w:sz w:val="20"/>
              </w:rPr>
              <w:t>AGATE II</w:t>
            </w:r>
          </w:p>
        </w:tc>
        <w:tc>
          <w:tcPr>
            <w:tcW w:w="517" w:type="pct"/>
            <w:tcBorders>
              <w:left w:val="double" w:sz="4" w:space="0" w:color="auto"/>
            </w:tcBorders>
            <w:vAlign w:val="center"/>
          </w:tcPr>
          <w:p w:rsidR="00841E99" w:rsidRPr="00961B75" w:rsidRDefault="00841E99" w:rsidP="004611DA">
            <w:pPr>
              <w:widowControl/>
              <w:jc w:val="center"/>
              <w:rPr>
                <w:rFonts w:ascii="Arial Narrow" w:hAnsi="Arial Narrow"/>
                <w:sz w:val="20"/>
              </w:rPr>
            </w:pPr>
            <w:r w:rsidRPr="00961B75">
              <w:rPr>
                <w:rFonts w:ascii="Arial Narrow" w:hAnsi="Arial Narrow"/>
                <w:b/>
                <w:bCs/>
                <w:sz w:val="20"/>
              </w:rPr>
              <w:t>C-EDGE TN</w:t>
            </w:r>
          </w:p>
        </w:tc>
        <w:tc>
          <w:tcPr>
            <w:tcW w:w="518" w:type="pct"/>
            <w:vAlign w:val="center"/>
          </w:tcPr>
          <w:p w:rsidR="00841E99" w:rsidRPr="00961B75" w:rsidRDefault="00841E99" w:rsidP="004611DA">
            <w:pPr>
              <w:widowControl/>
              <w:jc w:val="center"/>
              <w:rPr>
                <w:rFonts w:ascii="Arial Narrow" w:hAnsi="Arial Narrow"/>
                <w:sz w:val="20"/>
              </w:rPr>
            </w:pPr>
            <w:r w:rsidRPr="00961B75">
              <w:rPr>
                <w:rFonts w:ascii="Arial Narrow" w:hAnsi="Arial Narrow"/>
                <w:b/>
                <w:bCs/>
                <w:sz w:val="20"/>
              </w:rPr>
              <w:t>C-EDGE CO-INF</w:t>
            </w:r>
          </w:p>
        </w:tc>
        <w:tc>
          <w:tcPr>
            <w:tcW w:w="518" w:type="pct"/>
            <w:vAlign w:val="center"/>
          </w:tcPr>
          <w:p w:rsidR="00841E99" w:rsidRPr="00961B75" w:rsidRDefault="00841E99" w:rsidP="004611DA">
            <w:pPr>
              <w:widowControl/>
              <w:jc w:val="center"/>
              <w:rPr>
                <w:rFonts w:ascii="Arial Narrow" w:hAnsi="Arial Narrow"/>
                <w:sz w:val="20"/>
              </w:rPr>
            </w:pPr>
            <w:r w:rsidRPr="00961B75">
              <w:rPr>
                <w:rFonts w:ascii="Arial Narrow" w:hAnsi="Arial Narrow"/>
                <w:b/>
                <w:bCs/>
                <w:sz w:val="20"/>
              </w:rPr>
              <w:t>C-SCAPE</w:t>
            </w:r>
          </w:p>
        </w:tc>
        <w:tc>
          <w:tcPr>
            <w:tcW w:w="945" w:type="pct"/>
            <w:gridSpan w:val="2"/>
            <w:vAlign w:val="center"/>
          </w:tcPr>
          <w:p w:rsidR="00841E99" w:rsidRPr="00961B75" w:rsidRDefault="00841E99" w:rsidP="004611DA">
            <w:pPr>
              <w:widowControl/>
              <w:jc w:val="center"/>
              <w:rPr>
                <w:rFonts w:ascii="Arial Narrow" w:hAnsi="Arial Narrow"/>
                <w:iCs/>
                <w:sz w:val="20"/>
                <w:vertAlign w:val="superscript"/>
              </w:rPr>
            </w:pPr>
            <w:r w:rsidRPr="00961B75">
              <w:rPr>
                <w:rFonts w:ascii="Arial Narrow" w:hAnsi="Arial Narrow"/>
                <w:b/>
                <w:bCs/>
                <w:iCs/>
                <w:sz w:val="20"/>
              </w:rPr>
              <w:t>C-EDGE CO-</w:t>
            </w:r>
            <w:proofErr w:type="spellStart"/>
            <w:r w:rsidRPr="00961B75">
              <w:rPr>
                <w:rFonts w:ascii="Arial Narrow" w:hAnsi="Arial Narrow"/>
                <w:b/>
                <w:bCs/>
                <w:iCs/>
                <w:sz w:val="20"/>
              </w:rPr>
              <w:t>STAR</w:t>
            </w:r>
            <w:r w:rsidR="00743C98" w:rsidRPr="00961B75">
              <w:rPr>
                <w:rFonts w:ascii="Arial Narrow" w:hAnsi="Arial Narrow"/>
                <w:b/>
                <w:bCs/>
                <w:iCs/>
                <w:sz w:val="20"/>
                <w:vertAlign w:val="superscript"/>
              </w:rPr>
              <w:t>d</w:t>
            </w:r>
            <w:proofErr w:type="spellEnd"/>
          </w:p>
        </w:tc>
      </w:tr>
      <w:tr w:rsidR="00841E99" w:rsidRPr="00961B75" w:rsidTr="00135295">
        <w:trPr>
          <w:trHeight w:val="375"/>
        </w:trPr>
        <w:tc>
          <w:tcPr>
            <w:tcW w:w="419" w:type="pct"/>
            <w:vAlign w:val="center"/>
          </w:tcPr>
          <w:p w:rsidR="00841E99" w:rsidRPr="00961B75" w:rsidRDefault="00841E99" w:rsidP="004611DA">
            <w:pPr>
              <w:widowControl/>
              <w:jc w:val="left"/>
              <w:rPr>
                <w:rFonts w:ascii="Arial Narrow" w:hAnsi="Arial Narrow"/>
                <w:sz w:val="20"/>
              </w:rPr>
            </w:pPr>
          </w:p>
        </w:tc>
        <w:tc>
          <w:tcPr>
            <w:tcW w:w="527" w:type="pct"/>
            <w:vAlign w:val="center"/>
          </w:tcPr>
          <w:p w:rsidR="00841E99" w:rsidRPr="00961B75" w:rsidRDefault="00841E99" w:rsidP="004611DA">
            <w:pPr>
              <w:widowControl/>
              <w:jc w:val="center"/>
              <w:rPr>
                <w:rFonts w:ascii="Arial Narrow" w:hAnsi="Arial Narrow"/>
                <w:b/>
                <w:bCs/>
                <w:sz w:val="20"/>
              </w:rPr>
            </w:pPr>
            <w:r w:rsidRPr="00961B75">
              <w:rPr>
                <w:rFonts w:ascii="Arial Narrow" w:hAnsi="Arial Narrow"/>
                <w:b/>
                <w:bCs/>
                <w:sz w:val="20"/>
              </w:rPr>
              <w:t>Group 4</w:t>
            </w:r>
          </w:p>
          <w:p w:rsidR="00841E99" w:rsidRPr="00961B75" w:rsidRDefault="00841E99" w:rsidP="004611DA">
            <w:pPr>
              <w:widowControl/>
              <w:jc w:val="center"/>
              <w:rPr>
                <w:rFonts w:ascii="Arial Narrow" w:hAnsi="Arial Narrow"/>
                <w:sz w:val="20"/>
              </w:rPr>
            </w:pPr>
            <w:r w:rsidRPr="00961B75">
              <w:rPr>
                <w:rFonts w:ascii="Arial Narrow" w:hAnsi="Arial Narrow"/>
                <w:b/>
                <w:bCs/>
                <w:sz w:val="20"/>
              </w:rPr>
              <w:t xml:space="preserve">(TN, no </w:t>
            </w:r>
            <w:proofErr w:type="spellStart"/>
            <w:r w:rsidRPr="00961B75">
              <w:rPr>
                <w:rFonts w:ascii="Arial Narrow" w:hAnsi="Arial Narrow"/>
                <w:b/>
                <w:bCs/>
                <w:sz w:val="20"/>
              </w:rPr>
              <w:t>cirr</w:t>
            </w:r>
            <w:proofErr w:type="spellEnd"/>
            <w:r w:rsidRPr="00961B75">
              <w:rPr>
                <w:rFonts w:ascii="Arial Narrow" w:hAnsi="Arial Narrow"/>
                <w:b/>
                <w:bCs/>
                <w:sz w:val="20"/>
              </w:rPr>
              <w:t>)</w:t>
            </w:r>
          </w:p>
        </w:tc>
        <w:tc>
          <w:tcPr>
            <w:tcW w:w="431" w:type="pct"/>
            <w:vAlign w:val="center"/>
          </w:tcPr>
          <w:p w:rsidR="00841E99" w:rsidRPr="00961B75" w:rsidRDefault="00841E99" w:rsidP="004611DA">
            <w:pPr>
              <w:widowControl/>
              <w:jc w:val="center"/>
              <w:rPr>
                <w:rFonts w:ascii="Arial Narrow" w:hAnsi="Arial Narrow"/>
                <w:b/>
                <w:bCs/>
                <w:sz w:val="20"/>
              </w:rPr>
            </w:pPr>
            <w:r w:rsidRPr="00961B75">
              <w:rPr>
                <w:rFonts w:ascii="Arial Narrow" w:hAnsi="Arial Narrow"/>
                <w:b/>
                <w:bCs/>
                <w:sz w:val="20"/>
              </w:rPr>
              <w:t>Arm A</w:t>
            </w:r>
          </w:p>
          <w:p w:rsidR="00841E99" w:rsidRPr="00961B75" w:rsidRDefault="00841E99" w:rsidP="004611DA">
            <w:pPr>
              <w:widowControl/>
              <w:jc w:val="center"/>
              <w:rPr>
                <w:rFonts w:ascii="Arial Narrow" w:hAnsi="Arial Narrow"/>
                <w:sz w:val="20"/>
              </w:rPr>
            </w:pPr>
            <w:r w:rsidRPr="00961B75">
              <w:rPr>
                <w:rFonts w:ascii="Arial Narrow" w:hAnsi="Arial Narrow"/>
                <w:b/>
                <w:bCs/>
                <w:sz w:val="20"/>
              </w:rPr>
              <w:t xml:space="preserve">(TN, </w:t>
            </w:r>
            <w:proofErr w:type="spellStart"/>
            <w:r w:rsidRPr="00961B75">
              <w:rPr>
                <w:rFonts w:ascii="Arial Narrow" w:hAnsi="Arial Narrow"/>
                <w:b/>
                <w:bCs/>
                <w:sz w:val="20"/>
              </w:rPr>
              <w:t>cirr</w:t>
            </w:r>
            <w:proofErr w:type="spellEnd"/>
            <w:r w:rsidRPr="00961B75">
              <w:rPr>
                <w:rFonts w:ascii="Arial Narrow" w:hAnsi="Arial Narrow"/>
                <w:b/>
                <w:bCs/>
                <w:sz w:val="20"/>
              </w:rPr>
              <w:t>)</w:t>
            </w:r>
          </w:p>
        </w:tc>
        <w:tc>
          <w:tcPr>
            <w:tcW w:w="526" w:type="pct"/>
            <w:gridSpan w:val="3"/>
            <w:vAlign w:val="center"/>
          </w:tcPr>
          <w:p w:rsidR="00841E99" w:rsidRPr="00961B75" w:rsidRDefault="00841E99" w:rsidP="004611DA">
            <w:pPr>
              <w:widowControl/>
              <w:jc w:val="center"/>
              <w:rPr>
                <w:rFonts w:ascii="Arial Narrow" w:hAnsi="Arial Narrow"/>
                <w:b/>
                <w:bCs/>
                <w:sz w:val="20"/>
              </w:rPr>
            </w:pPr>
            <w:r w:rsidRPr="00961B75">
              <w:rPr>
                <w:rFonts w:ascii="Arial Narrow" w:hAnsi="Arial Narrow"/>
                <w:b/>
                <w:bCs/>
                <w:sz w:val="20"/>
              </w:rPr>
              <w:t>Arm A</w:t>
            </w:r>
          </w:p>
          <w:p w:rsidR="00841E99" w:rsidRPr="00961B75" w:rsidRDefault="00841E99" w:rsidP="004611DA">
            <w:pPr>
              <w:widowControl/>
              <w:jc w:val="center"/>
              <w:rPr>
                <w:rFonts w:ascii="Arial Narrow" w:hAnsi="Arial Narrow"/>
                <w:sz w:val="20"/>
              </w:rPr>
            </w:pPr>
            <w:r w:rsidRPr="00961B75">
              <w:rPr>
                <w:rFonts w:ascii="Arial Narrow" w:hAnsi="Arial Narrow"/>
                <w:b/>
                <w:bCs/>
                <w:sz w:val="20"/>
              </w:rPr>
              <w:t xml:space="preserve"> (TN 49%, no </w:t>
            </w:r>
            <w:proofErr w:type="spellStart"/>
            <w:r w:rsidRPr="00961B75">
              <w:rPr>
                <w:rFonts w:ascii="Arial Narrow" w:hAnsi="Arial Narrow"/>
                <w:b/>
                <w:bCs/>
                <w:sz w:val="20"/>
              </w:rPr>
              <w:t>cirr</w:t>
            </w:r>
            <w:proofErr w:type="spellEnd"/>
            <w:r w:rsidRPr="00961B75">
              <w:rPr>
                <w:rFonts w:ascii="Arial Narrow" w:hAnsi="Arial Narrow"/>
                <w:b/>
                <w:bCs/>
                <w:sz w:val="20"/>
              </w:rPr>
              <w:t xml:space="preserve">) </w:t>
            </w:r>
          </w:p>
        </w:tc>
        <w:tc>
          <w:tcPr>
            <w:tcW w:w="599" w:type="pct"/>
            <w:tcBorders>
              <w:right w:val="double" w:sz="4" w:space="0" w:color="auto"/>
            </w:tcBorders>
            <w:vAlign w:val="center"/>
          </w:tcPr>
          <w:p w:rsidR="00841E99" w:rsidRPr="00961B75" w:rsidRDefault="00841E99" w:rsidP="004611DA">
            <w:pPr>
              <w:widowControl/>
              <w:jc w:val="center"/>
              <w:rPr>
                <w:rFonts w:ascii="Arial Narrow" w:hAnsi="Arial Narrow"/>
                <w:b/>
                <w:bCs/>
                <w:sz w:val="20"/>
              </w:rPr>
            </w:pPr>
            <w:r w:rsidRPr="00961B75">
              <w:rPr>
                <w:rFonts w:ascii="Arial Narrow" w:hAnsi="Arial Narrow"/>
                <w:b/>
                <w:bCs/>
                <w:sz w:val="20"/>
              </w:rPr>
              <w:t>Arm B</w:t>
            </w:r>
          </w:p>
          <w:p w:rsidR="00841E99" w:rsidRPr="00961B75" w:rsidRDefault="00841E99" w:rsidP="004611DA">
            <w:pPr>
              <w:widowControl/>
              <w:jc w:val="center"/>
              <w:rPr>
                <w:rFonts w:ascii="Arial Narrow" w:hAnsi="Arial Narrow"/>
                <w:sz w:val="20"/>
              </w:rPr>
            </w:pPr>
            <w:r w:rsidRPr="00961B75">
              <w:rPr>
                <w:rFonts w:ascii="Arial Narrow" w:hAnsi="Arial Narrow"/>
                <w:b/>
                <w:bCs/>
                <w:sz w:val="20"/>
              </w:rPr>
              <w:t xml:space="preserve">(TN 48%, </w:t>
            </w:r>
            <w:proofErr w:type="spellStart"/>
            <w:r w:rsidRPr="00961B75">
              <w:rPr>
                <w:rFonts w:ascii="Arial Narrow" w:hAnsi="Arial Narrow"/>
                <w:b/>
                <w:bCs/>
                <w:sz w:val="20"/>
              </w:rPr>
              <w:t>cirr</w:t>
            </w:r>
            <w:proofErr w:type="spellEnd"/>
            <w:r w:rsidRPr="00961B75">
              <w:rPr>
                <w:rFonts w:ascii="Arial Narrow" w:hAnsi="Arial Narrow"/>
                <w:b/>
                <w:bCs/>
                <w:sz w:val="20"/>
              </w:rPr>
              <w:t xml:space="preserve">)  </w:t>
            </w:r>
          </w:p>
        </w:tc>
        <w:tc>
          <w:tcPr>
            <w:tcW w:w="517" w:type="pct"/>
            <w:tcBorders>
              <w:left w:val="double" w:sz="4" w:space="0" w:color="auto"/>
            </w:tcBorders>
            <w:vAlign w:val="center"/>
          </w:tcPr>
          <w:p w:rsidR="00841E99" w:rsidRPr="00961B75" w:rsidRDefault="00841E99" w:rsidP="004611DA">
            <w:pPr>
              <w:widowControl/>
              <w:jc w:val="center"/>
              <w:rPr>
                <w:rFonts w:ascii="Arial Narrow" w:hAnsi="Arial Narrow"/>
                <w:b/>
                <w:bCs/>
                <w:sz w:val="20"/>
              </w:rPr>
            </w:pPr>
            <w:r w:rsidRPr="00961B75">
              <w:rPr>
                <w:rFonts w:ascii="Arial Narrow" w:hAnsi="Arial Narrow"/>
                <w:b/>
                <w:bCs/>
                <w:sz w:val="20"/>
              </w:rPr>
              <w:t xml:space="preserve">ITG </w:t>
            </w:r>
          </w:p>
          <w:p w:rsidR="00841E99" w:rsidRPr="00961B75" w:rsidRDefault="00841E99" w:rsidP="004611DA">
            <w:pPr>
              <w:widowControl/>
              <w:jc w:val="center"/>
              <w:rPr>
                <w:rFonts w:ascii="Arial Narrow" w:hAnsi="Arial Narrow"/>
                <w:sz w:val="20"/>
              </w:rPr>
            </w:pPr>
            <w:r w:rsidRPr="00961B75">
              <w:rPr>
                <w:rFonts w:ascii="Arial Narrow" w:hAnsi="Arial Narrow"/>
                <w:b/>
                <w:bCs/>
                <w:sz w:val="20"/>
              </w:rPr>
              <w:t xml:space="preserve">(TN, no </w:t>
            </w:r>
            <w:proofErr w:type="spellStart"/>
            <w:r w:rsidRPr="00961B75">
              <w:rPr>
                <w:rFonts w:ascii="Arial Narrow" w:hAnsi="Arial Narrow"/>
                <w:b/>
                <w:bCs/>
                <w:sz w:val="20"/>
              </w:rPr>
              <w:t>cirr</w:t>
            </w:r>
            <w:proofErr w:type="spellEnd"/>
            <w:r w:rsidRPr="00961B75">
              <w:rPr>
                <w:rFonts w:ascii="Arial Narrow" w:hAnsi="Arial Narrow"/>
                <w:b/>
                <w:bCs/>
                <w:sz w:val="20"/>
              </w:rPr>
              <w:t xml:space="preserve"> &amp; </w:t>
            </w:r>
            <w:proofErr w:type="spellStart"/>
            <w:r w:rsidRPr="00961B75">
              <w:rPr>
                <w:rFonts w:ascii="Arial Narrow" w:hAnsi="Arial Narrow"/>
                <w:b/>
                <w:bCs/>
                <w:sz w:val="20"/>
              </w:rPr>
              <w:t>cirr</w:t>
            </w:r>
            <w:proofErr w:type="spellEnd"/>
            <w:r w:rsidRPr="00961B75">
              <w:rPr>
                <w:rFonts w:ascii="Arial Narrow" w:hAnsi="Arial Narrow"/>
                <w:b/>
                <w:bCs/>
                <w:sz w:val="20"/>
              </w:rPr>
              <w:t>)</w:t>
            </w:r>
          </w:p>
        </w:tc>
        <w:tc>
          <w:tcPr>
            <w:tcW w:w="518" w:type="pct"/>
            <w:vAlign w:val="center"/>
          </w:tcPr>
          <w:p w:rsidR="00841E99" w:rsidRPr="00961B75" w:rsidRDefault="00841E99" w:rsidP="004611DA">
            <w:pPr>
              <w:widowControl/>
              <w:jc w:val="center"/>
              <w:rPr>
                <w:rFonts w:ascii="Arial Narrow" w:hAnsi="Arial Narrow"/>
                <w:sz w:val="20"/>
              </w:rPr>
            </w:pPr>
            <w:r w:rsidRPr="00961B75">
              <w:rPr>
                <w:rFonts w:ascii="Arial Narrow" w:hAnsi="Arial Narrow"/>
                <w:b/>
                <w:bCs/>
                <w:sz w:val="20"/>
              </w:rPr>
              <w:t xml:space="preserve">(TN, no </w:t>
            </w:r>
            <w:proofErr w:type="spellStart"/>
            <w:r w:rsidRPr="00961B75">
              <w:rPr>
                <w:rFonts w:ascii="Arial Narrow" w:hAnsi="Arial Narrow"/>
                <w:b/>
                <w:bCs/>
                <w:sz w:val="20"/>
              </w:rPr>
              <w:t>cirr</w:t>
            </w:r>
            <w:proofErr w:type="spellEnd"/>
            <w:r w:rsidRPr="00961B75">
              <w:rPr>
                <w:rFonts w:ascii="Arial Narrow" w:hAnsi="Arial Narrow"/>
                <w:b/>
                <w:bCs/>
                <w:sz w:val="20"/>
              </w:rPr>
              <w:t xml:space="preserve"> &amp; </w:t>
            </w:r>
            <w:proofErr w:type="spellStart"/>
            <w:r w:rsidRPr="00961B75">
              <w:rPr>
                <w:rFonts w:ascii="Arial Narrow" w:hAnsi="Arial Narrow"/>
                <w:b/>
                <w:bCs/>
                <w:sz w:val="20"/>
              </w:rPr>
              <w:t>cirr</w:t>
            </w:r>
            <w:proofErr w:type="spellEnd"/>
            <w:r w:rsidRPr="00961B75">
              <w:rPr>
                <w:rFonts w:ascii="Arial Narrow" w:hAnsi="Arial Narrow"/>
                <w:b/>
                <w:bCs/>
                <w:sz w:val="20"/>
              </w:rPr>
              <w:t>)</w:t>
            </w:r>
          </w:p>
        </w:tc>
        <w:tc>
          <w:tcPr>
            <w:tcW w:w="518" w:type="pct"/>
            <w:vAlign w:val="center"/>
          </w:tcPr>
          <w:p w:rsidR="00841E99" w:rsidRPr="00961B75" w:rsidRDefault="00841E99" w:rsidP="004611DA">
            <w:pPr>
              <w:widowControl/>
              <w:jc w:val="center"/>
              <w:rPr>
                <w:rFonts w:ascii="Arial Narrow" w:hAnsi="Arial Narrow"/>
                <w:b/>
                <w:bCs/>
                <w:sz w:val="20"/>
              </w:rPr>
            </w:pPr>
            <w:r w:rsidRPr="00961B75">
              <w:rPr>
                <w:rFonts w:ascii="Arial Narrow" w:hAnsi="Arial Narrow"/>
                <w:b/>
                <w:bCs/>
                <w:sz w:val="20"/>
              </w:rPr>
              <w:t xml:space="preserve">Arm B3 </w:t>
            </w:r>
          </w:p>
          <w:p w:rsidR="00841E99" w:rsidRPr="00961B75" w:rsidRDefault="00841E99" w:rsidP="004611DA">
            <w:pPr>
              <w:widowControl/>
              <w:jc w:val="center"/>
              <w:rPr>
                <w:rFonts w:ascii="Arial Narrow" w:hAnsi="Arial Narrow"/>
                <w:sz w:val="20"/>
              </w:rPr>
            </w:pPr>
            <w:r w:rsidRPr="00961B75">
              <w:rPr>
                <w:rFonts w:ascii="Arial Narrow" w:hAnsi="Arial Narrow"/>
                <w:b/>
                <w:bCs/>
                <w:sz w:val="20"/>
              </w:rPr>
              <w:t xml:space="preserve">(TN, no </w:t>
            </w:r>
            <w:proofErr w:type="spellStart"/>
            <w:r w:rsidRPr="00961B75">
              <w:rPr>
                <w:rFonts w:ascii="Arial Narrow" w:hAnsi="Arial Narrow"/>
                <w:b/>
                <w:bCs/>
                <w:sz w:val="20"/>
              </w:rPr>
              <w:t>cirr</w:t>
            </w:r>
            <w:proofErr w:type="spellEnd"/>
            <w:r w:rsidRPr="00961B75">
              <w:rPr>
                <w:rFonts w:ascii="Arial Narrow" w:hAnsi="Arial Narrow"/>
                <w:b/>
                <w:bCs/>
                <w:sz w:val="20"/>
              </w:rPr>
              <w:t xml:space="preserve"> &amp; </w:t>
            </w:r>
            <w:proofErr w:type="spellStart"/>
            <w:r w:rsidRPr="00961B75">
              <w:rPr>
                <w:rFonts w:ascii="Arial Narrow" w:hAnsi="Arial Narrow"/>
                <w:b/>
                <w:bCs/>
                <w:sz w:val="20"/>
              </w:rPr>
              <w:t>cirr</w:t>
            </w:r>
            <w:proofErr w:type="spellEnd"/>
            <w:r w:rsidRPr="00961B75">
              <w:rPr>
                <w:rFonts w:ascii="Arial Narrow" w:hAnsi="Arial Narrow"/>
                <w:b/>
                <w:bCs/>
                <w:sz w:val="20"/>
              </w:rPr>
              <w:t>)</w:t>
            </w:r>
          </w:p>
        </w:tc>
        <w:tc>
          <w:tcPr>
            <w:tcW w:w="516" w:type="pct"/>
            <w:vAlign w:val="center"/>
          </w:tcPr>
          <w:p w:rsidR="00841E99" w:rsidRPr="00961B75" w:rsidRDefault="00841E99" w:rsidP="004611DA">
            <w:pPr>
              <w:widowControl/>
              <w:jc w:val="center"/>
              <w:rPr>
                <w:rFonts w:ascii="Arial Narrow" w:hAnsi="Arial Narrow"/>
                <w:b/>
                <w:bCs/>
                <w:iCs/>
                <w:sz w:val="20"/>
              </w:rPr>
            </w:pPr>
            <w:r w:rsidRPr="00961B75">
              <w:rPr>
                <w:rFonts w:ascii="Arial Narrow" w:hAnsi="Arial Narrow"/>
                <w:b/>
                <w:bCs/>
                <w:iCs/>
                <w:sz w:val="20"/>
              </w:rPr>
              <w:t>ITG</w:t>
            </w:r>
          </w:p>
          <w:p w:rsidR="00841E99" w:rsidRPr="00961B75" w:rsidRDefault="00841E99" w:rsidP="004611DA">
            <w:pPr>
              <w:widowControl/>
              <w:jc w:val="center"/>
              <w:rPr>
                <w:rFonts w:ascii="Arial Narrow" w:hAnsi="Arial Narrow"/>
                <w:b/>
                <w:bCs/>
                <w:iCs/>
                <w:sz w:val="20"/>
              </w:rPr>
            </w:pPr>
            <w:r w:rsidRPr="00961B75">
              <w:rPr>
                <w:rFonts w:ascii="Arial Narrow" w:hAnsi="Arial Narrow"/>
                <w:b/>
                <w:bCs/>
                <w:iCs/>
                <w:sz w:val="20"/>
              </w:rPr>
              <w:t xml:space="preserve">(TN, no </w:t>
            </w:r>
            <w:proofErr w:type="spellStart"/>
            <w:r w:rsidRPr="00961B75">
              <w:rPr>
                <w:rFonts w:ascii="Arial Narrow" w:hAnsi="Arial Narrow"/>
                <w:b/>
                <w:bCs/>
                <w:iCs/>
                <w:sz w:val="20"/>
              </w:rPr>
              <w:t>cirr</w:t>
            </w:r>
            <w:proofErr w:type="spellEnd"/>
            <w:r w:rsidRPr="00961B75">
              <w:rPr>
                <w:rFonts w:ascii="Arial Narrow" w:hAnsi="Arial Narrow"/>
                <w:b/>
                <w:bCs/>
                <w:iCs/>
                <w:sz w:val="20"/>
              </w:rPr>
              <w:t xml:space="preserve"> &amp; </w:t>
            </w:r>
            <w:proofErr w:type="spellStart"/>
            <w:r w:rsidRPr="00961B75">
              <w:rPr>
                <w:rFonts w:ascii="Arial Narrow" w:hAnsi="Arial Narrow"/>
                <w:b/>
                <w:bCs/>
                <w:iCs/>
                <w:sz w:val="20"/>
              </w:rPr>
              <w:t>cirr</w:t>
            </w:r>
            <w:proofErr w:type="spellEnd"/>
            <w:r w:rsidRPr="00961B75">
              <w:rPr>
                <w:rFonts w:ascii="Arial Narrow" w:hAnsi="Arial Narrow"/>
                <w:b/>
                <w:bCs/>
                <w:iCs/>
                <w:sz w:val="20"/>
              </w:rPr>
              <w:t>)</w:t>
            </w:r>
          </w:p>
        </w:tc>
        <w:tc>
          <w:tcPr>
            <w:tcW w:w="429" w:type="pct"/>
            <w:vAlign w:val="center"/>
          </w:tcPr>
          <w:p w:rsidR="00841E99" w:rsidRPr="00961B75" w:rsidRDefault="00841E99" w:rsidP="004611DA">
            <w:pPr>
              <w:widowControl/>
              <w:jc w:val="center"/>
              <w:rPr>
                <w:rFonts w:ascii="Arial Narrow" w:hAnsi="Arial Narrow"/>
                <w:b/>
                <w:bCs/>
                <w:iCs/>
                <w:sz w:val="20"/>
              </w:rPr>
            </w:pPr>
            <w:r w:rsidRPr="00961B75">
              <w:rPr>
                <w:rFonts w:ascii="Arial Narrow" w:hAnsi="Arial Narrow"/>
                <w:b/>
                <w:bCs/>
                <w:iCs/>
                <w:sz w:val="20"/>
              </w:rPr>
              <w:t>DTG</w:t>
            </w:r>
          </w:p>
          <w:p w:rsidR="00841E99" w:rsidRPr="00961B75" w:rsidRDefault="00841E99" w:rsidP="004611DA">
            <w:pPr>
              <w:widowControl/>
              <w:jc w:val="center"/>
              <w:rPr>
                <w:rFonts w:ascii="Arial Narrow" w:hAnsi="Arial Narrow"/>
                <w:b/>
                <w:bCs/>
                <w:iCs/>
                <w:sz w:val="20"/>
              </w:rPr>
            </w:pPr>
            <w:r w:rsidRPr="00961B75">
              <w:rPr>
                <w:rFonts w:ascii="Arial Narrow" w:hAnsi="Arial Narrow"/>
                <w:b/>
                <w:bCs/>
                <w:iCs/>
                <w:sz w:val="20"/>
              </w:rPr>
              <w:t xml:space="preserve">(TN, no </w:t>
            </w:r>
            <w:proofErr w:type="spellStart"/>
            <w:r w:rsidRPr="00961B75">
              <w:rPr>
                <w:rFonts w:ascii="Arial Narrow" w:hAnsi="Arial Narrow"/>
                <w:b/>
                <w:bCs/>
                <w:iCs/>
                <w:sz w:val="20"/>
              </w:rPr>
              <w:t>cirr</w:t>
            </w:r>
            <w:proofErr w:type="spellEnd"/>
            <w:r w:rsidRPr="00961B75">
              <w:rPr>
                <w:rFonts w:ascii="Arial Narrow" w:hAnsi="Arial Narrow"/>
                <w:b/>
                <w:bCs/>
                <w:iCs/>
                <w:sz w:val="20"/>
              </w:rPr>
              <w:t xml:space="preserve"> &amp; </w:t>
            </w:r>
            <w:proofErr w:type="spellStart"/>
            <w:r w:rsidRPr="00961B75">
              <w:rPr>
                <w:rFonts w:ascii="Arial Narrow" w:hAnsi="Arial Narrow"/>
                <w:b/>
                <w:bCs/>
                <w:iCs/>
                <w:sz w:val="20"/>
              </w:rPr>
              <w:t>cirr</w:t>
            </w:r>
            <w:proofErr w:type="spellEnd"/>
            <w:r w:rsidRPr="00961B75">
              <w:rPr>
                <w:rFonts w:ascii="Arial Narrow" w:hAnsi="Arial Narrow"/>
                <w:b/>
                <w:bCs/>
                <w:iCs/>
                <w:sz w:val="20"/>
              </w:rPr>
              <w:t>)</w:t>
            </w:r>
          </w:p>
        </w:tc>
      </w:tr>
      <w:tr w:rsidR="00841E99" w:rsidRPr="00961B75" w:rsidTr="00135295">
        <w:trPr>
          <w:trHeight w:val="375"/>
        </w:trPr>
        <w:tc>
          <w:tcPr>
            <w:tcW w:w="419" w:type="pct"/>
            <w:vAlign w:val="center"/>
            <w:hideMark/>
          </w:tcPr>
          <w:p w:rsidR="00841E99" w:rsidRPr="00961B75" w:rsidRDefault="00841E99" w:rsidP="004611DA">
            <w:pPr>
              <w:widowControl/>
              <w:jc w:val="left"/>
              <w:rPr>
                <w:rFonts w:ascii="Arial Narrow" w:hAnsi="Arial Narrow"/>
                <w:sz w:val="20"/>
              </w:rPr>
            </w:pPr>
            <w:r w:rsidRPr="00961B75">
              <w:rPr>
                <w:rFonts w:ascii="Arial Narrow" w:hAnsi="Arial Narrow"/>
                <w:sz w:val="20"/>
              </w:rPr>
              <w:t xml:space="preserve">All HCV </w:t>
            </w:r>
            <w:proofErr w:type="spellStart"/>
            <w:r w:rsidRPr="00961B75">
              <w:rPr>
                <w:rFonts w:ascii="Arial Narrow" w:hAnsi="Arial Narrow"/>
                <w:sz w:val="20"/>
              </w:rPr>
              <w:t>Gt</w:t>
            </w:r>
            <w:proofErr w:type="spellEnd"/>
            <w:r w:rsidRPr="00961B75">
              <w:rPr>
                <w:rFonts w:ascii="Arial Narrow" w:hAnsi="Arial Narrow"/>
                <w:sz w:val="20"/>
              </w:rPr>
              <w:t xml:space="preserve"> 4 patients </w:t>
            </w:r>
          </w:p>
        </w:tc>
        <w:tc>
          <w:tcPr>
            <w:tcW w:w="527" w:type="pct"/>
            <w:vAlign w:val="center"/>
          </w:tcPr>
          <w:p w:rsidR="00841E99" w:rsidRPr="00961B75" w:rsidRDefault="00841E99" w:rsidP="004611DA">
            <w:pPr>
              <w:widowControl/>
              <w:jc w:val="center"/>
              <w:rPr>
                <w:rFonts w:ascii="Arial Narrow" w:hAnsi="Arial Narrow"/>
                <w:sz w:val="20"/>
              </w:rPr>
            </w:pPr>
            <w:r w:rsidRPr="00961B75">
              <w:rPr>
                <w:rFonts w:ascii="Arial Narrow" w:hAnsi="Arial Narrow"/>
                <w:sz w:val="20"/>
              </w:rPr>
              <w:t xml:space="preserve">42/42 </w:t>
            </w:r>
          </w:p>
          <w:p w:rsidR="00841E99" w:rsidRPr="00961B75" w:rsidRDefault="00841E99" w:rsidP="004611DA">
            <w:pPr>
              <w:widowControl/>
              <w:jc w:val="center"/>
              <w:rPr>
                <w:rFonts w:ascii="Arial Narrow" w:hAnsi="Arial Narrow"/>
                <w:sz w:val="20"/>
              </w:rPr>
            </w:pPr>
            <w:r w:rsidRPr="00961B75">
              <w:rPr>
                <w:rFonts w:ascii="Arial Narrow" w:hAnsi="Arial Narrow"/>
                <w:sz w:val="20"/>
              </w:rPr>
              <w:t>(100)</w:t>
            </w:r>
          </w:p>
          <w:p w:rsidR="00841E99" w:rsidRPr="00961B75" w:rsidRDefault="00841E99" w:rsidP="004611DA">
            <w:pPr>
              <w:widowControl/>
              <w:jc w:val="center"/>
              <w:rPr>
                <w:rFonts w:ascii="Arial Narrow" w:hAnsi="Arial Narrow"/>
                <w:sz w:val="20"/>
              </w:rPr>
            </w:pPr>
            <w:r w:rsidRPr="00961B75">
              <w:rPr>
                <w:rFonts w:ascii="Arial Narrow" w:hAnsi="Arial Narrow"/>
                <w:sz w:val="20"/>
              </w:rPr>
              <w:t>[91.6, 100]</w:t>
            </w:r>
            <w:r w:rsidRPr="00961B75">
              <w:rPr>
                <w:rFonts w:ascii="Arial Narrow" w:hAnsi="Arial Narrow"/>
                <w:sz w:val="20"/>
                <w:vertAlign w:val="superscript"/>
              </w:rPr>
              <w:t>a</w:t>
            </w:r>
          </w:p>
        </w:tc>
        <w:tc>
          <w:tcPr>
            <w:tcW w:w="431" w:type="pct"/>
            <w:vAlign w:val="center"/>
          </w:tcPr>
          <w:p w:rsidR="00841E99" w:rsidRPr="00961B75" w:rsidRDefault="00841E99" w:rsidP="004611DA">
            <w:pPr>
              <w:widowControl/>
              <w:jc w:val="center"/>
              <w:rPr>
                <w:rFonts w:ascii="Arial Narrow" w:hAnsi="Arial Narrow"/>
                <w:sz w:val="20"/>
              </w:rPr>
            </w:pPr>
            <w:r w:rsidRPr="00961B75">
              <w:rPr>
                <w:rFonts w:ascii="Arial Narrow" w:hAnsi="Arial Narrow"/>
                <w:sz w:val="20"/>
              </w:rPr>
              <w:t>29/30 (96.7)</w:t>
            </w:r>
          </w:p>
          <w:p w:rsidR="00841E99" w:rsidRPr="00961B75" w:rsidRDefault="00841E99" w:rsidP="004611DA">
            <w:pPr>
              <w:widowControl/>
              <w:jc w:val="center"/>
              <w:rPr>
                <w:rFonts w:ascii="Arial Narrow" w:hAnsi="Arial Narrow"/>
                <w:sz w:val="20"/>
              </w:rPr>
            </w:pPr>
            <w:r w:rsidRPr="00961B75">
              <w:rPr>
                <w:rFonts w:ascii="Arial Narrow" w:hAnsi="Arial Narrow"/>
                <w:sz w:val="20"/>
              </w:rPr>
              <w:t>[82.8, 99.9]</w:t>
            </w:r>
          </w:p>
        </w:tc>
        <w:tc>
          <w:tcPr>
            <w:tcW w:w="526" w:type="pct"/>
            <w:gridSpan w:val="3"/>
            <w:vAlign w:val="center"/>
          </w:tcPr>
          <w:p w:rsidR="00841E99" w:rsidRPr="00961B75" w:rsidRDefault="00841E99" w:rsidP="004611DA">
            <w:pPr>
              <w:widowControl/>
              <w:jc w:val="center"/>
              <w:rPr>
                <w:rFonts w:ascii="Arial Narrow" w:hAnsi="Arial Narrow"/>
                <w:sz w:val="20"/>
              </w:rPr>
            </w:pPr>
            <w:r w:rsidRPr="00961B75">
              <w:rPr>
                <w:rFonts w:ascii="Arial Narrow" w:hAnsi="Arial Narrow"/>
                <w:sz w:val="20"/>
              </w:rPr>
              <w:t>94/100 (94.0)</w:t>
            </w:r>
          </w:p>
          <w:p w:rsidR="00841E99" w:rsidRPr="00961B75" w:rsidRDefault="00841E99" w:rsidP="004611DA">
            <w:pPr>
              <w:widowControl/>
              <w:jc w:val="center"/>
              <w:rPr>
                <w:rFonts w:ascii="Arial Narrow" w:hAnsi="Arial Narrow"/>
                <w:sz w:val="20"/>
              </w:rPr>
            </w:pPr>
            <w:r w:rsidRPr="00961B75">
              <w:rPr>
                <w:rFonts w:ascii="Arial Narrow" w:hAnsi="Arial Narrow"/>
                <w:sz w:val="20"/>
              </w:rPr>
              <w:t>[87.4, 97.8]</w:t>
            </w:r>
          </w:p>
        </w:tc>
        <w:tc>
          <w:tcPr>
            <w:tcW w:w="599" w:type="pct"/>
            <w:tcBorders>
              <w:right w:val="double" w:sz="4" w:space="0" w:color="auto"/>
            </w:tcBorders>
            <w:vAlign w:val="center"/>
          </w:tcPr>
          <w:p w:rsidR="00841E99" w:rsidRPr="00961B75" w:rsidRDefault="00841E99" w:rsidP="004611DA">
            <w:pPr>
              <w:widowControl/>
              <w:jc w:val="center"/>
              <w:rPr>
                <w:rFonts w:ascii="Arial Narrow" w:hAnsi="Arial Narrow"/>
                <w:sz w:val="20"/>
              </w:rPr>
            </w:pPr>
            <w:r w:rsidRPr="00961B75">
              <w:rPr>
                <w:rFonts w:ascii="Arial Narrow" w:hAnsi="Arial Narrow"/>
                <w:sz w:val="20"/>
              </w:rPr>
              <w:t>30/31</w:t>
            </w:r>
          </w:p>
          <w:p w:rsidR="00841E99" w:rsidRPr="00961B75" w:rsidRDefault="00841E99" w:rsidP="004611DA">
            <w:pPr>
              <w:widowControl/>
              <w:jc w:val="center"/>
              <w:rPr>
                <w:rFonts w:ascii="Arial Narrow" w:hAnsi="Arial Narrow"/>
                <w:sz w:val="20"/>
              </w:rPr>
            </w:pPr>
            <w:r w:rsidRPr="00961B75">
              <w:rPr>
                <w:rFonts w:ascii="Arial Narrow" w:hAnsi="Arial Narrow"/>
                <w:sz w:val="20"/>
              </w:rPr>
              <w:t>(96.8)</w:t>
            </w:r>
          </w:p>
          <w:p w:rsidR="00841E99" w:rsidRPr="00961B75" w:rsidRDefault="00841E99" w:rsidP="004611DA">
            <w:pPr>
              <w:widowControl/>
              <w:jc w:val="center"/>
              <w:rPr>
                <w:rFonts w:ascii="Arial Narrow" w:hAnsi="Arial Narrow"/>
                <w:sz w:val="20"/>
              </w:rPr>
            </w:pPr>
            <w:r w:rsidRPr="00961B75">
              <w:rPr>
                <w:rFonts w:ascii="Arial Narrow" w:hAnsi="Arial Narrow"/>
                <w:sz w:val="20"/>
              </w:rPr>
              <w:t>[83.3, 99.9]</w:t>
            </w:r>
          </w:p>
        </w:tc>
        <w:tc>
          <w:tcPr>
            <w:tcW w:w="517" w:type="pct"/>
            <w:tcBorders>
              <w:left w:val="double" w:sz="4" w:space="0" w:color="auto"/>
            </w:tcBorders>
            <w:vAlign w:val="center"/>
          </w:tcPr>
          <w:p w:rsidR="00841E99" w:rsidRPr="00961B75" w:rsidRDefault="00841E99" w:rsidP="004611DA">
            <w:pPr>
              <w:widowControl/>
              <w:jc w:val="center"/>
              <w:rPr>
                <w:rFonts w:ascii="Arial Narrow" w:hAnsi="Arial Narrow"/>
                <w:sz w:val="20"/>
              </w:rPr>
            </w:pPr>
            <w:r w:rsidRPr="00961B75">
              <w:rPr>
                <w:rFonts w:ascii="Arial Narrow" w:hAnsi="Arial Narrow"/>
                <w:sz w:val="20"/>
              </w:rPr>
              <w:t xml:space="preserve">18/18 </w:t>
            </w:r>
          </w:p>
          <w:p w:rsidR="00841E99" w:rsidRPr="00961B75" w:rsidRDefault="00841E99" w:rsidP="004611DA">
            <w:pPr>
              <w:widowControl/>
              <w:jc w:val="center"/>
              <w:rPr>
                <w:rFonts w:ascii="Arial Narrow" w:hAnsi="Arial Narrow"/>
                <w:sz w:val="20"/>
              </w:rPr>
            </w:pPr>
            <w:r w:rsidRPr="00961B75">
              <w:rPr>
                <w:rFonts w:ascii="Arial Narrow" w:hAnsi="Arial Narrow"/>
                <w:sz w:val="20"/>
              </w:rPr>
              <w:t>(100)</w:t>
            </w:r>
          </w:p>
          <w:p w:rsidR="00841E99" w:rsidRPr="00961B75" w:rsidRDefault="00841E99" w:rsidP="004611DA">
            <w:pPr>
              <w:widowControl/>
              <w:jc w:val="center"/>
              <w:rPr>
                <w:rFonts w:ascii="Arial Narrow" w:hAnsi="Arial Narrow"/>
                <w:sz w:val="20"/>
              </w:rPr>
            </w:pPr>
            <w:r w:rsidRPr="00961B75">
              <w:rPr>
                <w:rFonts w:ascii="Arial Narrow" w:hAnsi="Arial Narrow"/>
                <w:sz w:val="20"/>
              </w:rPr>
              <w:t>[81.5, 100]</w:t>
            </w:r>
            <w:r w:rsidRPr="00961B75">
              <w:rPr>
                <w:rFonts w:ascii="Arial Narrow" w:hAnsi="Arial Narrow"/>
                <w:sz w:val="20"/>
                <w:vertAlign w:val="superscript"/>
              </w:rPr>
              <w:t>a</w:t>
            </w:r>
          </w:p>
        </w:tc>
        <w:tc>
          <w:tcPr>
            <w:tcW w:w="518" w:type="pct"/>
            <w:vAlign w:val="center"/>
          </w:tcPr>
          <w:p w:rsidR="00841E99" w:rsidRPr="00961B75" w:rsidRDefault="00841E99" w:rsidP="004611DA">
            <w:pPr>
              <w:widowControl/>
              <w:jc w:val="center"/>
              <w:rPr>
                <w:rFonts w:ascii="Arial Narrow" w:hAnsi="Arial Narrow"/>
                <w:sz w:val="20"/>
              </w:rPr>
            </w:pPr>
            <w:r w:rsidRPr="00961B75">
              <w:rPr>
                <w:rFonts w:ascii="Arial Narrow" w:hAnsi="Arial Narrow"/>
                <w:sz w:val="20"/>
              </w:rPr>
              <w:t>27/28 (96.4)</w:t>
            </w:r>
          </w:p>
          <w:p w:rsidR="00841E99" w:rsidRPr="00961B75" w:rsidRDefault="00841E99" w:rsidP="004611DA">
            <w:pPr>
              <w:widowControl/>
              <w:jc w:val="center"/>
              <w:rPr>
                <w:rFonts w:ascii="Arial Narrow" w:hAnsi="Arial Narrow"/>
                <w:sz w:val="20"/>
              </w:rPr>
            </w:pPr>
            <w:r w:rsidRPr="00961B75">
              <w:rPr>
                <w:rFonts w:ascii="Arial Narrow" w:hAnsi="Arial Narrow"/>
                <w:sz w:val="20"/>
              </w:rPr>
              <w:t>[81.7, 99.9]</w:t>
            </w:r>
          </w:p>
        </w:tc>
        <w:tc>
          <w:tcPr>
            <w:tcW w:w="518" w:type="pct"/>
            <w:vAlign w:val="center"/>
          </w:tcPr>
          <w:p w:rsidR="00841E99" w:rsidRPr="00961B75" w:rsidRDefault="00841E99" w:rsidP="004611DA">
            <w:pPr>
              <w:widowControl/>
              <w:jc w:val="center"/>
              <w:rPr>
                <w:rFonts w:ascii="Arial Narrow" w:hAnsi="Arial Narrow"/>
                <w:sz w:val="20"/>
              </w:rPr>
            </w:pPr>
            <w:r w:rsidRPr="00961B75">
              <w:rPr>
                <w:rFonts w:ascii="Arial Narrow" w:hAnsi="Arial Narrow"/>
                <w:sz w:val="20"/>
              </w:rPr>
              <w:t xml:space="preserve">9/10 </w:t>
            </w:r>
          </w:p>
          <w:p w:rsidR="00841E99" w:rsidRPr="00961B75" w:rsidRDefault="00841E99" w:rsidP="004611DA">
            <w:pPr>
              <w:widowControl/>
              <w:jc w:val="center"/>
              <w:rPr>
                <w:rFonts w:ascii="Arial Narrow" w:hAnsi="Arial Narrow"/>
                <w:sz w:val="20"/>
              </w:rPr>
            </w:pPr>
            <w:r w:rsidRPr="00961B75">
              <w:rPr>
                <w:rFonts w:ascii="Arial Narrow" w:hAnsi="Arial Narrow"/>
                <w:sz w:val="20"/>
              </w:rPr>
              <w:t>(90.0)</w:t>
            </w:r>
          </w:p>
          <w:p w:rsidR="00841E99" w:rsidRPr="00961B75" w:rsidRDefault="00841E99" w:rsidP="004611DA">
            <w:pPr>
              <w:widowControl/>
              <w:jc w:val="center"/>
              <w:rPr>
                <w:rFonts w:ascii="Arial Narrow" w:hAnsi="Arial Narrow"/>
                <w:sz w:val="20"/>
              </w:rPr>
            </w:pPr>
            <w:r w:rsidRPr="00961B75">
              <w:rPr>
                <w:rFonts w:ascii="Arial Narrow" w:hAnsi="Arial Narrow"/>
                <w:sz w:val="20"/>
              </w:rPr>
              <w:t>[55.5, 99.7]</w:t>
            </w:r>
          </w:p>
        </w:tc>
        <w:tc>
          <w:tcPr>
            <w:tcW w:w="516" w:type="pct"/>
            <w:vAlign w:val="center"/>
          </w:tcPr>
          <w:p w:rsidR="00841E99" w:rsidRPr="00961B75" w:rsidRDefault="00841E99" w:rsidP="004611DA">
            <w:pPr>
              <w:widowControl/>
              <w:jc w:val="center"/>
              <w:rPr>
                <w:rFonts w:ascii="Arial Narrow" w:hAnsi="Arial Narrow"/>
                <w:iCs/>
                <w:sz w:val="20"/>
              </w:rPr>
            </w:pPr>
            <w:r w:rsidRPr="00961B75">
              <w:rPr>
                <w:rFonts w:ascii="Arial Narrow" w:hAnsi="Arial Narrow"/>
                <w:iCs/>
                <w:sz w:val="20"/>
              </w:rPr>
              <w:t>11/12</w:t>
            </w:r>
          </w:p>
          <w:p w:rsidR="00841E99" w:rsidRPr="00961B75" w:rsidRDefault="00841E99" w:rsidP="004611DA">
            <w:pPr>
              <w:widowControl/>
              <w:jc w:val="center"/>
              <w:rPr>
                <w:rFonts w:ascii="Arial Narrow" w:hAnsi="Arial Narrow"/>
                <w:iCs/>
                <w:sz w:val="20"/>
              </w:rPr>
            </w:pPr>
            <w:r w:rsidRPr="00961B75">
              <w:rPr>
                <w:rFonts w:ascii="Arial Narrow" w:hAnsi="Arial Narrow"/>
                <w:iCs/>
                <w:sz w:val="20"/>
              </w:rPr>
              <w:t>(91.7)</w:t>
            </w:r>
          </w:p>
          <w:p w:rsidR="00841E99" w:rsidRPr="00961B75" w:rsidRDefault="00841E99" w:rsidP="004611DA">
            <w:pPr>
              <w:widowControl/>
              <w:jc w:val="center"/>
              <w:rPr>
                <w:rFonts w:ascii="Arial Narrow" w:hAnsi="Arial Narrow"/>
                <w:iCs/>
                <w:sz w:val="20"/>
              </w:rPr>
            </w:pPr>
            <w:r w:rsidRPr="00961B75">
              <w:rPr>
                <w:rFonts w:ascii="Arial Narrow" w:hAnsi="Arial Narrow"/>
                <w:iCs/>
                <w:sz w:val="20"/>
              </w:rPr>
              <w:t>[61.5, 99.8]</w:t>
            </w:r>
          </w:p>
        </w:tc>
        <w:tc>
          <w:tcPr>
            <w:tcW w:w="429" w:type="pct"/>
            <w:vAlign w:val="center"/>
          </w:tcPr>
          <w:p w:rsidR="00841E99" w:rsidRPr="00961B75" w:rsidRDefault="00841E99" w:rsidP="004611DA">
            <w:pPr>
              <w:widowControl/>
              <w:jc w:val="center"/>
              <w:rPr>
                <w:rFonts w:ascii="Arial Narrow" w:hAnsi="Arial Narrow"/>
                <w:iCs/>
                <w:sz w:val="20"/>
              </w:rPr>
            </w:pPr>
            <w:r w:rsidRPr="00961B75">
              <w:rPr>
                <w:rFonts w:ascii="Arial Narrow" w:hAnsi="Arial Narrow"/>
                <w:iCs/>
                <w:sz w:val="20"/>
              </w:rPr>
              <w:t>6/6</w:t>
            </w:r>
          </w:p>
          <w:p w:rsidR="00841E99" w:rsidRPr="00961B75" w:rsidRDefault="00841E99" w:rsidP="004611DA">
            <w:pPr>
              <w:widowControl/>
              <w:jc w:val="center"/>
              <w:rPr>
                <w:rFonts w:ascii="Arial Narrow" w:hAnsi="Arial Narrow"/>
                <w:iCs/>
                <w:sz w:val="20"/>
              </w:rPr>
            </w:pPr>
            <w:r w:rsidRPr="00961B75">
              <w:rPr>
                <w:rFonts w:ascii="Arial Narrow" w:hAnsi="Arial Narrow"/>
                <w:iCs/>
                <w:sz w:val="20"/>
              </w:rPr>
              <w:t>(100)</w:t>
            </w:r>
          </w:p>
          <w:p w:rsidR="00841E99" w:rsidRPr="00961B75" w:rsidRDefault="00841E99" w:rsidP="004611DA">
            <w:pPr>
              <w:widowControl/>
              <w:jc w:val="center"/>
              <w:rPr>
                <w:rFonts w:ascii="Arial Narrow" w:hAnsi="Arial Narrow"/>
                <w:iCs/>
                <w:sz w:val="20"/>
              </w:rPr>
            </w:pPr>
            <w:r w:rsidRPr="00961B75">
              <w:rPr>
                <w:rFonts w:ascii="Arial Narrow" w:hAnsi="Arial Narrow"/>
                <w:iCs/>
                <w:sz w:val="20"/>
              </w:rPr>
              <w:t>[54.1, 100]</w:t>
            </w:r>
            <w:r w:rsidRPr="00961B75">
              <w:rPr>
                <w:rFonts w:ascii="Arial Narrow" w:hAnsi="Arial Narrow"/>
                <w:iCs/>
                <w:sz w:val="20"/>
                <w:vertAlign w:val="superscript"/>
              </w:rPr>
              <w:t>a</w:t>
            </w:r>
          </w:p>
        </w:tc>
      </w:tr>
      <w:tr w:rsidR="00841E99" w:rsidRPr="00961B75" w:rsidTr="00135295">
        <w:trPr>
          <w:trHeight w:val="207"/>
        </w:trPr>
        <w:tc>
          <w:tcPr>
            <w:tcW w:w="419" w:type="pct"/>
            <w:vAlign w:val="center"/>
          </w:tcPr>
          <w:p w:rsidR="00841E99" w:rsidRPr="00961B75" w:rsidRDefault="00841E99" w:rsidP="004611DA">
            <w:pPr>
              <w:widowControl/>
              <w:jc w:val="left"/>
              <w:rPr>
                <w:rFonts w:ascii="Arial Narrow" w:hAnsi="Arial Narrow"/>
                <w:sz w:val="20"/>
              </w:rPr>
            </w:pPr>
            <w:r w:rsidRPr="00961B75">
              <w:rPr>
                <w:rFonts w:ascii="Arial Narrow" w:hAnsi="Arial Narrow"/>
                <w:sz w:val="20"/>
              </w:rPr>
              <w:t>Pooled</w:t>
            </w:r>
          </w:p>
        </w:tc>
        <w:tc>
          <w:tcPr>
            <w:tcW w:w="2084" w:type="pct"/>
            <w:gridSpan w:val="6"/>
            <w:tcBorders>
              <w:right w:val="double" w:sz="4" w:space="0" w:color="auto"/>
            </w:tcBorders>
            <w:vAlign w:val="center"/>
          </w:tcPr>
          <w:p w:rsidR="00841E99" w:rsidRPr="00961B75" w:rsidRDefault="00841E99" w:rsidP="004611DA">
            <w:pPr>
              <w:widowControl/>
              <w:jc w:val="center"/>
              <w:rPr>
                <w:rFonts w:ascii="Arial Narrow" w:hAnsi="Arial Narrow"/>
                <w:sz w:val="20"/>
                <w:vertAlign w:val="superscript"/>
              </w:rPr>
            </w:pPr>
            <w:r w:rsidRPr="00961B75">
              <w:rPr>
                <w:rFonts w:ascii="Arial Narrow" w:hAnsi="Arial Narrow"/>
                <w:sz w:val="20"/>
              </w:rPr>
              <w:t>195/203 (96.1) [92.4, 98.3]</w:t>
            </w:r>
            <w:r w:rsidR="00FC26FD" w:rsidRPr="00961B75">
              <w:rPr>
                <w:rFonts w:ascii="Arial Narrow" w:hAnsi="Arial Narrow"/>
                <w:sz w:val="20"/>
                <w:vertAlign w:val="superscript"/>
              </w:rPr>
              <w:t>b</w:t>
            </w:r>
          </w:p>
        </w:tc>
        <w:tc>
          <w:tcPr>
            <w:tcW w:w="2498" w:type="pct"/>
            <w:gridSpan w:val="5"/>
            <w:tcBorders>
              <w:left w:val="double" w:sz="4" w:space="0" w:color="auto"/>
            </w:tcBorders>
            <w:vAlign w:val="center"/>
          </w:tcPr>
          <w:p w:rsidR="00841E99" w:rsidRPr="00961B75" w:rsidRDefault="00841E99" w:rsidP="004611DA">
            <w:pPr>
              <w:widowControl/>
              <w:jc w:val="center"/>
              <w:rPr>
                <w:rFonts w:ascii="Arial Narrow" w:hAnsi="Arial Narrow"/>
                <w:iCs/>
                <w:sz w:val="20"/>
              </w:rPr>
            </w:pPr>
            <w:r w:rsidRPr="00961B75">
              <w:rPr>
                <w:rFonts w:ascii="Arial Narrow" w:hAnsi="Arial Narrow"/>
                <w:iCs/>
                <w:sz w:val="20"/>
              </w:rPr>
              <w:t>71/74 (95.9) [88.6, 99.2]</w:t>
            </w:r>
          </w:p>
        </w:tc>
      </w:tr>
      <w:tr w:rsidR="00841E99" w:rsidRPr="00961B75" w:rsidTr="008A2F75">
        <w:trPr>
          <w:trHeight w:val="75"/>
        </w:trPr>
        <w:tc>
          <w:tcPr>
            <w:tcW w:w="419" w:type="pct"/>
            <w:vAlign w:val="center"/>
          </w:tcPr>
          <w:p w:rsidR="00841E99" w:rsidRPr="00961B75" w:rsidRDefault="00841E99" w:rsidP="004611DA">
            <w:pPr>
              <w:widowControl/>
              <w:jc w:val="left"/>
              <w:rPr>
                <w:rFonts w:ascii="Arial Narrow" w:hAnsi="Arial Narrow"/>
                <w:sz w:val="20"/>
              </w:rPr>
            </w:pPr>
            <w:r w:rsidRPr="00961B75">
              <w:rPr>
                <w:rFonts w:ascii="Arial Narrow" w:hAnsi="Arial Narrow"/>
                <w:sz w:val="20"/>
              </w:rPr>
              <w:t>Diff in %</w:t>
            </w:r>
          </w:p>
        </w:tc>
        <w:tc>
          <w:tcPr>
            <w:tcW w:w="4581" w:type="pct"/>
            <w:gridSpan w:val="11"/>
            <w:vAlign w:val="center"/>
          </w:tcPr>
          <w:p w:rsidR="00841E99" w:rsidRPr="00961B75" w:rsidRDefault="00841E99" w:rsidP="004611DA">
            <w:pPr>
              <w:widowControl/>
              <w:jc w:val="center"/>
              <w:rPr>
                <w:rFonts w:ascii="Arial Narrow" w:hAnsi="Arial Narrow"/>
                <w:iCs/>
                <w:sz w:val="20"/>
              </w:rPr>
            </w:pPr>
            <w:r w:rsidRPr="00961B75">
              <w:rPr>
                <w:rFonts w:ascii="Arial Narrow" w:hAnsi="Arial Narrow"/>
                <w:iCs/>
                <w:sz w:val="20"/>
              </w:rPr>
              <w:t>p=0.966</w:t>
            </w:r>
          </w:p>
        </w:tc>
      </w:tr>
      <w:tr w:rsidR="00841E99" w:rsidRPr="00961B75" w:rsidTr="00841E99">
        <w:trPr>
          <w:trHeight w:val="60"/>
        </w:trPr>
        <w:tc>
          <w:tcPr>
            <w:tcW w:w="5000" w:type="pct"/>
            <w:gridSpan w:val="12"/>
            <w:shd w:val="clear" w:color="auto" w:fill="D9D9D9" w:themeFill="background1" w:themeFillShade="D9"/>
            <w:vAlign w:val="center"/>
          </w:tcPr>
          <w:p w:rsidR="00841E99" w:rsidRPr="00961B75" w:rsidRDefault="00841E99" w:rsidP="00C255E6">
            <w:pPr>
              <w:widowControl/>
              <w:jc w:val="center"/>
              <w:rPr>
                <w:rFonts w:ascii="Arial Narrow" w:hAnsi="Arial Narrow"/>
                <w:b/>
                <w:bCs/>
                <w:sz w:val="20"/>
              </w:rPr>
            </w:pPr>
            <w:r w:rsidRPr="00961B75">
              <w:rPr>
                <w:rFonts w:ascii="Arial Narrow" w:hAnsi="Arial Narrow"/>
                <w:b/>
                <w:bCs/>
                <w:sz w:val="20"/>
              </w:rPr>
              <w:t>Treatment</w:t>
            </w:r>
            <w:r w:rsidR="00C255E6">
              <w:rPr>
                <w:rFonts w:ascii="Arial Narrow" w:hAnsi="Arial Narrow"/>
                <w:b/>
                <w:bCs/>
                <w:sz w:val="20"/>
              </w:rPr>
              <w:t xml:space="preserve"> </w:t>
            </w:r>
            <w:r w:rsidRPr="00961B75">
              <w:rPr>
                <w:rFonts w:ascii="Arial Narrow" w:hAnsi="Arial Narrow"/>
                <w:b/>
                <w:bCs/>
                <w:sz w:val="20"/>
              </w:rPr>
              <w:t>experienced</w:t>
            </w:r>
          </w:p>
        </w:tc>
      </w:tr>
      <w:tr w:rsidR="00841E99" w:rsidRPr="00961B75" w:rsidTr="00135295">
        <w:trPr>
          <w:trHeight w:val="60"/>
        </w:trPr>
        <w:tc>
          <w:tcPr>
            <w:tcW w:w="419" w:type="pct"/>
            <w:vAlign w:val="center"/>
          </w:tcPr>
          <w:p w:rsidR="00841E99" w:rsidRPr="00961B75" w:rsidRDefault="00841E99" w:rsidP="004611DA">
            <w:pPr>
              <w:widowControl/>
              <w:jc w:val="left"/>
              <w:rPr>
                <w:rFonts w:ascii="Arial Narrow" w:hAnsi="Arial Narrow"/>
                <w:b/>
                <w:bCs/>
                <w:sz w:val="20"/>
              </w:rPr>
            </w:pPr>
          </w:p>
        </w:tc>
        <w:tc>
          <w:tcPr>
            <w:tcW w:w="2084" w:type="pct"/>
            <w:gridSpan w:val="6"/>
            <w:tcBorders>
              <w:right w:val="double" w:sz="4" w:space="0" w:color="auto"/>
            </w:tcBorders>
            <w:vAlign w:val="center"/>
          </w:tcPr>
          <w:p w:rsidR="00841E99" w:rsidRPr="00961B75" w:rsidRDefault="00841E99" w:rsidP="004611DA">
            <w:pPr>
              <w:widowControl/>
              <w:jc w:val="center"/>
              <w:rPr>
                <w:rFonts w:ascii="Arial Narrow" w:hAnsi="Arial Narrow"/>
                <w:b/>
                <w:bCs/>
                <w:sz w:val="20"/>
              </w:rPr>
            </w:pPr>
            <w:proofErr w:type="spellStart"/>
            <w:r w:rsidRPr="00961B75">
              <w:rPr>
                <w:rFonts w:ascii="Arial Narrow" w:hAnsi="Arial Narrow"/>
                <w:b/>
                <w:bCs/>
                <w:sz w:val="20"/>
              </w:rPr>
              <w:t>Technivie</w:t>
            </w:r>
            <w:proofErr w:type="spellEnd"/>
            <w:r w:rsidRPr="00961B75">
              <w:rPr>
                <w:rFonts w:ascii="Arial Narrow" w:hAnsi="Arial Narrow"/>
                <w:b/>
                <w:bCs/>
                <w:sz w:val="20"/>
              </w:rPr>
              <w:t>® + RBV12</w:t>
            </w:r>
          </w:p>
        </w:tc>
        <w:tc>
          <w:tcPr>
            <w:tcW w:w="2498" w:type="pct"/>
            <w:gridSpan w:val="5"/>
            <w:tcBorders>
              <w:left w:val="double" w:sz="4" w:space="0" w:color="auto"/>
            </w:tcBorders>
            <w:vAlign w:val="center"/>
          </w:tcPr>
          <w:p w:rsidR="00841E99" w:rsidRPr="00961B75" w:rsidRDefault="00841E99" w:rsidP="004611DA">
            <w:pPr>
              <w:widowControl/>
              <w:jc w:val="center"/>
              <w:rPr>
                <w:rFonts w:ascii="Arial Narrow" w:hAnsi="Arial Narrow"/>
                <w:b/>
                <w:bCs/>
                <w:sz w:val="20"/>
              </w:rPr>
            </w:pPr>
            <w:r w:rsidRPr="00961B75">
              <w:rPr>
                <w:rFonts w:ascii="Arial Narrow" w:hAnsi="Arial Narrow"/>
                <w:b/>
                <w:bCs/>
                <w:sz w:val="20"/>
              </w:rPr>
              <w:t>GZR-EBR + RBV16</w:t>
            </w:r>
          </w:p>
        </w:tc>
      </w:tr>
      <w:tr w:rsidR="00841E99" w:rsidRPr="00961B75" w:rsidTr="00135295">
        <w:trPr>
          <w:trHeight w:val="60"/>
        </w:trPr>
        <w:tc>
          <w:tcPr>
            <w:tcW w:w="419" w:type="pct"/>
            <w:vAlign w:val="center"/>
          </w:tcPr>
          <w:p w:rsidR="00841E99" w:rsidRPr="00961B75" w:rsidRDefault="00841E99" w:rsidP="004611DA">
            <w:pPr>
              <w:widowControl/>
              <w:jc w:val="left"/>
              <w:rPr>
                <w:rFonts w:ascii="Arial Narrow" w:hAnsi="Arial Narrow"/>
                <w:sz w:val="20"/>
              </w:rPr>
            </w:pPr>
          </w:p>
        </w:tc>
        <w:tc>
          <w:tcPr>
            <w:tcW w:w="527" w:type="pct"/>
            <w:vAlign w:val="center"/>
          </w:tcPr>
          <w:p w:rsidR="00841E99" w:rsidRPr="00961B75" w:rsidRDefault="00841E99" w:rsidP="004611DA">
            <w:pPr>
              <w:widowControl/>
              <w:jc w:val="center"/>
              <w:rPr>
                <w:rFonts w:ascii="Arial Narrow" w:hAnsi="Arial Narrow"/>
                <w:b/>
                <w:bCs/>
                <w:sz w:val="20"/>
              </w:rPr>
            </w:pPr>
            <w:r w:rsidRPr="00961B75">
              <w:rPr>
                <w:rFonts w:ascii="Arial Narrow" w:hAnsi="Arial Narrow"/>
                <w:b/>
                <w:bCs/>
                <w:sz w:val="20"/>
              </w:rPr>
              <w:t>PEARL I</w:t>
            </w:r>
          </w:p>
        </w:tc>
        <w:tc>
          <w:tcPr>
            <w:tcW w:w="530" w:type="pct"/>
            <w:gridSpan w:val="2"/>
            <w:vAlign w:val="center"/>
          </w:tcPr>
          <w:p w:rsidR="00841E99" w:rsidRPr="00961B75" w:rsidRDefault="00841E99" w:rsidP="004611DA">
            <w:pPr>
              <w:widowControl/>
              <w:jc w:val="center"/>
              <w:rPr>
                <w:rFonts w:ascii="Arial Narrow" w:hAnsi="Arial Narrow"/>
                <w:b/>
                <w:bCs/>
                <w:sz w:val="20"/>
              </w:rPr>
            </w:pPr>
            <w:r w:rsidRPr="00961B75">
              <w:rPr>
                <w:rFonts w:ascii="Arial Narrow" w:hAnsi="Arial Narrow"/>
                <w:b/>
                <w:bCs/>
                <w:sz w:val="20"/>
              </w:rPr>
              <w:t>AGATE I</w:t>
            </w:r>
          </w:p>
        </w:tc>
        <w:tc>
          <w:tcPr>
            <w:tcW w:w="1027" w:type="pct"/>
            <w:gridSpan w:val="3"/>
            <w:tcBorders>
              <w:right w:val="double" w:sz="4" w:space="0" w:color="auto"/>
            </w:tcBorders>
            <w:vAlign w:val="center"/>
          </w:tcPr>
          <w:p w:rsidR="00841E99" w:rsidRPr="00961B75" w:rsidRDefault="00841E99" w:rsidP="004611DA">
            <w:pPr>
              <w:widowControl/>
              <w:jc w:val="center"/>
              <w:rPr>
                <w:rFonts w:ascii="Arial Narrow" w:hAnsi="Arial Narrow"/>
                <w:b/>
                <w:bCs/>
                <w:sz w:val="20"/>
              </w:rPr>
            </w:pPr>
            <w:r w:rsidRPr="00961B75">
              <w:rPr>
                <w:rFonts w:ascii="Arial Narrow" w:hAnsi="Arial Narrow"/>
                <w:b/>
                <w:bCs/>
                <w:sz w:val="20"/>
              </w:rPr>
              <w:t>AGATE II</w:t>
            </w:r>
          </w:p>
        </w:tc>
        <w:tc>
          <w:tcPr>
            <w:tcW w:w="2498" w:type="pct"/>
            <w:gridSpan w:val="5"/>
            <w:tcBorders>
              <w:left w:val="double" w:sz="4" w:space="0" w:color="auto"/>
            </w:tcBorders>
            <w:vAlign w:val="center"/>
          </w:tcPr>
          <w:p w:rsidR="00841E99" w:rsidRPr="00961B75" w:rsidRDefault="00841E99" w:rsidP="004611DA">
            <w:pPr>
              <w:widowControl/>
              <w:jc w:val="center"/>
              <w:rPr>
                <w:rFonts w:ascii="Arial Narrow" w:hAnsi="Arial Narrow"/>
                <w:b/>
                <w:bCs/>
                <w:sz w:val="20"/>
              </w:rPr>
            </w:pPr>
            <w:r w:rsidRPr="00961B75">
              <w:rPr>
                <w:rFonts w:ascii="Arial Narrow" w:hAnsi="Arial Narrow"/>
                <w:b/>
                <w:bCs/>
                <w:sz w:val="20"/>
              </w:rPr>
              <w:t xml:space="preserve">C-EDGE TE </w:t>
            </w:r>
          </w:p>
        </w:tc>
      </w:tr>
      <w:tr w:rsidR="00841E99" w:rsidRPr="00961B75" w:rsidTr="00135295">
        <w:trPr>
          <w:trHeight w:val="60"/>
        </w:trPr>
        <w:tc>
          <w:tcPr>
            <w:tcW w:w="419" w:type="pct"/>
            <w:vAlign w:val="center"/>
          </w:tcPr>
          <w:p w:rsidR="00841E99" w:rsidRPr="00961B75" w:rsidRDefault="00841E99" w:rsidP="004611DA">
            <w:pPr>
              <w:widowControl/>
              <w:jc w:val="left"/>
              <w:rPr>
                <w:rFonts w:ascii="Arial Narrow" w:hAnsi="Arial Narrow"/>
                <w:sz w:val="20"/>
              </w:rPr>
            </w:pPr>
          </w:p>
        </w:tc>
        <w:tc>
          <w:tcPr>
            <w:tcW w:w="527" w:type="pct"/>
            <w:vAlign w:val="center"/>
          </w:tcPr>
          <w:p w:rsidR="00841E99" w:rsidRPr="00961B75" w:rsidRDefault="00841E99" w:rsidP="004611DA">
            <w:pPr>
              <w:widowControl/>
              <w:jc w:val="center"/>
              <w:rPr>
                <w:rFonts w:ascii="Arial Narrow" w:hAnsi="Arial Narrow"/>
                <w:b/>
                <w:bCs/>
                <w:sz w:val="20"/>
              </w:rPr>
            </w:pPr>
            <w:r w:rsidRPr="00961B75">
              <w:rPr>
                <w:rFonts w:ascii="Arial Narrow" w:hAnsi="Arial Narrow"/>
                <w:b/>
                <w:bCs/>
                <w:sz w:val="20"/>
              </w:rPr>
              <w:t xml:space="preserve">Group 6 (TE, no </w:t>
            </w:r>
            <w:proofErr w:type="spellStart"/>
            <w:r w:rsidRPr="00961B75">
              <w:rPr>
                <w:rFonts w:ascii="Arial Narrow" w:hAnsi="Arial Narrow"/>
                <w:b/>
                <w:bCs/>
                <w:sz w:val="20"/>
              </w:rPr>
              <w:t>cirr</w:t>
            </w:r>
            <w:proofErr w:type="spellEnd"/>
            <w:r w:rsidRPr="00961B75">
              <w:rPr>
                <w:rFonts w:ascii="Arial Narrow" w:hAnsi="Arial Narrow"/>
                <w:b/>
                <w:bCs/>
                <w:sz w:val="20"/>
              </w:rPr>
              <w:t>)</w:t>
            </w:r>
          </w:p>
        </w:tc>
        <w:tc>
          <w:tcPr>
            <w:tcW w:w="530" w:type="pct"/>
            <w:gridSpan w:val="2"/>
            <w:vAlign w:val="center"/>
          </w:tcPr>
          <w:p w:rsidR="00841E99" w:rsidRPr="00961B75" w:rsidRDefault="00841E99" w:rsidP="004611DA">
            <w:pPr>
              <w:widowControl/>
              <w:jc w:val="center"/>
              <w:rPr>
                <w:rFonts w:ascii="Arial Narrow" w:hAnsi="Arial Narrow"/>
                <w:b/>
                <w:bCs/>
                <w:sz w:val="20"/>
              </w:rPr>
            </w:pPr>
            <w:r w:rsidRPr="00961B75">
              <w:rPr>
                <w:rFonts w:ascii="Arial Narrow" w:hAnsi="Arial Narrow"/>
                <w:b/>
                <w:bCs/>
                <w:sz w:val="20"/>
              </w:rPr>
              <w:t>Arm A</w:t>
            </w:r>
          </w:p>
          <w:p w:rsidR="00841E99" w:rsidRPr="00961B75" w:rsidRDefault="00841E99" w:rsidP="004611DA">
            <w:pPr>
              <w:widowControl/>
              <w:jc w:val="center"/>
              <w:rPr>
                <w:rFonts w:ascii="Arial Narrow" w:hAnsi="Arial Narrow"/>
                <w:b/>
                <w:bCs/>
                <w:sz w:val="20"/>
              </w:rPr>
            </w:pPr>
            <w:r w:rsidRPr="00961B75">
              <w:rPr>
                <w:rFonts w:ascii="Arial Narrow" w:hAnsi="Arial Narrow"/>
                <w:b/>
                <w:bCs/>
                <w:sz w:val="20"/>
              </w:rPr>
              <w:t xml:space="preserve">(TE, </w:t>
            </w:r>
            <w:proofErr w:type="spellStart"/>
            <w:r w:rsidRPr="00961B75">
              <w:rPr>
                <w:rFonts w:ascii="Arial Narrow" w:hAnsi="Arial Narrow"/>
                <w:b/>
                <w:bCs/>
                <w:sz w:val="20"/>
              </w:rPr>
              <w:t>cirr</w:t>
            </w:r>
            <w:proofErr w:type="spellEnd"/>
            <w:r w:rsidRPr="00961B75">
              <w:rPr>
                <w:rFonts w:ascii="Arial Narrow" w:hAnsi="Arial Narrow"/>
                <w:b/>
                <w:bCs/>
                <w:sz w:val="20"/>
              </w:rPr>
              <w:t>)</w:t>
            </w:r>
          </w:p>
        </w:tc>
        <w:tc>
          <w:tcPr>
            <w:tcW w:w="423" w:type="pct"/>
            <w:vAlign w:val="center"/>
          </w:tcPr>
          <w:p w:rsidR="00841E99" w:rsidRPr="00961B75" w:rsidRDefault="00841E99" w:rsidP="004611DA">
            <w:pPr>
              <w:widowControl/>
              <w:jc w:val="center"/>
              <w:rPr>
                <w:rFonts w:ascii="Arial Narrow" w:hAnsi="Arial Narrow"/>
                <w:b/>
                <w:bCs/>
                <w:sz w:val="20"/>
              </w:rPr>
            </w:pPr>
            <w:r w:rsidRPr="00961B75">
              <w:rPr>
                <w:rFonts w:ascii="Arial Narrow" w:hAnsi="Arial Narrow"/>
                <w:b/>
                <w:bCs/>
                <w:sz w:val="20"/>
              </w:rPr>
              <w:t>Arm A</w:t>
            </w:r>
          </w:p>
          <w:p w:rsidR="00841E99" w:rsidRPr="00961B75" w:rsidRDefault="00841E99" w:rsidP="004611DA">
            <w:pPr>
              <w:widowControl/>
              <w:jc w:val="center"/>
              <w:rPr>
                <w:rFonts w:ascii="Arial Narrow" w:hAnsi="Arial Narrow"/>
                <w:b/>
                <w:bCs/>
                <w:sz w:val="20"/>
              </w:rPr>
            </w:pPr>
            <w:r w:rsidRPr="00961B75">
              <w:rPr>
                <w:rFonts w:ascii="Arial Narrow" w:hAnsi="Arial Narrow"/>
                <w:b/>
                <w:bCs/>
                <w:sz w:val="20"/>
              </w:rPr>
              <w:t xml:space="preserve">(TE 51%, </w:t>
            </w:r>
          </w:p>
          <w:p w:rsidR="00841E99" w:rsidRPr="00961B75" w:rsidRDefault="00841E99" w:rsidP="004611DA">
            <w:pPr>
              <w:widowControl/>
              <w:jc w:val="center"/>
              <w:rPr>
                <w:rFonts w:ascii="Arial Narrow" w:hAnsi="Arial Narrow"/>
                <w:b/>
                <w:bCs/>
                <w:sz w:val="20"/>
              </w:rPr>
            </w:pPr>
            <w:r w:rsidRPr="00961B75">
              <w:rPr>
                <w:rFonts w:ascii="Arial Narrow" w:hAnsi="Arial Narrow"/>
                <w:b/>
                <w:bCs/>
                <w:sz w:val="20"/>
              </w:rPr>
              <w:t xml:space="preserve">no </w:t>
            </w:r>
            <w:proofErr w:type="spellStart"/>
            <w:r w:rsidRPr="00961B75">
              <w:rPr>
                <w:rFonts w:ascii="Arial Narrow" w:hAnsi="Arial Narrow"/>
                <w:b/>
                <w:bCs/>
                <w:sz w:val="20"/>
              </w:rPr>
              <w:t>cirr</w:t>
            </w:r>
            <w:proofErr w:type="spellEnd"/>
            <w:r w:rsidRPr="00961B75">
              <w:rPr>
                <w:rFonts w:ascii="Arial Narrow" w:hAnsi="Arial Narrow"/>
                <w:b/>
                <w:bCs/>
                <w:sz w:val="20"/>
              </w:rPr>
              <w:t>)</w:t>
            </w:r>
          </w:p>
        </w:tc>
        <w:tc>
          <w:tcPr>
            <w:tcW w:w="604" w:type="pct"/>
            <w:gridSpan w:val="2"/>
            <w:tcBorders>
              <w:right w:val="double" w:sz="4" w:space="0" w:color="auto"/>
            </w:tcBorders>
            <w:vAlign w:val="center"/>
          </w:tcPr>
          <w:p w:rsidR="00841E99" w:rsidRPr="00961B75" w:rsidRDefault="00841E99" w:rsidP="004611DA">
            <w:pPr>
              <w:widowControl/>
              <w:jc w:val="center"/>
              <w:rPr>
                <w:rFonts w:ascii="Arial Narrow" w:hAnsi="Arial Narrow"/>
                <w:b/>
                <w:bCs/>
                <w:sz w:val="20"/>
              </w:rPr>
            </w:pPr>
            <w:r w:rsidRPr="00961B75">
              <w:rPr>
                <w:rFonts w:ascii="Arial Narrow" w:hAnsi="Arial Narrow"/>
                <w:b/>
                <w:bCs/>
                <w:sz w:val="20"/>
              </w:rPr>
              <w:t xml:space="preserve">Arm B </w:t>
            </w:r>
          </w:p>
          <w:p w:rsidR="00841E99" w:rsidRPr="00961B75" w:rsidRDefault="00841E99" w:rsidP="004611DA">
            <w:pPr>
              <w:widowControl/>
              <w:jc w:val="center"/>
              <w:rPr>
                <w:rFonts w:ascii="Arial Narrow" w:hAnsi="Arial Narrow"/>
                <w:b/>
                <w:bCs/>
                <w:sz w:val="20"/>
              </w:rPr>
            </w:pPr>
            <w:r w:rsidRPr="00961B75">
              <w:rPr>
                <w:rFonts w:ascii="Arial Narrow" w:hAnsi="Arial Narrow"/>
                <w:b/>
                <w:bCs/>
                <w:sz w:val="20"/>
              </w:rPr>
              <w:t xml:space="preserve">(TE 52%, </w:t>
            </w:r>
            <w:proofErr w:type="spellStart"/>
            <w:r w:rsidRPr="00961B75">
              <w:rPr>
                <w:rFonts w:ascii="Arial Narrow" w:hAnsi="Arial Narrow"/>
                <w:b/>
                <w:bCs/>
                <w:sz w:val="20"/>
              </w:rPr>
              <w:t>cirr</w:t>
            </w:r>
            <w:proofErr w:type="spellEnd"/>
            <w:r w:rsidRPr="00961B75">
              <w:rPr>
                <w:rFonts w:ascii="Arial Narrow" w:hAnsi="Arial Narrow"/>
                <w:b/>
                <w:bCs/>
                <w:sz w:val="20"/>
              </w:rPr>
              <w:t xml:space="preserve">)  </w:t>
            </w:r>
          </w:p>
        </w:tc>
        <w:tc>
          <w:tcPr>
            <w:tcW w:w="2498" w:type="pct"/>
            <w:gridSpan w:val="5"/>
            <w:tcBorders>
              <w:left w:val="double" w:sz="4" w:space="0" w:color="auto"/>
            </w:tcBorders>
            <w:vAlign w:val="center"/>
          </w:tcPr>
          <w:p w:rsidR="00841E99" w:rsidRPr="00961B75" w:rsidRDefault="00841E99" w:rsidP="004611DA">
            <w:pPr>
              <w:widowControl/>
              <w:jc w:val="center"/>
              <w:rPr>
                <w:rFonts w:ascii="Arial Narrow" w:hAnsi="Arial Narrow"/>
                <w:b/>
                <w:bCs/>
                <w:sz w:val="20"/>
              </w:rPr>
            </w:pPr>
            <w:r w:rsidRPr="00961B75">
              <w:rPr>
                <w:rFonts w:ascii="Arial Narrow" w:hAnsi="Arial Narrow"/>
                <w:b/>
                <w:bCs/>
                <w:sz w:val="20"/>
              </w:rPr>
              <w:t>Arm D</w:t>
            </w:r>
          </w:p>
          <w:p w:rsidR="00841E99" w:rsidRPr="00961B75" w:rsidRDefault="00841E99" w:rsidP="004611DA">
            <w:pPr>
              <w:widowControl/>
              <w:jc w:val="center"/>
              <w:rPr>
                <w:rFonts w:ascii="Arial Narrow" w:hAnsi="Arial Narrow"/>
                <w:b/>
                <w:bCs/>
                <w:sz w:val="20"/>
              </w:rPr>
            </w:pPr>
            <w:r w:rsidRPr="00961B75">
              <w:rPr>
                <w:rFonts w:ascii="Arial Narrow" w:hAnsi="Arial Narrow"/>
                <w:b/>
                <w:bCs/>
                <w:sz w:val="20"/>
              </w:rPr>
              <w:t xml:space="preserve">(TE, no </w:t>
            </w:r>
            <w:proofErr w:type="spellStart"/>
            <w:r w:rsidRPr="00961B75">
              <w:rPr>
                <w:rFonts w:ascii="Arial Narrow" w:hAnsi="Arial Narrow"/>
                <w:b/>
                <w:bCs/>
                <w:sz w:val="20"/>
              </w:rPr>
              <w:t>cirr</w:t>
            </w:r>
            <w:proofErr w:type="spellEnd"/>
            <w:r w:rsidRPr="00961B75">
              <w:rPr>
                <w:rFonts w:ascii="Arial Narrow" w:hAnsi="Arial Narrow"/>
                <w:b/>
                <w:bCs/>
                <w:sz w:val="20"/>
              </w:rPr>
              <w:t xml:space="preserve"> &amp; </w:t>
            </w:r>
            <w:proofErr w:type="spellStart"/>
            <w:r w:rsidRPr="00961B75">
              <w:rPr>
                <w:rFonts w:ascii="Arial Narrow" w:hAnsi="Arial Narrow"/>
                <w:b/>
                <w:bCs/>
                <w:sz w:val="20"/>
              </w:rPr>
              <w:t>cirr</w:t>
            </w:r>
            <w:proofErr w:type="spellEnd"/>
            <w:r w:rsidRPr="00961B75">
              <w:rPr>
                <w:rFonts w:ascii="Arial Narrow" w:hAnsi="Arial Narrow"/>
                <w:b/>
                <w:bCs/>
                <w:sz w:val="20"/>
              </w:rPr>
              <w:t>)</w:t>
            </w:r>
          </w:p>
        </w:tc>
      </w:tr>
      <w:tr w:rsidR="00841E99" w:rsidRPr="00961B75" w:rsidTr="00135295">
        <w:trPr>
          <w:trHeight w:val="60"/>
        </w:trPr>
        <w:tc>
          <w:tcPr>
            <w:tcW w:w="419" w:type="pct"/>
            <w:vAlign w:val="center"/>
          </w:tcPr>
          <w:p w:rsidR="00841E99" w:rsidRPr="00961B75" w:rsidRDefault="00841E99" w:rsidP="004611DA">
            <w:pPr>
              <w:widowControl/>
              <w:jc w:val="left"/>
              <w:rPr>
                <w:rFonts w:ascii="Arial Narrow" w:hAnsi="Arial Narrow"/>
                <w:sz w:val="20"/>
              </w:rPr>
            </w:pPr>
            <w:r w:rsidRPr="00961B75">
              <w:rPr>
                <w:rFonts w:ascii="Arial Narrow" w:hAnsi="Arial Narrow"/>
                <w:sz w:val="20"/>
              </w:rPr>
              <w:t xml:space="preserve">All HCV </w:t>
            </w:r>
            <w:proofErr w:type="spellStart"/>
            <w:r w:rsidRPr="00961B75">
              <w:rPr>
                <w:rFonts w:ascii="Arial Narrow" w:hAnsi="Arial Narrow"/>
                <w:sz w:val="20"/>
              </w:rPr>
              <w:t>Gt</w:t>
            </w:r>
            <w:proofErr w:type="spellEnd"/>
            <w:r w:rsidRPr="00961B75">
              <w:rPr>
                <w:rFonts w:ascii="Arial Narrow" w:hAnsi="Arial Narrow"/>
                <w:sz w:val="20"/>
              </w:rPr>
              <w:t xml:space="preserve"> 4 patients</w:t>
            </w:r>
          </w:p>
        </w:tc>
        <w:tc>
          <w:tcPr>
            <w:tcW w:w="527" w:type="pct"/>
            <w:vAlign w:val="center"/>
          </w:tcPr>
          <w:p w:rsidR="00841E99" w:rsidRPr="00961B75" w:rsidRDefault="00841E99" w:rsidP="004611DA">
            <w:pPr>
              <w:widowControl/>
              <w:jc w:val="center"/>
              <w:rPr>
                <w:rFonts w:ascii="Arial Narrow" w:hAnsi="Arial Narrow"/>
                <w:sz w:val="20"/>
              </w:rPr>
            </w:pPr>
            <w:r w:rsidRPr="00961B75">
              <w:rPr>
                <w:rFonts w:ascii="Arial Narrow" w:hAnsi="Arial Narrow"/>
                <w:sz w:val="20"/>
              </w:rPr>
              <w:t xml:space="preserve">49/49 </w:t>
            </w:r>
          </w:p>
          <w:p w:rsidR="00841E99" w:rsidRPr="00961B75" w:rsidRDefault="00841E99" w:rsidP="004611DA">
            <w:pPr>
              <w:widowControl/>
              <w:jc w:val="center"/>
              <w:rPr>
                <w:rFonts w:ascii="Arial Narrow" w:hAnsi="Arial Narrow"/>
                <w:sz w:val="20"/>
              </w:rPr>
            </w:pPr>
            <w:r w:rsidRPr="00961B75">
              <w:rPr>
                <w:rFonts w:ascii="Arial Narrow" w:hAnsi="Arial Narrow"/>
                <w:sz w:val="20"/>
              </w:rPr>
              <w:t>(100)</w:t>
            </w:r>
          </w:p>
          <w:p w:rsidR="00841E99" w:rsidRPr="00961B75" w:rsidRDefault="00841E99" w:rsidP="004611DA">
            <w:pPr>
              <w:widowControl/>
              <w:jc w:val="center"/>
              <w:rPr>
                <w:rFonts w:ascii="Arial Narrow" w:hAnsi="Arial Narrow"/>
                <w:sz w:val="20"/>
              </w:rPr>
            </w:pPr>
            <w:r w:rsidRPr="00961B75">
              <w:rPr>
                <w:rFonts w:ascii="Arial Narrow" w:hAnsi="Arial Narrow"/>
                <w:sz w:val="20"/>
              </w:rPr>
              <w:t>[92.7, 100]</w:t>
            </w:r>
            <w:r w:rsidRPr="00961B75">
              <w:rPr>
                <w:rFonts w:ascii="Arial Narrow" w:hAnsi="Arial Narrow"/>
                <w:sz w:val="20"/>
                <w:vertAlign w:val="superscript"/>
              </w:rPr>
              <w:t>a</w:t>
            </w:r>
          </w:p>
        </w:tc>
        <w:tc>
          <w:tcPr>
            <w:tcW w:w="530" w:type="pct"/>
            <w:gridSpan w:val="2"/>
            <w:vAlign w:val="center"/>
          </w:tcPr>
          <w:p w:rsidR="00841E99" w:rsidRPr="00961B75" w:rsidRDefault="00841E99" w:rsidP="004611DA">
            <w:pPr>
              <w:widowControl/>
              <w:jc w:val="center"/>
              <w:rPr>
                <w:rFonts w:ascii="Arial Narrow" w:hAnsi="Arial Narrow"/>
                <w:sz w:val="20"/>
              </w:rPr>
            </w:pPr>
            <w:r w:rsidRPr="00961B75">
              <w:rPr>
                <w:rFonts w:ascii="Arial Narrow" w:hAnsi="Arial Narrow"/>
                <w:sz w:val="20"/>
              </w:rPr>
              <w:t>28/29 (96.6)</w:t>
            </w:r>
          </w:p>
          <w:p w:rsidR="00841E99" w:rsidRPr="00961B75" w:rsidRDefault="00841E99" w:rsidP="004611DA">
            <w:pPr>
              <w:widowControl/>
              <w:jc w:val="center"/>
              <w:rPr>
                <w:rFonts w:ascii="Arial Narrow" w:hAnsi="Arial Narrow"/>
                <w:sz w:val="20"/>
              </w:rPr>
            </w:pPr>
            <w:r w:rsidRPr="00961B75">
              <w:rPr>
                <w:rFonts w:ascii="Arial Narrow" w:hAnsi="Arial Narrow"/>
                <w:sz w:val="20"/>
              </w:rPr>
              <w:t>[82.2, 99.9]</w:t>
            </w:r>
          </w:p>
        </w:tc>
        <w:tc>
          <w:tcPr>
            <w:tcW w:w="423" w:type="pct"/>
            <w:vAlign w:val="center"/>
          </w:tcPr>
          <w:p w:rsidR="00841E99" w:rsidRPr="00961B75" w:rsidRDefault="00841E99" w:rsidP="004611DA">
            <w:pPr>
              <w:widowControl/>
              <w:jc w:val="center"/>
              <w:rPr>
                <w:rFonts w:ascii="Arial Narrow" w:hAnsi="Arial Narrow"/>
                <w:sz w:val="20"/>
              </w:rPr>
            </w:pPr>
            <w:r w:rsidRPr="00961B75">
              <w:rPr>
                <w:rFonts w:ascii="Arial Narrow" w:hAnsi="Arial Narrow"/>
                <w:sz w:val="20"/>
              </w:rPr>
              <w:t>94/100 (94.0)</w:t>
            </w:r>
          </w:p>
          <w:p w:rsidR="00841E99" w:rsidRPr="00961B75" w:rsidRDefault="00841E99" w:rsidP="004611DA">
            <w:pPr>
              <w:widowControl/>
              <w:jc w:val="center"/>
              <w:rPr>
                <w:rFonts w:ascii="Arial Narrow" w:hAnsi="Arial Narrow"/>
                <w:sz w:val="20"/>
              </w:rPr>
            </w:pPr>
            <w:r w:rsidRPr="00961B75">
              <w:rPr>
                <w:rFonts w:ascii="Arial Narrow" w:hAnsi="Arial Narrow"/>
                <w:sz w:val="20"/>
              </w:rPr>
              <w:t>[87.4, 97.8]</w:t>
            </w:r>
          </w:p>
        </w:tc>
        <w:tc>
          <w:tcPr>
            <w:tcW w:w="604" w:type="pct"/>
            <w:gridSpan w:val="2"/>
            <w:tcBorders>
              <w:right w:val="double" w:sz="4" w:space="0" w:color="auto"/>
            </w:tcBorders>
            <w:vAlign w:val="center"/>
          </w:tcPr>
          <w:p w:rsidR="00841E99" w:rsidRPr="00961B75" w:rsidRDefault="00841E99" w:rsidP="004611DA">
            <w:pPr>
              <w:widowControl/>
              <w:jc w:val="center"/>
              <w:rPr>
                <w:rFonts w:ascii="Arial Narrow" w:hAnsi="Arial Narrow"/>
                <w:sz w:val="20"/>
              </w:rPr>
            </w:pPr>
            <w:r w:rsidRPr="00961B75">
              <w:rPr>
                <w:rFonts w:ascii="Arial Narrow" w:hAnsi="Arial Narrow"/>
                <w:sz w:val="20"/>
              </w:rPr>
              <w:t>30/31 (96.8)</w:t>
            </w:r>
          </w:p>
          <w:p w:rsidR="00841E99" w:rsidRPr="00961B75" w:rsidRDefault="00841E99" w:rsidP="004611DA">
            <w:pPr>
              <w:widowControl/>
              <w:jc w:val="center"/>
              <w:rPr>
                <w:rFonts w:ascii="Arial Narrow" w:hAnsi="Arial Narrow"/>
                <w:sz w:val="20"/>
              </w:rPr>
            </w:pPr>
            <w:r w:rsidRPr="00961B75">
              <w:rPr>
                <w:rFonts w:ascii="Arial Narrow" w:hAnsi="Arial Narrow"/>
                <w:sz w:val="20"/>
              </w:rPr>
              <w:t>[83.3, 99.9]</w:t>
            </w:r>
          </w:p>
        </w:tc>
        <w:tc>
          <w:tcPr>
            <w:tcW w:w="2498" w:type="pct"/>
            <w:gridSpan w:val="5"/>
            <w:tcBorders>
              <w:left w:val="double" w:sz="4" w:space="0" w:color="auto"/>
            </w:tcBorders>
            <w:vAlign w:val="center"/>
          </w:tcPr>
          <w:p w:rsidR="00841E99" w:rsidRPr="00961B75" w:rsidRDefault="00841E99" w:rsidP="004611DA">
            <w:pPr>
              <w:widowControl/>
              <w:jc w:val="center"/>
              <w:rPr>
                <w:rFonts w:ascii="Arial Narrow" w:hAnsi="Arial Narrow"/>
                <w:sz w:val="20"/>
              </w:rPr>
            </w:pPr>
            <w:r w:rsidRPr="00961B75">
              <w:rPr>
                <w:rFonts w:ascii="Arial Narrow" w:hAnsi="Arial Narrow"/>
                <w:sz w:val="20"/>
              </w:rPr>
              <w:t xml:space="preserve">8/8 </w:t>
            </w:r>
          </w:p>
          <w:p w:rsidR="00841E99" w:rsidRPr="00961B75" w:rsidRDefault="00841E99" w:rsidP="004611DA">
            <w:pPr>
              <w:widowControl/>
              <w:jc w:val="center"/>
              <w:rPr>
                <w:rFonts w:ascii="Arial Narrow" w:hAnsi="Arial Narrow"/>
                <w:sz w:val="20"/>
              </w:rPr>
            </w:pPr>
            <w:r w:rsidRPr="00961B75">
              <w:rPr>
                <w:rFonts w:ascii="Arial Narrow" w:hAnsi="Arial Narrow"/>
                <w:sz w:val="20"/>
              </w:rPr>
              <w:t>(100.0)</w:t>
            </w:r>
          </w:p>
          <w:p w:rsidR="00841E99" w:rsidRPr="00961B75" w:rsidRDefault="00841E99" w:rsidP="004611DA">
            <w:pPr>
              <w:widowControl/>
              <w:jc w:val="center"/>
              <w:rPr>
                <w:rFonts w:ascii="Arial Narrow" w:hAnsi="Arial Narrow"/>
                <w:sz w:val="20"/>
              </w:rPr>
            </w:pPr>
            <w:r w:rsidRPr="00961B75">
              <w:rPr>
                <w:rFonts w:ascii="Arial Narrow" w:hAnsi="Arial Narrow"/>
                <w:sz w:val="20"/>
              </w:rPr>
              <w:t>[63.1, 100]</w:t>
            </w:r>
            <w:r w:rsidRPr="00961B75">
              <w:rPr>
                <w:rFonts w:ascii="Arial Narrow" w:hAnsi="Arial Narrow"/>
                <w:sz w:val="20"/>
                <w:vertAlign w:val="superscript"/>
              </w:rPr>
              <w:t>a</w:t>
            </w:r>
          </w:p>
        </w:tc>
      </w:tr>
      <w:tr w:rsidR="00841E99" w:rsidRPr="00961B75" w:rsidTr="00135295">
        <w:trPr>
          <w:trHeight w:val="60"/>
        </w:trPr>
        <w:tc>
          <w:tcPr>
            <w:tcW w:w="419" w:type="pct"/>
            <w:vAlign w:val="center"/>
          </w:tcPr>
          <w:p w:rsidR="00841E99" w:rsidRPr="00961B75" w:rsidRDefault="00841E99" w:rsidP="004611DA">
            <w:pPr>
              <w:widowControl/>
              <w:jc w:val="left"/>
              <w:rPr>
                <w:rFonts w:ascii="Arial Narrow" w:hAnsi="Arial Narrow"/>
                <w:sz w:val="20"/>
              </w:rPr>
            </w:pPr>
            <w:r w:rsidRPr="00961B75">
              <w:rPr>
                <w:rFonts w:ascii="Arial Narrow" w:hAnsi="Arial Narrow"/>
                <w:sz w:val="20"/>
              </w:rPr>
              <w:t>Pooled</w:t>
            </w:r>
          </w:p>
        </w:tc>
        <w:tc>
          <w:tcPr>
            <w:tcW w:w="2084" w:type="pct"/>
            <w:gridSpan w:val="6"/>
            <w:tcBorders>
              <w:right w:val="double" w:sz="4" w:space="0" w:color="auto"/>
            </w:tcBorders>
            <w:vAlign w:val="center"/>
          </w:tcPr>
          <w:p w:rsidR="00841E99" w:rsidRPr="00961B75" w:rsidRDefault="00841E99" w:rsidP="004611DA">
            <w:pPr>
              <w:widowControl/>
              <w:jc w:val="center"/>
              <w:rPr>
                <w:rFonts w:ascii="Arial Narrow" w:hAnsi="Arial Narrow"/>
                <w:b/>
                <w:sz w:val="20"/>
                <w:vertAlign w:val="superscript"/>
              </w:rPr>
            </w:pPr>
            <w:r w:rsidRPr="00961B75">
              <w:rPr>
                <w:rFonts w:ascii="Arial Narrow" w:hAnsi="Arial Narrow"/>
                <w:sz w:val="20"/>
              </w:rPr>
              <w:t>201/209 (96.2) [92.6, 98.3]</w:t>
            </w:r>
            <w:r w:rsidR="00FC26FD" w:rsidRPr="00961B75">
              <w:rPr>
                <w:rFonts w:ascii="Arial Narrow" w:hAnsi="Arial Narrow"/>
                <w:b/>
                <w:sz w:val="20"/>
                <w:vertAlign w:val="superscript"/>
              </w:rPr>
              <w:t>c</w:t>
            </w:r>
          </w:p>
        </w:tc>
        <w:tc>
          <w:tcPr>
            <w:tcW w:w="2498" w:type="pct"/>
            <w:gridSpan w:val="5"/>
            <w:tcBorders>
              <w:left w:val="double" w:sz="4" w:space="0" w:color="auto"/>
            </w:tcBorders>
            <w:vAlign w:val="center"/>
          </w:tcPr>
          <w:p w:rsidR="00841E99" w:rsidRPr="00961B75" w:rsidRDefault="00841E99" w:rsidP="004611DA">
            <w:pPr>
              <w:widowControl/>
              <w:jc w:val="center"/>
              <w:rPr>
                <w:rFonts w:ascii="Arial Narrow" w:hAnsi="Arial Narrow"/>
                <w:sz w:val="20"/>
              </w:rPr>
            </w:pPr>
            <w:r w:rsidRPr="00961B75">
              <w:rPr>
                <w:rFonts w:ascii="Arial Narrow" w:hAnsi="Arial Narrow"/>
                <w:sz w:val="20"/>
              </w:rPr>
              <w:t>8/8 (100.0) [63.1, 100]</w:t>
            </w:r>
            <w:r w:rsidRPr="00961B75">
              <w:rPr>
                <w:rFonts w:ascii="Arial Narrow" w:hAnsi="Arial Narrow"/>
                <w:sz w:val="20"/>
                <w:vertAlign w:val="superscript"/>
              </w:rPr>
              <w:t>a</w:t>
            </w:r>
          </w:p>
        </w:tc>
      </w:tr>
      <w:tr w:rsidR="00841E99" w:rsidRPr="00961B75" w:rsidTr="008A2F75">
        <w:trPr>
          <w:trHeight w:val="60"/>
        </w:trPr>
        <w:tc>
          <w:tcPr>
            <w:tcW w:w="419" w:type="pct"/>
            <w:vAlign w:val="center"/>
          </w:tcPr>
          <w:p w:rsidR="00841E99" w:rsidRPr="00961B75" w:rsidRDefault="00841E99" w:rsidP="004611DA">
            <w:pPr>
              <w:widowControl/>
              <w:jc w:val="left"/>
              <w:rPr>
                <w:rFonts w:ascii="Arial Narrow" w:hAnsi="Arial Narrow"/>
                <w:sz w:val="20"/>
              </w:rPr>
            </w:pPr>
            <w:r w:rsidRPr="00961B75">
              <w:rPr>
                <w:rFonts w:ascii="Arial Narrow" w:hAnsi="Arial Narrow"/>
                <w:sz w:val="20"/>
              </w:rPr>
              <w:t>Diff in %</w:t>
            </w:r>
          </w:p>
        </w:tc>
        <w:tc>
          <w:tcPr>
            <w:tcW w:w="4581" w:type="pct"/>
            <w:gridSpan w:val="11"/>
            <w:vAlign w:val="center"/>
          </w:tcPr>
          <w:p w:rsidR="00841E99" w:rsidRPr="00961B75" w:rsidRDefault="00841E99" w:rsidP="004611DA">
            <w:pPr>
              <w:widowControl/>
              <w:jc w:val="center"/>
              <w:rPr>
                <w:rFonts w:ascii="Arial Narrow" w:hAnsi="Arial Narrow"/>
                <w:sz w:val="20"/>
              </w:rPr>
            </w:pPr>
            <w:r w:rsidRPr="00961B75">
              <w:rPr>
                <w:rFonts w:ascii="Arial Narrow" w:hAnsi="Arial Narrow"/>
                <w:sz w:val="20"/>
              </w:rPr>
              <w:t>p=0.573</w:t>
            </w:r>
          </w:p>
        </w:tc>
      </w:tr>
    </w:tbl>
    <w:p w:rsidR="00841E99" w:rsidRPr="00961B75" w:rsidRDefault="00841E99" w:rsidP="004611DA">
      <w:pPr>
        <w:pStyle w:val="BodyText"/>
        <w:widowControl/>
        <w:ind w:left="709"/>
        <w:rPr>
          <w:rFonts w:ascii="Arial Narrow" w:hAnsi="Arial Narrow"/>
          <w:b/>
          <w:sz w:val="18"/>
          <w:szCs w:val="14"/>
        </w:rPr>
      </w:pPr>
      <w:r w:rsidRPr="00961B75">
        <w:rPr>
          <w:rFonts w:ascii="Arial Narrow" w:hAnsi="Arial Narrow"/>
          <w:sz w:val="18"/>
          <w:szCs w:val="14"/>
        </w:rPr>
        <w:t xml:space="preserve">Abbreviations: CI = confidence interval; </w:t>
      </w:r>
      <w:proofErr w:type="spellStart"/>
      <w:r w:rsidRPr="00961B75">
        <w:rPr>
          <w:rFonts w:ascii="Arial Narrow" w:hAnsi="Arial Narrow"/>
          <w:sz w:val="18"/>
          <w:szCs w:val="14"/>
        </w:rPr>
        <w:t>cirr</w:t>
      </w:r>
      <w:proofErr w:type="spellEnd"/>
      <w:r w:rsidRPr="00961B75">
        <w:rPr>
          <w:rFonts w:ascii="Arial Narrow" w:hAnsi="Arial Narrow"/>
          <w:sz w:val="18"/>
          <w:szCs w:val="14"/>
        </w:rPr>
        <w:t xml:space="preserve"> = cirrhosis; diff= difference; DTG = delayed treatment group (received placebo initially); EBR = elbasvir; </w:t>
      </w:r>
      <w:proofErr w:type="spellStart"/>
      <w:r w:rsidRPr="00961B75">
        <w:rPr>
          <w:rFonts w:ascii="Arial Narrow" w:hAnsi="Arial Narrow"/>
          <w:sz w:val="18"/>
          <w:szCs w:val="14"/>
        </w:rPr>
        <w:t>Gt</w:t>
      </w:r>
      <w:proofErr w:type="spellEnd"/>
      <w:r w:rsidRPr="00961B75">
        <w:rPr>
          <w:rFonts w:ascii="Arial Narrow" w:hAnsi="Arial Narrow"/>
          <w:sz w:val="18"/>
          <w:szCs w:val="14"/>
        </w:rPr>
        <w:t xml:space="preserve"> = genotype; GZR = grazoprevir; HCV = hepatitis C virus; ITG = immediate treatment group; RBV = ribavirin; RBV12/16=ribavirin administered for 12 weeks or 16 weeks, SVR12 = sustained virological response at 12 weeks following the completion of treatment; TE = treatment</w:t>
      </w:r>
      <w:r w:rsidR="00C255E6">
        <w:rPr>
          <w:rFonts w:ascii="Arial Narrow" w:hAnsi="Arial Narrow"/>
          <w:sz w:val="18"/>
          <w:szCs w:val="14"/>
        </w:rPr>
        <w:t xml:space="preserve"> </w:t>
      </w:r>
      <w:r w:rsidRPr="00961B75">
        <w:rPr>
          <w:rFonts w:ascii="Arial Narrow" w:hAnsi="Arial Narrow"/>
          <w:sz w:val="18"/>
          <w:szCs w:val="14"/>
        </w:rPr>
        <w:t>experienced; TN = treatment</w:t>
      </w:r>
      <w:r w:rsidR="00C255E6">
        <w:rPr>
          <w:rFonts w:ascii="Arial Narrow" w:hAnsi="Arial Narrow"/>
          <w:sz w:val="18"/>
          <w:szCs w:val="14"/>
        </w:rPr>
        <w:t xml:space="preserve"> </w:t>
      </w:r>
      <w:r w:rsidRPr="00961B75">
        <w:rPr>
          <w:rFonts w:ascii="Arial Narrow" w:hAnsi="Arial Narrow"/>
          <w:sz w:val="18"/>
          <w:szCs w:val="14"/>
        </w:rPr>
        <w:t>naïve</w:t>
      </w:r>
    </w:p>
    <w:p w:rsidR="00841E99" w:rsidRPr="00961B75" w:rsidRDefault="00841E99" w:rsidP="004611DA">
      <w:pPr>
        <w:pStyle w:val="BodyText"/>
        <w:widowControl/>
        <w:ind w:left="709"/>
        <w:rPr>
          <w:rFonts w:ascii="Arial Narrow" w:hAnsi="Arial Narrow"/>
          <w:b/>
          <w:i/>
          <w:sz w:val="18"/>
          <w:szCs w:val="14"/>
        </w:rPr>
      </w:pPr>
      <w:r w:rsidRPr="00961B75">
        <w:rPr>
          <w:rFonts w:ascii="Arial Narrow" w:hAnsi="Arial Narrow"/>
          <w:sz w:val="18"/>
          <w:szCs w:val="14"/>
        </w:rPr>
        <w:t xml:space="preserve">Note: </w:t>
      </w:r>
      <w:proofErr w:type="spellStart"/>
      <w:r w:rsidRPr="00961B75">
        <w:rPr>
          <w:rFonts w:ascii="Arial Narrow" w:hAnsi="Arial Narrow"/>
          <w:sz w:val="18"/>
          <w:szCs w:val="14"/>
        </w:rPr>
        <w:t>Technivie</w:t>
      </w:r>
      <w:proofErr w:type="spellEnd"/>
      <w:r w:rsidRPr="00961B75">
        <w:rPr>
          <w:rFonts w:ascii="Arial Narrow" w:hAnsi="Arial Narrow"/>
          <w:sz w:val="18"/>
          <w:szCs w:val="14"/>
        </w:rPr>
        <w:t xml:space="preserve">® represents treatment with paritaprevir/ritonavir/ombitasvir. Results </w:t>
      </w:r>
      <w:r w:rsidR="00743C98" w:rsidRPr="00961B75">
        <w:rPr>
          <w:rFonts w:ascii="Arial Narrow" w:hAnsi="Arial Narrow"/>
          <w:sz w:val="18"/>
          <w:szCs w:val="14"/>
        </w:rPr>
        <w:t xml:space="preserve">for C-EDGE CO-STAR </w:t>
      </w:r>
      <w:r w:rsidRPr="00961B75">
        <w:rPr>
          <w:rFonts w:ascii="Arial Narrow" w:hAnsi="Arial Narrow"/>
          <w:sz w:val="18"/>
          <w:szCs w:val="14"/>
        </w:rPr>
        <w:t xml:space="preserve">from Dore </w:t>
      </w:r>
      <w:r w:rsidRPr="00961B75">
        <w:rPr>
          <w:rFonts w:ascii="Arial Narrow" w:hAnsi="Arial Narrow"/>
          <w:i/>
          <w:sz w:val="18"/>
          <w:szCs w:val="14"/>
        </w:rPr>
        <w:t xml:space="preserve">et al </w:t>
      </w:r>
      <w:r w:rsidRPr="00961B75">
        <w:rPr>
          <w:rFonts w:ascii="Arial Narrow" w:hAnsi="Arial Narrow"/>
          <w:sz w:val="18"/>
          <w:szCs w:val="14"/>
        </w:rPr>
        <w:t xml:space="preserve">(2016) were incorporated </w:t>
      </w:r>
      <w:r w:rsidR="00DE5823" w:rsidRPr="00961B75">
        <w:rPr>
          <w:rFonts w:ascii="Arial Narrow" w:hAnsi="Arial Narrow"/>
          <w:sz w:val="18"/>
          <w:szCs w:val="14"/>
        </w:rPr>
        <w:t xml:space="preserve">during the evaluation </w:t>
      </w:r>
      <w:r w:rsidRPr="00961B75">
        <w:rPr>
          <w:rFonts w:ascii="Arial Narrow" w:hAnsi="Arial Narrow"/>
          <w:sz w:val="18"/>
          <w:szCs w:val="14"/>
        </w:rPr>
        <w:t>in the same method as the other indirect comparisons presented in the submission for consistency (i.e. the identified subgroups/single arms were combined (‘lumped’), then the exact binomial 95% CI were calculated. The p-values were based on the Chi-squared test).</w:t>
      </w:r>
    </w:p>
    <w:p w:rsidR="00841E99" w:rsidRPr="00961B75" w:rsidRDefault="00841E99" w:rsidP="004611DA">
      <w:pPr>
        <w:pStyle w:val="BodyText"/>
        <w:widowControl/>
        <w:ind w:left="709"/>
        <w:rPr>
          <w:rFonts w:ascii="Arial Narrow" w:hAnsi="Arial Narrow"/>
          <w:sz w:val="18"/>
          <w:szCs w:val="14"/>
        </w:rPr>
      </w:pPr>
      <w:proofErr w:type="gramStart"/>
      <w:r w:rsidRPr="00961B75">
        <w:rPr>
          <w:rFonts w:ascii="Arial Narrow" w:hAnsi="Arial Narrow"/>
          <w:sz w:val="18"/>
          <w:szCs w:val="14"/>
          <w:vertAlign w:val="superscript"/>
        </w:rPr>
        <w:t>a</w:t>
      </w:r>
      <w:proofErr w:type="gramEnd"/>
      <w:r w:rsidRPr="00961B75">
        <w:rPr>
          <w:rFonts w:ascii="Arial Narrow" w:hAnsi="Arial Narrow"/>
          <w:sz w:val="18"/>
          <w:szCs w:val="14"/>
        </w:rPr>
        <w:tab/>
        <w:t>one sided 97.5% CI as the point estimate is 100, already the maximum of the possible range</w:t>
      </w:r>
    </w:p>
    <w:p w:rsidR="00FC26FD" w:rsidRPr="00961B75" w:rsidRDefault="00FC26FD" w:rsidP="004611DA">
      <w:pPr>
        <w:pStyle w:val="BodyText"/>
        <w:widowControl/>
        <w:ind w:left="709"/>
        <w:rPr>
          <w:rFonts w:ascii="Arial Narrow" w:hAnsi="Arial Narrow"/>
          <w:sz w:val="18"/>
          <w:szCs w:val="14"/>
        </w:rPr>
      </w:pPr>
      <w:proofErr w:type="gramStart"/>
      <w:r w:rsidRPr="00961B75">
        <w:rPr>
          <w:rFonts w:ascii="Arial Narrow" w:hAnsi="Arial Narrow"/>
          <w:sz w:val="18"/>
          <w:szCs w:val="14"/>
          <w:vertAlign w:val="superscript"/>
        </w:rPr>
        <w:t>b</w:t>
      </w:r>
      <w:proofErr w:type="gramEnd"/>
      <w:r w:rsidRPr="00961B75">
        <w:rPr>
          <w:rFonts w:ascii="Arial Narrow" w:hAnsi="Arial Narrow"/>
          <w:sz w:val="18"/>
          <w:szCs w:val="14"/>
          <w:vertAlign w:val="superscript"/>
        </w:rPr>
        <w:tab/>
      </w:r>
      <w:r w:rsidRPr="00961B75">
        <w:rPr>
          <w:rFonts w:ascii="Arial Narrow" w:hAnsi="Arial Narrow"/>
          <w:sz w:val="18"/>
          <w:szCs w:val="14"/>
        </w:rPr>
        <w:t>67% of this pooled population was treatment naïve, the rest were treatment experienced.</w:t>
      </w:r>
    </w:p>
    <w:p w:rsidR="00FC26FD" w:rsidRPr="00961B75" w:rsidRDefault="00FC26FD" w:rsidP="004611DA">
      <w:pPr>
        <w:pStyle w:val="BodyText"/>
        <w:widowControl/>
        <w:ind w:left="709"/>
        <w:rPr>
          <w:rFonts w:ascii="Arial Narrow" w:hAnsi="Arial Narrow"/>
          <w:sz w:val="18"/>
          <w:szCs w:val="14"/>
        </w:rPr>
      </w:pPr>
      <w:proofErr w:type="gramStart"/>
      <w:r w:rsidRPr="00961B75">
        <w:rPr>
          <w:rFonts w:ascii="Arial Narrow" w:hAnsi="Arial Narrow"/>
          <w:sz w:val="18"/>
          <w:szCs w:val="14"/>
          <w:vertAlign w:val="superscript"/>
        </w:rPr>
        <w:t>c</w:t>
      </w:r>
      <w:proofErr w:type="gramEnd"/>
      <w:r w:rsidRPr="00961B75">
        <w:rPr>
          <w:rFonts w:ascii="Arial Narrow" w:hAnsi="Arial Narrow"/>
          <w:sz w:val="18"/>
          <w:szCs w:val="14"/>
          <w:vertAlign w:val="superscript"/>
        </w:rPr>
        <w:tab/>
      </w:r>
      <w:r w:rsidRPr="00961B75">
        <w:rPr>
          <w:rFonts w:ascii="Arial Narrow" w:hAnsi="Arial Narrow"/>
          <w:sz w:val="18"/>
          <w:szCs w:val="14"/>
        </w:rPr>
        <w:t>69% of this pooled population was treatment experienced, the rest were treatment naïve.</w:t>
      </w:r>
    </w:p>
    <w:p w:rsidR="00743C98" w:rsidRPr="00961B75" w:rsidRDefault="00743C98" w:rsidP="004611DA">
      <w:pPr>
        <w:pStyle w:val="BodyText"/>
        <w:widowControl/>
        <w:ind w:left="709"/>
        <w:rPr>
          <w:rFonts w:ascii="Arial Narrow" w:hAnsi="Arial Narrow"/>
          <w:b/>
          <w:sz w:val="18"/>
          <w:szCs w:val="14"/>
        </w:rPr>
      </w:pPr>
      <w:proofErr w:type="gramStart"/>
      <w:r w:rsidRPr="00961B75">
        <w:rPr>
          <w:rFonts w:ascii="Arial Narrow" w:hAnsi="Arial Narrow"/>
          <w:sz w:val="18"/>
          <w:szCs w:val="14"/>
          <w:vertAlign w:val="superscript"/>
        </w:rPr>
        <w:t>d</w:t>
      </w:r>
      <w:proofErr w:type="gramEnd"/>
      <w:r w:rsidRPr="00961B75">
        <w:rPr>
          <w:rFonts w:ascii="Arial Narrow" w:hAnsi="Arial Narrow"/>
          <w:sz w:val="18"/>
          <w:szCs w:val="14"/>
          <w:vertAlign w:val="superscript"/>
        </w:rPr>
        <w:tab/>
      </w:r>
      <w:r w:rsidRPr="00961B75">
        <w:rPr>
          <w:rFonts w:ascii="Arial Narrow" w:hAnsi="Arial Narrow"/>
          <w:sz w:val="18"/>
          <w:szCs w:val="14"/>
        </w:rPr>
        <w:t xml:space="preserve">the results for C-EDGE CO-STAR </w:t>
      </w:r>
      <w:r w:rsidR="00F94906" w:rsidRPr="00961B75">
        <w:rPr>
          <w:rFonts w:ascii="Arial Narrow" w:hAnsi="Arial Narrow"/>
          <w:sz w:val="18"/>
          <w:szCs w:val="14"/>
        </w:rPr>
        <w:t xml:space="preserve">were </w:t>
      </w:r>
      <w:r w:rsidRPr="00961B75">
        <w:rPr>
          <w:rFonts w:ascii="Arial Narrow" w:hAnsi="Arial Narrow"/>
          <w:sz w:val="18"/>
          <w:szCs w:val="14"/>
        </w:rPr>
        <w:t>identified and incorporated during the evaluation.</w:t>
      </w:r>
    </w:p>
    <w:p w:rsidR="00841E99" w:rsidRPr="00961B75" w:rsidRDefault="00841E99" w:rsidP="004611DA">
      <w:pPr>
        <w:pStyle w:val="BodyText"/>
        <w:widowControl/>
        <w:ind w:left="709"/>
        <w:rPr>
          <w:rFonts w:ascii="Arial Narrow" w:hAnsi="Arial Narrow"/>
          <w:b/>
          <w:sz w:val="18"/>
          <w:szCs w:val="14"/>
        </w:rPr>
      </w:pPr>
      <w:r w:rsidRPr="00961B75">
        <w:rPr>
          <w:rFonts w:ascii="Arial Narrow" w:hAnsi="Arial Narrow"/>
          <w:sz w:val="18"/>
          <w:szCs w:val="14"/>
        </w:rPr>
        <w:t xml:space="preserve">Source: Tables B-35, p152 and B-36, p153 of the submission; Dore </w:t>
      </w:r>
      <w:r w:rsidRPr="00961B75">
        <w:rPr>
          <w:rFonts w:ascii="Arial Narrow" w:hAnsi="Arial Narrow"/>
          <w:i/>
          <w:iCs/>
          <w:sz w:val="18"/>
          <w:szCs w:val="14"/>
        </w:rPr>
        <w:t>et al</w:t>
      </w:r>
      <w:r w:rsidRPr="00961B75">
        <w:rPr>
          <w:rFonts w:ascii="Arial Narrow" w:hAnsi="Arial Narrow"/>
          <w:sz w:val="18"/>
          <w:szCs w:val="14"/>
        </w:rPr>
        <w:t xml:space="preserve"> (2016) </w:t>
      </w:r>
    </w:p>
    <w:p w:rsidR="00841E99" w:rsidRPr="00961B75" w:rsidRDefault="00841E99" w:rsidP="00452FFE"/>
    <w:p w:rsidR="00841E99" w:rsidRPr="00961B75" w:rsidRDefault="00841E99" w:rsidP="00EF7F25">
      <w:pPr>
        <w:pStyle w:val="ListParagraph"/>
        <w:widowControl/>
        <w:numPr>
          <w:ilvl w:val="1"/>
          <w:numId w:val="1"/>
        </w:numPr>
        <w:rPr>
          <w:szCs w:val="22"/>
        </w:rPr>
      </w:pPr>
      <w:r w:rsidRPr="00961B75">
        <w:rPr>
          <w:szCs w:val="22"/>
        </w:rPr>
        <w:t>SVR12 response rates were high for all treatments irrespective of patients’ prior treatment</w:t>
      </w:r>
      <w:r w:rsidR="00FE3FF0" w:rsidRPr="00961B75">
        <w:rPr>
          <w:szCs w:val="22"/>
        </w:rPr>
        <w:t xml:space="preserve"> history (range: 90% to 100%).</w:t>
      </w:r>
    </w:p>
    <w:p w:rsidR="00126139" w:rsidRPr="00A746EE" w:rsidRDefault="00126139" w:rsidP="00A746EE">
      <w:pPr>
        <w:widowControl/>
        <w:rPr>
          <w:szCs w:val="22"/>
        </w:rPr>
      </w:pPr>
    </w:p>
    <w:p w:rsidR="00841E99" w:rsidRPr="00961B75" w:rsidRDefault="008A2F75" w:rsidP="00EF7F25">
      <w:pPr>
        <w:pStyle w:val="ListParagraph"/>
        <w:widowControl/>
        <w:numPr>
          <w:ilvl w:val="1"/>
          <w:numId w:val="1"/>
        </w:numPr>
        <w:rPr>
          <w:szCs w:val="22"/>
        </w:rPr>
      </w:pPr>
      <w:r w:rsidRPr="00961B75">
        <w:rPr>
          <w:szCs w:val="22"/>
        </w:rPr>
        <w:t>During the evaluation, it was</w:t>
      </w:r>
      <w:r w:rsidR="00841E99" w:rsidRPr="00961B75">
        <w:rPr>
          <w:szCs w:val="22"/>
        </w:rPr>
        <w:t xml:space="preserve"> noted </w:t>
      </w:r>
      <w:r w:rsidRPr="00961B75">
        <w:rPr>
          <w:szCs w:val="22"/>
        </w:rPr>
        <w:t xml:space="preserve">that </w:t>
      </w:r>
      <w:r w:rsidR="00841E99" w:rsidRPr="00961B75">
        <w:rPr>
          <w:szCs w:val="22"/>
        </w:rPr>
        <w:t xml:space="preserve">despite </w:t>
      </w:r>
      <w:r w:rsidR="00622870" w:rsidRPr="00961B75">
        <w:rPr>
          <w:szCs w:val="22"/>
        </w:rPr>
        <w:t xml:space="preserve">labelling </w:t>
      </w:r>
      <w:r w:rsidR="00841E99" w:rsidRPr="00961B75">
        <w:rPr>
          <w:szCs w:val="22"/>
        </w:rPr>
        <w:t xml:space="preserve">results of </w:t>
      </w:r>
      <w:r w:rsidR="00A157DB" w:rsidRPr="00961B75">
        <w:rPr>
          <w:szCs w:val="22"/>
        </w:rPr>
        <w:t xml:space="preserve">the </w:t>
      </w:r>
      <w:r w:rsidR="00841E99" w:rsidRPr="00961B75">
        <w:rPr>
          <w:szCs w:val="22"/>
        </w:rPr>
        <w:t xml:space="preserve">AGATE II trial </w:t>
      </w:r>
      <w:r w:rsidR="006A1C83" w:rsidRPr="00961B75">
        <w:rPr>
          <w:szCs w:val="22"/>
        </w:rPr>
        <w:t>‘</w:t>
      </w:r>
      <w:r w:rsidR="00841E99" w:rsidRPr="00961B75">
        <w:rPr>
          <w:szCs w:val="22"/>
        </w:rPr>
        <w:t>treatment naïve</w:t>
      </w:r>
      <w:r w:rsidR="006A1C83" w:rsidRPr="00961B75">
        <w:rPr>
          <w:szCs w:val="22"/>
        </w:rPr>
        <w:t>’</w:t>
      </w:r>
      <w:r w:rsidR="00841E99" w:rsidRPr="00961B75">
        <w:rPr>
          <w:szCs w:val="22"/>
        </w:rPr>
        <w:t xml:space="preserve"> and </w:t>
      </w:r>
      <w:r w:rsidR="006A1C83" w:rsidRPr="00961B75">
        <w:rPr>
          <w:szCs w:val="22"/>
        </w:rPr>
        <w:t>‘</w:t>
      </w:r>
      <w:r w:rsidR="00841E99" w:rsidRPr="00961B75">
        <w:rPr>
          <w:szCs w:val="22"/>
        </w:rPr>
        <w:t>treatment experienced</w:t>
      </w:r>
      <w:r w:rsidR="006A1C83" w:rsidRPr="00961B75">
        <w:rPr>
          <w:szCs w:val="22"/>
        </w:rPr>
        <w:t>’</w:t>
      </w:r>
      <w:r w:rsidR="00841E99" w:rsidRPr="00961B75">
        <w:rPr>
          <w:szCs w:val="22"/>
        </w:rPr>
        <w:t xml:space="preserve">, the results reported </w:t>
      </w:r>
      <w:r w:rsidR="00622870" w:rsidRPr="00961B75">
        <w:rPr>
          <w:szCs w:val="22"/>
        </w:rPr>
        <w:t xml:space="preserve">for </w:t>
      </w:r>
      <w:r w:rsidR="00841E99" w:rsidRPr="00961B75">
        <w:rPr>
          <w:szCs w:val="22"/>
        </w:rPr>
        <w:t xml:space="preserve">both </w:t>
      </w:r>
      <w:r w:rsidR="00622870" w:rsidRPr="00961B75">
        <w:rPr>
          <w:szCs w:val="22"/>
        </w:rPr>
        <w:t xml:space="preserve">groups </w:t>
      </w:r>
      <w:r w:rsidR="00841E99" w:rsidRPr="00961B75">
        <w:rPr>
          <w:szCs w:val="22"/>
        </w:rPr>
        <w:t xml:space="preserve">were identical and </w:t>
      </w:r>
      <w:r w:rsidR="00A157DB" w:rsidRPr="00961B75">
        <w:rPr>
          <w:szCs w:val="22"/>
        </w:rPr>
        <w:t>included</w:t>
      </w:r>
      <w:r w:rsidR="00841E99" w:rsidRPr="00961B75">
        <w:rPr>
          <w:szCs w:val="22"/>
        </w:rPr>
        <w:t xml:space="preserve"> a mixture of treatment experienced and naïve patients. This is because the poster presentation for AGATE II (Waked 2016) did not</w:t>
      </w:r>
      <w:r w:rsidR="00F67B99" w:rsidRPr="00961B75">
        <w:rPr>
          <w:szCs w:val="22"/>
        </w:rPr>
        <w:t xml:space="preserve"> </w:t>
      </w:r>
      <w:r w:rsidR="00841E99" w:rsidRPr="00961B75">
        <w:rPr>
          <w:szCs w:val="22"/>
        </w:rPr>
        <w:t>present</w:t>
      </w:r>
      <w:r w:rsidR="00585DAD" w:rsidRPr="00961B75">
        <w:rPr>
          <w:szCs w:val="22"/>
        </w:rPr>
        <w:t xml:space="preserve"> results by treatment history. </w:t>
      </w:r>
      <w:r w:rsidR="00841E99" w:rsidRPr="00961B75">
        <w:rPr>
          <w:szCs w:val="22"/>
        </w:rPr>
        <w:t xml:space="preserve">Therefore, in the pooled populations for </w:t>
      </w:r>
      <w:proofErr w:type="spellStart"/>
      <w:r w:rsidR="00841E99" w:rsidRPr="00961B75">
        <w:rPr>
          <w:szCs w:val="22"/>
        </w:rPr>
        <w:t>Technivie</w:t>
      </w:r>
      <w:proofErr w:type="spellEnd"/>
      <w:r w:rsidR="00841E99" w:rsidRPr="00961B75">
        <w:rPr>
          <w:szCs w:val="22"/>
        </w:rPr>
        <w:t>®</w:t>
      </w:r>
      <w:r w:rsidR="00F67B99" w:rsidRPr="00961B75">
        <w:rPr>
          <w:szCs w:val="22"/>
        </w:rPr>
        <w:t xml:space="preserve"> </w:t>
      </w:r>
      <w:r w:rsidR="00841E99" w:rsidRPr="00961B75">
        <w:rPr>
          <w:szCs w:val="22"/>
        </w:rPr>
        <w:t>+</w:t>
      </w:r>
      <w:r w:rsidR="00F67B99" w:rsidRPr="00961B75">
        <w:rPr>
          <w:szCs w:val="22"/>
        </w:rPr>
        <w:t xml:space="preserve"> </w:t>
      </w:r>
      <w:r w:rsidR="00841E99" w:rsidRPr="00961B75">
        <w:rPr>
          <w:szCs w:val="22"/>
        </w:rPr>
        <w:t>RBV, only 67% of the 203 and 69% of the 209 patients were actually treatment naïve and treat</w:t>
      </w:r>
      <w:r w:rsidR="00FE3FF0" w:rsidRPr="00961B75">
        <w:rPr>
          <w:szCs w:val="22"/>
        </w:rPr>
        <w:t>ment experienced, respectively.</w:t>
      </w:r>
    </w:p>
    <w:p w:rsidR="00841E99" w:rsidRPr="00961B75" w:rsidRDefault="00841E99" w:rsidP="004611DA">
      <w:pPr>
        <w:pStyle w:val="ListParagraph"/>
        <w:widowControl/>
        <w:rPr>
          <w:szCs w:val="22"/>
        </w:rPr>
      </w:pPr>
    </w:p>
    <w:p w:rsidR="00841E99" w:rsidRPr="00961B75" w:rsidRDefault="007273A6" w:rsidP="00EF7F25">
      <w:pPr>
        <w:pStyle w:val="ListParagraph"/>
        <w:widowControl/>
        <w:numPr>
          <w:ilvl w:val="1"/>
          <w:numId w:val="1"/>
        </w:numPr>
        <w:rPr>
          <w:szCs w:val="22"/>
        </w:rPr>
      </w:pPr>
      <w:r w:rsidRPr="00961B75">
        <w:rPr>
          <w:szCs w:val="22"/>
        </w:rPr>
        <w:t xml:space="preserve">For </w:t>
      </w:r>
      <w:r w:rsidR="00F67B99" w:rsidRPr="00961B75">
        <w:rPr>
          <w:szCs w:val="22"/>
        </w:rPr>
        <w:t>‘</w:t>
      </w:r>
      <w:r w:rsidRPr="00961B75">
        <w:rPr>
          <w:szCs w:val="22"/>
        </w:rPr>
        <w:t>treatment naïve</w:t>
      </w:r>
      <w:r w:rsidR="00F67B99" w:rsidRPr="00961B75">
        <w:rPr>
          <w:szCs w:val="22"/>
        </w:rPr>
        <w:t>’</w:t>
      </w:r>
      <w:r w:rsidRPr="00961B75">
        <w:rPr>
          <w:szCs w:val="22"/>
        </w:rPr>
        <w:t xml:space="preserve"> patients, the </w:t>
      </w:r>
      <w:r w:rsidR="00841E99" w:rsidRPr="00961B75">
        <w:rPr>
          <w:szCs w:val="22"/>
        </w:rPr>
        <w:t xml:space="preserve">submission estimated that the SVR12 rate </w:t>
      </w:r>
      <w:r w:rsidRPr="00961B75">
        <w:rPr>
          <w:szCs w:val="22"/>
        </w:rPr>
        <w:t xml:space="preserve">for </w:t>
      </w:r>
      <w:proofErr w:type="spellStart"/>
      <w:r w:rsidRPr="00961B75">
        <w:rPr>
          <w:szCs w:val="22"/>
        </w:rPr>
        <w:t>Technivie</w:t>
      </w:r>
      <w:proofErr w:type="spellEnd"/>
      <w:r w:rsidRPr="00961B75">
        <w:rPr>
          <w:szCs w:val="22"/>
        </w:rPr>
        <w:t xml:space="preserve">® + RBV </w:t>
      </w:r>
      <w:r w:rsidR="00240256" w:rsidRPr="00961B75">
        <w:rPr>
          <w:szCs w:val="22"/>
        </w:rPr>
        <w:t>was</w:t>
      </w:r>
      <w:r w:rsidR="00841E99" w:rsidRPr="00961B75">
        <w:rPr>
          <w:szCs w:val="22"/>
        </w:rPr>
        <w:t xml:space="preserve"> 96.1% (95% CI: 92.4%, 98.3%) </w:t>
      </w:r>
      <w:r w:rsidR="00743C98" w:rsidRPr="00961B75">
        <w:rPr>
          <w:iCs/>
          <w:szCs w:val="22"/>
        </w:rPr>
        <w:t xml:space="preserve">and the </w:t>
      </w:r>
      <w:r w:rsidR="00A45E5A" w:rsidRPr="00961B75">
        <w:rPr>
          <w:iCs/>
          <w:szCs w:val="22"/>
        </w:rPr>
        <w:t>evaluation</w:t>
      </w:r>
      <w:r w:rsidR="00743C98" w:rsidRPr="00961B75">
        <w:rPr>
          <w:iCs/>
          <w:szCs w:val="22"/>
        </w:rPr>
        <w:t xml:space="preserve"> adjusted SVR12 rate for GZR-EBR was </w:t>
      </w:r>
      <w:r w:rsidR="00841E99" w:rsidRPr="00961B75">
        <w:rPr>
          <w:iCs/>
          <w:szCs w:val="22"/>
        </w:rPr>
        <w:t>9</w:t>
      </w:r>
      <w:r w:rsidR="00743C98" w:rsidRPr="00961B75">
        <w:rPr>
          <w:iCs/>
          <w:szCs w:val="22"/>
        </w:rPr>
        <w:t>5.9</w:t>
      </w:r>
      <w:r w:rsidR="00841E99" w:rsidRPr="00961B75">
        <w:rPr>
          <w:iCs/>
          <w:szCs w:val="22"/>
        </w:rPr>
        <w:t>% (95%</w:t>
      </w:r>
      <w:r w:rsidR="009922F6" w:rsidRPr="00961B75">
        <w:rPr>
          <w:iCs/>
          <w:szCs w:val="22"/>
        </w:rPr>
        <w:t>:</w:t>
      </w:r>
      <w:r w:rsidR="00841E99" w:rsidRPr="00961B75">
        <w:rPr>
          <w:iCs/>
          <w:szCs w:val="22"/>
        </w:rPr>
        <w:t xml:space="preserve"> CI 8</w:t>
      </w:r>
      <w:r w:rsidR="00743C98" w:rsidRPr="00961B75">
        <w:rPr>
          <w:iCs/>
          <w:szCs w:val="22"/>
        </w:rPr>
        <w:t>8.6</w:t>
      </w:r>
      <w:r w:rsidR="00841E99" w:rsidRPr="00961B75">
        <w:rPr>
          <w:iCs/>
          <w:szCs w:val="22"/>
        </w:rPr>
        <w:t xml:space="preserve">%, </w:t>
      </w:r>
      <w:r w:rsidR="00743C98" w:rsidRPr="00961B75">
        <w:rPr>
          <w:iCs/>
          <w:szCs w:val="22"/>
        </w:rPr>
        <w:t>99.2</w:t>
      </w:r>
      <w:r w:rsidR="00841E99" w:rsidRPr="00961B75">
        <w:rPr>
          <w:iCs/>
          <w:szCs w:val="22"/>
        </w:rPr>
        <w:t>%)</w:t>
      </w:r>
      <w:r w:rsidRPr="00961B75">
        <w:rPr>
          <w:iCs/>
          <w:szCs w:val="22"/>
        </w:rPr>
        <w:t xml:space="preserve">, incorporating </w:t>
      </w:r>
      <w:r w:rsidR="00743C98" w:rsidRPr="00961B75">
        <w:rPr>
          <w:iCs/>
          <w:szCs w:val="22"/>
        </w:rPr>
        <w:t>results from C-EDGE CO-STAR</w:t>
      </w:r>
      <w:r w:rsidR="00865CCA" w:rsidRPr="00961B75">
        <w:rPr>
          <w:iCs/>
          <w:szCs w:val="22"/>
        </w:rPr>
        <w:t xml:space="preserve">, </w:t>
      </w:r>
      <w:r w:rsidR="00743C98" w:rsidRPr="00961B75">
        <w:rPr>
          <w:iCs/>
          <w:szCs w:val="22"/>
        </w:rPr>
        <w:t xml:space="preserve">identified during the evaluation. </w:t>
      </w:r>
      <w:r w:rsidR="00841E99" w:rsidRPr="00961B75">
        <w:rPr>
          <w:szCs w:val="22"/>
        </w:rPr>
        <w:t>For ‘treatment experienced’ patients</w:t>
      </w:r>
      <w:r w:rsidR="001E272C" w:rsidRPr="00961B75">
        <w:rPr>
          <w:szCs w:val="22"/>
        </w:rPr>
        <w:t>,</w:t>
      </w:r>
      <w:r w:rsidR="00841E99" w:rsidRPr="00961B75">
        <w:rPr>
          <w:szCs w:val="22"/>
        </w:rPr>
        <w:t xml:space="preserve"> the estimated SVR12 rates were 96.2% (</w:t>
      </w:r>
      <w:r w:rsidR="009922F6" w:rsidRPr="00961B75">
        <w:rPr>
          <w:szCs w:val="22"/>
        </w:rPr>
        <w:t xml:space="preserve">95% CI: </w:t>
      </w:r>
      <w:r w:rsidR="00841E99" w:rsidRPr="00961B75">
        <w:rPr>
          <w:szCs w:val="22"/>
        </w:rPr>
        <w:t>92.6%, 98.3%) and 100% (</w:t>
      </w:r>
      <w:r w:rsidR="009922F6" w:rsidRPr="00961B75">
        <w:rPr>
          <w:szCs w:val="22"/>
        </w:rPr>
        <w:t xml:space="preserve">95% CI: </w:t>
      </w:r>
      <w:r w:rsidR="00841E99" w:rsidRPr="00961B75">
        <w:rPr>
          <w:szCs w:val="22"/>
        </w:rPr>
        <w:t xml:space="preserve">63.1%, 100%) for </w:t>
      </w:r>
      <w:proofErr w:type="spellStart"/>
      <w:r w:rsidR="00841E99" w:rsidRPr="00961B75">
        <w:rPr>
          <w:szCs w:val="22"/>
        </w:rPr>
        <w:t>Technivie</w:t>
      </w:r>
      <w:proofErr w:type="spellEnd"/>
      <w:r w:rsidR="00841E99" w:rsidRPr="00961B75">
        <w:rPr>
          <w:szCs w:val="22"/>
        </w:rPr>
        <w:t>®</w:t>
      </w:r>
      <w:r w:rsidR="00F67B99" w:rsidRPr="00961B75">
        <w:rPr>
          <w:szCs w:val="22"/>
        </w:rPr>
        <w:t xml:space="preserve"> </w:t>
      </w:r>
      <w:r w:rsidR="00841E99" w:rsidRPr="00961B75">
        <w:rPr>
          <w:szCs w:val="22"/>
        </w:rPr>
        <w:t>+</w:t>
      </w:r>
      <w:r w:rsidR="00F67B99" w:rsidRPr="00961B75">
        <w:rPr>
          <w:szCs w:val="22"/>
        </w:rPr>
        <w:t xml:space="preserve"> </w:t>
      </w:r>
      <w:r w:rsidR="00841E99" w:rsidRPr="00961B75">
        <w:rPr>
          <w:szCs w:val="22"/>
        </w:rPr>
        <w:t>RBV and GZR-EBR</w:t>
      </w:r>
      <w:r w:rsidR="008A5F1B">
        <w:rPr>
          <w:szCs w:val="22"/>
        </w:rPr>
        <w:t xml:space="preserve"> </w:t>
      </w:r>
      <w:r w:rsidR="00841E99" w:rsidRPr="00961B75">
        <w:rPr>
          <w:szCs w:val="22"/>
        </w:rPr>
        <w:t>+</w:t>
      </w:r>
      <w:r w:rsidR="008A5F1B">
        <w:rPr>
          <w:szCs w:val="22"/>
        </w:rPr>
        <w:t xml:space="preserve"> </w:t>
      </w:r>
      <w:r w:rsidR="00841E99" w:rsidRPr="00961B75">
        <w:rPr>
          <w:szCs w:val="22"/>
        </w:rPr>
        <w:t>RBV 16 weeks, respectively</w:t>
      </w:r>
      <w:r w:rsidR="00961B75">
        <w:rPr>
          <w:szCs w:val="22"/>
        </w:rPr>
        <w:t xml:space="preserve">. </w:t>
      </w:r>
      <w:r w:rsidR="00841E99" w:rsidRPr="00961B75">
        <w:rPr>
          <w:szCs w:val="22"/>
        </w:rPr>
        <w:t>The confidence intervals of the comparisons are largely overlapping and for GZR-EBR</w:t>
      </w:r>
      <w:r w:rsidR="008A5F1B">
        <w:rPr>
          <w:szCs w:val="22"/>
        </w:rPr>
        <w:t xml:space="preserve"> </w:t>
      </w:r>
      <w:r w:rsidR="00841E99" w:rsidRPr="00961B75">
        <w:rPr>
          <w:szCs w:val="22"/>
        </w:rPr>
        <w:t>±</w:t>
      </w:r>
      <w:r w:rsidR="008A5F1B">
        <w:rPr>
          <w:szCs w:val="22"/>
        </w:rPr>
        <w:t xml:space="preserve"> </w:t>
      </w:r>
      <w:r w:rsidR="00841E99" w:rsidRPr="00961B75">
        <w:rPr>
          <w:szCs w:val="22"/>
        </w:rPr>
        <w:t>RBV, the estimated 95% CIs were wide due to smaller numbers of patients. Due to differences across studies and uncertainty due to lack of exchangeability, these results need to be interpreted with caution.</w:t>
      </w:r>
    </w:p>
    <w:p w:rsidR="00622870" w:rsidRPr="00961B75" w:rsidRDefault="00622870" w:rsidP="004611DA">
      <w:pPr>
        <w:pStyle w:val="ListParagraph"/>
        <w:widowControl/>
        <w:rPr>
          <w:szCs w:val="22"/>
        </w:rPr>
      </w:pPr>
    </w:p>
    <w:p w:rsidR="00622870" w:rsidRDefault="00622870" w:rsidP="00EF7F25">
      <w:pPr>
        <w:pStyle w:val="ListParagraph"/>
        <w:widowControl/>
        <w:numPr>
          <w:ilvl w:val="1"/>
          <w:numId w:val="1"/>
        </w:numPr>
        <w:rPr>
          <w:szCs w:val="22"/>
        </w:rPr>
      </w:pPr>
      <w:r w:rsidRPr="00961B75">
        <w:rPr>
          <w:szCs w:val="22"/>
        </w:rPr>
        <w:t xml:space="preserve">Table 4 </w:t>
      </w:r>
      <w:r w:rsidR="00694130" w:rsidRPr="00961B75">
        <w:rPr>
          <w:szCs w:val="22"/>
        </w:rPr>
        <w:t xml:space="preserve">compares </w:t>
      </w:r>
      <w:r w:rsidRPr="00961B75">
        <w:rPr>
          <w:szCs w:val="22"/>
        </w:rPr>
        <w:t xml:space="preserve">the SVR12 rates observed in patients treated with </w:t>
      </w:r>
      <w:proofErr w:type="spellStart"/>
      <w:r w:rsidRPr="00961B75">
        <w:rPr>
          <w:szCs w:val="22"/>
        </w:rPr>
        <w:t>Technivie</w:t>
      </w:r>
      <w:proofErr w:type="spellEnd"/>
      <w:r w:rsidRPr="00961B75">
        <w:rPr>
          <w:szCs w:val="22"/>
        </w:rPr>
        <w:t>®</w:t>
      </w:r>
      <w:r w:rsidR="00F67B99" w:rsidRPr="00961B75">
        <w:rPr>
          <w:szCs w:val="22"/>
        </w:rPr>
        <w:t xml:space="preserve"> + RBV</w:t>
      </w:r>
      <w:r w:rsidRPr="00961B75">
        <w:rPr>
          <w:szCs w:val="22"/>
        </w:rPr>
        <w:t xml:space="preserve"> </w:t>
      </w:r>
      <w:r w:rsidR="00694130" w:rsidRPr="00961B75">
        <w:rPr>
          <w:szCs w:val="22"/>
        </w:rPr>
        <w:t xml:space="preserve">versus </w:t>
      </w:r>
      <w:r w:rsidRPr="00961B75">
        <w:rPr>
          <w:szCs w:val="22"/>
        </w:rPr>
        <w:t>SOF</w:t>
      </w:r>
      <w:r w:rsidR="008A5F1B">
        <w:rPr>
          <w:szCs w:val="22"/>
        </w:rPr>
        <w:t xml:space="preserve"> </w:t>
      </w:r>
      <w:r w:rsidRPr="00961B75">
        <w:rPr>
          <w:szCs w:val="22"/>
        </w:rPr>
        <w:t>+</w:t>
      </w:r>
      <w:r w:rsidR="008A5F1B">
        <w:rPr>
          <w:szCs w:val="22"/>
        </w:rPr>
        <w:t xml:space="preserve"> </w:t>
      </w:r>
      <w:r w:rsidRPr="00961B75">
        <w:rPr>
          <w:szCs w:val="22"/>
        </w:rPr>
        <w:t>PR.</w:t>
      </w:r>
    </w:p>
    <w:p w:rsidR="008A5F1B" w:rsidRPr="008A5F1B" w:rsidRDefault="008A5F1B" w:rsidP="008A5F1B">
      <w:pPr>
        <w:pStyle w:val="ListParagraph"/>
        <w:rPr>
          <w:szCs w:val="22"/>
        </w:rPr>
      </w:pPr>
    </w:p>
    <w:p w:rsidR="008A5F1B" w:rsidRPr="00961B75" w:rsidRDefault="008A5F1B" w:rsidP="008A5F1B">
      <w:pPr>
        <w:pStyle w:val="ListParagraph"/>
        <w:widowControl/>
        <w:rPr>
          <w:szCs w:val="22"/>
        </w:rPr>
      </w:pPr>
    </w:p>
    <w:p w:rsidR="008C4845" w:rsidRPr="00961B75" w:rsidRDefault="004F2318" w:rsidP="004611DA">
      <w:pPr>
        <w:keepNext/>
        <w:widowControl/>
        <w:ind w:left="709"/>
      </w:pPr>
      <w:r w:rsidRPr="00961B75">
        <w:rPr>
          <w:rFonts w:ascii="Arial Narrow" w:hAnsi="Arial Narrow"/>
          <w:b/>
          <w:bCs/>
          <w:sz w:val="20"/>
        </w:rPr>
        <w:t>Table 4</w:t>
      </w:r>
      <w:r w:rsidR="008C4845" w:rsidRPr="00961B75">
        <w:rPr>
          <w:rFonts w:ascii="Arial Narrow" w:hAnsi="Arial Narrow"/>
          <w:b/>
          <w:bCs/>
          <w:sz w:val="20"/>
        </w:rPr>
        <w:t xml:space="preserve">: Comparison of SVR12 rates (n/N (%) [95% CI]): </w:t>
      </w:r>
      <w:proofErr w:type="spellStart"/>
      <w:r w:rsidR="008C4845" w:rsidRPr="00961B75">
        <w:rPr>
          <w:rFonts w:ascii="Arial Narrow" w:hAnsi="Arial Narrow"/>
          <w:b/>
          <w:bCs/>
          <w:sz w:val="20"/>
        </w:rPr>
        <w:t>Technivie</w:t>
      </w:r>
      <w:proofErr w:type="spellEnd"/>
      <w:r w:rsidR="008C4845" w:rsidRPr="00961B75">
        <w:rPr>
          <w:rFonts w:ascii="Arial Narrow" w:hAnsi="Arial Narrow"/>
          <w:b/>
          <w:bCs/>
          <w:sz w:val="20"/>
        </w:rPr>
        <w:t>®</w:t>
      </w:r>
      <w:r w:rsidR="00EC1845">
        <w:rPr>
          <w:rFonts w:ascii="Arial Narrow" w:hAnsi="Arial Narrow"/>
          <w:b/>
          <w:bCs/>
          <w:sz w:val="20"/>
        </w:rPr>
        <w:t xml:space="preserve"> </w:t>
      </w:r>
      <w:r w:rsidR="008C4845" w:rsidRPr="00961B75">
        <w:rPr>
          <w:rFonts w:ascii="Arial Narrow" w:hAnsi="Arial Narrow"/>
          <w:b/>
          <w:bCs/>
          <w:sz w:val="20"/>
        </w:rPr>
        <w:t>+</w:t>
      </w:r>
      <w:r w:rsidR="00EC1845">
        <w:rPr>
          <w:rFonts w:ascii="Arial Narrow" w:hAnsi="Arial Narrow"/>
          <w:b/>
          <w:bCs/>
          <w:sz w:val="20"/>
        </w:rPr>
        <w:t xml:space="preserve"> </w:t>
      </w:r>
      <w:r w:rsidR="008C4845" w:rsidRPr="00961B75">
        <w:rPr>
          <w:rFonts w:ascii="Arial Narrow" w:hAnsi="Arial Narrow"/>
          <w:b/>
          <w:bCs/>
          <w:sz w:val="20"/>
        </w:rPr>
        <w:t>RBV12 versus SOF</w:t>
      </w:r>
      <w:r w:rsidR="00EC1845">
        <w:rPr>
          <w:rFonts w:ascii="Arial Narrow" w:hAnsi="Arial Narrow"/>
          <w:b/>
          <w:bCs/>
          <w:sz w:val="20"/>
        </w:rPr>
        <w:t xml:space="preserve"> </w:t>
      </w:r>
      <w:r w:rsidR="00932CA3" w:rsidRPr="00961B75">
        <w:rPr>
          <w:rFonts w:ascii="Arial Narrow" w:hAnsi="Arial Narrow"/>
          <w:b/>
          <w:bCs/>
          <w:sz w:val="20"/>
        </w:rPr>
        <w:t>+</w:t>
      </w:r>
      <w:r w:rsidR="00EC1845">
        <w:rPr>
          <w:rFonts w:ascii="Arial Narrow" w:hAnsi="Arial Narrow"/>
          <w:b/>
          <w:bCs/>
          <w:sz w:val="20"/>
        </w:rPr>
        <w:t xml:space="preserve"> </w:t>
      </w:r>
      <w:r w:rsidR="008C4845" w:rsidRPr="00961B75">
        <w:rPr>
          <w:rFonts w:ascii="Arial Narrow" w:hAnsi="Arial Narrow"/>
          <w:b/>
          <w:bCs/>
          <w:sz w:val="20"/>
        </w:rPr>
        <w:t>PR12</w:t>
      </w:r>
    </w:p>
    <w:tbl>
      <w:tblPr>
        <w:tblW w:w="4620" w:type="pct"/>
        <w:tblInd w:w="704" w:type="dxa"/>
        <w:tblCellMar>
          <w:left w:w="28" w:type="dxa"/>
          <w:right w:w="28" w:type="dxa"/>
        </w:tblCellMar>
        <w:tblLook w:val="04A0" w:firstRow="1" w:lastRow="0" w:firstColumn="1" w:lastColumn="0" w:noHBand="0" w:noVBand="1"/>
      </w:tblPr>
      <w:tblGrid>
        <w:gridCol w:w="796"/>
        <w:gridCol w:w="920"/>
        <w:gridCol w:w="1015"/>
        <w:gridCol w:w="1188"/>
        <w:gridCol w:w="1079"/>
        <w:gridCol w:w="1031"/>
        <w:gridCol w:w="1188"/>
        <w:gridCol w:w="1175"/>
      </w:tblGrid>
      <w:tr w:rsidR="008C4845" w:rsidRPr="00961B75" w:rsidTr="008C4845">
        <w:trPr>
          <w:trHeight w:val="60"/>
        </w:trPr>
        <w:tc>
          <w:tcPr>
            <w:tcW w:w="474" w:type="pct"/>
            <w:vMerge w:val="restart"/>
            <w:tcBorders>
              <w:top w:val="single" w:sz="4" w:space="0" w:color="auto"/>
              <w:left w:val="single" w:sz="4" w:space="0" w:color="auto"/>
              <w:bottom w:val="single" w:sz="4" w:space="0" w:color="auto"/>
              <w:right w:val="single" w:sz="4" w:space="0" w:color="auto"/>
            </w:tcBorders>
            <w:vAlign w:val="center"/>
          </w:tcPr>
          <w:p w:rsidR="008C4845" w:rsidRPr="00961B75" w:rsidRDefault="008C4845" w:rsidP="004611DA">
            <w:pPr>
              <w:keepNext/>
              <w:widowControl/>
              <w:rPr>
                <w:rFonts w:ascii="Arial Narrow" w:hAnsi="Arial Narrow"/>
                <w:sz w:val="20"/>
              </w:rPr>
            </w:pPr>
          </w:p>
        </w:tc>
        <w:tc>
          <w:tcPr>
            <w:tcW w:w="3118" w:type="pct"/>
            <w:gridSpan w:val="5"/>
            <w:tcBorders>
              <w:top w:val="single" w:sz="4" w:space="0" w:color="auto"/>
              <w:left w:val="single" w:sz="4" w:space="0" w:color="auto"/>
              <w:bottom w:val="single" w:sz="4" w:space="0" w:color="auto"/>
              <w:right w:val="double" w:sz="4" w:space="0" w:color="auto"/>
            </w:tcBorders>
            <w:vAlign w:val="center"/>
          </w:tcPr>
          <w:p w:rsidR="008C4845" w:rsidRPr="00961B75" w:rsidRDefault="008C4845" w:rsidP="004611DA">
            <w:pPr>
              <w:keepNext/>
              <w:widowControl/>
              <w:jc w:val="center"/>
              <w:rPr>
                <w:rFonts w:ascii="Arial Narrow" w:hAnsi="Arial Narrow"/>
                <w:b/>
                <w:bCs/>
                <w:sz w:val="20"/>
              </w:rPr>
            </w:pPr>
            <w:proofErr w:type="spellStart"/>
            <w:r w:rsidRPr="00961B75">
              <w:rPr>
                <w:rFonts w:ascii="Arial Narrow" w:hAnsi="Arial Narrow"/>
                <w:b/>
                <w:bCs/>
                <w:sz w:val="20"/>
              </w:rPr>
              <w:t>Technivie</w:t>
            </w:r>
            <w:proofErr w:type="spellEnd"/>
            <w:r w:rsidRPr="00961B75">
              <w:rPr>
                <w:rFonts w:ascii="Arial Narrow" w:hAnsi="Arial Narrow"/>
                <w:b/>
                <w:bCs/>
                <w:sz w:val="20"/>
              </w:rPr>
              <w:t>® + RBV12</w:t>
            </w:r>
          </w:p>
        </w:tc>
        <w:tc>
          <w:tcPr>
            <w:tcW w:w="1409" w:type="pct"/>
            <w:gridSpan w:val="2"/>
            <w:tcBorders>
              <w:top w:val="single" w:sz="4" w:space="0" w:color="auto"/>
              <w:left w:val="double" w:sz="4" w:space="0" w:color="auto"/>
              <w:bottom w:val="single" w:sz="4" w:space="0" w:color="auto"/>
              <w:right w:val="single" w:sz="4" w:space="0" w:color="auto"/>
            </w:tcBorders>
            <w:vAlign w:val="center"/>
          </w:tcPr>
          <w:p w:rsidR="008C4845" w:rsidRPr="00961B75" w:rsidRDefault="008C4845" w:rsidP="004611DA">
            <w:pPr>
              <w:keepNext/>
              <w:widowControl/>
              <w:jc w:val="center"/>
              <w:rPr>
                <w:rFonts w:ascii="Arial Narrow" w:hAnsi="Arial Narrow"/>
                <w:b/>
                <w:bCs/>
                <w:i/>
                <w:iCs/>
                <w:sz w:val="20"/>
              </w:rPr>
            </w:pPr>
            <w:r w:rsidRPr="00961B75">
              <w:rPr>
                <w:rFonts w:ascii="Arial Narrow" w:hAnsi="Arial Narrow"/>
                <w:b/>
                <w:bCs/>
                <w:sz w:val="20"/>
              </w:rPr>
              <w:t>SOF + PR12</w:t>
            </w:r>
          </w:p>
        </w:tc>
      </w:tr>
      <w:tr w:rsidR="008C4845" w:rsidRPr="00961B75" w:rsidTr="008C4845">
        <w:trPr>
          <w:trHeight w:val="60"/>
        </w:trPr>
        <w:tc>
          <w:tcPr>
            <w:tcW w:w="474" w:type="pct"/>
            <w:vMerge/>
            <w:tcBorders>
              <w:left w:val="single" w:sz="4" w:space="0" w:color="auto"/>
              <w:bottom w:val="single" w:sz="4" w:space="0" w:color="auto"/>
              <w:right w:val="single" w:sz="4" w:space="0" w:color="auto"/>
            </w:tcBorders>
            <w:vAlign w:val="center"/>
          </w:tcPr>
          <w:p w:rsidR="008C4845" w:rsidRPr="00961B75" w:rsidRDefault="008C4845" w:rsidP="004611DA">
            <w:pPr>
              <w:keepNext/>
              <w:widowControl/>
              <w:rPr>
                <w:rFonts w:ascii="Arial Narrow" w:hAnsi="Arial Narrow"/>
                <w:sz w:val="20"/>
              </w:rPr>
            </w:pPr>
          </w:p>
        </w:tc>
        <w:tc>
          <w:tcPr>
            <w:tcW w:w="1153" w:type="pct"/>
            <w:gridSpan w:val="2"/>
            <w:tcBorders>
              <w:top w:val="single" w:sz="4" w:space="0" w:color="auto"/>
              <w:left w:val="single" w:sz="4" w:space="0" w:color="auto"/>
              <w:bottom w:val="single" w:sz="4" w:space="0" w:color="auto"/>
              <w:right w:val="single" w:sz="4" w:space="0" w:color="auto"/>
            </w:tcBorders>
            <w:vAlign w:val="center"/>
          </w:tcPr>
          <w:p w:rsidR="008C4845" w:rsidRPr="00961B75" w:rsidRDefault="008C4845" w:rsidP="004611DA">
            <w:pPr>
              <w:keepNext/>
              <w:widowControl/>
              <w:jc w:val="center"/>
              <w:rPr>
                <w:rFonts w:ascii="Arial Narrow" w:hAnsi="Arial Narrow"/>
                <w:b/>
                <w:bCs/>
                <w:sz w:val="20"/>
              </w:rPr>
            </w:pPr>
            <w:r w:rsidRPr="00961B75">
              <w:rPr>
                <w:rFonts w:ascii="Arial Narrow" w:hAnsi="Arial Narrow"/>
                <w:b/>
                <w:bCs/>
                <w:sz w:val="20"/>
              </w:rPr>
              <w:t>PEARL I</w:t>
            </w:r>
          </w:p>
        </w:tc>
        <w:tc>
          <w:tcPr>
            <w:tcW w:w="708" w:type="pct"/>
            <w:tcBorders>
              <w:top w:val="single" w:sz="4" w:space="0" w:color="auto"/>
              <w:left w:val="single" w:sz="4" w:space="0" w:color="auto"/>
              <w:bottom w:val="single" w:sz="4" w:space="0" w:color="auto"/>
              <w:right w:val="single" w:sz="4" w:space="0" w:color="auto"/>
            </w:tcBorders>
            <w:vAlign w:val="center"/>
          </w:tcPr>
          <w:p w:rsidR="008C4845" w:rsidRPr="00961B75" w:rsidRDefault="008C4845" w:rsidP="004611DA">
            <w:pPr>
              <w:keepNext/>
              <w:widowControl/>
              <w:jc w:val="center"/>
              <w:rPr>
                <w:rFonts w:ascii="Arial Narrow" w:hAnsi="Arial Narrow"/>
                <w:b/>
                <w:bCs/>
                <w:sz w:val="20"/>
              </w:rPr>
            </w:pPr>
            <w:r w:rsidRPr="00961B75">
              <w:rPr>
                <w:rFonts w:ascii="Arial Narrow" w:hAnsi="Arial Narrow"/>
                <w:b/>
                <w:bCs/>
                <w:sz w:val="20"/>
              </w:rPr>
              <w:t>AGATE I</w:t>
            </w:r>
          </w:p>
        </w:tc>
        <w:tc>
          <w:tcPr>
            <w:tcW w:w="1257" w:type="pct"/>
            <w:gridSpan w:val="2"/>
            <w:tcBorders>
              <w:top w:val="single" w:sz="4" w:space="0" w:color="auto"/>
              <w:left w:val="single" w:sz="4" w:space="0" w:color="auto"/>
              <w:bottom w:val="single" w:sz="4" w:space="0" w:color="auto"/>
              <w:right w:val="double" w:sz="4" w:space="0" w:color="auto"/>
            </w:tcBorders>
            <w:vAlign w:val="center"/>
          </w:tcPr>
          <w:p w:rsidR="008C4845" w:rsidRPr="00961B75" w:rsidRDefault="008C4845" w:rsidP="004611DA">
            <w:pPr>
              <w:keepNext/>
              <w:widowControl/>
              <w:jc w:val="center"/>
              <w:rPr>
                <w:rFonts w:ascii="Arial Narrow" w:hAnsi="Arial Narrow"/>
                <w:b/>
                <w:bCs/>
                <w:sz w:val="20"/>
              </w:rPr>
            </w:pPr>
            <w:r w:rsidRPr="00961B75">
              <w:rPr>
                <w:rFonts w:ascii="Arial Narrow" w:hAnsi="Arial Narrow"/>
                <w:b/>
                <w:bCs/>
                <w:sz w:val="20"/>
              </w:rPr>
              <w:t>AGATE II</w:t>
            </w:r>
          </w:p>
        </w:tc>
        <w:tc>
          <w:tcPr>
            <w:tcW w:w="708" w:type="pct"/>
            <w:tcBorders>
              <w:top w:val="single" w:sz="4" w:space="0" w:color="auto"/>
              <w:left w:val="double" w:sz="4" w:space="0" w:color="auto"/>
              <w:bottom w:val="single" w:sz="4" w:space="0" w:color="auto"/>
              <w:right w:val="single" w:sz="4" w:space="0" w:color="auto"/>
            </w:tcBorders>
            <w:vAlign w:val="center"/>
          </w:tcPr>
          <w:p w:rsidR="008C4845" w:rsidRPr="00961B75" w:rsidRDefault="008C4845" w:rsidP="004611DA">
            <w:pPr>
              <w:keepNext/>
              <w:widowControl/>
              <w:jc w:val="center"/>
              <w:rPr>
                <w:rFonts w:ascii="Arial Narrow" w:hAnsi="Arial Narrow"/>
                <w:b/>
                <w:bCs/>
                <w:sz w:val="20"/>
              </w:rPr>
            </w:pPr>
            <w:r w:rsidRPr="00961B75">
              <w:rPr>
                <w:rFonts w:ascii="Arial Narrow" w:hAnsi="Arial Narrow"/>
                <w:b/>
                <w:bCs/>
                <w:sz w:val="20"/>
              </w:rPr>
              <w:t>NEUTRINO</w:t>
            </w:r>
          </w:p>
        </w:tc>
        <w:tc>
          <w:tcPr>
            <w:tcW w:w="701" w:type="pct"/>
            <w:tcBorders>
              <w:top w:val="single" w:sz="4" w:space="0" w:color="auto"/>
              <w:left w:val="single" w:sz="4" w:space="0" w:color="auto"/>
              <w:bottom w:val="single" w:sz="4" w:space="0" w:color="auto"/>
              <w:right w:val="single" w:sz="4" w:space="0" w:color="auto"/>
            </w:tcBorders>
            <w:vAlign w:val="center"/>
          </w:tcPr>
          <w:p w:rsidR="008C4845" w:rsidRPr="00961B75" w:rsidRDefault="008C4845" w:rsidP="004611DA">
            <w:pPr>
              <w:keepNext/>
              <w:widowControl/>
              <w:jc w:val="center"/>
              <w:rPr>
                <w:rFonts w:ascii="Arial Narrow" w:hAnsi="Arial Narrow"/>
                <w:b/>
                <w:bCs/>
                <w:iCs/>
                <w:sz w:val="20"/>
                <w:vertAlign w:val="superscript"/>
              </w:rPr>
            </w:pPr>
            <w:proofErr w:type="spellStart"/>
            <w:r w:rsidRPr="00961B75">
              <w:rPr>
                <w:rFonts w:ascii="Arial Narrow" w:hAnsi="Arial Narrow"/>
                <w:b/>
                <w:bCs/>
                <w:iCs/>
                <w:sz w:val="20"/>
              </w:rPr>
              <w:t>Wehmeyer</w:t>
            </w:r>
            <w:proofErr w:type="spellEnd"/>
            <w:r w:rsidRPr="00961B75">
              <w:rPr>
                <w:rFonts w:ascii="Arial Narrow" w:hAnsi="Arial Narrow"/>
                <w:b/>
                <w:bCs/>
                <w:iCs/>
                <w:sz w:val="20"/>
              </w:rPr>
              <w:t xml:space="preserve"> 2015</w:t>
            </w:r>
            <w:r w:rsidR="00BC0964" w:rsidRPr="00961B75">
              <w:rPr>
                <w:rFonts w:ascii="Arial Narrow" w:hAnsi="Arial Narrow"/>
                <w:b/>
                <w:bCs/>
                <w:iCs/>
                <w:sz w:val="20"/>
                <w:vertAlign w:val="superscript"/>
              </w:rPr>
              <w:t>b</w:t>
            </w:r>
          </w:p>
        </w:tc>
      </w:tr>
      <w:tr w:rsidR="008C4845" w:rsidRPr="00961B75" w:rsidTr="008C4845">
        <w:trPr>
          <w:trHeight w:val="60"/>
        </w:trPr>
        <w:tc>
          <w:tcPr>
            <w:tcW w:w="474" w:type="pct"/>
            <w:vMerge/>
            <w:tcBorders>
              <w:left w:val="single" w:sz="4" w:space="0" w:color="auto"/>
              <w:bottom w:val="single" w:sz="4" w:space="0" w:color="auto"/>
              <w:right w:val="single" w:sz="4" w:space="0" w:color="auto"/>
            </w:tcBorders>
            <w:vAlign w:val="center"/>
          </w:tcPr>
          <w:p w:rsidR="008C4845" w:rsidRPr="00961B75" w:rsidRDefault="008C4845" w:rsidP="004611DA">
            <w:pPr>
              <w:keepNext/>
              <w:widowControl/>
              <w:rPr>
                <w:rFonts w:ascii="Arial Narrow" w:hAnsi="Arial Narrow"/>
                <w:sz w:val="20"/>
              </w:rPr>
            </w:pPr>
          </w:p>
        </w:tc>
        <w:tc>
          <w:tcPr>
            <w:tcW w:w="548" w:type="pct"/>
            <w:tcBorders>
              <w:top w:val="single" w:sz="4" w:space="0" w:color="auto"/>
              <w:left w:val="single" w:sz="4" w:space="0" w:color="auto"/>
              <w:bottom w:val="single" w:sz="4" w:space="0" w:color="auto"/>
              <w:right w:val="single" w:sz="4" w:space="0" w:color="auto"/>
            </w:tcBorders>
            <w:vAlign w:val="center"/>
          </w:tcPr>
          <w:p w:rsidR="008C4845" w:rsidRPr="00961B75" w:rsidRDefault="008C4845" w:rsidP="004611DA">
            <w:pPr>
              <w:keepNext/>
              <w:widowControl/>
              <w:jc w:val="center"/>
              <w:rPr>
                <w:rFonts w:ascii="Arial Narrow" w:hAnsi="Arial Narrow"/>
                <w:b/>
                <w:bCs/>
                <w:sz w:val="20"/>
              </w:rPr>
            </w:pPr>
            <w:r w:rsidRPr="00961B75">
              <w:rPr>
                <w:rFonts w:ascii="Arial Narrow" w:hAnsi="Arial Narrow"/>
                <w:b/>
                <w:bCs/>
                <w:sz w:val="20"/>
              </w:rPr>
              <w:t>Group 4</w:t>
            </w:r>
          </w:p>
          <w:p w:rsidR="008C4845" w:rsidRPr="00961B75" w:rsidRDefault="008C4845" w:rsidP="004611DA">
            <w:pPr>
              <w:keepNext/>
              <w:widowControl/>
              <w:jc w:val="center"/>
              <w:rPr>
                <w:rFonts w:ascii="Arial Narrow" w:hAnsi="Arial Narrow"/>
                <w:b/>
                <w:bCs/>
                <w:sz w:val="20"/>
              </w:rPr>
            </w:pPr>
            <w:r w:rsidRPr="00961B75">
              <w:rPr>
                <w:rFonts w:ascii="Arial Narrow" w:hAnsi="Arial Narrow"/>
                <w:b/>
                <w:bCs/>
                <w:sz w:val="20"/>
              </w:rPr>
              <w:t xml:space="preserve">(TN, no </w:t>
            </w:r>
            <w:proofErr w:type="spellStart"/>
            <w:r w:rsidRPr="00961B75">
              <w:rPr>
                <w:rFonts w:ascii="Arial Narrow" w:hAnsi="Arial Narrow"/>
                <w:b/>
                <w:bCs/>
                <w:sz w:val="20"/>
              </w:rPr>
              <w:t>cirr</w:t>
            </w:r>
            <w:proofErr w:type="spellEnd"/>
            <w:r w:rsidRPr="00961B75">
              <w:rPr>
                <w:rFonts w:ascii="Arial Narrow" w:hAnsi="Arial Narrow"/>
                <w:b/>
                <w:bCs/>
                <w:sz w:val="20"/>
              </w:rPr>
              <w:t>)</w:t>
            </w:r>
          </w:p>
        </w:tc>
        <w:tc>
          <w:tcPr>
            <w:tcW w:w="605" w:type="pct"/>
            <w:tcBorders>
              <w:top w:val="single" w:sz="4" w:space="0" w:color="auto"/>
              <w:left w:val="single" w:sz="4" w:space="0" w:color="auto"/>
              <w:bottom w:val="single" w:sz="4" w:space="0" w:color="auto"/>
              <w:right w:val="single" w:sz="4" w:space="0" w:color="auto"/>
            </w:tcBorders>
            <w:vAlign w:val="center"/>
          </w:tcPr>
          <w:p w:rsidR="008C4845" w:rsidRPr="00961B75" w:rsidRDefault="008C4845" w:rsidP="004611DA">
            <w:pPr>
              <w:keepNext/>
              <w:widowControl/>
              <w:jc w:val="center"/>
              <w:rPr>
                <w:rFonts w:ascii="Arial Narrow" w:hAnsi="Arial Narrow"/>
                <w:b/>
                <w:bCs/>
                <w:sz w:val="20"/>
              </w:rPr>
            </w:pPr>
            <w:r w:rsidRPr="00961B75">
              <w:rPr>
                <w:rFonts w:ascii="Arial Narrow" w:hAnsi="Arial Narrow"/>
                <w:b/>
                <w:bCs/>
                <w:sz w:val="20"/>
              </w:rPr>
              <w:t>Group 6</w:t>
            </w:r>
          </w:p>
          <w:p w:rsidR="008C4845" w:rsidRPr="00961B75" w:rsidRDefault="008C4845" w:rsidP="004611DA">
            <w:pPr>
              <w:keepNext/>
              <w:widowControl/>
              <w:jc w:val="center"/>
              <w:rPr>
                <w:rFonts w:ascii="Arial Narrow" w:hAnsi="Arial Narrow"/>
                <w:b/>
                <w:bCs/>
                <w:sz w:val="20"/>
              </w:rPr>
            </w:pPr>
            <w:r w:rsidRPr="00961B75">
              <w:rPr>
                <w:rFonts w:ascii="Arial Narrow" w:hAnsi="Arial Narrow"/>
                <w:b/>
                <w:bCs/>
                <w:sz w:val="20"/>
              </w:rPr>
              <w:t xml:space="preserve">(TE, no </w:t>
            </w:r>
            <w:proofErr w:type="spellStart"/>
            <w:r w:rsidRPr="00961B75">
              <w:rPr>
                <w:rFonts w:ascii="Arial Narrow" w:hAnsi="Arial Narrow"/>
                <w:b/>
                <w:bCs/>
                <w:sz w:val="20"/>
              </w:rPr>
              <w:t>cirr</w:t>
            </w:r>
            <w:proofErr w:type="spellEnd"/>
            <w:r w:rsidRPr="00961B75">
              <w:rPr>
                <w:rFonts w:ascii="Arial Narrow" w:hAnsi="Arial Narrow"/>
                <w:b/>
                <w:bCs/>
                <w:sz w:val="20"/>
              </w:rPr>
              <w:t>)</w:t>
            </w:r>
          </w:p>
        </w:tc>
        <w:tc>
          <w:tcPr>
            <w:tcW w:w="708" w:type="pct"/>
            <w:tcBorders>
              <w:top w:val="single" w:sz="4" w:space="0" w:color="auto"/>
              <w:left w:val="single" w:sz="4" w:space="0" w:color="auto"/>
              <w:bottom w:val="single" w:sz="4" w:space="0" w:color="auto"/>
              <w:right w:val="single" w:sz="4" w:space="0" w:color="auto"/>
            </w:tcBorders>
            <w:vAlign w:val="center"/>
          </w:tcPr>
          <w:p w:rsidR="008C4845" w:rsidRPr="00961B75" w:rsidRDefault="008C4845" w:rsidP="004611DA">
            <w:pPr>
              <w:keepNext/>
              <w:widowControl/>
              <w:jc w:val="center"/>
              <w:rPr>
                <w:rFonts w:ascii="Arial Narrow" w:hAnsi="Arial Narrow"/>
                <w:b/>
                <w:bCs/>
                <w:sz w:val="20"/>
              </w:rPr>
            </w:pPr>
            <w:r w:rsidRPr="00961B75">
              <w:rPr>
                <w:rFonts w:ascii="Arial Narrow" w:hAnsi="Arial Narrow"/>
                <w:b/>
                <w:bCs/>
                <w:sz w:val="20"/>
              </w:rPr>
              <w:t>Arm A</w:t>
            </w:r>
          </w:p>
          <w:p w:rsidR="008C4845" w:rsidRPr="00961B75" w:rsidRDefault="008C4845" w:rsidP="004611DA">
            <w:pPr>
              <w:keepNext/>
              <w:widowControl/>
              <w:jc w:val="center"/>
              <w:rPr>
                <w:rFonts w:ascii="Arial Narrow" w:hAnsi="Arial Narrow"/>
                <w:b/>
                <w:bCs/>
                <w:sz w:val="20"/>
              </w:rPr>
            </w:pPr>
            <w:r w:rsidRPr="00961B75">
              <w:rPr>
                <w:rFonts w:ascii="Arial Narrow" w:hAnsi="Arial Narrow"/>
                <w:b/>
                <w:bCs/>
                <w:sz w:val="20"/>
              </w:rPr>
              <w:t xml:space="preserve">(TN&amp;TE, </w:t>
            </w:r>
            <w:proofErr w:type="spellStart"/>
            <w:r w:rsidRPr="00961B75">
              <w:rPr>
                <w:rFonts w:ascii="Arial Narrow" w:hAnsi="Arial Narrow"/>
                <w:b/>
                <w:bCs/>
                <w:sz w:val="20"/>
              </w:rPr>
              <w:t>cirr</w:t>
            </w:r>
            <w:proofErr w:type="spellEnd"/>
            <w:r w:rsidRPr="00961B75">
              <w:rPr>
                <w:rFonts w:ascii="Arial Narrow" w:hAnsi="Arial Narrow"/>
                <w:b/>
                <w:bCs/>
                <w:sz w:val="20"/>
              </w:rPr>
              <w:t>)</w:t>
            </w:r>
          </w:p>
        </w:tc>
        <w:tc>
          <w:tcPr>
            <w:tcW w:w="643" w:type="pct"/>
            <w:tcBorders>
              <w:top w:val="single" w:sz="4" w:space="0" w:color="auto"/>
              <w:left w:val="single" w:sz="4" w:space="0" w:color="auto"/>
              <w:bottom w:val="single" w:sz="4" w:space="0" w:color="auto"/>
              <w:right w:val="single" w:sz="4" w:space="0" w:color="auto"/>
            </w:tcBorders>
            <w:vAlign w:val="center"/>
          </w:tcPr>
          <w:p w:rsidR="008C4845" w:rsidRPr="00961B75" w:rsidRDefault="008C4845" w:rsidP="004611DA">
            <w:pPr>
              <w:keepNext/>
              <w:widowControl/>
              <w:jc w:val="center"/>
              <w:rPr>
                <w:rFonts w:ascii="Arial Narrow" w:hAnsi="Arial Narrow"/>
                <w:b/>
                <w:bCs/>
                <w:sz w:val="20"/>
              </w:rPr>
            </w:pPr>
            <w:r w:rsidRPr="00961B75">
              <w:rPr>
                <w:rFonts w:ascii="Arial Narrow" w:hAnsi="Arial Narrow"/>
                <w:b/>
                <w:bCs/>
                <w:sz w:val="20"/>
              </w:rPr>
              <w:t>Arm A</w:t>
            </w:r>
          </w:p>
          <w:p w:rsidR="008C4845" w:rsidRPr="00961B75" w:rsidRDefault="008C4845" w:rsidP="004611DA">
            <w:pPr>
              <w:keepNext/>
              <w:widowControl/>
              <w:jc w:val="center"/>
              <w:rPr>
                <w:rFonts w:ascii="Arial Narrow" w:hAnsi="Arial Narrow"/>
                <w:b/>
                <w:bCs/>
                <w:sz w:val="20"/>
              </w:rPr>
            </w:pPr>
            <w:r w:rsidRPr="00961B75">
              <w:rPr>
                <w:rFonts w:ascii="Arial Narrow" w:hAnsi="Arial Narrow"/>
                <w:b/>
                <w:bCs/>
                <w:sz w:val="20"/>
              </w:rPr>
              <w:t xml:space="preserve">(TN&amp;TE, no </w:t>
            </w:r>
            <w:proofErr w:type="spellStart"/>
            <w:r w:rsidRPr="00961B75">
              <w:rPr>
                <w:rFonts w:ascii="Arial Narrow" w:hAnsi="Arial Narrow"/>
                <w:b/>
                <w:bCs/>
                <w:sz w:val="20"/>
              </w:rPr>
              <w:t>cirr</w:t>
            </w:r>
            <w:proofErr w:type="spellEnd"/>
            <w:r w:rsidRPr="00961B75">
              <w:rPr>
                <w:rFonts w:ascii="Arial Narrow" w:hAnsi="Arial Narrow"/>
                <w:b/>
                <w:bCs/>
                <w:sz w:val="20"/>
              </w:rPr>
              <w:t>)</w:t>
            </w:r>
          </w:p>
        </w:tc>
        <w:tc>
          <w:tcPr>
            <w:tcW w:w="613" w:type="pct"/>
            <w:tcBorders>
              <w:top w:val="single" w:sz="4" w:space="0" w:color="auto"/>
              <w:left w:val="single" w:sz="4" w:space="0" w:color="auto"/>
              <w:bottom w:val="single" w:sz="4" w:space="0" w:color="auto"/>
              <w:right w:val="double" w:sz="4" w:space="0" w:color="auto"/>
            </w:tcBorders>
            <w:vAlign w:val="center"/>
          </w:tcPr>
          <w:p w:rsidR="008C4845" w:rsidRPr="00961B75" w:rsidRDefault="008C4845" w:rsidP="004611DA">
            <w:pPr>
              <w:keepNext/>
              <w:widowControl/>
              <w:jc w:val="center"/>
              <w:rPr>
                <w:rFonts w:ascii="Arial Narrow" w:hAnsi="Arial Narrow"/>
                <w:b/>
                <w:bCs/>
                <w:sz w:val="20"/>
              </w:rPr>
            </w:pPr>
            <w:r w:rsidRPr="00961B75">
              <w:rPr>
                <w:rFonts w:ascii="Arial Narrow" w:hAnsi="Arial Narrow"/>
                <w:b/>
                <w:bCs/>
                <w:sz w:val="20"/>
              </w:rPr>
              <w:t>Arm B</w:t>
            </w:r>
          </w:p>
          <w:p w:rsidR="008C4845" w:rsidRPr="00961B75" w:rsidRDefault="008C4845" w:rsidP="004611DA">
            <w:pPr>
              <w:keepNext/>
              <w:widowControl/>
              <w:jc w:val="center"/>
              <w:rPr>
                <w:rFonts w:ascii="Arial Narrow" w:hAnsi="Arial Narrow"/>
                <w:b/>
                <w:bCs/>
                <w:sz w:val="20"/>
              </w:rPr>
            </w:pPr>
            <w:r w:rsidRPr="00961B75">
              <w:rPr>
                <w:rFonts w:ascii="Arial Narrow" w:hAnsi="Arial Narrow"/>
                <w:b/>
                <w:bCs/>
                <w:sz w:val="20"/>
              </w:rPr>
              <w:t xml:space="preserve">(TN&amp;TE, </w:t>
            </w:r>
            <w:proofErr w:type="spellStart"/>
            <w:r w:rsidRPr="00961B75">
              <w:rPr>
                <w:rFonts w:ascii="Arial Narrow" w:hAnsi="Arial Narrow"/>
                <w:b/>
                <w:bCs/>
                <w:sz w:val="20"/>
              </w:rPr>
              <w:t>cirr</w:t>
            </w:r>
            <w:proofErr w:type="spellEnd"/>
            <w:r w:rsidRPr="00961B75">
              <w:rPr>
                <w:rFonts w:ascii="Arial Narrow" w:hAnsi="Arial Narrow"/>
                <w:b/>
                <w:bCs/>
                <w:sz w:val="20"/>
              </w:rPr>
              <w:t>)</w:t>
            </w:r>
          </w:p>
        </w:tc>
        <w:tc>
          <w:tcPr>
            <w:tcW w:w="708" w:type="pct"/>
            <w:tcBorders>
              <w:top w:val="single" w:sz="4" w:space="0" w:color="auto"/>
              <w:left w:val="double" w:sz="4" w:space="0" w:color="auto"/>
              <w:bottom w:val="single" w:sz="4" w:space="0" w:color="auto"/>
              <w:right w:val="single" w:sz="4" w:space="0" w:color="auto"/>
            </w:tcBorders>
            <w:vAlign w:val="center"/>
          </w:tcPr>
          <w:p w:rsidR="008C4845" w:rsidRPr="00961B75" w:rsidRDefault="008C4845" w:rsidP="004611DA">
            <w:pPr>
              <w:keepNext/>
              <w:widowControl/>
              <w:jc w:val="center"/>
              <w:rPr>
                <w:rFonts w:ascii="Arial Narrow" w:hAnsi="Arial Narrow"/>
                <w:b/>
                <w:bCs/>
                <w:sz w:val="20"/>
              </w:rPr>
            </w:pPr>
            <w:r w:rsidRPr="00961B75">
              <w:rPr>
                <w:rFonts w:ascii="Arial Narrow" w:hAnsi="Arial Narrow"/>
                <w:b/>
                <w:bCs/>
                <w:sz w:val="20"/>
              </w:rPr>
              <w:t xml:space="preserve">(TN, no </w:t>
            </w:r>
            <w:proofErr w:type="spellStart"/>
            <w:r w:rsidRPr="00961B75">
              <w:rPr>
                <w:rFonts w:ascii="Arial Narrow" w:hAnsi="Arial Narrow"/>
                <w:b/>
                <w:bCs/>
                <w:sz w:val="20"/>
              </w:rPr>
              <w:t>cirr</w:t>
            </w:r>
            <w:proofErr w:type="spellEnd"/>
            <w:r w:rsidRPr="00961B75">
              <w:rPr>
                <w:rFonts w:ascii="Arial Narrow" w:hAnsi="Arial Narrow"/>
                <w:b/>
                <w:bCs/>
                <w:sz w:val="20"/>
              </w:rPr>
              <w:t xml:space="preserve"> &amp; </w:t>
            </w:r>
            <w:proofErr w:type="spellStart"/>
            <w:r w:rsidRPr="00961B75">
              <w:rPr>
                <w:rFonts w:ascii="Arial Narrow" w:hAnsi="Arial Narrow"/>
                <w:b/>
                <w:bCs/>
                <w:sz w:val="20"/>
              </w:rPr>
              <w:t>cirr</w:t>
            </w:r>
            <w:proofErr w:type="spellEnd"/>
            <w:r w:rsidRPr="00961B75">
              <w:rPr>
                <w:rFonts w:ascii="Arial Narrow" w:hAnsi="Arial Narrow"/>
                <w:b/>
                <w:bCs/>
                <w:sz w:val="20"/>
              </w:rPr>
              <w:t>)</w:t>
            </w:r>
          </w:p>
        </w:tc>
        <w:tc>
          <w:tcPr>
            <w:tcW w:w="701" w:type="pct"/>
            <w:tcBorders>
              <w:top w:val="single" w:sz="4" w:space="0" w:color="auto"/>
              <w:left w:val="single" w:sz="4" w:space="0" w:color="auto"/>
              <w:bottom w:val="single" w:sz="4" w:space="0" w:color="auto"/>
              <w:right w:val="single" w:sz="4" w:space="0" w:color="auto"/>
            </w:tcBorders>
            <w:vAlign w:val="center"/>
          </w:tcPr>
          <w:p w:rsidR="008C4845" w:rsidRPr="00961B75" w:rsidRDefault="008C4845" w:rsidP="004611DA">
            <w:pPr>
              <w:keepNext/>
              <w:widowControl/>
              <w:jc w:val="center"/>
              <w:rPr>
                <w:rFonts w:ascii="Arial Narrow" w:hAnsi="Arial Narrow"/>
                <w:b/>
                <w:bCs/>
                <w:iCs/>
                <w:sz w:val="20"/>
              </w:rPr>
            </w:pPr>
            <w:r w:rsidRPr="00961B75">
              <w:rPr>
                <w:rFonts w:ascii="Arial Narrow" w:hAnsi="Arial Narrow"/>
                <w:b/>
                <w:bCs/>
                <w:iCs/>
                <w:sz w:val="20"/>
              </w:rPr>
              <w:t xml:space="preserve">(TN&amp;TE, no </w:t>
            </w:r>
            <w:proofErr w:type="spellStart"/>
            <w:r w:rsidRPr="00961B75">
              <w:rPr>
                <w:rFonts w:ascii="Arial Narrow" w:hAnsi="Arial Narrow"/>
                <w:b/>
                <w:bCs/>
                <w:iCs/>
                <w:sz w:val="20"/>
              </w:rPr>
              <w:t>cirr</w:t>
            </w:r>
            <w:proofErr w:type="spellEnd"/>
            <w:r w:rsidRPr="00961B75">
              <w:rPr>
                <w:rFonts w:ascii="Arial Narrow" w:hAnsi="Arial Narrow"/>
                <w:b/>
                <w:bCs/>
                <w:iCs/>
                <w:sz w:val="20"/>
              </w:rPr>
              <w:t xml:space="preserve"> &amp; </w:t>
            </w:r>
            <w:proofErr w:type="spellStart"/>
            <w:r w:rsidRPr="00961B75">
              <w:rPr>
                <w:rFonts w:ascii="Arial Narrow" w:hAnsi="Arial Narrow"/>
                <w:b/>
                <w:bCs/>
                <w:iCs/>
                <w:sz w:val="20"/>
              </w:rPr>
              <w:t>cirr</w:t>
            </w:r>
            <w:proofErr w:type="spellEnd"/>
            <w:r w:rsidRPr="00961B75">
              <w:rPr>
                <w:rFonts w:ascii="Arial Narrow" w:hAnsi="Arial Narrow"/>
                <w:b/>
                <w:bCs/>
                <w:iCs/>
                <w:sz w:val="20"/>
              </w:rPr>
              <w:t xml:space="preserve">) </w:t>
            </w:r>
          </w:p>
        </w:tc>
      </w:tr>
      <w:tr w:rsidR="008C4845" w:rsidRPr="00961B75" w:rsidTr="008C4845">
        <w:trPr>
          <w:trHeight w:val="60"/>
        </w:trPr>
        <w:tc>
          <w:tcPr>
            <w:tcW w:w="474" w:type="pct"/>
            <w:tcBorders>
              <w:top w:val="single" w:sz="4" w:space="0" w:color="auto"/>
              <w:left w:val="single" w:sz="4" w:space="0" w:color="auto"/>
              <w:bottom w:val="single" w:sz="4" w:space="0" w:color="auto"/>
              <w:right w:val="single" w:sz="4" w:space="0" w:color="auto"/>
            </w:tcBorders>
            <w:vAlign w:val="center"/>
            <w:hideMark/>
          </w:tcPr>
          <w:p w:rsidR="008C4845" w:rsidRPr="00961B75" w:rsidRDefault="008C4845" w:rsidP="004611DA">
            <w:pPr>
              <w:keepNext/>
              <w:widowControl/>
              <w:jc w:val="left"/>
              <w:rPr>
                <w:rFonts w:ascii="Arial Narrow" w:hAnsi="Arial Narrow"/>
                <w:sz w:val="20"/>
              </w:rPr>
            </w:pPr>
            <w:r w:rsidRPr="00961B75">
              <w:rPr>
                <w:rFonts w:ascii="Arial Narrow" w:hAnsi="Arial Narrow"/>
                <w:sz w:val="20"/>
              </w:rPr>
              <w:t>All HCV GT 4 patients</w:t>
            </w:r>
          </w:p>
        </w:tc>
        <w:tc>
          <w:tcPr>
            <w:tcW w:w="548" w:type="pct"/>
            <w:tcBorders>
              <w:top w:val="single" w:sz="4" w:space="0" w:color="auto"/>
              <w:left w:val="single" w:sz="4" w:space="0" w:color="auto"/>
              <w:bottom w:val="single" w:sz="4" w:space="0" w:color="auto"/>
              <w:right w:val="single" w:sz="4" w:space="0" w:color="auto"/>
            </w:tcBorders>
            <w:vAlign w:val="center"/>
            <w:hideMark/>
          </w:tcPr>
          <w:p w:rsidR="008C4845" w:rsidRPr="00961B75" w:rsidRDefault="008C4845" w:rsidP="004611DA">
            <w:pPr>
              <w:keepNext/>
              <w:widowControl/>
              <w:jc w:val="center"/>
              <w:rPr>
                <w:rFonts w:ascii="Arial Narrow" w:hAnsi="Arial Narrow"/>
                <w:sz w:val="20"/>
              </w:rPr>
            </w:pPr>
            <w:r w:rsidRPr="00961B75">
              <w:rPr>
                <w:rFonts w:ascii="Arial Narrow" w:hAnsi="Arial Narrow"/>
                <w:sz w:val="20"/>
              </w:rPr>
              <w:t>42/42 (100.0)</w:t>
            </w:r>
          </w:p>
          <w:p w:rsidR="008C4845" w:rsidRPr="00961B75" w:rsidRDefault="008C4845" w:rsidP="004611DA">
            <w:pPr>
              <w:keepNext/>
              <w:widowControl/>
              <w:jc w:val="center"/>
              <w:rPr>
                <w:rFonts w:ascii="Arial Narrow" w:hAnsi="Arial Narrow"/>
                <w:sz w:val="20"/>
              </w:rPr>
            </w:pPr>
            <w:r w:rsidRPr="00961B75">
              <w:rPr>
                <w:rFonts w:ascii="Arial Narrow" w:hAnsi="Arial Narrow"/>
                <w:sz w:val="20"/>
              </w:rPr>
              <w:t>[91.6, 100]</w:t>
            </w:r>
            <w:r w:rsidRPr="00961B75">
              <w:rPr>
                <w:rFonts w:ascii="Arial Narrow" w:hAnsi="Arial Narrow"/>
                <w:sz w:val="20"/>
                <w:vertAlign w:val="superscript"/>
              </w:rPr>
              <w:t>a</w:t>
            </w:r>
          </w:p>
        </w:tc>
        <w:tc>
          <w:tcPr>
            <w:tcW w:w="605" w:type="pct"/>
            <w:tcBorders>
              <w:top w:val="single" w:sz="4" w:space="0" w:color="auto"/>
              <w:left w:val="single" w:sz="4" w:space="0" w:color="auto"/>
              <w:bottom w:val="single" w:sz="4" w:space="0" w:color="auto"/>
              <w:right w:val="single" w:sz="4" w:space="0" w:color="auto"/>
            </w:tcBorders>
            <w:vAlign w:val="center"/>
            <w:hideMark/>
          </w:tcPr>
          <w:p w:rsidR="008C4845" w:rsidRPr="00961B75" w:rsidRDefault="008C4845" w:rsidP="004611DA">
            <w:pPr>
              <w:keepNext/>
              <w:widowControl/>
              <w:jc w:val="center"/>
              <w:rPr>
                <w:rFonts w:ascii="Arial Narrow" w:hAnsi="Arial Narrow"/>
                <w:sz w:val="20"/>
              </w:rPr>
            </w:pPr>
            <w:r w:rsidRPr="00961B75">
              <w:rPr>
                <w:rFonts w:ascii="Arial Narrow" w:hAnsi="Arial Narrow"/>
                <w:sz w:val="20"/>
              </w:rPr>
              <w:t>49/49 (100.0)</w:t>
            </w:r>
          </w:p>
          <w:p w:rsidR="008C4845" w:rsidRPr="00961B75" w:rsidRDefault="008C4845" w:rsidP="004611DA">
            <w:pPr>
              <w:keepNext/>
              <w:widowControl/>
              <w:jc w:val="center"/>
              <w:rPr>
                <w:rFonts w:ascii="Arial Narrow" w:hAnsi="Arial Narrow"/>
                <w:sz w:val="20"/>
              </w:rPr>
            </w:pPr>
            <w:r w:rsidRPr="00961B75">
              <w:rPr>
                <w:rFonts w:ascii="Arial Narrow" w:hAnsi="Arial Narrow"/>
                <w:sz w:val="20"/>
              </w:rPr>
              <w:t>[92.7, 100]</w:t>
            </w:r>
            <w:r w:rsidRPr="00961B75">
              <w:rPr>
                <w:rFonts w:ascii="Arial Narrow" w:hAnsi="Arial Narrow"/>
                <w:sz w:val="20"/>
                <w:vertAlign w:val="superscript"/>
              </w:rPr>
              <w:t>a</w:t>
            </w:r>
          </w:p>
        </w:tc>
        <w:tc>
          <w:tcPr>
            <w:tcW w:w="708" w:type="pct"/>
            <w:tcBorders>
              <w:top w:val="single" w:sz="4" w:space="0" w:color="auto"/>
              <w:left w:val="single" w:sz="4" w:space="0" w:color="auto"/>
              <w:bottom w:val="single" w:sz="4" w:space="0" w:color="auto"/>
              <w:right w:val="single" w:sz="4" w:space="0" w:color="auto"/>
            </w:tcBorders>
            <w:vAlign w:val="center"/>
            <w:hideMark/>
          </w:tcPr>
          <w:p w:rsidR="008C4845" w:rsidRPr="00961B75" w:rsidRDefault="008C4845" w:rsidP="004611DA">
            <w:pPr>
              <w:keepNext/>
              <w:widowControl/>
              <w:jc w:val="center"/>
              <w:rPr>
                <w:rFonts w:ascii="Arial Narrow" w:hAnsi="Arial Narrow"/>
                <w:sz w:val="20"/>
              </w:rPr>
            </w:pPr>
            <w:r w:rsidRPr="00961B75">
              <w:rPr>
                <w:rFonts w:ascii="Arial Narrow" w:hAnsi="Arial Narrow"/>
                <w:sz w:val="20"/>
              </w:rPr>
              <w:t>57/59 (96.6)</w:t>
            </w:r>
          </w:p>
          <w:p w:rsidR="008C4845" w:rsidRPr="00961B75" w:rsidRDefault="008C4845" w:rsidP="004611DA">
            <w:pPr>
              <w:keepNext/>
              <w:widowControl/>
              <w:jc w:val="center"/>
              <w:rPr>
                <w:rFonts w:ascii="Arial Narrow" w:hAnsi="Arial Narrow"/>
                <w:sz w:val="20"/>
              </w:rPr>
            </w:pPr>
            <w:r w:rsidRPr="00961B75">
              <w:rPr>
                <w:rFonts w:ascii="Arial Narrow" w:hAnsi="Arial Narrow"/>
                <w:sz w:val="20"/>
              </w:rPr>
              <w:t>[88.3, 99.6]</w:t>
            </w:r>
          </w:p>
        </w:tc>
        <w:tc>
          <w:tcPr>
            <w:tcW w:w="643" w:type="pct"/>
            <w:tcBorders>
              <w:top w:val="single" w:sz="4" w:space="0" w:color="auto"/>
              <w:left w:val="single" w:sz="4" w:space="0" w:color="auto"/>
              <w:bottom w:val="single" w:sz="4" w:space="0" w:color="auto"/>
              <w:right w:val="single" w:sz="4" w:space="0" w:color="auto"/>
            </w:tcBorders>
            <w:vAlign w:val="center"/>
            <w:hideMark/>
          </w:tcPr>
          <w:p w:rsidR="008C4845" w:rsidRPr="00961B75" w:rsidRDefault="008C4845" w:rsidP="004611DA">
            <w:pPr>
              <w:keepNext/>
              <w:widowControl/>
              <w:jc w:val="center"/>
              <w:rPr>
                <w:rFonts w:ascii="Arial Narrow" w:hAnsi="Arial Narrow"/>
                <w:sz w:val="20"/>
              </w:rPr>
            </w:pPr>
            <w:r w:rsidRPr="00961B75">
              <w:rPr>
                <w:rFonts w:ascii="Arial Narrow" w:hAnsi="Arial Narrow"/>
                <w:sz w:val="20"/>
              </w:rPr>
              <w:t>94/100 (94.0)</w:t>
            </w:r>
          </w:p>
          <w:p w:rsidR="008C4845" w:rsidRPr="00961B75" w:rsidRDefault="008C4845" w:rsidP="004611DA">
            <w:pPr>
              <w:keepNext/>
              <w:widowControl/>
              <w:jc w:val="center"/>
              <w:rPr>
                <w:rFonts w:ascii="Arial Narrow" w:hAnsi="Arial Narrow"/>
                <w:sz w:val="20"/>
              </w:rPr>
            </w:pPr>
            <w:r w:rsidRPr="00961B75">
              <w:rPr>
                <w:rFonts w:ascii="Arial Narrow" w:hAnsi="Arial Narrow"/>
                <w:sz w:val="20"/>
              </w:rPr>
              <w:t>[87.4, 97.8]</w:t>
            </w:r>
          </w:p>
        </w:tc>
        <w:tc>
          <w:tcPr>
            <w:tcW w:w="613" w:type="pct"/>
            <w:tcBorders>
              <w:top w:val="single" w:sz="4" w:space="0" w:color="auto"/>
              <w:left w:val="single" w:sz="4" w:space="0" w:color="auto"/>
              <w:bottom w:val="single" w:sz="4" w:space="0" w:color="auto"/>
              <w:right w:val="double" w:sz="4" w:space="0" w:color="auto"/>
            </w:tcBorders>
            <w:vAlign w:val="center"/>
            <w:hideMark/>
          </w:tcPr>
          <w:p w:rsidR="008C4845" w:rsidRPr="00961B75" w:rsidRDefault="008C4845" w:rsidP="004611DA">
            <w:pPr>
              <w:keepNext/>
              <w:widowControl/>
              <w:jc w:val="center"/>
              <w:rPr>
                <w:rFonts w:ascii="Arial Narrow" w:hAnsi="Arial Narrow"/>
                <w:sz w:val="20"/>
              </w:rPr>
            </w:pPr>
            <w:r w:rsidRPr="00961B75">
              <w:rPr>
                <w:rFonts w:ascii="Arial Narrow" w:hAnsi="Arial Narrow"/>
                <w:sz w:val="20"/>
              </w:rPr>
              <w:t>30/31 (96.8)</w:t>
            </w:r>
          </w:p>
          <w:p w:rsidR="008C4845" w:rsidRPr="00961B75" w:rsidRDefault="008C4845" w:rsidP="004611DA">
            <w:pPr>
              <w:keepNext/>
              <w:widowControl/>
              <w:jc w:val="center"/>
              <w:rPr>
                <w:rFonts w:ascii="Arial Narrow" w:hAnsi="Arial Narrow"/>
                <w:sz w:val="20"/>
              </w:rPr>
            </w:pPr>
            <w:r w:rsidRPr="00961B75">
              <w:rPr>
                <w:rFonts w:ascii="Arial Narrow" w:hAnsi="Arial Narrow"/>
                <w:sz w:val="20"/>
              </w:rPr>
              <w:t>[83.3, 99.9]</w:t>
            </w:r>
          </w:p>
        </w:tc>
        <w:tc>
          <w:tcPr>
            <w:tcW w:w="708" w:type="pct"/>
            <w:tcBorders>
              <w:top w:val="single" w:sz="4" w:space="0" w:color="auto"/>
              <w:left w:val="double" w:sz="4" w:space="0" w:color="auto"/>
              <w:bottom w:val="single" w:sz="4" w:space="0" w:color="auto"/>
              <w:right w:val="single" w:sz="4" w:space="0" w:color="auto"/>
            </w:tcBorders>
            <w:vAlign w:val="center"/>
            <w:hideMark/>
          </w:tcPr>
          <w:p w:rsidR="008C4845" w:rsidRPr="00961B75" w:rsidRDefault="008C4845" w:rsidP="004611DA">
            <w:pPr>
              <w:keepNext/>
              <w:widowControl/>
              <w:jc w:val="center"/>
              <w:rPr>
                <w:rFonts w:ascii="Arial Narrow" w:hAnsi="Arial Narrow"/>
                <w:sz w:val="20"/>
              </w:rPr>
            </w:pPr>
            <w:r w:rsidRPr="00961B75">
              <w:rPr>
                <w:rFonts w:ascii="Arial Narrow" w:hAnsi="Arial Narrow"/>
                <w:sz w:val="20"/>
              </w:rPr>
              <w:t>27/28 (96.4)</w:t>
            </w:r>
          </w:p>
          <w:p w:rsidR="008C4845" w:rsidRPr="00961B75" w:rsidRDefault="008C4845" w:rsidP="004611DA">
            <w:pPr>
              <w:keepNext/>
              <w:widowControl/>
              <w:jc w:val="center"/>
              <w:rPr>
                <w:rFonts w:ascii="Arial Narrow" w:hAnsi="Arial Narrow"/>
                <w:sz w:val="20"/>
              </w:rPr>
            </w:pPr>
            <w:r w:rsidRPr="00961B75">
              <w:rPr>
                <w:rFonts w:ascii="Arial Narrow" w:hAnsi="Arial Narrow"/>
                <w:sz w:val="20"/>
              </w:rPr>
              <w:t>[81.7, 99.9]</w:t>
            </w:r>
          </w:p>
        </w:tc>
        <w:tc>
          <w:tcPr>
            <w:tcW w:w="701" w:type="pct"/>
            <w:tcBorders>
              <w:top w:val="single" w:sz="4" w:space="0" w:color="auto"/>
              <w:left w:val="single" w:sz="4" w:space="0" w:color="auto"/>
              <w:bottom w:val="single" w:sz="4" w:space="0" w:color="auto"/>
              <w:right w:val="single" w:sz="4" w:space="0" w:color="auto"/>
            </w:tcBorders>
            <w:vAlign w:val="center"/>
          </w:tcPr>
          <w:p w:rsidR="008C4845" w:rsidRPr="00961B75" w:rsidRDefault="008C4845" w:rsidP="004611DA">
            <w:pPr>
              <w:keepNext/>
              <w:widowControl/>
              <w:jc w:val="center"/>
              <w:rPr>
                <w:rFonts w:ascii="Arial Narrow" w:hAnsi="Arial Narrow"/>
                <w:iCs/>
                <w:sz w:val="20"/>
              </w:rPr>
            </w:pPr>
            <w:r w:rsidRPr="00961B75">
              <w:rPr>
                <w:rFonts w:ascii="Arial Narrow" w:hAnsi="Arial Narrow"/>
                <w:iCs/>
                <w:sz w:val="20"/>
              </w:rPr>
              <w:t>20/24 (83.3)</w:t>
            </w:r>
          </w:p>
          <w:p w:rsidR="008C4845" w:rsidRPr="00961B75" w:rsidRDefault="008C4845" w:rsidP="004611DA">
            <w:pPr>
              <w:keepNext/>
              <w:widowControl/>
              <w:jc w:val="center"/>
              <w:rPr>
                <w:rFonts w:ascii="Arial Narrow" w:hAnsi="Arial Narrow"/>
                <w:iCs/>
                <w:sz w:val="20"/>
              </w:rPr>
            </w:pPr>
            <w:r w:rsidRPr="00961B75">
              <w:rPr>
                <w:rFonts w:ascii="Arial Narrow" w:hAnsi="Arial Narrow"/>
                <w:iCs/>
                <w:sz w:val="20"/>
              </w:rPr>
              <w:t>[62.6, 95.3]</w:t>
            </w:r>
          </w:p>
        </w:tc>
      </w:tr>
      <w:tr w:rsidR="008C4845" w:rsidRPr="00961B75" w:rsidTr="008C4845">
        <w:trPr>
          <w:trHeight w:val="60"/>
        </w:trPr>
        <w:tc>
          <w:tcPr>
            <w:tcW w:w="474" w:type="pct"/>
            <w:tcBorders>
              <w:top w:val="single" w:sz="4" w:space="0" w:color="auto"/>
              <w:left w:val="single" w:sz="4" w:space="0" w:color="auto"/>
              <w:bottom w:val="single" w:sz="4" w:space="0" w:color="auto"/>
              <w:right w:val="single" w:sz="4" w:space="0" w:color="auto"/>
            </w:tcBorders>
            <w:vAlign w:val="center"/>
          </w:tcPr>
          <w:p w:rsidR="008C4845" w:rsidRPr="00961B75" w:rsidRDefault="008C4845" w:rsidP="004611DA">
            <w:pPr>
              <w:keepNext/>
              <w:widowControl/>
              <w:jc w:val="left"/>
              <w:rPr>
                <w:rFonts w:ascii="Arial Narrow" w:hAnsi="Arial Narrow"/>
                <w:sz w:val="20"/>
              </w:rPr>
            </w:pPr>
            <w:r w:rsidRPr="00961B75">
              <w:rPr>
                <w:rFonts w:ascii="Arial Narrow" w:hAnsi="Arial Narrow"/>
                <w:sz w:val="20"/>
              </w:rPr>
              <w:t>Pooled</w:t>
            </w:r>
          </w:p>
        </w:tc>
        <w:tc>
          <w:tcPr>
            <w:tcW w:w="3118" w:type="pct"/>
            <w:gridSpan w:val="5"/>
            <w:tcBorders>
              <w:top w:val="single" w:sz="4" w:space="0" w:color="auto"/>
              <w:left w:val="single" w:sz="4" w:space="0" w:color="auto"/>
              <w:bottom w:val="single" w:sz="4" w:space="0" w:color="auto"/>
              <w:right w:val="double" w:sz="4" w:space="0" w:color="auto"/>
            </w:tcBorders>
            <w:vAlign w:val="center"/>
          </w:tcPr>
          <w:p w:rsidR="008C4845" w:rsidRPr="00961B75" w:rsidRDefault="008C4845" w:rsidP="004611DA">
            <w:pPr>
              <w:keepNext/>
              <w:widowControl/>
              <w:jc w:val="center"/>
              <w:rPr>
                <w:rFonts w:ascii="Arial Narrow" w:hAnsi="Arial Narrow"/>
                <w:sz w:val="20"/>
              </w:rPr>
            </w:pPr>
            <w:r w:rsidRPr="00961B75">
              <w:rPr>
                <w:rFonts w:ascii="Arial Narrow" w:hAnsi="Arial Narrow"/>
                <w:sz w:val="20"/>
              </w:rPr>
              <w:t>272/281 (96.8) [94.0, 98.5]</w:t>
            </w:r>
          </w:p>
        </w:tc>
        <w:tc>
          <w:tcPr>
            <w:tcW w:w="1409" w:type="pct"/>
            <w:gridSpan w:val="2"/>
            <w:tcBorders>
              <w:top w:val="single" w:sz="4" w:space="0" w:color="auto"/>
              <w:left w:val="double" w:sz="4" w:space="0" w:color="auto"/>
              <w:bottom w:val="single" w:sz="4" w:space="0" w:color="auto"/>
              <w:right w:val="single" w:sz="4" w:space="0" w:color="auto"/>
            </w:tcBorders>
            <w:vAlign w:val="center"/>
          </w:tcPr>
          <w:p w:rsidR="008C4845" w:rsidRPr="00961B75" w:rsidRDefault="008C4845" w:rsidP="004611DA">
            <w:pPr>
              <w:keepNext/>
              <w:widowControl/>
              <w:jc w:val="center"/>
              <w:rPr>
                <w:rFonts w:ascii="Arial Narrow" w:hAnsi="Arial Narrow"/>
                <w:iCs/>
                <w:sz w:val="20"/>
              </w:rPr>
            </w:pPr>
            <w:r w:rsidRPr="00961B75">
              <w:rPr>
                <w:rFonts w:ascii="Arial Narrow" w:hAnsi="Arial Narrow"/>
                <w:iCs/>
                <w:sz w:val="20"/>
              </w:rPr>
              <w:t>47/52 (90.4) [79.0, 96.8]</w:t>
            </w:r>
          </w:p>
        </w:tc>
      </w:tr>
      <w:tr w:rsidR="008C4845" w:rsidRPr="00961B75" w:rsidTr="008C4845">
        <w:trPr>
          <w:trHeight w:val="60"/>
        </w:trPr>
        <w:tc>
          <w:tcPr>
            <w:tcW w:w="474" w:type="pct"/>
            <w:tcBorders>
              <w:top w:val="single" w:sz="4" w:space="0" w:color="auto"/>
              <w:left w:val="single" w:sz="4" w:space="0" w:color="auto"/>
              <w:bottom w:val="double" w:sz="4" w:space="0" w:color="auto"/>
              <w:right w:val="single" w:sz="4" w:space="0" w:color="auto"/>
            </w:tcBorders>
            <w:vAlign w:val="center"/>
          </w:tcPr>
          <w:p w:rsidR="008C4845" w:rsidRPr="00961B75" w:rsidRDefault="008C4845" w:rsidP="004611DA">
            <w:pPr>
              <w:keepNext/>
              <w:widowControl/>
              <w:jc w:val="left"/>
              <w:rPr>
                <w:rFonts w:ascii="Arial Narrow" w:hAnsi="Arial Narrow"/>
                <w:sz w:val="20"/>
              </w:rPr>
            </w:pPr>
            <w:r w:rsidRPr="00961B75">
              <w:rPr>
                <w:rFonts w:ascii="Arial Narrow" w:hAnsi="Arial Narrow"/>
                <w:sz w:val="20"/>
              </w:rPr>
              <w:t>Diff in %</w:t>
            </w:r>
          </w:p>
        </w:tc>
        <w:tc>
          <w:tcPr>
            <w:tcW w:w="4526" w:type="pct"/>
            <w:gridSpan w:val="7"/>
            <w:tcBorders>
              <w:top w:val="single" w:sz="4" w:space="0" w:color="auto"/>
              <w:left w:val="single" w:sz="4" w:space="0" w:color="auto"/>
              <w:bottom w:val="double" w:sz="4" w:space="0" w:color="auto"/>
              <w:right w:val="single" w:sz="4" w:space="0" w:color="auto"/>
            </w:tcBorders>
            <w:vAlign w:val="center"/>
          </w:tcPr>
          <w:p w:rsidR="008C4845" w:rsidRPr="00961B75" w:rsidRDefault="008C4845" w:rsidP="004611DA">
            <w:pPr>
              <w:keepNext/>
              <w:widowControl/>
              <w:jc w:val="center"/>
              <w:rPr>
                <w:rFonts w:ascii="Arial Narrow" w:hAnsi="Arial Narrow"/>
                <w:iCs/>
                <w:sz w:val="20"/>
              </w:rPr>
            </w:pPr>
            <w:r w:rsidRPr="00961B75">
              <w:rPr>
                <w:rFonts w:ascii="Arial Narrow" w:hAnsi="Arial Narrow"/>
                <w:iCs/>
                <w:sz w:val="20"/>
              </w:rPr>
              <w:t>p=0.03</w:t>
            </w:r>
          </w:p>
        </w:tc>
      </w:tr>
      <w:tr w:rsidR="008C4845" w:rsidRPr="00961B75" w:rsidTr="008C4845">
        <w:trPr>
          <w:trHeight w:val="60"/>
        </w:trPr>
        <w:tc>
          <w:tcPr>
            <w:tcW w:w="474" w:type="pct"/>
            <w:tcBorders>
              <w:top w:val="double" w:sz="4" w:space="0" w:color="auto"/>
              <w:left w:val="single" w:sz="4" w:space="0" w:color="auto"/>
              <w:bottom w:val="single" w:sz="4" w:space="0" w:color="auto"/>
              <w:right w:val="single" w:sz="4" w:space="0" w:color="auto"/>
            </w:tcBorders>
            <w:vAlign w:val="center"/>
          </w:tcPr>
          <w:p w:rsidR="008C4845" w:rsidRPr="00961B75" w:rsidRDefault="008C4845" w:rsidP="004611DA">
            <w:pPr>
              <w:keepNext/>
              <w:widowControl/>
              <w:jc w:val="left"/>
              <w:rPr>
                <w:rFonts w:ascii="Arial Narrow" w:hAnsi="Arial Narrow"/>
                <w:sz w:val="20"/>
              </w:rPr>
            </w:pPr>
          </w:p>
        </w:tc>
        <w:tc>
          <w:tcPr>
            <w:tcW w:w="1153" w:type="pct"/>
            <w:gridSpan w:val="2"/>
            <w:tcBorders>
              <w:top w:val="double" w:sz="4" w:space="0" w:color="auto"/>
              <w:left w:val="single" w:sz="4" w:space="0" w:color="auto"/>
              <w:bottom w:val="single" w:sz="4" w:space="0" w:color="auto"/>
              <w:right w:val="single" w:sz="4" w:space="0" w:color="auto"/>
            </w:tcBorders>
            <w:vAlign w:val="center"/>
          </w:tcPr>
          <w:p w:rsidR="008C4845" w:rsidRPr="00961B75" w:rsidRDefault="008C4845" w:rsidP="004611DA">
            <w:pPr>
              <w:keepNext/>
              <w:widowControl/>
              <w:jc w:val="center"/>
              <w:rPr>
                <w:rFonts w:ascii="Arial Narrow" w:hAnsi="Arial Narrow"/>
                <w:sz w:val="20"/>
              </w:rPr>
            </w:pPr>
            <w:r w:rsidRPr="00961B75">
              <w:rPr>
                <w:rFonts w:ascii="Arial Narrow" w:hAnsi="Arial Narrow"/>
                <w:b/>
                <w:bCs/>
                <w:sz w:val="20"/>
              </w:rPr>
              <w:t>PEARL I</w:t>
            </w:r>
          </w:p>
        </w:tc>
        <w:tc>
          <w:tcPr>
            <w:tcW w:w="708" w:type="pct"/>
            <w:tcBorders>
              <w:top w:val="double" w:sz="4" w:space="0" w:color="auto"/>
              <w:left w:val="single" w:sz="4" w:space="0" w:color="auto"/>
              <w:bottom w:val="single" w:sz="4" w:space="0" w:color="auto"/>
              <w:right w:val="single" w:sz="4" w:space="0" w:color="auto"/>
            </w:tcBorders>
            <w:vAlign w:val="center"/>
          </w:tcPr>
          <w:p w:rsidR="008C4845" w:rsidRPr="00961B75" w:rsidRDefault="008C4845" w:rsidP="004611DA">
            <w:pPr>
              <w:keepNext/>
              <w:widowControl/>
              <w:jc w:val="center"/>
              <w:rPr>
                <w:rFonts w:ascii="Arial Narrow" w:hAnsi="Arial Narrow"/>
                <w:sz w:val="20"/>
              </w:rPr>
            </w:pPr>
            <w:r w:rsidRPr="00961B75">
              <w:rPr>
                <w:rFonts w:ascii="Arial Narrow" w:hAnsi="Arial Narrow"/>
                <w:b/>
                <w:bCs/>
                <w:sz w:val="20"/>
              </w:rPr>
              <w:t>AGATE I</w:t>
            </w:r>
          </w:p>
        </w:tc>
        <w:tc>
          <w:tcPr>
            <w:tcW w:w="1257" w:type="pct"/>
            <w:gridSpan w:val="2"/>
            <w:tcBorders>
              <w:top w:val="double" w:sz="4" w:space="0" w:color="auto"/>
              <w:left w:val="single" w:sz="4" w:space="0" w:color="auto"/>
              <w:bottom w:val="single" w:sz="4" w:space="0" w:color="auto"/>
              <w:right w:val="double" w:sz="4" w:space="0" w:color="auto"/>
            </w:tcBorders>
            <w:vAlign w:val="center"/>
          </w:tcPr>
          <w:p w:rsidR="008C4845" w:rsidRPr="00961B75" w:rsidRDefault="008C4845" w:rsidP="004611DA">
            <w:pPr>
              <w:keepNext/>
              <w:widowControl/>
              <w:jc w:val="center"/>
              <w:rPr>
                <w:rFonts w:ascii="Arial Narrow" w:hAnsi="Arial Narrow"/>
                <w:sz w:val="20"/>
              </w:rPr>
            </w:pPr>
            <w:r w:rsidRPr="00961B75">
              <w:rPr>
                <w:rFonts w:ascii="Arial Narrow" w:hAnsi="Arial Narrow"/>
                <w:b/>
                <w:bCs/>
                <w:sz w:val="20"/>
              </w:rPr>
              <w:t>AGATE II</w:t>
            </w:r>
          </w:p>
        </w:tc>
        <w:tc>
          <w:tcPr>
            <w:tcW w:w="708" w:type="pct"/>
            <w:tcBorders>
              <w:top w:val="double" w:sz="4" w:space="0" w:color="auto"/>
              <w:left w:val="double" w:sz="4" w:space="0" w:color="auto"/>
              <w:bottom w:val="single" w:sz="4" w:space="0" w:color="auto"/>
              <w:right w:val="single" w:sz="4" w:space="0" w:color="auto"/>
            </w:tcBorders>
            <w:vAlign w:val="center"/>
          </w:tcPr>
          <w:p w:rsidR="008C4845" w:rsidRPr="00961B75" w:rsidRDefault="008C4845" w:rsidP="004611DA">
            <w:pPr>
              <w:keepNext/>
              <w:widowControl/>
              <w:jc w:val="center"/>
              <w:rPr>
                <w:rFonts w:ascii="Arial Narrow" w:hAnsi="Arial Narrow"/>
                <w:sz w:val="20"/>
              </w:rPr>
            </w:pPr>
            <w:r w:rsidRPr="00961B75">
              <w:rPr>
                <w:rFonts w:ascii="Arial Narrow" w:hAnsi="Arial Narrow"/>
                <w:b/>
                <w:bCs/>
                <w:sz w:val="20"/>
              </w:rPr>
              <w:t>NEUTRINO</w:t>
            </w:r>
          </w:p>
        </w:tc>
        <w:tc>
          <w:tcPr>
            <w:tcW w:w="701" w:type="pct"/>
            <w:tcBorders>
              <w:top w:val="double" w:sz="4" w:space="0" w:color="auto"/>
              <w:left w:val="single" w:sz="4" w:space="0" w:color="auto"/>
              <w:bottom w:val="single" w:sz="4" w:space="0" w:color="auto"/>
              <w:right w:val="single" w:sz="4" w:space="0" w:color="auto"/>
            </w:tcBorders>
            <w:vAlign w:val="center"/>
          </w:tcPr>
          <w:p w:rsidR="008C4845" w:rsidRPr="00961B75" w:rsidRDefault="008C4845" w:rsidP="004611DA">
            <w:pPr>
              <w:keepNext/>
              <w:widowControl/>
              <w:jc w:val="center"/>
              <w:rPr>
                <w:rFonts w:ascii="Arial Narrow" w:hAnsi="Arial Narrow"/>
                <w:iCs/>
                <w:sz w:val="20"/>
              </w:rPr>
            </w:pPr>
            <w:proofErr w:type="spellStart"/>
            <w:r w:rsidRPr="00961B75">
              <w:rPr>
                <w:rFonts w:ascii="Arial Narrow" w:hAnsi="Arial Narrow"/>
                <w:b/>
                <w:bCs/>
                <w:iCs/>
                <w:sz w:val="20"/>
              </w:rPr>
              <w:t>Wehmeyer</w:t>
            </w:r>
            <w:proofErr w:type="spellEnd"/>
            <w:r w:rsidRPr="00961B75">
              <w:rPr>
                <w:rFonts w:ascii="Arial Narrow" w:hAnsi="Arial Narrow"/>
                <w:b/>
                <w:bCs/>
                <w:iCs/>
                <w:sz w:val="20"/>
              </w:rPr>
              <w:t xml:space="preserve"> 2015</w:t>
            </w:r>
          </w:p>
        </w:tc>
      </w:tr>
      <w:tr w:rsidR="008C4845" w:rsidRPr="00961B75" w:rsidTr="008C4845">
        <w:trPr>
          <w:trHeight w:val="60"/>
        </w:trPr>
        <w:tc>
          <w:tcPr>
            <w:tcW w:w="474" w:type="pct"/>
            <w:tcBorders>
              <w:top w:val="single" w:sz="4" w:space="0" w:color="auto"/>
              <w:left w:val="single" w:sz="4" w:space="0" w:color="auto"/>
              <w:bottom w:val="single" w:sz="4" w:space="0" w:color="auto"/>
              <w:right w:val="single" w:sz="4" w:space="0" w:color="auto"/>
            </w:tcBorders>
            <w:vAlign w:val="center"/>
          </w:tcPr>
          <w:p w:rsidR="008C4845" w:rsidRPr="00961B75" w:rsidRDefault="008C4845" w:rsidP="004611DA">
            <w:pPr>
              <w:keepNext/>
              <w:widowControl/>
              <w:jc w:val="left"/>
              <w:rPr>
                <w:rFonts w:ascii="Arial Narrow" w:hAnsi="Arial Narrow"/>
                <w:sz w:val="20"/>
              </w:rPr>
            </w:pPr>
          </w:p>
        </w:tc>
        <w:tc>
          <w:tcPr>
            <w:tcW w:w="548" w:type="pct"/>
            <w:tcBorders>
              <w:top w:val="single" w:sz="4" w:space="0" w:color="auto"/>
              <w:left w:val="single" w:sz="4" w:space="0" w:color="auto"/>
              <w:bottom w:val="single" w:sz="4" w:space="0" w:color="auto"/>
              <w:right w:val="single" w:sz="4" w:space="0" w:color="auto"/>
            </w:tcBorders>
            <w:vAlign w:val="center"/>
          </w:tcPr>
          <w:p w:rsidR="008C4845" w:rsidRPr="00961B75" w:rsidRDefault="008C4845" w:rsidP="004611DA">
            <w:pPr>
              <w:keepNext/>
              <w:widowControl/>
              <w:jc w:val="center"/>
              <w:rPr>
                <w:rFonts w:ascii="Arial Narrow" w:hAnsi="Arial Narrow"/>
                <w:sz w:val="20"/>
              </w:rPr>
            </w:pPr>
            <w:r w:rsidRPr="00961B75">
              <w:rPr>
                <w:rFonts w:ascii="Arial Narrow" w:hAnsi="Arial Narrow"/>
                <w:sz w:val="20"/>
              </w:rPr>
              <w:t>-</w:t>
            </w:r>
          </w:p>
        </w:tc>
        <w:tc>
          <w:tcPr>
            <w:tcW w:w="605" w:type="pct"/>
            <w:tcBorders>
              <w:top w:val="single" w:sz="4" w:space="0" w:color="auto"/>
              <w:left w:val="single" w:sz="4" w:space="0" w:color="auto"/>
              <w:bottom w:val="single" w:sz="4" w:space="0" w:color="auto"/>
              <w:right w:val="single" w:sz="4" w:space="0" w:color="auto"/>
            </w:tcBorders>
            <w:vAlign w:val="center"/>
          </w:tcPr>
          <w:p w:rsidR="008C4845" w:rsidRPr="00961B75" w:rsidRDefault="008C4845" w:rsidP="004611DA">
            <w:pPr>
              <w:keepNext/>
              <w:widowControl/>
              <w:jc w:val="center"/>
              <w:rPr>
                <w:rFonts w:ascii="Arial Narrow" w:hAnsi="Arial Narrow"/>
                <w:sz w:val="20"/>
              </w:rPr>
            </w:pPr>
            <w:r w:rsidRPr="00961B75">
              <w:rPr>
                <w:rFonts w:ascii="Arial Narrow" w:hAnsi="Arial Narrow"/>
                <w:sz w:val="20"/>
              </w:rPr>
              <w:t>-</w:t>
            </w:r>
          </w:p>
        </w:tc>
        <w:tc>
          <w:tcPr>
            <w:tcW w:w="708" w:type="pct"/>
            <w:tcBorders>
              <w:top w:val="single" w:sz="4" w:space="0" w:color="auto"/>
              <w:left w:val="single" w:sz="4" w:space="0" w:color="auto"/>
              <w:bottom w:val="single" w:sz="4" w:space="0" w:color="auto"/>
              <w:right w:val="single" w:sz="4" w:space="0" w:color="auto"/>
            </w:tcBorders>
            <w:vAlign w:val="center"/>
          </w:tcPr>
          <w:p w:rsidR="008C4845" w:rsidRPr="00961B75" w:rsidRDefault="008C4845" w:rsidP="004611DA">
            <w:pPr>
              <w:keepNext/>
              <w:widowControl/>
              <w:jc w:val="center"/>
              <w:rPr>
                <w:rFonts w:ascii="Arial Narrow" w:hAnsi="Arial Narrow"/>
                <w:b/>
                <w:bCs/>
                <w:sz w:val="20"/>
              </w:rPr>
            </w:pPr>
            <w:r w:rsidRPr="00961B75">
              <w:rPr>
                <w:rFonts w:ascii="Arial Narrow" w:hAnsi="Arial Narrow"/>
                <w:b/>
                <w:bCs/>
                <w:sz w:val="20"/>
              </w:rPr>
              <w:t>Arm A</w:t>
            </w:r>
          </w:p>
          <w:p w:rsidR="008C4845" w:rsidRPr="00961B75" w:rsidRDefault="008C4845" w:rsidP="004611DA">
            <w:pPr>
              <w:keepNext/>
              <w:widowControl/>
              <w:jc w:val="center"/>
              <w:rPr>
                <w:rFonts w:ascii="Arial Narrow" w:hAnsi="Arial Narrow"/>
                <w:sz w:val="20"/>
              </w:rPr>
            </w:pPr>
            <w:r w:rsidRPr="00961B75">
              <w:rPr>
                <w:rFonts w:ascii="Arial Narrow" w:hAnsi="Arial Narrow"/>
                <w:b/>
                <w:bCs/>
                <w:sz w:val="20"/>
              </w:rPr>
              <w:t>(TN&amp;TE, GT 4)</w:t>
            </w:r>
          </w:p>
        </w:tc>
        <w:tc>
          <w:tcPr>
            <w:tcW w:w="643" w:type="pct"/>
            <w:tcBorders>
              <w:top w:val="single" w:sz="4" w:space="0" w:color="auto"/>
              <w:left w:val="single" w:sz="4" w:space="0" w:color="auto"/>
              <w:bottom w:val="single" w:sz="4" w:space="0" w:color="auto"/>
              <w:right w:val="single" w:sz="4" w:space="0" w:color="auto"/>
            </w:tcBorders>
            <w:vAlign w:val="center"/>
          </w:tcPr>
          <w:p w:rsidR="008C4845" w:rsidRPr="00961B75" w:rsidRDefault="008C4845" w:rsidP="004611DA">
            <w:pPr>
              <w:keepNext/>
              <w:widowControl/>
              <w:jc w:val="center"/>
              <w:rPr>
                <w:rFonts w:ascii="Arial Narrow" w:hAnsi="Arial Narrow"/>
                <w:sz w:val="20"/>
              </w:rPr>
            </w:pPr>
            <w:r w:rsidRPr="00961B75">
              <w:rPr>
                <w:rFonts w:ascii="Arial Narrow" w:hAnsi="Arial Narrow"/>
                <w:sz w:val="20"/>
              </w:rPr>
              <w:t>-</w:t>
            </w:r>
          </w:p>
        </w:tc>
        <w:tc>
          <w:tcPr>
            <w:tcW w:w="613" w:type="pct"/>
            <w:tcBorders>
              <w:top w:val="single" w:sz="4" w:space="0" w:color="auto"/>
              <w:left w:val="single" w:sz="4" w:space="0" w:color="auto"/>
              <w:bottom w:val="single" w:sz="4" w:space="0" w:color="auto"/>
              <w:right w:val="double" w:sz="4" w:space="0" w:color="auto"/>
            </w:tcBorders>
            <w:vAlign w:val="center"/>
          </w:tcPr>
          <w:p w:rsidR="008C4845" w:rsidRPr="00961B75" w:rsidRDefault="008C4845" w:rsidP="004611DA">
            <w:pPr>
              <w:keepNext/>
              <w:widowControl/>
              <w:jc w:val="center"/>
              <w:rPr>
                <w:rFonts w:ascii="Arial Narrow" w:hAnsi="Arial Narrow"/>
                <w:b/>
                <w:bCs/>
                <w:sz w:val="20"/>
              </w:rPr>
            </w:pPr>
            <w:r w:rsidRPr="00961B75">
              <w:rPr>
                <w:rFonts w:ascii="Arial Narrow" w:hAnsi="Arial Narrow"/>
                <w:b/>
                <w:bCs/>
                <w:sz w:val="20"/>
              </w:rPr>
              <w:t>Arm B</w:t>
            </w:r>
          </w:p>
          <w:p w:rsidR="008C4845" w:rsidRPr="00961B75" w:rsidRDefault="008C4845" w:rsidP="004611DA">
            <w:pPr>
              <w:keepNext/>
              <w:widowControl/>
              <w:jc w:val="center"/>
              <w:rPr>
                <w:rFonts w:ascii="Arial Narrow" w:hAnsi="Arial Narrow"/>
                <w:sz w:val="20"/>
              </w:rPr>
            </w:pPr>
            <w:r w:rsidRPr="00961B75">
              <w:rPr>
                <w:rFonts w:ascii="Arial Narrow" w:hAnsi="Arial Narrow"/>
                <w:b/>
                <w:bCs/>
                <w:sz w:val="20"/>
              </w:rPr>
              <w:t>(TN&amp;TE, GT 4)</w:t>
            </w:r>
          </w:p>
        </w:tc>
        <w:tc>
          <w:tcPr>
            <w:tcW w:w="708" w:type="pct"/>
            <w:tcBorders>
              <w:top w:val="single" w:sz="4" w:space="0" w:color="auto"/>
              <w:left w:val="double" w:sz="4" w:space="0" w:color="auto"/>
              <w:bottom w:val="single" w:sz="4" w:space="0" w:color="auto"/>
              <w:right w:val="single" w:sz="4" w:space="0" w:color="auto"/>
            </w:tcBorders>
            <w:vAlign w:val="center"/>
          </w:tcPr>
          <w:p w:rsidR="008C4845" w:rsidRPr="00961B75" w:rsidRDefault="008C4845" w:rsidP="004611DA">
            <w:pPr>
              <w:keepNext/>
              <w:widowControl/>
              <w:jc w:val="center"/>
              <w:rPr>
                <w:rFonts w:ascii="Arial Narrow" w:hAnsi="Arial Narrow"/>
                <w:b/>
                <w:bCs/>
                <w:sz w:val="20"/>
              </w:rPr>
            </w:pPr>
            <w:r w:rsidRPr="00961B75">
              <w:rPr>
                <w:rFonts w:ascii="Arial Narrow" w:hAnsi="Arial Narrow"/>
                <w:b/>
                <w:bCs/>
                <w:sz w:val="20"/>
              </w:rPr>
              <w:t>(TN,</w:t>
            </w:r>
          </w:p>
          <w:p w:rsidR="008C4845" w:rsidRPr="00961B75" w:rsidRDefault="008C4845" w:rsidP="004611DA">
            <w:pPr>
              <w:keepNext/>
              <w:widowControl/>
              <w:jc w:val="center"/>
              <w:rPr>
                <w:rFonts w:ascii="Arial Narrow" w:hAnsi="Arial Narrow"/>
                <w:sz w:val="20"/>
              </w:rPr>
            </w:pPr>
            <w:r w:rsidRPr="00961B75">
              <w:rPr>
                <w:rFonts w:ascii="Arial Narrow" w:hAnsi="Arial Narrow"/>
                <w:b/>
                <w:bCs/>
                <w:sz w:val="20"/>
              </w:rPr>
              <w:t>GT 1, 4, 5, 6)</w:t>
            </w:r>
          </w:p>
        </w:tc>
        <w:tc>
          <w:tcPr>
            <w:tcW w:w="701" w:type="pct"/>
            <w:tcBorders>
              <w:top w:val="single" w:sz="4" w:space="0" w:color="auto"/>
              <w:left w:val="single" w:sz="4" w:space="0" w:color="auto"/>
              <w:bottom w:val="single" w:sz="4" w:space="0" w:color="auto"/>
              <w:right w:val="single" w:sz="4" w:space="0" w:color="auto"/>
            </w:tcBorders>
            <w:vAlign w:val="center"/>
          </w:tcPr>
          <w:p w:rsidR="008C4845" w:rsidRPr="00961B75" w:rsidRDefault="008C4845" w:rsidP="004611DA">
            <w:pPr>
              <w:keepNext/>
              <w:widowControl/>
              <w:jc w:val="center"/>
              <w:rPr>
                <w:rFonts w:ascii="Arial Narrow" w:hAnsi="Arial Narrow"/>
                <w:b/>
                <w:bCs/>
                <w:iCs/>
                <w:sz w:val="20"/>
              </w:rPr>
            </w:pPr>
            <w:r w:rsidRPr="00961B75">
              <w:rPr>
                <w:rFonts w:ascii="Arial Narrow" w:hAnsi="Arial Narrow"/>
                <w:b/>
                <w:bCs/>
                <w:iCs/>
                <w:sz w:val="20"/>
              </w:rPr>
              <w:t>(likely TN&amp;TE, GT 4)</w:t>
            </w:r>
          </w:p>
        </w:tc>
      </w:tr>
      <w:tr w:rsidR="008C4845" w:rsidRPr="00961B75" w:rsidTr="008C4845">
        <w:trPr>
          <w:trHeight w:val="60"/>
        </w:trPr>
        <w:tc>
          <w:tcPr>
            <w:tcW w:w="474" w:type="pct"/>
            <w:tcBorders>
              <w:top w:val="single" w:sz="4" w:space="0" w:color="auto"/>
              <w:left w:val="single" w:sz="4" w:space="0" w:color="auto"/>
              <w:bottom w:val="single" w:sz="4" w:space="0" w:color="auto"/>
              <w:right w:val="single" w:sz="4" w:space="0" w:color="auto"/>
            </w:tcBorders>
            <w:vAlign w:val="center"/>
          </w:tcPr>
          <w:p w:rsidR="008C4845" w:rsidRPr="00961B75" w:rsidRDefault="008C4845" w:rsidP="004611DA">
            <w:pPr>
              <w:keepNext/>
              <w:widowControl/>
              <w:jc w:val="left"/>
              <w:rPr>
                <w:rFonts w:ascii="Arial Narrow" w:hAnsi="Arial Narrow"/>
                <w:sz w:val="20"/>
              </w:rPr>
            </w:pPr>
            <w:r w:rsidRPr="00961B75">
              <w:rPr>
                <w:rFonts w:ascii="Arial Narrow" w:hAnsi="Arial Narrow"/>
                <w:sz w:val="20"/>
              </w:rPr>
              <w:t>Cirrhotic patients</w:t>
            </w:r>
          </w:p>
        </w:tc>
        <w:tc>
          <w:tcPr>
            <w:tcW w:w="548" w:type="pct"/>
            <w:tcBorders>
              <w:top w:val="single" w:sz="4" w:space="0" w:color="auto"/>
              <w:left w:val="single" w:sz="4" w:space="0" w:color="auto"/>
              <w:bottom w:val="single" w:sz="4" w:space="0" w:color="auto"/>
              <w:right w:val="single" w:sz="4" w:space="0" w:color="auto"/>
            </w:tcBorders>
            <w:vAlign w:val="center"/>
          </w:tcPr>
          <w:p w:rsidR="008C4845" w:rsidRPr="00961B75" w:rsidRDefault="008C4845" w:rsidP="004611DA">
            <w:pPr>
              <w:keepNext/>
              <w:widowControl/>
              <w:jc w:val="center"/>
              <w:rPr>
                <w:rFonts w:ascii="Arial Narrow" w:hAnsi="Arial Narrow"/>
                <w:sz w:val="20"/>
              </w:rPr>
            </w:pPr>
            <w:r w:rsidRPr="00961B75">
              <w:rPr>
                <w:rFonts w:ascii="Arial Narrow" w:hAnsi="Arial Narrow"/>
                <w:sz w:val="20"/>
              </w:rPr>
              <w:t>-</w:t>
            </w:r>
          </w:p>
        </w:tc>
        <w:tc>
          <w:tcPr>
            <w:tcW w:w="605" w:type="pct"/>
            <w:tcBorders>
              <w:top w:val="single" w:sz="4" w:space="0" w:color="auto"/>
              <w:left w:val="single" w:sz="4" w:space="0" w:color="auto"/>
              <w:bottom w:val="single" w:sz="4" w:space="0" w:color="auto"/>
              <w:right w:val="single" w:sz="4" w:space="0" w:color="auto"/>
            </w:tcBorders>
            <w:vAlign w:val="center"/>
          </w:tcPr>
          <w:p w:rsidR="008C4845" w:rsidRPr="00961B75" w:rsidRDefault="008C4845" w:rsidP="004611DA">
            <w:pPr>
              <w:keepNext/>
              <w:widowControl/>
              <w:jc w:val="center"/>
              <w:rPr>
                <w:rFonts w:ascii="Arial Narrow" w:hAnsi="Arial Narrow"/>
                <w:sz w:val="20"/>
              </w:rPr>
            </w:pPr>
            <w:r w:rsidRPr="00961B75">
              <w:rPr>
                <w:rFonts w:ascii="Arial Narrow" w:hAnsi="Arial Narrow"/>
                <w:sz w:val="20"/>
              </w:rPr>
              <w:t>-</w:t>
            </w:r>
          </w:p>
        </w:tc>
        <w:tc>
          <w:tcPr>
            <w:tcW w:w="708" w:type="pct"/>
            <w:tcBorders>
              <w:top w:val="single" w:sz="4" w:space="0" w:color="auto"/>
              <w:left w:val="single" w:sz="4" w:space="0" w:color="auto"/>
              <w:bottom w:val="single" w:sz="4" w:space="0" w:color="auto"/>
              <w:right w:val="single" w:sz="4" w:space="0" w:color="auto"/>
            </w:tcBorders>
            <w:vAlign w:val="center"/>
          </w:tcPr>
          <w:p w:rsidR="008C4845" w:rsidRPr="00961B75" w:rsidRDefault="008C4845" w:rsidP="004611DA">
            <w:pPr>
              <w:keepNext/>
              <w:widowControl/>
              <w:jc w:val="center"/>
              <w:rPr>
                <w:rFonts w:ascii="Arial Narrow" w:hAnsi="Arial Narrow"/>
                <w:sz w:val="20"/>
              </w:rPr>
            </w:pPr>
            <w:r w:rsidRPr="00961B75">
              <w:rPr>
                <w:rFonts w:ascii="Arial Narrow" w:hAnsi="Arial Narrow"/>
                <w:sz w:val="20"/>
              </w:rPr>
              <w:t>57/59 (96.6)</w:t>
            </w:r>
          </w:p>
          <w:p w:rsidR="008C4845" w:rsidRPr="00961B75" w:rsidRDefault="008C4845" w:rsidP="004611DA">
            <w:pPr>
              <w:keepNext/>
              <w:widowControl/>
              <w:jc w:val="center"/>
              <w:rPr>
                <w:rFonts w:ascii="Arial Narrow" w:hAnsi="Arial Narrow"/>
                <w:sz w:val="20"/>
              </w:rPr>
            </w:pPr>
            <w:r w:rsidRPr="00961B75">
              <w:rPr>
                <w:rFonts w:ascii="Arial Narrow" w:hAnsi="Arial Narrow"/>
                <w:sz w:val="20"/>
              </w:rPr>
              <w:t>[88.3, 99.6]</w:t>
            </w:r>
          </w:p>
        </w:tc>
        <w:tc>
          <w:tcPr>
            <w:tcW w:w="643" w:type="pct"/>
            <w:tcBorders>
              <w:top w:val="single" w:sz="4" w:space="0" w:color="auto"/>
              <w:left w:val="single" w:sz="4" w:space="0" w:color="auto"/>
              <w:bottom w:val="single" w:sz="4" w:space="0" w:color="auto"/>
              <w:right w:val="single" w:sz="4" w:space="0" w:color="auto"/>
            </w:tcBorders>
            <w:vAlign w:val="center"/>
          </w:tcPr>
          <w:p w:rsidR="008C4845" w:rsidRPr="00961B75" w:rsidRDefault="008C4845" w:rsidP="004611DA">
            <w:pPr>
              <w:keepNext/>
              <w:widowControl/>
              <w:jc w:val="center"/>
              <w:rPr>
                <w:rFonts w:ascii="Arial Narrow" w:hAnsi="Arial Narrow"/>
                <w:sz w:val="20"/>
              </w:rPr>
            </w:pPr>
            <w:r w:rsidRPr="00961B75">
              <w:rPr>
                <w:rFonts w:ascii="Arial Narrow" w:hAnsi="Arial Narrow"/>
                <w:sz w:val="20"/>
              </w:rPr>
              <w:t>-</w:t>
            </w:r>
          </w:p>
        </w:tc>
        <w:tc>
          <w:tcPr>
            <w:tcW w:w="613" w:type="pct"/>
            <w:tcBorders>
              <w:top w:val="single" w:sz="4" w:space="0" w:color="auto"/>
              <w:left w:val="single" w:sz="4" w:space="0" w:color="auto"/>
              <w:bottom w:val="single" w:sz="4" w:space="0" w:color="auto"/>
              <w:right w:val="double" w:sz="4" w:space="0" w:color="auto"/>
            </w:tcBorders>
            <w:vAlign w:val="center"/>
          </w:tcPr>
          <w:p w:rsidR="008C4845" w:rsidRPr="00961B75" w:rsidRDefault="008C4845" w:rsidP="004611DA">
            <w:pPr>
              <w:keepNext/>
              <w:widowControl/>
              <w:jc w:val="center"/>
              <w:rPr>
                <w:rFonts w:ascii="Arial Narrow" w:hAnsi="Arial Narrow"/>
                <w:sz w:val="20"/>
              </w:rPr>
            </w:pPr>
            <w:r w:rsidRPr="00961B75">
              <w:rPr>
                <w:rFonts w:ascii="Arial Narrow" w:hAnsi="Arial Narrow"/>
                <w:sz w:val="20"/>
              </w:rPr>
              <w:t>30/31 (96.8)</w:t>
            </w:r>
          </w:p>
          <w:p w:rsidR="008C4845" w:rsidRPr="00961B75" w:rsidRDefault="008C4845" w:rsidP="004611DA">
            <w:pPr>
              <w:keepNext/>
              <w:widowControl/>
              <w:jc w:val="center"/>
              <w:rPr>
                <w:rFonts w:ascii="Arial Narrow" w:hAnsi="Arial Narrow"/>
                <w:sz w:val="20"/>
              </w:rPr>
            </w:pPr>
            <w:r w:rsidRPr="00961B75">
              <w:rPr>
                <w:rFonts w:ascii="Arial Narrow" w:hAnsi="Arial Narrow"/>
                <w:sz w:val="20"/>
              </w:rPr>
              <w:t>[83.3, 99.9]</w:t>
            </w:r>
          </w:p>
        </w:tc>
        <w:tc>
          <w:tcPr>
            <w:tcW w:w="708" w:type="pct"/>
            <w:tcBorders>
              <w:top w:val="single" w:sz="4" w:space="0" w:color="auto"/>
              <w:left w:val="double" w:sz="4" w:space="0" w:color="auto"/>
              <w:bottom w:val="single" w:sz="4" w:space="0" w:color="auto"/>
              <w:right w:val="single" w:sz="4" w:space="0" w:color="auto"/>
            </w:tcBorders>
            <w:vAlign w:val="center"/>
          </w:tcPr>
          <w:p w:rsidR="008C4845" w:rsidRPr="00961B75" w:rsidRDefault="008C4845" w:rsidP="004611DA">
            <w:pPr>
              <w:keepNext/>
              <w:widowControl/>
              <w:jc w:val="center"/>
              <w:rPr>
                <w:rFonts w:ascii="Arial Narrow" w:hAnsi="Arial Narrow"/>
                <w:sz w:val="20"/>
              </w:rPr>
            </w:pPr>
            <w:r w:rsidRPr="00961B75">
              <w:rPr>
                <w:rFonts w:ascii="Arial Narrow" w:hAnsi="Arial Narrow"/>
                <w:sz w:val="20"/>
              </w:rPr>
              <w:t>43/54 (79.6)</w:t>
            </w:r>
          </w:p>
          <w:p w:rsidR="008C4845" w:rsidRPr="00961B75" w:rsidRDefault="008C4845" w:rsidP="004611DA">
            <w:pPr>
              <w:keepNext/>
              <w:widowControl/>
              <w:jc w:val="center"/>
              <w:rPr>
                <w:rFonts w:ascii="Arial Narrow" w:hAnsi="Arial Narrow"/>
                <w:sz w:val="20"/>
              </w:rPr>
            </w:pPr>
            <w:r w:rsidRPr="00961B75">
              <w:rPr>
                <w:rFonts w:ascii="Arial Narrow" w:hAnsi="Arial Narrow"/>
                <w:sz w:val="20"/>
              </w:rPr>
              <w:t>[66.5, 89.4]</w:t>
            </w:r>
          </w:p>
        </w:tc>
        <w:tc>
          <w:tcPr>
            <w:tcW w:w="701" w:type="pct"/>
            <w:tcBorders>
              <w:top w:val="single" w:sz="4" w:space="0" w:color="auto"/>
              <w:left w:val="single" w:sz="4" w:space="0" w:color="auto"/>
              <w:bottom w:val="single" w:sz="4" w:space="0" w:color="auto"/>
              <w:right w:val="single" w:sz="4" w:space="0" w:color="auto"/>
            </w:tcBorders>
            <w:vAlign w:val="center"/>
          </w:tcPr>
          <w:p w:rsidR="008C4845" w:rsidRPr="00961B75" w:rsidRDefault="008C4845" w:rsidP="004611DA">
            <w:pPr>
              <w:keepNext/>
              <w:widowControl/>
              <w:jc w:val="center"/>
              <w:rPr>
                <w:rFonts w:ascii="Arial Narrow" w:hAnsi="Arial Narrow"/>
                <w:iCs/>
                <w:sz w:val="20"/>
              </w:rPr>
            </w:pPr>
            <w:r w:rsidRPr="00961B75">
              <w:rPr>
                <w:rFonts w:ascii="Arial Narrow" w:hAnsi="Arial Narrow"/>
                <w:iCs/>
                <w:sz w:val="20"/>
              </w:rPr>
              <w:t>4/5 (80.0)</w:t>
            </w:r>
          </w:p>
          <w:p w:rsidR="008C4845" w:rsidRPr="00961B75" w:rsidRDefault="008C4845" w:rsidP="004611DA">
            <w:pPr>
              <w:keepNext/>
              <w:widowControl/>
              <w:jc w:val="center"/>
              <w:rPr>
                <w:rFonts w:ascii="Arial Narrow" w:hAnsi="Arial Narrow"/>
                <w:iCs/>
                <w:sz w:val="20"/>
              </w:rPr>
            </w:pPr>
            <w:r w:rsidRPr="00961B75">
              <w:rPr>
                <w:rFonts w:ascii="Arial Narrow" w:hAnsi="Arial Narrow"/>
                <w:iCs/>
                <w:sz w:val="20"/>
              </w:rPr>
              <w:t>[28.4, 99.5]</w:t>
            </w:r>
          </w:p>
        </w:tc>
      </w:tr>
      <w:tr w:rsidR="008C4845" w:rsidRPr="00961B75" w:rsidTr="008C4845">
        <w:trPr>
          <w:trHeight w:val="60"/>
        </w:trPr>
        <w:tc>
          <w:tcPr>
            <w:tcW w:w="474" w:type="pct"/>
            <w:tcBorders>
              <w:top w:val="single" w:sz="4" w:space="0" w:color="auto"/>
              <w:left w:val="single" w:sz="4" w:space="0" w:color="auto"/>
              <w:bottom w:val="single" w:sz="4" w:space="0" w:color="auto"/>
              <w:right w:val="single" w:sz="4" w:space="0" w:color="auto"/>
            </w:tcBorders>
            <w:vAlign w:val="center"/>
          </w:tcPr>
          <w:p w:rsidR="008C4845" w:rsidRPr="00961B75" w:rsidRDefault="008C4845" w:rsidP="004611DA">
            <w:pPr>
              <w:keepNext/>
              <w:widowControl/>
              <w:jc w:val="left"/>
              <w:rPr>
                <w:rFonts w:ascii="Arial Narrow" w:hAnsi="Arial Narrow"/>
                <w:sz w:val="20"/>
              </w:rPr>
            </w:pPr>
            <w:r w:rsidRPr="00961B75">
              <w:rPr>
                <w:rFonts w:ascii="Arial Narrow" w:hAnsi="Arial Narrow"/>
                <w:sz w:val="20"/>
              </w:rPr>
              <w:t>Pooled</w:t>
            </w:r>
          </w:p>
        </w:tc>
        <w:tc>
          <w:tcPr>
            <w:tcW w:w="548" w:type="pct"/>
            <w:tcBorders>
              <w:top w:val="single" w:sz="4" w:space="0" w:color="auto"/>
              <w:left w:val="single" w:sz="4" w:space="0" w:color="auto"/>
              <w:bottom w:val="single" w:sz="4" w:space="0" w:color="auto"/>
              <w:right w:val="single" w:sz="4" w:space="0" w:color="auto"/>
            </w:tcBorders>
            <w:vAlign w:val="center"/>
          </w:tcPr>
          <w:p w:rsidR="008C4845" w:rsidRPr="00961B75" w:rsidRDefault="008C4845" w:rsidP="004611DA">
            <w:pPr>
              <w:keepNext/>
              <w:widowControl/>
              <w:jc w:val="center"/>
              <w:rPr>
                <w:rFonts w:ascii="Arial Narrow" w:hAnsi="Arial Narrow"/>
                <w:sz w:val="20"/>
              </w:rPr>
            </w:pPr>
            <w:r w:rsidRPr="00961B75">
              <w:rPr>
                <w:rFonts w:ascii="Arial Narrow" w:hAnsi="Arial Narrow"/>
                <w:sz w:val="20"/>
              </w:rPr>
              <w:t>-</w:t>
            </w:r>
          </w:p>
        </w:tc>
        <w:tc>
          <w:tcPr>
            <w:tcW w:w="605" w:type="pct"/>
            <w:tcBorders>
              <w:top w:val="single" w:sz="4" w:space="0" w:color="auto"/>
              <w:left w:val="single" w:sz="4" w:space="0" w:color="auto"/>
              <w:bottom w:val="single" w:sz="4" w:space="0" w:color="auto"/>
              <w:right w:val="single" w:sz="4" w:space="0" w:color="auto"/>
            </w:tcBorders>
            <w:vAlign w:val="center"/>
          </w:tcPr>
          <w:p w:rsidR="008C4845" w:rsidRPr="00961B75" w:rsidRDefault="008C4845" w:rsidP="004611DA">
            <w:pPr>
              <w:keepNext/>
              <w:widowControl/>
              <w:jc w:val="center"/>
              <w:rPr>
                <w:rFonts w:ascii="Arial Narrow" w:hAnsi="Arial Narrow"/>
                <w:sz w:val="20"/>
              </w:rPr>
            </w:pPr>
            <w:r w:rsidRPr="00961B75">
              <w:rPr>
                <w:rFonts w:ascii="Arial Narrow" w:hAnsi="Arial Narrow"/>
                <w:sz w:val="20"/>
              </w:rPr>
              <w:t>-</w:t>
            </w:r>
          </w:p>
        </w:tc>
        <w:tc>
          <w:tcPr>
            <w:tcW w:w="1965" w:type="pct"/>
            <w:gridSpan w:val="3"/>
            <w:tcBorders>
              <w:top w:val="single" w:sz="4" w:space="0" w:color="auto"/>
              <w:left w:val="single" w:sz="4" w:space="0" w:color="auto"/>
              <w:bottom w:val="single" w:sz="4" w:space="0" w:color="auto"/>
              <w:right w:val="double" w:sz="4" w:space="0" w:color="auto"/>
            </w:tcBorders>
            <w:vAlign w:val="center"/>
          </w:tcPr>
          <w:p w:rsidR="008C4845" w:rsidRPr="00961B75" w:rsidRDefault="008C4845" w:rsidP="004611DA">
            <w:pPr>
              <w:keepNext/>
              <w:widowControl/>
              <w:jc w:val="center"/>
              <w:rPr>
                <w:rFonts w:ascii="Arial Narrow" w:hAnsi="Arial Narrow"/>
                <w:sz w:val="20"/>
              </w:rPr>
            </w:pPr>
            <w:r w:rsidRPr="00961B75">
              <w:rPr>
                <w:rFonts w:ascii="Arial Narrow" w:hAnsi="Arial Narrow"/>
                <w:sz w:val="20"/>
              </w:rPr>
              <w:t>87/90 (96.7) [90.6, 99.3]</w:t>
            </w:r>
          </w:p>
        </w:tc>
        <w:tc>
          <w:tcPr>
            <w:tcW w:w="1409" w:type="pct"/>
            <w:gridSpan w:val="2"/>
            <w:tcBorders>
              <w:top w:val="single" w:sz="4" w:space="0" w:color="auto"/>
              <w:left w:val="double" w:sz="4" w:space="0" w:color="auto"/>
              <w:bottom w:val="single" w:sz="4" w:space="0" w:color="auto"/>
              <w:right w:val="single" w:sz="4" w:space="0" w:color="auto"/>
            </w:tcBorders>
            <w:vAlign w:val="center"/>
          </w:tcPr>
          <w:p w:rsidR="008C4845" w:rsidRPr="00961B75" w:rsidRDefault="008C4845" w:rsidP="004611DA">
            <w:pPr>
              <w:keepNext/>
              <w:widowControl/>
              <w:jc w:val="center"/>
              <w:rPr>
                <w:rFonts w:ascii="Arial Narrow" w:hAnsi="Arial Narrow"/>
                <w:iCs/>
                <w:sz w:val="20"/>
              </w:rPr>
            </w:pPr>
            <w:r w:rsidRPr="00961B75">
              <w:rPr>
                <w:rFonts w:ascii="Arial Narrow" w:hAnsi="Arial Narrow"/>
                <w:iCs/>
                <w:sz w:val="20"/>
              </w:rPr>
              <w:t>47/59 (79.7) [67.2, 89.0]</w:t>
            </w:r>
          </w:p>
        </w:tc>
      </w:tr>
      <w:tr w:rsidR="008C4845" w:rsidRPr="00961B75" w:rsidTr="008C4845">
        <w:trPr>
          <w:trHeight w:val="60"/>
        </w:trPr>
        <w:tc>
          <w:tcPr>
            <w:tcW w:w="474" w:type="pct"/>
            <w:tcBorders>
              <w:top w:val="single" w:sz="4" w:space="0" w:color="auto"/>
              <w:left w:val="single" w:sz="4" w:space="0" w:color="auto"/>
              <w:bottom w:val="single" w:sz="4" w:space="0" w:color="auto"/>
              <w:right w:val="single" w:sz="4" w:space="0" w:color="auto"/>
            </w:tcBorders>
            <w:vAlign w:val="center"/>
          </w:tcPr>
          <w:p w:rsidR="008C4845" w:rsidRPr="00961B75" w:rsidRDefault="008C4845" w:rsidP="004611DA">
            <w:pPr>
              <w:keepNext/>
              <w:widowControl/>
              <w:jc w:val="left"/>
              <w:rPr>
                <w:rFonts w:ascii="Arial Narrow" w:hAnsi="Arial Narrow"/>
                <w:sz w:val="20"/>
              </w:rPr>
            </w:pPr>
            <w:r w:rsidRPr="00961B75">
              <w:rPr>
                <w:rFonts w:ascii="Arial Narrow" w:hAnsi="Arial Narrow"/>
                <w:sz w:val="20"/>
              </w:rPr>
              <w:t>Diff in %</w:t>
            </w:r>
          </w:p>
        </w:tc>
        <w:tc>
          <w:tcPr>
            <w:tcW w:w="548" w:type="pct"/>
            <w:tcBorders>
              <w:top w:val="single" w:sz="4" w:space="0" w:color="auto"/>
              <w:left w:val="single" w:sz="4" w:space="0" w:color="auto"/>
              <w:bottom w:val="single" w:sz="4" w:space="0" w:color="auto"/>
              <w:right w:val="single" w:sz="4" w:space="0" w:color="auto"/>
            </w:tcBorders>
            <w:vAlign w:val="center"/>
          </w:tcPr>
          <w:p w:rsidR="008C4845" w:rsidRPr="00961B75" w:rsidRDefault="008C4845" w:rsidP="004611DA">
            <w:pPr>
              <w:keepNext/>
              <w:widowControl/>
              <w:jc w:val="center"/>
              <w:rPr>
                <w:rFonts w:ascii="Arial Narrow" w:hAnsi="Arial Narrow"/>
                <w:sz w:val="20"/>
              </w:rPr>
            </w:pPr>
            <w:r w:rsidRPr="00961B75">
              <w:rPr>
                <w:rFonts w:ascii="Arial Narrow" w:hAnsi="Arial Narrow"/>
                <w:sz w:val="20"/>
              </w:rPr>
              <w:t>-</w:t>
            </w:r>
          </w:p>
        </w:tc>
        <w:tc>
          <w:tcPr>
            <w:tcW w:w="605" w:type="pct"/>
            <w:tcBorders>
              <w:top w:val="single" w:sz="4" w:space="0" w:color="auto"/>
              <w:left w:val="single" w:sz="4" w:space="0" w:color="auto"/>
              <w:bottom w:val="single" w:sz="4" w:space="0" w:color="auto"/>
              <w:right w:val="single" w:sz="4" w:space="0" w:color="auto"/>
            </w:tcBorders>
            <w:vAlign w:val="center"/>
          </w:tcPr>
          <w:p w:rsidR="008C4845" w:rsidRPr="00961B75" w:rsidRDefault="008C4845" w:rsidP="004611DA">
            <w:pPr>
              <w:keepNext/>
              <w:widowControl/>
              <w:jc w:val="center"/>
              <w:rPr>
                <w:rFonts w:ascii="Arial Narrow" w:hAnsi="Arial Narrow"/>
                <w:sz w:val="20"/>
              </w:rPr>
            </w:pPr>
            <w:r w:rsidRPr="00961B75">
              <w:rPr>
                <w:rFonts w:ascii="Arial Narrow" w:hAnsi="Arial Narrow"/>
                <w:sz w:val="20"/>
              </w:rPr>
              <w:t>-</w:t>
            </w:r>
          </w:p>
        </w:tc>
        <w:tc>
          <w:tcPr>
            <w:tcW w:w="3373" w:type="pct"/>
            <w:gridSpan w:val="5"/>
            <w:tcBorders>
              <w:top w:val="single" w:sz="4" w:space="0" w:color="auto"/>
              <w:left w:val="single" w:sz="4" w:space="0" w:color="auto"/>
              <w:bottom w:val="single" w:sz="4" w:space="0" w:color="auto"/>
              <w:right w:val="single" w:sz="4" w:space="0" w:color="auto"/>
            </w:tcBorders>
            <w:vAlign w:val="center"/>
          </w:tcPr>
          <w:p w:rsidR="008C4845" w:rsidRPr="00961B75" w:rsidRDefault="008C4845" w:rsidP="004611DA">
            <w:pPr>
              <w:keepNext/>
              <w:widowControl/>
              <w:jc w:val="center"/>
              <w:rPr>
                <w:rFonts w:ascii="Arial Narrow" w:hAnsi="Arial Narrow"/>
                <w:iCs/>
                <w:sz w:val="20"/>
              </w:rPr>
            </w:pPr>
            <w:r w:rsidRPr="00961B75">
              <w:rPr>
                <w:rFonts w:ascii="Arial Narrow" w:hAnsi="Arial Narrow"/>
                <w:iCs/>
                <w:sz w:val="20"/>
              </w:rPr>
              <w:t>p&lt;0.001</w:t>
            </w:r>
          </w:p>
        </w:tc>
      </w:tr>
    </w:tbl>
    <w:p w:rsidR="008C4845" w:rsidRPr="00961B75" w:rsidRDefault="008C4845" w:rsidP="004611DA">
      <w:pPr>
        <w:keepNext/>
        <w:widowControl/>
        <w:ind w:left="709"/>
        <w:rPr>
          <w:rFonts w:ascii="Arial Narrow" w:hAnsi="Arial Narrow"/>
          <w:sz w:val="18"/>
          <w:szCs w:val="18"/>
        </w:rPr>
      </w:pPr>
      <w:r w:rsidRPr="00961B75">
        <w:rPr>
          <w:rFonts w:ascii="Arial Narrow" w:hAnsi="Arial Narrow"/>
          <w:sz w:val="18"/>
          <w:szCs w:val="18"/>
        </w:rPr>
        <w:t xml:space="preserve">Abbreviations: CI = confidence interval; </w:t>
      </w:r>
      <w:proofErr w:type="spellStart"/>
      <w:r w:rsidRPr="00961B75">
        <w:rPr>
          <w:rFonts w:ascii="Arial Narrow" w:hAnsi="Arial Narrow"/>
          <w:sz w:val="18"/>
          <w:szCs w:val="18"/>
        </w:rPr>
        <w:t>cirr</w:t>
      </w:r>
      <w:proofErr w:type="spellEnd"/>
      <w:r w:rsidRPr="00961B75">
        <w:rPr>
          <w:rFonts w:ascii="Arial Narrow" w:hAnsi="Arial Narrow"/>
          <w:sz w:val="18"/>
          <w:szCs w:val="18"/>
        </w:rPr>
        <w:t xml:space="preserve"> = cirrhosis; diff= difference; </w:t>
      </w:r>
      <w:proofErr w:type="spellStart"/>
      <w:r w:rsidRPr="00961B75">
        <w:rPr>
          <w:rFonts w:ascii="Arial Narrow" w:hAnsi="Arial Narrow"/>
          <w:sz w:val="18"/>
          <w:szCs w:val="18"/>
        </w:rPr>
        <w:t>Gt</w:t>
      </w:r>
      <w:proofErr w:type="spellEnd"/>
      <w:r w:rsidRPr="00961B75">
        <w:rPr>
          <w:rFonts w:ascii="Arial Narrow" w:hAnsi="Arial Narrow"/>
          <w:sz w:val="18"/>
          <w:szCs w:val="18"/>
        </w:rPr>
        <w:t xml:space="preserve"> = genotype; HCV = hepatitis C virus; PR = </w:t>
      </w:r>
      <w:proofErr w:type="spellStart"/>
      <w:r w:rsidRPr="00961B75">
        <w:rPr>
          <w:rFonts w:ascii="Arial Narrow" w:hAnsi="Arial Narrow"/>
          <w:sz w:val="18"/>
          <w:szCs w:val="18"/>
        </w:rPr>
        <w:t>peginterferon</w:t>
      </w:r>
      <w:proofErr w:type="spellEnd"/>
      <w:r w:rsidRPr="00961B75">
        <w:rPr>
          <w:rFonts w:ascii="Arial Narrow" w:hAnsi="Arial Narrow"/>
          <w:sz w:val="18"/>
          <w:szCs w:val="18"/>
        </w:rPr>
        <w:t xml:space="preserve"> plus ribavirin; RBV = ribavirin; SOF = sofosbuvir; RBV12=ribavirin for 12 weeks; </w:t>
      </w:r>
      <w:r w:rsidR="004F68EB" w:rsidRPr="00961B75">
        <w:rPr>
          <w:rFonts w:ascii="Arial Narrow" w:hAnsi="Arial Narrow"/>
          <w:sz w:val="18"/>
          <w:szCs w:val="18"/>
        </w:rPr>
        <w:t>SOF+PR</w:t>
      </w:r>
      <w:r w:rsidRPr="00961B75">
        <w:rPr>
          <w:rFonts w:ascii="Arial Narrow" w:hAnsi="Arial Narrow"/>
          <w:sz w:val="18"/>
          <w:szCs w:val="18"/>
        </w:rPr>
        <w:t>12= sofosbuvir +</w:t>
      </w:r>
      <w:proofErr w:type="spellStart"/>
      <w:r w:rsidRPr="00961B75">
        <w:rPr>
          <w:rFonts w:ascii="Arial Narrow" w:hAnsi="Arial Narrow"/>
          <w:sz w:val="18"/>
          <w:szCs w:val="18"/>
        </w:rPr>
        <w:t>peginterferon</w:t>
      </w:r>
      <w:proofErr w:type="spellEnd"/>
      <w:r w:rsidRPr="00961B75">
        <w:rPr>
          <w:rFonts w:ascii="Arial Narrow" w:hAnsi="Arial Narrow"/>
          <w:sz w:val="18"/>
          <w:szCs w:val="18"/>
        </w:rPr>
        <w:t xml:space="preserve"> and ribavirin for 12 weeks SVR12 = sustained virological response at 12 weeks following the completion of treatment; TE = treatment</w:t>
      </w:r>
      <w:r w:rsidR="00C255E6">
        <w:rPr>
          <w:rFonts w:ascii="Arial Narrow" w:hAnsi="Arial Narrow"/>
          <w:sz w:val="18"/>
          <w:szCs w:val="18"/>
        </w:rPr>
        <w:t xml:space="preserve"> </w:t>
      </w:r>
      <w:r w:rsidRPr="00961B75">
        <w:rPr>
          <w:rFonts w:ascii="Arial Narrow" w:hAnsi="Arial Narrow"/>
          <w:sz w:val="18"/>
          <w:szCs w:val="18"/>
        </w:rPr>
        <w:t>experienced; TN = treatment</w:t>
      </w:r>
      <w:r w:rsidR="00C255E6">
        <w:rPr>
          <w:rFonts w:ascii="Arial Narrow" w:hAnsi="Arial Narrow"/>
          <w:sz w:val="18"/>
          <w:szCs w:val="18"/>
        </w:rPr>
        <w:t xml:space="preserve"> </w:t>
      </w:r>
      <w:r w:rsidRPr="00961B75">
        <w:rPr>
          <w:rFonts w:ascii="Arial Narrow" w:hAnsi="Arial Narrow"/>
          <w:sz w:val="18"/>
          <w:szCs w:val="18"/>
        </w:rPr>
        <w:t>naïve</w:t>
      </w:r>
    </w:p>
    <w:p w:rsidR="008C4845" w:rsidRPr="00961B75" w:rsidRDefault="008C4845" w:rsidP="004611DA">
      <w:pPr>
        <w:keepNext/>
        <w:widowControl/>
        <w:ind w:left="709"/>
        <w:rPr>
          <w:rFonts w:ascii="Arial Narrow" w:hAnsi="Arial Narrow"/>
          <w:i/>
          <w:iCs/>
          <w:sz w:val="18"/>
          <w:szCs w:val="18"/>
        </w:rPr>
      </w:pPr>
      <w:r w:rsidRPr="00961B75">
        <w:rPr>
          <w:rFonts w:ascii="Arial Narrow" w:hAnsi="Arial Narrow"/>
          <w:sz w:val="18"/>
          <w:szCs w:val="18"/>
        </w:rPr>
        <w:t xml:space="preserve">Note: </w:t>
      </w:r>
      <w:proofErr w:type="spellStart"/>
      <w:r w:rsidRPr="00961B75">
        <w:rPr>
          <w:rFonts w:ascii="Arial Narrow" w:hAnsi="Arial Narrow"/>
          <w:sz w:val="18"/>
          <w:szCs w:val="18"/>
        </w:rPr>
        <w:t>Technivie</w:t>
      </w:r>
      <w:proofErr w:type="spellEnd"/>
      <w:r w:rsidRPr="00961B75">
        <w:rPr>
          <w:rFonts w:ascii="Arial Narrow" w:hAnsi="Arial Narrow"/>
          <w:sz w:val="18"/>
          <w:szCs w:val="18"/>
        </w:rPr>
        <w:t xml:space="preserve">® represents treatment with paritaprevir/ritonavir/ombitasvir. </w:t>
      </w:r>
      <w:r w:rsidRPr="00961B75">
        <w:rPr>
          <w:rFonts w:ascii="Arial Narrow" w:hAnsi="Arial Narrow"/>
          <w:iCs/>
          <w:sz w:val="18"/>
          <w:szCs w:val="18"/>
        </w:rPr>
        <w:t xml:space="preserve">Results from </w:t>
      </w:r>
      <w:proofErr w:type="spellStart"/>
      <w:r w:rsidRPr="00961B75">
        <w:rPr>
          <w:rFonts w:ascii="Arial Narrow" w:hAnsi="Arial Narrow"/>
          <w:iCs/>
          <w:sz w:val="18"/>
          <w:szCs w:val="18"/>
        </w:rPr>
        <w:t>Wehmeyer</w:t>
      </w:r>
      <w:proofErr w:type="spellEnd"/>
      <w:r w:rsidRPr="00961B75">
        <w:rPr>
          <w:rFonts w:ascii="Arial Narrow" w:hAnsi="Arial Narrow"/>
          <w:iCs/>
          <w:sz w:val="18"/>
          <w:szCs w:val="18"/>
        </w:rPr>
        <w:t xml:space="preserve"> et al (2015) were incorporated </w:t>
      </w:r>
      <w:r w:rsidR="00BC0964" w:rsidRPr="00961B75">
        <w:rPr>
          <w:rFonts w:ascii="Arial Narrow" w:hAnsi="Arial Narrow"/>
          <w:iCs/>
          <w:sz w:val="18"/>
          <w:szCs w:val="18"/>
        </w:rPr>
        <w:t xml:space="preserve">during the evaluation </w:t>
      </w:r>
      <w:r w:rsidRPr="00961B75">
        <w:rPr>
          <w:rFonts w:ascii="Arial Narrow" w:hAnsi="Arial Narrow"/>
          <w:iCs/>
          <w:sz w:val="18"/>
          <w:szCs w:val="18"/>
        </w:rPr>
        <w:t>in the same method as the other indirect comparisons presented in the submission for consistency (i.e. the identified subgroups/single arms were combined (‘lumped’), then the exact binomial 95% CI were calculated. The p-values were based on the Chi-squared test).</w:t>
      </w:r>
    </w:p>
    <w:p w:rsidR="008C4845" w:rsidRPr="00961B75" w:rsidRDefault="008C4845" w:rsidP="004611DA">
      <w:pPr>
        <w:keepNext/>
        <w:widowControl/>
        <w:ind w:left="709"/>
        <w:rPr>
          <w:rFonts w:ascii="Arial Narrow" w:hAnsi="Arial Narrow"/>
          <w:sz w:val="18"/>
          <w:szCs w:val="18"/>
        </w:rPr>
      </w:pPr>
      <w:proofErr w:type="gramStart"/>
      <w:r w:rsidRPr="00961B75">
        <w:rPr>
          <w:rFonts w:ascii="Arial Narrow" w:hAnsi="Arial Narrow"/>
          <w:sz w:val="18"/>
          <w:szCs w:val="18"/>
          <w:vertAlign w:val="superscript"/>
        </w:rPr>
        <w:t>a</w:t>
      </w:r>
      <w:proofErr w:type="gramEnd"/>
      <w:r w:rsidRPr="00961B75">
        <w:rPr>
          <w:rFonts w:ascii="Arial Narrow" w:hAnsi="Arial Narrow"/>
          <w:sz w:val="18"/>
          <w:szCs w:val="18"/>
          <w:vertAlign w:val="superscript"/>
        </w:rPr>
        <w:tab/>
      </w:r>
      <w:r w:rsidRPr="00961B75">
        <w:rPr>
          <w:rFonts w:ascii="Arial Narrow" w:hAnsi="Arial Narrow"/>
          <w:sz w:val="18"/>
          <w:szCs w:val="18"/>
        </w:rPr>
        <w:t>one sided 97.5% CI as the point estimate is 100, already the maximum of the possible range</w:t>
      </w:r>
    </w:p>
    <w:p w:rsidR="008C4845" w:rsidRPr="00961B75" w:rsidRDefault="008C4845" w:rsidP="004611DA">
      <w:pPr>
        <w:widowControl/>
        <w:ind w:left="709"/>
        <w:rPr>
          <w:rFonts w:ascii="Arial Narrow" w:hAnsi="Arial Narrow"/>
          <w:sz w:val="18"/>
          <w:szCs w:val="18"/>
        </w:rPr>
      </w:pPr>
      <w:r w:rsidRPr="00961B75">
        <w:rPr>
          <w:rFonts w:ascii="Arial Narrow" w:hAnsi="Arial Narrow"/>
          <w:sz w:val="18"/>
          <w:szCs w:val="18"/>
        </w:rPr>
        <w:t xml:space="preserve">Source: Table B-55, p295 of the submission; </w:t>
      </w:r>
      <w:proofErr w:type="spellStart"/>
      <w:r w:rsidRPr="00961B75">
        <w:rPr>
          <w:rFonts w:ascii="Arial Narrow" w:hAnsi="Arial Narrow"/>
          <w:sz w:val="18"/>
          <w:szCs w:val="18"/>
        </w:rPr>
        <w:t>Wehmeyer</w:t>
      </w:r>
      <w:proofErr w:type="spellEnd"/>
      <w:r w:rsidRPr="00961B75">
        <w:rPr>
          <w:rFonts w:ascii="Arial Narrow" w:hAnsi="Arial Narrow"/>
          <w:sz w:val="18"/>
          <w:szCs w:val="18"/>
        </w:rPr>
        <w:t xml:space="preserve"> </w:t>
      </w:r>
      <w:proofErr w:type="gramStart"/>
      <w:r w:rsidRPr="00961B75">
        <w:rPr>
          <w:rFonts w:ascii="Arial Narrow" w:hAnsi="Arial Narrow"/>
          <w:i/>
          <w:iCs/>
          <w:sz w:val="18"/>
          <w:szCs w:val="18"/>
        </w:rPr>
        <w:t>et</w:t>
      </w:r>
      <w:proofErr w:type="gramEnd"/>
      <w:r w:rsidRPr="00961B75">
        <w:rPr>
          <w:rFonts w:ascii="Arial Narrow" w:hAnsi="Arial Narrow"/>
          <w:i/>
          <w:iCs/>
          <w:sz w:val="18"/>
          <w:szCs w:val="18"/>
        </w:rPr>
        <w:t xml:space="preserve"> el</w:t>
      </w:r>
      <w:r w:rsidRPr="00961B75">
        <w:rPr>
          <w:rFonts w:ascii="Arial Narrow" w:hAnsi="Arial Narrow"/>
          <w:sz w:val="18"/>
          <w:szCs w:val="18"/>
        </w:rPr>
        <w:t xml:space="preserve"> (2015).</w:t>
      </w:r>
    </w:p>
    <w:p w:rsidR="00BC0964" w:rsidRPr="00961B75" w:rsidRDefault="00BC0964" w:rsidP="004611DA">
      <w:pPr>
        <w:widowControl/>
        <w:ind w:left="709"/>
        <w:rPr>
          <w:rFonts w:ascii="Arial Narrow" w:hAnsi="Arial Narrow"/>
          <w:sz w:val="18"/>
          <w:szCs w:val="18"/>
        </w:rPr>
      </w:pPr>
      <w:proofErr w:type="gramStart"/>
      <w:r w:rsidRPr="00961B75">
        <w:rPr>
          <w:rFonts w:ascii="Arial Narrow" w:hAnsi="Arial Narrow"/>
          <w:sz w:val="18"/>
          <w:szCs w:val="18"/>
          <w:vertAlign w:val="superscript"/>
        </w:rPr>
        <w:t>b</w:t>
      </w:r>
      <w:proofErr w:type="gramEnd"/>
      <w:r w:rsidRPr="00961B75">
        <w:rPr>
          <w:rFonts w:ascii="Arial Narrow" w:hAnsi="Arial Narrow"/>
          <w:sz w:val="18"/>
          <w:szCs w:val="18"/>
        </w:rPr>
        <w:t xml:space="preserve"> the results for </w:t>
      </w:r>
      <w:proofErr w:type="spellStart"/>
      <w:r w:rsidRPr="00961B75">
        <w:rPr>
          <w:rFonts w:ascii="Arial Narrow" w:hAnsi="Arial Narrow"/>
          <w:sz w:val="18"/>
          <w:szCs w:val="18"/>
        </w:rPr>
        <w:t>Wehmeyer</w:t>
      </w:r>
      <w:proofErr w:type="spellEnd"/>
      <w:r w:rsidRPr="00961B75">
        <w:rPr>
          <w:rFonts w:ascii="Arial Narrow" w:hAnsi="Arial Narrow"/>
          <w:sz w:val="18"/>
          <w:szCs w:val="18"/>
        </w:rPr>
        <w:t xml:space="preserve"> (2015) were identified and incorporated during the evaluation.</w:t>
      </w:r>
    </w:p>
    <w:p w:rsidR="00841E99" w:rsidRPr="00961B75" w:rsidRDefault="00841E99" w:rsidP="004611DA">
      <w:pPr>
        <w:pStyle w:val="ListParagraph"/>
        <w:widowControl/>
        <w:tabs>
          <w:tab w:val="left" w:pos="2454"/>
        </w:tabs>
        <w:rPr>
          <w:szCs w:val="22"/>
        </w:rPr>
      </w:pPr>
    </w:p>
    <w:p w:rsidR="008C4845" w:rsidRPr="00961B75" w:rsidRDefault="008C4845" w:rsidP="00EF7F25">
      <w:pPr>
        <w:pStyle w:val="ListParagraph"/>
        <w:widowControl/>
        <w:numPr>
          <w:ilvl w:val="1"/>
          <w:numId w:val="1"/>
        </w:numPr>
        <w:rPr>
          <w:szCs w:val="22"/>
        </w:rPr>
      </w:pPr>
      <w:r w:rsidRPr="00961B75">
        <w:rPr>
          <w:szCs w:val="22"/>
        </w:rPr>
        <w:t xml:space="preserve">SVR12 rates following </w:t>
      </w:r>
      <w:proofErr w:type="spellStart"/>
      <w:r w:rsidRPr="00961B75">
        <w:rPr>
          <w:szCs w:val="22"/>
        </w:rPr>
        <w:t>Technivie</w:t>
      </w:r>
      <w:proofErr w:type="spellEnd"/>
      <w:r w:rsidRPr="00961B75">
        <w:rPr>
          <w:szCs w:val="22"/>
        </w:rPr>
        <w:t>® + RBV or SOF</w:t>
      </w:r>
      <w:r w:rsidR="00D26AE3">
        <w:rPr>
          <w:szCs w:val="22"/>
        </w:rPr>
        <w:t xml:space="preserve"> </w:t>
      </w:r>
      <w:r w:rsidR="00C902C2" w:rsidRPr="00961B75">
        <w:rPr>
          <w:szCs w:val="22"/>
        </w:rPr>
        <w:t>+</w:t>
      </w:r>
      <w:r w:rsidR="00D26AE3">
        <w:rPr>
          <w:szCs w:val="22"/>
        </w:rPr>
        <w:t xml:space="preserve"> </w:t>
      </w:r>
      <w:r w:rsidRPr="00961B75">
        <w:rPr>
          <w:szCs w:val="22"/>
        </w:rPr>
        <w:t>PR treatment in GT4 CHC patients were consistently high</w:t>
      </w:r>
      <w:r w:rsidR="00932CA3" w:rsidRPr="00961B75">
        <w:rPr>
          <w:szCs w:val="22"/>
        </w:rPr>
        <w:t xml:space="preserve"> (see Table 4)</w:t>
      </w:r>
      <w:r w:rsidR="00961B75">
        <w:rPr>
          <w:szCs w:val="22"/>
        </w:rPr>
        <w:t xml:space="preserve">. </w:t>
      </w:r>
      <w:r w:rsidRPr="00961B75">
        <w:rPr>
          <w:szCs w:val="22"/>
        </w:rPr>
        <w:t xml:space="preserve">The point estimate of SVR12 in all studies exceeded 90% </w:t>
      </w:r>
      <w:r w:rsidRPr="00961B75">
        <w:rPr>
          <w:iCs/>
          <w:szCs w:val="22"/>
        </w:rPr>
        <w:t xml:space="preserve">with the exception of </w:t>
      </w:r>
      <w:proofErr w:type="spellStart"/>
      <w:r w:rsidRPr="00961B75">
        <w:rPr>
          <w:iCs/>
          <w:szCs w:val="22"/>
        </w:rPr>
        <w:t>Wehmeyer</w:t>
      </w:r>
      <w:proofErr w:type="spellEnd"/>
      <w:r w:rsidRPr="00961B75">
        <w:rPr>
          <w:iCs/>
          <w:szCs w:val="22"/>
        </w:rPr>
        <w:t xml:space="preserve"> 2015 (80%), which </w:t>
      </w:r>
      <w:r w:rsidR="00A157DB" w:rsidRPr="00961B75">
        <w:rPr>
          <w:iCs/>
          <w:szCs w:val="22"/>
        </w:rPr>
        <w:t xml:space="preserve">potentially </w:t>
      </w:r>
      <w:r w:rsidRPr="00961B75">
        <w:rPr>
          <w:iCs/>
          <w:szCs w:val="22"/>
        </w:rPr>
        <w:t>had patients with more advanced disease as recruitment was from real life clinics.</w:t>
      </w:r>
    </w:p>
    <w:p w:rsidR="008C4845" w:rsidRPr="00961B75" w:rsidRDefault="008C4845" w:rsidP="004611DA">
      <w:pPr>
        <w:pStyle w:val="ListParagraph"/>
        <w:widowControl/>
        <w:rPr>
          <w:szCs w:val="22"/>
        </w:rPr>
      </w:pPr>
    </w:p>
    <w:p w:rsidR="008C4845" w:rsidRPr="00961B75" w:rsidRDefault="008C4845" w:rsidP="00EF7F25">
      <w:pPr>
        <w:pStyle w:val="ListParagraph"/>
        <w:widowControl/>
        <w:numPr>
          <w:ilvl w:val="1"/>
          <w:numId w:val="1"/>
        </w:numPr>
        <w:rPr>
          <w:iCs/>
          <w:szCs w:val="22"/>
        </w:rPr>
      </w:pPr>
      <w:r w:rsidRPr="00961B75">
        <w:rPr>
          <w:szCs w:val="22"/>
        </w:rPr>
        <w:t>Due to smaller GT4 CHC patient numbers in the SOF</w:t>
      </w:r>
      <w:r w:rsidR="00D26AE3">
        <w:rPr>
          <w:szCs w:val="22"/>
        </w:rPr>
        <w:t xml:space="preserve"> </w:t>
      </w:r>
      <w:r w:rsidR="002D482A" w:rsidRPr="00961B75">
        <w:rPr>
          <w:szCs w:val="22"/>
        </w:rPr>
        <w:t>+</w:t>
      </w:r>
      <w:r w:rsidR="00D26AE3">
        <w:rPr>
          <w:szCs w:val="22"/>
        </w:rPr>
        <w:t xml:space="preserve"> </w:t>
      </w:r>
      <w:r w:rsidRPr="00961B75">
        <w:rPr>
          <w:szCs w:val="22"/>
        </w:rPr>
        <w:t xml:space="preserve">PR studies, </w:t>
      </w:r>
      <w:r w:rsidR="000F26E1" w:rsidRPr="00961B75">
        <w:rPr>
          <w:szCs w:val="22"/>
        </w:rPr>
        <w:t xml:space="preserve">the </w:t>
      </w:r>
      <w:r w:rsidRPr="00961B75">
        <w:rPr>
          <w:szCs w:val="22"/>
        </w:rPr>
        <w:t>confidence intervals are wider. The NEUTRINO study did not report outcomes separately for GT4 patients with cirrhosis</w:t>
      </w:r>
      <w:r w:rsidR="000F26E1" w:rsidRPr="00961B75">
        <w:rPr>
          <w:szCs w:val="22"/>
        </w:rPr>
        <w:t>.</w:t>
      </w:r>
      <w:r w:rsidRPr="00961B75">
        <w:rPr>
          <w:szCs w:val="22"/>
        </w:rPr>
        <w:t xml:space="preserve"> </w:t>
      </w:r>
      <w:r w:rsidR="000F26E1" w:rsidRPr="00961B75">
        <w:rPr>
          <w:szCs w:val="22"/>
        </w:rPr>
        <w:t>R</w:t>
      </w:r>
      <w:r w:rsidRPr="00961B75">
        <w:rPr>
          <w:szCs w:val="22"/>
        </w:rPr>
        <w:t>ather</w:t>
      </w:r>
      <w:r w:rsidR="000F26E1" w:rsidRPr="00961B75">
        <w:rPr>
          <w:szCs w:val="22"/>
        </w:rPr>
        <w:t>,</w:t>
      </w:r>
      <w:r w:rsidRPr="00961B75">
        <w:rPr>
          <w:szCs w:val="22"/>
        </w:rPr>
        <w:t xml:space="preserve"> results were reported for a mixed group of GT1, 4, 5 and 6 cirrhotic patients</w:t>
      </w:r>
      <w:r w:rsidR="00961B75">
        <w:rPr>
          <w:szCs w:val="22"/>
        </w:rPr>
        <w:t xml:space="preserve">. </w:t>
      </w:r>
      <w:r w:rsidRPr="00961B75">
        <w:rPr>
          <w:szCs w:val="22"/>
        </w:rPr>
        <w:t xml:space="preserve">Based on this population, the proportion of cirrhotic patients attaining SVR12 was higher for </w:t>
      </w:r>
      <w:proofErr w:type="spellStart"/>
      <w:r w:rsidRPr="00961B75">
        <w:rPr>
          <w:szCs w:val="22"/>
        </w:rPr>
        <w:t>Technivie</w:t>
      </w:r>
      <w:proofErr w:type="spellEnd"/>
      <w:r w:rsidRPr="00961B75">
        <w:rPr>
          <w:szCs w:val="22"/>
        </w:rPr>
        <w:t>® +</w:t>
      </w:r>
      <w:r w:rsidR="005F1FE5" w:rsidRPr="00961B75">
        <w:rPr>
          <w:szCs w:val="22"/>
        </w:rPr>
        <w:t xml:space="preserve"> </w:t>
      </w:r>
      <w:r w:rsidRPr="00961B75">
        <w:rPr>
          <w:szCs w:val="22"/>
        </w:rPr>
        <w:t>RBV versus SOF</w:t>
      </w:r>
      <w:r w:rsidR="00D26AE3">
        <w:rPr>
          <w:szCs w:val="22"/>
        </w:rPr>
        <w:t xml:space="preserve"> </w:t>
      </w:r>
      <w:r w:rsidR="000F26E1" w:rsidRPr="00961B75">
        <w:rPr>
          <w:szCs w:val="22"/>
        </w:rPr>
        <w:t>+</w:t>
      </w:r>
      <w:r w:rsidR="00D26AE3">
        <w:rPr>
          <w:szCs w:val="22"/>
        </w:rPr>
        <w:t xml:space="preserve"> </w:t>
      </w:r>
      <w:r w:rsidRPr="00961B75">
        <w:rPr>
          <w:szCs w:val="22"/>
        </w:rPr>
        <w:t>PR</w:t>
      </w:r>
      <w:r w:rsidR="00961B75">
        <w:rPr>
          <w:szCs w:val="22"/>
        </w:rPr>
        <w:t xml:space="preserve">. </w:t>
      </w:r>
      <w:r w:rsidRPr="00961B75">
        <w:rPr>
          <w:szCs w:val="22"/>
        </w:rPr>
        <w:t xml:space="preserve">From this, the submission contended that </w:t>
      </w:r>
      <w:proofErr w:type="spellStart"/>
      <w:r w:rsidRPr="00961B75">
        <w:rPr>
          <w:szCs w:val="22"/>
        </w:rPr>
        <w:t>Technivie</w:t>
      </w:r>
      <w:proofErr w:type="spellEnd"/>
      <w:r w:rsidRPr="00961B75">
        <w:rPr>
          <w:szCs w:val="22"/>
        </w:rPr>
        <w:t>® + RBV was superior to SOF</w:t>
      </w:r>
      <w:r w:rsidR="00D26AE3">
        <w:rPr>
          <w:szCs w:val="22"/>
        </w:rPr>
        <w:t xml:space="preserve"> </w:t>
      </w:r>
      <w:r w:rsidR="000F26E1" w:rsidRPr="00961B75">
        <w:rPr>
          <w:szCs w:val="22"/>
        </w:rPr>
        <w:t>+</w:t>
      </w:r>
      <w:r w:rsidR="00D26AE3">
        <w:rPr>
          <w:szCs w:val="22"/>
        </w:rPr>
        <w:t xml:space="preserve"> </w:t>
      </w:r>
      <w:r w:rsidRPr="00961B75">
        <w:rPr>
          <w:szCs w:val="22"/>
        </w:rPr>
        <w:t>PR in cirrhotic patients with GT4 CHC and suggested that cirrhosis was strongly associated with a reduced response for SOF</w:t>
      </w:r>
      <w:r w:rsidR="00D26AE3">
        <w:rPr>
          <w:szCs w:val="22"/>
        </w:rPr>
        <w:t xml:space="preserve"> </w:t>
      </w:r>
      <w:r w:rsidR="000F26E1" w:rsidRPr="00961B75">
        <w:rPr>
          <w:szCs w:val="22"/>
        </w:rPr>
        <w:t>+</w:t>
      </w:r>
      <w:r w:rsidR="00D26AE3">
        <w:rPr>
          <w:szCs w:val="22"/>
        </w:rPr>
        <w:t xml:space="preserve"> </w:t>
      </w:r>
      <w:r w:rsidRPr="00961B75">
        <w:rPr>
          <w:szCs w:val="22"/>
        </w:rPr>
        <w:t xml:space="preserve">PR but not for </w:t>
      </w:r>
      <w:proofErr w:type="spellStart"/>
      <w:r w:rsidRPr="00961B75">
        <w:rPr>
          <w:szCs w:val="22"/>
        </w:rPr>
        <w:t>Technivie</w:t>
      </w:r>
      <w:proofErr w:type="spellEnd"/>
      <w:r w:rsidRPr="00961B75">
        <w:rPr>
          <w:szCs w:val="22"/>
        </w:rPr>
        <w:t>®</w:t>
      </w:r>
      <w:r w:rsidR="005F1FE5" w:rsidRPr="00961B75">
        <w:rPr>
          <w:szCs w:val="22"/>
        </w:rPr>
        <w:t xml:space="preserve"> </w:t>
      </w:r>
      <w:r w:rsidRPr="00961B75">
        <w:rPr>
          <w:szCs w:val="22"/>
        </w:rPr>
        <w:t>+</w:t>
      </w:r>
      <w:r w:rsidR="005F1FE5" w:rsidRPr="00961B75">
        <w:rPr>
          <w:szCs w:val="22"/>
        </w:rPr>
        <w:t xml:space="preserve"> </w:t>
      </w:r>
      <w:r w:rsidRPr="00961B75">
        <w:rPr>
          <w:szCs w:val="22"/>
        </w:rPr>
        <w:t>RBV</w:t>
      </w:r>
      <w:r w:rsidR="00961B75">
        <w:rPr>
          <w:szCs w:val="22"/>
        </w:rPr>
        <w:t xml:space="preserve">. </w:t>
      </w:r>
      <w:r w:rsidRPr="00961B75">
        <w:rPr>
          <w:iCs/>
          <w:szCs w:val="22"/>
        </w:rPr>
        <w:t>Th</w:t>
      </w:r>
      <w:r w:rsidR="00A81326" w:rsidRPr="00961B75">
        <w:rPr>
          <w:iCs/>
          <w:szCs w:val="22"/>
        </w:rPr>
        <w:t>e evaluation considered th</w:t>
      </w:r>
      <w:r w:rsidRPr="00961B75">
        <w:rPr>
          <w:iCs/>
          <w:szCs w:val="22"/>
        </w:rPr>
        <w:t xml:space="preserve">is claim may not be appropriate, </w:t>
      </w:r>
      <w:r w:rsidR="000F26E1" w:rsidRPr="00961B75">
        <w:rPr>
          <w:iCs/>
          <w:szCs w:val="22"/>
        </w:rPr>
        <w:t xml:space="preserve">as </w:t>
      </w:r>
      <w:r w:rsidRPr="00961B75">
        <w:rPr>
          <w:iCs/>
          <w:szCs w:val="22"/>
        </w:rPr>
        <w:t xml:space="preserve">instead of a true difference in the efficacy of the two treatments, the difference could also be due to: </w:t>
      </w:r>
    </w:p>
    <w:p w:rsidR="008C4845" w:rsidRPr="00961B75" w:rsidRDefault="008C4845" w:rsidP="004611DA">
      <w:pPr>
        <w:pStyle w:val="ListParagraph"/>
        <w:widowControl/>
        <w:ind w:left="993" w:hanging="284"/>
        <w:rPr>
          <w:iCs/>
          <w:szCs w:val="22"/>
        </w:rPr>
      </w:pPr>
      <w:r w:rsidRPr="00961B75">
        <w:rPr>
          <w:iCs/>
          <w:szCs w:val="22"/>
        </w:rPr>
        <w:t>•</w:t>
      </w:r>
      <w:r w:rsidRPr="00961B75">
        <w:rPr>
          <w:iCs/>
          <w:szCs w:val="22"/>
        </w:rPr>
        <w:tab/>
      </w:r>
      <w:proofErr w:type="gramStart"/>
      <w:r w:rsidRPr="00961B75">
        <w:rPr>
          <w:iCs/>
          <w:szCs w:val="22"/>
        </w:rPr>
        <w:t>chance</w:t>
      </w:r>
      <w:proofErr w:type="gramEnd"/>
      <w:r w:rsidRPr="00961B75">
        <w:rPr>
          <w:iCs/>
          <w:szCs w:val="22"/>
        </w:rPr>
        <w:t xml:space="preserve"> and/or</w:t>
      </w:r>
    </w:p>
    <w:p w:rsidR="008C4845" w:rsidRPr="00961B75" w:rsidRDefault="008C4845" w:rsidP="004611DA">
      <w:pPr>
        <w:pStyle w:val="ListParagraph"/>
        <w:widowControl/>
        <w:ind w:left="993" w:hanging="284"/>
        <w:rPr>
          <w:iCs/>
          <w:szCs w:val="22"/>
        </w:rPr>
      </w:pPr>
      <w:r w:rsidRPr="00961B75">
        <w:rPr>
          <w:iCs/>
          <w:szCs w:val="22"/>
        </w:rPr>
        <w:t>•</w:t>
      </w:r>
      <w:r w:rsidRPr="00961B75">
        <w:rPr>
          <w:iCs/>
          <w:szCs w:val="22"/>
        </w:rPr>
        <w:tab/>
      </w:r>
      <w:proofErr w:type="gramStart"/>
      <w:r w:rsidRPr="00961B75">
        <w:rPr>
          <w:iCs/>
          <w:szCs w:val="22"/>
        </w:rPr>
        <w:t>the</w:t>
      </w:r>
      <w:proofErr w:type="gramEnd"/>
      <w:r w:rsidRPr="00961B75">
        <w:rPr>
          <w:iCs/>
          <w:szCs w:val="22"/>
        </w:rPr>
        <w:t xml:space="preserve"> violation of the exchangeability assumption underpinning the indirect comparison</w:t>
      </w:r>
      <w:r w:rsidR="00961B75">
        <w:rPr>
          <w:iCs/>
          <w:szCs w:val="22"/>
        </w:rPr>
        <w:t xml:space="preserve">. </w:t>
      </w:r>
      <w:r w:rsidR="00240256" w:rsidRPr="00961B75">
        <w:rPr>
          <w:iCs/>
          <w:szCs w:val="22"/>
        </w:rPr>
        <w:t>There wa</w:t>
      </w:r>
      <w:r w:rsidRPr="00961B75">
        <w:rPr>
          <w:iCs/>
          <w:szCs w:val="22"/>
        </w:rPr>
        <w:t xml:space="preserve">s potential for confounding from many factors e.g. non-CC IL28B genotype were strongly associated with a reduced response as per NEUTRINO study publication, other factors (as per the PI) also include high baseline viral concentrations, black race, prior null response to </w:t>
      </w:r>
      <w:proofErr w:type="spellStart"/>
      <w:r w:rsidRPr="00961B75">
        <w:rPr>
          <w:iCs/>
          <w:szCs w:val="22"/>
        </w:rPr>
        <w:t>peginterferon</w:t>
      </w:r>
      <w:proofErr w:type="spellEnd"/>
      <w:r w:rsidRPr="00961B75">
        <w:rPr>
          <w:iCs/>
          <w:szCs w:val="22"/>
        </w:rPr>
        <w:t xml:space="preserve"> alfa and ribavirin therapy. The distribution of known and unknown confounding factors between the single arms/subgroups is unclear</w:t>
      </w:r>
      <w:r w:rsidR="00D26AE3">
        <w:rPr>
          <w:iCs/>
          <w:szCs w:val="22"/>
        </w:rPr>
        <w:t>.</w:t>
      </w:r>
    </w:p>
    <w:p w:rsidR="008C4845" w:rsidRPr="00961B75" w:rsidRDefault="008C4845" w:rsidP="004611DA">
      <w:pPr>
        <w:pStyle w:val="ListParagraph"/>
        <w:widowControl/>
        <w:rPr>
          <w:iCs/>
          <w:szCs w:val="22"/>
        </w:rPr>
      </w:pPr>
      <w:r w:rsidRPr="00961B75">
        <w:rPr>
          <w:iCs/>
          <w:szCs w:val="22"/>
        </w:rPr>
        <w:t>Due to differences across studies and uncertainty due to lack of exchangeability, these results need to be interpreted with caution.</w:t>
      </w:r>
    </w:p>
    <w:p w:rsidR="007F1017" w:rsidRPr="00961B75" w:rsidRDefault="007F1017" w:rsidP="004611DA">
      <w:pPr>
        <w:widowControl/>
        <w:rPr>
          <w:szCs w:val="22"/>
        </w:rPr>
      </w:pPr>
    </w:p>
    <w:p w:rsidR="00B60939" w:rsidRPr="00961B75" w:rsidRDefault="00B60939" w:rsidP="004611DA">
      <w:pPr>
        <w:pStyle w:val="Heading2"/>
        <w:widowControl/>
        <w:rPr>
          <w:i/>
        </w:rPr>
      </w:pPr>
      <w:bookmarkStart w:id="10" w:name="_Toc461551705"/>
      <w:r w:rsidRPr="00961B75">
        <w:rPr>
          <w:i/>
        </w:rPr>
        <w:t>Comparative harms</w:t>
      </w:r>
      <w:bookmarkEnd w:id="10"/>
    </w:p>
    <w:p w:rsidR="00B60939" w:rsidRPr="00961B75" w:rsidRDefault="00B60939" w:rsidP="004611DA">
      <w:pPr>
        <w:widowControl/>
        <w:ind w:left="720" w:hanging="720"/>
        <w:rPr>
          <w:szCs w:val="22"/>
        </w:rPr>
      </w:pPr>
    </w:p>
    <w:p w:rsidR="00A0521D" w:rsidRPr="00961B75" w:rsidRDefault="00A0521D" w:rsidP="00EF7F25">
      <w:pPr>
        <w:pStyle w:val="ListParagraph"/>
        <w:widowControl/>
        <w:numPr>
          <w:ilvl w:val="1"/>
          <w:numId w:val="1"/>
        </w:numPr>
        <w:rPr>
          <w:szCs w:val="22"/>
        </w:rPr>
      </w:pPr>
      <w:r w:rsidRPr="00961B75">
        <w:rPr>
          <w:szCs w:val="22"/>
        </w:rPr>
        <w:t xml:space="preserve">The most commonly observed AEs across all the studies </w:t>
      </w:r>
      <w:r w:rsidR="003C0139" w:rsidRPr="00961B75">
        <w:rPr>
          <w:szCs w:val="22"/>
        </w:rPr>
        <w:t xml:space="preserve">for </w:t>
      </w:r>
      <w:proofErr w:type="spellStart"/>
      <w:r w:rsidR="003C0139" w:rsidRPr="00961B75">
        <w:rPr>
          <w:szCs w:val="22"/>
        </w:rPr>
        <w:t>Technivie</w:t>
      </w:r>
      <w:proofErr w:type="spellEnd"/>
      <w:r w:rsidR="003C0139" w:rsidRPr="00961B75">
        <w:rPr>
          <w:szCs w:val="22"/>
        </w:rPr>
        <w:t xml:space="preserve">® and comparators </w:t>
      </w:r>
      <w:r w:rsidRPr="00961B75">
        <w:rPr>
          <w:szCs w:val="22"/>
        </w:rPr>
        <w:t xml:space="preserve">were fatigue, asthenia and headache. </w:t>
      </w:r>
      <w:r w:rsidR="003C0139" w:rsidRPr="00961B75">
        <w:rPr>
          <w:szCs w:val="22"/>
        </w:rPr>
        <w:t>T</w:t>
      </w:r>
      <w:r w:rsidRPr="00961B75">
        <w:rPr>
          <w:szCs w:val="22"/>
        </w:rPr>
        <w:t xml:space="preserve">he rates of anaemia were higher </w:t>
      </w:r>
      <w:r w:rsidR="003C0139" w:rsidRPr="00961B75">
        <w:rPr>
          <w:szCs w:val="22"/>
        </w:rPr>
        <w:t xml:space="preserve">in cirrhotic </w:t>
      </w:r>
      <w:r w:rsidRPr="00961B75">
        <w:rPr>
          <w:szCs w:val="22"/>
        </w:rPr>
        <w:t xml:space="preserve">compared to </w:t>
      </w:r>
      <w:r w:rsidR="003C0139" w:rsidRPr="00961B75">
        <w:rPr>
          <w:szCs w:val="22"/>
        </w:rPr>
        <w:t>non-cirrhotic patients</w:t>
      </w:r>
      <w:r w:rsidRPr="00961B75">
        <w:rPr>
          <w:szCs w:val="22"/>
        </w:rPr>
        <w:t>.</w:t>
      </w:r>
    </w:p>
    <w:p w:rsidR="00A0521D" w:rsidRPr="00961B75" w:rsidRDefault="00A0521D" w:rsidP="004611DA">
      <w:pPr>
        <w:pStyle w:val="ListParagraph"/>
        <w:widowControl/>
        <w:rPr>
          <w:szCs w:val="22"/>
        </w:rPr>
      </w:pPr>
    </w:p>
    <w:p w:rsidR="00A0521D" w:rsidRPr="00961B75" w:rsidRDefault="00A0521D" w:rsidP="00EF7F25">
      <w:pPr>
        <w:pStyle w:val="ListParagraph"/>
        <w:widowControl/>
        <w:numPr>
          <w:ilvl w:val="1"/>
          <w:numId w:val="1"/>
        </w:numPr>
        <w:rPr>
          <w:szCs w:val="22"/>
        </w:rPr>
      </w:pPr>
      <w:r w:rsidRPr="00961B75">
        <w:rPr>
          <w:szCs w:val="22"/>
        </w:rPr>
        <w:t xml:space="preserve">For </w:t>
      </w:r>
      <w:proofErr w:type="spellStart"/>
      <w:r w:rsidRPr="00961B75">
        <w:rPr>
          <w:szCs w:val="22"/>
        </w:rPr>
        <w:t>Technivie</w:t>
      </w:r>
      <w:proofErr w:type="spellEnd"/>
      <w:r w:rsidRPr="00961B75">
        <w:rPr>
          <w:szCs w:val="22"/>
        </w:rPr>
        <w:t xml:space="preserve">® there </w:t>
      </w:r>
      <w:r w:rsidR="005D4EB9" w:rsidRPr="00961B75">
        <w:rPr>
          <w:szCs w:val="22"/>
        </w:rPr>
        <w:t>were</w:t>
      </w:r>
      <w:r w:rsidR="00853368" w:rsidRPr="00961B75">
        <w:rPr>
          <w:szCs w:val="22"/>
        </w:rPr>
        <w:t xml:space="preserve"> safety data for </w:t>
      </w:r>
      <w:r w:rsidRPr="00961B75">
        <w:rPr>
          <w:szCs w:val="22"/>
        </w:rPr>
        <w:t xml:space="preserve">415 GT4 CHC patients, of which 180 patients had compensated cirrhosis and 235 patients were non-cirrhotic. In summary:  </w:t>
      </w:r>
    </w:p>
    <w:p w:rsidR="00A0521D" w:rsidRPr="00961B75" w:rsidRDefault="00A0521D" w:rsidP="00EF7F25">
      <w:pPr>
        <w:pStyle w:val="ListParagraph"/>
        <w:widowControl/>
        <w:numPr>
          <w:ilvl w:val="3"/>
          <w:numId w:val="3"/>
        </w:numPr>
        <w:ind w:hanging="371"/>
        <w:rPr>
          <w:szCs w:val="22"/>
        </w:rPr>
      </w:pPr>
      <w:r w:rsidRPr="00961B75">
        <w:rPr>
          <w:szCs w:val="22"/>
        </w:rPr>
        <w:t xml:space="preserve">Approximately 80% of the patients in the </w:t>
      </w:r>
      <w:proofErr w:type="spellStart"/>
      <w:r w:rsidRPr="00961B75">
        <w:rPr>
          <w:szCs w:val="22"/>
        </w:rPr>
        <w:t>Technivie</w:t>
      </w:r>
      <w:proofErr w:type="spellEnd"/>
      <w:r w:rsidRPr="00961B75">
        <w:rPr>
          <w:szCs w:val="22"/>
        </w:rPr>
        <w:t>® trials experienced at least one treatment related adverse event; the most commonly observed AEs were headache, asthenia, nausea and fatigue.</w:t>
      </w:r>
    </w:p>
    <w:p w:rsidR="00A0521D" w:rsidRPr="00961B75" w:rsidRDefault="00A0521D" w:rsidP="00EF7F25">
      <w:pPr>
        <w:pStyle w:val="ListParagraph"/>
        <w:widowControl/>
        <w:numPr>
          <w:ilvl w:val="3"/>
          <w:numId w:val="3"/>
        </w:numPr>
        <w:ind w:hanging="371"/>
        <w:rPr>
          <w:szCs w:val="22"/>
        </w:rPr>
      </w:pPr>
      <w:r w:rsidRPr="00961B75">
        <w:rPr>
          <w:szCs w:val="22"/>
        </w:rPr>
        <w:t xml:space="preserve">Grade 3/4 AEs (serious adverse events; SAEs) were observed in 11 out of 415 (3%) patients treated with </w:t>
      </w:r>
      <w:proofErr w:type="spellStart"/>
      <w:r w:rsidRPr="00961B75">
        <w:rPr>
          <w:szCs w:val="22"/>
        </w:rPr>
        <w:t>Technivie</w:t>
      </w:r>
      <w:proofErr w:type="spellEnd"/>
      <w:r w:rsidRPr="00961B75">
        <w:rPr>
          <w:szCs w:val="22"/>
        </w:rPr>
        <w:t xml:space="preserve">® of which only 5 (1.2%) were considered related to </w:t>
      </w:r>
      <w:proofErr w:type="spellStart"/>
      <w:r w:rsidRPr="00961B75">
        <w:rPr>
          <w:szCs w:val="22"/>
        </w:rPr>
        <w:t>Technivie</w:t>
      </w:r>
      <w:proofErr w:type="spellEnd"/>
      <w:r w:rsidRPr="00961B75">
        <w:rPr>
          <w:szCs w:val="22"/>
        </w:rPr>
        <w:t>® or RBV</w:t>
      </w:r>
      <w:r w:rsidR="00961B75">
        <w:rPr>
          <w:szCs w:val="22"/>
        </w:rPr>
        <w:t xml:space="preserve">. </w:t>
      </w:r>
      <w:r w:rsidR="007F71DF" w:rsidRPr="00961B75">
        <w:rPr>
          <w:szCs w:val="22"/>
        </w:rPr>
        <w:t>N</w:t>
      </w:r>
      <w:r w:rsidRPr="00961B75">
        <w:rPr>
          <w:szCs w:val="22"/>
        </w:rPr>
        <w:t>one of the subjects discontinued treatment due to AEs.</w:t>
      </w:r>
    </w:p>
    <w:p w:rsidR="00A0521D" w:rsidRPr="00961B75" w:rsidRDefault="00A0521D" w:rsidP="00EF7F25">
      <w:pPr>
        <w:pStyle w:val="ListParagraph"/>
        <w:widowControl/>
        <w:numPr>
          <w:ilvl w:val="3"/>
          <w:numId w:val="3"/>
        </w:numPr>
        <w:ind w:hanging="371"/>
        <w:rPr>
          <w:szCs w:val="22"/>
        </w:rPr>
      </w:pPr>
      <w:r w:rsidRPr="00961B75">
        <w:rPr>
          <w:szCs w:val="22"/>
        </w:rPr>
        <w:t xml:space="preserve">There was one death across the </w:t>
      </w:r>
      <w:proofErr w:type="spellStart"/>
      <w:r w:rsidRPr="00961B75">
        <w:rPr>
          <w:szCs w:val="22"/>
        </w:rPr>
        <w:t>Technivie</w:t>
      </w:r>
      <w:proofErr w:type="spellEnd"/>
      <w:r w:rsidRPr="00961B75">
        <w:rPr>
          <w:szCs w:val="22"/>
        </w:rPr>
        <w:t xml:space="preserve">® trials, which was due to cardiac arrest caused by self-administered </w:t>
      </w:r>
      <w:proofErr w:type="spellStart"/>
      <w:r w:rsidRPr="00961B75">
        <w:rPr>
          <w:szCs w:val="22"/>
        </w:rPr>
        <w:t>suxamethonium</w:t>
      </w:r>
      <w:proofErr w:type="spellEnd"/>
      <w:r w:rsidRPr="00961B75">
        <w:rPr>
          <w:szCs w:val="22"/>
        </w:rPr>
        <w:t xml:space="preserve"> to treat leg muscle cramping</w:t>
      </w:r>
      <w:r w:rsidR="00961B75">
        <w:rPr>
          <w:szCs w:val="22"/>
        </w:rPr>
        <w:t xml:space="preserve">. </w:t>
      </w:r>
      <w:proofErr w:type="spellStart"/>
      <w:r w:rsidRPr="00961B75">
        <w:rPr>
          <w:szCs w:val="22"/>
        </w:rPr>
        <w:t>Suxamethonium</w:t>
      </w:r>
      <w:proofErr w:type="spellEnd"/>
      <w:r w:rsidRPr="00961B75">
        <w:rPr>
          <w:szCs w:val="22"/>
        </w:rPr>
        <w:t xml:space="preserve"> is not listed as a drug interaction for </w:t>
      </w:r>
      <w:proofErr w:type="spellStart"/>
      <w:r w:rsidRPr="00961B75">
        <w:rPr>
          <w:szCs w:val="22"/>
        </w:rPr>
        <w:t>Technivie</w:t>
      </w:r>
      <w:proofErr w:type="spellEnd"/>
      <w:r w:rsidRPr="00961B75">
        <w:rPr>
          <w:szCs w:val="22"/>
        </w:rPr>
        <w:t xml:space="preserve">® based on its draft PI. The submission stated the death was not considered related to </w:t>
      </w:r>
      <w:proofErr w:type="spellStart"/>
      <w:r w:rsidRPr="00961B75">
        <w:rPr>
          <w:szCs w:val="22"/>
        </w:rPr>
        <w:t>Technivie</w:t>
      </w:r>
      <w:proofErr w:type="spellEnd"/>
      <w:r w:rsidRPr="00961B75">
        <w:rPr>
          <w:szCs w:val="22"/>
        </w:rPr>
        <w:t>® treatment.</w:t>
      </w:r>
    </w:p>
    <w:p w:rsidR="00A0521D" w:rsidRPr="00961B75" w:rsidRDefault="00A0521D" w:rsidP="004611DA">
      <w:pPr>
        <w:pStyle w:val="ListParagraph"/>
        <w:widowControl/>
        <w:rPr>
          <w:szCs w:val="22"/>
        </w:rPr>
      </w:pPr>
    </w:p>
    <w:p w:rsidR="00A0521D" w:rsidRPr="00961B75" w:rsidRDefault="00A0521D" w:rsidP="00EF7F25">
      <w:pPr>
        <w:pStyle w:val="ListParagraph"/>
        <w:widowControl/>
        <w:numPr>
          <w:ilvl w:val="1"/>
          <w:numId w:val="1"/>
        </w:numPr>
        <w:rPr>
          <w:szCs w:val="22"/>
        </w:rPr>
      </w:pPr>
      <w:r w:rsidRPr="00961B75">
        <w:rPr>
          <w:szCs w:val="22"/>
        </w:rPr>
        <w:t>When compared to GZR-EBR</w:t>
      </w:r>
      <w:r w:rsidR="001359B0">
        <w:rPr>
          <w:szCs w:val="22"/>
        </w:rPr>
        <w:t xml:space="preserve"> </w:t>
      </w:r>
      <w:r w:rsidRPr="00961B75">
        <w:rPr>
          <w:szCs w:val="22"/>
        </w:rPr>
        <w:t>±</w:t>
      </w:r>
      <w:r w:rsidR="001359B0">
        <w:rPr>
          <w:szCs w:val="22"/>
        </w:rPr>
        <w:t xml:space="preserve"> </w:t>
      </w:r>
      <w:r w:rsidRPr="00961B75">
        <w:rPr>
          <w:szCs w:val="22"/>
        </w:rPr>
        <w:t xml:space="preserve">RBV, a similar proportion of patients treated with </w:t>
      </w:r>
      <w:proofErr w:type="spellStart"/>
      <w:r w:rsidRPr="00961B75">
        <w:rPr>
          <w:szCs w:val="22"/>
        </w:rPr>
        <w:t>Technivie</w:t>
      </w:r>
      <w:proofErr w:type="spellEnd"/>
      <w:r w:rsidRPr="00961B75">
        <w:rPr>
          <w:szCs w:val="22"/>
        </w:rPr>
        <w:t>® and GZR-EBR</w:t>
      </w:r>
      <w:r w:rsidR="001359B0">
        <w:rPr>
          <w:szCs w:val="22"/>
        </w:rPr>
        <w:t xml:space="preserve"> </w:t>
      </w:r>
      <w:r w:rsidRPr="00961B75">
        <w:rPr>
          <w:szCs w:val="22"/>
        </w:rPr>
        <w:t>±</w:t>
      </w:r>
      <w:r w:rsidR="001359B0">
        <w:rPr>
          <w:szCs w:val="22"/>
        </w:rPr>
        <w:t xml:space="preserve"> </w:t>
      </w:r>
      <w:r w:rsidRPr="00961B75">
        <w:rPr>
          <w:szCs w:val="22"/>
        </w:rPr>
        <w:t>RBV experienced at least one adverse event and serious adverse event</w:t>
      </w:r>
      <w:r w:rsidR="00961B75">
        <w:rPr>
          <w:szCs w:val="22"/>
        </w:rPr>
        <w:t xml:space="preserve">. </w:t>
      </w:r>
      <w:r w:rsidRPr="00961B75">
        <w:rPr>
          <w:szCs w:val="22"/>
        </w:rPr>
        <w:t xml:space="preserve">No patients discontinued treatment due to an AE in the </w:t>
      </w:r>
      <w:proofErr w:type="spellStart"/>
      <w:r w:rsidRPr="00961B75">
        <w:rPr>
          <w:szCs w:val="22"/>
        </w:rPr>
        <w:t>Technivie</w:t>
      </w:r>
      <w:proofErr w:type="spellEnd"/>
      <w:r w:rsidRPr="00961B75">
        <w:rPr>
          <w:szCs w:val="22"/>
        </w:rPr>
        <w:t>® treatment arms compared to 1.2%</w:t>
      </w:r>
      <w:r w:rsidR="00C11A19" w:rsidRPr="00961B75">
        <w:rPr>
          <w:szCs w:val="22"/>
        </w:rPr>
        <w:t xml:space="preserve"> of patients</w:t>
      </w:r>
      <w:r w:rsidRPr="00961B75">
        <w:rPr>
          <w:szCs w:val="22"/>
        </w:rPr>
        <w:t xml:space="preserve"> in the GZR-EBR</w:t>
      </w:r>
      <w:r w:rsidR="001359B0">
        <w:rPr>
          <w:szCs w:val="22"/>
        </w:rPr>
        <w:t xml:space="preserve"> </w:t>
      </w:r>
      <w:r w:rsidRPr="00961B75">
        <w:rPr>
          <w:szCs w:val="22"/>
        </w:rPr>
        <w:t>±</w:t>
      </w:r>
      <w:r w:rsidR="001359B0">
        <w:rPr>
          <w:szCs w:val="22"/>
        </w:rPr>
        <w:t xml:space="preserve"> </w:t>
      </w:r>
      <w:r w:rsidRPr="00961B75">
        <w:rPr>
          <w:szCs w:val="22"/>
        </w:rPr>
        <w:t>RBV treatment arms</w:t>
      </w:r>
      <w:r w:rsidR="00961B75">
        <w:rPr>
          <w:szCs w:val="22"/>
        </w:rPr>
        <w:t xml:space="preserve">. </w:t>
      </w:r>
      <w:r w:rsidRPr="00961B75">
        <w:rPr>
          <w:szCs w:val="22"/>
        </w:rPr>
        <w:t>RBV treatment is associated with its own AEs, particularly anaemia</w:t>
      </w:r>
      <w:r w:rsidR="001F4213" w:rsidRPr="00961B75">
        <w:rPr>
          <w:szCs w:val="22"/>
        </w:rPr>
        <w:t>. Therefore</w:t>
      </w:r>
      <w:r w:rsidRPr="00961B75">
        <w:rPr>
          <w:szCs w:val="22"/>
        </w:rPr>
        <w:t xml:space="preserve">, for treatment naïve patients, GZR-EBR treatment may be associated with fewer side effects compared to </w:t>
      </w:r>
      <w:proofErr w:type="spellStart"/>
      <w:r w:rsidRPr="00961B75">
        <w:rPr>
          <w:szCs w:val="22"/>
        </w:rPr>
        <w:t>Technivie</w:t>
      </w:r>
      <w:proofErr w:type="spellEnd"/>
      <w:r w:rsidRPr="00961B75">
        <w:rPr>
          <w:szCs w:val="22"/>
        </w:rPr>
        <w:t>® +</w:t>
      </w:r>
      <w:r w:rsidR="00417307">
        <w:rPr>
          <w:szCs w:val="22"/>
        </w:rPr>
        <w:t xml:space="preserve"> </w:t>
      </w:r>
      <w:r w:rsidRPr="00961B75">
        <w:rPr>
          <w:szCs w:val="22"/>
        </w:rPr>
        <w:t>RBV, as RBV is not required to be co-administered.</w:t>
      </w:r>
    </w:p>
    <w:p w:rsidR="00A0521D" w:rsidRPr="00961B75" w:rsidRDefault="00A0521D" w:rsidP="004611DA">
      <w:pPr>
        <w:pStyle w:val="ListParagraph"/>
        <w:widowControl/>
        <w:rPr>
          <w:szCs w:val="22"/>
        </w:rPr>
      </w:pPr>
    </w:p>
    <w:p w:rsidR="00A0521D" w:rsidRPr="00961B75" w:rsidRDefault="00A0521D" w:rsidP="00EF7F25">
      <w:pPr>
        <w:pStyle w:val="ListParagraph"/>
        <w:widowControl/>
        <w:numPr>
          <w:ilvl w:val="1"/>
          <w:numId w:val="1"/>
        </w:numPr>
        <w:rPr>
          <w:szCs w:val="22"/>
        </w:rPr>
      </w:pPr>
      <w:r w:rsidRPr="00961B75">
        <w:rPr>
          <w:szCs w:val="22"/>
        </w:rPr>
        <w:t>Compared to SOF</w:t>
      </w:r>
      <w:r w:rsidR="001359B0">
        <w:rPr>
          <w:szCs w:val="22"/>
        </w:rPr>
        <w:t xml:space="preserve"> </w:t>
      </w:r>
      <w:r w:rsidR="001F4213" w:rsidRPr="00961B75">
        <w:rPr>
          <w:szCs w:val="22"/>
        </w:rPr>
        <w:t>+</w:t>
      </w:r>
      <w:r w:rsidR="001359B0">
        <w:rPr>
          <w:szCs w:val="22"/>
        </w:rPr>
        <w:t xml:space="preserve"> </w:t>
      </w:r>
      <w:r w:rsidRPr="00961B75">
        <w:rPr>
          <w:szCs w:val="22"/>
        </w:rPr>
        <w:t xml:space="preserve">PR, fewer patients treated with </w:t>
      </w:r>
      <w:proofErr w:type="spellStart"/>
      <w:r w:rsidRPr="00961B75">
        <w:rPr>
          <w:szCs w:val="22"/>
        </w:rPr>
        <w:t>Technivie</w:t>
      </w:r>
      <w:proofErr w:type="spellEnd"/>
      <w:r w:rsidRPr="00961B75">
        <w:rPr>
          <w:szCs w:val="22"/>
        </w:rPr>
        <w:t>® + RBV experienced AEs</w:t>
      </w:r>
      <w:r w:rsidR="00502406" w:rsidRPr="00961B75">
        <w:rPr>
          <w:szCs w:val="22"/>
        </w:rPr>
        <w:t>, i</w:t>
      </w:r>
      <w:r w:rsidR="008A5F1B">
        <w:rPr>
          <w:szCs w:val="22"/>
        </w:rPr>
        <w:t>.</w:t>
      </w:r>
      <w:r w:rsidR="00502406" w:rsidRPr="00961B75">
        <w:rPr>
          <w:szCs w:val="22"/>
        </w:rPr>
        <w:t>e</w:t>
      </w:r>
      <w:r w:rsidR="008A5F1B">
        <w:rPr>
          <w:szCs w:val="22"/>
        </w:rPr>
        <w:t>.</w:t>
      </w:r>
      <w:r w:rsidR="00AD1785" w:rsidRPr="00961B75">
        <w:rPr>
          <w:szCs w:val="22"/>
        </w:rPr>
        <w:t xml:space="preserve"> </w:t>
      </w:r>
      <w:r w:rsidRPr="00961B75">
        <w:rPr>
          <w:szCs w:val="22"/>
        </w:rPr>
        <w:t>80 to 88% compared with 95% of patients treated with SOF</w:t>
      </w:r>
      <w:r w:rsidR="001359B0">
        <w:rPr>
          <w:szCs w:val="22"/>
        </w:rPr>
        <w:t xml:space="preserve"> </w:t>
      </w:r>
      <w:r w:rsidRPr="00961B75">
        <w:rPr>
          <w:szCs w:val="22"/>
        </w:rPr>
        <w:t>+</w:t>
      </w:r>
      <w:r w:rsidR="001359B0">
        <w:rPr>
          <w:szCs w:val="22"/>
        </w:rPr>
        <w:t xml:space="preserve"> </w:t>
      </w:r>
      <w:r w:rsidRPr="00961B75">
        <w:rPr>
          <w:szCs w:val="22"/>
        </w:rPr>
        <w:t>PR</w:t>
      </w:r>
      <w:r w:rsidR="00502406" w:rsidRPr="00961B75">
        <w:rPr>
          <w:szCs w:val="22"/>
        </w:rPr>
        <w:t xml:space="preserve"> in NEUTRINO, </w:t>
      </w:r>
      <w:r w:rsidR="00502406" w:rsidRPr="00961B75">
        <w:rPr>
          <w:iCs/>
          <w:szCs w:val="22"/>
        </w:rPr>
        <w:t xml:space="preserve">results </w:t>
      </w:r>
      <w:r w:rsidR="00F41B18" w:rsidRPr="00961B75">
        <w:rPr>
          <w:iCs/>
          <w:szCs w:val="22"/>
        </w:rPr>
        <w:t xml:space="preserve">were </w:t>
      </w:r>
      <w:r w:rsidR="00502406" w:rsidRPr="00961B75">
        <w:rPr>
          <w:iCs/>
          <w:szCs w:val="22"/>
        </w:rPr>
        <w:t xml:space="preserve">not available for </w:t>
      </w:r>
      <w:proofErr w:type="spellStart"/>
      <w:r w:rsidR="00502406" w:rsidRPr="00961B75">
        <w:rPr>
          <w:iCs/>
          <w:szCs w:val="22"/>
        </w:rPr>
        <w:t>Wehmeyer</w:t>
      </w:r>
      <w:proofErr w:type="spellEnd"/>
      <w:r w:rsidR="00502406" w:rsidRPr="00961B75">
        <w:rPr>
          <w:iCs/>
          <w:szCs w:val="22"/>
        </w:rPr>
        <w:t xml:space="preserve"> 2015</w:t>
      </w:r>
      <w:r w:rsidR="00961B75">
        <w:rPr>
          <w:szCs w:val="22"/>
        </w:rPr>
        <w:t xml:space="preserve">. </w:t>
      </w:r>
      <w:r w:rsidRPr="00961B75">
        <w:rPr>
          <w:szCs w:val="22"/>
        </w:rPr>
        <w:t>The rate of SAE was slightly higher in AGATE I (6.</w:t>
      </w:r>
      <w:r w:rsidR="00502406" w:rsidRPr="00961B75">
        <w:rPr>
          <w:szCs w:val="22"/>
        </w:rPr>
        <w:t>7</w:t>
      </w:r>
      <w:r w:rsidRPr="00961B75">
        <w:rPr>
          <w:szCs w:val="22"/>
        </w:rPr>
        <w:t xml:space="preserve">%) and AGATE II (2%) compared to </w:t>
      </w:r>
      <w:r w:rsidR="003C0139" w:rsidRPr="00961B75">
        <w:rPr>
          <w:szCs w:val="22"/>
        </w:rPr>
        <w:t xml:space="preserve">NEUTRINO </w:t>
      </w:r>
      <w:r w:rsidRPr="00961B75">
        <w:rPr>
          <w:szCs w:val="22"/>
        </w:rPr>
        <w:t>(1.2%)</w:t>
      </w:r>
      <w:r w:rsidR="00502406" w:rsidRPr="00961B75">
        <w:rPr>
          <w:szCs w:val="22"/>
        </w:rPr>
        <w:t>, but was lower in PEARL I (</w:t>
      </w:r>
      <w:r w:rsidR="00B403D0" w:rsidRPr="00961B75">
        <w:rPr>
          <w:szCs w:val="22"/>
        </w:rPr>
        <w:t>&lt;1%)</w:t>
      </w:r>
      <w:r w:rsidRPr="00961B75">
        <w:rPr>
          <w:szCs w:val="22"/>
        </w:rPr>
        <w:t xml:space="preserve">. There were more treatment discontinuations in </w:t>
      </w:r>
      <w:r w:rsidR="003C0139" w:rsidRPr="00961B75">
        <w:rPr>
          <w:szCs w:val="22"/>
        </w:rPr>
        <w:t>NEUTRINO</w:t>
      </w:r>
      <w:r w:rsidRPr="00961B75">
        <w:rPr>
          <w:szCs w:val="22"/>
        </w:rPr>
        <w:t xml:space="preserve"> (2.4%)</w:t>
      </w:r>
      <w:r w:rsidR="000A26D8" w:rsidRPr="00961B75">
        <w:rPr>
          <w:szCs w:val="22"/>
        </w:rPr>
        <w:t>. A</w:t>
      </w:r>
      <w:r w:rsidRPr="00961B75">
        <w:rPr>
          <w:szCs w:val="22"/>
        </w:rPr>
        <w:t xml:space="preserve"> higher proportion of patients also required drug dose modifications due to AEs in </w:t>
      </w:r>
      <w:r w:rsidR="000A26D8" w:rsidRPr="00961B75">
        <w:rPr>
          <w:szCs w:val="22"/>
        </w:rPr>
        <w:t xml:space="preserve">the </w:t>
      </w:r>
      <w:r w:rsidR="003C0139" w:rsidRPr="00961B75">
        <w:rPr>
          <w:szCs w:val="22"/>
        </w:rPr>
        <w:t>SOF</w:t>
      </w:r>
      <w:r w:rsidR="001359B0">
        <w:rPr>
          <w:szCs w:val="22"/>
        </w:rPr>
        <w:t xml:space="preserve"> </w:t>
      </w:r>
      <w:r w:rsidR="003C0139" w:rsidRPr="00961B75">
        <w:rPr>
          <w:szCs w:val="22"/>
        </w:rPr>
        <w:t>+</w:t>
      </w:r>
      <w:r w:rsidR="001359B0">
        <w:rPr>
          <w:szCs w:val="22"/>
        </w:rPr>
        <w:t xml:space="preserve"> </w:t>
      </w:r>
      <w:r w:rsidR="003C0139" w:rsidRPr="00961B75">
        <w:rPr>
          <w:szCs w:val="22"/>
        </w:rPr>
        <w:t xml:space="preserve">PR studies </w:t>
      </w:r>
      <w:r w:rsidRPr="00961B75">
        <w:rPr>
          <w:szCs w:val="22"/>
        </w:rPr>
        <w:t>[109 (33.3%)</w:t>
      </w:r>
      <w:r w:rsidR="003C0139" w:rsidRPr="00961B75">
        <w:rPr>
          <w:szCs w:val="22"/>
        </w:rPr>
        <w:t xml:space="preserve"> in NEUTRINO, </w:t>
      </w:r>
      <w:r w:rsidR="003C0139" w:rsidRPr="00961B75">
        <w:rPr>
          <w:iCs/>
          <w:szCs w:val="22"/>
        </w:rPr>
        <w:t xml:space="preserve">and not reported in </w:t>
      </w:r>
      <w:proofErr w:type="spellStart"/>
      <w:r w:rsidR="003C0139" w:rsidRPr="00961B75">
        <w:rPr>
          <w:iCs/>
          <w:szCs w:val="22"/>
        </w:rPr>
        <w:t>Wehmeyer</w:t>
      </w:r>
      <w:proofErr w:type="spellEnd"/>
      <w:r w:rsidR="003C0139" w:rsidRPr="00961B75">
        <w:rPr>
          <w:iCs/>
          <w:szCs w:val="22"/>
        </w:rPr>
        <w:t xml:space="preserve"> 2015</w:t>
      </w:r>
      <w:r w:rsidRPr="00961B75">
        <w:rPr>
          <w:szCs w:val="22"/>
        </w:rPr>
        <w:t xml:space="preserve">] compared to the </w:t>
      </w:r>
      <w:proofErr w:type="spellStart"/>
      <w:r w:rsidRPr="00961B75">
        <w:rPr>
          <w:szCs w:val="22"/>
        </w:rPr>
        <w:t>Technivie</w:t>
      </w:r>
      <w:proofErr w:type="spellEnd"/>
      <w:r w:rsidR="003C0139" w:rsidRPr="00961B75">
        <w:rPr>
          <w:szCs w:val="22"/>
        </w:rPr>
        <w:t>® trials</w:t>
      </w:r>
      <w:r w:rsidRPr="00961B75">
        <w:rPr>
          <w:szCs w:val="22"/>
        </w:rPr>
        <w:t xml:space="preserve"> (6%-25%</w:t>
      </w:r>
      <w:r w:rsidR="003C0139" w:rsidRPr="00961B75">
        <w:rPr>
          <w:szCs w:val="22"/>
        </w:rPr>
        <w:t xml:space="preserve"> across PEARL I, AGATE I and II</w:t>
      </w:r>
      <w:r w:rsidRPr="00961B75">
        <w:rPr>
          <w:szCs w:val="22"/>
        </w:rPr>
        <w:t>)</w:t>
      </w:r>
      <w:r w:rsidR="00961B75">
        <w:rPr>
          <w:szCs w:val="22"/>
        </w:rPr>
        <w:t xml:space="preserve">. </w:t>
      </w:r>
      <w:r w:rsidRPr="00961B75">
        <w:rPr>
          <w:szCs w:val="22"/>
        </w:rPr>
        <w:t>No death</w:t>
      </w:r>
      <w:r w:rsidR="00AD1785" w:rsidRPr="00961B75">
        <w:rPr>
          <w:szCs w:val="22"/>
        </w:rPr>
        <w:t>s</w:t>
      </w:r>
      <w:r w:rsidRPr="00961B75">
        <w:rPr>
          <w:szCs w:val="22"/>
        </w:rPr>
        <w:t xml:space="preserve"> </w:t>
      </w:r>
      <w:r w:rsidR="00AD1785" w:rsidRPr="00961B75">
        <w:rPr>
          <w:szCs w:val="22"/>
        </w:rPr>
        <w:t xml:space="preserve">were </w:t>
      </w:r>
      <w:r w:rsidRPr="00961B75">
        <w:rPr>
          <w:szCs w:val="22"/>
        </w:rPr>
        <w:t>reported in the SOF</w:t>
      </w:r>
      <w:r w:rsidR="001359B0">
        <w:rPr>
          <w:szCs w:val="22"/>
        </w:rPr>
        <w:t> </w:t>
      </w:r>
      <w:r w:rsidR="000A26D8" w:rsidRPr="00961B75">
        <w:rPr>
          <w:szCs w:val="22"/>
        </w:rPr>
        <w:t>+</w:t>
      </w:r>
      <w:r w:rsidR="001359B0">
        <w:rPr>
          <w:szCs w:val="22"/>
        </w:rPr>
        <w:t> </w:t>
      </w:r>
      <w:r w:rsidRPr="00961B75">
        <w:rPr>
          <w:szCs w:val="22"/>
        </w:rPr>
        <w:t>PR stud</w:t>
      </w:r>
      <w:r w:rsidR="00E271B4" w:rsidRPr="00961B75">
        <w:rPr>
          <w:szCs w:val="22"/>
        </w:rPr>
        <w:t>ies</w:t>
      </w:r>
      <w:r w:rsidR="00961B75">
        <w:rPr>
          <w:szCs w:val="22"/>
        </w:rPr>
        <w:t xml:space="preserve">. </w:t>
      </w:r>
      <w:r w:rsidRPr="00961B75">
        <w:rPr>
          <w:szCs w:val="22"/>
        </w:rPr>
        <w:t>Hematologic toxicities (anaemia and thrombocytopenia), influenza</w:t>
      </w:r>
      <w:r w:rsidR="001359B0">
        <w:rPr>
          <w:szCs w:val="22"/>
        </w:rPr>
        <w:t>-</w:t>
      </w:r>
      <w:r w:rsidRPr="00961B75">
        <w:rPr>
          <w:szCs w:val="22"/>
        </w:rPr>
        <w:t>like symptoms, gastrointestinal disorders, drug-induced rash events, and psychiatric events generally occurred at a numerically higher frequency in patients treated with SOF</w:t>
      </w:r>
      <w:r w:rsidR="001359B0">
        <w:rPr>
          <w:szCs w:val="22"/>
        </w:rPr>
        <w:t xml:space="preserve"> </w:t>
      </w:r>
      <w:r w:rsidRPr="00961B75">
        <w:rPr>
          <w:szCs w:val="22"/>
        </w:rPr>
        <w:t>+</w:t>
      </w:r>
      <w:r w:rsidR="001359B0">
        <w:rPr>
          <w:szCs w:val="22"/>
        </w:rPr>
        <w:t xml:space="preserve"> </w:t>
      </w:r>
      <w:r w:rsidRPr="00961B75">
        <w:rPr>
          <w:szCs w:val="22"/>
        </w:rPr>
        <w:t xml:space="preserve">PR compared with patients treated with </w:t>
      </w:r>
      <w:proofErr w:type="spellStart"/>
      <w:r w:rsidRPr="00961B75">
        <w:rPr>
          <w:szCs w:val="22"/>
        </w:rPr>
        <w:t>Technivie</w:t>
      </w:r>
      <w:proofErr w:type="spellEnd"/>
      <w:r w:rsidRPr="00961B75">
        <w:rPr>
          <w:szCs w:val="22"/>
        </w:rPr>
        <w:t>®</w:t>
      </w:r>
      <w:r w:rsidR="00DD3372" w:rsidRPr="00961B75">
        <w:rPr>
          <w:szCs w:val="22"/>
        </w:rPr>
        <w:t xml:space="preserve"> + RBV</w:t>
      </w:r>
      <w:r w:rsidRPr="00961B75">
        <w:rPr>
          <w:szCs w:val="22"/>
        </w:rPr>
        <w:t>.</w:t>
      </w:r>
    </w:p>
    <w:p w:rsidR="006508AE" w:rsidRPr="00961B75" w:rsidRDefault="006508AE" w:rsidP="004611DA">
      <w:pPr>
        <w:pStyle w:val="ListParagraph"/>
        <w:widowControl/>
        <w:rPr>
          <w:szCs w:val="22"/>
        </w:rPr>
      </w:pPr>
    </w:p>
    <w:p w:rsidR="003C10AE" w:rsidRPr="00961B75" w:rsidRDefault="006508AE" w:rsidP="00EF7F25">
      <w:pPr>
        <w:pStyle w:val="ListParagraph"/>
        <w:widowControl/>
        <w:numPr>
          <w:ilvl w:val="1"/>
          <w:numId w:val="1"/>
        </w:numPr>
        <w:rPr>
          <w:szCs w:val="22"/>
        </w:rPr>
      </w:pPr>
      <w:r w:rsidRPr="00961B75">
        <w:rPr>
          <w:szCs w:val="22"/>
        </w:rPr>
        <w:t>Post</w:t>
      </w:r>
      <w:r w:rsidR="007B30E9" w:rsidRPr="00961B75">
        <w:rPr>
          <w:szCs w:val="22"/>
        </w:rPr>
        <w:t>-</w:t>
      </w:r>
      <w:r w:rsidRPr="00961B75">
        <w:rPr>
          <w:szCs w:val="22"/>
        </w:rPr>
        <w:t xml:space="preserve">marketing reports of hepatic </w:t>
      </w:r>
      <w:proofErr w:type="spellStart"/>
      <w:r w:rsidRPr="00961B75">
        <w:rPr>
          <w:szCs w:val="22"/>
        </w:rPr>
        <w:t>decompensation</w:t>
      </w:r>
      <w:proofErr w:type="spellEnd"/>
      <w:r w:rsidR="00A54F82" w:rsidRPr="00961B75">
        <w:rPr>
          <w:szCs w:val="22"/>
        </w:rPr>
        <w:t xml:space="preserve"> and/or failure</w:t>
      </w:r>
      <w:r w:rsidRPr="00961B75">
        <w:rPr>
          <w:szCs w:val="22"/>
        </w:rPr>
        <w:t xml:space="preserve"> including liver transplantation or </w:t>
      </w:r>
      <w:r w:rsidR="00A54F82" w:rsidRPr="00961B75">
        <w:rPr>
          <w:szCs w:val="22"/>
        </w:rPr>
        <w:t xml:space="preserve">death </w:t>
      </w:r>
      <w:r w:rsidRPr="00961B75">
        <w:rPr>
          <w:szCs w:val="22"/>
        </w:rPr>
        <w:t>associated with the 3-DAA (</w:t>
      </w:r>
      <w:proofErr w:type="spellStart"/>
      <w:r w:rsidRPr="00961B75">
        <w:rPr>
          <w:szCs w:val="22"/>
        </w:rPr>
        <w:t>Viekira</w:t>
      </w:r>
      <w:proofErr w:type="spellEnd"/>
      <w:r w:rsidRPr="00961B75">
        <w:rPr>
          <w:szCs w:val="22"/>
        </w:rPr>
        <w:t>®) and 2-DAA (</w:t>
      </w:r>
      <w:proofErr w:type="spellStart"/>
      <w:r w:rsidRPr="00961B75">
        <w:rPr>
          <w:szCs w:val="22"/>
        </w:rPr>
        <w:t>Technivie</w:t>
      </w:r>
      <w:proofErr w:type="spellEnd"/>
      <w:r w:rsidRPr="00961B75">
        <w:rPr>
          <w:szCs w:val="22"/>
        </w:rPr>
        <w:t>®) regimens were identified</w:t>
      </w:r>
      <w:r w:rsidR="00A54F82" w:rsidRPr="00961B75">
        <w:rPr>
          <w:szCs w:val="22"/>
        </w:rPr>
        <w:t>.</w:t>
      </w:r>
      <w:r w:rsidRPr="00961B75">
        <w:rPr>
          <w:szCs w:val="22"/>
        </w:rPr>
        <w:t xml:space="preserve"> Most patients with severe </w:t>
      </w:r>
      <w:r w:rsidR="001272CD" w:rsidRPr="00961B75">
        <w:rPr>
          <w:szCs w:val="22"/>
        </w:rPr>
        <w:t xml:space="preserve">events </w:t>
      </w:r>
      <w:r w:rsidRPr="00961B75">
        <w:rPr>
          <w:szCs w:val="22"/>
        </w:rPr>
        <w:t>had evidence of advanced or decompensated cirrhosis prior to initiating therapy. To investigate, the U</w:t>
      </w:r>
      <w:r w:rsidR="004C75D3" w:rsidRPr="00961B75">
        <w:rPr>
          <w:szCs w:val="22"/>
        </w:rPr>
        <w:t>nited States Food and Drug Administration (U</w:t>
      </w:r>
      <w:r w:rsidRPr="00961B75">
        <w:rPr>
          <w:szCs w:val="22"/>
        </w:rPr>
        <w:t>S FDA</w:t>
      </w:r>
      <w:r w:rsidR="004C75D3" w:rsidRPr="00961B75">
        <w:rPr>
          <w:szCs w:val="22"/>
        </w:rPr>
        <w:t>)</w:t>
      </w:r>
      <w:r w:rsidRPr="00961B75">
        <w:rPr>
          <w:szCs w:val="22"/>
        </w:rPr>
        <w:t xml:space="preserve"> requested a cumulative review of reports of hepatic failure and hepatic </w:t>
      </w:r>
      <w:proofErr w:type="spellStart"/>
      <w:r w:rsidRPr="00961B75">
        <w:rPr>
          <w:szCs w:val="22"/>
        </w:rPr>
        <w:t>decompensation</w:t>
      </w:r>
      <w:proofErr w:type="spellEnd"/>
      <w:r w:rsidRPr="00961B75">
        <w:rPr>
          <w:szCs w:val="22"/>
        </w:rPr>
        <w:t xml:space="preserve"> including an independent assessment by an External Hepatic Panel (EHP)</w:t>
      </w:r>
      <w:r w:rsidR="00961B75">
        <w:rPr>
          <w:szCs w:val="22"/>
        </w:rPr>
        <w:t xml:space="preserve">. </w:t>
      </w:r>
      <w:r w:rsidRPr="00A746EE">
        <w:rPr>
          <w:szCs w:val="22"/>
        </w:rPr>
        <w:t xml:space="preserve">As a result of the review, in October 2015: the </w:t>
      </w:r>
      <w:r w:rsidR="00314CDA" w:rsidRPr="00A746EE">
        <w:rPr>
          <w:szCs w:val="22"/>
        </w:rPr>
        <w:t xml:space="preserve">US </w:t>
      </w:r>
      <w:r w:rsidRPr="00A746EE">
        <w:rPr>
          <w:szCs w:val="22"/>
        </w:rPr>
        <w:t xml:space="preserve">FDA </w:t>
      </w:r>
      <w:r w:rsidR="0040233E">
        <w:rPr>
          <w:noProof/>
          <w:color w:val="000000"/>
          <w:szCs w:val="22"/>
          <w:highlight w:val="black"/>
        </w:rPr>
        <w:t>'''''''''''''''''''''' ''' '''''''' ''''' '''''''''''''' '''''''''''''''''''''''' '''' ''''''''''''' '''''''''''''''''''' ''''''''''''''''''''''''''''''''''''''''''''''''''''' '''''' ''''''''''''''''''''' ''''''''''''''''''''''''''''''''''''' '''''''''''' '''' ''''''''''' '''''''''' ''' '''''''''''' '''''''''''''''''''' ''''''''' '''''''''''''''''''''''' '''' '''''''''''''''''''''</w:t>
      </w:r>
      <w:r w:rsidRPr="00961B75">
        <w:rPr>
          <w:szCs w:val="22"/>
        </w:rPr>
        <w:t xml:space="preserve">. The Company Core Data Sheet (CCDS) was also updated to include a warning of post-marketing events of hepatic </w:t>
      </w:r>
      <w:proofErr w:type="spellStart"/>
      <w:r w:rsidRPr="00961B75">
        <w:rPr>
          <w:szCs w:val="22"/>
        </w:rPr>
        <w:t>decompensation</w:t>
      </w:r>
      <w:proofErr w:type="spellEnd"/>
      <w:r w:rsidRPr="00961B75">
        <w:rPr>
          <w:szCs w:val="22"/>
        </w:rPr>
        <w:t>, a statement that the 3-DAA (</w:t>
      </w:r>
      <w:proofErr w:type="spellStart"/>
      <w:r w:rsidRPr="00961B75">
        <w:rPr>
          <w:szCs w:val="22"/>
        </w:rPr>
        <w:t>Viekira</w:t>
      </w:r>
      <w:proofErr w:type="spellEnd"/>
      <w:r w:rsidRPr="00961B75">
        <w:rPr>
          <w:szCs w:val="22"/>
        </w:rPr>
        <w:t>®) and 2-DAA regimens (</w:t>
      </w:r>
      <w:proofErr w:type="spellStart"/>
      <w:r w:rsidRPr="00961B75">
        <w:rPr>
          <w:szCs w:val="22"/>
        </w:rPr>
        <w:t>Technivie</w:t>
      </w:r>
      <w:proofErr w:type="spellEnd"/>
      <w:r w:rsidRPr="00961B75">
        <w:rPr>
          <w:szCs w:val="22"/>
        </w:rPr>
        <w:t xml:space="preserve">®) are not recommended in </w:t>
      </w:r>
      <w:r w:rsidR="007B30E9" w:rsidRPr="00961B75">
        <w:rPr>
          <w:szCs w:val="22"/>
        </w:rPr>
        <w:t xml:space="preserve">patients with </w:t>
      </w:r>
      <w:r w:rsidRPr="00961B75">
        <w:rPr>
          <w:szCs w:val="22"/>
        </w:rPr>
        <w:t>Child-Pugh</w:t>
      </w:r>
      <w:r w:rsidR="004C75D3" w:rsidRPr="00961B75">
        <w:rPr>
          <w:szCs w:val="22"/>
        </w:rPr>
        <w:t> </w:t>
      </w:r>
      <w:r w:rsidRPr="00961B75">
        <w:rPr>
          <w:szCs w:val="22"/>
        </w:rPr>
        <w:t>B cirrhosis and monitoring instructions for cirrhotic patients. The US FDA also required the insertion of a new contraindication for patients with Child-Pugh B cirrhosis (a change from the previous wording of ‘not recommended’ in Child-Pugh B patients)</w:t>
      </w:r>
      <w:r w:rsidR="00961B75">
        <w:rPr>
          <w:szCs w:val="22"/>
        </w:rPr>
        <w:t xml:space="preserve">. </w:t>
      </w:r>
      <w:r w:rsidRPr="00961B75">
        <w:rPr>
          <w:szCs w:val="22"/>
        </w:rPr>
        <w:t xml:space="preserve">A Dear Health Care Provider (DHCP) letter was sent out by the </w:t>
      </w:r>
      <w:r w:rsidR="007B30E9" w:rsidRPr="00961B75">
        <w:rPr>
          <w:szCs w:val="22"/>
        </w:rPr>
        <w:t>s</w:t>
      </w:r>
      <w:r w:rsidRPr="00961B75">
        <w:rPr>
          <w:szCs w:val="22"/>
        </w:rPr>
        <w:t xml:space="preserve">ponsor to prescribers in </w:t>
      </w:r>
      <w:r w:rsidR="009060FE" w:rsidRPr="00961B75">
        <w:rPr>
          <w:szCs w:val="22"/>
        </w:rPr>
        <w:t xml:space="preserve">the </w:t>
      </w:r>
      <w:r w:rsidRPr="00961B75">
        <w:rPr>
          <w:szCs w:val="22"/>
        </w:rPr>
        <w:t xml:space="preserve">US, EU and Brazil to inform them of the change in </w:t>
      </w:r>
      <w:r w:rsidR="009060FE" w:rsidRPr="00961B75">
        <w:rPr>
          <w:szCs w:val="22"/>
        </w:rPr>
        <w:t xml:space="preserve">the </w:t>
      </w:r>
      <w:r w:rsidRPr="00961B75">
        <w:rPr>
          <w:szCs w:val="22"/>
        </w:rPr>
        <w:t>P</w:t>
      </w:r>
      <w:r w:rsidR="009060FE" w:rsidRPr="00961B75">
        <w:rPr>
          <w:szCs w:val="22"/>
        </w:rPr>
        <w:t xml:space="preserve">roduct </w:t>
      </w:r>
      <w:r w:rsidRPr="00961B75">
        <w:rPr>
          <w:szCs w:val="22"/>
        </w:rPr>
        <w:t>I</w:t>
      </w:r>
      <w:r w:rsidR="009060FE" w:rsidRPr="00961B75">
        <w:rPr>
          <w:szCs w:val="22"/>
        </w:rPr>
        <w:t>nformation (PI)</w:t>
      </w:r>
      <w:r w:rsidRPr="00961B75">
        <w:rPr>
          <w:szCs w:val="22"/>
        </w:rPr>
        <w:t>.</w:t>
      </w:r>
    </w:p>
    <w:p w:rsidR="003E45BB" w:rsidRPr="00961B75" w:rsidRDefault="003E45BB" w:rsidP="003E45BB">
      <w:pPr>
        <w:pStyle w:val="ListParagraph"/>
        <w:widowControl/>
        <w:rPr>
          <w:szCs w:val="22"/>
        </w:rPr>
      </w:pPr>
    </w:p>
    <w:p w:rsidR="003E45BB" w:rsidRPr="00961B75" w:rsidRDefault="003E45BB" w:rsidP="00EF7F25">
      <w:pPr>
        <w:pStyle w:val="ListParagraph"/>
        <w:widowControl/>
        <w:numPr>
          <w:ilvl w:val="1"/>
          <w:numId w:val="1"/>
        </w:numPr>
        <w:rPr>
          <w:szCs w:val="22"/>
        </w:rPr>
      </w:pPr>
      <w:r w:rsidRPr="00961B75">
        <w:rPr>
          <w:szCs w:val="22"/>
        </w:rPr>
        <w:t xml:space="preserve">The </w:t>
      </w:r>
      <w:r w:rsidR="00936838" w:rsidRPr="00961B75">
        <w:rPr>
          <w:szCs w:val="22"/>
        </w:rPr>
        <w:t>PSCR (</w:t>
      </w:r>
      <w:r w:rsidRPr="00961B75">
        <w:rPr>
          <w:szCs w:val="22"/>
        </w:rPr>
        <w:t xml:space="preserve">p2) provided an updated draft </w:t>
      </w:r>
      <w:proofErr w:type="spellStart"/>
      <w:r w:rsidRPr="00961B75">
        <w:rPr>
          <w:szCs w:val="22"/>
        </w:rPr>
        <w:t>Technivie</w:t>
      </w:r>
      <w:proofErr w:type="spellEnd"/>
      <w:r w:rsidRPr="00961B75">
        <w:rPr>
          <w:szCs w:val="22"/>
        </w:rPr>
        <w:t>® PI (dated 13 September 2016), which</w:t>
      </w:r>
      <w:r w:rsidR="00A81326" w:rsidRPr="00961B75">
        <w:rPr>
          <w:szCs w:val="22"/>
        </w:rPr>
        <w:t xml:space="preserve"> indicates </w:t>
      </w:r>
      <w:r w:rsidRPr="00961B75">
        <w:rPr>
          <w:szCs w:val="22"/>
        </w:rPr>
        <w:t xml:space="preserve">use of </w:t>
      </w:r>
      <w:proofErr w:type="spellStart"/>
      <w:r w:rsidRPr="00961B75">
        <w:rPr>
          <w:szCs w:val="22"/>
        </w:rPr>
        <w:t>Technivie</w:t>
      </w:r>
      <w:proofErr w:type="spellEnd"/>
      <w:r w:rsidRPr="00961B75">
        <w:rPr>
          <w:szCs w:val="22"/>
        </w:rPr>
        <w:t>® is not recommended in patients with moderate hepatic impairment (Child-Pugh B) and is contraindicated in patients with severe hepatic impairment (Child-Pugh C).</w:t>
      </w:r>
    </w:p>
    <w:p w:rsidR="003E45BB" w:rsidRPr="00961B75" w:rsidRDefault="003E45BB" w:rsidP="003E45BB">
      <w:pPr>
        <w:pStyle w:val="ListParagraph"/>
        <w:rPr>
          <w:szCs w:val="22"/>
        </w:rPr>
      </w:pPr>
    </w:p>
    <w:p w:rsidR="003E45BB" w:rsidRPr="00961B75" w:rsidRDefault="003E45BB" w:rsidP="00EF7F25">
      <w:pPr>
        <w:pStyle w:val="ListParagraph"/>
        <w:widowControl/>
        <w:numPr>
          <w:ilvl w:val="1"/>
          <w:numId w:val="1"/>
        </w:numPr>
        <w:rPr>
          <w:szCs w:val="22"/>
        </w:rPr>
      </w:pPr>
      <w:r w:rsidRPr="00961B75">
        <w:rPr>
          <w:szCs w:val="22"/>
        </w:rPr>
        <w:t>Based on the cumulative review of</w:t>
      </w:r>
      <w:r w:rsidR="00A46FFA">
        <w:rPr>
          <w:szCs w:val="22"/>
        </w:rPr>
        <w:t xml:space="preserve"> post-marketing</w:t>
      </w:r>
      <w:r w:rsidRPr="00961B75">
        <w:rPr>
          <w:szCs w:val="22"/>
        </w:rPr>
        <w:t xml:space="preserve"> </w:t>
      </w:r>
      <w:r w:rsidR="00A46FFA" w:rsidRPr="00961B75">
        <w:rPr>
          <w:szCs w:val="22"/>
        </w:rPr>
        <w:t xml:space="preserve">reports, reports of </w:t>
      </w:r>
      <w:proofErr w:type="spellStart"/>
      <w:r w:rsidR="00A46FFA" w:rsidRPr="00961B75">
        <w:rPr>
          <w:szCs w:val="22"/>
        </w:rPr>
        <w:t>decompensation</w:t>
      </w:r>
      <w:proofErr w:type="spellEnd"/>
      <w:r w:rsidR="00A46FFA" w:rsidRPr="00961B75">
        <w:rPr>
          <w:szCs w:val="22"/>
        </w:rPr>
        <w:t xml:space="preserve"> and liver failure were not limited to patients with Child-Pugh B and C cirrhosis but also included patients with no evidence of cirrhosis or with only mild cirrhosis (Child-Pugh A), although at a lower incidence. It was noted that for some patients, the outcome of </w:t>
      </w:r>
      <w:proofErr w:type="spellStart"/>
      <w:r w:rsidR="00A46FFA" w:rsidRPr="00961B75">
        <w:rPr>
          <w:szCs w:val="22"/>
        </w:rPr>
        <w:t>decompensation</w:t>
      </w:r>
      <w:proofErr w:type="spellEnd"/>
      <w:r w:rsidR="00A46FFA" w:rsidRPr="00961B75">
        <w:rPr>
          <w:szCs w:val="22"/>
        </w:rPr>
        <w:t xml:space="preserve"> and failure was severe including liver transplantation and/or death</w:t>
      </w:r>
      <w:r w:rsidR="00B745EC">
        <w:rPr>
          <w:szCs w:val="22"/>
        </w:rPr>
        <w:t xml:space="preserve"> (see approved Product Information for more detail)</w:t>
      </w:r>
      <w:r w:rsidR="00A46FFA" w:rsidRPr="00961B75">
        <w:rPr>
          <w:szCs w:val="22"/>
        </w:rPr>
        <w:t>.</w:t>
      </w:r>
    </w:p>
    <w:p w:rsidR="003E45BB" w:rsidRPr="00961B75" w:rsidRDefault="003E45BB" w:rsidP="003E45BB">
      <w:pPr>
        <w:pStyle w:val="ListParagraph"/>
        <w:rPr>
          <w:szCs w:val="22"/>
        </w:rPr>
      </w:pPr>
    </w:p>
    <w:p w:rsidR="006508AE" w:rsidRPr="0040233E" w:rsidRDefault="0040233E" w:rsidP="0040233E">
      <w:pPr>
        <w:widowControl/>
        <w:ind w:left="720" w:hanging="720"/>
        <w:rPr>
          <w:szCs w:val="22"/>
          <w:highlight w:val="black"/>
        </w:rPr>
      </w:pPr>
      <w:r>
        <w:rPr>
          <w:noProof/>
          <w:color w:val="000000"/>
          <w:szCs w:val="22"/>
          <w:highlight w:val="black"/>
        </w:rPr>
        <w:t>'''''''''''''''''' '''''''''''''''' '''' '''''''' ''''''''''''''''' '''''''''''' ''''''''''' '''''' '''' '''''''''''''''''''' ''''''''''''''''''''''''' ''''' '''''''' '''''''''''' ''''' '''''''''''''''''' '''' ''''''''''''''''''' ''''''''''''''''''''''''''''''''''''' ''''' ''''''''''''''' ''''''''' ''''''''' ''''''''''''''''''''' ''''' ''''''''''' '''''''''''''''''' '''''''''''''''''''''' ''''''''''''''''''' '''''''''''''''''''''''' ''''' '''''''' '''''''''''''''''''''''''' ''''' '''''''''''''''' ''''' '''''''''''''''''' '''''''''''''''''''''''''''''''''''''''' ''''''''' ''''''''''''''' ''''' ''''''' ''''''''''''''''''''''' ''''' ''''''''''''''''''''' ''''''''''''''''''' ''''''' ''''''''''''''' ''''' '''''''''''''''''' '''''''''''''''''''''''' '''' ''''''''''''''''''''''''''' '''''' '''''''' ''''''''''''''''''''' ''''' '''''''''''''''''''''''' ''''''' ''''''''' '''''''''''''''''' ''''' ''''''''''''''''' ''''''''''''''''''' ''''''''' ''''''''''''''''''''''''''''''' ''''' ''''''''' '''''' '''''''' ''''''''''''''''''''''''' '''' ''''''''''''''''''''' ''''''''''''''''''' ''''''''''''''''' ''''''''' '''''''''''''''''''''''''''''</w:t>
      </w:r>
    </w:p>
    <w:p w:rsidR="0081351A" w:rsidRPr="00961B75" w:rsidRDefault="0081351A" w:rsidP="0081351A">
      <w:pPr>
        <w:pStyle w:val="ListParagraph"/>
        <w:rPr>
          <w:szCs w:val="22"/>
        </w:rPr>
      </w:pPr>
    </w:p>
    <w:p w:rsidR="0081351A" w:rsidRPr="00961B75" w:rsidRDefault="0081351A" w:rsidP="00EF7F25">
      <w:pPr>
        <w:pStyle w:val="ListParagraph"/>
        <w:widowControl/>
        <w:numPr>
          <w:ilvl w:val="1"/>
          <w:numId w:val="1"/>
        </w:numPr>
        <w:rPr>
          <w:szCs w:val="22"/>
        </w:rPr>
      </w:pPr>
      <w:r w:rsidRPr="00961B75">
        <w:rPr>
          <w:szCs w:val="22"/>
        </w:rPr>
        <w:t>The PSCR (pp2-3) outlined factors t</w:t>
      </w:r>
      <w:r w:rsidR="00582A78" w:rsidRPr="00961B75">
        <w:rPr>
          <w:szCs w:val="22"/>
        </w:rPr>
        <w:t xml:space="preserve">hat it viewed should </w:t>
      </w:r>
      <w:r w:rsidR="0078547D" w:rsidRPr="00961B75">
        <w:rPr>
          <w:szCs w:val="22"/>
        </w:rPr>
        <w:t>be</w:t>
      </w:r>
      <w:r w:rsidRPr="00961B75">
        <w:rPr>
          <w:szCs w:val="22"/>
        </w:rPr>
        <w:t xml:space="preserve"> consider</w:t>
      </w:r>
      <w:r w:rsidR="0078547D" w:rsidRPr="00961B75">
        <w:rPr>
          <w:szCs w:val="22"/>
        </w:rPr>
        <w:t>ed</w:t>
      </w:r>
      <w:r w:rsidRPr="00961B75">
        <w:rPr>
          <w:szCs w:val="22"/>
        </w:rPr>
        <w:t xml:space="preserve"> </w:t>
      </w:r>
      <w:r w:rsidR="00582A78" w:rsidRPr="00961B75">
        <w:rPr>
          <w:szCs w:val="22"/>
        </w:rPr>
        <w:t>when</w:t>
      </w:r>
      <w:r w:rsidRPr="00961B75">
        <w:rPr>
          <w:szCs w:val="22"/>
        </w:rPr>
        <w:t xml:space="preserve"> assessing the causa</w:t>
      </w:r>
      <w:r w:rsidR="0096721D" w:rsidRPr="00961B75">
        <w:rPr>
          <w:szCs w:val="22"/>
        </w:rPr>
        <w:t>lity</w:t>
      </w:r>
      <w:r w:rsidRPr="00961B75">
        <w:rPr>
          <w:szCs w:val="22"/>
        </w:rPr>
        <w:t xml:space="preserve"> of cases of hepatic </w:t>
      </w:r>
      <w:proofErr w:type="spellStart"/>
      <w:r w:rsidRPr="00961B75">
        <w:rPr>
          <w:szCs w:val="22"/>
        </w:rPr>
        <w:t>decompensation</w:t>
      </w:r>
      <w:proofErr w:type="spellEnd"/>
      <w:r w:rsidRPr="00961B75">
        <w:rPr>
          <w:szCs w:val="22"/>
        </w:rPr>
        <w:t xml:space="preserve"> in compensated cirrhotic patients</w:t>
      </w:r>
      <w:r w:rsidR="00582A78" w:rsidRPr="00961B75">
        <w:rPr>
          <w:szCs w:val="22"/>
        </w:rPr>
        <w:t xml:space="preserve"> </w:t>
      </w:r>
      <w:r w:rsidRPr="00961B75">
        <w:rPr>
          <w:szCs w:val="22"/>
        </w:rPr>
        <w:t>reported as post-marketing adverse events, including:</w:t>
      </w:r>
    </w:p>
    <w:p w:rsidR="0081351A" w:rsidRPr="00961B75" w:rsidRDefault="0046335E" w:rsidP="00EF7F25">
      <w:pPr>
        <w:pStyle w:val="ListParagraph"/>
        <w:widowControl/>
        <w:numPr>
          <w:ilvl w:val="0"/>
          <w:numId w:val="5"/>
        </w:numPr>
        <w:rPr>
          <w:szCs w:val="22"/>
        </w:rPr>
      </w:pPr>
      <w:r w:rsidRPr="00961B75">
        <w:rPr>
          <w:szCs w:val="22"/>
        </w:rPr>
        <w:t>Confounding</w:t>
      </w:r>
      <w:r w:rsidR="0081351A" w:rsidRPr="00961B75">
        <w:rPr>
          <w:szCs w:val="22"/>
        </w:rPr>
        <w:t xml:space="preserve"> by concurrent medical conditions such as </w:t>
      </w:r>
      <w:proofErr w:type="spellStart"/>
      <w:r w:rsidR="0081351A" w:rsidRPr="00961B75">
        <w:rPr>
          <w:szCs w:val="22"/>
        </w:rPr>
        <w:t>extrahepatic</w:t>
      </w:r>
      <w:proofErr w:type="spellEnd"/>
      <w:r w:rsidR="0081351A" w:rsidRPr="00961B75">
        <w:rPr>
          <w:szCs w:val="22"/>
        </w:rPr>
        <w:t xml:space="preserve"> infectious processes, </w:t>
      </w:r>
      <w:proofErr w:type="spellStart"/>
      <w:r w:rsidR="0081351A" w:rsidRPr="00961B75">
        <w:rPr>
          <w:szCs w:val="22"/>
        </w:rPr>
        <w:t>cholecystitis</w:t>
      </w:r>
      <w:proofErr w:type="spellEnd"/>
      <w:r w:rsidR="0081351A" w:rsidRPr="00961B75">
        <w:rPr>
          <w:szCs w:val="22"/>
        </w:rPr>
        <w:t xml:space="preserve">, and </w:t>
      </w:r>
      <w:proofErr w:type="spellStart"/>
      <w:r w:rsidR="0081351A" w:rsidRPr="00961B75">
        <w:rPr>
          <w:szCs w:val="22"/>
        </w:rPr>
        <w:t>choledocholithiasis</w:t>
      </w:r>
      <w:proofErr w:type="spellEnd"/>
      <w:r w:rsidR="0081351A" w:rsidRPr="00961B75">
        <w:rPr>
          <w:szCs w:val="22"/>
        </w:rPr>
        <w:t>.</w:t>
      </w:r>
      <w:r w:rsidR="00707267" w:rsidRPr="00961B75">
        <w:rPr>
          <w:szCs w:val="22"/>
        </w:rPr>
        <w:t xml:space="preserve"> The PSCR advised that i</w:t>
      </w:r>
      <w:r w:rsidR="0081351A" w:rsidRPr="00961B75">
        <w:rPr>
          <w:szCs w:val="22"/>
        </w:rPr>
        <w:t xml:space="preserve">n the majority of </w:t>
      </w:r>
      <w:r w:rsidR="00707267" w:rsidRPr="00961B75">
        <w:rPr>
          <w:szCs w:val="22"/>
        </w:rPr>
        <w:t>AE</w:t>
      </w:r>
      <w:r w:rsidR="0081351A" w:rsidRPr="00961B75">
        <w:rPr>
          <w:szCs w:val="22"/>
        </w:rPr>
        <w:t xml:space="preserve"> reports</w:t>
      </w:r>
      <w:r w:rsidR="00707267" w:rsidRPr="00961B75">
        <w:rPr>
          <w:szCs w:val="22"/>
        </w:rPr>
        <w:t>,</w:t>
      </w:r>
      <w:r w:rsidR="0081351A" w:rsidRPr="00961B75">
        <w:rPr>
          <w:szCs w:val="22"/>
        </w:rPr>
        <w:t xml:space="preserve"> there was </w:t>
      </w:r>
      <w:r w:rsidR="00707267" w:rsidRPr="00961B75">
        <w:rPr>
          <w:szCs w:val="22"/>
        </w:rPr>
        <w:t>in</w:t>
      </w:r>
      <w:r w:rsidR="0081351A" w:rsidRPr="00961B75">
        <w:rPr>
          <w:szCs w:val="22"/>
        </w:rPr>
        <w:t>sufficient information</w:t>
      </w:r>
      <w:r w:rsidR="00707267" w:rsidRPr="00961B75">
        <w:rPr>
          <w:szCs w:val="22"/>
        </w:rPr>
        <w:t xml:space="preserve"> to enable causality assessment and </w:t>
      </w:r>
      <w:r w:rsidRPr="00961B75">
        <w:rPr>
          <w:szCs w:val="22"/>
        </w:rPr>
        <w:t xml:space="preserve">there was </w:t>
      </w:r>
      <w:r w:rsidR="00707267" w:rsidRPr="00961B75">
        <w:rPr>
          <w:szCs w:val="22"/>
        </w:rPr>
        <w:t>an absence of</w:t>
      </w:r>
      <w:r w:rsidR="0081351A" w:rsidRPr="00961B75">
        <w:rPr>
          <w:szCs w:val="22"/>
        </w:rPr>
        <w:t xml:space="preserve"> information about the status of patient</w:t>
      </w:r>
      <w:r w:rsidR="00707267" w:rsidRPr="00961B75">
        <w:rPr>
          <w:szCs w:val="22"/>
        </w:rPr>
        <w:t>s’ hepatic disease at baseline</w:t>
      </w:r>
      <w:r w:rsidR="0081351A" w:rsidRPr="00961B75">
        <w:rPr>
          <w:szCs w:val="22"/>
        </w:rPr>
        <w:t xml:space="preserve">. </w:t>
      </w:r>
    </w:p>
    <w:p w:rsidR="0081351A" w:rsidRPr="00961B75" w:rsidRDefault="00707267" w:rsidP="00EF7F25">
      <w:pPr>
        <w:pStyle w:val="ListParagraph"/>
        <w:widowControl/>
        <w:numPr>
          <w:ilvl w:val="0"/>
          <w:numId w:val="5"/>
        </w:numPr>
        <w:rPr>
          <w:szCs w:val="22"/>
        </w:rPr>
      </w:pPr>
      <w:r w:rsidRPr="00961B75">
        <w:rPr>
          <w:szCs w:val="22"/>
        </w:rPr>
        <w:t>Difficulty in ruling o</w:t>
      </w:r>
      <w:r w:rsidR="0081351A" w:rsidRPr="00961B75">
        <w:rPr>
          <w:szCs w:val="22"/>
        </w:rPr>
        <w:t xml:space="preserve">ut </w:t>
      </w:r>
      <w:proofErr w:type="spellStart"/>
      <w:r w:rsidR="0081351A" w:rsidRPr="00961B75">
        <w:rPr>
          <w:szCs w:val="22"/>
        </w:rPr>
        <w:t>decompensation</w:t>
      </w:r>
      <w:proofErr w:type="spellEnd"/>
      <w:r w:rsidR="0081351A" w:rsidRPr="00961B75">
        <w:rPr>
          <w:szCs w:val="22"/>
        </w:rPr>
        <w:t xml:space="preserve"> in patients with cirrhosis occurring as part of the natural history of the disease for a patient with limited hepatic reserves. Natural history of progression to decompensated cirrhosis, as part of the underlying disease state, has been described in several large studies of cirrhotic patients, including patients with Child-Pugh A cirrhosis (</w:t>
      </w:r>
      <w:proofErr w:type="spellStart"/>
      <w:r w:rsidR="0081351A" w:rsidRPr="00961B75">
        <w:rPr>
          <w:szCs w:val="22"/>
        </w:rPr>
        <w:t>Alazawi</w:t>
      </w:r>
      <w:proofErr w:type="spellEnd"/>
      <w:r w:rsidR="0081351A" w:rsidRPr="00961B75">
        <w:rPr>
          <w:szCs w:val="22"/>
        </w:rPr>
        <w:t xml:space="preserve"> W et al 2010 &amp; D’Amico G et al 2006). </w:t>
      </w:r>
    </w:p>
    <w:p w:rsidR="00B60939" w:rsidRPr="00961B75" w:rsidRDefault="00B60939" w:rsidP="004611DA">
      <w:pPr>
        <w:pStyle w:val="ListParagraph"/>
        <w:widowControl/>
        <w:ind w:left="0"/>
        <w:rPr>
          <w:szCs w:val="22"/>
        </w:rPr>
      </w:pPr>
    </w:p>
    <w:p w:rsidR="007F1017" w:rsidRPr="00961B75" w:rsidRDefault="007F1017" w:rsidP="004611DA">
      <w:pPr>
        <w:pStyle w:val="Heading2"/>
        <w:widowControl/>
        <w:rPr>
          <w:i/>
          <w:szCs w:val="22"/>
        </w:rPr>
      </w:pPr>
      <w:bookmarkStart w:id="11" w:name="_Toc461551706"/>
      <w:r w:rsidRPr="00961B75">
        <w:rPr>
          <w:i/>
        </w:rPr>
        <w:t>Benefits/harms</w:t>
      </w:r>
      <w:bookmarkEnd w:id="11"/>
    </w:p>
    <w:p w:rsidR="007F1017" w:rsidRPr="00961B75" w:rsidRDefault="007F1017" w:rsidP="004611DA">
      <w:pPr>
        <w:pStyle w:val="ListParagraph"/>
        <w:widowControl/>
        <w:ind w:left="0"/>
        <w:rPr>
          <w:szCs w:val="22"/>
        </w:rPr>
      </w:pPr>
    </w:p>
    <w:p w:rsidR="00A0521D" w:rsidRPr="00961B75" w:rsidRDefault="00A0521D" w:rsidP="00EF7F25">
      <w:pPr>
        <w:pStyle w:val="ListParagraph"/>
        <w:widowControl/>
        <w:numPr>
          <w:ilvl w:val="1"/>
          <w:numId w:val="1"/>
        </w:numPr>
      </w:pPr>
      <w:r w:rsidRPr="00961B75">
        <w:t xml:space="preserve">A summary table of benefits and harms cannot be formulated, given: </w:t>
      </w:r>
    </w:p>
    <w:p w:rsidR="00A0521D" w:rsidRPr="00961B75" w:rsidRDefault="00A0521D" w:rsidP="00EF7F25">
      <w:pPr>
        <w:pStyle w:val="ListParagraph"/>
        <w:widowControl/>
        <w:numPr>
          <w:ilvl w:val="0"/>
          <w:numId w:val="7"/>
        </w:numPr>
      </w:pPr>
      <w:r w:rsidRPr="00961B75">
        <w:t xml:space="preserve">the lack of comparative evidence from head-to-head trials; </w:t>
      </w:r>
    </w:p>
    <w:p w:rsidR="00A0521D" w:rsidRPr="00961B75" w:rsidRDefault="00A0521D" w:rsidP="00EF7F25">
      <w:pPr>
        <w:pStyle w:val="ListParagraph"/>
        <w:widowControl/>
        <w:numPr>
          <w:ilvl w:val="0"/>
          <w:numId w:val="7"/>
        </w:numPr>
      </w:pPr>
      <w:r w:rsidRPr="00961B75">
        <w:t xml:space="preserve">concerns regarding unadjusted indirect comparisons of clinical studies with potential exchangeability issues; </w:t>
      </w:r>
      <w:r w:rsidR="003C10AE" w:rsidRPr="00961B75">
        <w:t>and</w:t>
      </w:r>
    </w:p>
    <w:p w:rsidR="00A0521D" w:rsidRPr="00961B75" w:rsidRDefault="00A0521D" w:rsidP="00EF7F25">
      <w:pPr>
        <w:pStyle w:val="ListParagraph"/>
        <w:widowControl/>
        <w:numPr>
          <w:ilvl w:val="0"/>
          <w:numId w:val="7"/>
        </w:numPr>
      </w:pPr>
      <w:proofErr w:type="gramStart"/>
      <w:r w:rsidRPr="00961B75">
        <w:t>the</w:t>
      </w:r>
      <w:proofErr w:type="gramEnd"/>
      <w:r w:rsidRPr="00961B75">
        <w:t xml:space="preserve"> lack of statistically significant differences in SVR rates between </w:t>
      </w:r>
      <w:proofErr w:type="spellStart"/>
      <w:r w:rsidRPr="00961B75">
        <w:t>Technivie</w:t>
      </w:r>
      <w:proofErr w:type="spellEnd"/>
      <w:r w:rsidRPr="00961B75">
        <w:t>®</w:t>
      </w:r>
      <w:r w:rsidR="00362AFC">
        <w:t xml:space="preserve"> </w:t>
      </w:r>
      <w:r w:rsidRPr="00961B75">
        <w:t>+</w:t>
      </w:r>
      <w:r w:rsidR="00362AFC">
        <w:t xml:space="preserve"> </w:t>
      </w:r>
      <w:r w:rsidRPr="00961B75">
        <w:t>RBV therapies and the active comparators</w:t>
      </w:r>
      <w:r w:rsidR="003C10AE" w:rsidRPr="00961B75">
        <w:t>.</w:t>
      </w:r>
      <w:r w:rsidRPr="00961B75">
        <w:t xml:space="preserve"> </w:t>
      </w:r>
    </w:p>
    <w:p w:rsidR="00B60939" w:rsidRPr="00961B75" w:rsidRDefault="00B60939" w:rsidP="004611DA">
      <w:pPr>
        <w:widowControl/>
      </w:pPr>
    </w:p>
    <w:p w:rsidR="00B60939" w:rsidRPr="00961B75" w:rsidRDefault="00B60939" w:rsidP="004611DA">
      <w:pPr>
        <w:pStyle w:val="Heading2"/>
        <w:widowControl/>
        <w:rPr>
          <w:i/>
        </w:rPr>
      </w:pPr>
      <w:bookmarkStart w:id="12" w:name="_Toc461551707"/>
      <w:r w:rsidRPr="00961B75">
        <w:rPr>
          <w:i/>
        </w:rPr>
        <w:t>Clinical claim</w:t>
      </w:r>
      <w:bookmarkEnd w:id="12"/>
    </w:p>
    <w:p w:rsidR="00B60939" w:rsidRPr="00961B75" w:rsidRDefault="00B60939" w:rsidP="004611DA">
      <w:pPr>
        <w:widowControl/>
        <w:ind w:left="720" w:hanging="720"/>
        <w:rPr>
          <w:szCs w:val="22"/>
        </w:rPr>
      </w:pPr>
    </w:p>
    <w:p w:rsidR="00B60939" w:rsidRPr="00961B75" w:rsidRDefault="004F2318" w:rsidP="00EF7F25">
      <w:pPr>
        <w:pStyle w:val="ListParagraph"/>
        <w:widowControl/>
        <w:numPr>
          <w:ilvl w:val="1"/>
          <w:numId w:val="1"/>
        </w:numPr>
        <w:rPr>
          <w:szCs w:val="22"/>
        </w:rPr>
      </w:pPr>
      <w:r w:rsidRPr="00961B75">
        <w:t xml:space="preserve">Table </w:t>
      </w:r>
      <w:r w:rsidR="003C10AE" w:rsidRPr="00961B75">
        <w:t>5</w:t>
      </w:r>
      <w:r w:rsidRPr="00961B75">
        <w:t xml:space="preserve"> summarises the clinical claims made in the submission on the comparative efficacy and safety of </w:t>
      </w:r>
      <w:proofErr w:type="spellStart"/>
      <w:r w:rsidRPr="00961B75">
        <w:t>Technivie</w:t>
      </w:r>
      <w:proofErr w:type="spellEnd"/>
      <w:r w:rsidRPr="00961B75">
        <w:t xml:space="preserve">® + RBV for 12 weeks versus the nominated comparators for </w:t>
      </w:r>
      <w:r w:rsidR="00311256" w:rsidRPr="00961B75">
        <w:t>GT4</w:t>
      </w:r>
      <w:r w:rsidRPr="00961B75">
        <w:t xml:space="preserve"> CHC.</w:t>
      </w:r>
    </w:p>
    <w:p w:rsidR="004F2318" w:rsidRPr="00961B75" w:rsidRDefault="004F2318" w:rsidP="004611DA">
      <w:pPr>
        <w:pStyle w:val="ListParagraph"/>
        <w:widowControl/>
        <w:rPr>
          <w:szCs w:val="22"/>
        </w:rPr>
      </w:pPr>
    </w:p>
    <w:p w:rsidR="00707065" w:rsidRDefault="00707065">
      <w:pPr>
        <w:widowControl/>
        <w:jc w:val="left"/>
        <w:rPr>
          <w:rStyle w:val="CommentReference"/>
          <w:bCs/>
        </w:rPr>
      </w:pPr>
      <w:r>
        <w:rPr>
          <w:rStyle w:val="CommentReference"/>
          <w:bCs/>
        </w:rPr>
        <w:br w:type="page"/>
      </w:r>
    </w:p>
    <w:p w:rsidR="006508AE" w:rsidRPr="00961B75" w:rsidRDefault="006508AE" w:rsidP="004611DA">
      <w:pPr>
        <w:pStyle w:val="BodyText"/>
        <w:widowControl/>
        <w:ind w:left="709"/>
        <w:rPr>
          <w:rStyle w:val="CommentReference"/>
          <w:b w:val="0"/>
          <w:bCs/>
        </w:rPr>
      </w:pPr>
      <w:r w:rsidRPr="00961B75">
        <w:rPr>
          <w:rStyle w:val="CommentReference"/>
          <w:bCs/>
        </w:rPr>
        <w:t xml:space="preserve">Table </w:t>
      </w:r>
      <w:r w:rsidR="004F2318" w:rsidRPr="00961B75">
        <w:rPr>
          <w:rStyle w:val="CommentReference"/>
          <w:bCs/>
        </w:rPr>
        <w:t>5</w:t>
      </w:r>
      <w:r w:rsidRPr="00961B75">
        <w:rPr>
          <w:rStyle w:val="CommentReference"/>
          <w:bCs/>
        </w:rPr>
        <w:t xml:space="preserve">: Summary of the clinical claims made in the submission of </w:t>
      </w:r>
      <w:proofErr w:type="spellStart"/>
      <w:r w:rsidRPr="00961B75">
        <w:rPr>
          <w:rStyle w:val="CommentReference"/>
          <w:bCs/>
        </w:rPr>
        <w:t>Technivie</w:t>
      </w:r>
      <w:proofErr w:type="spellEnd"/>
      <w:r w:rsidRPr="00961B75">
        <w:rPr>
          <w:rStyle w:val="CommentReference"/>
          <w:bCs/>
        </w:rPr>
        <w:t>® +</w:t>
      </w:r>
      <w:r w:rsidR="00DC44BF">
        <w:rPr>
          <w:rStyle w:val="CommentReference"/>
          <w:bCs/>
        </w:rPr>
        <w:t xml:space="preserve"> </w:t>
      </w:r>
      <w:r w:rsidRPr="00961B75">
        <w:rPr>
          <w:rStyle w:val="CommentReference"/>
          <w:bCs/>
        </w:rPr>
        <w:t>RBV (12 weeks) versus the nominated comparators for genotype 4 CHC</w:t>
      </w:r>
    </w:p>
    <w:tbl>
      <w:tblPr>
        <w:tblStyle w:val="TableGrid"/>
        <w:tblW w:w="8316" w:type="dxa"/>
        <w:tblInd w:w="704" w:type="dxa"/>
        <w:tblCellMar>
          <w:left w:w="28" w:type="dxa"/>
          <w:right w:w="28" w:type="dxa"/>
        </w:tblCellMar>
        <w:tblLook w:val="04A0" w:firstRow="1" w:lastRow="0" w:firstColumn="1" w:lastColumn="0" w:noHBand="0" w:noVBand="1"/>
        <w:tblCaption w:val="Summary of clinical claims  of Technivie + RBV vs. comparators for genotype 4 CHC"/>
      </w:tblPr>
      <w:tblGrid>
        <w:gridCol w:w="992"/>
        <w:gridCol w:w="1023"/>
        <w:gridCol w:w="714"/>
        <w:gridCol w:w="704"/>
        <w:gridCol w:w="4883"/>
      </w:tblGrid>
      <w:tr w:rsidR="00DC44BF" w:rsidRPr="00961B75" w:rsidTr="00DC44BF">
        <w:trPr>
          <w:tblHeader/>
        </w:trPr>
        <w:tc>
          <w:tcPr>
            <w:tcW w:w="991" w:type="dxa"/>
            <w:vMerge w:val="restart"/>
            <w:vAlign w:val="center"/>
          </w:tcPr>
          <w:p w:rsidR="00DC44BF" w:rsidRPr="00961B75" w:rsidRDefault="00DC44BF" w:rsidP="004611DA">
            <w:pPr>
              <w:widowControl/>
              <w:jc w:val="center"/>
              <w:rPr>
                <w:rFonts w:ascii="Arial Narrow" w:hAnsi="Arial Narrow"/>
                <w:b/>
                <w:bCs/>
                <w:sz w:val="20"/>
              </w:rPr>
            </w:pPr>
            <w:r w:rsidRPr="00961B75">
              <w:rPr>
                <w:rFonts w:ascii="Arial Narrow" w:hAnsi="Arial Narrow"/>
                <w:b/>
                <w:bCs/>
                <w:sz w:val="20"/>
              </w:rPr>
              <w:t>Comparator</w:t>
            </w:r>
          </w:p>
        </w:tc>
        <w:tc>
          <w:tcPr>
            <w:tcW w:w="0" w:type="auto"/>
            <w:vMerge w:val="restart"/>
            <w:vAlign w:val="center"/>
          </w:tcPr>
          <w:p w:rsidR="00DC44BF" w:rsidRPr="00961B75" w:rsidRDefault="00DC44BF" w:rsidP="004611DA">
            <w:pPr>
              <w:widowControl/>
              <w:jc w:val="center"/>
              <w:rPr>
                <w:rFonts w:ascii="Arial Narrow" w:hAnsi="Arial Narrow"/>
                <w:b/>
                <w:bCs/>
                <w:sz w:val="20"/>
              </w:rPr>
            </w:pPr>
            <w:r w:rsidRPr="00961B75">
              <w:rPr>
                <w:rFonts w:ascii="Arial Narrow" w:hAnsi="Arial Narrow"/>
                <w:b/>
                <w:bCs/>
                <w:sz w:val="20"/>
              </w:rPr>
              <w:t>Patient population</w:t>
            </w:r>
          </w:p>
        </w:tc>
        <w:tc>
          <w:tcPr>
            <w:tcW w:w="0" w:type="auto"/>
            <w:gridSpan w:val="2"/>
            <w:vAlign w:val="center"/>
          </w:tcPr>
          <w:p w:rsidR="00DC44BF" w:rsidRPr="00961B75" w:rsidRDefault="00DC44BF" w:rsidP="004611DA">
            <w:pPr>
              <w:widowControl/>
              <w:jc w:val="center"/>
              <w:rPr>
                <w:rFonts w:ascii="Arial Narrow" w:hAnsi="Arial Narrow"/>
                <w:b/>
                <w:bCs/>
                <w:sz w:val="20"/>
              </w:rPr>
            </w:pPr>
            <w:r w:rsidRPr="00961B75">
              <w:rPr>
                <w:rFonts w:ascii="Arial Narrow" w:hAnsi="Arial Narrow"/>
                <w:b/>
                <w:bCs/>
                <w:sz w:val="20"/>
              </w:rPr>
              <w:t>Clinical claim</w:t>
            </w:r>
          </w:p>
        </w:tc>
        <w:tc>
          <w:tcPr>
            <w:tcW w:w="0" w:type="auto"/>
            <w:vMerge w:val="restart"/>
            <w:vAlign w:val="center"/>
          </w:tcPr>
          <w:p w:rsidR="00DC44BF" w:rsidRPr="00961B75" w:rsidRDefault="00DC44BF" w:rsidP="004611DA">
            <w:pPr>
              <w:widowControl/>
              <w:jc w:val="center"/>
              <w:rPr>
                <w:rFonts w:ascii="Arial Narrow" w:hAnsi="Arial Narrow"/>
                <w:b/>
                <w:bCs/>
                <w:iCs/>
                <w:sz w:val="20"/>
              </w:rPr>
            </w:pPr>
            <w:r w:rsidRPr="00961B75">
              <w:rPr>
                <w:rFonts w:ascii="Arial Narrow" w:hAnsi="Arial Narrow"/>
                <w:b/>
                <w:bCs/>
                <w:iCs/>
                <w:sz w:val="20"/>
              </w:rPr>
              <w:t>Comment from the evaluation</w:t>
            </w:r>
          </w:p>
        </w:tc>
      </w:tr>
      <w:tr w:rsidR="00DC44BF" w:rsidRPr="00961B75" w:rsidTr="00DC44BF">
        <w:trPr>
          <w:tblHeader/>
        </w:trPr>
        <w:tc>
          <w:tcPr>
            <w:tcW w:w="991" w:type="dxa"/>
            <w:vMerge/>
            <w:vAlign w:val="center"/>
          </w:tcPr>
          <w:p w:rsidR="00DC44BF" w:rsidRPr="00961B75" w:rsidRDefault="00DC44BF" w:rsidP="004611DA">
            <w:pPr>
              <w:widowControl/>
              <w:jc w:val="center"/>
              <w:rPr>
                <w:rFonts w:ascii="Arial Narrow" w:hAnsi="Arial Narrow"/>
                <w:b/>
                <w:bCs/>
                <w:sz w:val="20"/>
              </w:rPr>
            </w:pPr>
          </w:p>
        </w:tc>
        <w:tc>
          <w:tcPr>
            <w:tcW w:w="0" w:type="auto"/>
            <w:vMerge/>
            <w:vAlign w:val="center"/>
          </w:tcPr>
          <w:p w:rsidR="00DC44BF" w:rsidRPr="00961B75" w:rsidRDefault="00DC44BF" w:rsidP="004611DA">
            <w:pPr>
              <w:widowControl/>
              <w:jc w:val="center"/>
              <w:rPr>
                <w:rFonts w:ascii="Arial Narrow" w:hAnsi="Arial Narrow"/>
                <w:b/>
                <w:bCs/>
                <w:sz w:val="20"/>
              </w:rPr>
            </w:pPr>
          </w:p>
        </w:tc>
        <w:tc>
          <w:tcPr>
            <w:tcW w:w="0" w:type="auto"/>
            <w:vAlign w:val="center"/>
          </w:tcPr>
          <w:p w:rsidR="00DC44BF" w:rsidRPr="00961B75" w:rsidRDefault="00DC44BF" w:rsidP="004611DA">
            <w:pPr>
              <w:widowControl/>
              <w:jc w:val="center"/>
              <w:rPr>
                <w:rFonts w:ascii="Arial Narrow" w:hAnsi="Arial Narrow"/>
                <w:b/>
                <w:bCs/>
                <w:sz w:val="20"/>
              </w:rPr>
            </w:pPr>
            <w:r w:rsidRPr="00961B75">
              <w:rPr>
                <w:rFonts w:ascii="Arial Narrow" w:hAnsi="Arial Narrow"/>
                <w:b/>
                <w:bCs/>
                <w:sz w:val="20"/>
              </w:rPr>
              <w:t>Efficacy</w:t>
            </w:r>
          </w:p>
        </w:tc>
        <w:tc>
          <w:tcPr>
            <w:tcW w:w="0" w:type="auto"/>
            <w:vAlign w:val="center"/>
          </w:tcPr>
          <w:p w:rsidR="00DC44BF" w:rsidRPr="00961B75" w:rsidRDefault="00DC44BF" w:rsidP="004611DA">
            <w:pPr>
              <w:widowControl/>
              <w:jc w:val="center"/>
              <w:rPr>
                <w:rFonts w:ascii="Arial Narrow" w:hAnsi="Arial Narrow"/>
                <w:b/>
                <w:bCs/>
                <w:sz w:val="20"/>
              </w:rPr>
            </w:pPr>
            <w:r w:rsidRPr="00961B75">
              <w:rPr>
                <w:rFonts w:ascii="Arial Narrow" w:hAnsi="Arial Narrow"/>
                <w:b/>
                <w:bCs/>
                <w:sz w:val="20"/>
              </w:rPr>
              <w:t>Safety</w:t>
            </w:r>
          </w:p>
        </w:tc>
        <w:tc>
          <w:tcPr>
            <w:tcW w:w="0" w:type="auto"/>
            <w:vMerge/>
            <w:vAlign w:val="center"/>
          </w:tcPr>
          <w:p w:rsidR="00DC44BF" w:rsidRPr="00961B75" w:rsidRDefault="00DC44BF" w:rsidP="004611DA">
            <w:pPr>
              <w:widowControl/>
              <w:jc w:val="center"/>
              <w:rPr>
                <w:rFonts w:ascii="Arial Narrow" w:hAnsi="Arial Narrow"/>
                <w:b/>
                <w:bCs/>
                <w:i/>
                <w:iCs/>
                <w:sz w:val="20"/>
              </w:rPr>
            </w:pPr>
          </w:p>
        </w:tc>
      </w:tr>
      <w:tr w:rsidR="00DC44BF" w:rsidRPr="00961B75" w:rsidTr="00DC44BF">
        <w:trPr>
          <w:tblHeader/>
        </w:trPr>
        <w:tc>
          <w:tcPr>
            <w:tcW w:w="991" w:type="dxa"/>
            <w:vAlign w:val="center"/>
          </w:tcPr>
          <w:p w:rsidR="00DC44BF" w:rsidRPr="00961B75" w:rsidRDefault="00DC44BF" w:rsidP="004611DA">
            <w:pPr>
              <w:widowControl/>
              <w:jc w:val="center"/>
              <w:rPr>
                <w:rFonts w:ascii="Arial Narrow" w:hAnsi="Arial Narrow"/>
                <w:sz w:val="20"/>
              </w:rPr>
            </w:pPr>
            <w:r w:rsidRPr="00961B75">
              <w:rPr>
                <w:rFonts w:ascii="Arial Narrow" w:hAnsi="Arial Narrow"/>
                <w:sz w:val="20"/>
              </w:rPr>
              <w:t>No Treatment</w:t>
            </w:r>
          </w:p>
        </w:tc>
        <w:tc>
          <w:tcPr>
            <w:tcW w:w="0" w:type="auto"/>
            <w:vAlign w:val="center"/>
          </w:tcPr>
          <w:p w:rsidR="00DC44BF" w:rsidRPr="00961B75" w:rsidRDefault="00DC44BF" w:rsidP="004611DA">
            <w:pPr>
              <w:widowControl/>
              <w:jc w:val="center"/>
              <w:rPr>
                <w:rFonts w:ascii="Arial Narrow" w:hAnsi="Arial Narrow"/>
                <w:sz w:val="20"/>
              </w:rPr>
            </w:pPr>
            <w:r w:rsidRPr="00961B75">
              <w:rPr>
                <w:rFonts w:ascii="Arial Narrow" w:hAnsi="Arial Narrow"/>
                <w:sz w:val="20"/>
              </w:rPr>
              <w:t>All GT4 patients</w:t>
            </w:r>
          </w:p>
        </w:tc>
        <w:tc>
          <w:tcPr>
            <w:tcW w:w="0" w:type="auto"/>
            <w:vAlign w:val="center"/>
          </w:tcPr>
          <w:p w:rsidR="00DC44BF" w:rsidRPr="00961B75" w:rsidRDefault="00DC44BF" w:rsidP="004611DA">
            <w:pPr>
              <w:widowControl/>
              <w:jc w:val="center"/>
              <w:rPr>
                <w:rFonts w:ascii="Arial Narrow" w:hAnsi="Arial Narrow"/>
                <w:sz w:val="20"/>
              </w:rPr>
            </w:pPr>
            <w:r w:rsidRPr="00961B75">
              <w:rPr>
                <w:rFonts w:ascii="Arial Narrow" w:hAnsi="Arial Narrow"/>
                <w:sz w:val="20"/>
              </w:rPr>
              <w:t>Superior</w:t>
            </w:r>
          </w:p>
        </w:tc>
        <w:tc>
          <w:tcPr>
            <w:tcW w:w="0" w:type="auto"/>
            <w:vAlign w:val="center"/>
          </w:tcPr>
          <w:p w:rsidR="00DC44BF" w:rsidRPr="00961B75" w:rsidRDefault="00DC44BF" w:rsidP="004611DA">
            <w:pPr>
              <w:widowControl/>
              <w:jc w:val="center"/>
              <w:rPr>
                <w:rFonts w:ascii="Arial Narrow" w:hAnsi="Arial Narrow"/>
                <w:sz w:val="20"/>
              </w:rPr>
            </w:pPr>
            <w:r w:rsidRPr="00961B75">
              <w:rPr>
                <w:rFonts w:ascii="Arial Narrow" w:hAnsi="Arial Narrow"/>
                <w:sz w:val="20"/>
              </w:rPr>
              <w:t>Inferior</w:t>
            </w:r>
          </w:p>
        </w:tc>
        <w:tc>
          <w:tcPr>
            <w:tcW w:w="0" w:type="auto"/>
            <w:vAlign w:val="center"/>
          </w:tcPr>
          <w:p w:rsidR="00DC44BF" w:rsidRPr="00961B75" w:rsidRDefault="00DC44BF" w:rsidP="00653829">
            <w:pPr>
              <w:widowControl/>
              <w:rPr>
                <w:rFonts w:ascii="Arial Narrow" w:hAnsi="Arial Narrow"/>
                <w:iCs/>
                <w:sz w:val="20"/>
              </w:rPr>
            </w:pPr>
            <w:r w:rsidRPr="00961B75">
              <w:rPr>
                <w:rFonts w:ascii="Arial Narrow" w:hAnsi="Arial Narrow"/>
                <w:iCs/>
                <w:sz w:val="20"/>
              </w:rPr>
              <w:t>Adequately supported.</w:t>
            </w:r>
          </w:p>
        </w:tc>
      </w:tr>
      <w:tr w:rsidR="00DC44BF" w:rsidRPr="00961B75" w:rsidTr="00DC44BF">
        <w:trPr>
          <w:tblHeader/>
        </w:trPr>
        <w:tc>
          <w:tcPr>
            <w:tcW w:w="991" w:type="dxa"/>
            <w:vAlign w:val="center"/>
          </w:tcPr>
          <w:p w:rsidR="00DC44BF" w:rsidRPr="00961B75" w:rsidRDefault="00DC44BF" w:rsidP="004611DA">
            <w:pPr>
              <w:widowControl/>
              <w:jc w:val="center"/>
              <w:rPr>
                <w:rFonts w:ascii="Arial Narrow" w:hAnsi="Arial Narrow"/>
                <w:sz w:val="20"/>
              </w:rPr>
            </w:pPr>
            <w:r w:rsidRPr="00961B75">
              <w:rPr>
                <w:rFonts w:ascii="Arial Narrow" w:hAnsi="Arial Narrow"/>
                <w:sz w:val="20"/>
              </w:rPr>
              <w:t>GZR-EBR ± RBV</w:t>
            </w:r>
          </w:p>
        </w:tc>
        <w:tc>
          <w:tcPr>
            <w:tcW w:w="0" w:type="auto"/>
            <w:vAlign w:val="center"/>
          </w:tcPr>
          <w:p w:rsidR="00DC44BF" w:rsidRPr="00961B75" w:rsidRDefault="00DC44BF" w:rsidP="004611DA">
            <w:pPr>
              <w:widowControl/>
              <w:jc w:val="center"/>
              <w:rPr>
                <w:rFonts w:ascii="Arial Narrow" w:hAnsi="Arial Narrow"/>
                <w:sz w:val="20"/>
              </w:rPr>
            </w:pPr>
            <w:r w:rsidRPr="00961B75">
              <w:rPr>
                <w:rFonts w:ascii="Arial Narrow" w:hAnsi="Arial Narrow"/>
                <w:sz w:val="20"/>
              </w:rPr>
              <w:t>All GT4 patients</w:t>
            </w:r>
          </w:p>
        </w:tc>
        <w:tc>
          <w:tcPr>
            <w:tcW w:w="0" w:type="auto"/>
            <w:vAlign w:val="center"/>
          </w:tcPr>
          <w:p w:rsidR="00DC44BF" w:rsidRPr="00961B75" w:rsidRDefault="00DC44BF" w:rsidP="004611DA">
            <w:pPr>
              <w:widowControl/>
              <w:jc w:val="center"/>
              <w:rPr>
                <w:rFonts w:ascii="Arial Narrow" w:hAnsi="Arial Narrow"/>
                <w:sz w:val="20"/>
              </w:rPr>
            </w:pPr>
            <w:r w:rsidRPr="00961B75">
              <w:rPr>
                <w:rFonts w:ascii="Arial Narrow" w:hAnsi="Arial Narrow"/>
                <w:sz w:val="20"/>
              </w:rPr>
              <w:t>Non-inferior</w:t>
            </w:r>
          </w:p>
        </w:tc>
        <w:tc>
          <w:tcPr>
            <w:tcW w:w="0" w:type="auto"/>
            <w:vAlign w:val="center"/>
          </w:tcPr>
          <w:p w:rsidR="00DC44BF" w:rsidRPr="00961B75" w:rsidRDefault="00DC44BF" w:rsidP="004611DA">
            <w:pPr>
              <w:widowControl/>
              <w:jc w:val="center"/>
              <w:rPr>
                <w:rFonts w:ascii="Arial Narrow" w:hAnsi="Arial Narrow"/>
                <w:sz w:val="20"/>
              </w:rPr>
            </w:pPr>
            <w:r w:rsidRPr="00961B75">
              <w:rPr>
                <w:rFonts w:ascii="Arial Narrow" w:hAnsi="Arial Narrow"/>
                <w:sz w:val="20"/>
              </w:rPr>
              <w:t>Non-inferior</w:t>
            </w:r>
          </w:p>
        </w:tc>
        <w:tc>
          <w:tcPr>
            <w:tcW w:w="0" w:type="auto"/>
          </w:tcPr>
          <w:p w:rsidR="00DC44BF" w:rsidRPr="00961B75" w:rsidRDefault="00DC44BF" w:rsidP="00653829">
            <w:pPr>
              <w:widowControl/>
              <w:rPr>
                <w:rFonts w:ascii="Arial Narrow" w:hAnsi="Arial Narrow"/>
                <w:iCs/>
                <w:sz w:val="20"/>
              </w:rPr>
            </w:pPr>
            <w:r w:rsidRPr="00961B75">
              <w:rPr>
                <w:rFonts w:ascii="Arial Narrow" w:hAnsi="Arial Narrow"/>
                <w:iCs/>
                <w:sz w:val="20"/>
              </w:rPr>
              <w:t>The clinical claims may be reasonable despite not being adequately supported</w:t>
            </w:r>
            <w:r>
              <w:rPr>
                <w:rFonts w:ascii="Arial Narrow" w:hAnsi="Arial Narrow"/>
                <w:iCs/>
                <w:sz w:val="20"/>
              </w:rPr>
              <w:t xml:space="preserve">. </w:t>
            </w:r>
            <w:r w:rsidRPr="00961B75">
              <w:rPr>
                <w:rFonts w:ascii="Arial Narrow" w:hAnsi="Arial Narrow"/>
                <w:iCs/>
                <w:sz w:val="20"/>
              </w:rPr>
              <w:t>A naïve comparison for SVR12 was presented, which had major limitations and was at high risk of bias</w:t>
            </w:r>
            <w:r>
              <w:rPr>
                <w:rFonts w:ascii="Arial Narrow" w:hAnsi="Arial Narrow"/>
                <w:iCs/>
                <w:sz w:val="20"/>
              </w:rPr>
              <w:t xml:space="preserve">. </w:t>
            </w:r>
            <w:r w:rsidRPr="00961B75">
              <w:rPr>
                <w:rFonts w:ascii="Arial Narrow" w:hAnsi="Arial Narrow"/>
                <w:iCs/>
                <w:sz w:val="20"/>
              </w:rPr>
              <w:t>For the subgroup of treatment naive patients not requiring concomitant treatment with RBV, these patients are likely to have fewer RBV associated AEs, particularly anaemia</w:t>
            </w:r>
            <w:r>
              <w:rPr>
                <w:rFonts w:ascii="Arial Narrow" w:hAnsi="Arial Narrow"/>
                <w:iCs/>
                <w:sz w:val="20"/>
              </w:rPr>
              <w:t xml:space="preserve">. </w:t>
            </w:r>
            <w:r w:rsidRPr="00961B75">
              <w:rPr>
                <w:rFonts w:ascii="Arial Narrow" w:hAnsi="Arial Narrow"/>
                <w:iCs/>
                <w:sz w:val="20"/>
              </w:rPr>
              <w:t>As both treatments are relatively new, longer term safety with the treatments cannot be compared</w:t>
            </w:r>
            <w:r>
              <w:rPr>
                <w:rFonts w:ascii="Arial Narrow" w:hAnsi="Arial Narrow"/>
                <w:iCs/>
                <w:sz w:val="20"/>
              </w:rPr>
              <w:t xml:space="preserve">. </w:t>
            </w:r>
            <w:r w:rsidRPr="00961B75">
              <w:rPr>
                <w:rFonts w:ascii="Arial Narrow" w:hAnsi="Arial Narrow"/>
                <w:iCs/>
                <w:sz w:val="20"/>
              </w:rPr>
              <w:t xml:space="preserve">There are however already some post-marketing safety concerns for </w:t>
            </w:r>
            <w:proofErr w:type="spellStart"/>
            <w:r w:rsidRPr="00961B75">
              <w:rPr>
                <w:rFonts w:ascii="Arial Narrow" w:hAnsi="Arial Narrow"/>
                <w:iCs/>
                <w:sz w:val="20"/>
              </w:rPr>
              <w:t>Technivie</w:t>
            </w:r>
            <w:proofErr w:type="spellEnd"/>
            <w:r w:rsidRPr="00961B75">
              <w:rPr>
                <w:rFonts w:ascii="Arial Narrow" w:hAnsi="Arial Narrow"/>
                <w:iCs/>
                <w:sz w:val="20"/>
              </w:rPr>
              <w:t xml:space="preserve">® with respect to hepatic </w:t>
            </w:r>
            <w:proofErr w:type="spellStart"/>
            <w:r w:rsidRPr="00961B75">
              <w:rPr>
                <w:rFonts w:ascii="Arial Narrow" w:hAnsi="Arial Narrow"/>
                <w:iCs/>
                <w:sz w:val="20"/>
              </w:rPr>
              <w:t>decompensation</w:t>
            </w:r>
            <w:proofErr w:type="spellEnd"/>
            <w:r w:rsidRPr="00961B75">
              <w:rPr>
                <w:rFonts w:ascii="Arial Narrow" w:hAnsi="Arial Narrow"/>
                <w:iCs/>
                <w:sz w:val="20"/>
              </w:rPr>
              <w:t xml:space="preserve"> and failure which included severe outcomes such as liver transplantation and death.</w:t>
            </w:r>
          </w:p>
        </w:tc>
      </w:tr>
      <w:tr w:rsidR="00DC44BF" w:rsidRPr="00961B75" w:rsidTr="00DC44BF">
        <w:trPr>
          <w:tblHeader/>
        </w:trPr>
        <w:tc>
          <w:tcPr>
            <w:tcW w:w="991" w:type="dxa"/>
            <w:vMerge w:val="restart"/>
            <w:vAlign w:val="center"/>
          </w:tcPr>
          <w:p w:rsidR="00DC44BF" w:rsidRPr="00961B75" w:rsidRDefault="00DC44BF" w:rsidP="004611DA">
            <w:pPr>
              <w:widowControl/>
              <w:jc w:val="center"/>
              <w:rPr>
                <w:rFonts w:ascii="Arial Narrow" w:hAnsi="Arial Narrow"/>
                <w:sz w:val="20"/>
              </w:rPr>
            </w:pPr>
            <w:r w:rsidRPr="00961B75">
              <w:rPr>
                <w:rFonts w:ascii="Arial Narrow" w:hAnsi="Arial Narrow"/>
                <w:sz w:val="20"/>
              </w:rPr>
              <w:t>SOF+PR</w:t>
            </w:r>
          </w:p>
        </w:tc>
        <w:tc>
          <w:tcPr>
            <w:tcW w:w="0" w:type="auto"/>
            <w:vAlign w:val="center"/>
          </w:tcPr>
          <w:p w:rsidR="00DC44BF" w:rsidRPr="00961B75" w:rsidRDefault="00DC44BF" w:rsidP="004611DA">
            <w:pPr>
              <w:widowControl/>
              <w:jc w:val="center"/>
              <w:rPr>
                <w:rFonts w:ascii="Arial Narrow" w:hAnsi="Arial Narrow"/>
                <w:sz w:val="20"/>
              </w:rPr>
            </w:pPr>
            <w:r w:rsidRPr="00961B75">
              <w:rPr>
                <w:rFonts w:ascii="Arial Narrow" w:hAnsi="Arial Narrow"/>
                <w:sz w:val="20"/>
              </w:rPr>
              <w:t>Non-cirrhotic GT4 patients</w:t>
            </w:r>
          </w:p>
        </w:tc>
        <w:tc>
          <w:tcPr>
            <w:tcW w:w="0" w:type="auto"/>
            <w:vAlign w:val="center"/>
          </w:tcPr>
          <w:p w:rsidR="00DC44BF" w:rsidRPr="00961B75" w:rsidRDefault="00DC44BF" w:rsidP="004611DA">
            <w:pPr>
              <w:widowControl/>
              <w:jc w:val="center"/>
              <w:rPr>
                <w:rFonts w:ascii="Arial Narrow" w:hAnsi="Arial Narrow"/>
                <w:sz w:val="20"/>
              </w:rPr>
            </w:pPr>
            <w:r w:rsidRPr="00961B75">
              <w:rPr>
                <w:rFonts w:ascii="Arial Narrow" w:hAnsi="Arial Narrow"/>
                <w:sz w:val="20"/>
              </w:rPr>
              <w:t>Non-Inferior</w:t>
            </w:r>
          </w:p>
        </w:tc>
        <w:tc>
          <w:tcPr>
            <w:tcW w:w="0" w:type="auto"/>
            <w:vAlign w:val="center"/>
          </w:tcPr>
          <w:p w:rsidR="00DC44BF" w:rsidRPr="00961B75" w:rsidRDefault="00DC44BF" w:rsidP="004611DA">
            <w:pPr>
              <w:widowControl/>
              <w:jc w:val="center"/>
              <w:rPr>
                <w:rFonts w:ascii="Arial Narrow" w:hAnsi="Arial Narrow"/>
                <w:sz w:val="20"/>
              </w:rPr>
            </w:pPr>
            <w:r w:rsidRPr="00961B75">
              <w:rPr>
                <w:rFonts w:ascii="Arial Narrow" w:hAnsi="Arial Narrow"/>
                <w:sz w:val="20"/>
              </w:rPr>
              <w:t>Superior</w:t>
            </w:r>
          </w:p>
        </w:tc>
        <w:tc>
          <w:tcPr>
            <w:tcW w:w="0" w:type="auto"/>
            <w:vAlign w:val="center"/>
          </w:tcPr>
          <w:p w:rsidR="00DC44BF" w:rsidRPr="00961B75" w:rsidRDefault="00DC44BF" w:rsidP="00653829">
            <w:pPr>
              <w:widowControl/>
              <w:rPr>
                <w:rFonts w:ascii="Arial Narrow" w:hAnsi="Arial Narrow"/>
                <w:iCs/>
                <w:sz w:val="20"/>
              </w:rPr>
            </w:pPr>
            <w:r w:rsidRPr="00961B75">
              <w:rPr>
                <w:rFonts w:ascii="Arial Narrow" w:hAnsi="Arial Narrow"/>
                <w:iCs/>
                <w:sz w:val="20"/>
              </w:rPr>
              <w:t>The clinical claims for efficacy and safety may be reasonable despite not being adequately supported.</w:t>
            </w:r>
          </w:p>
        </w:tc>
      </w:tr>
      <w:tr w:rsidR="00DC44BF" w:rsidRPr="00961B75" w:rsidTr="00DC44BF">
        <w:trPr>
          <w:tblHeader/>
        </w:trPr>
        <w:tc>
          <w:tcPr>
            <w:tcW w:w="991" w:type="dxa"/>
            <w:vMerge/>
            <w:vAlign w:val="center"/>
          </w:tcPr>
          <w:p w:rsidR="00DC44BF" w:rsidRPr="00961B75" w:rsidRDefault="00DC44BF" w:rsidP="004611DA">
            <w:pPr>
              <w:widowControl/>
              <w:jc w:val="center"/>
              <w:rPr>
                <w:rFonts w:ascii="Arial Narrow" w:hAnsi="Arial Narrow"/>
                <w:sz w:val="20"/>
              </w:rPr>
            </w:pPr>
          </w:p>
        </w:tc>
        <w:tc>
          <w:tcPr>
            <w:tcW w:w="0" w:type="auto"/>
            <w:vAlign w:val="center"/>
          </w:tcPr>
          <w:p w:rsidR="00DC44BF" w:rsidRPr="00961B75" w:rsidRDefault="00DC44BF" w:rsidP="004611DA">
            <w:pPr>
              <w:widowControl/>
              <w:jc w:val="center"/>
              <w:rPr>
                <w:rFonts w:ascii="Arial Narrow" w:hAnsi="Arial Narrow"/>
                <w:sz w:val="20"/>
              </w:rPr>
            </w:pPr>
            <w:r w:rsidRPr="00961B75">
              <w:rPr>
                <w:rFonts w:ascii="Arial Narrow" w:hAnsi="Arial Narrow"/>
                <w:sz w:val="20"/>
              </w:rPr>
              <w:t>Cirrhotic GT4 patients</w:t>
            </w:r>
          </w:p>
        </w:tc>
        <w:tc>
          <w:tcPr>
            <w:tcW w:w="0" w:type="auto"/>
            <w:vAlign w:val="center"/>
          </w:tcPr>
          <w:p w:rsidR="00DC44BF" w:rsidRPr="00961B75" w:rsidRDefault="00DC44BF" w:rsidP="004611DA">
            <w:pPr>
              <w:widowControl/>
              <w:jc w:val="center"/>
              <w:rPr>
                <w:rFonts w:ascii="Arial Narrow" w:hAnsi="Arial Narrow"/>
                <w:sz w:val="20"/>
              </w:rPr>
            </w:pPr>
            <w:r w:rsidRPr="00961B75">
              <w:rPr>
                <w:rFonts w:ascii="Arial Narrow" w:hAnsi="Arial Narrow"/>
                <w:sz w:val="20"/>
              </w:rPr>
              <w:t>Superior</w:t>
            </w:r>
          </w:p>
        </w:tc>
        <w:tc>
          <w:tcPr>
            <w:tcW w:w="0" w:type="auto"/>
            <w:vAlign w:val="center"/>
          </w:tcPr>
          <w:p w:rsidR="00DC44BF" w:rsidRPr="00961B75" w:rsidRDefault="00DC44BF" w:rsidP="004611DA">
            <w:pPr>
              <w:widowControl/>
              <w:jc w:val="center"/>
              <w:rPr>
                <w:rFonts w:ascii="Arial Narrow" w:hAnsi="Arial Narrow"/>
                <w:sz w:val="20"/>
              </w:rPr>
            </w:pPr>
            <w:r w:rsidRPr="00961B75">
              <w:rPr>
                <w:rFonts w:ascii="Arial Narrow" w:hAnsi="Arial Narrow"/>
                <w:sz w:val="20"/>
              </w:rPr>
              <w:t>Superior</w:t>
            </w:r>
          </w:p>
        </w:tc>
        <w:tc>
          <w:tcPr>
            <w:tcW w:w="0" w:type="auto"/>
          </w:tcPr>
          <w:p w:rsidR="00DC44BF" w:rsidRPr="00961B75" w:rsidRDefault="00DC44BF" w:rsidP="00DB5E7D">
            <w:pPr>
              <w:widowControl/>
              <w:rPr>
                <w:rFonts w:ascii="Arial Narrow" w:hAnsi="Arial Narrow"/>
                <w:iCs/>
                <w:sz w:val="20"/>
              </w:rPr>
            </w:pPr>
            <w:r w:rsidRPr="00961B75">
              <w:rPr>
                <w:rFonts w:ascii="Arial Narrow" w:hAnsi="Arial Narrow"/>
                <w:iCs/>
                <w:sz w:val="20"/>
              </w:rPr>
              <w:t>The clinical claim with respect to efficacy is not reasonable and was not adequately supported with the data</w:t>
            </w:r>
            <w:r>
              <w:rPr>
                <w:rFonts w:ascii="Arial Narrow" w:hAnsi="Arial Narrow"/>
                <w:iCs/>
                <w:sz w:val="20"/>
              </w:rPr>
              <w:t xml:space="preserve">. </w:t>
            </w:r>
            <w:r w:rsidRPr="00961B75">
              <w:rPr>
                <w:rFonts w:ascii="Arial Narrow" w:hAnsi="Arial Narrow"/>
                <w:iCs/>
                <w:sz w:val="20"/>
              </w:rPr>
              <w:t xml:space="preserve">A naïve comparison for SVR12 was presented, which had major limitations and was at high risk of bias. The claim with respect to safety, although inadequately supported appear to be reasonable given the well-known limitation associated with </w:t>
            </w:r>
            <w:proofErr w:type="spellStart"/>
            <w:r w:rsidRPr="00961B75">
              <w:rPr>
                <w:rFonts w:ascii="Arial Narrow" w:hAnsi="Arial Narrow"/>
                <w:iCs/>
                <w:sz w:val="20"/>
              </w:rPr>
              <w:t>peginterferon</w:t>
            </w:r>
            <w:proofErr w:type="spellEnd"/>
            <w:r w:rsidRPr="00961B75" w:rsidDel="00A471E5">
              <w:rPr>
                <w:rFonts w:ascii="Arial Narrow" w:hAnsi="Arial Narrow"/>
                <w:iCs/>
                <w:sz w:val="20"/>
              </w:rPr>
              <w:t xml:space="preserve"> </w:t>
            </w:r>
            <w:r w:rsidRPr="00961B75">
              <w:rPr>
                <w:rFonts w:ascii="Arial Narrow" w:hAnsi="Arial Narrow"/>
                <w:iCs/>
                <w:sz w:val="20"/>
              </w:rPr>
              <w:t>therapy.</w:t>
            </w:r>
          </w:p>
        </w:tc>
      </w:tr>
    </w:tbl>
    <w:p w:rsidR="006508AE" w:rsidRPr="00961B75" w:rsidRDefault="006508AE" w:rsidP="004611DA">
      <w:pPr>
        <w:pStyle w:val="BodyText"/>
        <w:widowControl/>
        <w:ind w:left="709"/>
        <w:rPr>
          <w:rFonts w:ascii="Arial Narrow" w:hAnsi="Arial Narrow"/>
          <w:b/>
          <w:sz w:val="18"/>
          <w:szCs w:val="14"/>
        </w:rPr>
      </w:pPr>
      <w:r w:rsidRPr="00961B75">
        <w:rPr>
          <w:rFonts w:ascii="Arial Narrow" w:hAnsi="Arial Narrow"/>
          <w:sz w:val="18"/>
          <w:szCs w:val="14"/>
        </w:rPr>
        <w:t>Abbreviations: FDC = fixed-dose combination; GT = genotype; HCV = hepatitis C virus; SOF</w:t>
      </w:r>
      <w:r w:rsidR="00A471E5" w:rsidRPr="00961B75">
        <w:rPr>
          <w:rFonts w:ascii="Arial Narrow" w:hAnsi="Arial Narrow"/>
          <w:sz w:val="18"/>
          <w:szCs w:val="14"/>
        </w:rPr>
        <w:t>+</w:t>
      </w:r>
      <w:r w:rsidRPr="00961B75">
        <w:rPr>
          <w:rFonts w:ascii="Arial Narrow" w:hAnsi="Arial Narrow"/>
          <w:sz w:val="18"/>
          <w:szCs w:val="14"/>
        </w:rPr>
        <w:t xml:space="preserve">PR = sofosbuvir, </w:t>
      </w:r>
      <w:proofErr w:type="spellStart"/>
      <w:r w:rsidRPr="00961B75">
        <w:rPr>
          <w:rFonts w:ascii="Arial Narrow" w:hAnsi="Arial Narrow"/>
          <w:sz w:val="18"/>
          <w:szCs w:val="14"/>
        </w:rPr>
        <w:t>peginterferon</w:t>
      </w:r>
      <w:proofErr w:type="spellEnd"/>
      <w:r w:rsidRPr="00961B75">
        <w:rPr>
          <w:rFonts w:ascii="Arial Narrow" w:hAnsi="Arial Narrow"/>
          <w:sz w:val="18"/>
          <w:szCs w:val="14"/>
        </w:rPr>
        <w:t xml:space="preserve"> alfa-2a and ribavirin; SVR12 = sustained virological response at 12 weeks following the completion of treatment</w:t>
      </w:r>
    </w:p>
    <w:p w:rsidR="006508AE" w:rsidRPr="00961B75" w:rsidRDefault="006508AE" w:rsidP="004611DA">
      <w:pPr>
        <w:pStyle w:val="BodyText"/>
        <w:widowControl/>
        <w:ind w:left="709"/>
        <w:rPr>
          <w:rFonts w:ascii="Arial Narrow" w:hAnsi="Arial Narrow"/>
          <w:b/>
          <w:sz w:val="18"/>
          <w:szCs w:val="6"/>
        </w:rPr>
      </w:pPr>
      <w:r w:rsidRPr="00961B75">
        <w:rPr>
          <w:rFonts w:ascii="Arial Narrow" w:hAnsi="Arial Narrow"/>
          <w:sz w:val="18"/>
          <w:szCs w:val="6"/>
        </w:rPr>
        <w:t xml:space="preserve">Note: </w:t>
      </w:r>
      <w:proofErr w:type="spellStart"/>
      <w:r w:rsidRPr="00961B75">
        <w:rPr>
          <w:rFonts w:ascii="Arial Narrow" w:hAnsi="Arial Narrow"/>
          <w:sz w:val="18"/>
          <w:szCs w:val="14"/>
        </w:rPr>
        <w:t>Technivie</w:t>
      </w:r>
      <w:proofErr w:type="spellEnd"/>
      <w:r w:rsidRPr="00961B75">
        <w:rPr>
          <w:rFonts w:ascii="Arial Narrow" w:hAnsi="Arial Narrow"/>
          <w:sz w:val="18"/>
          <w:szCs w:val="14"/>
        </w:rPr>
        <w:t>® represents treatment with paritaprevir/ritonavir/ombitasvir</w:t>
      </w:r>
    </w:p>
    <w:p w:rsidR="006508AE" w:rsidRPr="00961B75" w:rsidRDefault="006508AE" w:rsidP="004611DA">
      <w:pPr>
        <w:pStyle w:val="BodyText"/>
        <w:widowControl/>
        <w:ind w:left="709"/>
        <w:rPr>
          <w:rFonts w:ascii="Arial Narrow" w:hAnsi="Arial Narrow"/>
          <w:sz w:val="18"/>
          <w:szCs w:val="14"/>
        </w:rPr>
      </w:pPr>
      <w:r w:rsidRPr="00961B75">
        <w:rPr>
          <w:rFonts w:ascii="Arial Narrow" w:hAnsi="Arial Narrow"/>
          <w:sz w:val="18"/>
          <w:szCs w:val="14"/>
        </w:rPr>
        <w:t>Source: Adapted from pp167-172 of the submission</w:t>
      </w:r>
    </w:p>
    <w:p w:rsidR="00E95062" w:rsidRPr="00961B75" w:rsidRDefault="00E95062" w:rsidP="004611DA">
      <w:pPr>
        <w:pStyle w:val="BodyText"/>
        <w:widowControl/>
        <w:ind w:left="709"/>
        <w:rPr>
          <w:rFonts w:ascii="Arial Narrow" w:hAnsi="Arial Narrow"/>
          <w:sz w:val="18"/>
          <w:szCs w:val="14"/>
        </w:rPr>
      </w:pPr>
    </w:p>
    <w:p w:rsidR="00357DEF" w:rsidRPr="00961B75" w:rsidRDefault="000E6B3D" w:rsidP="000E6B3D">
      <w:pPr>
        <w:pStyle w:val="ListParagraph"/>
        <w:widowControl/>
        <w:numPr>
          <w:ilvl w:val="1"/>
          <w:numId w:val="1"/>
        </w:numPr>
      </w:pPr>
      <w:r w:rsidRPr="00961B75">
        <w:t xml:space="preserve">The PBAC considered that </w:t>
      </w:r>
      <w:r w:rsidR="00292AB0" w:rsidRPr="00961B75">
        <w:t>the claim of superior comparative effectiveness and inferior safety in comparison with ‘no treatment’ was reasonable.</w:t>
      </w:r>
    </w:p>
    <w:p w:rsidR="00292AB0" w:rsidRPr="00961B75" w:rsidRDefault="00292AB0" w:rsidP="00292AB0">
      <w:pPr>
        <w:pStyle w:val="ListParagraph"/>
        <w:widowControl/>
      </w:pPr>
    </w:p>
    <w:p w:rsidR="00292AB0" w:rsidRPr="00961B75" w:rsidRDefault="00292AB0" w:rsidP="00BE53E7">
      <w:pPr>
        <w:pStyle w:val="ListParagraph"/>
        <w:widowControl/>
        <w:numPr>
          <w:ilvl w:val="1"/>
          <w:numId w:val="1"/>
        </w:numPr>
      </w:pPr>
      <w:r w:rsidRPr="00961B75">
        <w:t>The PBAC considered that the claim of non-inferior comparative effectiveness and safety in comparison with GZR-EBR</w:t>
      </w:r>
      <w:r w:rsidR="008B429D">
        <w:t xml:space="preserve"> </w:t>
      </w:r>
      <w:r w:rsidRPr="00961B75">
        <w:t>±</w:t>
      </w:r>
      <w:r w:rsidR="008B429D">
        <w:t xml:space="preserve"> </w:t>
      </w:r>
      <w:r w:rsidRPr="00961B75">
        <w:t xml:space="preserve">RBV </w:t>
      </w:r>
      <w:r w:rsidR="00A81326" w:rsidRPr="00961B75">
        <w:t>was</w:t>
      </w:r>
      <w:r w:rsidRPr="00961B75">
        <w:t xml:space="preserve"> reasonable</w:t>
      </w:r>
      <w:r w:rsidR="00AF23CE" w:rsidRPr="00961B75">
        <w:t xml:space="preserve">, despite </w:t>
      </w:r>
      <w:r w:rsidR="00A81326" w:rsidRPr="00961B75">
        <w:t>the limitations in the data set</w:t>
      </w:r>
      <w:r w:rsidR="00AF23CE" w:rsidRPr="00961B75">
        <w:t>.</w:t>
      </w:r>
      <w:r w:rsidR="00BE53E7" w:rsidRPr="00961B75">
        <w:t xml:space="preserve"> </w:t>
      </w:r>
      <w:r w:rsidR="00BE53E7" w:rsidRPr="00961B75">
        <w:rPr>
          <w:iCs/>
        </w:rPr>
        <w:t>The PBAC acknowledged that the subgroup of patients who do not require RBV would have fewer RBV associated AEs</w:t>
      </w:r>
      <w:r w:rsidR="008B429D">
        <w:rPr>
          <w:iCs/>
        </w:rPr>
        <w:t>.</w:t>
      </w:r>
    </w:p>
    <w:p w:rsidR="00292AB0" w:rsidRPr="00961B75" w:rsidRDefault="00292AB0" w:rsidP="00292AB0">
      <w:pPr>
        <w:pStyle w:val="ListParagraph"/>
      </w:pPr>
    </w:p>
    <w:p w:rsidR="004A6BAD" w:rsidRPr="00961B75" w:rsidRDefault="006F6C62" w:rsidP="004A6BAD">
      <w:pPr>
        <w:pStyle w:val="ListParagraph"/>
        <w:widowControl/>
        <w:numPr>
          <w:ilvl w:val="1"/>
          <w:numId w:val="1"/>
        </w:numPr>
      </w:pPr>
      <w:r w:rsidRPr="00961B75">
        <w:t>T</w:t>
      </w:r>
      <w:r w:rsidR="00292AB0" w:rsidRPr="00961B75">
        <w:t>he PBAC considered that the claim</w:t>
      </w:r>
      <w:r w:rsidRPr="00961B75">
        <w:t xml:space="preserve"> of non-inferior comparative effectiveness and superior safety in comparison with SOF+PR for </w:t>
      </w:r>
      <w:r w:rsidRPr="00961B75">
        <w:rPr>
          <w:i/>
        </w:rPr>
        <w:t>non-cirrhotic</w:t>
      </w:r>
      <w:r w:rsidRPr="00961B75">
        <w:t xml:space="preserve"> GT4 patients</w:t>
      </w:r>
      <w:r w:rsidR="004A6BAD" w:rsidRPr="00961B75">
        <w:t xml:space="preserve"> </w:t>
      </w:r>
      <w:r w:rsidR="00A81326" w:rsidRPr="00961B75">
        <w:t>was</w:t>
      </w:r>
      <w:r w:rsidR="004A6BAD" w:rsidRPr="00961B75">
        <w:t xml:space="preserve"> reasonable, despite </w:t>
      </w:r>
      <w:r w:rsidR="00A81326" w:rsidRPr="00961B75">
        <w:t>the limitations in the data set</w:t>
      </w:r>
      <w:r w:rsidR="004A6BAD" w:rsidRPr="00961B75">
        <w:t>.</w:t>
      </w:r>
    </w:p>
    <w:p w:rsidR="00BE53E7" w:rsidRPr="00961B75" w:rsidRDefault="00BE53E7" w:rsidP="00BE53E7">
      <w:pPr>
        <w:widowControl/>
      </w:pPr>
    </w:p>
    <w:p w:rsidR="004A6BAD" w:rsidRPr="00961B75" w:rsidRDefault="00F9275B" w:rsidP="004A6BAD">
      <w:pPr>
        <w:pStyle w:val="ListParagraph"/>
        <w:widowControl/>
        <w:numPr>
          <w:ilvl w:val="1"/>
          <w:numId w:val="1"/>
        </w:numPr>
      </w:pPr>
      <w:r w:rsidRPr="00961B75">
        <w:t xml:space="preserve">For </w:t>
      </w:r>
      <w:r w:rsidRPr="00961B75">
        <w:rPr>
          <w:i/>
        </w:rPr>
        <w:t>cirrhotic</w:t>
      </w:r>
      <w:r w:rsidRPr="00961B75">
        <w:t xml:space="preserve"> GT4 patients, </w:t>
      </w:r>
      <w:r w:rsidR="00895B7D" w:rsidRPr="00961B75">
        <w:t>the PBAC considered that the claim of superior comparative safety over SOF</w:t>
      </w:r>
      <w:r w:rsidR="008B429D">
        <w:t xml:space="preserve"> </w:t>
      </w:r>
      <w:r w:rsidR="00895B7D" w:rsidRPr="00961B75">
        <w:t>+</w:t>
      </w:r>
      <w:r w:rsidR="008B429D">
        <w:t xml:space="preserve"> </w:t>
      </w:r>
      <w:r w:rsidR="00895B7D" w:rsidRPr="00961B75">
        <w:t>PR may be reasonable</w:t>
      </w:r>
      <w:r w:rsidR="00F03900" w:rsidRPr="00961B75">
        <w:t xml:space="preserve"> given the well-known limitations of interferon-containing regimens</w:t>
      </w:r>
      <w:r w:rsidR="00895B7D" w:rsidRPr="00961B75">
        <w:t xml:space="preserve">, but that the claim </w:t>
      </w:r>
      <w:r w:rsidR="00772BB9" w:rsidRPr="00961B75">
        <w:t>of superior comparative efficacy over SOF</w:t>
      </w:r>
      <w:r w:rsidR="008B429D">
        <w:t xml:space="preserve"> </w:t>
      </w:r>
      <w:r w:rsidR="00772BB9" w:rsidRPr="00961B75">
        <w:t>+</w:t>
      </w:r>
      <w:r w:rsidR="008B429D">
        <w:t xml:space="preserve"> </w:t>
      </w:r>
      <w:r w:rsidR="00772BB9" w:rsidRPr="00961B75">
        <w:t>PR was no</w:t>
      </w:r>
      <w:r w:rsidR="00234074" w:rsidRPr="00961B75">
        <w:t>t</w:t>
      </w:r>
      <w:r w:rsidR="00772BB9" w:rsidRPr="00961B75">
        <w:t xml:space="preserve"> reasonable, with insufficient data to support the claim.</w:t>
      </w:r>
    </w:p>
    <w:p w:rsidR="00B60939" w:rsidRPr="00961B75" w:rsidRDefault="00B60939" w:rsidP="004611DA">
      <w:pPr>
        <w:widowControl/>
        <w:ind w:left="720" w:hanging="720"/>
        <w:rPr>
          <w:szCs w:val="22"/>
        </w:rPr>
      </w:pPr>
    </w:p>
    <w:p w:rsidR="00B60939" w:rsidRPr="00961B75" w:rsidRDefault="00B60939" w:rsidP="004611DA">
      <w:pPr>
        <w:pStyle w:val="Heading2"/>
        <w:widowControl/>
        <w:rPr>
          <w:i/>
        </w:rPr>
      </w:pPr>
      <w:bookmarkStart w:id="13" w:name="_Toc461551708"/>
      <w:r w:rsidRPr="00961B75">
        <w:rPr>
          <w:i/>
        </w:rPr>
        <w:t>Economic analysis</w:t>
      </w:r>
      <w:bookmarkEnd w:id="13"/>
      <w:r w:rsidR="00491B3A" w:rsidRPr="00961B75">
        <w:rPr>
          <w:i/>
        </w:rPr>
        <w:t xml:space="preserve"> </w:t>
      </w:r>
    </w:p>
    <w:p w:rsidR="003C10AE" w:rsidRPr="00961B75" w:rsidRDefault="003C10AE" w:rsidP="004611DA">
      <w:pPr>
        <w:widowControl/>
      </w:pPr>
    </w:p>
    <w:p w:rsidR="004F2318" w:rsidRPr="00961B75" w:rsidRDefault="004F2318" w:rsidP="00EF7F25">
      <w:pPr>
        <w:pStyle w:val="ListParagraph"/>
        <w:widowControl/>
        <w:numPr>
          <w:ilvl w:val="1"/>
          <w:numId w:val="1"/>
        </w:numPr>
      </w:pPr>
      <w:r w:rsidRPr="00961B75">
        <w:t xml:space="preserve">Although </w:t>
      </w:r>
      <w:r w:rsidR="005D4EB9" w:rsidRPr="00961B75">
        <w:t xml:space="preserve">an economic analysis </w:t>
      </w:r>
      <w:r w:rsidR="00BD6E6C" w:rsidRPr="00961B75">
        <w:t xml:space="preserve">was </w:t>
      </w:r>
      <w:r w:rsidRPr="00961B75">
        <w:t>presented</w:t>
      </w:r>
      <w:r w:rsidR="00BD6E6C" w:rsidRPr="00961B75">
        <w:t xml:space="preserve"> (</w:t>
      </w:r>
      <w:r w:rsidR="005F21B9" w:rsidRPr="00961B75">
        <w:t xml:space="preserve">a </w:t>
      </w:r>
      <w:r w:rsidR="007D147D" w:rsidRPr="00961B75">
        <w:t xml:space="preserve">modelled cost-utility analysis versus </w:t>
      </w:r>
      <w:r w:rsidR="00177FF7" w:rsidRPr="00961B75">
        <w:t>‘</w:t>
      </w:r>
      <w:r w:rsidR="007D147D" w:rsidRPr="00961B75">
        <w:t>no treatment</w:t>
      </w:r>
      <w:r w:rsidR="00177FF7" w:rsidRPr="00961B75">
        <w:t>’</w:t>
      </w:r>
      <w:r w:rsidR="00BD6E6C" w:rsidRPr="00961B75">
        <w:t>)</w:t>
      </w:r>
      <w:r w:rsidRPr="00961B75">
        <w:t xml:space="preserve">, the submission indicated that the </w:t>
      </w:r>
      <w:r w:rsidR="00D61274" w:rsidRPr="00961B75">
        <w:t>s</w:t>
      </w:r>
      <w:r w:rsidRPr="00961B75">
        <w:t xml:space="preserve">ponsor </w:t>
      </w:r>
      <w:r w:rsidR="00D61274" w:rsidRPr="00961B75">
        <w:t xml:space="preserve">was </w:t>
      </w:r>
      <w:r w:rsidRPr="00961B75">
        <w:t xml:space="preserve">willing to accept a price for </w:t>
      </w:r>
      <w:proofErr w:type="spellStart"/>
      <w:r w:rsidRPr="00961B75">
        <w:t>Technivie</w:t>
      </w:r>
      <w:proofErr w:type="spellEnd"/>
      <w:r w:rsidRPr="00961B75">
        <w:t>® based on a cost</w:t>
      </w:r>
      <w:r w:rsidR="00D61274" w:rsidRPr="00961B75">
        <w:t>-</w:t>
      </w:r>
      <w:r w:rsidRPr="00961B75">
        <w:t>minimisation analysis versus GZ</w:t>
      </w:r>
      <w:r w:rsidR="00240DD3">
        <w:t>R</w:t>
      </w:r>
      <w:r w:rsidRPr="00961B75">
        <w:t>-EBR</w:t>
      </w:r>
      <w:r w:rsidR="00240DD3">
        <w:t xml:space="preserve"> </w:t>
      </w:r>
      <w:r w:rsidRPr="00961B75">
        <w:t>±</w:t>
      </w:r>
      <w:r w:rsidR="00240DD3">
        <w:t xml:space="preserve"> RBV.</w:t>
      </w:r>
    </w:p>
    <w:p w:rsidR="00C5657F" w:rsidRPr="00961B75" w:rsidRDefault="00C5657F" w:rsidP="004611DA">
      <w:pPr>
        <w:pStyle w:val="ListParagraph"/>
        <w:widowControl/>
      </w:pPr>
    </w:p>
    <w:p w:rsidR="00C25D9C" w:rsidRPr="00961B75" w:rsidRDefault="00C25D9C" w:rsidP="004611DA">
      <w:pPr>
        <w:pStyle w:val="Heading2"/>
        <w:widowControl/>
        <w:rPr>
          <w:i/>
          <w:szCs w:val="22"/>
        </w:rPr>
      </w:pPr>
      <w:bookmarkStart w:id="14" w:name="_Toc461551709"/>
      <w:r w:rsidRPr="00961B75">
        <w:rPr>
          <w:i/>
        </w:rPr>
        <w:t>Drug c</w:t>
      </w:r>
      <w:r w:rsidR="008717B8" w:rsidRPr="00961B75">
        <w:rPr>
          <w:i/>
        </w:rPr>
        <w:t>ost/patient/course</w:t>
      </w:r>
      <w:bookmarkEnd w:id="14"/>
    </w:p>
    <w:p w:rsidR="00C25D9C" w:rsidRPr="00961B75" w:rsidRDefault="00C25D9C" w:rsidP="004611DA">
      <w:pPr>
        <w:widowControl/>
        <w:rPr>
          <w:szCs w:val="22"/>
        </w:rPr>
      </w:pPr>
    </w:p>
    <w:p w:rsidR="00A86E8B" w:rsidRPr="00961B75" w:rsidRDefault="008717B8" w:rsidP="00EF7F25">
      <w:pPr>
        <w:pStyle w:val="ListParagraph"/>
        <w:widowControl/>
        <w:numPr>
          <w:ilvl w:val="1"/>
          <w:numId w:val="1"/>
        </w:numPr>
        <w:rPr>
          <w:szCs w:val="22"/>
        </w:rPr>
      </w:pPr>
      <w:r w:rsidRPr="00961B75">
        <w:t>$</w:t>
      </w:r>
      <w:r w:rsidR="0040233E">
        <w:rPr>
          <w:noProof/>
          <w:color w:val="000000"/>
          <w:highlight w:val="black"/>
        </w:rPr>
        <w:t>''''''''''''''''</w:t>
      </w:r>
      <w:r w:rsidRPr="00961B75">
        <w:t xml:space="preserve"> for </w:t>
      </w:r>
      <w:r w:rsidR="00622CA1" w:rsidRPr="00961B75">
        <w:t xml:space="preserve">the </w:t>
      </w:r>
      <w:r w:rsidRPr="00961B75">
        <w:t>full 12 weeks of treatmen</w:t>
      </w:r>
      <w:r w:rsidR="000F06B4" w:rsidRPr="00961B75">
        <w:t xml:space="preserve">t based on the </w:t>
      </w:r>
      <w:r w:rsidR="008C165F" w:rsidRPr="00961B75">
        <w:t xml:space="preserve">proposed </w:t>
      </w:r>
      <w:r w:rsidR="000F06B4" w:rsidRPr="00961B75">
        <w:t>effective price</w:t>
      </w:r>
      <w:r w:rsidR="00515FA5" w:rsidRPr="00961B75">
        <w:t>.</w:t>
      </w:r>
    </w:p>
    <w:p w:rsidR="00707065" w:rsidRDefault="00707065" w:rsidP="00A746EE">
      <w:bookmarkStart w:id="15" w:name="_Toc461551710"/>
    </w:p>
    <w:p w:rsidR="00B60939" w:rsidRPr="00961B75" w:rsidRDefault="00B60939" w:rsidP="004611DA">
      <w:pPr>
        <w:pStyle w:val="Heading2"/>
        <w:widowControl/>
        <w:rPr>
          <w:i/>
        </w:rPr>
      </w:pPr>
      <w:r w:rsidRPr="00961B75">
        <w:rPr>
          <w:i/>
        </w:rPr>
        <w:t>Estimated PBS usage &amp; financial implications</w:t>
      </w:r>
      <w:bookmarkEnd w:id="15"/>
    </w:p>
    <w:p w:rsidR="00B60939" w:rsidRPr="00961B75" w:rsidRDefault="00B60939" w:rsidP="004611DA">
      <w:pPr>
        <w:widowControl/>
        <w:rPr>
          <w:b/>
          <w:i/>
          <w:szCs w:val="22"/>
        </w:rPr>
      </w:pPr>
    </w:p>
    <w:p w:rsidR="00C25D9C" w:rsidRPr="00961B75" w:rsidRDefault="00FA1428" w:rsidP="00EF7F25">
      <w:pPr>
        <w:pStyle w:val="ListParagraph"/>
        <w:widowControl/>
        <w:numPr>
          <w:ilvl w:val="1"/>
          <w:numId w:val="1"/>
        </w:numPr>
        <w:rPr>
          <w:szCs w:val="22"/>
        </w:rPr>
      </w:pPr>
      <w:r w:rsidRPr="00961B75">
        <w:t xml:space="preserve">This submission </w:t>
      </w:r>
      <w:r w:rsidR="003C10AE" w:rsidRPr="00961B75">
        <w:t>was not</w:t>
      </w:r>
      <w:r w:rsidR="00C25D9C" w:rsidRPr="00961B75">
        <w:t xml:space="preserve"> considered by DUSC</w:t>
      </w:r>
      <w:r w:rsidR="00C25D9C" w:rsidRPr="00961B75">
        <w:rPr>
          <w:color w:val="0070C0"/>
        </w:rPr>
        <w:t xml:space="preserve">. </w:t>
      </w:r>
      <w:r w:rsidR="00A36DF9" w:rsidRPr="00961B75">
        <w:t xml:space="preserve">The submission used an epidemiological approach in the estimation of the financial impact of </w:t>
      </w:r>
      <w:r w:rsidR="00201160" w:rsidRPr="00961B75">
        <w:t xml:space="preserve">listing </w:t>
      </w:r>
      <w:proofErr w:type="spellStart"/>
      <w:r w:rsidR="00A36DF9" w:rsidRPr="00961B75">
        <w:t>Technivie</w:t>
      </w:r>
      <w:proofErr w:type="spellEnd"/>
      <w:r w:rsidR="00A36DF9" w:rsidRPr="00961B75">
        <w:t>®</w:t>
      </w:r>
      <w:r w:rsidR="00201160" w:rsidRPr="00961B75">
        <w:t xml:space="preserve"> on the PBS</w:t>
      </w:r>
      <w:r w:rsidR="00AD1785" w:rsidRPr="00961B75">
        <w:t xml:space="preserve"> (Table </w:t>
      </w:r>
      <w:r w:rsidR="005C2B66" w:rsidRPr="00961B75">
        <w:t>7</w:t>
      </w:r>
      <w:r w:rsidR="00AD1785" w:rsidRPr="00961B75">
        <w:t>)</w:t>
      </w:r>
      <w:r w:rsidR="00A36DF9" w:rsidRPr="00961B75">
        <w:t>.</w:t>
      </w:r>
    </w:p>
    <w:p w:rsidR="00A36DF9" w:rsidRPr="00961B75" w:rsidRDefault="00A36DF9" w:rsidP="004611DA">
      <w:pPr>
        <w:pStyle w:val="ListParagraph"/>
        <w:widowControl/>
        <w:rPr>
          <w:szCs w:val="22"/>
        </w:rPr>
      </w:pPr>
    </w:p>
    <w:p w:rsidR="00C25D9C" w:rsidRPr="00961B75" w:rsidRDefault="00C25D9C" w:rsidP="004611DA">
      <w:pPr>
        <w:widowControl/>
        <w:ind w:firstLine="709"/>
        <w:rPr>
          <w:rStyle w:val="CommentReference"/>
        </w:rPr>
      </w:pPr>
      <w:r w:rsidRPr="00961B75">
        <w:rPr>
          <w:rStyle w:val="CommentReference"/>
        </w:rPr>
        <w:t>Table</w:t>
      </w:r>
      <w:r w:rsidR="005C2B66" w:rsidRPr="00961B75">
        <w:rPr>
          <w:rStyle w:val="CommentReference"/>
        </w:rPr>
        <w:t xml:space="preserve"> 7</w:t>
      </w:r>
      <w:r w:rsidRPr="00961B75">
        <w:rPr>
          <w:rStyle w:val="CommentReference"/>
        </w:rPr>
        <w:t>: Estimated use and financial implications</w:t>
      </w:r>
    </w:p>
    <w:tbl>
      <w:tblPr>
        <w:tblW w:w="4595"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271"/>
        <w:gridCol w:w="1133"/>
        <w:gridCol w:w="1133"/>
        <w:gridCol w:w="1275"/>
        <w:gridCol w:w="1275"/>
        <w:gridCol w:w="1259"/>
      </w:tblGrid>
      <w:tr w:rsidR="00C25D9C" w:rsidRPr="00961B75" w:rsidTr="00A36DF9">
        <w:trPr>
          <w:tblHeader/>
        </w:trPr>
        <w:tc>
          <w:tcPr>
            <w:tcW w:w="1360" w:type="pct"/>
            <w:shd w:val="clear" w:color="auto" w:fill="auto"/>
            <w:vAlign w:val="center"/>
          </w:tcPr>
          <w:p w:rsidR="00C25D9C" w:rsidRPr="00961B75" w:rsidRDefault="00C25D9C" w:rsidP="004611DA">
            <w:pPr>
              <w:widowControl/>
              <w:tabs>
                <w:tab w:val="left" w:pos="142"/>
              </w:tabs>
              <w:jc w:val="left"/>
              <w:rPr>
                <w:rFonts w:ascii="Arial Narrow" w:hAnsi="Arial Narrow"/>
                <w:b/>
                <w:sz w:val="20"/>
              </w:rPr>
            </w:pPr>
          </w:p>
        </w:tc>
        <w:tc>
          <w:tcPr>
            <w:tcW w:w="679" w:type="pct"/>
            <w:shd w:val="clear" w:color="auto" w:fill="auto"/>
            <w:vAlign w:val="center"/>
          </w:tcPr>
          <w:p w:rsidR="00C25D9C" w:rsidRPr="00961B75" w:rsidRDefault="00C25D9C" w:rsidP="004611DA">
            <w:pPr>
              <w:widowControl/>
              <w:jc w:val="center"/>
              <w:rPr>
                <w:rFonts w:ascii="Arial Narrow" w:hAnsi="Arial Narrow"/>
                <w:b/>
                <w:sz w:val="20"/>
              </w:rPr>
            </w:pPr>
            <w:r w:rsidRPr="00961B75">
              <w:rPr>
                <w:rFonts w:ascii="Arial Narrow" w:hAnsi="Arial Narrow"/>
                <w:b/>
                <w:sz w:val="20"/>
              </w:rPr>
              <w:t>Year 1</w:t>
            </w:r>
          </w:p>
        </w:tc>
        <w:tc>
          <w:tcPr>
            <w:tcW w:w="679" w:type="pct"/>
            <w:shd w:val="clear" w:color="auto" w:fill="auto"/>
            <w:vAlign w:val="center"/>
          </w:tcPr>
          <w:p w:rsidR="00C25D9C" w:rsidRPr="00961B75" w:rsidRDefault="00C25D9C" w:rsidP="004611DA">
            <w:pPr>
              <w:widowControl/>
              <w:jc w:val="center"/>
              <w:rPr>
                <w:rFonts w:ascii="Arial Narrow" w:hAnsi="Arial Narrow"/>
                <w:b/>
                <w:sz w:val="20"/>
              </w:rPr>
            </w:pPr>
            <w:r w:rsidRPr="00961B75">
              <w:rPr>
                <w:rFonts w:ascii="Arial Narrow" w:hAnsi="Arial Narrow"/>
                <w:b/>
                <w:sz w:val="20"/>
              </w:rPr>
              <w:t>Year 2</w:t>
            </w:r>
          </w:p>
        </w:tc>
        <w:tc>
          <w:tcPr>
            <w:tcW w:w="764" w:type="pct"/>
            <w:shd w:val="clear" w:color="auto" w:fill="auto"/>
            <w:vAlign w:val="center"/>
          </w:tcPr>
          <w:p w:rsidR="00C25D9C" w:rsidRPr="00961B75" w:rsidRDefault="00C25D9C" w:rsidP="004611DA">
            <w:pPr>
              <w:widowControl/>
              <w:jc w:val="center"/>
              <w:rPr>
                <w:rFonts w:ascii="Arial Narrow" w:hAnsi="Arial Narrow"/>
                <w:b/>
                <w:sz w:val="20"/>
              </w:rPr>
            </w:pPr>
            <w:r w:rsidRPr="00961B75">
              <w:rPr>
                <w:rFonts w:ascii="Arial Narrow" w:hAnsi="Arial Narrow"/>
                <w:b/>
                <w:sz w:val="20"/>
              </w:rPr>
              <w:t>Year 3</w:t>
            </w:r>
          </w:p>
        </w:tc>
        <w:tc>
          <w:tcPr>
            <w:tcW w:w="764" w:type="pct"/>
            <w:shd w:val="clear" w:color="auto" w:fill="auto"/>
            <w:vAlign w:val="center"/>
          </w:tcPr>
          <w:p w:rsidR="00C25D9C" w:rsidRPr="00961B75" w:rsidRDefault="00C25D9C" w:rsidP="004611DA">
            <w:pPr>
              <w:widowControl/>
              <w:jc w:val="center"/>
              <w:rPr>
                <w:rFonts w:ascii="Arial Narrow" w:hAnsi="Arial Narrow"/>
                <w:b/>
                <w:sz w:val="20"/>
              </w:rPr>
            </w:pPr>
            <w:r w:rsidRPr="00961B75">
              <w:rPr>
                <w:rFonts w:ascii="Arial Narrow" w:hAnsi="Arial Narrow"/>
                <w:b/>
                <w:sz w:val="20"/>
              </w:rPr>
              <w:t>Year 4</w:t>
            </w:r>
          </w:p>
        </w:tc>
        <w:tc>
          <w:tcPr>
            <w:tcW w:w="754" w:type="pct"/>
            <w:shd w:val="clear" w:color="auto" w:fill="auto"/>
            <w:vAlign w:val="center"/>
          </w:tcPr>
          <w:p w:rsidR="00C25D9C" w:rsidRPr="00961B75" w:rsidRDefault="00C25D9C" w:rsidP="004611DA">
            <w:pPr>
              <w:widowControl/>
              <w:jc w:val="center"/>
              <w:rPr>
                <w:rFonts w:ascii="Arial Narrow" w:hAnsi="Arial Narrow"/>
                <w:b/>
                <w:sz w:val="20"/>
              </w:rPr>
            </w:pPr>
            <w:r w:rsidRPr="00961B75">
              <w:rPr>
                <w:rFonts w:ascii="Arial Narrow" w:hAnsi="Arial Narrow"/>
                <w:b/>
                <w:sz w:val="20"/>
              </w:rPr>
              <w:t>Year 5</w:t>
            </w:r>
          </w:p>
        </w:tc>
      </w:tr>
      <w:tr w:rsidR="00C25D9C" w:rsidRPr="00961B75" w:rsidTr="005D044D">
        <w:tc>
          <w:tcPr>
            <w:tcW w:w="5000" w:type="pct"/>
            <w:gridSpan w:val="6"/>
            <w:shd w:val="clear" w:color="auto" w:fill="auto"/>
            <w:vAlign w:val="center"/>
          </w:tcPr>
          <w:p w:rsidR="00C25D9C" w:rsidRPr="00961B75" w:rsidRDefault="00C25D9C" w:rsidP="004611DA">
            <w:pPr>
              <w:widowControl/>
              <w:jc w:val="left"/>
              <w:rPr>
                <w:rFonts w:ascii="Arial Narrow" w:hAnsi="Arial Narrow"/>
                <w:b/>
                <w:bCs/>
                <w:color w:val="000000"/>
                <w:sz w:val="20"/>
              </w:rPr>
            </w:pPr>
            <w:r w:rsidRPr="00961B75">
              <w:rPr>
                <w:rFonts w:ascii="Arial Narrow" w:hAnsi="Arial Narrow"/>
                <w:b/>
                <w:bCs/>
                <w:color w:val="000000"/>
                <w:sz w:val="20"/>
              </w:rPr>
              <w:t>Estimated extent of use</w:t>
            </w:r>
          </w:p>
        </w:tc>
      </w:tr>
      <w:tr w:rsidR="00A36DF9" w:rsidRPr="00961B75" w:rsidTr="00A36DF9">
        <w:tc>
          <w:tcPr>
            <w:tcW w:w="1360" w:type="pct"/>
            <w:shd w:val="clear" w:color="auto" w:fill="auto"/>
            <w:vAlign w:val="center"/>
          </w:tcPr>
          <w:p w:rsidR="00A36DF9" w:rsidRPr="00961B75" w:rsidRDefault="00A36DF9" w:rsidP="004611DA">
            <w:pPr>
              <w:widowControl/>
              <w:tabs>
                <w:tab w:val="left" w:pos="142"/>
              </w:tabs>
              <w:jc w:val="left"/>
              <w:rPr>
                <w:rFonts w:ascii="Arial Narrow" w:hAnsi="Arial Narrow"/>
                <w:sz w:val="20"/>
              </w:rPr>
            </w:pPr>
            <w:r w:rsidRPr="00961B75">
              <w:rPr>
                <w:rFonts w:ascii="Arial Narrow" w:hAnsi="Arial Narrow"/>
                <w:sz w:val="20"/>
              </w:rPr>
              <w:t>Number treated</w:t>
            </w:r>
          </w:p>
        </w:tc>
        <w:tc>
          <w:tcPr>
            <w:tcW w:w="679" w:type="pct"/>
            <w:shd w:val="clear" w:color="auto" w:fill="auto"/>
            <w:vAlign w:val="center"/>
          </w:tcPr>
          <w:p w:rsidR="00A36DF9" w:rsidRPr="0040233E" w:rsidRDefault="0040233E" w:rsidP="004611DA">
            <w:pPr>
              <w:widowControl/>
              <w:jc w:val="center"/>
              <w:rPr>
                <w:rFonts w:ascii="Arial Narrow" w:hAnsi="Arial Narrow"/>
                <w:bCs/>
                <w:color w:val="000000"/>
                <w:sz w:val="20"/>
                <w:highlight w:val="black"/>
              </w:rPr>
            </w:pPr>
            <w:r>
              <w:rPr>
                <w:rFonts w:ascii="Arial Narrow" w:hAnsi="Arial Narrow"/>
                <w:noProof/>
                <w:color w:val="000000"/>
                <w:sz w:val="20"/>
                <w:highlight w:val="black"/>
              </w:rPr>
              <w:t>'''''''''</w:t>
            </w:r>
          </w:p>
        </w:tc>
        <w:tc>
          <w:tcPr>
            <w:tcW w:w="679" w:type="pct"/>
            <w:shd w:val="clear" w:color="auto" w:fill="auto"/>
            <w:vAlign w:val="center"/>
          </w:tcPr>
          <w:p w:rsidR="00A36DF9" w:rsidRPr="0040233E" w:rsidRDefault="0040233E" w:rsidP="004611DA">
            <w:pPr>
              <w:widowControl/>
              <w:jc w:val="center"/>
              <w:rPr>
                <w:rFonts w:ascii="Arial Narrow" w:hAnsi="Arial Narrow"/>
                <w:bCs/>
                <w:color w:val="000000"/>
                <w:sz w:val="20"/>
                <w:highlight w:val="black"/>
              </w:rPr>
            </w:pPr>
            <w:r>
              <w:rPr>
                <w:rFonts w:ascii="Arial Narrow" w:hAnsi="Arial Narrow"/>
                <w:noProof/>
                <w:color w:val="000000"/>
                <w:sz w:val="20"/>
                <w:highlight w:val="black"/>
              </w:rPr>
              <w:t>''''''''''</w:t>
            </w:r>
          </w:p>
        </w:tc>
        <w:tc>
          <w:tcPr>
            <w:tcW w:w="764" w:type="pct"/>
            <w:shd w:val="clear" w:color="auto" w:fill="auto"/>
            <w:vAlign w:val="center"/>
          </w:tcPr>
          <w:p w:rsidR="00A36DF9" w:rsidRPr="0040233E" w:rsidRDefault="0040233E" w:rsidP="004611DA">
            <w:pPr>
              <w:widowControl/>
              <w:jc w:val="center"/>
              <w:rPr>
                <w:rFonts w:ascii="Arial Narrow" w:hAnsi="Arial Narrow"/>
                <w:bCs/>
                <w:color w:val="000000"/>
                <w:sz w:val="20"/>
                <w:highlight w:val="black"/>
              </w:rPr>
            </w:pPr>
            <w:r>
              <w:rPr>
                <w:rFonts w:ascii="Arial Narrow" w:hAnsi="Arial Narrow"/>
                <w:noProof/>
                <w:color w:val="000000"/>
                <w:sz w:val="20"/>
                <w:highlight w:val="black"/>
              </w:rPr>
              <w:t>'''''''''</w:t>
            </w:r>
          </w:p>
        </w:tc>
        <w:tc>
          <w:tcPr>
            <w:tcW w:w="764" w:type="pct"/>
            <w:shd w:val="clear" w:color="auto" w:fill="auto"/>
            <w:vAlign w:val="center"/>
          </w:tcPr>
          <w:p w:rsidR="00A36DF9" w:rsidRPr="0040233E" w:rsidRDefault="0040233E" w:rsidP="004611DA">
            <w:pPr>
              <w:widowControl/>
              <w:jc w:val="center"/>
              <w:rPr>
                <w:rFonts w:ascii="Arial Narrow" w:hAnsi="Arial Narrow"/>
                <w:bCs/>
                <w:color w:val="000000"/>
                <w:sz w:val="20"/>
                <w:highlight w:val="black"/>
              </w:rPr>
            </w:pPr>
            <w:r>
              <w:rPr>
                <w:rFonts w:ascii="Arial Narrow" w:hAnsi="Arial Narrow"/>
                <w:noProof/>
                <w:color w:val="000000"/>
                <w:sz w:val="20"/>
                <w:highlight w:val="black"/>
              </w:rPr>
              <w:t>'''''''''</w:t>
            </w:r>
          </w:p>
        </w:tc>
        <w:tc>
          <w:tcPr>
            <w:tcW w:w="754" w:type="pct"/>
            <w:shd w:val="clear" w:color="auto" w:fill="auto"/>
            <w:vAlign w:val="center"/>
          </w:tcPr>
          <w:p w:rsidR="00A36DF9" w:rsidRPr="0040233E" w:rsidRDefault="0040233E" w:rsidP="004611DA">
            <w:pPr>
              <w:widowControl/>
              <w:jc w:val="center"/>
              <w:rPr>
                <w:rFonts w:ascii="Arial Narrow" w:hAnsi="Arial Narrow"/>
                <w:bCs/>
                <w:color w:val="000000"/>
                <w:sz w:val="20"/>
                <w:highlight w:val="black"/>
              </w:rPr>
            </w:pPr>
            <w:r>
              <w:rPr>
                <w:rFonts w:ascii="Arial Narrow" w:hAnsi="Arial Narrow"/>
                <w:noProof/>
                <w:color w:val="000000"/>
                <w:sz w:val="20"/>
                <w:highlight w:val="black"/>
              </w:rPr>
              <w:t>''''''''''</w:t>
            </w:r>
          </w:p>
        </w:tc>
      </w:tr>
      <w:tr w:rsidR="00A36DF9" w:rsidRPr="00961B75" w:rsidTr="00A36DF9">
        <w:tc>
          <w:tcPr>
            <w:tcW w:w="1360" w:type="pct"/>
            <w:shd w:val="clear" w:color="auto" w:fill="auto"/>
            <w:vAlign w:val="center"/>
          </w:tcPr>
          <w:p w:rsidR="00A36DF9" w:rsidRPr="00961B75" w:rsidRDefault="00A36DF9" w:rsidP="004611DA">
            <w:pPr>
              <w:widowControl/>
              <w:tabs>
                <w:tab w:val="left" w:pos="142"/>
              </w:tabs>
              <w:jc w:val="left"/>
              <w:rPr>
                <w:rFonts w:ascii="Arial Narrow" w:hAnsi="Arial Narrow"/>
                <w:sz w:val="20"/>
              </w:rPr>
            </w:pPr>
            <w:proofErr w:type="spellStart"/>
            <w:r w:rsidRPr="00961B75">
              <w:rPr>
                <w:rFonts w:ascii="Arial Narrow" w:hAnsi="Arial Narrow"/>
                <w:sz w:val="20"/>
              </w:rPr>
              <w:t>Scripts</w:t>
            </w:r>
            <w:r w:rsidRPr="00961B75">
              <w:rPr>
                <w:rFonts w:ascii="Arial Narrow" w:hAnsi="Arial Narrow"/>
                <w:sz w:val="20"/>
                <w:vertAlign w:val="superscript"/>
              </w:rPr>
              <w:t>a</w:t>
            </w:r>
            <w:proofErr w:type="spellEnd"/>
          </w:p>
        </w:tc>
        <w:tc>
          <w:tcPr>
            <w:tcW w:w="679" w:type="pct"/>
            <w:shd w:val="clear" w:color="auto" w:fill="auto"/>
            <w:vAlign w:val="center"/>
          </w:tcPr>
          <w:p w:rsidR="00A36DF9" w:rsidRPr="0040233E" w:rsidRDefault="0040233E" w:rsidP="004611DA">
            <w:pPr>
              <w:widowControl/>
              <w:jc w:val="center"/>
              <w:rPr>
                <w:rFonts w:ascii="Arial Narrow" w:hAnsi="Arial Narrow"/>
                <w:bCs/>
                <w:color w:val="000000"/>
                <w:sz w:val="20"/>
                <w:highlight w:val="black"/>
              </w:rPr>
            </w:pPr>
            <w:r>
              <w:rPr>
                <w:rFonts w:ascii="Arial Narrow" w:hAnsi="Arial Narrow"/>
                <w:noProof/>
                <w:color w:val="000000"/>
                <w:sz w:val="20"/>
                <w:highlight w:val="black"/>
              </w:rPr>
              <w:t>'''''''''''''''</w:t>
            </w:r>
          </w:p>
        </w:tc>
        <w:tc>
          <w:tcPr>
            <w:tcW w:w="679" w:type="pct"/>
            <w:shd w:val="clear" w:color="auto" w:fill="auto"/>
            <w:vAlign w:val="center"/>
          </w:tcPr>
          <w:p w:rsidR="00A36DF9" w:rsidRPr="0040233E" w:rsidRDefault="0040233E" w:rsidP="004611DA">
            <w:pPr>
              <w:widowControl/>
              <w:jc w:val="center"/>
              <w:rPr>
                <w:rFonts w:ascii="Arial Narrow" w:hAnsi="Arial Narrow"/>
                <w:bCs/>
                <w:color w:val="000000"/>
                <w:sz w:val="20"/>
                <w:highlight w:val="black"/>
              </w:rPr>
            </w:pPr>
            <w:r>
              <w:rPr>
                <w:rFonts w:ascii="Arial Narrow" w:hAnsi="Arial Narrow"/>
                <w:noProof/>
                <w:color w:val="000000"/>
                <w:sz w:val="20"/>
                <w:highlight w:val="black"/>
              </w:rPr>
              <w:t>'''''''''''''''</w:t>
            </w:r>
          </w:p>
        </w:tc>
        <w:tc>
          <w:tcPr>
            <w:tcW w:w="764" w:type="pct"/>
            <w:shd w:val="clear" w:color="auto" w:fill="auto"/>
            <w:vAlign w:val="center"/>
          </w:tcPr>
          <w:p w:rsidR="00A36DF9" w:rsidRPr="0040233E" w:rsidRDefault="0040233E" w:rsidP="004611DA">
            <w:pPr>
              <w:widowControl/>
              <w:jc w:val="center"/>
              <w:rPr>
                <w:rFonts w:ascii="Arial Narrow" w:hAnsi="Arial Narrow"/>
                <w:bCs/>
                <w:color w:val="000000"/>
                <w:sz w:val="20"/>
                <w:highlight w:val="black"/>
              </w:rPr>
            </w:pPr>
            <w:r>
              <w:rPr>
                <w:rFonts w:ascii="Arial Narrow" w:hAnsi="Arial Narrow"/>
                <w:noProof/>
                <w:color w:val="000000"/>
                <w:sz w:val="20"/>
                <w:highlight w:val="black"/>
              </w:rPr>
              <w:t>'''''''''''''</w:t>
            </w:r>
          </w:p>
        </w:tc>
        <w:tc>
          <w:tcPr>
            <w:tcW w:w="764" w:type="pct"/>
            <w:shd w:val="clear" w:color="auto" w:fill="auto"/>
            <w:vAlign w:val="center"/>
          </w:tcPr>
          <w:p w:rsidR="00A36DF9" w:rsidRPr="0040233E" w:rsidRDefault="0040233E" w:rsidP="004611DA">
            <w:pPr>
              <w:widowControl/>
              <w:jc w:val="center"/>
              <w:rPr>
                <w:rFonts w:ascii="Arial Narrow" w:hAnsi="Arial Narrow"/>
                <w:bCs/>
                <w:color w:val="000000"/>
                <w:sz w:val="20"/>
                <w:highlight w:val="black"/>
              </w:rPr>
            </w:pPr>
            <w:r>
              <w:rPr>
                <w:rFonts w:ascii="Arial Narrow" w:hAnsi="Arial Narrow"/>
                <w:noProof/>
                <w:color w:val="000000"/>
                <w:sz w:val="20"/>
                <w:highlight w:val="black"/>
              </w:rPr>
              <w:t>''''''''''''</w:t>
            </w:r>
          </w:p>
        </w:tc>
        <w:tc>
          <w:tcPr>
            <w:tcW w:w="754" w:type="pct"/>
            <w:shd w:val="clear" w:color="auto" w:fill="auto"/>
            <w:vAlign w:val="center"/>
          </w:tcPr>
          <w:p w:rsidR="00A36DF9" w:rsidRPr="0040233E" w:rsidRDefault="0040233E" w:rsidP="004611DA">
            <w:pPr>
              <w:widowControl/>
              <w:jc w:val="center"/>
              <w:rPr>
                <w:rFonts w:ascii="Arial Narrow" w:hAnsi="Arial Narrow"/>
                <w:bCs/>
                <w:color w:val="000000"/>
                <w:sz w:val="20"/>
                <w:highlight w:val="black"/>
              </w:rPr>
            </w:pPr>
            <w:r>
              <w:rPr>
                <w:rFonts w:ascii="Arial Narrow" w:hAnsi="Arial Narrow"/>
                <w:noProof/>
                <w:color w:val="000000"/>
                <w:sz w:val="20"/>
                <w:highlight w:val="black"/>
              </w:rPr>
              <w:t>''''''''''''</w:t>
            </w:r>
          </w:p>
        </w:tc>
      </w:tr>
      <w:tr w:rsidR="00A36DF9" w:rsidRPr="00961B75" w:rsidTr="005D044D">
        <w:tc>
          <w:tcPr>
            <w:tcW w:w="5000" w:type="pct"/>
            <w:gridSpan w:val="6"/>
            <w:shd w:val="clear" w:color="auto" w:fill="auto"/>
            <w:vAlign w:val="center"/>
          </w:tcPr>
          <w:p w:rsidR="00A36DF9" w:rsidRPr="00961B75" w:rsidRDefault="00A36DF9" w:rsidP="004611DA">
            <w:pPr>
              <w:widowControl/>
              <w:jc w:val="left"/>
              <w:rPr>
                <w:rFonts w:ascii="Arial Narrow" w:hAnsi="Arial Narrow"/>
                <w:b/>
                <w:bCs/>
                <w:color w:val="000000"/>
                <w:sz w:val="20"/>
              </w:rPr>
            </w:pPr>
            <w:r w:rsidRPr="00961B75">
              <w:rPr>
                <w:rFonts w:ascii="Arial Narrow" w:hAnsi="Arial Narrow"/>
                <w:b/>
                <w:bCs/>
                <w:color w:val="000000"/>
                <w:sz w:val="20"/>
              </w:rPr>
              <w:t>Estimated net cost to PBS/RPBS/MBS</w:t>
            </w:r>
          </w:p>
        </w:tc>
      </w:tr>
      <w:tr w:rsidR="00A36DF9" w:rsidRPr="00961B75" w:rsidTr="00A36DF9">
        <w:tc>
          <w:tcPr>
            <w:tcW w:w="1360" w:type="pct"/>
            <w:shd w:val="clear" w:color="auto" w:fill="auto"/>
            <w:vAlign w:val="center"/>
          </w:tcPr>
          <w:p w:rsidR="00A36DF9" w:rsidRPr="00961B75" w:rsidRDefault="00A36DF9" w:rsidP="004611DA">
            <w:pPr>
              <w:widowControl/>
              <w:tabs>
                <w:tab w:val="left" w:pos="142"/>
              </w:tabs>
              <w:jc w:val="left"/>
              <w:rPr>
                <w:rFonts w:ascii="Arial Narrow" w:hAnsi="Arial Narrow"/>
                <w:sz w:val="20"/>
              </w:rPr>
            </w:pPr>
            <w:r w:rsidRPr="00961B75">
              <w:rPr>
                <w:rFonts w:ascii="Arial Narrow" w:hAnsi="Arial Narrow"/>
                <w:sz w:val="19"/>
                <w:szCs w:val="19"/>
              </w:rPr>
              <w:t>Net cost to PBS/RPBS</w:t>
            </w:r>
          </w:p>
        </w:tc>
        <w:tc>
          <w:tcPr>
            <w:tcW w:w="679" w:type="pct"/>
            <w:shd w:val="clear" w:color="auto" w:fill="auto"/>
            <w:vAlign w:val="center"/>
          </w:tcPr>
          <w:p w:rsidR="00A36DF9" w:rsidRPr="00961B75" w:rsidRDefault="00A36DF9" w:rsidP="004611DA">
            <w:pPr>
              <w:widowControl/>
              <w:jc w:val="center"/>
              <w:rPr>
                <w:rFonts w:ascii="Arial Narrow" w:hAnsi="Arial Narrow"/>
                <w:bCs/>
                <w:color w:val="000000"/>
                <w:sz w:val="20"/>
              </w:rPr>
            </w:pPr>
            <w:r w:rsidRPr="00961B75">
              <w:rPr>
                <w:rFonts w:ascii="Arial Narrow" w:hAnsi="Arial Narrow"/>
                <w:sz w:val="20"/>
              </w:rPr>
              <w:t>$</w:t>
            </w:r>
            <w:r w:rsidR="0040233E">
              <w:rPr>
                <w:rFonts w:ascii="Arial Narrow" w:hAnsi="Arial Narrow"/>
                <w:noProof/>
                <w:color w:val="000000"/>
                <w:sz w:val="20"/>
                <w:highlight w:val="black"/>
              </w:rPr>
              <w:t>''''''''''''''''''''''''''</w:t>
            </w:r>
          </w:p>
        </w:tc>
        <w:tc>
          <w:tcPr>
            <w:tcW w:w="679" w:type="pct"/>
            <w:shd w:val="clear" w:color="auto" w:fill="auto"/>
            <w:vAlign w:val="center"/>
          </w:tcPr>
          <w:p w:rsidR="00A36DF9" w:rsidRPr="00961B75" w:rsidRDefault="00A36DF9" w:rsidP="004611DA">
            <w:pPr>
              <w:widowControl/>
              <w:jc w:val="center"/>
              <w:rPr>
                <w:rFonts w:ascii="Arial Narrow" w:hAnsi="Arial Narrow"/>
                <w:bCs/>
                <w:color w:val="000000"/>
                <w:sz w:val="20"/>
              </w:rPr>
            </w:pPr>
            <w:r w:rsidRPr="00961B75">
              <w:rPr>
                <w:rFonts w:ascii="Arial Narrow" w:hAnsi="Arial Narrow"/>
                <w:sz w:val="20"/>
              </w:rPr>
              <w:t>$</w:t>
            </w:r>
            <w:r w:rsidR="0040233E">
              <w:rPr>
                <w:rFonts w:ascii="Arial Narrow" w:hAnsi="Arial Narrow"/>
                <w:noProof/>
                <w:color w:val="000000"/>
                <w:sz w:val="20"/>
                <w:highlight w:val="black"/>
              </w:rPr>
              <w:t>'''''''''''''''''''''''''''''</w:t>
            </w:r>
          </w:p>
        </w:tc>
        <w:tc>
          <w:tcPr>
            <w:tcW w:w="764" w:type="pct"/>
            <w:shd w:val="clear" w:color="auto" w:fill="auto"/>
            <w:vAlign w:val="center"/>
          </w:tcPr>
          <w:p w:rsidR="00A36DF9" w:rsidRPr="00961B75" w:rsidRDefault="00A36DF9" w:rsidP="004611DA">
            <w:pPr>
              <w:widowControl/>
              <w:jc w:val="center"/>
              <w:rPr>
                <w:rFonts w:ascii="Arial Narrow" w:hAnsi="Arial Narrow"/>
                <w:bCs/>
                <w:color w:val="000000"/>
                <w:sz w:val="20"/>
              </w:rPr>
            </w:pPr>
            <w:r w:rsidRPr="00961B75">
              <w:rPr>
                <w:rFonts w:ascii="Arial Narrow" w:hAnsi="Arial Narrow"/>
                <w:sz w:val="20"/>
              </w:rPr>
              <w:t>$</w:t>
            </w:r>
            <w:r w:rsidR="0040233E">
              <w:rPr>
                <w:rFonts w:ascii="Arial Narrow" w:hAnsi="Arial Narrow"/>
                <w:noProof/>
                <w:color w:val="000000"/>
                <w:sz w:val="20"/>
                <w:highlight w:val="black"/>
              </w:rPr>
              <w:t>''''''''''''''''''''''</w:t>
            </w:r>
          </w:p>
        </w:tc>
        <w:tc>
          <w:tcPr>
            <w:tcW w:w="764" w:type="pct"/>
            <w:shd w:val="clear" w:color="auto" w:fill="auto"/>
            <w:vAlign w:val="center"/>
          </w:tcPr>
          <w:p w:rsidR="00A36DF9" w:rsidRPr="00961B75" w:rsidRDefault="00A36DF9" w:rsidP="004611DA">
            <w:pPr>
              <w:widowControl/>
              <w:jc w:val="center"/>
              <w:rPr>
                <w:rFonts w:ascii="Arial Narrow" w:hAnsi="Arial Narrow"/>
                <w:bCs/>
                <w:color w:val="000000"/>
                <w:sz w:val="20"/>
              </w:rPr>
            </w:pPr>
            <w:r w:rsidRPr="00961B75">
              <w:rPr>
                <w:rFonts w:ascii="Arial Narrow" w:hAnsi="Arial Narrow"/>
                <w:sz w:val="20"/>
              </w:rPr>
              <w:t>$</w:t>
            </w:r>
            <w:r w:rsidR="0040233E">
              <w:rPr>
                <w:rFonts w:ascii="Arial Narrow" w:hAnsi="Arial Narrow"/>
                <w:noProof/>
                <w:color w:val="000000"/>
                <w:sz w:val="20"/>
                <w:highlight w:val="black"/>
              </w:rPr>
              <w:t>''''''''''''''''''''''''</w:t>
            </w:r>
          </w:p>
        </w:tc>
        <w:tc>
          <w:tcPr>
            <w:tcW w:w="754" w:type="pct"/>
            <w:shd w:val="clear" w:color="auto" w:fill="auto"/>
            <w:vAlign w:val="center"/>
          </w:tcPr>
          <w:p w:rsidR="00A36DF9" w:rsidRPr="00961B75" w:rsidRDefault="00A36DF9" w:rsidP="004611DA">
            <w:pPr>
              <w:widowControl/>
              <w:jc w:val="center"/>
              <w:rPr>
                <w:rFonts w:ascii="Arial Narrow" w:hAnsi="Arial Narrow"/>
                <w:bCs/>
                <w:color w:val="000000"/>
                <w:sz w:val="20"/>
              </w:rPr>
            </w:pPr>
            <w:r w:rsidRPr="00961B75">
              <w:rPr>
                <w:rFonts w:ascii="Arial Narrow" w:hAnsi="Arial Narrow"/>
                <w:sz w:val="20"/>
              </w:rPr>
              <w:t>$</w:t>
            </w:r>
            <w:r w:rsidR="0040233E">
              <w:rPr>
                <w:rFonts w:ascii="Arial Narrow" w:hAnsi="Arial Narrow"/>
                <w:noProof/>
                <w:color w:val="000000"/>
                <w:sz w:val="20"/>
                <w:highlight w:val="black"/>
              </w:rPr>
              <w:t>'''''''''''''''''''''''''</w:t>
            </w:r>
          </w:p>
        </w:tc>
      </w:tr>
      <w:tr w:rsidR="00A36DF9" w:rsidRPr="00961B75" w:rsidTr="00A36DF9">
        <w:tc>
          <w:tcPr>
            <w:tcW w:w="1360" w:type="pct"/>
            <w:shd w:val="clear" w:color="auto" w:fill="auto"/>
            <w:vAlign w:val="center"/>
          </w:tcPr>
          <w:p w:rsidR="00A36DF9" w:rsidRPr="00961B75" w:rsidRDefault="00A36DF9" w:rsidP="004611DA">
            <w:pPr>
              <w:widowControl/>
              <w:tabs>
                <w:tab w:val="left" w:pos="142"/>
              </w:tabs>
              <w:jc w:val="left"/>
              <w:rPr>
                <w:rFonts w:ascii="Arial Narrow" w:hAnsi="Arial Narrow"/>
                <w:sz w:val="20"/>
              </w:rPr>
            </w:pPr>
            <w:r w:rsidRPr="00961B75">
              <w:rPr>
                <w:rFonts w:ascii="Arial Narrow" w:hAnsi="Arial Narrow"/>
                <w:sz w:val="19"/>
                <w:szCs w:val="19"/>
              </w:rPr>
              <w:t>Net cost to MBS</w:t>
            </w:r>
          </w:p>
        </w:tc>
        <w:tc>
          <w:tcPr>
            <w:tcW w:w="679" w:type="pct"/>
            <w:shd w:val="clear" w:color="auto" w:fill="auto"/>
            <w:vAlign w:val="center"/>
          </w:tcPr>
          <w:p w:rsidR="00A36DF9" w:rsidRPr="00961B75" w:rsidRDefault="00A36DF9" w:rsidP="004611DA">
            <w:pPr>
              <w:widowControl/>
              <w:jc w:val="center"/>
              <w:rPr>
                <w:rFonts w:ascii="Arial Narrow" w:hAnsi="Arial Narrow"/>
                <w:bCs/>
                <w:color w:val="000000"/>
                <w:sz w:val="20"/>
              </w:rPr>
            </w:pPr>
            <w:r w:rsidRPr="00961B75">
              <w:rPr>
                <w:rFonts w:ascii="Arial Narrow" w:hAnsi="Arial Narrow"/>
                <w:sz w:val="20"/>
              </w:rPr>
              <w:t>$</w:t>
            </w:r>
            <w:r w:rsidR="0040233E">
              <w:rPr>
                <w:rFonts w:ascii="Arial Narrow" w:hAnsi="Arial Narrow"/>
                <w:noProof/>
                <w:color w:val="000000"/>
                <w:sz w:val="20"/>
                <w:highlight w:val="black"/>
              </w:rPr>
              <w:t>''''''''''''''''''</w:t>
            </w:r>
          </w:p>
        </w:tc>
        <w:tc>
          <w:tcPr>
            <w:tcW w:w="679" w:type="pct"/>
            <w:shd w:val="clear" w:color="auto" w:fill="auto"/>
            <w:vAlign w:val="center"/>
          </w:tcPr>
          <w:p w:rsidR="00A36DF9" w:rsidRPr="00961B75" w:rsidRDefault="00A36DF9" w:rsidP="004611DA">
            <w:pPr>
              <w:widowControl/>
              <w:jc w:val="center"/>
              <w:rPr>
                <w:rFonts w:ascii="Arial Narrow" w:hAnsi="Arial Narrow"/>
                <w:bCs/>
                <w:color w:val="000000"/>
                <w:sz w:val="20"/>
              </w:rPr>
            </w:pPr>
            <w:r w:rsidRPr="00961B75">
              <w:rPr>
                <w:rFonts w:ascii="Arial Narrow" w:hAnsi="Arial Narrow"/>
                <w:sz w:val="20"/>
              </w:rPr>
              <w:t>$</w:t>
            </w:r>
            <w:r w:rsidR="0040233E">
              <w:rPr>
                <w:rFonts w:ascii="Arial Narrow" w:hAnsi="Arial Narrow"/>
                <w:noProof/>
                <w:color w:val="000000"/>
                <w:sz w:val="20"/>
                <w:highlight w:val="black"/>
              </w:rPr>
              <w:t>'''''''''''''''''''''</w:t>
            </w:r>
          </w:p>
        </w:tc>
        <w:tc>
          <w:tcPr>
            <w:tcW w:w="764" w:type="pct"/>
            <w:shd w:val="clear" w:color="auto" w:fill="auto"/>
            <w:vAlign w:val="center"/>
          </w:tcPr>
          <w:p w:rsidR="00A36DF9" w:rsidRPr="00961B75" w:rsidRDefault="00A36DF9" w:rsidP="004611DA">
            <w:pPr>
              <w:widowControl/>
              <w:jc w:val="center"/>
              <w:rPr>
                <w:rFonts w:ascii="Arial Narrow" w:hAnsi="Arial Narrow"/>
                <w:bCs/>
                <w:color w:val="000000"/>
                <w:sz w:val="20"/>
              </w:rPr>
            </w:pPr>
            <w:r w:rsidRPr="00961B75">
              <w:rPr>
                <w:rFonts w:ascii="Arial Narrow" w:hAnsi="Arial Narrow"/>
                <w:sz w:val="20"/>
              </w:rPr>
              <w:t>$</w:t>
            </w:r>
            <w:r w:rsidR="0040233E">
              <w:rPr>
                <w:rFonts w:ascii="Arial Narrow" w:hAnsi="Arial Narrow"/>
                <w:noProof/>
                <w:color w:val="000000"/>
                <w:sz w:val="20"/>
                <w:highlight w:val="black"/>
              </w:rPr>
              <w:t>'''''''''''''''''''''</w:t>
            </w:r>
          </w:p>
        </w:tc>
        <w:tc>
          <w:tcPr>
            <w:tcW w:w="764" w:type="pct"/>
            <w:shd w:val="clear" w:color="auto" w:fill="auto"/>
            <w:vAlign w:val="center"/>
          </w:tcPr>
          <w:p w:rsidR="00A36DF9" w:rsidRPr="00961B75" w:rsidRDefault="00A36DF9" w:rsidP="004611DA">
            <w:pPr>
              <w:widowControl/>
              <w:jc w:val="center"/>
              <w:rPr>
                <w:rFonts w:ascii="Arial Narrow" w:hAnsi="Arial Narrow"/>
                <w:bCs/>
                <w:color w:val="000000"/>
                <w:sz w:val="20"/>
              </w:rPr>
            </w:pPr>
            <w:r w:rsidRPr="00961B75">
              <w:rPr>
                <w:rFonts w:ascii="Arial Narrow" w:hAnsi="Arial Narrow"/>
                <w:sz w:val="20"/>
              </w:rPr>
              <w:t>$</w:t>
            </w:r>
            <w:r w:rsidR="0040233E">
              <w:rPr>
                <w:rFonts w:ascii="Arial Narrow" w:hAnsi="Arial Narrow"/>
                <w:noProof/>
                <w:color w:val="000000"/>
                <w:sz w:val="20"/>
                <w:highlight w:val="black"/>
              </w:rPr>
              <w:t>'''''''''''''''''''</w:t>
            </w:r>
          </w:p>
        </w:tc>
        <w:tc>
          <w:tcPr>
            <w:tcW w:w="754" w:type="pct"/>
            <w:shd w:val="clear" w:color="auto" w:fill="auto"/>
            <w:vAlign w:val="center"/>
          </w:tcPr>
          <w:p w:rsidR="00A36DF9" w:rsidRPr="00961B75" w:rsidRDefault="00A36DF9" w:rsidP="004611DA">
            <w:pPr>
              <w:widowControl/>
              <w:jc w:val="center"/>
              <w:rPr>
                <w:rFonts w:ascii="Arial Narrow" w:hAnsi="Arial Narrow"/>
                <w:bCs/>
                <w:color w:val="000000"/>
                <w:sz w:val="20"/>
              </w:rPr>
            </w:pPr>
            <w:r w:rsidRPr="00961B75">
              <w:rPr>
                <w:rFonts w:ascii="Arial Narrow" w:hAnsi="Arial Narrow"/>
                <w:sz w:val="20"/>
              </w:rPr>
              <w:t>$</w:t>
            </w:r>
            <w:r w:rsidR="0040233E">
              <w:rPr>
                <w:rFonts w:ascii="Arial Narrow" w:hAnsi="Arial Narrow"/>
                <w:noProof/>
                <w:color w:val="000000"/>
                <w:sz w:val="20"/>
                <w:highlight w:val="black"/>
              </w:rPr>
              <w:t>''''''''''''''''''''</w:t>
            </w:r>
          </w:p>
        </w:tc>
      </w:tr>
      <w:tr w:rsidR="00A36DF9" w:rsidRPr="00961B75" w:rsidTr="005D044D">
        <w:tc>
          <w:tcPr>
            <w:tcW w:w="5000" w:type="pct"/>
            <w:gridSpan w:val="6"/>
            <w:shd w:val="clear" w:color="auto" w:fill="auto"/>
            <w:vAlign w:val="center"/>
          </w:tcPr>
          <w:p w:rsidR="00A36DF9" w:rsidRPr="00961B75" w:rsidRDefault="00A36DF9" w:rsidP="004611DA">
            <w:pPr>
              <w:widowControl/>
              <w:jc w:val="left"/>
              <w:rPr>
                <w:rFonts w:ascii="Arial Narrow" w:hAnsi="Arial Narrow"/>
                <w:b/>
                <w:color w:val="000000"/>
                <w:sz w:val="20"/>
              </w:rPr>
            </w:pPr>
            <w:r w:rsidRPr="00961B75">
              <w:rPr>
                <w:rFonts w:ascii="Arial Narrow" w:hAnsi="Arial Narrow"/>
                <w:b/>
                <w:color w:val="000000"/>
                <w:sz w:val="20"/>
              </w:rPr>
              <w:t>Estimated total net cost</w:t>
            </w:r>
          </w:p>
        </w:tc>
      </w:tr>
      <w:tr w:rsidR="00A36DF9" w:rsidRPr="00961B75" w:rsidTr="00A36DF9">
        <w:tc>
          <w:tcPr>
            <w:tcW w:w="1360" w:type="pct"/>
            <w:shd w:val="clear" w:color="auto" w:fill="auto"/>
            <w:vAlign w:val="center"/>
          </w:tcPr>
          <w:p w:rsidR="00A36DF9" w:rsidRPr="00961B75" w:rsidRDefault="00A36DF9" w:rsidP="004611DA">
            <w:pPr>
              <w:widowControl/>
              <w:tabs>
                <w:tab w:val="left" w:pos="142"/>
              </w:tabs>
              <w:jc w:val="left"/>
              <w:rPr>
                <w:rFonts w:ascii="Arial Narrow" w:hAnsi="Arial Narrow"/>
                <w:b/>
                <w:sz w:val="20"/>
              </w:rPr>
            </w:pPr>
            <w:r w:rsidRPr="00961B75">
              <w:rPr>
                <w:rFonts w:ascii="Arial Narrow" w:hAnsi="Arial Narrow"/>
                <w:b/>
                <w:bCs/>
                <w:color w:val="000000"/>
                <w:sz w:val="20"/>
              </w:rPr>
              <w:t>Net cost to PBS/RPBS/MBS</w:t>
            </w:r>
          </w:p>
        </w:tc>
        <w:tc>
          <w:tcPr>
            <w:tcW w:w="679" w:type="pct"/>
            <w:shd w:val="clear" w:color="auto" w:fill="auto"/>
            <w:vAlign w:val="center"/>
          </w:tcPr>
          <w:p w:rsidR="00A36DF9" w:rsidRPr="00961B75" w:rsidRDefault="00A36DF9" w:rsidP="004611DA">
            <w:pPr>
              <w:widowControl/>
              <w:jc w:val="center"/>
              <w:rPr>
                <w:rFonts w:ascii="Arial Narrow" w:hAnsi="Arial Narrow"/>
                <w:b/>
                <w:bCs/>
                <w:color w:val="000000"/>
                <w:sz w:val="20"/>
              </w:rPr>
            </w:pPr>
            <w:r w:rsidRPr="00961B75">
              <w:rPr>
                <w:rFonts w:ascii="Arial Narrow" w:hAnsi="Arial Narrow"/>
                <w:b/>
                <w:bCs/>
                <w:sz w:val="20"/>
              </w:rPr>
              <w:t>$</w:t>
            </w:r>
            <w:r w:rsidR="0040233E">
              <w:rPr>
                <w:rFonts w:ascii="Arial Narrow" w:hAnsi="Arial Narrow"/>
                <w:b/>
                <w:bCs/>
                <w:noProof/>
                <w:color w:val="000000"/>
                <w:sz w:val="20"/>
                <w:highlight w:val="black"/>
              </w:rPr>
              <w:t>'''''''''''''''''''''''</w:t>
            </w:r>
          </w:p>
        </w:tc>
        <w:tc>
          <w:tcPr>
            <w:tcW w:w="679" w:type="pct"/>
            <w:shd w:val="clear" w:color="auto" w:fill="auto"/>
            <w:vAlign w:val="center"/>
          </w:tcPr>
          <w:p w:rsidR="00A36DF9" w:rsidRPr="00961B75" w:rsidRDefault="00A36DF9" w:rsidP="004611DA">
            <w:pPr>
              <w:widowControl/>
              <w:jc w:val="center"/>
              <w:rPr>
                <w:rFonts w:ascii="Arial Narrow" w:hAnsi="Arial Narrow"/>
                <w:b/>
                <w:bCs/>
                <w:color w:val="000000"/>
                <w:sz w:val="20"/>
              </w:rPr>
            </w:pPr>
            <w:r w:rsidRPr="00961B75">
              <w:rPr>
                <w:rFonts w:ascii="Arial Narrow" w:hAnsi="Arial Narrow"/>
                <w:b/>
                <w:bCs/>
                <w:sz w:val="20"/>
              </w:rPr>
              <w:t>$</w:t>
            </w:r>
            <w:r w:rsidR="0040233E">
              <w:rPr>
                <w:rFonts w:ascii="Arial Narrow" w:hAnsi="Arial Narrow"/>
                <w:b/>
                <w:bCs/>
                <w:noProof/>
                <w:color w:val="000000"/>
                <w:sz w:val="20"/>
                <w:highlight w:val="black"/>
              </w:rPr>
              <w:t>'''''''''''''''''''''</w:t>
            </w:r>
          </w:p>
        </w:tc>
        <w:tc>
          <w:tcPr>
            <w:tcW w:w="764" w:type="pct"/>
            <w:shd w:val="clear" w:color="auto" w:fill="auto"/>
            <w:vAlign w:val="center"/>
          </w:tcPr>
          <w:p w:rsidR="00A36DF9" w:rsidRPr="00961B75" w:rsidRDefault="00A36DF9" w:rsidP="004611DA">
            <w:pPr>
              <w:widowControl/>
              <w:jc w:val="center"/>
              <w:rPr>
                <w:rFonts w:ascii="Arial Narrow" w:hAnsi="Arial Narrow"/>
                <w:b/>
                <w:bCs/>
                <w:color w:val="000000"/>
                <w:sz w:val="20"/>
              </w:rPr>
            </w:pPr>
            <w:r w:rsidRPr="00961B75">
              <w:rPr>
                <w:rFonts w:ascii="Arial Narrow" w:hAnsi="Arial Narrow"/>
                <w:b/>
                <w:bCs/>
                <w:sz w:val="20"/>
              </w:rPr>
              <w:t>$</w:t>
            </w:r>
            <w:r w:rsidR="0040233E">
              <w:rPr>
                <w:rFonts w:ascii="Arial Narrow" w:hAnsi="Arial Narrow"/>
                <w:b/>
                <w:bCs/>
                <w:noProof/>
                <w:color w:val="000000"/>
                <w:sz w:val="20"/>
                <w:highlight w:val="black"/>
              </w:rPr>
              <w:t>''''''''''''''''''''''</w:t>
            </w:r>
          </w:p>
        </w:tc>
        <w:tc>
          <w:tcPr>
            <w:tcW w:w="764" w:type="pct"/>
            <w:shd w:val="clear" w:color="auto" w:fill="auto"/>
            <w:vAlign w:val="center"/>
          </w:tcPr>
          <w:p w:rsidR="00A36DF9" w:rsidRPr="00961B75" w:rsidRDefault="00A36DF9" w:rsidP="004611DA">
            <w:pPr>
              <w:widowControl/>
              <w:jc w:val="center"/>
              <w:rPr>
                <w:rFonts w:ascii="Arial Narrow" w:hAnsi="Arial Narrow"/>
                <w:b/>
                <w:bCs/>
                <w:color w:val="000000"/>
                <w:sz w:val="20"/>
              </w:rPr>
            </w:pPr>
            <w:r w:rsidRPr="00961B75">
              <w:rPr>
                <w:rFonts w:ascii="Arial Narrow" w:hAnsi="Arial Narrow"/>
                <w:b/>
                <w:bCs/>
                <w:sz w:val="20"/>
              </w:rPr>
              <w:t>$</w:t>
            </w:r>
            <w:r w:rsidR="0040233E">
              <w:rPr>
                <w:rFonts w:ascii="Arial Narrow" w:hAnsi="Arial Narrow"/>
                <w:b/>
                <w:bCs/>
                <w:noProof/>
                <w:color w:val="000000"/>
                <w:sz w:val="20"/>
                <w:highlight w:val="black"/>
              </w:rPr>
              <w:t>''''''''''''''''''</w:t>
            </w:r>
          </w:p>
        </w:tc>
        <w:tc>
          <w:tcPr>
            <w:tcW w:w="754" w:type="pct"/>
            <w:shd w:val="clear" w:color="auto" w:fill="auto"/>
            <w:vAlign w:val="center"/>
          </w:tcPr>
          <w:p w:rsidR="00A36DF9" w:rsidRPr="00961B75" w:rsidRDefault="00A36DF9" w:rsidP="004611DA">
            <w:pPr>
              <w:widowControl/>
              <w:jc w:val="center"/>
              <w:rPr>
                <w:rFonts w:ascii="Arial Narrow" w:hAnsi="Arial Narrow"/>
                <w:b/>
                <w:bCs/>
                <w:color w:val="000000"/>
                <w:sz w:val="20"/>
              </w:rPr>
            </w:pPr>
            <w:r w:rsidRPr="00961B75">
              <w:rPr>
                <w:rFonts w:ascii="Arial Narrow" w:hAnsi="Arial Narrow"/>
                <w:b/>
                <w:bCs/>
                <w:sz w:val="20"/>
              </w:rPr>
              <w:t>$</w:t>
            </w:r>
            <w:r w:rsidR="0040233E">
              <w:rPr>
                <w:rFonts w:ascii="Arial Narrow" w:hAnsi="Arial Narrow"/>
                <w:b/>
                <w:bCs/>
                <w:noProof/>
                <w:color w:val="000000"/>
                <w:sz w:val="20"/>
                <w:highlight w:val="black"/>
              </w:rPr>
              <w:t>''''''''''''''''''</w:t>
            </w:r>
          </w:p>
        </w:tc>
      </w:tr>
    </w:tbl>
    <w:p w:rsidR="00C25D9C" w:rsidRPr="00961B75" w:rsidRDefault="00C25D9C" w:rsidP="004611DA">
      <w:pPr>
        <w:pStyle w:val="TableFooter"/>
        <w:widowControl/>
        <w:ind w:firstLine="720"/>
        <w:rPr>
          <w:sz w:val="16"/>
          <w:szCs w:val="18"/>
        </w:rPr>
      </w:pPr>
      <w:proofErr w:type="spellStart"/>
      <w:proofErr w:type="gramStart"/>
      <w:r w:rsidRPr="00961B75">
        <w:rPr>
          <w:vertAlign w:val="superscript"/>
        </w:rPr>
        <w:t>a</w:t>
      </w:r>
      <w:proofErr w:type="spellEnd"/>
      <w:proofErr w:type="gramEnd"/>
      <w:r w:rsidRPr="00961B75">
        <w:t xml:space="preserve"> Assuming </w:t>
      </w:r>
      <w:r w:rsidR="0040233E">
        <w:rPr>
          <w:noProof/>
          <w:color w:val="000000"/>
          <w:highlight w:val="black"/>
        </w:rPr>
        <w:t>''''</w:t>
      </w:r>
      <w:r w:rsidR="00A36DF9" w:rsidRPr="00961B75">
        <w:t xml:space="preserve"> scripts would be required for 12 week course</w:t>
      </w:r>
      <w:r w:rsidRPr="00961B75">
        <w:t>.</w:t>
      </w:r>
    </w:p>
    <w:p w:rsidR="00C25D9C" w:rsidRPr="00961B75" w:rsidRDefault="00C25D9C" w:rsidP="00622CA1">
      <w:pPr>
        <w:pStyle w:val="TableFooter"/>
        <w:widowControl/>
        <w:ind w:left="680" w:firstLine="40"/>
        <w:rPr>
          <w:szCs w:val="22"/>
        </w:rPr>
      </w:pPr>
      <w:r w:rsidRPr="00961B75">
        <w:rPr>
          <w:sz w:val="16"/>
          <w:szCs w:val="18"/>
        </w:rPr>
        <w:t>Source:</w:t>
      </w:r>
      <w:r w:rsidR="00A36DF9" w:rsidRPr="00961B75">
        <w:rPr>
          <w:sz w:val="16"/>
          <w:szCs w:val="18"/>
        </w:rPr>
        <w:t xml:space="preserve"> </w:t>
      </w:r>
      <w:r w:rsidR="00622CA1" w:rsidRPr="00961B75">
        <w:rPr>
          <w:szCs w:val="18"/>
        </w:rPr>
        <w:t xml:space="preserve"> adapted from Table E-12, p260 of the submission; </w:t>
      </w:r>
      <w:proofErr w:type="spellStart"/>
      <w:r w:rsidR="00622CA1" w:rsidRPr="00961B75">
        <w:rPr>
          <w:szCs w:val="18"/>
        </w:rPr>
        <w:t>Technivie</w:t>
      </w:r>
      <w:proofErr w:type="spellEnd"/>
      <w:r w:rsidR="00622CA1" w:rsidRPr="00961B75">
        <w:rPr>
          <w:szCs w:val="18"/>
        </w:rPr>
        <w:t>® Section E Workbook.xlsx.</w:t>
      </w:r>
    </w:p>
    <w:p w:rsidR="00C25D9C" w:rsidRPr="00961B75" w:rsidRDefault="00C25D9C" w:rsidP="004611DA">
      <w:pPr>
        <w:widowControl/>
        <w:rPr>
          <w:szCs w:val="22"/>
        </w:rPr>
      </w:pPr>
    </w:p>
    <w:p w:rsidR="00C25D9C" w:rsidRPr="00961B75" w:rsidRDefault="0070394A" w:rsidP="00EF7F25">
      <w:pPr>
        <w:pStyle w:val="ListParagraph"/>
        <w:widowControl/>
        <w:numPr>
          <w:ilvl w:val="1"/>
          <w:numId w:val="1"/>
        </w:numPr>
        <w:rPr>
          <w:szCs w:val="22"/>
        </w:rPr>
      </w:pPr>
      <w:r w:rsidRPr="00961B75">
        <w:t>With respect to the MBS costs applied, some anomalies with the choice of MBS items and the application of benefit were noted</w:t>
      </w:r>
      <w:r w:rsidR="00961B75">
        <w:t xml:space="preserve">. </w:t>
      </w:r>
      <w:r w:rsidRPr="00961B75">
        <w:t xml:space="preserve">For example the MBS item </w:t>
      </w:r>
      <w:r w:rsidR="00961B75">
        <w:t>s</w:t>
      </w:r>
      <w:r w:rsidRPr="00961B75">
        <w:t>elected for ultrasound (MBS: 55854) refers to paediatric spine, spinal cord and over laying subcutaneous tissues, which is not the correct item for a liver ultrasound, however the cost was similar to those quoted for an abdominal ultrasound (item: 55037)</w:t>
      </w:r>
      <w:r w:rsidR="00961B75">
        <w:t xml:space="preserve">. </w:t>
      </w:r>
      <w:r w:rsidRPr="00961B75">
        <w:t>Also the benefit that is payable for specialist visits and pathology is usually 85% of the benefit rather than the full amount, however this is unlikely to change the estimates</w:t>
      </w:r>
      <w:r w:rsidR="00961B75">
        <w:t xml:space="preserve">. </w:t>
      </w:r>
      <w:r w:rsidRPr="00961B75">
        <w:t>Thyroid function test ($34.80) is also not usually required unless patients are taking interferon</w:t>
      </w:r>
      <w:r w:rsidR="00961B75">
        <w:t xml:space="preserve">. </w:t>
      </w:r>
      <w:r w:rsidRPr="00961B75">
        <w:t>One additional HCV RNA quantitative assay may be required for patients with cirrhosis.</w:t>
      </w:r>
    </w:p>
    <w:p w:rsidR="00201160" w:rsidRPr="00961B75" w:rsidRDefault="00201160" w:rsidP="004611DA">
      <w:pPr>
        <w:pStyle w:val="ListParagraph"/>
        <w:widowControl/>
        <w:rPr>
          <w:szCs w:val="22"/>
        </w:rPr>
      </w:pPr>
    </w:p>
    <w:p w:rsidR="0070394A" w:rsidRPr="00961B75" w:rsidRDefault="0070394A" w:rsidP="00EF7F25">
      <w:pPr>
        <w:pStyle w:val="ListParagraph"/>
        <w:widowControl/>
        <w:numPr>
          <w:ilvl w:val="1"/>
          <w:numId w:val="1"/>
        </w:numPr>
        <w:rPr>
          <w:szCs w:val="22"/>
        </w:rPr>
      </w:pPr>
      <w:r w:rsidRPr="00961B75">
        <w:rPr>
          <w:szCs w:val="22"/>
        </w:rPr>
        <w:t>The financial estimates are most sensitive to the assumed up</w:t>
      </w:r>
      <w:r w:rsidR="0044723F" w:rsidRPr="00961B75">
        <w:rPr>
          <w:szCs w:val="22"/>
        </w:rPr>
        <w:t>take</w:t>
      </w:r>
      <w:r w:rsidRPr="00961B75">
        <w:rPr>
          <w:szCs w:val="22"/>
        </w:rPr>
        <w:t xml:space="preserve"> rates for </w:t>
      </w:r>
      <w:proofErr w:type="spellStart"/>
      <w:r w:rsidRPr="00961B75">
        <w:rPr>
          <w:szCs w:val="22"/>
        </w:rPr>
        <w:t>Technivie</w:t>
      </w:r>
      <w:proofErr w:type="spellEnd"/>
      <w:r w:rsidRPr="00961B75">
        <w:rPr>
          <w:szCs w:val="22"/>
        </w:rPr>
        <w:t>®</w:t>
      </w:r>
      <w:r w:rsidR="00961B75">
        <w:rPr>
          <w:szCs w:val="22"/>
        </w:rPr>
        <w:t xml:space="preserve">. </w:t>
      </w:r>
      <w:r w:rsidR="0044723F" w:rsidRPr="00961B75">
        <w:rPr>
          <w:szCs w:val="22"/>
        </w:rPr>
        <w:t xml:space="preserve">A </w:t>
      </w:r>
      <w:r w:rsidR="000F06B4" w:rsidRPr="00707065">
        <w:rPr>
          <w:szCs w:val="22"/>
        </w:rPr>
        <w:t>20</w:t>
      </w:r>
      <w:r w:rsidR="000F06B4" w:rsidRPr="00961B75">
        <w:rPr>
          <w:szCs w:val="22"/>
        </w:rPr>
        <w:t>% increase or decrease in the assumed uptake rates (</w:t>
      </w:r>
      <w:r w:rsidR="0044723F" w:rsidRPr="00961B75">
        <w:rPr>
          <w:szCs w:val="22"/>
        </w:rPr>
        <w:t xml:space="preserve">base case for </w:t>
      </w:r>
      <w:r w:rsidR="0044723F" w:rsidRPr="00A746EE">
        <w:rPr>
          <w:szCs w:val="22"/>
        </w:rPr>
        <w:t>Y</w:t>
      </w:r>
      <w:r w:rsidR="000F06B4" w:rsidRPr="00A746EE">
        <w:rPr>
          <w:szCs w:val="22"/>
        </w:rPr>
        <w:t xml:space="preserve">ear 1 was </w:t>
      </w:r>
      <w:r w:rsidR="0040233E">
        <w:rPr>
          <w:noProof/>
          <w:color w:val="000000"/>
          <w:szCs w:val="22"/>
          <w:highlight w:val="black"/>
        </w:rPr>
        <w:t>'''''''''''</w:t>
      </w:r>
      <w:r w:rsidR="0044723F" w:rsidRPr="00A746EE">
        <w:rPr>
          <w:szCs w:val="22"/>
        </w:rPr>
        <w:t xml:space="preserve">, thus assuming a 20% increase or decrease would make the rate </w:t>
      </w:r>
      <w:r w:rsidR="0040233E">
        <w:rPr>
          <w:noProof/>
          <w:color w:val="000000"/>
          <w:szCs w:val="22"/>
          <w:highlight w:val="black"/>
        </w:rPr>
        <w:t>'''''''''''''''</w:t>
      </w:r>
      <w:r w:rsidR="0044723F" w:rsidRPr="00A746EE">
        <w:rPr>
          <w:szCs w:val="22"/>
        </w:rPr>
        <w:t xml:space="preserve"> and </w:t>
      </w:r>
      <w:r w:rsidR="0040233E">
        <w:rPr>
          <w:noProof/>
          <w:color w:val="000000"/>
          <w:szCs w:val="22"/>
          <w:highlight w:val="black"/>
        </w:rPr>
        <w:t>'''''''''''</w:t>
      </w:r>
      <w:r w:rsidR="0044723F" w:rsidRPr="00A746EE">
        <w:rPr>
          <w:szCs w:val="22"/>
        </w:rPr>
        <w:t xml:space="preserve"> respectively</w:t>
      </w:r>
      <w:r w:rsidR="000F06B4" w:rsidRPr="00A746EE">
        <w:rPr>
          <w:szCs w:val="22"/>
        </w:rPr>
        <w:t>)</w:t>
      </w:r>
      <w:r w:rsidR="0044723F" w:rsidRPr="00A746EE">
        <w:rPr>
          <w:szCs w:val="22"/>
        </w:rPr>
        <w:t>,</w:t>
      </w:r>
      <w:r w:rsidR="0044723F" w:rsidRPr="00961B75">
        <w:rPr>
          <w:szCs w:val="22"/>
        </w:rPr>
        <w:t xml:space="preserve"> this resulted in a corresponding </w:t>
      </w:r>
      <w:r w:rsidR="0044723F" w:rsidRPr="00707065">
        <w:rPr>
          <w:szCs w:val="22"/>
        </w:rPr>
        <w:t>14</w:t>
      </w:r>
      <w:r w:rsidR="0044723F" w:rsidRPr="00961B75">
        <w:rPr>
          <w:szCs w:val="22"/>
        </w:rPr>
        <w:t>% increase or decrease in the estimated cost to government.</w:t>
      </w:r>
    </w:p>
    <w:p w:rsidR="00975990" w:rsidRPr="00961B75" w:rsidRDefault="00975990" w:rsidP="00975990">
      <w:pPr>
        <w:pStyle w:val="ListParagraph"/>
        <w:rPr>
          <w:szCs w:val="22"/>
        </w:rPr>
      </w:pPr>
    </w:p>
    <w:p w:rsidR="00975990" w:rsidRPr="00961B75" w:rsidRDefault="00975990" w:rsidP="00EF7F25">
      <w:pPr>
        <w:pStyle w:val="ListParagraph"/>
        <w:widowControl/>
        <w:numPr>
          <w:ilvl w:val="1"/>
          <w:numId w:val="1"/>
        </w:numPr>
        <w:rPr>
          <w:szCs w:val="22"/>
        </w:rPr>
      </w:pPr>
      <w:r w:rsidRPr="00961B75">
        <w:rPr>
          <w:szCs w:val="22"/>
        </w:rPr>
        <w:t>At year 5, the submission</w:t>
      </w:r>
      <w:r w:rsidR="00CF43E9" w:rsidRPr="00961B75">
        <w:rPr>
          <w:szCs w:val="22"/>
        </w:rPr>
        <w:t>-</w:t>
      </w:r>
      <w:r w:rsidRPr="00961B75">
        <w:rPr>
          <w:szCs w:val="22"/>
        </w:rPr>
        <w:t>estimated number of patients was</w:t>
      </w:r>
      <w:r w:rsidR="00057335">
        <w:rPr>
          <w:szCs w:val="22"/>
        </w:rPr>
        <w:t xml:space="preserve"> less than </w:t>
      </w:r>
      <w:proofErr w:type="gramStart"/>
      <w:r w:rsidR="00057335">
        <w:rPr>
          <w:szCs w:val="22"/>
        </w:rPr>
        <w:t>10,000</w:t>
      </w:r>
      <w:r w:rsidRPr="00961B75">
        <w:rPr>
          <w:szCs w:val="22"/>
        </w:rPr>
        <w:t xml:space="preserve">  and</w:t>
      </w:r>
      <w:proofErr w:type="gramEnd"/>
      <w:r w:rsidRPr="00961B75">
        <w:rPr>
          <w:szCs w:val="22"/>
        </w:rPr>
        <w:t xml:space="preserve"> the net cost to </w:t>
      </w:r>
      <w:r w:rsidR="00CF43E9" w:rsidRPr="00961B75">
        <w:rPr>
          <w:szCs w:val="22"/>
        </w:rPr>
        <w:t>the</w:t>
      </w:r>
      <w:r w:rsidRPr="00961B75">
        <w:rPr>
          <w:szCs w:val="22"/>
        </w:rPr>
        <w:t xml:space="preserve"> PBS was</w:t>
      </w:r>
      <w:r w:rsidR="00057335">
        <w:rPr>
          <w:szCs w:val="22"/>
        </w:rPr>
        <w:t xml:space="preserve"> less than $10 million</w:t>
      </w:r>
      <w:r w:rsidRPr="00961B75">
        <w:rPr>
          <w:szCs w:val="22"/>
        </w:rPr>
        <w:t>.</w:t>
      </w:r>
    </w:p>
    <w:p w:rsidR="0033476C" w:rsidRPr="00961B75" w:rsidRDefault="0033476C" w:rsidP="009A4F5D">
      <w:bookmarkStart w:id="16" w:name="_Toc461551711"/>
    </w:p>
    <w:p w:rsidR="00576972" w:rsidRPr="00961B75" w:rsidRDefault="00576972" w:rsidP="004611DA">
      <w:pPr>
        <w:pStyle w:val="Heading2"/>
        <w:widowControl/>
        <w:rPr>
          <w:i/>
        </w:rPr>
      </w:pPr>
      <w:r w:rsidRPr="00961B75">
        <w:rPr>
          <w:i/>
        </w:rPr>
        <w:t>Quality Use of Medicines</w:t>
      </w:r>
      <w:bookmarkEnd w:id="16"/>
    </w:p>
    <w:p w:rsidR="00576972" w:rsidRPr="00961B75" w:rsidRDefault="00576972" w:rsidP="004611DA">
      <w:pPr>
        <w:widowControl/>
        <w:rPr>
          <w:szCs w:val="22"/>
        </w:rPr>
      </w:pPr>
    </w:p>
    <w:p w:rsidR="00576972" w:rsidRPr="00961B75" w:rsidRDefault="002F4BBF" w:rsidP="00EF7F25">
      <w:pPr>
        <w:pStyle w:val="ListParagraph"/>
        <w:widowControl/>
        <w:numPr>
          <w:ilvl w:val="1"/>
          <w:numId w:val="1"/>
        </w:numPr>
        <w:rPr>
          <w:szCs w:val="22"/>
        </w:rPr>
      </w:pPr>
      <w:r w:rsidRPr="00961B75">
        <w:t xml:space="preserve">The submission </w:t>
      </w:r>
      <w:r w:rsidR="00D51E9C" w:rsidRPr="00961B75">
        <w:t>did not</w:t>
      </w:r>
      <w:r w:rsidRPr="00961B75">
        <w:t xml:space="preserve"> present any information in relation to quality use of medicine</w:t>
      </w:r>
      <w:r w:rsidR="00081B0A">
        <w:t xml:space="preserve"> (QUM)</w:t>
      </w:r>
      <w:r w:rsidR="00961B75">
        <w:t xml:space="preserve">. </w:t>
      </w:r>
      <w:r w:rsidR="00D51E9C" w:rsidRPr="00961B75">
        <w:t xml:space="preserve">A number of potential QUM issues were considered during the evaluation. Of importance is the minimisation of the risks of liver </w:t>
      </w:r>
      <w:proofErr w:type="spellStart"/>
      <w:r w:rsidR="00D51E9C" w:rsidRPr="00961B75">
        <w:t>decompensation</w:t>
      </w:r>
      <w:proofErr w:type="spellEnd"/>
      <w:r w:rsidR="00201160" w:rsidRPr="00961B75">
        <w:t xml:space="preserve"> </w:t>
      </w:r>
      <w:r w:rsidR="00D51E9C" w:rsidRPr="00961B75">
        <w:t>/ liver failure (particularly in patients with cirrhosis).</w:t>
      </w:r>
    </w:p>
    <w:p w:rsidR="00746B98" w:rsidRPr="00961B75" w:rsidRDefault="00746B98" w:rsidP="006F1EA7">
      <w:pPr>
        <w:pStyle w:val="ListParagraph"/>
        <w:widowControl/>
        <w:rPr>
          <w:szCs w:val="22"/>
        </w:rPr>
      </w:pPr>
    </w:p>
    <w:p w:rsidR="00746B98" w:rsidRPr="00961B75" w:rsidRDefault="00746B98" w:rsidP="00EF7F25">
      <w:pPr>
        <w:pStyle w:val="ListParagraph"/>
        <w:widowControl/>
        <w:numPr>
          <w:ilvl w:val="1"/>
          <w:numId w:val="1"/>
        </w:numPr>
        <w:rPr>
          <w:szCs w:val="22"/>
        </w:rPr>
      </w:pPr>
      <w:r w:rsidRPr="00961B75">
        <w:rPr>
          <w:szCs w:val="22"/>
        </w:rPr>
        <w:t xml:space="preserve">The PSCR (p4) </w:t>
      </w:r>
      <w:r w:rsidR="00181EC6" w:rsidRPr="00961B75">
        <w:rPr>
          <w:szCs w:val="22"/>
        </w:rPr>
        <w:t xml:space="preserve">described current medical education initiatives undertaken to reinforce </w:t>
      </w:r>
      <w:r w:rsidRPr="00961B75">
        <w:rPr>
          <w:szCs w:val="22"/>
        </w:rPr>
        <w:t xml:space="preserve">the recommendation not to treat patients with Child-Pugh B and Child-Pugh C with </w:t>
      </w:r>
      <w:proofErr w:type="spellStart"/>
      <w:r w:rsidRPr="00961B75">
        <w:rPr>
          <w:szCs w:val="22"/>
        </w:rPr>
        <w:t>Viekira</w:t>
      </w:r>
      <w:proofErr w:type="spellEnd"/>
      <w:r w:rsidRPr="00961B75">
        <w:rPr>
          <w:szCs w:val="22"/>
        </w:rPr>
        <w:t xml:space="preserve"> Pak®/</w:t>
      </w:r>
      <w:proofErr w:type="spellStart"/>
      <w:r w:rsidR="00E86267" w:rsidRPr="00961B75">
        <w:rPr>
          <w:szCs w:val="22"/>
        </w:rPr>
        <w:t>Viekira</w:t>
      </w:r>
      <w:proofErr w:type="spellEnd"/>
      <w:r w:rsidRPr="00961B75">
        <w:rPr>
          <w:szCs w:val="22"/>
        </w:rPr>
        <w:t xml:space="preserve"> Pak-RBV®</w:t>
      </w:r>
      <w:r w:rsidR="00181EC6" w:rsidRPr="00961B75">
        <w:rPr>
          <w:szCs w:val="22"/>
        </w:rPr>
        <w:t xml:space="preserve"> and </w:t>
      </w:r>
      <w:proofErr w:type="spellStart"/>
      <w:r w:rsidR="00181EC6" w:rsidRPr="00961B75">
        <w:rPr>
          <w:szCs w:val="22"/>
        </w:rPr>
        <w:t>Technivie</w:t>
      </w:r>
      <w:proofErr w:type="spellEnd"/>
      <w:r w:rsidR="00181EC6" w:rsidRPr="00961B75">
        <w:rPr>
          <w:szCs w:val="22"/>
        </w:rPr>
        <w:t>®</w:t>
      </w:r>
      <w:r w:rsidR="0051092F" w:rsidRPr="00961B75">
        <w:rPr>
          <w:szCs w:val="22"/>
        </w:rPr>
        <w:t>.</w:t>
      </w:r>
      <w:r w:rsidR="00095E83" w:rsidRPr="00961B75">
        <w:rPr>
          <w:szCs w:val="22"/>
        </w:rPr>
        <w:t xml:space="preserve"> </w:t>
      </w:r>
      <w:r w:rsidR="00676EFE" w:rsidRPr="00961B75">
        <w:rPr>
          <w:szCs w:val="22"/>
        </w:rPr>
        <w:t xml:space="preserve">The PSCR also provided the Australian annex of the Risk Management Plan submitted to the TGA for </w:t>
      </w:r>
      <w:proofErr w:type="spellStart"/>
      <w:r w:rsidR="00676EFE" w:rsidRPr="00961B75">
        <w:rPr>
          <w:szCs w:val="22"/>
        </w:rPr>
        <w:t>Viekira</w:t>
      </w:r>
      <w:proofErr w:type="spellEnd"/>
      <w:r w:rsidR="00676EFE" w:rsidRPr="00961B75">
        <w:rPr>
          <w:szCs w:val="22"/>
        </w:rPr>
        <w:t xml:space="preserve"> Pak®/</w:t>
      </w:r>
      <w:proofErr w:type="spellStart"/>
      <w:r w:rsidR="00E86267" w:rsidRPr="00961B75">
        <w:rPr>
          <w:szCs w:val="22"/>
        </w:rPr>
        <w:t>Viekira</w:t>
      </w:r>
      <w:proofErr w:type="spellEnd"/>
      <w:r w:rsidR="00676EFE" w:rsidRPr="00961B75">
        <w:rPr>
          <w:szCs w:val="22"/>
        </w:rPr>
        <w:t xml:space="preserve"> Pak-RBV® and </w:t>
      </w:r>
      <w:proofErr w:type="spellStart"/>
      <w:r w:rsidR="00676EFE" w:rsidRPr="00961B75">
        <w:rPr>
          <w:szCs w:val="22"/>
        </w:rPr>
        <w:t>Technivie</w:t>
      </w:r>
      <w:proofErr w:type="spellEnd"/>
      <w:r w:rsidR="00676EFE" w:rsidRPr="00961B75">
        <w:rPr>
          <w:szCs w:val="22"/>
        </w:rPr>
        <w:t>®, which included measures such as updates to the PI contraindications and precautions, update</w:t>
      </w:r>
      <w:r w:rsidR="00DC5C1C">
        <w:rPr>
          <w:szCs w:val="22"/>
        </w:rPr>
        <w:t>s</w:t>
      </w:r>
      <w:r w:rsidR="00676EFE" w:rsidRPr="00961B75">
        <w:rPr>
          <w:szCs w:val="22"/>
        </w:rPr>
        <w:t xml:space="preserve"> to the Consumer Medicine Information to include symptoms of severe liver problems, and routine and targeted </w:t>
      </w:r>
      <w:proofErr w:type="spellStart"/>
      <w:r w:rsidR="00676EFE" w:rsidRPr="00961B75">
        <w:rPr>
          <w:szCs w:val="22"/>
        </w:rPr>
        <w:t>pharmacovigilance</w:t>
      </w:r>
      <w:proofErr w:type="spellEnd"/>
      <w:r w:rsidR="00676EFE" w:rsidRPr="00961B75">
        <w:rPr>
          <w:szCs w:val="22"/>
        </w:rPr>
        <w:t xml:space="preserve"> surveillance.</w:t>
      </w:r>
    </w:p>
    <w:p w:rsidR="00576972" w:rsidRPr="00961B75" w:rsidRDefault="00576972" w:rsidP="004611DA">
      <w:pPr>
        <w:widowControl/>
        <w:rPr>
          <w:szCs w:val="22"/>
        </w:rPr>
      </w:pPr>
    </w:p>
    <w:p w:rsidR="00576972" w:rsidRPr="00961B75" w:rsidRDefault="00576972" w:rsidP="004611DA">
      <w:pPr>
        <w:pStyle w:val="Heading2"/>
        <w:widowControl/>
        <w:rPr>
          <w:i/>
          <w:szCs w:val="22"/>
        </w:rPr>
      </w:pPr>
      <w:bookmarkStart w:id="17" w:name="_Toc461551712"/>
      <w:r w:rsidRPr="00961B75">
        <w:rPr>
          <w:i/>
        </w:rPr>
        <w:t xml:space="preserve">Financial Management </w:t>
      </w:r>
      <w:r w:rsidR="00467DCE">
        <w:rPr>
          <w:i/>
        </w:rPr>
        <w:t>–</w:t>
      </w:r>
      <w:r w:rsidR="00A0713E" w:rsidRPr="00961B75">
        <w:rPr>
          <w:i/>
        </w:rPr>
        <w:t xml:space="preserve"> </w:t>
      </w:r>
      <w:r w:rsidRPr="00961B75">
        <w:rPr>
          <w:i/>
        </w:rPr>
        <w:t>Risk Sharing Arrangements</w:t>
      </w:r>
      <w:bookmarkEnd w:id="17"/>
    </w:p>
    <w:p w:rsidR="00C25D9C" w:rsidRPr="00961B75" w:rsidRDefault="00C25D9C" w:rsidP="004611DA">
      <w:pPr>
        <w:widowControl/>
        <w:rPr>
          <w:szCs w:val="22"/>
        </w:rPr>
      </w:pPr>
    </w:p>
    <w:p w:rsidR="008A3C3E" w:rsidRPr="000B37E6" w:rsidRDefault="00D51E9C" w:rsidP="00EF7F25">
      <w:pPr>
        <w:pStyle w:val="ListParagraph"/>
        <w:widowControl/>
        <w:numPr>
          <w:ilvl w:val="1"/>
          <w:numId w:val="1"/>
        </w:numPr>
        <w:rPr>
          <w:szCs w:val="22"/>
        </w:rPr>
      </w:pPr>
      <w:r w:rsidRPr="00961B75">
        <w:t xml:space="preserve">None proposed, but the submission proposed an effective DPMQ price for </w:t>
      </w:r>
      <w:proofErr w:type="spellStart"/>
      <w:r w:rsidRPr="00961B75">
        <w:t>Technivie</w:t>
      </w:r>
      <w:proofErr w:type="spellEnd"/>
      <w:r w:rsidRPr="00961B75">
        <w:t xml:space="preserve">® </w:t>
      </w:r>
      <w:r w:rsidR="007F75A4" w:rsidRPr="00961B75">
        <w:t>of</w:t>
      </w:r>
      <w:r w:rsidRPr="00961B75">
        <w:t xml:space="preserve"> $</w:t>
      </w:r>
      <w:r w:rsidR="0040233E">
        <w:rPr>
          <w:noProof/>
          <w:color w:val="000000"/>
          <w:highlight w:val="black"/>
        </w:rPr>
        <w:t>'''''''''''''''''''''''</w:t>
      </w:r>
      <w:r w:rsidRPr="00961B75">
        <w:t xml:space="preserve"> per pack</w:t>
      </w:r>
      <w:r w:rsidR="00961B75">
        <w:t xml:space="preserve">. </w:t>
      </w:r>
      <w:r w:rsidRPr="00961B75">
        <w:t xml:space="preserve">This is approximately </w:t>
      </w:r>
      <w:r w:rsidR="0040233E">
        <w:rPr>
          <w:noProof/>
          <w:color w:val="000000"/>
          <w:highlight w:val="black"/>
        </w:rPr>
        <w:t>''''''</w:t>
      </w:r>
      <w:r w:rsidRPr="00961B75">
        <w:t>% of its published price.</w:t>
      </w:r>
    </w:p>
    <w:p w:rsidR="000B37E6" w:rsidRDefault="000B37E6" w:rsidP="000B37E6">
      <w:pPr>
        <w:ind w:left="720"/>
        <w:rPr>
          <w:bCs/>
        </w:rPr>
      </w:pPr>
    </w:p>
    <w:p w:rsidR="000B37E6" w:rsidRPr="00961B75" w:rsidRDefault="000B37E6" w:rsidP="000B37E6">
      <w:pPr>
        <w:numPr>
          <w:ilvl w:val="1"/>
          <w:numId w:val="1"/>
        </w:numPr>
        <w:rPr>
          <w:bCs/>
        </w:rPr>
      </w:pPr>
      <w:r w:rsidRPr="00961B75">
        <w:rPr>
          <w:bCs/>
        </w:rPr>
        <w:t xml:space="preserve">The PBAC recommended that </w:t>
      </w:r>
      <w:proofErr w:type="spellStart"/>
      <w:r w:rsidR="004D3FEB">
        <w:rPr>
          <w:bCs/>
          <w:szCs w:val="22"/>
        </w:rPr>
        <w:t>Technivie</w:t>
      </w:r>
      <w:proofErr w:type="spellEnd"/>
      <w:r w:rsidR="004D3FEB">
        <w:rPr>
          <w:bCs/>
          <w:szCs w:val="22"/>
        </w:rPr>
        <w:t>®</w:t>
      </w:r>
      <w:r w:rsidRPr="00961B75">
        <w:rPr>
          <w:bCs/>
        </w:rPr>
        <w:t xml:space="preserve"> enter the Risk Sharing Arrangement (RSA) currently in place for other drugs used for the treatment of CHC, and be subject to the same Subsidisation Caps and rebate arrangements.</w:t>
      </w:r>
    </w:p>
    <w:p w:rsidR="00E135C7" w:rsidRPr="00961B75" w:rsidRDefault="00E135C7" w:rsidP="00E135C7">
      <w:pPr>
        <w:pStyle w:val="ListParagraph"/>
        <w:widowControl/>
        <w:rPr>
          <w:szCs w:val="22"/>
        </w:rPr>
      </w:pPr>
    </w:p>
    <w:p w:rsidR="00E95062" w:rsidRPr="00961B75" w:rsidRDefault="00E95062" w:rsidP="00E95062">
      <w:pPr>
        <w:pStyle w:val="ListParagraph"/>
        <w:ind w:left="709"/>
        <w:rPr>
          <w:i/>
          <w:szCs w:val="22"/>
        </w:rPr>
      </w:pPr>
      <w:r w:rsidRPr="00961B75">
        <w:rPr>
          <w:i/>
          <w:szCs w:val="22"/>
        </w:rPr>
        <w:t>For more detail on PBAC’s view, see section 7 “PBAC outcome”</w:t>
      </w:r>
    </w:p>
    <w:p w:rsidR="000322E1" w:rsidRPr="00961B75" w:rsidRDefault="000322E1" w:rsidP="00E95062">
      <w:pPr>
        <w:pStyle w:val="ListParagraph"/>
        <w:widowControl/>
        <w:tabs>
          <w:tab w:val="left" w:pos="5387"/>
        </w:tabs>
      </w:pPr>
    </w:p>
    <w:p w:rsidR="00263D3B" w:rsidRPr="00961B75" w:rsidRDefault="00263D3B" w:rsidP="00E95062">
      <w:pPr>
        <w:pStyle w:val="ListParagraph"/>
        <w:widowControl/>
        <w:tabs>
          <w:tab w:val="left" w:pos="5387"/>
        </w:tabs>
      </w:pPr>
    </w:p>
    <w:p w:rsidR="00E95062" w:rsidRPr="00961B75" w:rsidRDefault="00E95062" w:rsidP="008F7EB3">
      <w:pPr>
        <w:pStyle w:val="PBACHeading1"/>
        <w:rPr>
          <w:bCs/>
        </w:rPr>
      </w:pPr>
      <w:r w:rsidRPr="00961B75">
        <w:rPr>
          <w:bCs/>
        </w:rPr>
        <w:t>PBAC Outcome</w:t>
      </w:r>
    </w:p>
    <w:p w:rsidR="00E95062" w:rsidRPr="00961B75" w:rsidRDefault="00E95062" w:rsidP="00E95062">
      <w:pPr>
        <w:contextualSpacing/>
        <w:rPr>
          <w:bCs/>
          <w:szCs w:val="22"/>
        </w:rPr>
      </w:pPr>
    </w:p>
    <w:p w:rsidR="00F2563E" w:rsidRPr="00961B75" w:rsidRDefault="00E95062" w:rsidP="00796E04">
      <w:pPr>
        <w:numPr>
          <w:ilvl w:val="1"/>
          <w:numId w:val="1"/>
        </w:numPr>
        <w:contextualSpacing/>
        <w:rPr>
          <w:bCs/>
          <w:szCs w:val="22"/>
        </w:rPr>
      </w:pPr>
      <w:r w:rsidRPr="00961B75">
        <w:rPr>
          <w:bCs/>
          <w:szCs w:val="22"/>
        </w:rPr>
        <w:t>The P</w:t>
      </w:r>
      <w:r w:rsidR="004F206C" w:rsidRPr="00961B75">
        <w:rPr>
          <w:bCs/>
          <w:szCs w:val="22"/>
        </w:rPr>
        <w:t xml:space="preserve">BAC recommended the </w:t>
      </w:r>
      <w:r w:rsidR="0076036C" w:rsidRPr="00961B75">
        <w:rPr>
          <w:bCs/>
          <w:szCs w:val="22"/>
        </w:rPr>
        <w:t xml:space="preserve">Authority Required </w:t>
      </w:r>
      <w:r w:rsidR="00391451" w:rsidRPr="00961B75">
        <w:rPr>
          <w:bCs/>
          <w:szCs w:val="22"/>
        </w:rPr>
        <w:t xml:space="preserve">General Schedule </w:t>
      </w:r>
      <w:r w:rsidR="0076036C" w:rsidRPr="00961B75">
        <w:rPr>
          <w:bCs/>
          <w:szCs w:val="22"/>
        </w:rPr>
        <w:t xml:space="preserve">and Section 100 </w:t>
      </w:r>
      <w:r w:rsidR="004F206C" w:rsidRPr="00961B75">
        <w:rPr>
          <w:bCs/>
          <w:szCs w:val="22"/>
        </w:rPr>
        <w:t>listing of paritaprevir with ritonavir and ombitasvir</w:t>
      </w:r>
      <w:r w:rsidR="00A0713E" w:rsidRPr="00961B75">
        <w:rPr>
          <w:bCs/>
          <w:szCs w:val="22"/>
        </w:rPr>
        <w:t>, in combination with ribavirin</w:t>
      </w:r>
      <w:r w:rsidR="00F2563E" w:rsidRPr="00961B75">
        <w:rPr>
          <w:bCs/>
          <w:szCs w:val="22"/>
        </w:rPr>
        <w:t xml:space="preserve"> for </w:t>
      </w:r>
      <w:r w:rsidR="00F2563E" w:rsidRPr="00961B75">
        <w:rPr>
          <w:bCs/>
        </w:rPr>
        <w:t>treatment</w:t>
      </w:r>
      <w:r w:rsidR="00C255E6">
        <w:rPr>
          <w:bCs/>
        </w:rPr>
        <w:t xml:space="preserve"> </w:t>
      </w:r>
      <w:r w:rsidR="00F2563E" w:rsidRPr="00961B75">
        <w:rPr>
          <w:bCs/>
        </w:rPr>
        <w:t xml:space="preserve">naïve and treatment experienced genotype 4 </w:t>
      </w:r>
      <w:r w:rsidR="004705E7" w:rsidRPr="00961B75">
        <w:rPr>
          <w:bCs/>
        </w:rPr>
        <w:t>CHC</w:t>
      </w:r>
      <w:r w:rsidR="00F2563E" w:rsidRPr="00961B75">
        <w:rPr>
          <w:bCs/>
        </w:rPr>
        <w:t xml:space="preserve"> </w:t>
      </w:r>
      <w:r w:rsidR="006816BA" w:rsidRPr="00961B75">
        <w:rPr>
          <w:bCs/>
        </w:rPr>
        <w:t xml:space="preserve">infection </w:t>
      </w:r>
      <w:r w:rsidR="00F2563E" w:rsidRPr="00961B75">
        <w:rPr>
          <w:bCs/>
        </w:rPr>
        <w:t xml:space="preserve">on a cost-minimisation basis with </w:t>
      </w:r>
      <w:r w:rsidR="001752C8" w:rsidRPr="00961B75">
        <w:rPr>
          <w:szCs w:val="22"/>
        </w:rPr>
        <w:t>grazoprevir with elbasvir</w:t>
      </w:r>
      <w:r w:rsidR="00C77C1F" w:rsidRPr="00961B75">
        <w:rPr>
          <w:szCs w:val="22"/>
        </w:rPr>
        <w:t xml:space="preserve"> with or without RBV, in accordance with the treatment recommendations in the approved Australian Product Information for </w:t>
      </w:r>
      <w:r w:rsidR="00B4620A">
        <w:rPr>
          <w:szCs w:val="22"/>
        </w:rPr>
        <w:t>each</w:t>
      </w:r>
      <w:r w:rsidR="00B4620A" w:rsidRPr="00961B75">
        <w:rPr>
          <w:szCs w:val="22"/>
        </w:rPr>
        <w:t xml:space="preserve"> </w:t>
      </w:r>
      <w:r w:rsidR="00C77C1F" w:rsidRPr="00961B75">
        <w:rPr>
          <w:szCs w:val="22"/>
        </w:rPr>
        <w:t>product</w:t>
      </w:r>
      <w:r w:rsidR="001752C8" w:rsidRPr="00961B75">
        <w:rPr>
          <w:szCs w:val="22"/>
        </w:rPr>
        <w:t>.</w:t>
      </w:r>
    </w:p>
    <w:p w:rsidR="002422C7" w:rsidRPr="00961B75" w:rsidRDefault="002422C7" w:rsidP="002422C7">
      <w:pPr>
        <w:ind w:left="720"/>
        <w:contextualSpacing/>
        <w:rPr>
          <w:bCs/>
          <w:szCs w:val="22"/>
        </w:rPr>
      </w:pPr>
    </w:p>
    <w:p w:rsidR="002422C7" w:rsidRPr="00961B75" w:rsidRDefault="002422C7" w:rsidP="00C77C1F">
      <w:pPr>
        <w:numPr>
          <w:ilvl w:val="1"/>
          <w:numId w:val="1"/>
        </w:numPr>
        <w:contextualSpacing/>
        <w:rPr>
          <w:bCs/>
          <w:szCs w:val="22"/>
        </w:rPr>
      </w:pPr>
      <w:r w:rsidRPr="00961B75">
        <w:rPr>
          <w:bCs/>
          <w:szCs w:val="22"/>
        </w:rPr>
        <w:t xml:space="preserve">The PBAC recommended </w:t>
      </w:r>
      <w:r w:rsidR="0068673D" w:rsidRPr="00961B75">
        <w:rPr>
          <w:bCs/>
          <w:szCs w:val="22"/>
        </w:rPr>
        <w:t xml:space="preserve">that </w:t>
      </w:r>
      <w:r w:rsidRPr="00961B75">
        <w:rPr>
          <w:bCs/>
          <w:szCs w:val="22"/>
        </w:rPr>
        <w:t xml:space="preserve">the </w:t>
      </w:r>
      <w:r w:rsidR="00391451" w:rsidRPr="00961B75">
        <w:rPr>
          <w:bCs/>
          <w:szCs w:val="22"/>
        </w:rPr>
        <w:t xml:space="preserve">cost </w:t>
      </w:r>
      <w:r w:rsidRPr="00961B75">
        <w:rPr>
          <w:bCs/>
          <w:szCs w:val="22"/>
        </w:rPr>
        <w:t xml:space="preserve">of a course of treatment for </w:t>
      </w:r>
      <w:r w:rsidR="0020106C" w:rsidRPr="00961B75">
        <w:rPr>
          <w:bCs/>
          <w:szCs w:val="22"/>
        </w:rPr>
        <w:t>paritaprevir with ritonavir and ombitasvir</w:t>
      </w:r>
      <w:r w:rsidR="005E4DF5" w:rsidRPr="00961B75">
        <w:rPr>
          <w:bCs/>
          <w:szCs w:val="22"/>
        </w:rPr>
        <w:t xml:space="preserve"> +</w:t>
      </w:r>
      <w:r w:rsidR="00187FF6" w:rsidRPr="00961B75">
        <w:rPr>
          <w:bCs/>
          <w:szCs w:val="22"/>
        </w:rPr>
        <w:t xml:space="preserve"> </w:t>
      </w:r>
      <w:r w:rsidR="005E4DF5" w:rsidRPr="00961B75">
        <w:rPr>
          <w:bCs/>
          <w:szCs w:val="22"/>
        </w:rPr>
        <w:t xml:space="preserve">RBV </w:t>
      </w:r>
      <w:r w:rsidRPr="00961B75">
        <w:rPr>
          <w:bCs/>
          <w:szCs w:val="22"/>
        </w:rPr>
        <w:t xml:space="preserve">should be the same as the </w:t>
      </w:r>
      <w:r w:rsidR="00391451" w:rsidRPr="00961B75">
        <w:rPr>
          <w:bCs/>
          <w:szCs w:val="22"/>
        </w:rPr>
        <w:t xml:space="preserve">cost </w:t>
      </w:r>
      <w:r w:rsidRPr="00961B75">
        <w:rPr>
          <w:bCs/>
          <w:szCs w:val="22"/>
        </w:rPr>
        <w:t xml:space="preserve">of a course of treatment with </w:t>
      </w:r>
      <w:r w:rsidRPr="00961B75">
        <w:rPr>
          <w:szCs w:val="22"/>
        </w:rPr>
        <w:t xml:space="preserve">GZR-EBR </w:t>
      </w:r>
      <w:r w:rsidR="00C77C1F" w:rsidRPr="00961B75">
        <w:rPr>
          <w:szCs w:val="22"/>
        </w:rPr>
        <w:t>±</w:t>
      </w:r>
      <w:r w:rsidR="00C255E6">
        <w:rPr>
          <w:szCs w:val="22"/>
        </w:rPr>
        <w:t xml:space="preserve"> </w:t>
      </w:r>
      <w:r w:rsidR="00C77C1F" w:rsidRPr="00961B75">
        <w:rPr>
          <w:szCs w:val="22"/>
        </w:rPr>
        <w:t xml:space="preserve">RBV </w:t>
      </w:r>
      <w:r w:rsidRPr="00961B75">
        <w:rPr>
          <w:szCs w:val="22"/>
        </w:rPr>
        <w:t>for patients with GT4 CHC</w:t>
      </w:r>
      <w:r w:rsidRPr="00961B75">
        <w:rPr>
          <w:bCs/>
        </w:rPr>
        <w:t>.</w:t>
      </w:r>
    </w:p>
    <w:p w:rsidR="00A0713E" w:rsidRPr="00961B75" w:rsidRDefault="00A0713E" w:rsidP="00A0713E">
      <w:pPr>
        <w:ind w:left="720"/>
        <w:contextualSpacing/>
        <w:rPr>
          <w:bCs/>
          <w:szCs w:val="22"/>
          <w:highlight w:val="yellow"/>
        </w:rPr>
      </w:pPr>
    </w:p>
    <w:p w:rsidR="00543A72" w:rsidRPr="00961B75" w:rsidRDefault="00543A72" w:rsidP="00EF7F25">
      <w:pPr>
        <w:numPr>
          <w:ilvl w:val="1"/>
          <w:numId w:val="1"/>
        </w:numPr>
        <w:contextualSpacing/>
        <w:rPr>
          <w:bCs/>
          <w:szCs w:val="22"/>
        </w:rPr>
      </w:pPr>
      <w:r w:rsidRPr="00961B75">
        <w:rPr>
          <w:bCs/>
          <w:szCs w:val="22"/>
        </w:rPr>
        <w:t>The PBAC considered that the PBS restriction should be consistent with other drugs listed in the</w:t>
      </w:r>
      <w:r w:rsidRPr="00961B75">
        <w:t xml:space="preserve"> </w:t>
      </w:r>
      <w:r w:rsidRPr="00961B75">
        <w:rPr>
          <w:i/>
        </w:rPr>
        <w:t>General Statement for Drugs for the Treatment of Hepatitis C</w:t>
      </w:r>
      <w:r w:rsidRPr="00961B75">
        <w:t xml:space="preserve">, and </w:t>
      </w:r>
      <w:r w:rsidR="00216991" w:rsidRPr="00961B75">
        <w:t>recommended</w:t>
      </w:r>
      <w:r w:rsidRPr="00961B75">
        <w:t xml:space="preserve"> that the maximum quantity should provide for </w:t>
      </w:r>
      <w:r w:rsidR="00512154" w:rsidRPr="00961B75">
        <w:t xml:space="preserve">one pack, and two repeats, allowing for 12 weeks’ </w:t>
      </w:r>
      <w:r w:rsidR="00961B75">
        <w:t xml:space="preserve">of </w:t>
      </w:r>
      <w:r w:rsidR="00512154" w:rsidRPr="00961B75">
        <w:t>treatment.</w:t>
      </w:r>
      <w:r w:rsidR="005018B4" w:rsidRPr="00961B75">
        <w:t xml:space="preserve"> The PBAC also noted that the exact restriction will be finalised following TGA registration of the drug.</w:t>
      </w:r>
    </w:p>
    <w:p w:rsidR="00543A72" w:rsidRPr="00961B75" w:rsidRDefault="00543A72" w:rsidP="00543A72">
      <w:pPr>
        <w:pStyle w:val="ListParagraph"/>
        <w:rPr>
          <w:bCs/>
          <w:szCs w:val="22"/>
        </w:rPr>
      </w:pPr>
    </w:p>
    <w:p w:rsidR="00F07A3E" w:rsidRPr="00961B75" w:rsidRDefault="00266AE7" w:rsidP="00E95062">
      <w:pPr>
        <w:numPr>
          <w:ilvl w:val="1"/>
          <w:numId w:val="1"/>
        </w:numPr>
        <w:contextualSpacing/>
        <w:rPr>
          <w:bCs/>
          <w:szCs w:val="22"/>
        </w:rPr>
      </w:pPr>
      <w:r w:rsidRPr="00961B75">
        <w:rPr>
          <w:bCs/>
          <w:szCs w:val="22"/>
        </w:rPr>
        <w:t>In terms of the c</w:t>
      </w:r>
      <w:r w:rsidR="00E95062" w:rsidRPr="00961B75">
        <w:rPr>
          <w:bCs/>
          <w:szCs w:val="22"/>
        </w:rPr>
        <w:t xml:space="preserve">linical place for </w:t>
      </w:r>
      <w:r w:rsidRPr="00961B75">
        <w:rPr>
          <w:bCs/>
          <w:szCs w:val="22"/>
        </w:rPr>
        <w:t xml:space="preserve">paritaprevir with ritonavir and ombitasvir, in combination with ribavirin, </w:t>
      </w:r>
      <w:r w:rsidR="004E3249" w:rsidRPr="00961B75">
        <w:rPr>
          <w:bCs/>
          <w:szCs w:val="22"/>
        </w:rPr>
        <w:t xml:space="preserve">the PBAC viewed </w:t>
      </w:r>
      <w:r w:rsidR="00F07A3E" w:rsidRPr="00961B75">
        <w:rPr>
          <w:bCs/>
          <w:szCs w:val="22"/>
        </w:rPr>
        <w:t>that this</w:t>
      </w:r>
      <w:r w:rsidR="004E3249" w:rsidRPr="00961B75">
        <w:rPr>
          <w:bCs/>
          <w:szCs w:val="22"/>
        </w:rPr>
        <w:t xml:space="preserve"> </w:t>
      </w:r>
      <w:r w:rsidR="00B34FE0" w:rsidRPr="00961B75">
        <w:rPr>
          <w:bCs/>
          <w:szCs w:val="22"/>
        </w:rPr>
        <w:t>regimen</w:t>
      </w:r>
      <w:r w:rsidR="004E3249" w:rsidRPr="00961B75">
        <w:rPr>
          <w:bCs/>
          <w:szCs w:val="22"/>
        </w:rPr>
        <w:t xml:space="preserve"> would provide an additional interferon-free treatment option for patients with GT4 CHC. Currently, these patients have access to PBS-subsidised sofosbuvir </w:t>
      </w:r>
      <w:r w:rsidR="00475215" w:rsidRPr="00961B75">
        <w:rPr>
          <w:bCs/>
          <w:szCs w:val="22"/>
        </w:rPr>
        <w:t xml:space="preserve">in combination with </w:t>
      </w:r>
      <w:proofErr w:type="spellStart"/>
      <w:r w:rsidR="004E3249" w:rsidRPr="00961B75">
        <w:rPr>
          <w:bCs/>
          <w:szCs w:val="22"/>
        </w:rPr>
        <w:t>peginterferon</w:t>
      </w:r>
      <w:proofErr w:type="spellEnd"/>
      <w:r w:rsidR="00F07A3E" w:rsidRPr="00961B75">
        <w:rPr>
          <w:bCs/>
          <w:szCs w:val="22"/>
        </w:rPr>
        <w:t xml:space="preserve"> </w:t>
      </w:r>
      <w:r w:rsidR="00475215" w:rsidRPr="00961B75">
        <w:rPr>
          <w:bCs/>
          <w:szCs w:val="22"/>
        </w:rPr>
        <w:t>and</w:t>
      </w:r>
      <w:r w:rsidR="00F07A3E" w:rsidRPr="00961B75">
        <w:rPr>
          <w:bCs/>
          <w:szCs w:val="22"/>
        </w:rPr>
        <w:t xml:space="preserve"> ribavirin</w:t>
      </w:r>
      <w:r w:rsidR="00C10D9D" w:rsidRPr="00961B75">
        <w:rPr>
          <w:bCs/>
          <w:szCs w:val="22"/>
        </w:rPr>
        <w:t xml:space="preserve">. </w:t>
      </w:r>
      <w:r w:rsidR="004E3249" w:rsidRPr="00961B75">
        <w:rPr>
          <w:bCs/>
          <w:szCs w:val="22"/>
        </w:rPr>
        <w:t>GZR-EBR</w:t>
      </w:r>
      <w:r w:rsidR="00475215" w:rsidRPr="00961B75">
        <w:rPr>
          <w:bCs/>
          <w:szCs w:val="22"/>
        </w:rPr>
        <w:t xml:space="preserve"> regimens were recommended for PBS use </w:t>
      </w:r>
      <w:r w:rsidR="004E3249" w:rsidRPr="00961B75">
        <w:rPr>
          <w:iCs/>
        </w:rPr>
        <w:t>in this patient population at the July 2016 PBAC meeting</w:t>
      </w:r>
      <w:r w:rsidR="00F07A3E" w:rsidRPr="00961B75">
        <w:rPr>
          <w:iCs/>
        </w:rPr>
        <w:t>.</w:t>
      </w:r>
      <w:r w:rsidR="00C10D9D" w:rsidRPr="00961B75">
        <w:rPr>
          <w:iCs/>
        </w:rPr>
        <w:t xml:space="preserve"> T</w:t>
      </w:r>
      <w:r w:rsidR="00F07A3E" w:rsidRPr="00961B75">
        <w:rPr>
          <w:iCs/>
        </w:rPr>
        <w:t xml:space="preserve">he PBAC noted that </w:t>
      </w:r>
      <w:r w:rsidR="00472706" w:rsidRPr="00961B75">
        <w:rPr>
          <w:iCs/>
        </w:rPr>
        <w:t xml:space="preserve">GZR-EBR </w:t>
      </w:r>
      <w:r w:rsidR="00D17C58">
        <w:rPr>
          <w:iCs/>
        </w:rPr>
        <w:t>may be</w:t>
      </w:r>
      <w:r w:rsidR="00D17C58" w:rsidRPr="00961B75">
        <w:rPr>
          <w:iCs/>
        </w:rPr>
        <w:t xml:space="preserve"> </w:t>
      </w:r>
      <w:r w:rsidR="00472706" w:rsidRPr="00961B75">
        <w:rPr>
          <w:iCs/>
        </w:rPr>
        <w:t xml:space="preserve">contraindicated in some patients who </w:t>
      </w:r>
      <w:r w:rsidR="00D17C58">
        <w:rPr>
          <w:bCs/>
          <w:szCs w:val="22"/>
        </w:rPr>
        <w:t>would</w:t>
      </w:r>
      <w:r w:rsidR="00D17C58" w:rsidRPr="00961B75">
        <w:rPr>
          <w:bCs/>
          <w:szCs w:val="22"/>
        </w:rPr>
        <w:t xml:space="preserve"> </w:t>
      </w:r>
      <w:r w:rsidR="00472706" w:rsidRPr="00961B75">
        <w:rPr>
          <w:bCs/>
          <w:szCs w:val="22"/>
        </w:rPr>
        <w:t xml:space="preserve">be able to use </w:t>
      </w:r>
      <w:r w:rsidR="00DF7674" w:rsidRPr="00961B75">
        <w:rPr>
          <w:bCs/>
          <w:szCs w:val="22"/>
        </w:rPr>
        <w:t>paritaprevir with ritonavir and ombitasvir +</w:t>
      </w:r>
      <w:r w:rsidR="00217BED">
        <w:rPr>
          <w:bCs/>
          <w:szCs w:val="22"/>
        </w:rPr>
        <w:t xml:space="preserve"> </w:t>
      </w:r>
      <w:r w:rsidR="00DF7674" w:rsidRPr="00961B75">
        <w:rPr>
          <w:bCs/>
          <w:szCs w:val="22"/>
        </w:rPr>
        <w:t>RBV</w:t>
      </w:r>
      <w:r w:rsidR="00472706" w:rsidRPr="00961B75">
        <w:rPr>
          <w:bCs/>
          <w:szCs w:val="22"/>
        </w:rPr>
        <w:t>.</w:t>
      </w:r>
    </w:p>
    <w:p w:rsidR="00F07A3E" w:rsidRPr="00961B75" w:rsidRDefault="00F07A3E" w:rsidP="00F07A3E">
      <w:pPr>
        <w:pStyle w:val="ListParagraph"/>
        <w:rPr>
          <w:iCs/>
          <w:color w:val="0070C0"/>
        </w:rPr>
      </w:pPr>
    </w:p>
    <w:p w:rsidR="00284F55" w:rsidRPr="00961B75" w:rsidRDefault="00C77C1F" w:rsidP="00284F55">
      <w:pPr>
        <w:numPr>
          <w:ilvl w:val="1"/>
          <w:numId w:val="1"/>
        </w:numPr>
        <w:contextualSpacing/>
        <w:rPr>
          <w:bCs/>
          <w:szCs w:val="22"/>
        </w:rPr>
      </w:pPr>
      <w:r w:rsidRPr="00961B75">
        <w:rPr>
          <w:iCs/>
        </w:rPr>
        <w:t>T</w:t>
      </w:r>
      <w:r w:rsidR="00284F55" w:rsidRPr="00961B75">
        <w:rPr>
          <w:iCs/>
        </w:rPr>
        <w:t xml:space="preserve">he PBAC considered that the most appropriate comparator was </w:t>
      </w:r>
      <w:r w:rsidR="00284F55" w:rsidRPr="00961B75">
        <w:rPr>
          <w:szCs w:val="22"/>
        </w:rPr>
        <w:t>GZR-EBR</w:t>
      </w:r>
      <w:r w:rsidR="00B13970">
        <w:rPr>
          <w:szCs w:val="22"/>
        </w:rPr>
        <w:t xml:space="preserve"> </w:t>
      </w:r>
      <w:r w:rsidR="00284F55" w:rsidRPr="00961B75">
        <w:rPr>
          <w:iCs/>
        </w:rPr>
        <w:t>±</w:t>
      </w:r>
      <w:r w:rsidR="00B13970">
        <w:rPr>
          <w:iCs/>
        </w:rPr>
        <w:t xml:space="preserve"> </w:t>
      </w:r>
      <w:r w:rsidR="00284F55" w:rsidRPr="00961B75">
        <w:rPr>
          <w:iCs/>
        </w:rPr>
        <w:t xml:space="preserve">RBV as </w:t>
      </w:r>
      <w:r w:rsidR="00E077D4" w:rsidRPr="00961B75">
        <w:rPr>
          <w:iCs/>
        </w:rPr>
        <w:t>it is the only interferon-free treatment for GT4 currently recommended for PBS listing, and would therefore be the therapy most likely to be replaced in clinical practice.</w:t>
      </w:r>
    </w:p>
    <w:p w:rsidR="00284F55" w:rsidRPr="00961B75" w:rsidRDefault="00284F55" w:rsidP="00284F55">
      <w:pPr>
        <w:pStyle w:val="ListParagraph"/>
        <w:rPr>
          <w:bCs/>
          <w:szCs w:val="22"/>
        </w:rPr>
      </w:pPr>
    </w:p>
    <w:p w:rsidR="002D2C89" w:rsidRPr="00961B75" w:rsidRDefault="005937E5" w:rsidP="00CC5204">
      <w:pPr>
        <w:pStyle w:val="ListParagraph"/>
        <w:numPr>
          <w:ilvl w:val="1"/>
          <w:numId w:val="1"/>
        </w:numPr>
        <w:rPr>
          <w:szCs w:val="22"/>
        </w:rPr>
      </w:pPr>
      <w:r w:rsidRPr="00961B75">
        <w:rPr>
          <w:bCs/>
          <w:szCs w:val="22"/>
        </w:rPr>
        <w:t xml:space="preserve">The PBAC considered that the clinical </w:t>
      </w:r>
      <w:r w:rsidR="00DC1F2F" w:rsidRPr="00961B75">
        <w:rPr>
          <w:bCs/>
          <w:szCs w:val="22"/>
        </w:rPr>
        <w:t>evaluation</w:t>
      </w:r>
      <w:r w:rsidRPr="00961B75">
        <w:rPr>
          <w:bCs/>
          <w:szCs w:val="22"/>
        </w:rPr>
        <w:t xml:space="preserve"> presented by the submission – </w:t>
      </w:r>
      <w:r w:rsidR="00DC1F2F" w:rsidRPr="00961B75">
        <w:rPr>
          <w:szCs w:val="22"/>
        </w:rPr>
        <w:t>based on unadjusted indirect comparisons</w:t>
      </w:r>
      <w:r w:rsidR="00180B17" w:rsidRPr="00961B75">
        <w:rPr>
          <w:szCs w:val="22"/>
        </w:rPr>
        <w:t xml:space="preserve"> between single arms of the included studies </w:t>
      </w:r>
      <w:r w:rsidRPr="00961B75">
        <w:rPr>
          <w:szCs w:val="22"/>
        </w:rPr>
        <w:t xml:space="preserve">– was </w:t>
      </w:r>
      <w:r w:rsidR="009A180A" w:rsidRPr="00961B75">
        <w:rPr>
          <w:szCs w:val="22"/>
        </w:rPr>
        <w:t>at high risk of bias</w:t>
      </w:r>
      <w:r w:rsidR="00180B17" w:rsidRPr="00961B75">
        <w:rPr>
          <w:szCs w:val="22"/>
        </w:rPr>
        <w:t xml:space="preserve">. </w:t>
      </w:r>
      <w:r w:rsidR="00EB677B" w:rsidRPr="00961B75">
        <w:rPr>
          <w:szCs w:val="22"/>
        </w:rPr>
        <w:t>I</w:t>
      </w:r>
      <w:r w:rsidR="00AC2D90" w:rsidRPr="00961B75">
        <w:rPr>
          <w:szCs w:val="22"/>
        </w:rPr>
        <w:t xml:space="preserve">n the absence of a common comparator arm, exchangeability between studies cannot be established. The PBAC </w:t>
      </w:r>
      <w:r w:rsidR="009452DD" w:rsidRPr="00961B75">
        <w:rPr>
          <w:szCs w:val="22"/>
        </w:rPr>
        <w:t>noted the ESC advice that</w:t>
      </w:r>
      <w:r w:rsidR="00AC2D90" w:rsidRPr="00961B75">
        <w:rPr>
          <w:szCs w:val="22"/>
        </w:rPr>
        <w:t xml:space="preserve"> </w:t>
      </w:r>
      <w:r w:rsidR="009452DD" w:rsidRPr="00961B75">
        <w:rPr>
          <w:szCs w:val="22"/>
        </w:rPr>
        <w:t xml:space="preserve">the trial populations for </w:t>
      </w:r>
      <w:r w:rsidR="00DF7674" w:rsidRPr="00961B75">
        <w:rPr>
          <w:bCs/>
          <w:szCs w:val="22"/>
        </w:rPr>
        <w:t>paritaprevir with ritonavir and ombitasvir</w:t>
      </w:r>
      <w:r w:rsidR="00DF7674" w:rsidRPr="00961B75">
        <w:rPr>
          <w:szCs w:val="22"/>
        </w:rPr>
        <w:t xml:space="preserve"> </w:t>
      </w:r>
      <w:r w:rsidR="009452DD" w:rsidRPr="00961B75">
        <w:rPr>
          <w:szCs w:val="22"/>
        </w:rPr>
        <w:t>+ RBV and GRZ-EBR</w:t>
      </w:r>
      <w:r w:rsidR="006B08A7">
        <w:rPr>
          <w:szCs w:val="22"/>
        </w:rPr>
        <w:t xml:space="preserve"> </w:t>
      </w:r>
      <w:r w:rsidR="009452DD" w:rsidRPr="00961B75">
        <w:rPr>
          <w:szCs w:val="22"/>
        </w:rPr>
        <w:t>±</w:t>
      </w:r>
      <w:r w:rsidR="006B08A7">
        <w:rPr>
          <w:szCs w:val="22"/>
        </w:rPr>
        <w:t xml:space="preserve"> </w:t>
      </w:r>
      <w:r w:rsidR="009452DD" w:rsidRPr="00961B75">
        <w:rPr>
          <w:szCs w:val="22"/>
        </w:rPr>
        <w:t>RBV were reasonably comparable in terms of HCV RNA at baseline and that the exchangeability of such studies may be further informed by comparing viral load of the study populations. The PBAC also noted the Pre-PBAC Response (p</w:t>
      </w:r>
      <w:r w:rsidR="00CC5204" w:rsidRPr="00961B75">
        <w:rPr>
          <w:szCs w:val="22"/>
        </w:rPr>
        <w:t>2</w:t>
      </w:r>
      <w:r w:rsidR="009452DD" w:rsidRPr="00961B75">
        <w:rPr>
          <w:szCs w:val="22"/>
        </w:rPr>
        <w:t xml:space="preserve">), which presented </w:t>
      </w:r>
      <w:r w:rsidR="00CC5204" w:rsidRPr="00961B75">
        <w:rPr>
          <w:szCs w:val="22"/>
        </w:rPr>
        <w:t xml:space="preserve">a comparison of baseline viral load in treatment arms for </w:t>
      </w:r>
      <w:r w:rsidR="00DF7674" w:rsidRPr="00961B75">
        <w:rPr>
          <w:bCs/>
          <w:szCs w:val="22"/>
        </w:rPr>
        <w:t>paritaprevir with ritonavir and ombitasvir</w:t>
      </w:r>
      <w:r w:rsidR="00DF7674" w:rsidRPr="00961B75">
        <w:rPr>
          <w:szCs w:val="22"/>
        </w:rPr>
        <w:t xml:space="preserve"> </w:t>
      </w:r>
      <w:r w:rsidR="00CC5204" w:rsidRPr="00961B75">
        <w:rPr>
          <w:szCs w:val="22"/>
        </w:rPr>
        <w:t xml:space="preserve">trials </w:t>
      </w:r>
      <w:proofErr w:type="spellStart"/>
      <w:r w:rsidR="00CC5204" w:rsidRPr="00961B75">
        <w:rPr>
          <w:szCs w:val="22"/>
        </w:rPr>
        <w:t>vs</w:t>
      </w:r>
      <w:proofErr w:type="spellEnd"/>
      <w:r w:rsidR="00CC5204" w:rsidRPr="00961B75">
        <w:rPr>
          <w:szCs w:val="22"/>
        </w:rPr>
        <w:t xml:space="preserve"> GZR-EBR trials (where information was available). The Pre-PBAC Response stated that it was difficult to draw conclusions from such data, but noted that mean HCV RNA values at baseline were in a similar numerical range.</w:t>
      </w:r>
    </w:p>
    <w:p w:rsidR="00CC5204" w:rsidRPr="00961B75" w:rsidRDefault="00CC5204" w:rsidP="00CC5204">
      <w:pPr>
        <w:rPr>
          <w:szCs w:val="22"/>
        </w:rPr>
      </w:pPr>
    </w:p>
    <w:p w:rsidR="00321814" w:rsidRPr="00961B75" w:rsidRDefault="004B0800" w:rsidP="00321814">
      <w:pPr>
        <w:numPr>
          <w:ilvl w:val="1"/>
          <w:numId w:val="1"/>
        </w:numPr>
        <w:contextualSpacing/>
        <w:rPr>
          <w:bCs/>
          <w:szCs w:val="22"/>
        </w:rPr>
      </w:pPr>
      <w:r w:rsidRPr="00961B75">
        <w:rPr>
          <w:bCs/>
          <w:szCs w:val="22"/>
        </w:rPr>
        <w:t>Overall, the PBAC agreed that SVR12 response rates were high for all treatments irrespective of patients’ prior treatment history.</w:t>
      </w:r>
      <w:r w:rsidR="00D02724" w:rsidRPr="00961B75">
        <w:rPr>
          <w:bCs/>
          <w:szCs w:val="22"/>
        </w:rPr>
        <w:t xml:space="preserve"> However, t</w:t>
      </w:r>
      <w:r w:rsidR="00321814" w:rsidRPr="00961B75">
        <w:rPr>
          <w:bCs/>
          <w:szCs w:val="22"/>
        </w:rPr>
        <w:t xml:space="preserve">he PBAC considered that the claims about comparative benefits between treatments should be interpreted with caution due to the lack of exchangeability between studies. </w:t>
      </w:r>
      <w:r w:rsidR="00D02724" w:rsidRPr="00961B75">
        <w:rPr>
          <w:bCs/>
          <w:szCs w:val="22"/>
        </w:rPr>
        <w:t xml:space="preserve">Nevertheless, the PBAC viewed that it was </w:t>
      </w:r>
      <w:r w:rsidR="00277B27" w:rsidRPr="00961B75">
        <w:rPr>
          <w:bCs/>
          <w:szCs w:val="22"/>
        </w:rPr>
        <w:t>not un</w:t>
      </w:r>
      <w:r w:rsidR="00D02724" w:rsidRPr="00961B75">
        <w:rPr>
          <w:bCs/>
          <w:szCs w:val="22"/>
        </w:rPr>
        <w:t xml:space="preserve">reasonable to conclude non-inferior comparative efficacy between </w:t>
      </w:r>
      <w:r w:rsidR="00DF7674" w:rsidRPr="00961B75">
        <w:rPr>
          <w:bCs/>
          <w:szCs w:val="22"/>
        </w:rPr>
        <w:t>paritaprevir with ritonavir and ombitasvir +</w:t>
      </w:r>
      <w:r w:rsidR="006B08A7">
        <w:rPr>
          <w:bCs/>
          <w:szCs w:val="22"/>
        </w:rPr>
        <w:t xml:space="preserve"> </w:t>
      </w:r>
      <w:r w:rsidR="00D02724" w:rsidRPr="00961B75">
        <w:rPr>
          <w:bCs/>
          <w:szCs w:val="22"/>
        </w:rPr>
        <w:t xml:space="preserve">RBV and </w:t>
      </w:r>
      <w:r w:rsidR="00D02724" w:rsidRPr="00961B75">
        <w:rPr>
          <w:szCs w:val="22"/>
        </w:rPr>
        <w:t>GZR-EBR</w:t>
      </w:r>
      <w:r w:rsidR="006B08A7">
        <w:rPr>
          <w:szCs w:val="22"/>
        </w:rPr>
        <w:t xml:space="preserve"> </w:t>
      </w:r>
      <w:r w:rsidR="00D02724" w:rsidRPr="00961B75">
        <w:rPr>
          <w:iCs/>
        </w:rPr>
        <w:t>±</w:t>
      </w:r>
      <w:r w:rsidR="006B08A7">
        <w:rPr>
          <w:iCs/>
        </w:rPr>
        <w:t xml:space="preserve"> </w:t>
      </w:r>
      <w:r w:rsidR="00D02724" w:rsidRPr="00961B75">
        <w:rPr>
          <w:iCs/>
        </w:rPr>
        <w:t>RBV</w:t>
      </w:r>
      <w:r w:rsidR="00DB53E3" w:rsidRPr="00961B75">
        <w:rPr>
          <w:iCs/>
        </w:rPr>
        <w:t>.</w:t>
      </w:r>
      <w:r w:rsidR="005F2CB4" w:rsidRPr="00961B75">
        <w:rPr>
          <w:iCs/>
        </w:rPr>
        <w:t xml:space="preserve"> </w:t>
      </w:r>
      <w:r w:rsidR="00DB53E3" w:rsidRPr="00961B75">
        <w:rPr>
          <w:iCs/>
        </w:rPr>
        <w:t>T</w:t>
      </w:r>
      <w:r w:rsidR="005F2CB4" w:rsidRPr="00961B75">
        <w:rPr>
          <w:iCs/>
        </w:rPr>
        <w:t xml:space="preserve">he PBAC considered </w:t>
      </w:r>
      <w:r w:rsidR="002404F8" w:rsidRPr="00961B75">
        <w:rPr>
          <w:iCs/>
        </w:rPr>
        <w:t xml:space="preserve">that there was limited data to support the </w:t>
      </w:r>
      <w:r w:rsidR="005F2CB4" w:rsidRPr="00961B75">
        <w:rPr>
          <w:iCs/>
        </w:rPr>
        <w:t xml:space="preserve">submission’s claim that </w:t>
      </w:r>
      <w:r w:rsidR="00DF7674" w:rsidRPr="00961B75">
        <w:rPr>
          <w:bCs/>
          <w:szCs w:val="22"/>
        </w:rPr>
        <w:t>paritaprevir with ritonavir and ombitasvir</w:t>
      </w:r>
      <w:r w:rsidR="00DF7674" w:rsidRPr="00961B75">
        <w:rPr>
          <w:iCs/>
        </w:rPr>
        <w:t xml:space="preserve"> +</w:t>
      </w:r>
      <w:r w:rsidR="006B08A7">
        <w:rPr>
          <w:iCs/>
        </w:rPr>
        <w:t xml:space="preserve"> </w:t>
      </w:r>
      <w:r w:rsidR="005F2CB4" w:rsidRPr="00961B75">
        <w:rPr>
          <w:iCs/>
        </w:rPr>
        <w:t xml:space="preserve">RBV had superior comparative efficacy </w:t>
      </w:r>
      <w:r w:rsidR="002404F8" w:rsidRPr="00961B75">
        <w:rPr>
          <w:iCs/>
        </w:rPr>
        <w:t>over SOF</w:t>
      </w:r>
      <w:r w:rsidR="006B08A7">
        <w:rPr>
          <w:iCs/>
        </w:rPr>
        <w:t xml:space="preserve"> </w:t>
      </w:r>
      <w:r w:rsidR="002404F8" w:rsidRPr="00961B75">
        <w:rPr>
          <w:iCs/>
        </w:rPr>
        <w:t>+</w:t>
      </w:r>
      <w:r w:rsidR="006B08A7">
        <w:rPr>
          <w:iCs/>
        </w:rPr>
        <w:t xml:space="preserve"> </w:t>
      </w:r>
      <w:r w:rsidR="002404F8" w:rsidRPr="00961B75">
        <w:rPr>
          <w:iCs/>
        </w:rPr>
        <w:t>PR.</w:t>
      </w:r>
    </w:p>
    <w:p w:rsidR="002404F8" w:rsidRPr="00961B75" w:rsidRDefault="002404F8" w:rsidP="002404F8">
      <w:pPr>
        <w:pStyle w:val="ListParagraph"/>
        <w:rPr>
          <w:bCs/>
          <w:szCs w:val="22"/>
        </w:rPr>
      </w:pPr>
    </w:p>
    <w:p w:rsidR="00B81BB0" w:rsidRPr="00961B75" w:rsidRDefault="002404F8" w:rsidP="00EF7F25">
      <w:pPr>
        <w:numPr>
          <w:ilvl w:val="1"/>
          <w:numId w:val="1"/>
        </w:numPr>
        <w:contextualSpacing/>
        <w:rPr>
          <w:bCs/>
          <w:szCs w:val="22"/>
        </w:rPr>
      </w:pPr>
      <w:r w:rsidRPr="00961B75">
        <w:rPr>
          <w:bCs/>
          <w:szCs w:val="22"/>
        </w:rPr>
        <w:t>In terms of comparative harms, the PBAC again considered that</w:t>
      </w:r>
      <w:r w:rsidR="009354EF" w:rsidRPr="00961B75">
        <w:rPr>
          <w:bCs/>
          <w:szCs w:val="22"/>
        </w:rPr>
        <w:t xml:space="preserve"> the</w:t>
      </w:r>
      <w:r w:rsidRPr="00961B75">
        <w:rPr>
          <w:bCs/>
          <w:szCs w:val="22"/>
        </w:rPr>
        <w:t xml:space="preserve"> results should be interpreted with caution due to the non-comparative na</w:t>
      </w:r>
      <w:r w:rsidR="00B81BB0" w:rsidRPr="00961B75">
        <w:rPr>
          <w:bCs/>
          <w:szCs w:val="22"/>
        </w:rPr>
        <w:t>ture of the evidence presented. At the same time, the PBAC considered it reasonable to conclude that</w:t>
      </w:r>
      <w:r w:rsidR="00DF7674" w:rsidRPr="00961B75">
        <w:rPr>
          <w:bCs/>
          <w:szCs w:val="22"/>
        </w:rPr>
        <w:t xml:space="preserve"> paritaprevir with ritonavir and ombitasvir </w:t>
      </w:r>
      <w:r w:rsidR="00B81BB0" w:rsidRPr="00961B75">
        <w:rPr>
          <w:bCs/>
          <w:szCs w:val="22"/>
        </w:rPr>
        <w:t>+</w:t>
      </w:r>
      <w:r w:rsidR="006B08A7">
        <w:rPr>
          <w:bCs/>
          <w:szCs w:val="22"/>
        </w:rPr>
        <w:t xml:space="preserve"> </w:t>
      </w:r>
      <w:r w:rsidR="00B81BB0" w:rsidRPr="00961B75">
        <w:rPr>
          <w:bCs/>
          <w:szCs w:val="22"/>
        </w:rPr>
        <w:t>RBV had:</w:t>
      </w:r>
    </w:p>
    <w:p w:rsidR="00E95062" w:rsidRPr="00961B75" w:rsidRDefault="00B81BB0" w:rsidP="00B81BB0">
      <w:pPr>
        <w:pStyle w:val="ListParagraph"/>
        <w:numPr>
          <w:ilvl w:val="0"/>
          <w:numId w:val="16"/>
        </w:numPr>
        <w:rPr>
          <w:bCs/>
          <w:szCs w:val="22"/>
        </w:rPr>
      </w:pPr>
      <w:r w:rsidRPr="00961B75">
        <w:rPr>
          <w:bCs/>
          <w:szCs w:val="22"/>
        </w:rPr>
        <w:t>inferior safety compared with ‘no treatment’;</w:t>
      </w:r>
    </w:p>
    <w:p w:rsidR="00B81BB0" w:rsidRPr="00961B75" w:rsidRDefault="00B81BB0" w:rsidP="004B6732">
      <w:pPr>
        <w:pStyle w:val="ListParagraph"/>
        <w:numPr>
          <w:ilvl w:val="0"/>
          <w:numId w:val="16"/>
        </w:numPr>
        <w:rPr>
          <w:bCs/>
          <w:szCs w:val="22"/>
        </w:rPr>
      </w:pPr>
      <w:r w:rsidRPr="00961B75">
        <w:rPr>
          <w:bCs/>
          <w:szCs w:val="22"/>
        </w:rPr>
        <w:t xml:space="preserve">non-inferior safety compared with </w:t>
      </w:r>
      <w:r w:rsidRPr="00961B75">
        <w:rPr>
          <w:szCs w:val="22"/>
        </w:rPr>
        <w:t>GZR-EBR</w:t>
      </w:r>
      <w:r w:rsidR="006B08A7">
        <w:rPr>
          <w:szCs w:val="22"/>
        </w:rPr>
        <w:t xml:space="preserve"> </w:t>
      </w:r>
      <w:r w:rsidR="009354EF" w:rsidRPr="00961B75">
        <w:rPr>
          <w:iCs/>
        </w:rPr>
        <w:t>±</w:t>
      </w:r>
      <w:r w:rsidR="006B08A7">
        <w:rPr>
          <w:iCs/>
        </w:rPr>
        <w:t xml:space="preserve"> </w:t>
      </w:r>
      <w:r w:rsidRPr="00961B75">
        <w:rPr>
          <w:iCs/>
        </w:rPr>
        <w:t>RBV</w:t>
      </w:r>
      <w:r w:rsidR="004B6732" w:rsidRPr="00961B75">
        <w:rPr>
          <w:iCs/>
        </w:rPr>
        <w:t xml:space="preserve"> (although acknowledging that the subgroup of patients who do not require RBV would have fewer RBV associated AEs)</w:t>
      </w:r>
      <w:r w:rsidRPr="00961B75">
        <w:rPr>
          <w:iCs/>
        </w:rPr>
        <w:t>;</w:t>
      </w:r>
    </w:p>
    <w:p w:rsidR="00B81BB0" w:rsidRPr="00961B75" w:rsidRDefault="00B81BB0" w:rsidP="00B81BB0">
      <w:pPr>
        <w:pStyle w:val="ListParagraph"/>
        <w:numPr>
          <w:ilvl w:val="0"/>
          <w:numId w:val="16"/>
        </w:numPr>
        <w:rPr>
          <w:bCs/>
          <w:szCs w:val="22"/>
        </w:rPr>
      </w:pPr>
      <w:proofErr w:type="gramStart"/>
      <w:r w:rsidRPr="00961B75">
        <w:rPr>
          <w:iCs/>
        </w:rPr>
        <w:t>superior</w:t>
      </w:r>
      <w:proofErr w:type="gramEnd"/>
      <w:r w:rsidRPr="00961B75">
        <w:rPr>
          <w:iCs/>
        </w:rPr>
        <w:t xml:space="preserve"> safety compared with SOF</w:t>
      </w:r>
      <w:r w:rsidR="006B08A7">
        <w:rPr>
          <w:iCs/>
        </w:rPr>
        <w:t xml:space="preserve"> </w:t>
      </w:r>
      <w:r w:rsidRPr="00961B75">
        <w:rPr>
          <w:iCs/>
        </w:rPr>
        <w:t>+</w:t>
      </w:r>
      <w:r w:rsidR="006B08A7">
        <w:rPr>
          <w:iCs/>
        </w:rPr>
        <w:t xml:space="preserve"> </w:t>
      </w:r>
      <w:r w:rsidRPr="00961B75">
        <w:rPr>
          <w:iCs/>
        </w:rPr>
        <w:t xml:space="preserve">PR, due to the well-known limitations of </w:t>
      </w:r>
      <w:proofErr w:type="spellStart"/>
      <w:r w:rsidRPr="00961B75">
        <w:rPr>
          <w:iCs/>
        </w:rPr>
        <w:t>peginterferon</w:t>
      </w:r>
      <w:proofErr w:type="spellEnd"/>
      <w:r w:rsidRPr="00961B75">
        <w:rPr>
          <w:iCs/>
        </w:rPr>
        <w:t>-containing regimens</w:t>
      </w:r>
      <w:r w:rsidR="00B6385C" w:rsidRPr="00961B75">
        <w:rPr>
          <w:iCs/>
        </w:rPr>
        <w:t>.</w:t>
      </w:r>
    </w:p>
    <w:p w:rsidR="00961B75" w:rsidRDefault="00961B75" w:rsidP="00B6385C">
      <w:pPr>
        <w:pStyle w:val="ListParagraph"/>
        <w:widowControl/>
        <w:rPr>
          <w:bCs/>
          <w:szCs w:val="22"/>
        </w:rPr>
      </w:pPr>
    </w:p>
    <w:p w:rsidR="00B6385C" w:rsidRPr="00961B75" w:rsidRDefault="00B6385C" w:rsidP="00961B75">
      <w:pPr>
        <w:numPr>
          <w:ilvl w:val="1"/>
          <w:numId w:val="1"/>
        </w:numPr>
        <w:rPr>
          <w:bCs/>
        </w:rPr>
      </w:pPr>
      <w:r w:rsidRPr="00961B75">
        <w:rPr>
          <w:bCs/>
        </w:rPr>
        <w:t xml:space="preserve">Furthermore, the PBAC considered it important to note that there are safety concerns for the use of </w:t>
      </w:r>
      <w:r w:rsidR="00DF7674" w:rsidRPr="00961B75">
        <w:rPr>
          <w:bCs/>
        </w:rPr>
        <w:t xml:space="preserve">paritaprevir with ritonavir and ombitasvir </w:t>
      </w:r>
      <w:r w:rsidRPr="00961B75">
        <w:rPr>
          <w:bCs/>
        </w:rPr>
        <w:t>+</w:t>
      </w:r>
      <w:r w:rsidR="00FD4FBA">
        <w:rPr>
          <w:bCs/>
        </w:rPr>
        <w:t xml:space="preserve"> </w:t>
      </w:r>
      <w:r w:rsidRPr="00961B75">
        <w:rPr>
          <w:bCs/>
        </w:rPr>
        <w:t xml:space="preserve">RBV amongst people with advanced </w:t>
      </w:r>
      <w:r w:rsidR="00DF7674" w:rsidRPr="00961B75">
        <w:rPr>
          <w:bCs/>
        </w:rPr>
        <w:t xml:space="preserve">liver disease </w:t>
      </w:r>
      <w:r w:rsidRPr="00961B75">
        <w:rPr>
          <w:bCs/>
        </w:rPr>
        <w:t>–</w:t>
      </w:r>
      <w:r w:rsidR="00DF7674" w:rsidRPr="00961B75">
        <w:rPr>
          <w:bCs/>
        </w:rPr>
        <w:t xml:space="preserve"> </w:t>
      </w:r>
      <w:r w:rsidRPr="00961B75">
        <w:rPr>
          <w:bCs/>
        </w:rPr>
        <w:t xml:space="preserve">the use of </w:t>
      </w:r>
      <w:r w:rsidR="00DF7674" w:rsidRPr="00961B75">
        <w:rPr>
          <w:bCs/>
        </w:rPr>
        <w:t>paritaprevir with ritonavir and ombitasvir</w:t>
      </w:r>
      <w:r w:rsidRPr="00961B75">
        <w:rPr>
          <w:bCs/>
        </w:rPr>
        <w:t xml:space="preserve"> is not recommended in patients with moderate hepatic impairment (Child-Pugh B) and is contraindicated in patients with severe hepatic impairment (Child-Pugh C)</w:t>
      </w:r>
      <w:r w:rsidR="008E6289" w:rsidRPr="00961B75">
        <w:rPr>
          <w:bCs/>
        </w:rPr>
        <w:t xml:space="preserve">. </w:t>
      </w:r>
      <w:r w:rsidR="00BF7FAE" w:rsidRPr="00961B75">
        <w:rPr>
          <w:bCs/>
        </w:rPr>
        <w:t>The PBAC</w:t>
      </w:r>
      <w:r w:rsidR="008E6289" w:rsidRPr="00961B75">
        <w:rPr>
          <w:bCs/>
        </w:rPr>
        <w:t xml:space="preserve"> noted that </w:t>
      </w:r>
      <w:r w:rsidRPr="00961B75">
        <w:rPr>
          <w:bCs/>
        </w:rPr>
        <w:t xml:space="preserve">these </w:t>
      </w:r>
      <w:r w:rsidR="00916F86" w:rsidRPr="00961B75">
        <w:rPr>
          <w:bCs/>
        </w:rPr>
        <w:t xml:space="preserve">concerns </w:t>
      </w:r>
      <w:r w:rsidRPr="00961B75">
        <w:rPr>
          <w:bCs/>
        </w:rPr>
        <w:t>have been clearly articulated in the draft TGA Product Information</w:t>
      </w:r>
      <w:r w:rsidR="00916F86" w:rsidRPr="00961B75">
        <w:rPr>
          <w:bCs/>
        </w:rPr>
        <w:t xml:space="preserve">, and reflect the TGA cautions in place for </w:t>
      </w:r>
      <w:proofErr w:type="spellStart"/>
      <w:r w:rsidR="00916F86" w:rsidRPr="00961B75">
        <w:rPr>
          <w:bCs/>
        </w:rPr>
        <w:t>Viekira</w:t>
      </w:r>
      <w:proofErr w:type="spellEnd"/>
      <w:r w:rsidR="00916F86" w:rsidRPr="00961B75">
        <w:rPr>
          <w:bCs/>
        </w:rPr>
        <w:t>-PAK</w:t>
      </w:r>
      <w:r w:rsidR="00DF7674" w:rsidRPr="00961B75">
        <w:rPr>
          <w:bCs/>
        </w:rPr>
        <w:t>®</w:t>
      </w:r>
      <w:r w:rsidR="00916F86" w:rsidRPr="00961B75">
        <w:rPr>
          <w:bCs/>
        </w:rPr>
        <w:t xml:space="preserve"> and </w:t>
      </w:r>
      <w:proofErr w:type="spellStart"/>
      <w:r w:rsidR="00916F86" w:rsidRPr="00961B75">
        <w:rPr>
          <w:bCs/>
        </w:rPr>
        <w:t>Viekira</w:t>
      </w:r>
      <w:proofErr w:type="spellEnd"/>
      <w:r w:rsidR="00916F86" w:rsidRPr="00961B75">
        <w:rPr>
          <w:bCs/>
        </w:rPr>
        <w:t>-PAK</w:t>
      </w:r>
      <w:r w:rsidR="00DF7674" w:rsidRPr="00961B75">
        <w:rPr>
          <w:bCs/>
        </w:rPr>
        <w:t>®</w:t>
      </w:r>
      <w:r w:rsidR="00916F86" w:rsidRPr="00961B75">
        <w:rPr>
          <w:bCs/>
        </w:rPr>
        <w:t>+RBV, which are already listed on the PBS.</w:t>
      </w:r>
      <w:r w:rsidR="00C7637D" w:rsidRPr="00961B75">
        <w:rPr>
          <w:bCs/>
        </w:rPr>
        <w:t xml:space="preserve"> </w:t>
      </w:r>
    </w:p>
    <w:p w:rsidR="00E95062" w:rsidRPr="00961B75" w:rsidRDefault="00E95062" w:rsidP="00E95062">
      <w:pPr>
        <w:ind w:left="720"/>
        <w:contextualSpacing/>
        <w:rPr>
          <w:bCs/>
          <w:szCs w:val="22"/>
          <w:highlight w:val="yellow"/>
        </w:rPr>
      </w:pPr>
    </w:p>
    <w:p w:rsidR="003B7B91" w:rsidRPr="00961B75" w:rsidRDefault="003B7B91" w:rsidP="003B7B91">
      <w:pPr>
        <w:numPr>
          <w:ilvl w:val="1"/>
          <w:numId w:val="1"/>
        </w:numPr>
        <w:rPr>
          <w:bCs/>
        </w:rPr>
      </w:pPr>
      <w:r w:rsidRPr="00961B75">
        <w:rPr>
          <w:bCs/>
        </w:rPr>
        <w:t xml:space="preserve">The PBAC also recommended that </w:t>
      </w:r>
      <w:r w:rsidR="00DF7674" w:rsidRPr="00961B75">
        <w:rPr>
          <w:bCs/>
          <w:szCs w:val="22"/>
        </w:rPr>
        <w:t>paritaprevir with ritonavir and ombitasvir</w:t>
      </w:r>
      <w:r w:rsidR="00DF7674" w:rsidRPr="00961B75">
        <w:rPr>
          <w:bCs/>
        </w:rPr>
        <w:t xml:space="preserve"> </w:t>
      </w:r>
      <w:r w:rsidRPr="00961B75">
        <w:rPr>
          <w:bCs/>
        </w:rPr>
        <w:t xml:space="preserve">enter the </w:t>
      </w:r>
      <w:r w:rsidR="00972970">
        <w:rPr>
          <w:bCs/>
        </w:rPr>
        <w:t>RSA</w:t>
      </w:r>
      <w:r w:rsidRPr="00961B75">
        <w:rPr>
          <w:bCs/>
        </w:rPr>
        <w:t xml:space="preserve"> currently in place for other drugs used for the treatment of CHC</w:t>
      </w:r>
      <w:r w:rsidR="004B02FF" w:rsidRPr="00961B75">
        <w:rPr>
          <w:bCs/>
        </w:rPr>
        <w:t>, and be subject to the same Subsidisation Caps and rebate arrangements</w:t>
      </w:r>
      <w:r w:rsidRPr="00961B75">
        <w:rPr>
          <w:bCs/>
        </w:rPr>
        <w:t>.</w:t>
      </w:r>
    </w:p>
    <w:p w:rsidR="003B7B91" w:rsidRPr="00961B75" w:rsidRDefault="003B7B91" w:rsidP="003B7B91">
      <w:pPr>
        <w:pStyle w:val="ListParagraph"/>
        <w:rPr>
          <w:bCs/>
          <w:szCs w:val="22"/>
        </w:rPr>
      </w:pPr>
    </w:p>
    <w:p w:rsidR="00E95062" w:rsidRPr="00961B75" w:rsidRDefault="00F1658A" w:rsidP="00EF7F25">
      <w:pPr>
        <w:numPr>
          <w:ilvl w:val="1"/>
          <w:numId w:val="1"/>
        </w:numPr>
        <w:contextualSpacing/>
        <w:rPr>
          <w:bCs/>
          <w:szCs w:val="22"/>
        </w:rPr>
      </w:pPr>
      <w:r w:rsidRPr="00961B75">
        <w:rPr>
          <w:bCs/>
          <w:szCs w:val="22"/>
        </w:rPr>
        <w:t xml:space="preserve">The PBAC </w:t>
      </w:r>
      <w:r w:rsidR="00292BB9" w:rsidRPr="00961B75">
        <w:rPr>
          <w:bCs/>
          <w:szCs w:val="22"/>
        </w:rPr>
        <w:t>considered that listing paritaprevir with ritonavir and ombitasvir</w:t>
      </w:r>
      <w:r w:rsidR="00292BB9" w:rsidRPr="00961B75">
        <w:rPr>
          <w:bCs/>
        </w:rPr>
        <w:t xml:space="preserve"> would only substitute for other DAA-containing treatment regimens for CHC</w:t>
      </w:r>
      <w:r w:rsidR="0034573F" w:rsidRPr="00961B75">
        <w:rPr>
          <w:bCs/>
        </w:rPr>
        <w:t xml:space="preserve"> GT4</w:t>
      </w:r>
      <w:r w:rsidR="00292BB9" w:rsidRPr="00961B75">
        <w:rPr>
          <w:bCs/>
        </w:rPr>
        <w:t xml:space="preserve"> infection and would not g</w:t>
      </w:r>
      <w:r w:rsidR="00944BED" w:rsidRPr="00961B75">
        <w:rPr>
          <w:bCs/>
        </w:rPr>
        <w:t>row the total market</w:t>
      </w:r>
      <w:r w:rsidR="003B7B91" w:rsidRPr="00961B75">
        <w:rPr>
          <w:bCs/>
          <w:szCs w:val="22"/>
        </w:rPr>
        <w:t>.</w:t>
      </w:r>
    </w:p>
    <w:p w:rsidR="00E95062" w:rsidRDefault="00E95062" w:rsidP="00E95062">
      <w:pPr>
        <w:ind w:left="720"/>
        <w:contextualSpacing/>
        <w:rPr>
          <w:bCs/>
          <w:szCs w:val="22"/>
          <w:highlight w:val="yellow"/>
        </w:rPr>
      </w:pPr>
    </w:p>
    <w:p w:rsidR="00782EAD" w:rsidRPr="00961B75" w:rsidRDefault="00782EAD" w:rsidP="00E95062">
      <w:pPr>
        <w:ind w:left="720"/>
        <w:contextualSpacing/>
        <w:rPr>
          <w:bCs/>
          <w:szCs w:val="22"/>
          <w:highlight w:val="yellow"/>
        </w:rPr>
      </w:pPr>
    </w:p>
    <w:p w:rsidR="00E95062" w:rsidRPr="00961B75" w:rsidRDefault="00C96A14" w:rsidP="00E95062">
      <w:pPr>
        <w:numPr>
          <w:ilvl w:val="1"/>
          <w:numId w:val="1"/>
        </w:numPr>
        <w:contextualSpacing/>
        <w:rPr>
          <w:bCs/>
          <w:szCs w:val="22"/>
        </w:rPr>
      </w:pPr>
      <w:r w:rsidRPr="00961B75">
        <w:rPr>
          <w:bCs/>
          <w:szCs w:val="22"/>
        </w:rPr>
        <w:t xml:space="preserve">The PBAC recommended that, under s101(3BA) of the </w:t>
      </w:r>
      <w:r w:rsidRPr="00961B75">
        <w:rPr>
          <w:bCs/>
          <w:i/>
          <w:szCs w:val="22"/>
        </w:rPr>
        <w:t>National Health Act 19</w:t>
      </w:r>
      <w:r w:rsidR="00506DF8" w:rsidRPr="00961B75">
        <w:rPr>
          <w:bCs/>
          <w:i/>
          <w:szCs w:val="22"/>
        </w:rPr>
        <w:t>5</w:t>
      </w:r>
      <w:r w:rsidRPr="00961B75">
        <w:rPr>
          <w:bCs/>
          <w:i/>
          <w:szCs w:val="22"/>
        </w:rPr>
        <w:t xml:space="preserve">3, </w:t>
      </w:r>
      <w:r w:rsidR="00D32B3E" w:rsidRPr="00961B75">
        <w:rPr>
          <w:bCs/>
          <w:szCs w:val="22"/>
        </w:rPr>
        <w:t>paritaprevir with ritonavir and ombitasvir</w:t>
      </w:r>
      <w:r w:rsidR="00E95062" w:rsidRPr="00961B75">
        <w:rPr>
          <w:bCs/>
          <w:szCs w:val="22"/>
        </w:rPr>
        <w:t xml:space="preserve"> </w:t>
      </w:r>
      <w:r w:rsidR="005E4DF5" w:rsidRPr="00961B75">
        <w:rPr>
          <w:bCs/>
          <w:szCs w:val="22"/>
        </w:rPr>
        <w:t>+</w:t>
      </w:r>
      <w:r w:rsidR="00FD4FBA">
        <w:rPr>
          <w:bCs/>
          <w:szCs w:val="22"/>
        </w:rPr>
        <w:t xml:space="preserve"> </w:t>
      </w:r>
      <w:r w:rsidR="005E4DF5" w:rsidRPr="00961B75">
        <w:rPr>
          <w:bCs/>
          <w:szCs w:val="22"/>
        </w:rPr>
        <w:t xml:space="preserve">RBV </w:t>
      </w:r>
      <w:r w:rsidR="00E95062" w:rsidRPr="00961B75">
        <w:rPr>
          <w:bCs/>
          <w:szCs w:val="22"/>
        </w:rPr>
        <w:t>should be treated as interchangeable on an individual patient basis with</w:t>
      </w:r>
      <w:r w:rsidRPr="00961B75">
        <w:rPr>
          <w:bCs/>
          <w:szCs w:val="22"/>
        </w:rPr>
        <w:t xml:space="preserve"> grazoprevir with elbasvir</w:t>
      </w:r>
      <w:r w:rsidR="005E4DF5" w:rsidRPr="00961B75">
        <w:rPr>
          <w:bCs/>
          <w:szCs w:val="22"/>
        </w:rPr>
        <w:t xml:space="preserve"> </w:t>
      </w:r>
      <w:r w:rsidR="00B021AE" w:rsidRPr="00961B75">
        <w:rPr>
          <w:iCs/>
        </w:rPr>
        <w:t>±</w:t>
      </w:r>
      <w:r w:rsidR="00FD4FBA">
        <w:rPr>
          <w:bCs/>
          <w:szCs w:val="22"/>
        </w:rPr>
        <w:t xml:space="preserve"> </w:t>
      </w:r>
      <w:r w:rsidR="005E4DF5" w:rsidRPr="00961B75">
        <w:rPr>
          <w:bCs/>
          <w:szCs w:val="22"/>
        </w:rPr>
        <w:t>RBV</w:t>
      </w:r>
      <w:r w:rsidR="000F62D4" w:rsidRPr="00961B75">
        <w:rPr>
          <w:bCs/>
          <w:szCs w:val="22"/>
        </w:rPr>
        <w:t>, for the treatment of patients with GT4</w:t>
      </w:r>
      <w:r w:rsidR="007340AA" w:rsidRPr="00961B75">
        <w:rPr>
          <w:bCs/>
          <w:szCs w:val="22"/>
        </w:rPr>
        <w:t xml:space="preserve"> CHC</w:t>
      </w:r>
      <w:r w:rsidR="000F62D4" w:rsidRPr="00961B75">
        <w:rPr>
          <w:bCs/>
          <w:szCs w:val="22"/>
        </w:rPr>
        <w:t>.</w:t>
      </w:r>
    </w:p>
    <w:p w:rsidR="00D32B3E" w:rsidRPr="00961B75" w:rsidRDefault="00D32B3E" w:rsidP="00D32B3E">
      <w:pPr>
        <w:contextualSpacing/>
        <w:rPr>
          <w:bCs/>
          <w:szCs w:val="22"/>
        </w:rPr>
      </w:pPr>
    </w:p>
    <w:p w:rsidR="00E95062" w:rsidRPr="00961B75" w:rsidRDefault="00E95062" w:rsidP="00E95062">
      <w:pPr>
        <w:numPr>
          <w:ilvl w:val="1"/>
          <w:numId w:val="1"/>
        </w:numPr>
        <w:contextualSpacing/>
        <w:rPr>
          <w:bCs/>
          <w:szCs w:val="22"/>
        </w:rPr>
      </w:pPr>
      <w:r w:rsidRPr="00961B75">
        <w:rPr>
          <w:bCs/>
          <w:szCs w:val="22"/>
        </w:rPr>
        <w:t xml:space="preserve">The PBAC advised that </w:t>
      </w:r>
      <w:r w:rsidR="001A4341" w:rsidRPr="00961B75">
        <w:rPr>
          <w:szCs w:val="22"/>
        </w:rPr>
        <w:t>paritaprevir with ritonavir and ombitasvir</w:t>
      </w:r>
      <w:r w:rsidR="001A4341" w:rsidRPr="00961B75">
        <w:rPr>
          <w:bCs/>
          <w:szCs w:val="22"/>
        </w:rPr>
        <w:t xml:space="preserve"> </w:t>
      </w:r>
      <w:r w:rsidR="0016140B" w:rsidRPr="00961B75">
        <w:rPr>
          <w:bCs/>
          <w:szCs w:val="22"/>
        </w:rPr>
        <w:t xml:space="preserve">should have the same nurse practitioner prescribing arrangements as other </w:t>
      </w:r>
      <w:r w:rsidR="00DA527C" w:rsidRPr="00961B75">
        <w:rPr>
          <w:bCs/>
          <w:szCs w:val="22"/>
        </w:rPr>
        <w:t xml:space="preserve">HCV </w:t>
      </w:r>
      <w:r w:rsidR="0016140B" w:rsidRPr="00961B75">
        <w:rPr>
          <w:bCs/>
          <w:szCs w:val="22"/>
        </w:rPr>
        <w:t xml:space="preserve">treatments under the </w:t>
      </w:r>
      <w:r w:rsidR="0016140B" w:rsidRPr="007917BE">
        <w:rPr>
          <w:bCs/>
          <w:i/>
          <w:szCs w:val="22"/>
        </w:rPr>
        <w:t>General Statement</w:t>
      </w:r>
      <w:r w:rsidR="00FD4FBA">
        <w:rPr>
          <w:bCs/>
          <w:szCs w:val="22"/>
        </w:rPr>
        <w:t>.</w:t>
      </w:r>
    </w:p>
    <w:p w:rsidR="001A4341" w:rsidRPr="00961B75" w:rsidRDefault="001A4341" w:rsidP="001A4341">
      <w:pPr>
        <w:pStyle w:val="ListParagraph"/>
        <w:rPr>
          <w:bCs/>
          <w:szCs w:val="22"/>
        </w:rPr>
      </w:pPr>
    </w:p>
    <w:p w:rsidR="00E95062" w:rsidRPr="00961B75" w:rsidRDefault="00E95062" w:rsidP="00EF7F25">
      <w:pPr>
        <w:numPr>
          <w:ilvl w:val="1"/>
          <w:numId w:val="1"/>
        </w:numPr>
        <w:contextualSpacing/>
        <w:rPr>
          <w:bCs/>
          <w:szCs w:val="22"/>
        </w:rPr>
      </w:pPr>
      <w:r w:rsidRPr="00961B75">
        <w:rPr>
          <w:bCs/>
          <w:szCs w:val="22"/>
        </w:rPr>
        <w:t>The PBAC recommended that the Early Supply Rule should</w:t>
      </w:r>
      <w:r w:rsidR="001A4341" w:rsidRPr="00961B75">
        <w:rPr>
          <w:bCs/>
          <w:szCs w:val="22"/>
        </w:rPr>
        <w:t xml:space="preserve"> apply to the listing of paritaprevir</w:t>
      </w:r>
      <w:r w:rsidR="001A4341" w:rsidRPr="00961B75">
        <w:rPr>
          <w:szCs w:val="22"/>
        </w:rPr>
        <w:t xml:space="preserve"> with ritonavir and ombitasvir under the General Schedule.</w:t>
      </w:r>
    </w:p>
    <w:p w:rsidR="00D74747" w:rsidRPr="00961B75" w:rsidRDefault="00D74747" w:rsidP="00D74747">
      <w:pPr>
        <w:pStyle w:val="ListParagraph"/>
        <w:rPr>
          <w:bCs/>
          <w:szCs w:val="22"/>
        </w:rPr>
      </w:pPr>
    </w:p>
    <w:p w:rsidR="00D74747" w:rsidRPr="00961B75" w:rsidRDefault="00D74747" w:rsidP="00D74747">
      <w:pPr>
        <w:numPr>
          <w:ilvl w:val="1"/>
          <w:numId w:val="1"/>
        </w:numPr>
        <w:contextualSpacing/>
        <w:rPr>
          <w:bCs/>
          <w:szCs w:val="22"/>
        </w:rPr>
      </w:pPr>
      <w:r w:rsidRPr="00961B75">
        <w:rPr>
          <w:bCs/>
          <w:szCs w:val="22"/>
        </w:rPr>
        <w:t xml:space="preserve">The PBAC noted that this submission was not eligible for an Independent Review because it received a positive recommendation. </w:t>
      </w:r>
    </w:p>
    <w:p w:rsidR="00036DD2" w:rsidRPr="00961B75" w:rsidRDefault="00036DD2" w:rsidP="00036DD2">
      <w:pPr>
        <w:contextualSpacing/>
        <w:rPr>
          <w:bCs/>
          <w:szCs w:val="22"/>
        </w:rPr>
      </w:pPr>
    </w:p>
    <w:p w:rsidR="00E95062" w:rsidRPr="00961B75" w:rsidRDefault="00E95062" w:rsidP="00E95062">
      <w:pPr>
        <w:rPr>
          <w:b/>
          <w:bCs/>
          <w:szCs w:val="22"/>
        </w:rPr>
      </w:pPr>
      <w:r w:rsidRPr="00961B75">
        <w:rPr>
          <w:b/>
          <w:bCs/>
          <w:szCs w:val="22"/>
        </w:rPr>
        <w:t>Outcome:</w:t>
      </w:r>
    </w:p>
    <w:p w:rsidR="00E95062" w:rsidRPr="00961B75" w:rsidRDefault="000322E1" w:rsidP="00E95062">
      <w:pPr>
        <w:rPr>
          <w:bCs/>
          <w:szCs w:val="22"/>
        </w:rPr>
      </w:pPr>
      <w:r w:rsidRPr="00961B75">
        <w:rPr>
          <w:bCs/>
          <w:szCs w:val="22"/>
        </w:rPr>
        <w:t>Recommended</w:t>
      </w:r>
    </w:p>
    <w:p w:rsidR="00E95062" w:rsidRDefault="00E95062" w:rsidP="00E95062">
      <w:pPr>
        <w:rPr>
          <w:bCs/>
          <w:szCs w:val="22"/>
        </w:rPr>
      </w:pPr>
    </w:p>
    <w:p w:rsidR="00334A27" w:rsidRPr="00961B75" w:rsidRDefault="00334A27" w:rsidP="00E95062">
      <w:pPr>
        <w:rPr>
          <w:bCs/>
          <w:szCs w:val="22"/>
          <w:highlight w:val="yellow"/>
        </w:rPr>
      </w:pPr>
    </w:p>
    <w:p w:rsidR="00EB7137" w:rsidRPr="00961B75" w:rsidRDefault="00E95062" w:rsidP="0004383B">
      <w:pPr>
        <w:pStyle w:val="PBACHeading1"/>
        <w:rPr>
          <w:b w:val="0"/>
          <w:bCs/>
        </w:rPr>
      </w:pPr>
      <w:r w:rsidRPr="00961B75">
        <w:rPr>
          <w:bCs/>
        </w:rPr>
        <w:t>Recommended listing</w:t>
      </w:r>
      <w:r w:rsidR="0004383B" w:rsidRPr="00961B75">
        <w:rPr>
          <w:b w:val="0"/>
          <w:bCs/>
        </w:rPr>
        <w:t xml:space="preserve"> </w:t>
      </w:r>
      <w:r w:rsidR="00EB7137" w:rsidRPr="00961B75">
        <w:rPr>
          <w:b w:val="0"/>
          <w:bCs/>
        </w:rPr>
        <w:t>(to be finalised following TGA registration)</w:t>
      </w:r>
    </w:p>
    <w:p w:rsidR="00E95062" w:rsidRPr="00961B75" w:rsidRDefault="00E95062" w:rsidP="00E95062">
      <w:pPr>
        <w:rPr>
          <w:bCs/>
          <w:szCs w:val="22"/>
        </w:rPr>
      </w:pPr>
    </w:p>
    <w:p w:rsidR="00E95062" w:rsidRPr="00961B75" w:rsidRDefault="00E95062" w:rsidP="00743EC2">
      <w:pPr>
        <w:numPr>
          <w:ilvl w:val="1"/>
          <w:numId w:val="1"/>
        </w:numPr>
        <w:contextualSpacing/>
        <w:rPr>
          <w:bCs/>
          <w:szCs w:val="22"/>
        </w:rPr>
      </w:pPr>
      <w:r w:rsidRPr="00961B75">
        <w:rPr>
          <w:bCs/>
          <w:szCs w:val="22"/>
        </w:rPr>
        <w:t>Add new item:</w:t>
      </w:r>
    </w:p>
    <w:p w:rsidR="00E95062" w:rsidRPr="00961B75" w:rsidRDefault="00E95062" w:rsidP="00E95062">
      <w:pPr>
        <w:rPr>
          <w:bCs/>
          <w:szCs w:val="22"/>
          <w:highlight w:val="yellow"/>
        </w:rPr>
      </w:pPr>
    </w:p>
    <w:tbl>
      <w:tblPr>
        <w:tblW w:w="4534" w:type="pct"/>
        <w:tblInd w:w="737" w:type="dxa"/>
        <w:tblLayout w:type="fixed"/>
        <w:tblCellMar>
          <w:left w:w="28" w:type="dxa"/>
          <w:right w:w="28" w:type="dxa"/>
        </w:tblCellMar>
        <w:tblLook w:val="04A0" w:firstRow="1" w:lastRow="0" w:firstColumn="1" w:lastColumn="0" w:noHBand="0" w:noVBand="1"/>
      </w:tblPr>
      <w:tblGrid>
        <w:gridCol w:w="2087"/>
        <w:gridCol w:w="700"/>
        <w:gridCol w:w="865"/>
        <w:gridCol w:w="15"/>
        <w:gridCol w:w="797"/>
        <w:gridCol w:w="838"/>
        <w:gridCol w:w="1537"/>
        <w:gridCol w:w="1385"/>
        <w:gridCol w:w="12"/>
      </w:tblGrid>
      <w:tr w:rsidR="00311B3B" w:rsidRPr="00961B75" w:rsidTr="00360BC8">
        <w:trPr>
          <w:cantSplit/>
          <w:trHeight w:val="20"/>
        </w:trPr>
        <w:tc>
          <w:tcPr>
            <w:tcW w:w="1692" w:type="pct"/>
            <w:gridSpan w:val="2"/>
            <w:tcBorders>
              <w:top w:val="nil"/>
              <w:left w:val="nil"/>
              <w:bottom w:val="single" w:sz="4" w:space="0" w:color="auto"/>
              <w:right w:val="nil"/>
            </w:tcBorders>
            <w:hideMark/>
          </w:tcPr>
          <w:p w:rsidR="00A91287" w:rsidRPr="00961B75" w:rsidRDefault="00A91287" w:rsidP="00D118BF">
            <w:pPr>
              <w:keepNext/>
              <w:widowControl/>
              <w:rPr>
                <w:rFonts w:ascii="Arial Narrow" w:hAnsi="Arial Narrow"/>
                <w:b/>
                <w:sz w:val="20"/>
              </w:rPr>
            </w:pPr>
            <w:r w:rsidRPr="00961B75">
              <w:rPr>
                <w:rFonts w:ascii="Arial Narrow" w:hAnsi="Arial Narrow"/>
                <w:b/>
                <w:sz w:val="20"/>
              </w:rPr>
              <w:t>Name, Restriction,</w:t>
            </w:r>
          </w:p>
          <w:p w:rsidR="00A91287" w:rsidRPr="00961B75" w:rsidRDefault="00A91287" w:rsidP="00D118BF">
            <w:pPr>
              <w:keepNext/>
              <w:widowControl/>
              <w:rPr>
                <w:rFonts w:ascii="Arial Narrow" w:hAnsi="Arial Narrow"/>
                <w:b/>
                <w:sz w:val="20"/>
              </w:rPr>
            </w:pPr>
            <w:r w:rsidRPr="00961B75">
              <w:rPr>
                <w:rFonts w:ascii="Arial Narrow" w:hAnsi="Arial Narrow"/>
                <w:b/>
                <w:sz w:val="20"/>
              </w:rPr>
              <w:t>Manner of administration and form</w:t>
            </w:r>
          </w:p>
        </w:tc>
        <w:tc>
          <w:tcPr>
            <w:tcW w:w="534" w:type="pct"/>
            <w:gridSpan w:val="2"/>
            <w:tcBorders>
              <w:top w:val="nil"/>
              <w:left w:val="nil"/>
              <w:bottom w:val="single" w:sz="4" w:space="0" w:color="auto"/>
              <w:right w:val="nil"/>
            </w:tcBorders>
            <w:hideMark/>
          </w:tcPr>
          <w:p w:rsidR="00FA2EC3" w:rsidRPr="00961B75" w:rsidRDefault="00A91287" w:rsidP="00FA2EC3">
            <w:pPr>
              <w:keepNext/>
              <w:widowControl/>
              <w:jc w:val="center"/>
              <w:rPr>
                <w:rFonts w:ascii="Arial Narrow" w:hAnsi="Arial Narrow"/>
                <w:b/>
                <w:sz w:val="20"/>
              </w:rPr>
            </w:pPr>
            <w:r w:rsidRPr="00961B75">
              <w:rPr>
                <w:rFonts w:ascii="Arial Narrow" w:hAnsi="Arial Narrow"/>
                <w:b/>
                <w:sz w:val="20"/>
              </w:rPr>
              <w:t>Max.</w:t>
            </w:r>
            <w:r w:rsidR="00FA2EC3" w:rsidRPr="00961B75">
              <w:rPr>
                <w:rFonts w:ascii="Arial Narrow" w:hAnsi="Arial Narrow"/>
                <w:b/>
                <w:sz w:val="20"/>
              </w:rPr>
              <w:t xml:space="preserve"> Qty (units)</w:t>
            </w:r>
          </w:p>
        </w:tc>
        <w:tc>
          <w:tcPr>
            <w:tcW w:w="484" w:type="pct"/>
            <w:tcBorders>
              <w:top w:val="nil"/>
              <w:left w:val="nil"/>
              <w:bottom w:val="single" w:sz="4" w:space="0" w:color="auto"/>
              <w:right w:val="nil"/>
            </w:tcBorders>
          </w:tcPr>
          <w:p w:rsidR="00A91287" w:rsidRPr="00961B75" w:rsidRDefault="00FA2EC3" w:rsidP="00FA2EC3">
            <w:pPr>
              <w:keepNext/>
              <w:widowControl/>
              <w:jc w:val="center"/>
              <w:rPr>
                <w:rFonts w:ascii="Arial Narrow" w:hAnsi="Arial Narrow"/>
                <w:b/>
                <w:sz w:val="20"/>
              </w:rPr>
            </w:pPr>
            <w:r w:rsidRPr="00961B75">
              <w:rPr>
                <w:rFonts w:ascii="Arial Narrow" w:hAnsi="Arial Narrow"/>
                <w:b/>
                <w:sz w:val="20"/>
              </w:rPr>
              <w:t>Max. Qty (packs)</w:t>
            </w:r>
          </w:p>
        </w:tc>
        <w:tc>
          <w:tcPr>
            <w:tcW w:w="509" w:type="pct"/>
            <w:tcBorders>
              <w:top w:val="nil"/>
              <w:left w:val="nil"/>
              <w:bottom w:val="single" w:sz="4" w:space="0" w:color="auto"/>
              <w:right w:val="nil"/>
            </w:tcBorders>
            <w:hideMark/>
          </w:tcPr>
          <w:p w:rsidR="00A91287" w:rsidRPr="00961B75" w:rsidRDefault="00A91287" w:rsidP="00D118BF">
            <w:pPr>
              <w:keepNext/>
              <w:widowControl/>
              <w:jc w:val="center"/>
              <w:rPr>
                <w:rFonts w:ascii="Arial Narrow" w:hAnsi="Arial Narrow"/>
                <w:b/>
                <w:sz w:val="20"/>
              </w:rPr>
            </w:pPr>
            <w:r w:rsidRPr="00961B75">
              <w:rPr>
                <w:rFonts w:ascii="Arial Narrow" w:hAnsi="Arial Narrow"/>
                <w:b/>
                <w:sz w:val="20"/>
              </w:rPr>
              <w:t>№.of</w:t>
            </w:r>
          </w:p>
          <w:p w:rsidR="00A91287" w:rsidRPr="00961B75" w:rsidRDefault="00A91287" w:rsidP="00D118BF">
            <w:pPr>
              <w:keepNext/>
              <w:widowControl/>
              <w:jc w:val="center"/>
              <w:rPr>
                <w:rFonts w:ascii="Arial Narrow" w:hAnsi="Arial Narrow"/>
                <w:b/>
                <w:sz w:val="20"/>
              </w:rPr>
            </w:pPr>
            <w:r w:rsidRPr="00961B75">
              <w:rPr>
                <w:rFonts w:ascii="Arial Narrow" w:hAnsi="Arial Narrow"/>
                <w:b/>
                <w:sz w:val="20"/>
              </w:rPr>
              <w:t>Rpts</w:t>
            </w:r>
          </w:p>
        </w:tc>
        <w:tc>
          <w:tcPr>
            <w:tcW w:w="1781" w:type="pct"/>
            <w:gridSpan w:val="3"/>
            <w:tcBorders>
              <w:top w:val="nil"/>
              <w:left w:val="nil"/>
              <w:bottom w:val="single" w:sz="4" w:space="0" w:color="auto"/>
              <w:right w:val="nil"/>
            </w:tcBorders>
            <w:hideMark/>
          </w:tcPr>
          <w:p w:rsidR="00A91287" w:rsidRPr="00961B75" w:rsidRDefault="00A91287" w:rsidP="00D118BF">
            <w:pPr>
              <w:keepNext/>
              <w:widowControl/>
              <w:jc w:val="center"/>
              <w:rPr>
                <w:rFonts w:ascii="Arial Narrow" w:hAnsi="Arial Narrow"/>
                <w:b/>
                <w:sz w:val="20"/>
              </w:rPr>
            </w:pPr>
            <w:r w:rsidRPr="00961B75">
              <w:rPr>
                <w:rFonts w:ascii="Arial Narrow" w:hAnsi="Arial Narrow"/>
                <w:b/>
                <w:sz w:val="20"/>
              </w:rPr>
              <w:t>Proprietary Name and Manufacturer</w:t>
            </w:r>
          </w:p>
        </w:tc>
      </w:tr>
      <w:tr w:rsidR="00311B3B" w:rsidRPr="00961B75" w:rsidTr="00360BC8">
        <w:trPr>
          <w:cantSplit/>
          <w:trHeight w:val="20"/>
        </w:trPr>
        <w:tc>
          <w:tcPr>
            <w:tcW w:w="1692" w:type="pct"/>
            <w:gridSpan w:val="2"/>
            <w:hideMark/>
          </w:tcPr>
          <w:p w:rsidR="00A91287" w:rsidRPr="00961B75" w:rsidRDefault="00A91287" w:rsidP="00D118BF">
            <w:pPr>
              <w:keepNext/>
              <w:widowControl/>
              <w:jc w:val="left"/>
              <w:rPr>
                <w:rFonts w:ascii="Arial Narrow" w:hAnsi="Arial Narrow"/>
                <w:smallCaps/>
                <w:sz w:val="20"/>
              </w:rPr>
            </w:pPr>
            <w:r w:rsidRPr="00961B75">
              <w:rPr>
                <w:rFonts w:ascii="Arial Narrow" w:hAnsi="Arial Narrow"/>
                <w:smallCaps/>
                <w:sz w:val="20"/>
              </w:rPr>
              <w:t>Paritaprevir</w:t>
            </w:r>
            <w:r w:rsidR="00FA2EC3" w:rsidRPr="00961B75">
              <w:rPr>
                <w:rFonts w:ascii="Arial Narrow" w:hAnsi="Arial Narrow"/>
                <w:smallCaps/>
                <w:sz w:val="20"/>
              </w:rPr>
              <w:t xml:space="preserve"> + </w:t>
            </w:r>
            <w:r w:rsidRPr="00961B75">
              <w:rPr>
                <w:rFonts w:ascii="Arial Narrow" w:hAnsi="Arial Narrow"/>
                <w:smallCaps/>
                <w:sz w:val="20"/>
              </w:rPr>
              <w:t xml:space="preserve">ritonavir </w:t>
            </w:r>
            <w:r w:rsidR="00FA2EC3" w:rsidRPr="00961B75">
              <w:rPr>
                <w:rFonts w:ascii="Arial Narrow" w:hAnsi="Arial Narrow"/>
                <w:smallCaps/>
                <w:sz w:val="20"/>
              </w:rPr>
              <w:t xml:space="preserve">+ </w:t>
            </w:r>
            <w:r w:rsidRPr="00961B75">
              <w:rPr>
                <w:rFonts w:ascii="Arial Narrow" w:hAnsi="Arial Narrow"/>
                <w:smallCaps/>
                <w:sz w:val="20"/>
              </w:rPr>
              <w:t>ombitasvir</w:t>
            </w:r>
          </w:p>
          <w:p w:rsidR="00A91287" w:rsidRPr="00961B75" w:rsidRDefault="005B7151" w:rsidP="00D118BF">
            <w:pPr>
              <w:keepNext/>
              <w:widowControl/>
              <w:rPr>
                <w:rFonts w:ascii="Arial Narrow" w:hAnsi="Arial Narrow"/>
                <w:b/>
                <w:bCs/>
                <w:sz w:val="20"/>
              </w:rPr>
            </w:pPr>
            <w:r w:rsidRPr="00961B75">
              <w:rPr>
                <w:rFonts w:ascii="Arial Narrow" w:hAnsi="Arial Narrow"/>
                <w:sz w:val="20"/>
              </w:rPr>
              <w:t>P</w:t>
            </w:r>
            <w:r w:rsidR="00FA2EC3" w:rsidRPr="00961B75">
              <w:rPr>
                <w:rFonts w:ascii="Arial Narrow" w:hAnsi="Arial Narrow"/>
                <w:sz w:val="20"/>
              </w:rPr>
              <w:t>aritaprevir 75 mg + ritonavir 50 mg + ombitasvir 12.5 mg tablet</w:t>
            </w:r>
          </w:p>
        </w:tc>
        <w:tc>
          <w:tcPr>
            <w:tcW w:w="525" w:type="pct"/>
            <w:vAlign w:val="center"/>
          </w:tcPr>
          <w:p w:rsidR="00A91287" w:rsidRPr="00961B75" w:rsidRDefault="00A91287" w:rsidP="00D118BF">
            <w:pPr>
              <w:keepNext/>
              <w:widowControl/>
              <w:jc w:val="center"/>
              <w:rPr>
                <w:rFonts w:ascii="Arial Narrow" w:hAnsi="Arial Narrow"/>
                <w:sz w:val="20"/>
              </w:rPr>
            </w:pPr>
            <w:r w:rsidRPr="00961B75">
              <w:rPr>
                <w:rFonts w:ascii="Arial Narrow" w:hAnsi="Arial Narrow"/>
                <w:sz w:val="20"/>
              </w:rPr>
              <w:t>56</w:t>
            </w:r>
          </w:p>
        </w:tc>
        <w:tc>
          <w:tcPr>
            <w:tcW w:w="493" w:type="pct"/>
            <w:gridSpan w:val="2"/>
            <w:vAlign w:val="center"/>
          </w:tcPr>
          <w:p w:rsidR="00A91287" w:rsidRPr="00961B75" w:rsidRDefault="00FA2EC3" w:rsidP="00D118BF">
            <w:pPr>
              <w:keepNext/>
              <w:widowControl/>
              <w:jc w:val="center"/>
              <w:rPr>
                <w:rFonts w:ascii="Arial Narrow" w:hAnsi="Arial Narrow"/>
                <w:sz w:val="20"/>
              </w:rPr>
            </w:pPr>
            <w:r w:rsidRPr="00961B75">
              <w:rPr>
                <w:rFonts w:ascii="Arial Narrow" w:hAnsi="Arial Narrow"/>
                <w:sz w:val="20"/>
              </w:rPr>
              <w:t>1</w:t>
            </w:r>
          </w:p>
        </w:tc>
        <w:tc>
          <w:tcPr>
            <w:tcW w:w="509" w:type="pct"/>
            <w:vAlign w:val="center"/>
          </w:tcPr>
          <w:p w:rsidR="00A91287" w:rsidRPr="00961B75" w:rsidRDefault="00A91287" w:rsidP="00D118BF">
            <w:pPr>
              <w:keepNext/>
              <w:widowControl/>
              <w:jc w:val="center"/>
              <w:rPr>
                <w:rFonts w:ascii="Arial Narrow" w:hAnsi="Arial Narrow"/>
                <w:sz w:val="20"/>
              </w:rPr>
            </w:pPr>
            <w:r w:rsidRPr="00961B75">
              <w:rPr>
                <w:rFonts w:ascii="Arial Narrow" w:hAnsi="Arial Narrow"/>
                <w:sz w:val="20"/>
              </w:rPr>
              <w:t>2</w:t>
            </w:r>
          </w:p>
        </w:tc>
        <w:tc>
          <w:tcPr>
            <w:tcW w:w="933" w:type="pct"/>
            <w:vAlign w:val="center"/>
            <w:hideMark/>
          </w:tcPr>
          <w:p w:rsidR="00A91287" w:rsidRPr="00961B75" w:rsidRDefault="00A91287" w:rsidP="00D118BF">
            <w:pPr>
              <w:keepNext/>
              <w:widowControl/>
              <w:jc w:val="center"/>
              <w:rPr>
                <w:rFonts w:ascii="Arial Narrow" w:hAnsi="Arial Narrow"/>
                <w:sz w:val="20"/>
              </w:rPr>
            </w:pPr>
            <w:proofErr w:type="spellStart"/>
            <w:r w:rsidRPr="00961B75">
              <w:rPr>
                <w:rFonts w:ascii="Arial Narrow" w:hAnsi="Arial Narrow"/>
                <w:sz w:val="20"/>
              </w:rPr>
              <w:t>Technivie</w:t>
            </w:r>
            <w:proofErr w:type="spellEnd"/>
            <w:r w:rsidRPr="00961B75">
              <w:rPr>
                <w:rFonts w:ascii="Arial Narrow" w:hAnsi="Arial Narrow"/>
                <w:sz w:val="20"/>
              </w:rPr>
              <w:t>®</w:t>
            </w:r>
          </w:p>
        </w:tc>
        <w:tc>
          <w:tcPr>
            <w:tcW w:w="848" w:type="pct"/>
            <w:gridSpan w:val="2"/>
            <w:vAlign w:val="center"/>
            <w:hideMark/>
          </w:tcPr>
          <w:p w:rsidR="00A91287" w:rsidRPr="00961B75" w:rsidRDefault="00A91287" w:rsidP="00D118BF">
            <w:pPr>
              <w:keepNext/>
              <w:widowControl/>
              <w:jc w:val="center"/>
              <w:rPr>
                <w:rFonts w:ascii="Arial Narrow" w:hAnsi="Arial Narrow"/>
                <w:sz w:val="20"/>
              </w:rPr>
            </w:pPr>
            <w:proofErr w:type="spellStart"/>
            <w:r w:rsidRPr="00961B75">
              <w:rPr>
                <w:rFonts w:ascii="Arial Narrow" w:hAnsi="Arial Narrow"/>
                <w:sz w:val="20"/>
              </w:rPr>
              <w:t>AbbVie</w:t>
            </w:r>
            <w:proofErr w:type="spellEnd"/>
            <w:r w:rsidRPr="00961B75">
              <w:rPr>
                <w:rFonts w:ascii="Arial Narrow" w:hAnsi="Arial Narrow"/>
                <w:sz w:val="20"/>
              </w:rPr>
              <w:t xml:space="preserve"> Pty Ltd</w:t>
            </w:r>
          </w:p>
        </w:tc>
      </w:tr>
      <w:tr w:rsidR="00B67119" w:rsidRPr="00961B75" w:rsidTr="00360BC8">
        <w:tblPrEx>
          <w:tblCellMar>
            <w:left w:w="108" w:type="dxa"/>
            <w:right w:w="108" w:type="dxa"/>
          </w:tblCellMar>
          <w:tblLook w:val="0000" w:firstRow="0" w:lastRow="0" w:firstColumn="0" w:lastColumn="0" w:noHBand="0" w:noVBand="0"/>
        </w:tblPrEx>
        <w:trPr>
          <w:gridAfter w:val="1"/>
          <w:wAfter w:w="7" w:type="pct"/>
          <w:cantSplit/>
          <w:trHeight w:val="20"/>
        </w:trPr>
        <w:tc>
          <w:tcPr>
            <w:tcW w:w="1267" w:type="pct"/>
            <w:tcBorders>
              <w:top w:val="single" w:sz="4" w:space="0" w:color="auto"/>
              <w:left w:val="single" w:sz="4" w:space="0" w:color="auto"/>
              <w:bottom w:val="single" w:sz="4" w:space="0" w:color="auto"/>
              <w:right w:val="single" w:sz="4" w:space="0" w:color="auto"/>
            </w:tcBorders>
          </w:tcPr>
          <w:p w:rsidR="00B67119" w:rsidRPr="00961B75" w:rsidRDefault="00B67119" w:rsidP="00B67119">
            <w:pPr>
              <w:rPr>
                <w:rFonts w:ascii="Arial Narrow" w:hAnsi="Arial Narrow"/>
                <w:b/>
                <w:sz w:val="20"/>
              </w:rPr>
            </w:pPr>
            <w:r w:rsidRPr="00961B75">
              <w:rPr>
                <w:rFonts w:ascii="Arial Narrow" w:hAnsi="Arial Narrow"/>
                <w:b/>
                <w:sz w:val="20"/>
              </w:rPr>
              <w:t>Category /  Program</w:t>
            </w:r>
            <w:r w:rsidR="00311B3B" w:rsidRPr="00961B75">
              <w:rPr>
                <w:rFonts w:ascii="Arial Narrow" w:hAnsi="Arial Narrow"/>
                <w:b/>
                <w:sz w:val="20"/>
              </w:rPr>
              <w:t>:</w:t>
            </w:r>
          </w:p>
        </w:tc>
        <w:tc>
          <w:tcPr>
            <w:tcW w:w="3726" w:type="pct"/>
            <w:gridSpan w:val="7"/>
            <w:tcBorders>
              <w:top w:val="single" w:sz="4" w:space="0" w:color="auto"/>
              <w:left w:val="single" w:sz="4" w:space="0" w:color="auto"/>
              <w:bottom w:val="single" w:sz="4" w:space="0" w:color="auto"/>
              <w:right w:val="single" w:sz="4" w:space="0" w:color="auto"/>
            </w:tcBorders>
          </w:tcPr>
          <w:p w:rsidR="00B67119" w:rsidRPr="00961B75" w:rsidRDefault="00B67119" w:rsidP="00D118BF">
            <w:pPr>
              <w:rPr>
                <w:rFonts w:ascii="Arial Narrow" w:hAnsi="Arial Narrow"/>
                <w:sz w:val="20"/>
              </w:rPr>
            </w:pPr>
            <w:r w:rsidRPr="00961B75">
              <w:rPr>
                <w:rFonts w:ascii="Arial Narrow" w:hAnsi="Arial Narrow"/>
                <w:sz w:val="20"/>
              </w:rPr>
              <w:t>GENERAL – General Schedule (Code GE)</w:t>
            </w:r>
          </w:p>
          <w:p w:rsidR="00B67119" w:rsidRPr="00961B75" w:rsidRDefault="00B67119" w:rsidP="00D118BF">
            <w:pPr>
              <w:rPr>
                <w:rFonts w:ascii="Arial Narrow" w:hAnsi="Arial Narrow"/>
                <w:sz w:val="20"/>
              </w:rPr>
            </w:pPr>
            <w:r w:rsidRPr="00961B75">
              <w:rPr>
                <w:rFonts w:ascii="Arial Narrow" w:hAnsi="Arial Narrow"/>
                <w:sz w:val="20"/>
              </w:rPr>
              <w:t>Section 100 – Highly Specialised Drugs Program</w:t>
            </w:r>
          </w:p>
        </w:tc>
      </w:tr>
      <w:tr w:rsidR="00B67119" w:rsidRPr="00961B75" w:rsidTr="00360BC8">
        <w:tblPrEx>
          <w:tblCellMar>
            <w:left w:w="108" w:type="dxa"/>
            <w:right w:w="108" w:type="dxa"/>
          </w:tblCellMar>
          <w:tblLook w:val="0000" w:firstRow="0" w:lastRow="0" w:firstColumn="0" w:lastColumn="0" w:noHBand="0" w:noVBand="0"/>
        </w:tblPrEx>
        <w:trPr>
          <w:gridAfter w:val="1"/>
          <w:wAfter w:w="7" w:type="pct"/>
          <w:cantSplit/>
          <w:trHeight w:val="20"/>
        </w:trPr>
        <w:tc>
          <w:tcPr>
            <w:tcW w:w="1267" w:type="pct"/>
            <w:tcBorders>
              <w:top w:val="single" w:sz="4" w:space="0" w:color="auto"/>
              <w:left w:val="single" w:sz="4" w:space="0" w:color="auto"/>
              <w:bottom w:val="single" w:sz="4" w:space="0" w:color="auto"/>
              <w:right w:val="single" w:sz="4" w:space="0" w:color="auto"/>
            </w:tcBorders>
          </w:tcPr>
          <w:p w:rsidR="00B67119" w:rsidRPr="00961B75" w:rsidRDefault="00B67119" w:rsidP="00AF0892">
            <w:pPr>
              <w:rPr>
                <w:rFonts w:ascii="Arial Narrow" w:hAnsi="Arial Narrow"/>
                <w:b/>
                <w:sz w:val="20"/>
              </w:rPr>
            </w:pPr>
            <w:r w:rsidRPr="00961B75">
              <w:rPr>
                <w:rFonts w:ascii="Arial Narrow" w:hAnsi="Arial Narrow"/>
                <w:b/>
                <w:sz w:val="20"/>
              </w:rPr>
              <w:t>Prescriber type:</w:t>
            </w:r>
          </w:p>
        </w:tc>
        <w:tc>
          <w:tcPr>
            <w:tcW w:w="3726" w:type="pct"/>
            <w:gridSpan w:val="7"/>
            <w:tcBorders>
              <w:top w:val="single" w:sz="4" w:space="0" w:color="auto"/>
              <w:left w:val="single" w:sz="4" w:space="0" w:color="auto"/>
              <w:bottom w:val="single" w:sz="4" w:space="0" w:color="auto"/>
              <w:right w:val="single" w:sz="4" w:space="0" w:color="auto"/>
            </w:tcBorders>
          </w:tcPr>
          <w:p w:rsidR="00B67119" w:rsidRPr="00961B75" w:rsidRDefault="00575B11" w:rsidP="00575B11">
            <w:pPr>
              <w:rPr>
                <w:rFonts w:ascii="Arial Narrow" w:hAnsi="Arial Narrow"/>
                <w:sz w:val="20"/>
              </w:rPr>
            </w:pPr>
            <w:r w:rsidRPr="00961B75">
              <w:rPr>
                <w:rFonts w:ascii="Arial Narrow" w:hAnsi="Arial Narrow"/>
                <w:sz w:val="20"/>
              </w:rPr>
              <w:fldChar w:fldCharType="begin">
                <w:ffData>
                  <w:name w:val=""/>
                  <w:enabled/>
                  <w:calcOnExit w:val="0"/>
                  <w:checkBox>
                    <w:sizeAuto/>
                    <w:default w:val="1"/>
                  </w:checkBox>
                </w:ffData>
              </w:fldChar>
            </w:r>
            <w:r w:rsidRPr="00961B75">
              <w:rPr>
                <w:rFonts w:ascii="Arial Narrow" w:hAnsi="Arial Narrow"/>
                <w:sz w:val="20"/>
              </w:rPr>
              <w:instrText xml:space="preserve"> FORMCHECKBOX </w:instrText>
            </w:r>
            <w:r w:rsidR="00AB0D7F">
              <w:rPr>
                <w:rFonts w:ascii="Arial Narrow" w:hAnsi="Arial Narrow"/>
                <w:sz w:val="20"/>
              </w:rPr>
            </w:r>
            <w:r w:rsidR="00AB0D7F">
              <w:rPr>
                <w:rFonts w:ascii="Arial Narrow" w:hAnsi="Arial Narrow"/>
                <w:sz w:val="20"/>
              </w:rPr>
              <w:fldChar w:fldCharType="separate"/>
            </w:r>
            <w:r w:rsidRPr="00961B75">
              <w:rPr>
                <w:rFonts w:ascii="Arial Narrow" w:hAnsi="Arial Narrow"/>
                <w:sz w:val="20"/>
              </w:rPr>
              <w:fldChar w:fldCharType="end"/>
            </w:r>
            <w:r w:rsidR="00B67119" w:rsidRPr="00961B75">
              <w:rPr>
                <w:rFonts w:ascii="Arial Narrow" w:hAnsi="Arial Narrow"/>
                <w:sz w:val="20"/>
              </w:rPr>
              <w:t xml:space="preserve">Medical Practitioners  </w:t>
            </w:r>
            <w:r w:rsidRPr="00961B75">
              <w:rPr>
                <w:rFonts w:ascii="Arial Narrow" w:hAnsi="Arial Narrow"/>
                <w:sz w:val="20"/>
              </w:rPr>
              <w:fldChar w:fldCharType="begin">
                <w:ffData>
                  <w:name w:val=""/>
                  <w:enabled/>
                  <w:calcOnExit w:val="0"/>
                  <w:checkBox>
                    <w:sizeAuto/>
                    <w:default w:val="1"/>
                  </w:checkBox>
                </w:ffData>
              </w:fldChar>
            </w:r>
            <w:r w:rsidRPr="00961B75">
              <w:rPr>
                <w:rFonts w:ascii="Arial Narrow" w:hAnsi="Arial Narrow"/>
                <w:sz w:val="20"/>
              </w:rPr>
              <w:instrText xml:space="preserve"> FORMCHECKBOX </w:instrText>
            </w:r>
            <w:r w:rsidR="00AB0D7F">
              <w:rPr>
                <w:rFonts w:ascii="Arial Narrow" w:hAnsi="Arial Narrow"/>
                <w:sz w:val="20"/>
              </w:rPr>
            </w:r>
            <w:r w:rsidR="00AB0D7F">
              <w:rPr>
                <w:rFonts w:ascii="Arial Narrow" w:hAnsi="Arial Narrow"/>
                <w:sz w:val="20"/>
              </w:rPr>
              <w:fldChar w:fldCharType="separate"/>
            </w:r>
            <w:r w:rsidRPr="00961B75">
              <w:rPr>
                <w:rFonts w:ascii="Arial Narrow" w:hAnsi="Arial Narrow"/>
                <w:sz w:val="20"/>
              </w:rPr>
              <w:fldChar w:fldCharType="end"/>
            </w:r>
            <w:r w:rsidR="00B67119" w:rsidRPr="00961B75">
              <w:rPr>
                <w:rFonts w:ascii="Arial Narrow" w:hAnsi="Arial Narrow"/>
                <w:sz w:val="20"/>
              </w:rPr>
              <w:t xml:space="preserve">Nurse practitioners </w:t>
            </w:r>
            <w:r w:rsidRPr="00961B75">
              <w:rPr>
                <w:rFonts w:ascii="Arial Narrow" w:hAnsi="Arial Narrow"/>
                <w:sz w:val="20"/>
              </w:rPr>
              <w:t>(GE listing only)</w:t>
            </w:r>
          </w:p>
        </w:tc>
      </w:tr>
      <w:tr w:rsidR="00B67119" w:rsidRPr="00961B75" w:rsidTr="00360BC8">
        <w:tblPrEx>
          <w:tblCellMar>
            <w:left w:w="108" w:type="dxa"/>
            <w:right w:w="108" w:type="dxa"/>
          </w:tblCellMar>
          <w:tblLook w:val="0000" w:firstRow="0" w:lastRow="0" w:firstColumn="0" w:lastColumn="0" w:noHBand="0" w:noVBand="0"/>
        </w:tblPrEx>
        <w:trPr>
          <w:gridAfter w:val="1"/>
          <w:wAfter w:w="7" w:type="pct"/>
          <w:cantSplit/>
          <w:trHeight w:val="20"/>
        </w:trPr>
        <w:tc>
          <w:tcPr>
            <w:tcW w:w="1267" w:type="pct"/>
            <w:tcBorders>
              <w:top w:val="single" w:sz="4" w:space="0" w:color="auto"/>
              <w:left w:val="single" w:sz="4" w:space="0" w:color="auto"/>
              <w:bottom w:val="single" w:sz="4" w:space="0" w:color="auto"/>
              <w:right w:val="single" w:sz="4" w:space="0" w:color="auto"/>
            </w:tcBorders>
          </w:tcPr>
          <w:p w:rsidR="00B67119" w:rsidRPr="00961B75" w:rsidRDefault="00B67119" w:rsidP="00D118BF">
            <w:pPr>
              <w:rPr>
                <w:rFonts w:ascii="Arial Narrow" w:hAnsi="Arial Narrow"/>
                <w:b/>
                <w:sz w:val="20"/>
              </w:rPr>
            </w:pPr>
            <w:r w:rsidRPr="00961B75">
              <w:rPr>
                <w:rFonts w:ascii="Arial Narrow" w:hAnsi="Arial Narrow"/>
                <w:b/>
                <w:sz w:val="20"/>
              </w:rPr>
              <w:t>PBS Indication:</w:t>
            </w:r>
          </w:p>
        </w:tc>
        <w:tc>
          <w:tcPr>
            <w:tcW w:w="3726" w:type="pct"/>
            <w:gridSpan w:val="7"/>
            <w:tcBorders>
              <w:top w:val="single" w:sz="4" w:space="0" w:color="auto"/>
              <w:left w:val="single" w:sz="4" w:space="0" w:color="auto"/>
              <w:bottom w:val="single" w:sz="4" w:space="0" w:color="auto"/>
              <w:right w:val="single" w:sz="4" w:space="0" w:color="auto"/>
            </w:tcBorders>
          </w:tcPr>
          <w:p w:rsidR="00B67119" w:rsidRPr="00961B75" w:rsidRDefault="00B67119" w:rsidP="00D118BF">
            <w:pPr>
              <w:rPr>
                <w:rFonts w:ascii="Arial Narrow" w:hAnsi="Arial Narrow"/>
                <w:sz w:val="20"/>
              </w:rPr>
            </w:pPr>
            <w:r w:rsidRPr="00961B75">
              <w:rPr>
                <w:rFonts w:ascii="Arial Narrow" w:hAnsi="Arial Narrow"/>
                <w:sz w:val="20"/>
              </w:rPr>
              <w:t>Chronic hepatitis C infection</w:t>
            </w:r>
          </w:p>
        </w:tc>
      </w:tr>
      <w:tr w:rsidR="00B67119" w:rsidRPr="00961B75" w:rsidTr="00360BC8">
        <w:tblPrEx>
          <w:tblCellMar>
            <w:left w:w="108" w:type="dxa"/>
            <w:right w:w="108" w:type="dxa"/>
          </w:tblCellMar>
          <w:tblLook w:val="0000" w:firstRow="0" w:lastRow="0" w:firstColumn="0" w:lastColumn="0" w:noHBand="0" w:noVBand="0"/>
        </w:tblPrEx>
        <w:trPr>
          <w:gridAfter w:val="1"/>
          <w:wAfter w:w="7" w:type="pct"/>
          <w:cantSplit/>
          <w:trHeight w:val="20"/>
        </w:trPr>
        <w:tc>
          <w:tcPr>
            <w:tcW w:w="1267" w:type="pct"/>
            <w:tcBorders>
              <w:top w:val="single" w:sz="4" w:space="0" w:color="auto"/>
              <w:left w:val="single" w:sz="4" w:space="0" w:color="auto"/>
              <w:bottom w:val="single" w:sz="4" w:space="0" w:color="auto"/>
              <w:right w:val="single" w:sz="4" w:space="0" w:color="auto"/>
            </w:tcBorders>
          </w:tcPr>
          <w:p w:rsidR="00B67119" w:rsidRPr="00961B75" w:rsidRDefault="00B67119" w:rsidP="00311B3B">
            <w:pPr>
              <w:jc w:val="left"/>
              <w:rPr>
                <w:rFonts w:ascii="Arial Narrow" w:hAnsi="Arial Narrow"/>
                <w:i/>
                <w:sz w:val="20"/>
              </w:rPr>
            </w:pPr>
            <w:r w:rsidRPr="00961B75">
              <w:rPr>
                <w:rFonts w:ascii="Arial Narrow" w:hAnsi="Arial Narrow"/>
                <w:b/>
                <w:sz w:val="20"/>
              </w:rPr>
              <w:t>Restriction Level / Method:</w:t>
            </w:r>
          </w:p>
        </w:tc>
        <w:tc>
          <w:tcPr>
            <w:tcW w:w="3726" w:type="pct"/>
            <w:gridSpan w:val="7"/>
            <w:tcBorders>
              <w:top w:val="single" w:sz="4" w:space="0" w:color="auto"/>
              <w:left w:val="single" w:sz="4" w:space="0" w:color="auto"/>
              <w:bottom w:val="single" w:sz="4" w:space="0" w:color="auto"/>
              <w:right w:val="single" w:sz="4" w:space="0" w:color="auto"/>
            </w:tcBorders>
          </w:tcPr>
          <w:p w:rsidR="00B67119" w:rsidRPr="00961B75" w:rsidRDefault="00B67119" w:rsidP="00D118BF">
            <w:pPr>
              <w:rPr>
                <w:rFonts w:ascii="Arial Narrow" w:hAnsi="Arial Narrow"/>
                <w:sz w:val="20"/>
              </w:rPr>
            </w:pPr>
            <w:r w:rsidRPr="00961B75">
              <w:rPr>
                <w:rFonts w:ascii="Arial Narrow" w:hAnsi="Arial Narrow"/>
                <w:sz w:val="20"/>
              </w:rPr>
              <w:fldChar w:fldCharType="begin">
                <w:ffData>
                  <w:name w:val=""/>
                  <w:enabled/>
                  <w:calcOnExit w:val="0"/>
                  <w:checkBox>
                    <w:sizeAuto/>
                    <w:default w:val="1"/>
                  </w:checkBox>
                </w:ffData>
              </w:fldChar>
            </w:r>
            <w:r w:rsidRPr="00961B75">
              <w:rPr>
                <w:rFonts w:ascii="Arial Narrow" w:hAnsi="Arial Narrow"/>
                <w:sz w:val="20"/>
              </w:rPr>
              <w:instrText xml:space="preserve"> FORMCHECKBOX </w:instrText>
            </w:r>
            <w:r w:rsidR="00AB0D7F">
              <w:rPr>
                <w:rFonts w:ascii="Arial Narrow" w:hAnsi="Arial Narrow"/>
                <w:sz w:val="20"/>
              </w:rPr>
            </w:r>
            <w:r w:rsidR="00AB0D7F">
              <w:rPr>
                <w:rFonts w:ascii="Arial Narrow" w:hAnsi="Arial Narrow"/>
                <w:sz w:val="20"/>
              </w:rPr>
              <w:fldChar w:fldCharType="separate"/>
            </w:r>
            <w:r w:rsidRPr="00961B75">
              <w:rPr>
                <w:rFonts w:ascii="Arial Narrow" w:hAnsi="Arial Narrow"/>
                <w:sz w:val="20"/>
              </w:rPr>
              <w:fldChar w:fldCharType="end"/>
            </w:r>
            <w:r w:rsidRPr="00961B75">
              <w:rPr>
                <w:rFonts w:ascii="Arial Narrow" w:hAnsi="Arial Narrow"/>
                <w:sz w:val="20"/>
              </w:rPr>
              <w:t>Authority Required - In Writing</w:t>
            </w:r>
          </w:p>
          <w:p w:rsidR="00B67119" w:rsidRPr="00961B75" w:rsidRDefault="00B67119" w:rsidP="00D118BF">
            <w:pPr>
              <w:rPr>
                <w:rFonts w:ascii="Arial Narrow" w:hAnsi="Arial Narrow"/>
                <w:sz w:val="20"/>
              </w:rPr>
            </w:pPr>
            <w:r w:rsidRPr="00961B75">
              <w:rPr>
                <w:rFonts w:ascii="Arial Narrow" w:hAnsi="Arial Narrow"/>
                <w:sz w:val="20"/>
              </w:rPr>
              <w:fldChar w:fldCharType="begin">
                <w:ffData>
                  <w:name w:val="Check3"/>
                  <w:enabled/>
                  <w:calcOnExit w:val="0"/>
                  <w:checkBox>
                    <w:sizeAuto/>
                    <w:default w:val="1"/>
                  </w:checkBox>
                </w:ffData>
              </w:fldChar>
            </w:r>
            <w:bookmarkStart w:id="18" w:name="Check3"/>
            <w:r w:rsidRPr="00961B75">
              <w:rPr>
                <w:rFonts w:ascii="Arial Narrow" w:hAnsi="Arial Narrow"/>
                <w:sz w:val="20"/>
              </w:rPr>
              <w:instrText xml:space="preserve"> FORMCHECKBOX </w:instrText>
            </w:r>
            <w:r w:rsidR="00AB0D7F">
              <w:rPr>
                <w:rFonts w:ascii="Arial Narrow" w:hAnsi="Arial Narrow"/>
                <w:sz w:val="20"/>
              </w:rPr>
            </w:r>
            <w:r w:rsidR="00AB0D7F">
              <w:rPr>
                <w:rFonts w:ascii="Arial Narrow" w:hAnsi="Arial Narrow"/>
                <w:sz w:val="20"/>
              </w:rPr>
              <w:fldChar w:fldCharType="separate"/>
            </w:r>
            <w:r w:rsidRPr="00961B75">
              <w:rPr>
                <w:rFonts w:ascii="Arial Narrow" w:hAnsi="Arial Narrow"/>
                <w:sz w:val="20"/>
              </w:rPr>
              <w:fldChar w:fldCharType="end"/>
            </w:r>
            <w:bookmarkEnd w:id="18"/>
            <w:r w:rsidRPr="00961B75">
              <w:rPr>
                <w:rFonts w:ascii="Arial Narrow" w:hAnsi="Arial Narrow"/>
                <w:sz w:val="20"/>
              </w:rPr>
              <w:t>Authority Required - Telephone</w:t>
            </w:r>
          </w:p>
        </w:tc>
      </w:tr>
      <w:tr w:rsidR="00B67119" w:rsidRPr="00961B75" w:rsidTr="00360BC8">
        <w:tblPrEx>
          <w:tblCellMar>
            <w:left w:w="108" w:type="dxa"/>
            <w:right w:w="108" w:type="dxa"/>
          </w:tblCellMar>
          <w:tblLook w:val="0000" w:firstRow="0" w:lastRow="0" w:firstColumn="0" w:lastColumn="0" w:noHBand="0" w:noVBand="0"/>
        </w:tblPrEx>
        <w:trPr>
          <w:gridAfter w:val="1"/>
          <w:wAfter w:w="7" w:type="pct"/>
          <w:cantSplit/>
          <w:trHeight w:val="20"/>
        </w:trPr>
        <w:tc>
          <w:tcPr>
            <w:tcW w:w="1267" w:type="pct"/>
            <w:tcBorders>
              <w:top w:val="single" w:sz="4" w:space="0" w:color="auto"/>
              <w:left w:val="single" w:sz="4" w:space="0" w:color="auto"/>
              <w:bottom w:val="single" w:sz="4" w:space="0" w:color="auto"/>
              <w:right w:val="single" w:sz="4" w:space="0" w:color="auto"/>
            </w:tcBorders>
          </w:tcPr>
          <w:p w:rsidR="00B67119" w:rsidRPr="00961B75" w:rsidRDefault="00B67119" w:rsidP="00D118BF">
            <w:pPr>
              <w:rPr>
                <w:rFonts w:ascii="Arial Narrow" w:hAnsi="Arial Narrow"/>
                <w:b/>
                <w:sz w:val="20"/>
              </w:rPr>
            </w:pPr>
            <w:r w:rsidRPr="00961B75">
              <w:rPr>
                <w:rFonts w:ascii="Arial Narrow" w:hAnsi="Arial Narrow"/>
                <w:b/>
                <w:sz w:val="20"/>
              </w:rPr>
              <w:t>Clinical criteria:</w:t>
            </w:r>
          </w:p>
          <w:p w:rsidR="00B67119" w:rsidRPr="00961B75" w:rsidRDefault="00B67119" w:rsidP="00311B3B">
            <w:pPr>
              <w:rPr>
                <w:rFonts w:ascii="Arial Narrow" w:hAnsi="Arial Narrow"/>
                <w:sz w:val="20"/>
              </w:rPr>
            </w:pPr>
          </w:p>
        </w:tc>
        <w:tc>
          <w:tcPr>
            <w:tcW w:w="3726" w:type="pct"/>
            <w:gridSpan w:val="7"/>
            <w:tcBorders>
              <w:top w:val="single" w:sz="4" w:space="0" w:color="auto"/>
              <w:left w:val="single" w:sz="4" w:space="0" w:color="auto"/>
              <w:bottom w:val="single" w:sz="4" w:space="0" w:color="auto"/>
              <w:right w:val="single" w:sz="4" w:space="0" w:color="auto"/>
            </w:tcBorders>
          </w:tcPr>
          <w:p w:rsidR="00B67119" w:rsidRPr="00961B75" w:rsidRDefault="00C1399E" w:rsidP="00D118BF">
            <w:pPr>
              <w:rPr>
                <w:rFonts w:ascii="Arial Narrow" w:hAnsi="Arial Narrow"/>
                <w:sz w:val="20"/>
              </w:rPr>
            </w:pPr>
            <w:r w:rsidRPr="00961B75">
              <w:rPr>
                <w:rFonts w:ascii="Arial Narrow" w:hAnsi="Arial Narrow"/>
                <w:sz w:val="20"/>
              </w:rPr>
              <w:t>Patient must meet the criteria set out in the General Statement for Drugs for the Treatment of Hepatitis C,</w:t>
            </w:r>
          </w:p>
          <w:p w:rsidR="00C1399E" w:rsidRPr="00961B75" w:rsidRDefault="00C1399E" w:rsidP="00D118BF">
            <w:pPr>
              <w:rPr>
                <w:rFonts w:ascii="Arial Narrow" w:hAnsi="Arial Narrow"/>
                <w:sz w:val="20"/>
              </w:rPr>
            </w:pPr>
            <w:r w:rsidRPr="00961B75">
              <w:rPr>
                <w:rFonts w:ascii="Arial Narrow" w:hAnsi="Arial Narrow"/>
                <w:sz w:val="20"/>
              </w:rPr>
              <w:t>AND</w:t>
            </w:r>
          </w:p>
          <w:p w:rsidR="00C1399E" w:rsidRPr="00961B75" w:rsidRDefault="00C1399E" w:rsidP="00D118BF">
            <w:pPr>
              <w:rPr>
                <w:rFonts w:ascii="Arial Narrow" w:hAnsi="Arial Narrow"/>
                <w:sz w:val="20"/>
              </w:rPr>
            </w:pPr>
            <w:r w:rsidRPr="00961B75">
              <w:rPr>
                <w:rFonts w:ascii="Arial Narrow" w:hAnsi="Arial Narrow"/>
                <w:sz w:val="20"/>
              </w:rPr>
              <w:t>Patient must be taking this drug as part of a regimen set out in the matrix in the General Statement for Drugs for the Treatment of Hepatitis C, based on the hepatitis C virus genotype, patient treatment history and cirrhotic status,</w:t>
            </w:r>
          </w:p>
          <w:p w:rsidR="00C1399E" w:rsidRPr="00961B75" w:rsidRDefault="00C1399E" w:rsidP="00D118BF">
            <w:pPr>
              <w:rPr>
                <w:rFonts w:ascii="Arial Narrow" w:hAnsi="Arial Narrow"/>
                <w:sz w:val="20"/>
              </w:rPr>
            </w:pPr>
            <w:r w:rsidRPr="00961B75">
              <w:rPr>
                <w:rFonts w:ascii="Arial Narrow" w:hAnsi="Arial Narrow"/>
                <w:sz w:val="20"/>
              </w:rPr>
              <w:t>AND</w:t>
            </w:r>
          </w:p>
          <w:p w:rsidR="00B67119" w:rsidRPr="00961B75" w:rsidRDefault="00C1399E" w:rsidP="00311B3B">
            <w:pPr>
              <w:rPr>
                <w:rFonts w:ascii="Arial Narrow" w:hAnsi="Arial Narrow"/>
                <w:sz w:val="20"/>
              </w:rPr>
            </w:pPr>
            <w:r w:rsidRPr="00961B75">
              <w:rPr>
                <w:rFonts w:ascii="Arial Narrow" w:hAnsi="Arial Narrow"/>
                <w:sz w:val="20"/>
              </w:rPr>
              <w:t>The treatment must be limited to a maximum duration of 12 weeks.</w:t>
            </w:r>
          </w:p>
        </w:tc>
      </w:tr>
      <w:tr w:rsidR="00B67119" w:rsidRPr="00961B75" w:rsidTr="00360BC8">
        <w:tblPrEx>
          <w:tblCellMar>
            <w:left w:w="108" w:type="dxa"/>
            <w:right w:w="108" w:type="dxa"/>
          </w:tblCellMar>
          <w:tblLook w:val="0000" w:firstRow="0" w:lastRow="0" w:firstColumn="0" w:lastColumn="0" w:noHBand="0" w:noVBand="0"/>
        </w:tblPrEx>
        <w:trPr>
          <w:gridAfter w:val="1"/>
          <w:wAfter w:w="7" w:type="pct"/>
          <w:cantSplit/>
          <w:trHeight w:val="20"/>
        </w:trPr>
        <w:tc>
          <w:tcPr>
            <w:tcW w:w="1267" w:type="pct"/>
            <w:tcBorders>
              <w:top w:val="single" w:sz="4" w:space="0" w:color="auto"/>
              <w:left w:val="single" w:sz="4" w:space="0" w:color="auto"/>
              <w:bottom w:val="single" w:sz="4" w:space="0" w:color="auto"/>
              <w:right w:val="single" w:sz="4" w:space="0" w:color="auto"/>
            </w:tcBorders>
          </w:tcPr>
          <w:p w:rsidR="00B67119" w:rsidRPr="00961B75" w:rsidRDefault="00B67119" w:rsidP="00D118BF">
            <w:pPr>
              <w:rPr>
                <w:rFonts w:ascii="Arial Narrow" w:hAnsi="Arial Narrow"/>
                <w:b/>
                <w:sz w:val="20"/>
              </w:rPr>
            </w:pPr>
            <w:r w:rsidRPr="00961B75">
              <w:rPr>
                <w:rFonts w:ascii="Arial Narrow" w:hAnsi="Arial Narrow"/>
                <w:b/>
                <w:sz w:val="20"/>
              </w:rPr>
              <w:t>Administrative Advice</w:t>
            </w:r>
          </w:p>
          <w:p w:rsidR="00B67119" w:rsidRPr="00961B75" w:rsidRDefault="00B67119" w:rsidP="00D118BF">
            <w:pPr>
              <w:rPr>
                <w:rFonts w:ascii="Arial Narrow" w:hAnsi="Arial Narrow"/>
                <w:i/>
                <w:sz w:val="20"/>
              </w:rPr>
            </w:pPr>
          </w:p>
        </w:tc>
        <w:tc>
          <w:tcPr>
            <w:tcW w:w="3726" w:type="pct"/>
            <w:gridSpan w:val="7"/>
            <w:tcBorders>
              <w:top w:val="single" w:sz="4" w:space="0" w:color="auto"/>
              <w:left w:val="single" w:sz="4" w:space="0" w:color="auto"/>
              <w:bottom w:val="single" w:sz="4" w:space="0" w:color="auto"/>
              <w:right w:val="single" w:sz="4" w:space="0" w:color="auto"/>
            </w:tcBorders>
          </w:tcPr>
          <w:p w:rsidR="00C1399E" w:rsidRPr="00961B75" w:rsidRDefault="00C1399E" w:rsidP="00D118BF">
            <w:pPr>
              <w:rPr>
                <w:rFonts w:ascii="Arial Narrow" w:hAnsi="Arial Narrow"/>
                <w:sz w:val="20"/>
              </w:rPr>
            </w:pPr>
            <w:r w:rsidRPr="00961B75">
              <w:rPr>
                <w:rFonts w:ascii="Arial Narrow" w:hAnsi="Arial Narrow"/>
                <w:sz w:val="20"/>
              </w:rPr>
              <w:t>No increase in the maximum quantity or number of units may be authorised.</w:t>
            </w:r>
          </w:p>
          <w:p w:rsidR="00B67119" w:rsidRPr="00961B75" w:rsidRDefault="00C1399E" w:rsidP="00C1399E">
            <w:pPr>
              <w:tabs>
                <w:tab w:val="left" w:pos="571"/>
              </w:tabs>
              <w:rPr>
                <w:rFonts w:ascii="Arial Narrow" w:hAnsi="Arial Narrow"/>
                <w:sz w:val="20"/>
              </w:rPr>
            </w:pPr>
            <w:r w:rsidRPr="00961B75">
              <w:rPr>
                <w:rFonts w:ascii="Arial Narrow" w:hAnsi="Arial Narrow"/>
                <w:sz w:val="20"/>
              </w:rPr>
              <w:t>No increase in the maximum number of repeats may be authorised.</w:t>
            </w:r>
          </w:p>
          <w:p w:rsidR="00C1399E" w:rsidRPr="00961B75" w:rsidRDefault="00C1399E" w:rsidP="00C1399E">
            <w:pPr>
              <w:tabs>
                <w:tab w:val="left" w:pos="571"/>
              </w:tabs>
              <w:rPr>
                <w:rFonts w:ascii="Arial Narrow" w:hAnsi="Arial Narrow"/>
                <w:sz w:val="20"/>
              </w:rPr>
            </w:pPr>
            <w:r w:rsidRPr="00961B75">
              <w:rPr>
                <w:rFonts w:ascii="Arial Narrow" w:hAnsi="Arial Narrow"/>
                <w:sz w:val="20"/>
              </w:rPr>
              <w:t>Special Pricing Arrangements apply.</w:t>
            </w:r>
          </w:p>
        </w:tc>
      </w:tr>
    </w:tbl>
    <w:p w:rsidR="00A91287" w:rsidRPr="00961B75" w:rsidRDefault="00A91287" w:rsidP="00E95062">
      <w:pPr>
        <w:widowControl/>
        <w:tabs>
          <w:tab w:val="left" w:pos="5387"/>
        </w:tabs>
      </w:pPr>
    </w:p>
    <w:p w:rsidR="0071592D" w:rsidRDefault="00EB7137" w:rsidP="007475DF">
      <w:pPr>
        <w:widowControl/>
        <w:tabs>
          <w:tab w:val="left" w:pos="709"/>
        </w:tabs>
        <w:ind w:left="680"/>
      </w:pPr>
      <w:r w:rsidRPr="00961B75">
        <w:t>Additions</w:t>
      </w:r>
      <w:r w:rsidR="0004383B" w:rsidRPr="00961B75">
        <w:t xml:space="preserve"> to the </w:t>
      </w:r>
      <w:r w:rsidR="0004383B" w:rsidRPr="00961B75">
        <w:rPr>
          <w:i/>
        </w:rPr>
        <w:t>General Statement for Drugs for the Treatment of Hepatitis C</w:t>
      </w:r>
      <w:r w:rsidR="0004383B" w:rsidRPr="00961B75">
        <w:t xml:space="preserve"> </w:t>
      </w:r>
      <w:r w:rsidR="00707D6D" w:rsidRPr="00961B75">
        <w:t>will</w:t>
      </w:r>
      <w:r w:rsidR="0004383B" w:rsidRPr="00961B75">
        <w:t xml:space="preserve"> be finalised following TGA registration.</w:t>
      </w:r>
    </w:p>
    <w:p w:rsidR="00963A67" w:rsidRDefault="00963A67" w:rsidP="007475DF">
      <w:pPr>
        <w:widowControl/>
        <w:tabs>
          <w:tab w:val="left" w:pos="709"/>
        </w:tabs>
        <w:ind w:left="680"/>
      </w:pPr>
    </w:p>
    <w:p w:rsidR="00782EAD" w:rsidRDefault="00782EAD" w:rsidP="007475DF">
      <w:pPr>
        <w:widowControl/>
        <w:tabs>
          <w:tab w:val="left" w:pos="709"/>
        </w:tabs>
        <w:ind w:left="680"/>
      </w:pPr>
    </w:p>
    <w:p w:rsidR="00782EAD" w:rsidRDefault="00782EAD" w:rsidP="007475DF">
      <w:pPr>
        <w:widowControl/>
        <w:tabs>
          <w:tab w:val="left" w:pos="709"/>
        </w:tabs>
        <w:ind w:left="680"/>
      </w:pPr>
    </w:p>
    <w:p w:rsidR="00782EAD" w:rsidRDefault="00782EAD" w:rsidP="007475DF">
      <w:pPr>
        <w:widowControl/>
        <w:tabs>
          <w:tab w:val="left" w:pos="709"/>
        </w:tabs>
        <w:ind w:left="680"/>
      </w:pPr>
    </w:p>
    <w:p w:rsidR="00782EAD" w:rsidRDefault="00782EAD" w:rsidP="007475DF">
      <w:pPr>
        <w:widowControl/>
        <w:tabs>
          <w:tab w:val="left" w:pos="709"/>
        </w:tabs>
        <w:ind w:left="680"/>
      </w:pPr>
    </w:p>
    <w:p w:rsidR="00963A67" w:rsidRPr="00570D4E" w:rsidRDefault="00963A67" w:rsidP="00963A67">
      <w:pPr>
        <w:pStyle w:val="PBACheading10"/>
        <w:numPr>
          <w:ilvl w:val="0"/>
          <w:numId w:val="1"/>
        </w:numPr>
      </w:pPr>
      <w:r w:rsidRPr="00485DD3">
        <w:t>Context for Decision</w:t>
      </w:r>
    </w:p>
    <w:p w:rsidR="00963A67" w:rsidRDefault="00963A67" w:rsidP="00963A67">
      <w:pPr>
        <w:ind w:left="426"/>
      </w:pPr>
    </w:p>
    <w:p w:rsidR="00963A67" w:rsidRDefault="00963A67" w:rsidP="00963A67">
      <w:pPr>
        <w:ind w:left="709"/>
      </w:pPr>
      <w:r w:rsidRPr="004304F6">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963A67" w:rsidRDefault="00963A67" w:rsidP="00963A67">
      <w:pPr>
        <w:ind w:left="426"/>
      </w:pPr>
    </w:p>
    <w:p w:rsidR="00963A67" w:rsidRPr="00570D4E" w:rsidRDefault="00963A67" w:rsidP="00963A67">
      <w:pPr>
        <w:pStyle w:val="PBACheading10"/>
        <w:numPr>
          <w:ilvl w:val="0"/>
          <w:numId w:val="1"/>
        </w:numPr>
      </w:pPr>
      <w:r w:rsidRPr="00485DD3">
        <w:t>Sponsor’s Comment</w:t>
      </w:r>
    </w:p>
    <w:p w:rsidR="00963A67" w:rsidRDefault="00963A67" w:rsidP="00963A67">
      <w:pPr>
        <w:ind w:left="426"/>
        <w:rPr>
          <w:bCs/>
          <w:highlight w:val="yellow"/>
          <w:lang w:val="en-GB"/>
        </w:rPr>
      </w:pPr>
    </w:p>
    <w:p w:rsidR="00A46FFA" w:rsidRDefault="00A46FFA" w:rsidP="00A46FFA">
      <w:pPr>
        <w:spacing w:after="120"/>
        <w:ind w:left="709"/>
        <w:rPr>
          <w:bCs/>
        </w:rPr>
      </w:pPr>
      <w:proofErr w:type="spellStart"/>
      <w:r>
        <w:rPr>
          <w:bCs/>
        </w:rPr>
        <w:t>AbbVie</w:t>
      </w:r>
      <w:proofErr w:type="spellEnd"/>
      <w:r>
        <w:rPr>
          <w:bCs/>
        </w:rPr>
        <w:t xml:space="preserve"> welcomes the decision of the PBAC.</w:t>
      </w:r>
    </w:p>
    <w:p w:rsidR="00963A67" w:rsidRPr="00961B75" w:rsidRDefault="00963A67" w:rsidP="007475DF">
      <w:pPr>
        <w:widowControl/>
        <w:tabs>
          <w:tab w:val="left" w:pos="709"/>
        </w:tabs>
        <w:ind w:left="680"/>
        <w:rPr>
          <w:highlight w:val="yellow"/>
        </w:rPr>
      </w:pPr>
    </w:p>
    <w:sectPr w:rsidR="00963A67" w:rsidRPr="00961B75" w:rsidSect="00436323">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233E" w:rsidRDefault="0040233E" w:rsidP="00124A51">
      <w:r>
        <w:separator/>
      </w:r>
    </w:p>
  </w:endnote>
  <w:endnote w:type="continuationSeparator" w:id="0">
    <w:p w:rsidR="0040233E" w:rsidRDefault="0040233E" w:rsidP="00124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233E" w:rsidRDefault="0040233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46EE" w:rsidRPr="00E95062" w:rsidRDefault="00A746EE" w:rsidP="00E95062">
    <w:pPr>
      <w:pStyle w:val="Footer"/>
      <w:ind w:left="360"/>
      <w:jc w:val="center"/>
      <w:rPr>
        <w:sz w:val="20"/>
      </w:rPr>
    </w:pPr>
    <w:r w:rsidRPr="00651169">
      <w:rPr>
        <w:sz w:val="20"/>
      </w:rPr>
      <w:fldChar w:fldCharType="begin"/>
    </w:r>
    <w:r w:rsidRPr="00651169">
      <w:rPr>
        <w:sz w:val="20"/>
      </w:rPr>
      <w:instrText xml:space="preserve"> PAGE   \* MERGEFORMAT </w:instrText>
    </w:r>
    <w:r w:rsidRPr="00651169">
      <w:rPr>
        <w:sz w:val="20"/>
      </w:rPr>
      <w:fldChar w:fldCharType="separate"/>
    </w:r>
    <w:r w:rsidR="00AB0D7F">
      <w:rPr>
        <w:noProof/>
        <w:sz w:val="20"/>
      </w:rPr>
      <w:t>2</w:t>
    </w:r>
    <w:r w:rsidRPr="00651169">
      <w:rPr>
        <w:noProof/>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233E" w:rsidRDefault="004023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233E" w:rsidRDefault="0040233E" w:rsidP="00124A51">
      <w:r>
        <w:separator/>
      </w:r>
    </w:p>
  </w:footnote>
  <w:footnote w:type="continuationSeparator" w:id="0">
    <w:p w:rsidR="0040233E" w:rsidRDefault="0040233E" w:rsidP="00124A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233E" w:rsidRDefault="0040233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46EE" w:rsidRPr="00DF217D" w:rsidRDefault="00A746EE" w:rsidP="00E95062">
    <w:pPr>
      <w:pStyle w:val="Header"/>
      <w:ind w:left="360"/>
      <w:jc w:val="center"/>
      <w:rPr>
        <w:i/>
        <w:color w:val="808080"/>
      </w:rPr>
    </w:pPr>
    <w:r>
      <w:rPr>
        <w:i/>
        <w:color w:val="808080"/>
      </w:rPr>
      <w:t xml:space="preserve">Public Summary Document </w:t>
    </w:r>
    <w:r w:rsidRPr="00DF217D">
      <w:rPr>
        <w:i/>
        <w:color w:val="808080"/>
      </w:rPr>
      <w:t xml:space="preserve">– </w:t>
    </w:r>
    <w:r>
      <w:rPr>
        <w:i/>
        <w:color w:val="808080"/>
      </w:rPr>
      <w:t xml:space="preserve">November 2016 </w:t>
    </w:r>
    <w:r w:rsidRPr="00DF217D">
      <w:rPr>
        <w:i/>
        <w:color w:val="808080"/>
      </w:rPr>
      <w:t>PBAC</w:t>
    </w:r>
    <w:r>
      <w:rPr>
        <w:i/>
        <w:color w:val="808080"/>
      </w:rPr>
      <w:t xml:space="preserve"> </w:t>
    </w:r>
    <w:r w:rsidRPr="00DF217D">
      <w:rPr>
        <w:i/>
        <w:color w:val="808080"/>
      </w:rPr>
      <w:t>Meeting</w:t>
    </w:r>
  </w:p>
  <w:p w:rsidR="00A746EE" w:rsidRDefault="00A746E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233E" w:rsidRDefault="0040233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81B1E04"/>
    <w:multiLevelType w:val="hybridMultilevel"/>
    <w:tmpl w:val="788E813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nsid w:val="08251767"/>
    <w:multiLevelType w:val="hybridMultilevel"/>
    <w:tmpl w:val="F7C262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1A492A4C"/>
    <w:multiLevelType w:val="hybridMultilevel"/>
    <w:tmpl w:val="C392728E"/>
    <w:lvl w:ilvl="0" w:tplc="0C090001">
      <w:start w:val="1"/>
      <w:numFmt w:val="bullet"/>
      <w:lvlText w:val=""/>
      <w:lvlJc w:val="left"/>
      <w:pPr>
        <w:ind w:left="1440" w:hanging="360"/>
      </w:pPr>
      <w:rPr>
        <w:rFonts w:ascii="Symbol" w:hAnsi="Symbol"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5">
    <w:nsid w:val="1D864F27"/>
    <w:multiLevelType w:val="multilevel"/>
    <w:tmpl w:val="7F44CD68"/>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bullet"/>
      <w:lvlText w:val=""/>
      <w:lvlJc w:val="left"/>
      <w:pPr>
        <w:ind w:left="1080" w:hanging="1080"/>
      </w:pPr>
      <w:rPr>
        <w:rFonts w:ascii="Symbol" w:hAnsi="Symbol"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252F39B6"/>
    <w:multiLevelType w:val="hybridMultilevel"/>
    <w:tmpl w:val="F39E93E4"/>
    <w:lvl w:ilvl="0" w:tplc="6A6C51D0">
      <w:start w:val="1"/>
      <w:numFmt w:val="bullet"/>
      <w:lvlText w:val="-"/>
      <w:lvlJc w:val="left"/>
      <w:pPr>
        <w:ind w:left="360" w:hanging="360"/>
      </w:pPr>
      <w:rPr>
        <w:rFonts w:ascii="Calibri" w:eastAsia="MS Gothic" w:hAnsi="Calibri"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nsid w:val="255E3AF1"/>
    <w:multiLevelType w:val="multilevel"/>
    <w:tmpl w:val="CFFCA654"/>
    <w:lvl w:ilvl="0">
      <w:start w:val="1"/>
      <w:numFmt w:val="bullet"/>
      <w:lvlText w:val=""/>
      <w:lvlJc w:val="left"/>
      <w:pPr>
        <w:ind w:left="720" w:hanging="720"/>
      </w:pPr>
      <w:rPr>
        <w:rFonts w:ascii="Symbol" w:hAnsi="Symbol" w:hint="default"/>
        <w:b/>
      </w:rPr>
    </w:lvl>
    <w:lvl w:ilvl="1">
      <w:start w:val="1"/>
      <w:numFmt w:val="decimal"/>
      <w:lvlText w:val="%1.%2"/>
      <w:lvlJc w:val="left"/>
      <w:pPr>
        <w:ind w:left="720" w:hanging="720"/>
      </w:pPr>
      <w:rPr>
        <w:rFonts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2B1154F2"/>
    <w:multiLevelType w:val="hybridMultilevel"/>
    <w:tmpl w:val="FB385BE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32A05CEB"/>
    <w:multiLevelType w:val="singleLevel"/>
    <w:tmpl w:val="0C090011"/>
    <w:lvl w:ilvl="0">
      <w:start w:val="1"/>
      <w:numFmt w:val="decimal"/>
      <w:lvlText w:val="%1)"/>
      <w:lvlJc w:val="left"/>
      <w:pPr>
        <w:tabs>
          <w:tab w:val="num" w:pos="360"/>
        </w:tabs>
        <w:ind w:left="360" w:hanging="360"/>
      </w:pPr>
      <w:rPr>
        <w:rFonts w:hint="default"/>
      </w:rPr>
    </w:lvl>
  </w:abstractNum>
  <w:abstractNum w:abstractNumId="11">
    <w:nsid w:val="364C35EC"/>
    <w:multiLevelType w:val="hybridMultilevel"/>
    <w:tmpl w:val="C966CAC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nsid w:val="4DB14742"/>
    <w:multiLevelType w:val="hybridMultilevel"/>
    <w:tmpl w:val="FF24BDA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59107EEF"/>
    <w:multiLevelType w:val="multilevel"/>
    <w:tmpl w:val="CFFCA654"/>
    <w:lvl w:ilvl="0">
      <w:start w:val="1"/>
      <w:numFmt w:val="bullet"/>
      <w:lvlText w:val=""/>
      <w:lvlJc w:val="left"/>
      <w:pPr>
        <w:ind w:left="720" w:hanging="720"/>
      </w:pPr>
      <w:rPr>
        <w:rFonts w:ascii="Symbol" w:hAnsi="Symbol" w:hint="default"/>
        <w:b/>
      </w:rPr>
    </w:lvl>
    <w:lvl w:ilvl="1">
      <w:start w:val="1"/>
      <w:numFmt w:val="decimal"/>
      <w:lvlText w:val="%1.%2"/>
      <w:lvlJc w:val="left"/>
      <w:pPr>
        <w:ind w:left="720" w:hanging="720"/>
      </w:pPr>
      <w:rPr>
        <w:rFonts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nsid w:val="781D4060"/>
    <w:multiLevelType w:val="hybridMultilevel"/>
    <w:tmpl w:val="E61EC8F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784D033C"/>
    <w:multiLevelType w:val="multilevel"/>
    <w:tmpl w:val="74E04FC0"/>
    <w:lvl w:ilvl="0">
      <w:start w:val="1"/>
      <w:numFmt w:val="decimal"/>
      <w:pStyle w:val="PBACHeading1"/>
      <w:lvlText w:val="%1"/>
      <w:lvlJc w:val="left"/>
      <w:pPr>
        <w:ind w:left="720" w:hanging="720"/>
      </w:pPr>
      <w:rPr>
        <w:rFonts w:hint="default"/>
        <w:b/>
      </w:rPr>
    </w:lvl>
    <w:lvl w:ilvl="1">
      <w:start w:val="1"/>
      <w:numFmt w:val="decimal"/>
      <w:lvlText w:val="%1.%2"/>
      <w:lvlJc w:val="left"/>
      <w:pPr>
        <w:ind w:left="720" w:hanging="720"/>
      </w:pPr>
      <w:rPr>
        <w:rFonts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6"/>
  </w:num>
  <w:num w:numId="2">
    <w:abstractNumId w:val="11"/>
  </w:num>
  <w:num w:numId="3">
    <w:abstractNumId w:val="5"/>
  </w:num>
  <w:num w:numId="4">
    <w:abstractNumId w:val="7"/>
  </w:num>
  <w:num w:numId="5">
    <w:abstractNumId w:val="1"/>
  </w:num>
  <w:num w:numId="6">
    <w:abstractNumId w:val="15"/>
  </w:num>
  <w:num w:numId="7">
    <w:abstractNumId w:val="4"/>
  </w:num>
  <w:num w:numId="8">
    <w:abstractNumId w:val="13"/>
  </w:num>
  <w:num w:numId="9">
    <w:abstractNumId w:val="3"/>
  </w:num>
  <w:num w:numId="10">
    <w:abstractNumId w:val="0"/>
  </w:num>
  <w:num w:numId="11">
    <w:abstractNumId w:val="6"/>
  </w:num>
  <w:num w:numId="12">
    <w:abstractNumId w:val="10"/>
  </w:num>
  <w:num w:numId="13">
    <w:abstractNumId w:val="9"/>
  </w:num>
  <w:num w:numId="14">
    <w:abstractNumId w:val="8"/>
  </w:num>
  <w:num w:numId="15">
    <w:abstractNumId w:val="14"/>
  </w:num>
  <w:num w:numId="16">
    <w:abstractNumId w:val="12"/>
  </w:num>
  <w:num w:numId="17">
    <w:abstractNumId w:val="2"/>
  </w:num>
  <w:numIdMacAtCleanup w:val="1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om Snelling">
    <w15:presenceInfo w15:providerId="AD" w15:userId="S-1-5-21-1982029612-917206853-945835055-196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17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E79"/>
    <w:rsid w:val="00000790"/>
    <w:rsid w:val="0000110B"/>
    <w:rsid w:val="000018BF"/>
    <w:rsid w:val="00001EFD"/>
    <w:rsid w:val="00003138"/>
    <w:rsid w:val="00003499"/>
    <w:rsid w:val="00004129"/>
    <w:rsid w:val="000048B8"/>
    <w:rsid w:val="000058D5"/>
    <w:rsid w:val="00007401"/>
    <w:rsid w:val="00013247"/>
    <w:rsid w:val="00014E2B"/>
    <w:rsid w:val="00015886"/>
    <w:rsid w:val="000162EF"/>
    <w:rsid w:val="00016B30"/>
    <w:rsid w:val="00016B52"/>
    <w:rsid w:val="00017ED5"/>
    <w:rsid w:val="00020DEE"/>
    <w:rsid w:val="00021909"/>
    <w:rsid w:val="0002225F"/>
    <w:rsid w:val="000228B9"/>
    <w:rsid w:val="00022CE5"/>
    <w:rsid w:val="00023763"/>
    <w:rsid w:val="00024439"/>
    <w:rsid w:val="00024CE1"/>
    <w:rsid w:val="0002557A"/>
    <w:rsid w:val="00025A70"/>
    <w:rsid w:val="00026603"/>
    <w:rsid w:val="00026726"/>
    <w:rsid w:val="000275AD"/>
    <w:rsid w:val="00027E24"/>
    <w:rsid w:val="000322A1"/>
    <w:rsid w:val="000322E1"/>
    <w:rsid w:val="00033C48"/>
    <w:rsid w:val="00036DD2"/>
    <w:rsid w:val="000372FC"/>
    <w:rsid w:val="000373AB"/>
    <w:rsid w:val="0003799E"/>
    <w:rsid w:val="00040895"/>
    <w:rsid w:val="00040D85"/>
    <w:rsid w:val="000426DD"/>
    <w:rsid w:val="0004383B"/>
    <w:rsid w:val="00043C37"/>
    <w:rsid w:val="000469FC"/>
    <w:rsid w:val="000524E4"/>
    <w:rsid w:val="000528E5"/>
    <w:rsid w:val="000546D7"/>
    <w:rsid w:val="00054F6C"/>
    <w:rsid w:val="00057335"/>
    <w:rsid w:val="00060AA5"/>
    <w:rsid w:val="00063BBE"/>
    <w:rsid w:val="00065561"/>
    <w:rsid w:val="00067CE8"/>
    <w:rsid w:val="00071248"/>
    <w:rsid w:val="0007196B"/>
    <w:rsid w:val="00071D90"/>
    <w:rsid w:val="000720B9"/>
    <w:rsid w:val="00073544"/>
    <w:rsid w:val="000741C3"/>
    <w:rsid w:val="00074A04"/>
    <w:rsid w:val="00076D1A"/>
    <w:rsid w:val="00077069"/>
    <w:rsid w:val="000811FE"/>
    <w:rsid w:val="000812CA"/>
    <w:rsid w:val="00081B0A"/>
    <w:rsid w:val="00082FE4"/>
    <w:rsid w:val="00085483"/>
    <w:rsid w:val="00086707"/>
    <w:rsid w:val="00086C46"/>
    <w:rsid w:val="00090C7E"/>
    <w:rsid w:val="000914CB"/>
    <w:rsid w:val="00091D95"/>
    <w:rsid w:val="00095044"/>
    <w:rsid w:val="000954A1"/>
    <w:rsid w:val="00095E83"/>
    <w:rsid w:val="00096AB2"/>
    <w:rsid w:val="00097393"/>
    <w:rsid w:val="00097946"/>
    <w:rsid w:val="000A0A58"/>
    <w:rsid w:val="000A1AF2"/>
    <w:rsid w:val="000A26D8"/>
    <w:rsid w:val="000A6A51"/>
    <w:rsid w:val="000A6D7A"/>
    <w:rsid w:val="000A6F86"/>
    <w:rsid w:val="000A7464"/>
    <w:rsid w:val="000B3446"/>
    <w:rsid w:val="000B3684"/>
    <w:rsid w:val="000B37E6"/>
    <w:rsid w:val="000B466E"/>
    <w:rsid w:val="000B58A8"/>
    <w:rsid w:val="000B6FBC"/>
    <w:rsid w:val="000C03D5"/>
    <w:rsid w:val="000C3280"/>
    <w:rsid w:val="000C5941"/>
    <w:rsid w:val="000D1BFC"/>
    <w:rsid w:val="000D240E"/>
    <w:rsid w:val="000D45D1"/>
    <w:rsid w:val="000D4897"/>
    <w:rsid w:val="000D6F2C"/>
    <w:rsid w:val="000E0A16"/>
    <w:rsid w:val="000E1CA5"/>
    <w:rsid w:val="000E21B6"/>
    <w:rsid w:val="000E4077"/>
    <w:rsid w:val="000E5FA7"/>
    <w:rsid w:val="000E619B"/>
    <w:rsid w:val="000E6226"/>
    <w:rsid w:val="000E6B3D"/>
    <w:rsid w:val="000E722A"/>
    <w:rsid w:val="000F06B4"/>
    <w:rsid w:val="000F1EAE"/>
    <w:rsid w:val="000F259F"/>
    <w:rsid w:val="000F26E1"/>
    <w:rsid w:val="000F32EF"/>
    <w:rsid w:val="000F4BAD"/>
    <w:rsid w:val="000F4BB8"/>
    <w:rsid w:val="000F5619"/>
    <w:rsid w:val="000F5CC9"/>
    <w:rsid w:val="000F62D4"/>
    <w:rsid w:val="000F7127"/>
    <w:rsid w:val="001000E9"/>
    <w:rsid w:val="00100F8A"/>
    <w:rsid w:val="00102D52"/>
    <w:rsid w:val="0010373E"/>
    <w:rsid w:val="0010571B"/>
    <w:rsid w:val="0010625A"/>
    <w:rsid w:val="0011032E"/>
    <w:rsid w:val="00110B0F"/>
    <w:rsid w:val="0011140F"/>
    <w:rsid w:val="0011348B"/>
    <w:rsid w:val="00116362"/>
    <w:rsid w:val="00121799"/>
    <w:rsid w:val="001222FC"/>
    <w:rsid w:val="001244AE"/>
    <w:rsid w:val="00124A51"/>
    <w:rsid w:val="00126139"/>
    <w:rsid w:val="00126621"/>
    <w:rsid w:val="00126F07"/>
    <w:rsid w:val="001272CD"/>
    <w:rsid w:val="001301E9"/>
    <w:rsid w:val="001317A7"/>
    <w:rsid w:val="001327D7"/>
    <w:rsid w:val="001338E8"/>
    <w:rsid w:val="00135295"/>
    <w:rsid w:val="001359B0"/>
    <w:rsid w:val="001368C8"/>
    <w:rsid w:val="00137645"/>
    <w:rsid w:val="00140116"/>
    <w:rsid w:val="0014015A"/>
    <w:rsid w:val="001406AA"/>
    <w:rsid w:val="00140E99"/>
    <w:rsid w:val="001415C6"/>
    <w:rsid w:val="00143A56"/>
    <w:rsid w:val="00143F6A"/>
    <w:rsid w:val="0014494B"/>
    <w:rsid w:val="00145540"/>
    <w:rsid w:val="001456B0"/>
    <w:rsid w:val="001468FD"/>
    <w:rsid w:val="00147059"/>
    <w:rsid w:val="00147C9A"/>
    <w:rsid w:val="00147D6A"/>
    <w:rsid w:val="00150A07"/>
    <w:rsid w:val="00154093"/>
    <w:rsid w:val="0015675F"/>
    <w:rsid w:val="00157130"/>
    <w:rsid w:val="0016140B"/>
    <w:rsid w:val="00162913"/>
    <w:rsid w:val="00163EFF"/>
    <w:rsid w:val="001661FB"/>
    <w:rsid w:val="00166D0C"/>
    <w:rsid w:val="00172C40"/>
    <w:rsid w:val="001751EB"/>
    <w:rsid w:val="001752C8"/>
    <w:rsid w:val="0017747C"/>
    <w:rsid w:val="00177FF7"/>
    <w:rsid w:val="00180B17"/>
    <w:rsid w:val="00181175"/>
    <w:rsid w:val="00181EC6"/>
    <w:rsid w:val="00182D37"/>
    <w:rsid w:val="00187299"/>
    <w:rsid w:val="0018752F"/>
    <w:rsid w:val="00187E20"/>
    <w:rsid w:val="00187FF6"/>
    <w:rsid w:val="00192DBA"/>
    <w:rsid w:val="00194217"/>
    <w:rsid w:val="00195222"/>
    <w:rsid w:val="00195904"/>
    <w:rsid w:val="001975D8"/>
    <w:rsid w:val="001A0640"/>
    <w:rsid w:val="001A3696"/>
    <w:rsid w:val="001A4341"/>
    <w:rsid w:val="001A484B"/>
    <w:rsid w:val="001A5661"/>
    <w:rsid w:val="001A6B0D"/>
    <w:rsid w:val="001A7F99"/>
    <w:rsid w:val="001B0060"/>
    <w:rsid w:val="001B0A45"/>
    <w:rsid w:val="001B0E5F"/>
    <w:rsid w:val="001B23F3"/>
    <w:rsid w:val="001B3443"/>
    <w:rsid w:val="001B4332"/>
    <w:rsid w:val="001B4916"/>
    <w:rsid w:val="001B5973"/>
    <w:rsid w:val="001B6385"/>
    <w:rsid w:val="001B67C2"/>
    <w:rsid w:val="001C233F"/>
    <w:rsid w:val="001C2C17"/>
    <w:rsid w:val="001C35AE"/>
    <w:rsid w:val="001C5503"/>
    <w:rsid w:val="001C5D33"/>
    <w:rsid w:val="001C6E66"/>
    <w:rsid w:val="001D2F31"/>
    <w:rsid w:val="001E0EF8"/>
    <w:rsid w:val="001E238E"/>
    <w:rsid w:val="001E272C"/>
    <w:rsid w:val="001E2B1E"/>
    <w:rsid w:val="001E2B53"/>
    <w:rsid w:val="001E30DF"/>
    <w:rsid w:val="001E3C77"/>
    <w:rsid w:val="001E4165"/>
    <w:rsid w:val="001E4299"/>
    <w:rsid w:val="001E42B5"/>
    <w:rsid w:val="001E492A"/>
    <w:rsid w:val="001E49E4"/>
    <w:rsid w:val="001E4C1A"/>
    <w:rsid w:val="001E52EB"/>
    <w:rsid w:val="001E61D4"/>
    <w:rsid w:val="001E70B0"/>
    <w:rsid w:val="001E70C8"/>
    <w:rsid w:val="001E740C"/>
    <w:rsid w:val="001F1235"/>
    <w:rsid w:val="001F13B3"/>
    <w:rsid w:val="001F1548"/>
    <w:rsid w:val="001F1CB3"/>
    <w:rsid w:val="001F3486"/>
    <w:rsid w:val="001F4213"/>
    <w:rsid w:val="001F64C8"/>
    <w:rsid w:val="001F6779"/>
    <w:rsid w:val="001F703E"/>
    <w:rsid w:val="001F7361"/>
    <w:rsid w:val="00200931"/>
    <w:rsid w:val="0020094B"/>
    <w:rsid w:val="00200B3D"/>
    <w:rsid w:val="0020106C"/>
    <w:rsid w:val="00201160"/>
    <w:rsid w:val="00201F28"/>
    <w:rsid w:val="0020385F"/>
    <w:rsid w:val="00204393"/>
    <w:rsid w:val="00205B1C"/>
    <w:rsid w:val="00207021"/>
    <w:rsid w:val="00207D00"/>
    <w:rsid w:val="002105C1"/>
    <w:rsid w:val="002109DB"/>
    <w:rsid w:val="00210F9C"/>
    <w:rsid w:val="0021335C"/>
    <w:rsid w:val="002168B7"/>
    <w:rsid w:val="00216991"/>
    <w:rsid w:val="0021719C"/>
    <w:rsid w:val="00217BED"/>
    <w:rsid w:val="00220297"/>
    <w:rsid w:val="002213FB"/>
    <w:rsid w:val="00223B49"/>
    <w:rsid w:val="00224768"/>
    <w:rsid w:val="00224DD4"/>
    <w:rsid w:val="0022542D"/>
    <w:rsid w:val="00226364"/>
    <w:rsid w:val="002309CC"/>
    <w:rsid w:val="0023183E"/>
    <w:rsid w:val="00233B78"/>
    <w:rsid w:val="00234074"/>
    <w:rsid w:val="00234CFE"/>
    <w:rsid w:val="002363C0"/>
    <w:rsid w:val="00240256"/>
    <w:rsid w:val="002402F5"/>
    <w:rsid w:val="002404F8"/>
    <w:rsid w:val="00240DD3"/>
    <w:rsid w:val="002414EF"/>
    <w:rsid w:val="00241D55"/>
    <w:rsid w:val="002422C7"/>
    <w:rsid w:val="00242F66"/>
    <w:rsid w:val="00245E13"/>
    <w:rsid w:val="00246042"/>
    <w:rsid w:val="00247871"/>
    <w:rsid w:val="0025210B"/>
    <w:rsid w:val="002526C7"/>
    <w:rsid w:val="0025463D"/>
    <w:rsid w:val="00254DCF"/>
    <w:rsid w:val="00254E60"/>
    <w:rsid w:val="0025534B"/>
    <w:rsid w:val="00255BB7"/>
    <w:rsid w:val="0025640B"/>
    <w:rsid w:val="00257CF6"/>
    <w:rsid w:val="0026239D"/>
    <w:rsid w:val="00262A87"/>
    <w:rsid w:val="00263D3B"/>
    <w:rsid w:val="002645A1"/>
    <w:rsid w:val="002659CF"/>
    <w:rsid w:val="002663D9"/>
    <w:rsid w:val="00266AE7"/>
    <w:rsid w:val="0027016E"/>
    <w:rsid w:val="00270570"/>
    <w:rsid w:val="0027304F"/>
    <w:rsid w:val="00273875"/>
    <w:rsid w:val="00275C5A"/>
    <w:rsid w:val="00277B27"/>
    <w:rsid w:val="00281014"/>
    <w:rsid w:val="00281F14"/>
    <w:rsid w:val="00284F55"/>
    <w:rsid w:val="00285035"/>
    <w:rsid w:val="00286FD0"/>
    <w:rsid w:val="002917A0"/>
    <w:rsid w:val="00291CD3"/>
    <w:rsid w:val="00292AB0"/>
    <w:rsid w:val="00292BB9"/>
    <w:rsid w:val="00292FFE"/>
    <w:rsid w:val="002936C0"/>
    <w:rsid w:val="00294E36"/>
    <w:rsid w:val="0029739A"/>
    <w:rsid w:val="002A14AB"/>
    <w:rsid w:val="002A24D4"/>
    <w:rsid w:val="002A2AE9"/>
    <w:rsid w:val="002A3007"/>
    <w:rsid w:val="002A6B6A"/>
    <w:rsid w:val="002A761C"/>
    <w:rsid w:val="002B1C1F"/>
    <w:rsid w:val="002B1F5B"/>
    <w:rsid w:val="002B3C35"/>
    <w:rsid w:val="002B3E50"/>
    <w:rsid w:val="002B432F"/>
    <w:rsid w:val="002B51A7"/>
    <w:rsid w:val="002B6CCE"/>
    <w:rsid w:val="002C0E45"/>
    <w:rsid w:val="002C2775"/>
    <w:rsid w:val="002C27C1"/>
    <w:rsid w:val="002C44D2"/>
    <w:rsid w:val="002C5C19"/>
    <w:rsid w:val="002D1AFA"/>
    <w:rsid w:val="002D2C89"/>
    <w:rsid w:val="002D482A"/>
    <w:rsid w:val="002D664D"/>
    <w:rsid w:val="002D66A1"/>
    <w:rsid w:val="002D6866"/>
    <w:rsid w:val="002E0881"/>
    <w:rsid w:val="002E17B1"/>
    <w:rsid w:val="002F14EF"/>
    <w:rsid w:val="002F4997"/>
    <w:rsid w:val="002F4BBF"/>
    <w:rsid w:val="002F58AC"/>
    <w:rsid w:val="00301017"/>
    <w:rsid w:val="0030200F"/>
    <w:rsid w:val="00302758"/>
    <w:rsid w:val="00306598"/>
    <w:rsid w:val="00307815"/>
    <w:rsid w:val="0030786C"/>
    <w:rsid w:val="0031031A"/>
    <w:rsid w:val="00310981"/>
    <w:rsid w:val="00311256"/>
    <w:rsid w:val="0031191D"/>
    <w:rsid w:val="00311B3B"/>
    <w:rsid w:val="00313A9C"/>
    <w:rsid w:val="003144F5"/>
    <w:rsid w:val="00314CDA"/>
    <w:rsid w:val="00315123"/>
    <w:rsid w:val="00315498"/>
    <w:rsid w:val="003205D3"/>
    <w:rsid w:val="003211E0"/>
    <w:rsid w:val="00321814"/>
    <w:rsid w:val="00321E3B"/>
    <w:rsid w:val="00322975"/>
    <w:rsid w:val="00324EAE"/>
    <w:rsid w:val="00325A5B"/>
    <w:rsid w:val="003265FB"/>
    <w:rsid w:val="0033035C"/>
    <w:rsid w:val="00330728"/>
    <w:rsid w:val="00333708"/>
    <w:rsid w:val="0033476C"/>
    <w:rsid w:val="003347F4"/>
    <w:rsid w:val="00334A27"/>
    <w:rsid w:val="0033587E"/>
    <w:rsid w:val="003366C9"/>
    <w:rsid w:val="00336F7C"/>
    <w:rsid w:val="003371B0"/>
    <w:rsid w:val="00337948"/>
    <w:rsid w:val="00340635"/>
    <w:rsid w:val="0034573F"/>
    <w:rsid w:val="00352F3D"/>
    <w:rsid w:val="0035620E"/>
    <w:rsid w:val="00357DEF"/>
    <w:rsid w:val="00360BC8"/>
    <w:rsid w:val="00362AFC"/>
    <w:rsid w:val="00363520"/>
    <w:rsid w:val="003654F1"/>
    <w:rsid w:val="00366BFE"/>
    <w:rsid w:val="00373AC0"/>
    <w:rsid w:val="00375978"/>
    <w:rsid w:val="00377048"/>
    <w:rsid w:val="00377FD3"/>
    <w:rsid w:val="00380DFE"/>
    <w:rsid w:val="0038364D"/>
    <w:rsid w:val="0038365C"/>
    <w:rsid w:val="003851C5"/>
    <w:rsid w:val="003854A7"/>
    <w:rsid w:val="00385F6B"/>
    <w:rsid w:val="00387AE2"/>
    <w:rsid w:val="003911BD"/>
    <w:rsid w:val="00391451"/>
    <w:rsid w:val="00393F09"/>
    <w:rsid w:val="00396FD0"/>
    <w:rsid w:val="003A026B"/>
    <w:rsid w:val="003A1A7A"/>
    <w:rsid w:val="003A3E21"/>
    <w:rsid w:val="003A447B"/>
    <w:rsid w:val="003A5EA3"/>
    <w:rsid w:val="003B05F4"/>
    <w:rsid w:val="003B1A7C"/>
    <w:rsid w:val="003B3BDE"/>
    <w:rsid w:val="003B3CB7"/>
    <w:rsid w:val="003B4679"/>
    <w:rsid w:val="003B6FA2"/>
    <w:rsid w:val="003B7B91"/>
    <w:rsid w:val="003B7D7C"/>
    <w:rsid w:val="003C0139"/>
    <w:rsid w:val="003C10AE"/>
    <w:rsid w:val="003C1E8D"/>
    <w:rsid w:val="003C2065"/>
    <w:rsid w:val="003C6232"/>
    <w:rsid w:val="003C7405"/>
    <w:rsid w:val="003C7FC9"/>
    <w:rsid w:val="003D1828"/>
    <w:rsid w:val="003D1BB9"/>
    <w:rsid w:val="003D2422"/>
    <w:rsid w:val="003D577F"/>
    <w:rsid w:val="003D5CE4"/>
    <w:rsid w:val="003D694C"/>
    <w:rsid w:val="003D747D"/>
    <w:rsid w:val="003E0446"/>
    <w:rsid w:val="003E1AE0"/>
    <w:rsid w:val="003E3DCA"/>
    <w:rsid w:val="003E4024"/>
    <w:rsid w:val="003E415D"/>
    <w:rsid w:val="003E45BB"/>
    <w:rsid w:val="003F1308"/>
    <w:rsid w:val="003F3129"/>
    <w:rsid w:val="003F3D91"/>
    <w:rsid w:val="003F4156"/>
    <w:rsid w:val="003F715E"/>
    <w:rsid w:val="0040078B"/>
    <w:rsid w:val="00400E5C"/>
    <w:rsid w:val="00401C1F"/>
    <w:rsid w:val="0040233E"/>
    <w:rsid w:val="00406FC8"/>
    <w:rsid w:val="00410708"/>
    <w:rsid w:val="00410EC7"/>
    <w:rsid w:val="00414476"/>
    <w:rsid w:val="00414A7D"/>
    <w:rsid w:val="004159CA"/>
    <w:rsid w:val="00415C2B"/>
    <w:rsid w:val="00417307"/>
    <w:rsid w:val="00420B9F"/>
    <w:rsid w:val="0042544E"/>
    <w:rsid w:val="004319F8"/>
    <w:rsid w:val="00431C32"/>
    <w:rsid w:val="00433044"/>
    <w:rsid w:val="0043315B"/>
    <w:rsid w:val="00436323"/>
    <w:rsid w:val="00436C5F"/>
    <w:rsid w:val="004402E0"/>
    <w:rsid w:val="00441339"/>
    <w:rsid w:val="004434D0"/>
    <w:rsid w:val="0044434A"/>
    <w:rsid w:val="004443A7"/>
    <w:rsid w:val="004464EB"/>
    <w:rsid w:val="00446D84"/>
    <w:rsid w:val="0044723F"/>
    <w:rsid w:val="00447DA7"/>
    <w:rsid w:val="00450E37"/>
    <w:rsid w:val="00451212"/>
    <w:rsid w:val="00452636"/>
    <w:rsid w:val="004528DF"/>
    <w:rsid w:val="00452A6A"/>
    <w:rsid w:val="00452FFE"/>
    <w:rsid w:val="00455D45"/>
    <w:rsid w:val="004569A5"/>
    <w:rsid w:val="0045790A"/>
    <w:rsid w:val="004611DA"/>
    <w:rsid w:val="004621C6"/>
    <w:rsid w:val="004630C6"/>
    <w:rsid w:val="0046335E"/>
    <w:rsid w:val="00464595"/>
    <w:rsid w:val="0046497A"/>
    <w:rsid w:val="00464C4B"/>
    <w:rsid w:val="00467418"/>
    <w:rsid w:val="00467894"/>
    <w:rsid w:val="00467DCE"/>
    <w:rsid w:val="004705E7"/>
    <w:rsid w:val="00472706"/>
    <w:rsid w:val="00475215"/>
    <w:rsid w:val="00475356"/>
    <w:rsid w:val="00475F82"/>
    <w:rsid w:val="0047670E"/>
    <w:rsid w:val="00480EF1"/>
    <w:rsid w:val="00482122"/>
    <w:rsid w:val="00484608"/>
    <w:rsid w:val="00484A71"/>
    <w:rsid w:val="00484B17"/>
    <w:rsid w:val="00485D0D"/>
    <w:rsid w:val="004867E2"/>
    <w:rsid w:val="00486ACB"/>
    <w:rsid w:val="00491888"/>
    <w:rsid w:val="00491B3A"/>
    <w:rsid w:val="00492CFD"/>
    <w:rsid w:val="00494018"/>
    <w:rsid w:val="004962D2"/>
    <w:rsid w:val="00496A8F"/>
    <w:rsid w:val="00496B1A"/>
    <w:rsid w:val="004A0DA1"/>
    <w:rsid w:val="004A108D"/>
    <w:rsid w:val="004A1B32"/>
    <w:rsid w:val="004A312A"/>
    <w:rsid w:val="004A3868"/>
    <w:rsid w:val="004A6597"/>
    <w:rsid w:val="004A6BAD"/>
    <w:rsid w:val="004A6D62"/>
    <w:rsid w:val="004B02FF"/>
    <w:rsid w:val="004B0800"/>
    <w:rsid w:val="004B106C"/>
    <w:rsid w:val="004B1CB4"/>
    <w:rsid w:val="004B2F18"/>
    <w:rsid w:val="004B3DDB"/>
    <w:rsid w:val="004B44FD"/>
    <w:rsid w:val="004B5662"/>
    <w:rsid w:val="004B5CFC"/>
    <w:rsid w:val="004B6732"/>
    <w:rsid w:val="004C00C8"/>
    <w:rsid w:val="004C1BD6"/>
    <w:rsid w:val="004C1EA5"/>
    <w:rsid w:val="004C231A"/>
    <w:rsid w:val="004C2437"/>
    <w:rsid w:val="004C27B5"/>
    <w:rsid w:val="004C4AED"/>
    <w:rsid w:val="004C75D3"/>
    <w:rsid w:val="004C7ED1"/>
    <w:rsid w:val="004D0474"/>
    <w:rsid w:val="004D33F7"/>
    <w:rsid w:val="004D3FEB"/>
    <w:rsid w:val="004D603D"/>
    <w:rsid w:val="004D73E8"/>
    <w:rsid w:val="004D78CF"/>
    <w:rsid w:val="004E0EB8"/>
    <w:rsid w:val="004E2ADC"/>
    <w:rsid w:val="004E3249"/>
    <w:rsid w:val="004E43B2"/>
    <w:rsid w:val="004E54CC"/>
    <w:rsid w:val="004E6E17"/>
    <w:rsid w:val="004F1D02"/>
    <w:rsid w:val="004F206C"/>
    <w:rsid w:val="004F22E4"/>
    <w:rsid w:val="004F2318"/>
    <w:rsid w:val="004F2679"/>
    <w:rsid w:val="004F2ABC"/>
    <w:rsid w:val="004F3B06"/>
    <w:rsid w:val="004F5F89"/>
    <w:rsid w:val="004F6458"/>
    <w:rsid w:val="004F68EB"/>
    <w:rsid w:val="004F7865"/>
    <w:rsid w:val="005018B4"/>
    <w:rsid w:val="00501DBE"/>
    <w:rsid w:val="00502406"/>
    <w:rsid w:val="00502709"/>
    <w:rsid w:val="00502C28"/>
    <w:rsid w:val="005036AA"/>
    <w:rsid w:val="005063C4"/>
    <w:rsid w:val="00506928"/>
    <w:rsid w:val="00506DF8"/>
    <w:rsid w:val="0051092F"/>
    <w:rsid w:val="00512154"/>
    <w:rsid w:val="00513650"/>
    <w:rsid w:val="005152B5"/>
    <w:rsid w:val="00515FA5"/>
    <w:rsid w:val="0051633F"/>
    <w:rsid w:val="005208E7"/>
    <w:rsid w:val="00521148"/>
    <w:rsid w:val="00521172"/>
    <w:rsid w:val="00521319"/>
    <w:rsid w:val="00521ACA"/>
    <w:rsid w:val="005229B6"/>
    <w:rsid w:val="005231A6"/>
    <w:rsid w:val="00523C28"/>
    <w:rsid w:val="00526487"/>
    <w:rsid w:val="00531048"/>
    <w:rsid w:val="0053203B"/>
    <w:rsid w:val="00532C46"/>
    <w:rsid w:val="0053375E"/>
    <w:rsid w:val="0054041D"/>
    <w:rsid w:val="0054240D"/>
    <w:rsid w:val="005427C1"/>
    <w:rsid w:val="00543A72"/>
    <w:rsid w:val="005449A5"/>
    <w:rsid w:val="00545B01"/>
    <w:rsid w:val="00552BD3"/>
    <w:rsid w:val="00555109"/>
    <w:rsid w:val="0055608A"/>
    <w:rsid w:val="00556468"/>
    <w:rsid w:val="00560E5A"/>
    <w:rsid w:val="005632C9"/>
    <w:rsid w:val="0056696F"/>
    <w:rsid w:val="005719AD"/>
    <w:rsid w:val="00571EA4"/>
    <w:rsid w:val="00572FC3"/>
    <w:rsid w:val="00575B11"/>
    <w:rsid w:val="00575D8D"/>
    <w:rsid w:val="00576972"/>
    <w:rsid w:val="005769CD"/>
    <w:rsid w:val="00577716"/>
    <w:rsid w:val="00580F58"/>
    <w:rsid w:val="00581CB8"/>
    <w:rsid w:val="00581D26"/>
    <w:rsid w:val="00582A78"/>
    <w:rsid w:val="00582EC3"/>
    <w:rsid w:val="00583699"/>
    <w:rsid w:val="005837DB"/>
    <w:rsid w:val="00583C69"/>
    <w:rsid w:val="00585DAD"/>
    <w:rsid w:val="0058631F"/>
    <w:rsid w:val="0059075A"/>
    <w:rsid w:val="00591243"/>
    <w:rsid w:val="0059201D"/>
    <w:rsid w:val="00592F2E"/>
    <w:rsid w:val="005937E5"/>
    <w:rsid w:val="0059404B"/>
    <w:rsid w:val="0059730B"/>
    <w:rsid w:val="005A030C"/>
    <w:rsid w:val="005A1743"/>
    <w:rsid w:val="005A290A"/>
    <w:rsid w:val="005A3564"/>
    <w:rsid w:val="005A44BC"/>
    <w:rsid w:val="005A5958"/>
    <w:rsid w:val="005B5857"/>
    <w:rsid w:val="005B5B09"/>
    <w:rsid w:val="005B7151"/>
    <w:rsid w:val="005B7BBA"/>
    <w:rsid w:val="005C1B83"/>
    <w:rsid w:val="005C2B66"/>
    <w:rsid w:val="005C346B"/>
    <w:rsid w:val="005C528B"/>
    <w:rsid w:val="005C652F"/>
    <w:rsid w:val="005C754D"/>
    <w:rsid w:val="005D044D"/>
    <w:rsid w:val="005D0BEB"/>
    <w:rsid w:val="005D18AD"/>
    <w:rsid w:val="005D1AA5"/>
    <w:rsid w:val="005D234F"/>
    <w:rsid w:val="005D3BF1"/>
    <w:rsid w:val="005D3E11"/>
    <w:rsid w:val="005D4B72"/>
    <w:rsid w:val="005D4EB9"/>
    <w:rsid w:val="005D6CC0"/>
    <w:rsid w:val="005E0AB0"/>
    <w:rsid w:val="005E12DA"/>
    <w:rsid w:val="005E1898"/>
    <w:rsid w:val="005E1A57"/>
    <w:rsid w:val="005E23CA"/>
    <w:rsid w:val="005E2496"/>
    <w:rsid w:val="005E49DC"/>
    <w:rsid w:val="005E4A51"/>
    <w:rsid w:val="005E4DF5"/>
    <w:rsid w:val="005E5356"/>
    <w:rsid w:val="005E5E59"/>
    <w:rsid w:val="005E73C0"/>
    <w:rsid w:val="005E79EF"/>
    <w:rsid w:val="005F0499"/>
    <w:rsid w:val="005F07AC"/>
    <w:rsid w:val="005F1FE5"/>
    <w:rsid w:val="005F21B9"/>
    <w:rsid w:val="005F2706"/>
    <w:rsid w:val="005F2A39"/>
    <w:rsid w:val="005F2CB4"/>
    <w:rsid w:val="005F66EC"/>
    <w:rsid w:val="005F6A8F"/>
    <w:rsid w:val="005F700A"/>
    <w:rsid w:val="005F70DB"/>
    <w:rsid w:val="0060070B"/>
    <w:rsid w:val="00601795"/>
    <w:rsid w:val="00603B4C"/>
    <w:rsid w:val="0060409B"/>
    <w:rsid w:val="006042F1"/>
    <w:rsid w:val="00606413"/>
    <w:rsid w:val="006072FA"/>
    <w:rsid w:val="00607669"/>
    <w:rsid w:val="00611B4F"/>
    <w:rsid w:val="00611FB4"/>
    <w:rsid w:val="006126F0"/>
    <w:rsid w:val="00612871"/>
    <w:rsid w:val="00612F97"/>
    <w:rsid w:val="00613C27"/>
    <w:rsid w:val="006160F5"/>
    <w:rsid w:val="00616802"/>
    <w:rsid w:val="00617DAB"/>
    <w:rsid w:val="00617E12"/>
    <w:rsid w:val="00620B43"/>
    <w:rsid w:val="00621477"/>
    <w:rsid w:val="00622870"/>
    <w:rsid w:val="00622CA1"/>
    <w:rsid w:val="00624A22"/>
    <w:rsid w:val="00625CD8"/>
    <w:rsid w:val="00630FEA"/>
    <w:rsid w:val="00631ADA"/>
    <w:rsid w:val="00631D6B"/>
    <w:rsid w:val="00633267"/>
    <w:rsid w:val="006344EA"/>
    <w:rsid w:val="00634595"/>
    <w:rsid w:val="0063479F"/>
    <w:rsid w:val="0063649D"/>
    <w:rsid w:val="006364A1"/>
    <w:rsid w:val="00637A02"/>
    <w:rsid w:val="00637BFD"/>
    <w:rsid w:val="006405C9"/>
    <w:rsid w:val="006405E6"/>
    <w:rsid w:val="006432BD"/>
    <w:rsid w:val="006438AB"/>
    <w:rsid w:val="00643A09"/>
    <w:rsid w:val="00646ADF"/>
    <w:rsid w:val="006471CC"/>
    <w:rsid w:val="0065079F"/>
    <w:rsid w:val="006508AE"/>
    <w:rsid w:val="00650D00"/>
    <w:rsid w:val="006521D9"/>
    <w:rsid w:val="00652874"/>
    <w:rsid w:val="00653829"/>
    <w:rsid w:val="0065438D"/>
    <w:rsid w:val="0065531E"/>
    <w:rsid w:val="00655702"/>
    <w:rsid w:val="00655B85"/>
    <w:rsid w:val="00661735"/>
    <w:rsid w:val="00664093"/>
    <w:rsid w:val="00664590"/>
    <w:rsid w:val="00666F9D"/>
    <w:rsid w:val="0067133C"/>
    <w:rsid w:val="0067168D"/>
    <w:rsid w:val="006730BF"/>
    <w:rsid w:val="006735EC"/>
    <w:rsid w:val="00673726"/>
    <w:rsid w:val="00674E42"/>
    <w:rsid w:val="00675B1B"/>
    <w:rsid w:val="00676EFE"/>
    <w:rsid w:val="006778D1"/>
    <w:rsid w:val="006808B8"/>
    <w:rsid w:val="006816BA"/>
    <w:rsid w:val="00682112"/>
    <w:rsid w:val="006826FF"/>
    <w:rsid w:val="00683279"/>
    <w:rsid w:val="00684881"/>
    <w:rsid w:val="0068673D"/>
    <w:rsid w:val="006870EF"/>
    <w:rsid w:val="006872BA"/>
    <w:rsid w:val="00687493"/>
    <w:rsid w:val="006917D7"/>
    <w:rsid w:val="0069234E"/>
    <w:rsid w:val="00694130"/>
    <w:rsid w:val="00694F44"/>
    <w:rsid w:val="00697B07"/>
    <w:rsid w:val="00697F33"/>
    <w:rsid w:val="006A1C83"/>
    <w:rsid w:val="006A3D2F"/>
    <w:rsid w:val="006A5C13"/>
    <w:rsid w:val="006A7018"/>
    <w:rsid w:val="006B00F1"/>
    <w:rsid w:val="006B08A7"/>
    <w:rsid w:val="006B1423"/>
    <w:rsid w:val="006B177F"/>
    <w:rsid w:val="006B1BFC"/>
    <w:rsid w:val="006B2501"/>
    <w:rsid w:val="006B3423"/>
    <w:rsid w:val="006B3644"/>
    <w:rsid w:val="006B38BC"/>
    <w:rsid w:val="006B742B"/>
    <w:rsid w:val="006C2940"/>
    <w:rsid w:val="006C2A8E"/>
    <w:rsid w:val="006C2F7C"/>
    <w:rsid w:val="006C41E9"/>
    <w:rsid w:val="006C4495"/>
    <w:rsid w:val="006C4826"/>
    <w:rsid w:val="006C5C65"/>
    <w:rsid w:val="006C66F9"/>
    <w:rsid w:val="006C75E4"/>
    <w:rsid w:val="006C7903"/>
    <w:rsid w:val="006D033E"/>
    <w:rsid w:val="006D32F1"/>
    <w:rsid w:val="006D3475"/>
    <w:rsid w:val="006D36DA"/>
    <w:rsid w:val="006D3C7D"/>
    <w:rsid w:val="006D5D5F"/>
    <w:rsid w:val="006E285B"/>
    <w:rsid w:val="006E3FEA"/>
    <w:rsid w:val="006E5F8C"/>
    <w:rsid w:val="006E6038"/>
    <w:rsid w:val="006F1EA7"/>
    <w:rsid w:val="006F2459"/>
    <w:rsid w:val="006F3CF5"/>
    <w:rsid w:val="006F63A5"/>
    <w:rsid w:val="006F6C62"/>
    <w:rsid w:val="006F6E62"/>
    <w:rsid w:val="006F7919"/>
    <w:rsid w:val="0070276E"/>
    <w:rsid w:val="00702860"/>
    <w:rsid w:val="00702F8F"/>
    <w:rsid w:val="0070394A"/>
    <w:rsid w:val="007063C7"/>
    <w:rsid w:val="007063F4"/>
    <w:rsid w:val="00707065"/>
    <w:rsid w:val="00707267"/>
    <w:rsid w:val="00707D6D"/>
    <w:rsid w:val="0071030F"/>
    <w:rsid w:val="00711338"/>
    <w:rsid w:val="00711A36"/>
    <w:rsid w:val="007141DD"/>
    <w:rsid w:val="0071458B"/>
    <w:rsid w:val="0071592D"/>
    <w:rsid w:val="007172AD"/>
    <w:rsid w:val="00722DBF"/>
    <w:rsid w:val="0072407F"/>
    <w:rsid w:val="0072416F"/>
    <w:rsid w:val="00725386"/>
    <w:rsid w:val="00726DD8"/>
    <w:rsid w:val="007273A6"/>
    <w:rsid w:val="007324B3"/>
    <w:rsid w:val="0073382C"/>
    <w:rsid w:val="007340AA"/>
    <w:rsid w:val="00735328"/>
    <w:rsid w:val="0073685B"/>
    <w:rsid w:val="00736A2B"/>
    <w:rsid w:val="00737649"/>
    <w:rsid w:val="00737650"/>
    <w:rsid w:val="007400B3"/>
    <w:rsid w:val="00741391"/>
    <w:rsid w:val="00741688"/>
    <w:rsid w:val="00743C98"/>
    <w:rsid w:val="00743EC2"/>
    <w:rsid w:val="00746B98"/>
    <w:rsid w:val="00746F3B"/>
    <w:rsid w:val="007475DF"/>
    <w:rsid w:val="00747EC0"/>
    <w:rsid w:val="0076036C"/>
    <w:rsid w:val="007605DF"/>
    <w:rsid w:val="00760755"/>
    <w:rsid w:val="00762AA8"/>
    <w:rsid w:val="0076361D"/>
    <w:rsid w:val="00763F1B"/>
    <w:rsid w:val="00765C4C"/>
    <w:rsid w:val="00766308"/>
    <w:rsid w:val="00770E36"/>
    <w:rsid w:val="00772BB9"/>
    <w:rsid w:val="0077713F"/>
    <w:rsid w:val="00780A82"/>
    <w:rsid w:val="00781008"/>
    <w:rsid w:val="0078179D"/>
    <w:rsid w:val="00782EAD"/>
    <w:rsid w:val="007848C4"/>
    <w:rsid w:val="0078547D"/>
    <w:rsid w:val="00786B2A"/>
    <w:rsid w:val="007917BE"/>
    <w:rsid w:val="00795B66"/>
    <w:rsid w:val="00796B02"/>
    <w:rsid w:val="00796E04"/>
    <w:rsid w:val="0079760C"/>
    <w:rsid w:val="007A0790"/>
    <w:rsid w:val="007A0A12"/>
    <w:rsid w:val="007A2D3A"/>
    <w:rsid w:val="007A434A"/>
    <w:rsid w:val="007A6AA3"/>
    <w:rsid w:val="007A6BB2"/>
    <w:rsid w:val="007A716F"/>
    <w:rsid w:val="007A7D20"/>
    <w:rsid w:val="007B04D0"/>
    <w:rsid w:val="007B251D"/>
    <w:rsid w:val="007B30E9"/>
    <w:rsid w:val="007B3C4A"/>
    <w:rsid w:val="007B451A"/>
    <w:rsid w:val="007B4C64"/>
    <w:rsid w:val="007B4CB9"/>
    <w:rsid w:val="007B52DF"/>
    <w:rsid w:val="007B5B2D"/>
    <w:rsid w:val="007B5F6E"/>
    <w:rsid w:val="007B696C"/>
    <w:rsid w:val="007B77D1"/>
    <w:rsid w:val="007C361D"/>
    <w:rsid w:val="007C387F"/>
    <w:rsid w:val="007C55CF"/>
    <w:rsid w:val="007C59C9"/>
    <w:rsid w:val="007D0B38"/>
    <w:rsid w:val="007D147D"/>
    <w:rsid w:val="007D2087"/>
    <w:rsid w:val="007D64C5"/>
    <w:rsid w:val="007D72E5"/>
    <w:rsid w:val="007E1F38"/>
    <w:rsid w:val="007E5633"/>
    <w:rsid w:val="007F1017"/>
    <w:rsid w:val="007F1AB2"/>
    <w:rsid w:val="007F2F22"/>
    <w:rsid w:val="007F32C7"/>
    <w:rsid w:val="007F43A9"/>
    <w:rsid w:val="007F4A3F"/>
    <w:rsid w:val="007F4A8B"/>
    <w:rsid w:val="007F6AD4"/>
    <w:rsid w:val="007F71DF"/>
    <w:rsid w:val="007F75A4"/>
    <w:rsid w:val="007F7996"/>
    <w:rsid w:val="007F7C5D"/>
    <w:rsid w:val="008013CE"/>
    <w:rsid w:val="0080249C"/>
    <w:rsid w:val="00802FCC"/>
    <w:rsid w:val="00803B64"/>
    <w:rsid w:val="00805142"/>
    <w:rsid w:val="00807A8B"/>
    <w:rsid w:val="00807EA6"/>
    <w:rsid w:val="008102A7"/>
    <w:rsid w:val="00811DF1"/>
    <w:rsid w:val="00812149"/>
    <w:rsid w:val="00812D2E"/>
    <w:rsid w:val="0081351A"/>
    <w:rsid w:val="00813878"/>
    <w:rsid w:val="00815A1A"/>
    <w:rsid w:val="008166EF"/>
    <w:rsid w:val="00816E93"/>
    <w:rsid w:val="00820789"/>
    <w:rsid w:val="00822EF7"/>
    <w:rsid w:val="008264EB"/>
    <w:rsid w:val="00826C61"/>
    <w:rsid w:val="0083006A"/>
    <w:rsid w:val="00830BD4"/>
    <w:rsid w:val="00830FAD"/>
    <w:rsid w:val="00833B05"/>
    <w:rsid w:val="0083442B"/>
    <w:rsid w:val="00836431"/>
    <w:rsid w:val="00840BF5"/>
    <w:rsid w:val="00840CA2"/>
    <w:rsid w:val="00840E94"/>
    <w:rsid w:val="00841E99"/>
    <w:rsid w:val="00845FC4"/>
    <w:rsid w:val="00850403"/>
    <w:rsid w:val="00851C59"/>
    <w:rsid w:val="00852739"/>
    <w:rsid w:val="00853368"/>
    <w:rsid w:val="00853784"/>
    <w:rsid w:val="00854F01"/>
    <w:rsid w:val="00855A0F"/>
    <w:rsid w:val="00856E9A"/>
    <w:rsid w:val="00860139"/>
    <w:rsid w:val="008605C0"/>
    <w:rsid w:val="00861C7C"/>
    <w:rsid w:val="00862502"/>
    <w:rsid w:val="00863FDE"/>
    <w:rsid w:val="008656FE"/>
    <w:rsid w:val="00865CCA"/>
    <w:rsid w:val="0086689E"/>
    <w:rsid w:val="008717B8"/>
    <w:rsid w:val="00873FC5"/>
    <w:rsid w:val="00875E5A"/>
    <w:rsid w:val="00877B76"/>
    <w:rsid w:val="00882874"/>
    <w:rsid w:val="00882D57"/>
    <w:rsid w:val="00883787"/>
    <w:rsid w:val="00884270"/>
    <w:rsid w:val="00884FD5"/>
    <w:rsid w:val="00891E1A"/>
    <w:rsid w:val="00894489"/>
    <w:rsid w:val="00895B7D"/>
    <w:rsid w:val="008963A5"/>
    <w:rsid w:val="008A1188"/>
    <w:rsid w:val="008A1DD1"/>
    <w:rsid w:val="008A2F75"/>
    <w:rsid w:val="008A34E9"/>
    <w:rsid w:val="008A3C3E"/>
    <w:rsid w:val="008A497D"/>
    <w:rsid w:val="008A5F1B"/>
    <w:rsid w:val="008A79DE"/>
    <w:rsid w:val="008B0775"/>
    <w:rsid w:val="008B103F"/>
    <w:rsid w:val="008B38D9"/>
    <w:rsid w:val="008B429D"/>
    <w:rsid w:val="008B4B6F"/>
    <w:rsid w:val="008B7D7E"/>
    <w:rsid w:val="008C165F"/>
    <w:rsid w:val="008C1C4B"/>
    <w:rsid w:val="008C33F1"/>
    <w:rsid w:val="008C4845"/>
    <w:rsid w:val="008C5BA9"/>
    <w:rsid w:val="008C6F57"/>
    <w:rsid w:val="008C71D4"/>
    <w:rsid w:val="008C7ECB"/>
    <w:rsid w:val="008D0BB0"/>
    <w:rsid w:val="008D303C"/>
    <w:rsid w:val="008D642E"/>
    <w:rsid w:val="008D70F2"/>
    <w:rsid w:val="008E1B9E"/>
    <w:rsid w:val="008E4B65"/>
    <w:rsid w:val="008E6289"/>
    <w:rsid w:val="008F024E"/>
    <w:rsid w:val="008F0EA9"/>
    <w:rsid w:val="008F120A"/>
    <w:rsid w:val="008F1C76"/>
    <w:rsid w:val="008F39D1"/>
    <w:rsid w:val="008F3CD3"/>
    <w:rsid w:val="008F48EB"/>
    <w:rsid w:val="008F4F0B"/>
    <w:rsid w:val="008F553A"/>
    <w:rsid w:val="008F5F62"/>
    <w:rsid w:val="008F7EB3"/>
    <w:rsid w:val="00900130"/>
    <w:rsid w:val="00900DEA"/>
    <w:rsid w:val="00904C33"/>
    <w:rsid w:val="00905D87"/>
    <w:rsid w:val="009060FE"/>
    <w:rsid w:val="009062A5"/>
    <w:rsid w:val="00907916"/>
    <w:rsid w:val="00911272"/>
    <w:rsid w:val="00911841"/>
    <w:rsid w:val="00911C57"/>
    <w:rsid w:val="00914DB9"/>
    <w:rsid w:val="00914EA3"/>
    <w:rsid w:val="009151D8"/>
    <w:rsid w:val="00916F86"/>
    <w:rsid w:val="0092171E"/>
    <w:rsid w:val="00922A7F"/>
    <w:rsid w:val="00923AC1"/>
    <w:rsid w:val="009243BB"/>
    <w:rsid w:val="00926E61"/>
    <w:rsid w:val="00930F1C"/>
    <w:rsid w:val="009322EB"/>
    <w:rsid w:val="00932CA3"/>
    <w:rsid w:val="009354EF"/>
    <w:rsid w:val="00936099"/>
    <w:rsid w:val="00936838"/>
    <w:rsid w:val="00936AA3"/>
    <w:rsid w:val="009417AC"/>
    <w:rsid w:val="00941939"/>
    <w:rsid w:val="009423A3"/>
    <w:rsid w:val="00943B2F"/>
    <w:rsid w:val="00944BED"/>
    <w:rsid w:val="00944DED"/>
    <w:rsid w:val="009452DD"/>
    <w:rsid w:val="00945C16"/>
    <w:rsid w:val="00951A94"/>
    <w:rsid w:val="00951CE0"/>
    <w:rsid w:val="00956287"/>
    <w:rsid w:val="00956641"/>
    <w:rsid w:val="00956E1E"/>
    <w:rsid w:val="009608F7"/>
    <w:rsid w:val="00961B75"/>
    <w:rsid w:val="00962CB9"/>
    <w:rsid w:val="00962D97"/>
    <w:rsid w:val="00962F8D"/>
    <w:rsid w:val="00963A67"/>
    <w:rsid w:val="00964312"/>
    <w:rsid w:val="00965C34"/>
    <w:rsid w:val="0096721D"/>
    <w:rsid w:val="0096777B"/>
    <w:rsid w:val="0097255D"/>
    <w:rsid w:val="00972970"/>
    <w:rsid w:val="009752D4"/>
    <w:rsid w:val="00975990"/>
    <w:rsid w:val="00975EAB"/>
    <w:rsid w:val="0097685A"/>
    <w:rsid w:val="00976E63"/>
    <w:rsid w:val="00983E57"/>
    <w:rsid w:val="00983E87"/>
    <w:rsid w:val="00987809"/>
    <w:rsid w:val="009918F2"/>
    <w:rsid w:val="0099226C"/>
    <w:rsid w:val="009922F6"/>
    <w:rsid w:val="00994E0A"/>
    <w:rsid w:val="00995119"/>
    <w:rsid w:val="00996358"/>
    <w:rsid w:val="009966C5"/>
    <w:rsid w:val="00996B1A"/>
    <w:rsid w:val="0099773F"/>
    <w:rsid w:val="009A180A"/>
    <w:rsid w:val="009A3060"/>
    <w:rsid w:val="009A4F5D"/>
    <w:rsid w:val="009A7177"/>
    <w:rsid w:val="009B2A6B"/>
    <w:rsid w:val="009B3A0D"/>
    <w:rsid w:val="009B3B2D"/>
    <w:rsid w:val="009B3E26"/>
    <w:rsid w:val="009B40DA"/>
    <w:rsid w:val="009B43B3"/>
    <w:rsid w:val="009B4F8C"/>
    <w:rsid w:val="009C1677"/>
    <w:rsid w:val="009C33A1"/>
    <w:rsid w:val="009C3D34"/>
    <w:rsid w:val="009C595E"/>
    <w:rsid w:val="009C6387"/>
    <w:rsid w:val="009C7434"/>
    <w:rsid w:val="009D0191"/>
    <w:rsid w:val="009D15C6"/>
    <w:rsid w:val="009D1B33"/>
    <w:rsid w:val="009D2038"/>
    <w:rsid w:val="009D259B"/>
    <w:rsid w:val="009D543C"/>
    <w:rsid w:val="009D5AA9"/>
    <w:rsid w:val="009D5B91"/>
    <w:rsid w:val="009D6418"/>
    <w:rsid w:val="009D6ED4"/>
    <w:rsid w:val="009E17F3"/>
    <w:rsid w:val="009E3E46"/>
    <w:rsid w:val="009E4C07"/>
    <w:rsid w:val="009E6554"/>
    <w:rsid w:val="009E65B9"/>
    <w:rsid w:val="009F6A6D"/>
    <w:rsid w:val="00A0220C"/>
    <w:rsid w:val="00A03171"/>
    <w:rsid w:val="00A03CB8"/>
    <w:rsid w:val="00A03D43"/>
    <w:rsid w:val="00A04380"/>
    <w:rsid w:val="00A0521D"/>
    <w:rsid w:val="00A05A91"/>
    <w:rsid w:val="00A0713E"/>
    <w:rsid w:val="00A13948"/>
    <w:rsid w:val="00A157DB"/>
    <w:rsid w:val="00A221A5"/>
    <w:rsid w:val="00A22D9D"/>
    <w:rsid w:val="00A26517"/>
    <w:rsid w:val="00A27AEC"/>
    <w:rsid w:val="00A31E85"/>
    <w:rsid w:val="00A32E06"/>
    <w:rsid w:val="00A34A8B"/>
    <w:rsid w:val="00A35D16"/>
    <w:rsid w:val="00A36DF9"/>
    <w:rsid w:val="00A37475"/>
    <w:rsid w:val="00A40B37"/>
    <w:rsid w:val="00A43676"/>
    <w:rsid w:val="00A4388B"/>
    <w:rsid w:val="00A43C59"/>
    <w:rsid w:val="00A43DD5"/>
    <w:rsid w:val="00A443DD"/>
    <w:rsid w:val="00A44FBA"/>
    <w:rsid w:val="00A45E5A"/>
    <w:rsid w:val="00A46FFA"/>
    <w:rsid w:val="00A471E5"/>
    <w:rsid w:val="00A50ECD"/>
    <w:rsid w:val="00A51268"/>
    <w:rsid w:val="00A517C7"/>
    <w:rsid w:val="00A525E5"/>
    <w:rsid w:val="00A52729"/>
    <w:rsid w:val="00A52A34"/>
    <w:rsid w:val="00A53675"/>
    <w:rsid w:val="00A54B12"/>
    <w:rsid w:val="00A54F82"/>
    <w:rsid w:val="00A55162"/>
    <w:rsid w:val="00A5539A"/>
    <w:rsid w:val="00A55FB5"/>
    <w:rsid w:val="00A56788"/>
    <w:rsid w:val="00A56B6A"/>
    <w:rsid w:val="00A578DC"/>
    <w:rsid w:val="00A612E3"/>
    <w:rsid w:val="00A61F51"/>
    <w:rsid w:val="00A64385"/>
    <w:rsid w:val="00A643F1"/>
    <w:rsid w:val="00A65DC6"/>
    <w:rsid w:val="00A6725B"/>
    <w:rsid w:val="00A67E78"/>
    <w:rsid w:val="00A706A8"/>
    <w:rsid w:val="00A7255E"/>
    <w:rsid w:val="00A73644"/>
    <w:rsid w:val="00A741B2"/>
    <w:rsid w:val="00A746EE"/>
    <w:rsid w:val="00A74E00"/>
    <w:rsid w:val="00A77FA0"/>
    <w:rsid w:val="00A80148"/>
    <w:rsid w:val="00A80C3C"/>
    <w:rsid w:val="00A80E0D"/>
    <w:rsid w:val="00A81326"/>
    <w:rsid w:val="00A81B1C"/>
    <w:rsid w:val="00A8294F"/>
    <w:rsid w:val="00A82F76"/>
    <w:rsid w:val="00A86E3F"/>
    <w:rsid w:val="00A86E8B"/>
    <w:rsid w:val="00A91287"/>
    <w:rsid w:val="00A92E41"/>
    <w:rsid w:val="00A93072"/>
    <w:rsid w:val="00A930A9"/>
    <w:rsid w:val="00A959D8"/>
    <w:rsid w:val="00AB042A"/>
    <w:rsid w:val="00AB05DD"/>
    <w:rsid w:val="00AB0D7F"/>
    <w:rsid w:val="00AB2D34"/>
    <w:rsid w:val="00AB3430"/>
    <w:rsid w:val="00AB399A"/>
    <w:rsid w:val="00AB49C0"/>
    <w:rsid w:val="00AB747B"/>
    <w:rsid w:val="00AB789C"/>
    <w:rsid w:val="00AB7CFA"/>
    <w:rsid w:val="00AC0796"/>
    <w:rsid w:val="00AC17CD"/>
    <w:rsid w:val="00AC2915"/>
    <w:rsid w:val="00AC2D90"/>
    <w:rsid w:val="00AC4C7A"/>
    <w:rsid w:val="00AD0B3C"/>
    <w:rsid w:val="00AD16BC"/>
    <w:rsid w:val="00AD1785"/>
    <w:rsid w:val="00AD376E"/>
    <w:rsid w:val="00AD5313"/>
    <w:rsid w:val="00AD5872"/>
    <w:rsid w:val="00AE0E7E"/>
    <w:rsid w:val="00AE16DE"/>
    <w:rsid w:val="00AE28AB"/>
    <w:rsid w:val="00AE3570"/>
    <w:rsid w:val="00AE3E42"/>
    <w:rsid w:val="00AE79DF"/>
    <w:rsid w:val="00AF0892"/>
    <w:rsid w:val="00AF1F7B"/>
    <w:rsid w:val="00AF23CE"/>
    <w:rsid w:val="00AF277D"/>
    <w:rsid w:val="00AF4593"/>
    <w:rsid w:val="00AF5A67"/>
    <w:rsid w:val="00AF674B"/>
    <w:rsid w:val="00B0118E"/>
    <w:rsid w:val="00B01517"/>
    <w:rsid w:val="00B017B9"/>
    <w:rsid w:val="00B021AE"/>
    <w:rsid w:val="00B0666A"/>
    <w:rsid w:val="00B077E8"/>
    <w:rsid w:val="00B1157D"/>
    <w:rsid w:val="00B1253E"/>
    <w:rsid w:val="00B12BCF"/>
    <w:rsid w:val="00B13374"/>
    <w:rsid w:val="00B13970"/>
    <w:rsid w:val="00B1428F"/>
    <w:rsid w:val="00B151A9"/>
    <w:rsid w:val="00B213C9"/>
    <w:rsid w:val="00B24D94"/>
    <w:rsid w:val="00B315CE"/>
    <w:rsid w:val="00B31682"/>
    <w:rsid w:val="00B32272"/>
    <w:rsid w:val="00B34FE0"/>
    <w:rsid w:val="00B3543E"/>
    <w:rsid w:val="00B403D0"/>
    <w:rsid w:val="00B40D82"/>
    <w:rsid w:val="00B425CB"/>
    <w:rsid w:val="00B42851"/>
    <w:rsid w:val="00B43C77"/>
    <w:rsid w:val="00B4481F"/>
    <w:rsid w:val="00B4620A"/>
    <w:rsid w:val="00B505CA"/>
    <w:rsid w:val="00B50DB8"/>
    <w:rsid w:val="00B51B56"/>
    <w:rsid w:val="00B53905"/>
    <w:rsid w:val="00B54B5B"/>
    <w:rsid w:val="00B5562E"/>
    <w:rsid w:val="00B55C95"/>
    <w:rsid w:val="00B57000"/>
    <w:rsid w:val="00B5799C"/>
    <w:rsid w:val="00B60939"/>
    <w:rsid w:val="00B60AFD"/>
    <w:rsid w:val="00B62715"/>
    <w:rsid w:val="00B6385C"/>
    <w:rsid w:val="00B63ED9"/>
    <w:rsid w:val="00B63FB6"/>
    <w:rsid w:val="00B64BCB"/>
    <w:rsid w:val="00B67119"/>
    <w:rsid w:val="00B73DFD"/>
    <w:rsid w:val="00B74207"/>
    <w:rsid w:val="00B745EC"/>
    <w:rsid w:val="00B76C2C"/>
    <w:rsid w:val="00B774B9"/>
    <w:rsid w:val="00B80F89"/>
    <w:rsid w:val="00B811A7"/>
    <w:rsid w:val="00B8154D"/>
    <w:rsid w:val="00B818A4"/>
    <w:rsid w:val="00B81BB0"/>
    <w:rsid w:val="00B81D6D"/>
    <w:rsid w:val="00B825F2"/>
    <w:rsid w:val="00B82718"/>
    <w:rsid w:val="00B82BFC"/>
    <w:rsid w:val="00B831CF"/>
    <w:rsid w:val="00B84334"/>
    <w:rsid w:val="00B84FF7"/>
    <w:rsid w:val="00B8649C"/>
    <w:rsid w:val="00B90397"/>
    <w:rsid w:val="00B9286E"/>
    <w:rsid w:val="00B92870"/>
    <w:rsid w:val="00B92D0B"/>
    <w:rsid w:val="00B94945"/>
    <w:rsid w:val="00B94A49"/>
    <w:rsid w:val="00B95AFD"/>
    <w:rsid w:val="00BA0028"/>
    <w:rsid w:val="00BA3466"/>
    <w:rsid w:val="00BA57B3"/>
    <w:rsid w:val="00BB00EC"/>
    <w:rsid w:val="00BB0F32"/>
    <w:rsid w:val="00BB102D"/>
    <w:rsid w:val="00BB11B2"/>
    <w:rsid w:val="00BB23AD"/>
    <w:rsid w:val="00BB3730"/>
    <w:rsid w:val="00BB3DC4"/>
    <w:rsid w:val="00BB6185"/>
    <w:rsid w:val="00BB7405"/>
    <w:rsid w:val="00BC0964"/>
    <w:rsid w:val="00BC1E6C"/>
    <w:rsid w:val="00BC3AC4"/>
    <w:rsid w:val="00BC4750"/>
    <w:rsid w:val="00BC57F3"/>
    <w:rsid w:val="00BC5B1D"/>
    <w:rsid w:val="00BC5E8B"/>
    <w:rsid w:val="00BD37F8"/>
    <w:rsid w:val="00BD3F4E"/>
    <w:rsid w:val="00BD4FD0"/>
    <w:rsid w:val="00BD65C1"/>
    <w:rsid w:val="00BD6CF3"/>
    <w:rsid w:val="00BD6E6C"/>
    <w:rsid w:val="00BD7D00"/>
    <w:rsid w:val="00BE1099"/>
    <w:rsid w:val="00BE2180"/>
    <w:rsid w:val="00BE249C"/>
    <w:rsid w:val="00BE3522"/>
    <w:rsid w:val="00BE39C5"/>
    <w:rsid w:val="00BE4275"/>
    <w:rsid w:val="00BE4A15"/>
    <w:rsid w:val="00BE53E7"/>
    <w:rsid w:val="00BE5D79"/>
    <w:rsid w:val="00BE60C1"/>
    <w:rsid w:val="00BE7B5D"/>
    <w:rsid w:val="00BF1A59"/>
    <w:rsid w:val="00BF215B"/>
    <w:rsid w:val="00BF2433"/>
    <w:rsid w:val="00BF312E"/>
    <w:rsid w:val="00BF4892"/>
    <w:rsid w:val="00BF5982"/>
    <w:rsid w:val="00BF61C9"/>
    <w:rsid w:val="00BF72CD"/>
    <w:rsid w:val="00BF7FAE"/>
    <w:rsid w:val="00C00E0E"/>
    <w:rsid w:val="00C013F2"/>
    <w:rsid w:val="00C02825"/>
    <w:rsid w:val="00C02E41"/>
    <w:rsid w:val="00C0599A"/>
    <w:rsid w:val="00C06952"/>
    <w:rsid w:val="00C10CC3"/>
    <w:rsid w:val="00C10D9D"/>
    <w:rsid w:val="00C113BE"/>
    <w:rsid w:val="00C11A19"/>
    <w:rsid w:val="00C1399E"/>
    <w:rsid w:val="00C13A98"/>
    <w:rsid w:val="00C20610"/>
    <w:rsid w:val="00C24812"/>
    <w:rsid w:val="00C25418"/>
    <w:rsid w:val="00C255E6"/>
    <w:rsid w:val="00C25D9C"/>
    <w:rsid w:val="00C31649"/>
    <w:rsid w:val="00C36782"/>
    <w:rsid w:val="00C40385"/>
    <w:rsid w:val="00C4057B"/>
    <w:rsid w:val="00C42E00"/>
    <w:rsid w:val="00C45690"/>
    <w:rsid w:val="00C464A9"/>
    <w:rsid w:val="00C52745"/>
    <w:rsid w:val="00C52B4E"/>
    <w:rsid w:val="00C53110"/>
    <w:rsid w:val="00C54C22"/>
    <w:rsid w:val="00C552EA"/>
    <w:rsid w:val="00C5657F"/>
    <w:rsid w:val="00C57201"/>
    <w:rsid w:val="00C57D4C"/>
    <w:rsid w:val="00C60E41"/>
    <w:rsid w:val="00C6118B"/>
    <w:rsid w:val="00C64C05"/>
    <w:rsid w:val="00C64F15"/>
    <w:rsid w:val="00C65532"/>
    <w:rsid w:val="00C65576"/>
    <w:rsid w:val="00C65652"/>
    <w:rsid w:val="00C65665"/>
    <w:rsid w:val="00C66165"/>
    <w:rsid w:val="00C705AE"/>
    <w:rsid w:val="00C73017"/>
    <w:rsid w:val="00C74026"/>
    <w:rsid w:val="00C750C8"/>
    <w:rsid w:val="00C7637D"/>
    <w:rsid w:val="00C77C1F"/>
    <w:rsid w:val="00C8213F"/>
    <w:rsid w:val="00C826AF"/>
    <w:rsid w:val="00C8350D"/>
    <w:rsid w:val="00C83FA2"/>
    <w:rsid w:val="00C86CB5"/>
    <w:rsid w:val="00C8720D"/>
    <w:rsid w:val="00C8797A"/>
    <w:rsid w:val="00C902C2"/>
    <w:rsid w:val="00C912BB"/>
    <w:rsid w:val="00C92386"/>
    <w:rsid w:val="00C938CF"/>
    <w:rsid w:val="00C93ED3"/>
    <w:rsid w:val="00C95793"/>
    <w:rsid w:val="00C96A14"/>
    <w:rsid w:val="00CA0A70"/>
    <w:rsid w:val="00CA35C8"/>
    <w:rsid w:val="00CA4C37"/>
    <w:rsid w:val="00CA5245"/>
    <w:rsid w:val="00CA5D4D"/>
    <w:rsid w:val="00CA741E"/>
    <w:rsid w:val="00CA7551"/>
    <w:rsid w:val="00CA7B09"/>
    <w:rsid w:val="00CB15B0"/>
    <w:rsid w:val="00CB1C25"/>
    <w:rsid w:val="00CB2D68"/>
    <w:rsid w:val="00CB5B1A"/>
    <w:rsid w:val="00CC2299"/>
    <w:rsid w:val="00CC4F58"/>
    <w:rsid w:val="00CC5204"/>
    <w:rsid w:val="00CC542C"/>
    <w:rsid w:val="00CC6B2D"/>
    <w:rsid w:val="00CC7954"/>
    <w:rsid w:val="00CD04B1"/>
    <w:rsid w:val="00CD05F8"/>
    <w:rsid w:val="00CD3328"/>
    <w:rsid w:val="00CD3596"/>
    <w:rsid w:val="00CD3D0E"/>
    <w:rsid w:val="00CD60C1"/>
    <w:rsid w:val="00CD6ADC"/>
    <w:rsid w:val="00CE0BA2"/>
    <w:rsid w:val="00CE4363"/>
    <w:rsid w:val="00CE6274"/>
    <w:rsid w:val="00CF0747"/>
    <w:rsid w:val="00CF0B12"/>
    <w:rsid w:val="00CF401F"/>
    <w:rsid w:val="00CF43E9"/>
    <w:rsid w:val="00CF456B"/>
    <w:rsid w:val="00CF5A22"/>
    <w:rsid w:val="00CF7EEB"/>
    <w:rsid w:val="00D0262E"/>
    <w:rsid w:val="00D02724"/>
    <w:rsid w:val="00D034F7"/>
    <w:rsid w:val="00D03AEA"/>
    <w:rsid w:val="00D0433C"/>
    <w:rsid w:val="00D046E8"/>
    <w:rsid w:val="00D0584A"/>
    <w:rsid w:val="00D064C0"/>
    <w:rsid w:val="00D07C04"/>
    <w:rsid w:val="00D110BD"/>
    <w:rsid w:val="00D118BF"/>
    <w:rsid w:val="00D11FC0"/>
    <w:rsid w:val="00D133C0"/>
    <w:rsid w:val="00D14B41"/>
    <w:rsid w:val="00D150A8"/>
    <w:rsid w:val="00D17809"/>
    <w:rsid w:val="00D17AAF"/>
    <w:rsid w:val="00D17C58"/>
    <w:rsid w:val="00D17D6C"/>
    <w:rsid w:val="00D209E6"/>
    <w:rsid w:val="00D2570B"/>
    <w:rsid w:val="00D26AE3"/>
    <w:rsid w:val="00D276DC"/>
    <w:rsid w:val="00D3001A"/>
    <w:rsid w:val="00D301DF"/>
    <w:rsid w:val="00D30314"/>
    <w:rsid w:val="00D32B3E"/>
    <w:rsid w:val="00D32D54"/>
    <w:rsid w:val="00D357FF"/>
    <w:rsid w:val="00D43ADA"/>
    <w:rsid w:val="00D43E5E"/>
    <w:rsid w:val="00D4446C"/>
    <w:rsid w:val="00D44DBC"/>
    <w:rsid w:val="00D45D21"/>
    <w:rsid w:val="00D512C3"/>
    <w:rsid w:val="00D51E9C"/>
    <w:rsid w:val="00D54516"/>
    <w:rsid w:val="00D565CF"/>
    <w:rsid w:val="00D57CAB"/>
    <w:rsid w:val="00D60CE5"/>
    <w:rsid w:val="00D61274"/>
    <w:rsid w:val="00D641F0"/>
    <w:rsid w:val="00D65A08"/>
    <w:rsid w:val="00D70A32"/>
    <w:rsid w:val="00D7146B"/>
    <w:rsid w:val="00D71AAA"/>
    <w:rsid w:val="00D72426"/>
    <w:rsid w:val="00D74747"/>
    <w:rsid w:val="00D75A26"/>
    <w:rsid w:val="00D76A44"/>
    <w:rsid w:val="00D93753"/>
    <w:rsid w:val="00D9430C"/>
    <w:rsid w:val="00D97970"/>
    <w:rsid w:val="00DA0082"/>
    <w:rsid w:val="00DA0138"/>
    <w:rsid w:val="00DA2B3F"/>
    <w:rsid w:val="00DA4FBB"/>
    <w:rsid w:val="00DA502D"/>
    <w:rsid w:val="00DA527C"/>
    <w:rsid w:val="00DA5FFC"/>
    <w:rsid w:val="00DA77A5"/>
    <w:rsid w:val="00DB01EC"/>
    <w:rsid w:val="00DB124A"/>
    <w:rsid w:val="00DB52F9"/>
    <w:rsid w:val="00DB53E3"/>
    <w:rsid w:val="00DB5E7D"/>
    <w:rsid w:val="00DB6B44"/>
    <w:rsid w:val="00DB7D88"/>
    <w:rsid w:val="00DC122E"/>
    <w:rsid w:val="00DC1F2F"/>
    <w:rsid w:val="00DC2C58"/>
    <w:rsid w:val="00DC30C4"/>
    <w:rsid w:val="00DC354A"/>
    <w:rsid w:val="00DC41D3"/>
    <w:rsid w:val="00DC44BF"/>
    <w:rsid w:val="00DC5501"/>
    <w:rsid w:val="00DC5C1C"/>
    <w:rsid w:val="00DC5D50"/>
    <w:rsid w:val="00DC7302"/>
    <w:rsid w:val="00DD071B"/>
    <w:rsid w:val="00DD0BD5"/>
    <w:rsid w:val="00DD3372"/>
    <w:rsid w:val="00DD3F28"/>
    <w:rsid w:val="00DD4537"/>
    <w:rsid w:val="00DD4561"/>
    <w:rsid w:val="00DD4E15"/>
    <w:rsid w:val="00DD5BD8"/>
    <w:rsid w:val="00DD6301"/>
    <w:rsid w:val="00DE4FCB"/>
    <w:rsid w:val="00DE5823"/>
    <w:rsid w:val="00DE5B04"/>
    <w:rsid w:val="00DE5E95"/>
    <w:rsid w:val="00DE68B1"/>
    <w:rsid w:val="00DF1D66"/>
    <w:rsid w:val="00DF4F3F"/>
    <w:rsid w:val="00DF5439"/>
    <w:rsid w:val="00DF5D2B"/>
    <w:rsid w:val="00DF5F2E"/>
    <w:rsid w:val="00DF7674"/>
    <w:rsid w:val="00E00FFD"/>
    <w:rsid w:val="00E01AAF"/>
    <w:rsid w:val="00E01AF7"/>
    <w:rsid w:val="00E01E22"/>
    <w:rsid w:val="00E01F19"/>
    <w:rsid w:val="00E02108"/>
    <w:rsid w:val="00E05A46"/>
    <w:rsid w:val="00E06F9A"/>
    <w:rsid w:val="00E077D4"/>
    <w:rsid w:val="00E07FB1"/>
    <w:rsid w:val="00E10149"/>
    <w:rsid w:val="00E107EC"/>
    <w:rsid w:val="00E12886"/>
    <w:rsid w:val="00E13468"/>
    <w:rsid w:val="00E135C7"/>
    <w:rsid w:val="00E13FE5"/>
    <w:rsid w:val="00E1553E"/>
    <w:rsid w:val="00E16372"/>
    <w:rsid w:val="00E16C54"/>
    <w:rsid w:val="00E179FF"/>
    <w:rsid w:val="00E20E26"/>
    <w:rsid w:val="00E20ED6"/>
    <w:rsid w:val="00E21358"/>
    <w:rsid w:val="00E2249B"/>
    <w:rsid w:val="00E22A0D"/>
    <w:rsid w:val="00E24AE2"/>
    <w:rsid w:val="00E24EEE"/>
    <w:rsid w:val="00E25A7A"/>
    <w:rsid w:val="00E271B4"/>
    <w:rsid w:val="00E2771E"/>
    <w:rsid w:val="00E31E43"/>
    <w:rsid w:val="00E32107"/>
    <w:rsid w:val="00E32F1A"/>
    <w:rsid w:val="00E3303A"/>
    <w:rsid w:val="00E333E9"/>
    <w:rsid w:val="00E348A4"/>
    <w:rsid w:val="00E35B88"/>
    <w:rsid w:val="00E36028"/>
    <w:rsid w:val="00E36215"/>
    <w:rsid w:val="00E3666A"/>
    <w:rsid w:val="00E37569"/>
    <w:rsid w:val="00E375B0"/>
    <w:rsid w:val="00E41E30"/>
    <w:rsid w:val="00E42250"/>
    <w:rsid w:val="00E43D70"/>
    <w:rsid w:val="00E43E36"/>
    <w:rsid w:val="00E45886"/>
    <w:rsid w:val="00E47B2C"/>
    <w:rsid w:val="00E511F5"/>
    <w:rsid w:val="00E51560"/>
    <w:rsid w:val="00E51971"/>
    <w:rsid w:val="00E523A6"/>
    <w:rsid w:val="00E53C14"/>
    <w:rsid w:val="00E55424"/>
    <w:rsid w:val="00E55BB5"/>
    <w:rsid w:val="00E57995"/>
    <w:rsid w:val="00E60C6E"/>
    <w:rsid w:val="00E630F4"/>
    <w:rsid w:val="00E63256"/>
    <w:rsid w:val="00E6467B"/>
    <w:rsid w:val="00E64894"/>
    <w:rsid w:val="00E65E79"/>
    <w:rsid w:val="00E66D17"/>
    <w:rsid w:val="00E67416"/>
    <w:rsid w:val="00E674B3"/>
    <w:rsid w:val="00E718B6"/>
    <w:rsid w:val="00E725BC"/>
    <w:rsid w:val="00E72FA0"/>
    <w:rsid w:val="00E73581"/>
    <w:rsid w:val="00E747D6"/>
    <w:rsid w:val="00E7564A"/>
    <w:rsid w:val="00E77769"/>
    <w:rsid w:val="00E7782E"/>
    <w:rsid w:val="00E80467"/>
    <w:rsid w:val="00E81B6F"/>
    <w:rsid w:val="00E82023"/>
    <w:rsid w:val="00E82930"/>
    <w:rsid w:val="00E83AC0"/>
    <w:rsid w:val="00E83B31"/>
    <w:rsid w:val="00E83BDF"/>
    <w:rsid w:val="00E85CC6"/>
    <w:rsid w:val="00E86267"/>
    <w:rsid w:val="00E90350"/>
    <w:rsid w:val="00E91F58"/>
    <w:rsid w:val="00E92C27"/>
    <w:rsid w:val="00E944EE"/>
    <w:rsid w:val="00E95062"/>
    <w:rsid w:val="00EA36FE"/>
    <w:rsid w:val="00EA3864"/>
    <w:rsid w:val="00EA3A98"/>
    <w:rsid w:val="00EA4422"/>
    <w:rsid w:val="00EA4593"/>
    <w:rsid w:val="00EA504D"/>
    <w:rsid w:val="00EA7844"/>
    <w:rsid w:val="00EB1191"/>
    <w:rsid w:val="00EB15B6"/>
    <w:rsid w:val="00EB23BC"/>
    <w:rsid w:val="00EB3389"/>
    <w:rsid w:val="00EB4916"/>
    <w:rsid w:val="00EB4FE1"/>
    <w:rsid w:val="00EB53A5"/>
    <w:rsid w:val="00EB677B"/>
    <w:rsid w:val="00EB7137"/>
    <w:rsid w:val="00EC00C9"/>
    <w:rsid w:val="00EC09DA"/>
    <w:rsid w:val="00EC1845"/>
    <w:rsid w:val="00EC54CF"/>
    <w:rsid w:val="00EC7E0F"/>
    <w:rsid w:val="00ED1BE7"/>
    <w:rsid w:val="00ED2246"/>
    <w:rsid w:val="00ED3B92"/>
    <w:rsid w:val="00ED3D94"/>
    <w:rsid w:val="00ED47AC"/>
    <w:rsid w:val="00ED4C84"/>
    <w:rsid w:val="00ED5DEB"/>
    <w:rsid w:val="00ED7FCD"/>
    <w:rsid w:val="00EE07D3"/>
    <w:rsid w:val="00EE18BC"/>
    <w:rsid w:val="00EE1C32"/>
    <w:rsid w:val="00EE1D7A"/>
    <w:rsid w:val="00EE2418"/>
    <w:rsid w:val="00EE27F0"/>
    <w:rsid w:val="00EE5418"/>
    <w:rsid w:val="00EE7BB2"/>
    <w:rsid w:val="00EF11DA"/>
    <w:rsid w:val="00EF4593"/>
    <w:rsid w:val="00EF481E"/>
    <w:rsid w:val="00EF4989"/>
    <w:rsid w:val="00EF4B24"/>
    <w:rsid w:val="00EF55FE"/>
    <w:rsid w:val="00EF6B58"/>
    <w:rsid w:val="00EF7F25"/>
    <w:rsid w:val="00F00233"/>
    <w:rsid w:val="00F02AE8"/>
    <w:rsid w:val="00F03900"/>
    <w:rsid w:val="00F067A2"/>
    <w:rsid w:val="00F06B88"/>
    <w:rsid w:val="00F07A3E"/>
    <w:rsid w:val="00F1119A"/>
    <w:rsid w:val="00F11DE0"/>
    <w:rsid w:val="00F1272E"/>
    <w:rsid w:val="00F12CDD"/>
    <w:rsid w:val="00F135BF"/>
    <w:rsid w:val="00F15BE3"/>
    <w:rsid w:val="00F164A8"/>
    <w:rsid w:val="00F1658A"/>
    <w:rsid w:val="00F16A13"/>
    <w:rsid w:val="00F205DB"/>
    <w:rsid w:val="00F238A2"/>
    <w:rsid w:val="00F239AE"/>
    <w:rsid w:val="00F23D4F"/>
    <w:rsid w:val="00F24837"/>
    <w:rsid w:val="00F252BA"/>
    <w:rsid w:val="00F2563E"/>
    <w:rsid w:val="00F2575F"/>
    <w:rsid w:val="00F25A02"/>
    <w:rsid w:val="00F26514"/>
    <w:rsid w:val="00F30068"/>
    <w:rsid w:val="00F3139F"/>
    <w:rsid w:val="00F33167"/>
    <w:rsid w:val="00F33DE9"/>
    <w:rsid w:val="00F3619A"/>
    <w:rsid w:val="00F37225"/>
    <w:rsid w:val="00F412E1"/>
    <w:rsid w:val="00F414C7"/>
    <w:rsid w:val="00F41B18"/>
    <w:rsid w:val="00F4566C"/>
    <w:rsid w:val="00F46CB6"/>
    <w:rsid w:val="00F47233"/>
    <w:rsid w:val="00F55E73"/>
    <w:rsid w:val="00F60092"/>
    <w:rsid w:val="00F61419"/>
    <w:rsid w:val="00F64225"/>
    <w:rsid w:val="00F6458C"/>
    <w:rsid w:val="00F64BA5"/>
    <w:rsid w:val="00F65561"/>
    <w:rsid w:val="00F66137"/>
    <w:rsid w:val="00F671D2"/>
    <w:rsid w:val="00F67302"/>
    <w:rsid w:val="00F67B99"/>
    <w:rsid w:val="00F709A5"/>
    <w:rsid w:val="00F714D1"/>
    <w:rsid w:val="00F74434"/>
    <w:rsid w:val="00F76650"/>
    <w:rsid w:val="00F80E5D"/>
    <w:rsid w:val="00F8201D"/>
    <w:rsid w:val="00F82942"/>
    <w:rsid w:val="00F8373E"/>
    <w:rsid w:val="00F83CB9"/>
    <w:rsid w:val="00F841A4"/>
    <w:rsid w:val="00F84C1C"/>
    <w:rsid w:val="00F851AD"/>
    <w:rsid w:val="00F851CE"/>
    <w:rsid w:val="00F85A9B"/>
    <w:rsid w:val="00F87BD8"/>
    <w:rsid w:val="00F919A2"/>
    <w:rsid w:val="00F9275B"/>
    <w:rsid w:val="00F928CD"/>
    <w:rsid w:val="00F94906"/>
    <w:rsid w:val="00F97A78"/>
    <w:rsid w:val="00FA1428"/>
    <w:rsid w:val="00FA1670"/>
    <w:rsid w:val="00FA24E7"/>
    <w:rsid w:val="00FA2EC3"/>
    <w:rsid w:val="00FA424B"/>
    <w:rsid w:val="00FA4E80"/>
    <w:rsid w:val="00FA53B5"/>
    <w:rsid w:val="00FA6D52"/>
    <w:rsid w:val="00FA7359"/>
    <w:rsid w:val="00FB2FCB"/>
    <w:rsid w:val="00FB5A27"/>
    <w:rsid w:val="00FB6965"/>
    <w:rsid w:val="00FC1074"/>
    <w:rsid w:val="00FC1884"/>
    <w:rsid w:val="00FC22E7"/>
    <w:rsid w:val="00FC26FD"/>
    <w:rsid w:val="00FD1350"/>
    <w:rsid w:val="00FD1A7F"/>
    <w:rsid w:val="00FD2100"/>
    <w:rsid w:val="00FD30DD"/>
    <w:rsid w:val="00FD356F"/>
    <w:rsid w:val="00FD446D"/>
    <w:rsid w:val="00FD44DE"/>
    <w:rsid w:val="00FD4FBA"/>
    <w:rsid w:val="00FD74D5"/>
    <w:rsid w:val="00FE0E9B"/>
    <w:rsid w:val="00FE3FF0"/>
    <w:rsid w:val="00FE46F1"/>
    <w:rsid w:val="00FE4C7F"/>
    <w:rsid w:val="00FE7A14"/>
    <w:rsid w:val="00FF06D3"/>
    <w:rsid w:val="00FF3215"/>
    <w:rsid w:val="00FF3DCF"/>
    <w:rsid w:val="00FF419D"/>
    <w:rsid w:val="00FF5AA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iPriority="1" w:unhideWhenUsed="0" w:qFormat="1"/>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header" w:uiPriority="99"/>
    <w:lsdException w:name="footer" w:uiPriority="99"/>
    <w:lsdException w:name="caption"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31191D"/>
    <w:pPr>
      <w:widowControl w:val="0"/>
      <w:jc w:val="both"/>
    </w:pPr>
    <w:rPr>
      <w:rFonts w:ascii="Arial" w:hAnsi="Arial" w:cs="Arial"/>
      <w:snapToGrid w:val="0"/>
      <w:sz w:val="22"/>
      <w:lang w:eastAsia="en-US"/>
    </w:rPr>
  </w:style>
  <w:style w:type="paragraph" w:styleId="Heading1">
    <w:name w:val="heading 1"/>
    <w:basedOn w:val="Normal"/>
    <w:next w:val="Normal"/>
    <w:link w:val="Heading1Char"/>
    <w:qFormat/>
    <w:rsid w:val="00D76A44"/>
    <w:pPr>
      <w:ind w:left="720" w:hanging="720"/>
      <w:outlineLvl w:val="0"/>
    </w:pPr>
    <w:rPr>
      <w:rFonts w:ascii="Arial Bold" w:hAnsi="Arial Bold"/>
      <w:b/>
      <w:caps/>
    </w:rPr>
  </w:style>
  <w:style w:type="paragraph" w:styleId="Heading2">
    <w:name w:val="heading 2"/>
    <w:basedOn w:val="Normal"/>
    <w:next w:val="Normal"/>
    <w:link w:val="Heading2Char"/>
    <w:qFormat/>
    <w:rsid w:val="004B3DDB"/>
    <w:pPr>
      <w:outlineLvl w:val="1"/>
    </w:pPr>
    <w:rPr>
      <w:b/>
    </w:rPr>
  </w:style>
  <w:style w:type="paragraph" w:styleId="Heading3">
    <w:name w:val="heading 3"/>
    <w:basedOn w:val="Normal"/>
    <w:next w:val="Normal"/>
    <w:uiPriority w:val="1"/>
    <w:qFormat/>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szCs w:val="22"/>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4B3DDB"/>
    <w:rPr>
      <w:rFonts w:ascii="Arial" w:hAnsi="Arial" w:cs="Arial"/>
      <w:b/>
      <w:snapToGrid w:val="0"/>
      <w:sz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uiPriority w:val="4"/>
    <w:qFormat/>
    <w:rsid w:val="00E2771E"/>
    <w:rPr>
      <w:rFonts w:ascii="Arial Narrow" w:hAnsi="Arial Narrow"/>
      <w:sz w:val="18"/>
    </w:rPr>
  </w:style>
  <w:style w:type="character" w:customStyle="1" w:styleId="TableFooterChar">
    <w:name w:val="Table Footer Char"/>
    <w:link w:val="TableFooter"/>
    <w:uiPriority w:val="4"/>
    <w:rsid w:val="00B95AFD"/>
    <w:rPr>
      <w:rFonts w:ascii="Arial Narrow" w:hAnsi="Arial Narrow" w:cs="Arial"/>
      <w:snapToGrid w:val="0"/>
      <w:sz w:val="18"/>
      <w:lang w:eastAsia="en-US"/>
    </w:rPr>
  </w:style>
  <w:style w:type="paragraph" w:customStyle="1" w:styleId="TableHeader">
    <w:name w:val="Table Header"/>
    <w:basedOn w:val="Normal"/>
    <w:uiPriority w:val="3"/>
    <w:qFormat/>
    <w:rsid w:val="000D1BFC"/>
    <w:rPr>
      <w:b/>
      <w:sz w:val="20"/>
    </w:rPr>
  </w:style>
  <w:style w:type="paragraph" w:styleId="Caption">
    <w:name w:val="caption"/>
    <w:aliases w:val="IB Caption,Medical Caption,Caption Char1 Char Char,Caption Char Char Char Char,Caption Char1 Char,Caption Char Char Char Char Char,Caption Char Char,Caption Char Char Char Char1,Caption Char1 Char1,Caption Char Char Char,Bayer Capti"/>
    <w:basedOn w:val="Normal"/>
    <w:next w:val="Normal"/>
    <w:link w:val="CaptionChar"/>
    <w:unhideWhenUsed/>
    <w:qFormat/>
    <w:rsid w:val="00124A51"/>
    <w:pPr>
      <w:spacing w:after="200"/>
    </w:pPr>
    <w:rPr>
      <w:b/>
      <w:bCs/>
      <w:color w:val="4F81BD" w:themeColor="accent1"/>
      <w:sz w:val="18"/>
      <w:szCs w:val="18"/>
    </w:rPr>
  </w:style>
  <w:style w:type="character" w:customStyle="1" w:styleId="CaptionChar">
    <w:name w:val="Caption Char"/>
    <w:aliases w:val="IB Caption Char,Medical Caption Char,Caption Char1 Char Char Char,Caption Char Char Char Char Char1,Caption Char1 Char Char1,Caption Char Char Char Char Char Char,Caption Char Char Char1,Caption Char Char Char Char1 Char,Bayer Capti Char"/>
    <w:link w:val="Caption"/>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ulletPoints"/>
    <w:basedOn w:val="Normal"/>
    <w:link w:val="ListParagraphChar"/>
    <w:uiPriority w:val="34"/>
    <w:qFormat/>
    <w:rsid w:val="00124A51"/>
    <w:pPr>
      <w:ind w:left="720"/>
      <w:contextualSpacing/>
    </w:pPr>
  </w:style>
  <w:style w:type="character" w:customStyle="1" w:styleId="ListParagraphChar">
    <w:name w:val="List Paragraph Char"/>
    <w:aliases w:val="BulletPoints Char"/>
    <w:basedOn w:val="DefaultParagraphFont"/>
    <w:link w:val="ListParagraph"/>
    <w:uiPriority w:val="72"/>
    <w:locked/>
    <w:rsid w:val="00962D97"/>
    <w:rPr>
      <w:rFonts w:ascii="Arial" w:hAnsi="Arial" w:cs="Arial"/>
      <w:snapToGrid w:val="0"/>
      <w:sz w:val="22"/>
      <w:lang w:eastAsia="en-US"/>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Table Gridbeth,Summary box,CMA Table Template"/>
    <w:basedOn w:val="TableNormal"/>
    <w:uiPriority w:val="59"/>
    <w:rsid w:val="004B3D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aliases w:val="Table Title"/>
    <w:qFormat/>
    <w:rsid w:val="00E2771E"/>
    <w:rPr>
      <w:rFonts w:ascii="Arial Narrow" w:hAnsi="Arial Narrow"/>
      <w:b/>
      <w:sz w:val="20"/>
      <w:szCs w:val="16"/>
    </w:rPr>
  </w:style>
  <w:style w:type="paragraph" w:customStyle="1" w:styleId="Tabletext">
    <w:name w:val="Table text"/>
    <w:basedOn w:val="Normal"/>
    <w:link w:val="TabletextChar"/>
    <w:qFormat/>
    <w:rsid w:val="00A56B6A"/>
    <w:pPr>
      <w:widowControl/>
      <w:spacing w:after="120"/>
      <w:jc w:val="left"/>
    </w:pPr>
    <w:rPr>
      <w:rFonts w:cs="Times New Roman"/>
      <w:snapToGrid/>
      <w:sz w:val="20"/>
    </w:rPr>
  </w:style>
  <w:style w:type="character" w:customStyle="1" w:styleId="TabletextChar">
    <w:name w:val="Table text Char"/>
    <w:link w:val="Tabletext"/>
    <w:rsid w:val="00A56B6A"/>
    <w:rPr>
      <w:rFonts w:ascii="Arial" w:hAnsi="Arial"/>
      <w:lang w:eastAsia="en-US"/>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rsid w:val="00CF456B"/>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BalloonText">
    <w:name w:val="Balloon Text"/>
    <w:basedOn w:val="Normal"/>
    <w:link w:val="BalloonTextChar"/>
    <w:rsid w:val="00CE6274"/>
    <w:rPr>
      <w:rFonts w:ascii="Tahoma" w:hAnsi="Tahoma" w:cs="Tahoma"/>
      <w:sz w:val="16"/>
      <w:szCs w:val="16"/>
    </w:rPr>
  </w:style>
  <w:style w:type="character" w:customStyle="1" w:styleId="BalloonTextChar">
    <w:name w:val="Balloon Text Char"/>
    <w:basedOn w:val="DefaultParagraphFont"/>
    <w:link w:val="BalloonText"/>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basedOn w:val="Normal"/>
    <w:link w:val="CommentTextChar"/>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TableText0">
    <w:name w:val="TableText"/>
    <w:basedOn w:val="Normal"/>
    <w:link w:val="TableTextChar0"/>
    <w:qFormat/>
    <w:rsid w:val="00CA7B09"/>
    <w:pPr>
      <w:keepNext/>
      <w:widowControl/>
      <w:spacing w:before="40" w:after="40"/>
      <w:jc w:val="left"/>
    </w:pPr>
    <w:rPr>
      <w:rFonts w:ascii="Arial Narrow" w:hAnsi="Arial Narrow" w:cs="Arial Narrow"/>
      <w:snapToGrid/>
      <w:sz w:val="20"/>
    </w:rPr>
  </w:style>
  <w:style w:type="character" w:customStyle="1" w:styleId="TableTextChar0">
    <w:name w:val="TableText Char"/>
    <w:link w:val="TableText0"/>
    <w:rsid w:val="000228B9"/>
    <w:rPr>
      <w:rFonts w:ascii="Arial Narrow" w:hAnsi="Arial Narrow" w:cs="Arial Narrow"/>
      <w:lang w:eastAsia="en-US"/>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452FFE"/>
    <w:pPr>
      <w:numPr>
        <w:numId w:val="1"/>
      </w:numPr>
      <w:outlineLvl w:val="0"/>
    </w:pPr>
    <w:rPr>
      <w:rFonts w:ascii="Arial" w:hAnsi="Arial" w:cs="Arial"/>
      <w:b/>
      <w:snapToGrid w:val="0"/>
      <w:sz w:val="22"/>
      <w:szCs w:val="22"/>
      <w:lang w:eastAsia="en-US"/>
    </w:rPr>
  </w:style>
  <w:style w:type="paragraph" w:styleId="FootnoteText">
    <w:name w:val="footnote text"/>
    <w:basedOn w:val="Normal"/>
    <w:link w:val="FootnoteTextChar"/>
    <w:unhideWhenUsed/>
    <w:rsid w:val="00E85CC6"/>
    <w:rPr>
      <w:sz w:val="20"/>
    </w:rPr>
  </w:style>
  <w:style w:type="character" w:customStyle="1" w:styleId="FootnoteTextChar">
    <w:name w:val="Footnote Text Char"/>
    <w:basedOn w:val="DefaultParagraphFont"/>
    <w:link w:val="FootnoteText"/>
    <w:rsid w:val="00E85CC6"/>
    <w:rPr>
      <w:rFonts w:ascii="Arial" w:hAnsi="Arial" w:cs="Arial"/>
      <w:snapToGrid w:val="0"/>
      <w:lang w:eastAsia="en-US"/>
    </w:rPr>
  </w:style>
  <w:style w:type="character" w:styleId="FootnoteReference">
    <w:name w:val="footnote reference"/>
    <w:basedOn w:val="DefaultParagraphFont"/>
    <w:semiHidden/>
    <w:unhideWhenUsed/>
    <w:rsid w:val="00E85CC6"/>
    <w:rPr>
      <w:vertAlign w:val="superscript"/>
    </w:rPr>
  </w:style>
  <w:style w:type="paragraph" w:customStyle="1" w:styleId="Default">
    <w:name w:val="Default"/>
    <w:rsid w:val="00004129"/>
    <w:pPr>
      <w:autoSpaceDE w:val="0"/>
      <w:autoSpaceDN w:val="0"/>
      <w:adjustRightInd w:val="0"/>
    </w:pPr>
    <w:rPr>
      <w:rFonts w:ascii="Arial" w:hAnsi="Arial" w:cs="Arial"/>
      <w:color w:val="000000"/>
      <w:sz w:val="24"/>
      <w:szCs w:val="24"/>
    </w:rPr>
  </w:style>
  <w:style w:type="paragraph" w:customStyle="1" w:styleId="TableText2">
    <w:name w:val="Table Text 2"/>
    <w:basedOn w:val="Normal"/>
    <w:next w:val="Tabletext"/>
    <w:link w:val="TableText2Char"/>
    <w:qFormat/>
    <w:rsid w:val="00004129"/>
    <w:pPr>
      <w:widowControl/>
      <w:spacing w:before="40" w:after="20"/>
      <w:jc w:val="left"/>
    </w:pPr>
    <w:rPr>
      <w:rFonts w:cs="Times New Roman"/>
      <w:b/>
      <w:bCs/>
      <w:snapToGrid/>
      <w:sz w:val="18"/>
      <w:lang w:eastAsia="en-AU"/>
    </w:rPr>
  </w:style>
  <w:style w:type="character" w:customStyle="1" w:styleId="TableText2Char">
    <w:name w:val="Table Text 2 Char"/>
    <w:link w:val="TableText2"/>
    <w:rsid w:val="00004129"/>
    <w:rPr>
      <w:rFonts w:ascii="Arial" w:hAnsi="Arial"/>
      <w:b/>
      <w:bCs/>
      <w:sz w:val="18"/>
    </w:rPr>
  </w:style>
  <w:style w:type="paragraph" w:customStyle="1" w:styleId="TableNotes">
    <w:name w:val="TableNotes"/>
    <w:basedOn w:val="Normal"/>
    <w:link w:val="TableNotesChar"/>
    <w:rsid w:val="003D577F"/>
    <w:pPr>
      <w:keepNext/>
      <w:widowControl/>
      <w:tabs>
        <w:tab w:val="left" w:pos="1559"/>
      </w:tabs>
      <w:ind w:left="1559" w:hanging="1559"/>
      <w:jc w:val="left"/>
    </w:pPr>
    <w:rPr>
      <w:rFonts w:ascii="Calibri" w:eastAsia="SimSun" w:hAnsi="Calibri" w:cs="Times New Roman"/>
      <w:snapToGrid/>
      <w:sz w:val="16"/>
      <w:lang w:eastAsia="zh-CN"/>
    </w:rPr>
  </w:style>
  <w:style w:type="character" w:customStyle="1" w:styleId="TableNotesChar">
    <w:name w:val="TableNotes Char"/>
    <w:basedOn w:val="DefaultParagraphFont"/>
    <w:link w:val="TableNotes"/>
    <w:rsid w:val="003D577F"/>
    <w:rPr>
      <w:rFonts w:ascii="Calibri" w:eastAsia="SimSun" w:hAnsi="Calibri"/>
      <w:sz w:val="16"/>
      <w:lang w:eastAsia="zh-CN"/>
    </w:rPr>
  </w:style>
  <w:style w:type="paragraph" w:customStyle="1" w:styleId="TableHeadingCentred">
    <w:name w:val="TableHeadingCentred"/>
    <w:basedOn w:val="Normal"/>
    <w:next w:val="TableText0"/>
    <w:rsid w:val="00086707"/>
    <w:pPr>
      <w:keepNext/>
      <w:widowControl/>
      <w:spacing w:before="20" w:after="20"/>
      <w:jc w:val="center"/>
    </w:pPr>
    <w:rPr>
      <w:rFonts w:ascii="Calibri" w:hAnsi="Calibri" w:cs="Times New Roman"/>
      <w:b/>
      <w:bCs/>
      <w:iCs/>
      <w:snapToGrid/>
      <w:sz w:val="20"/>
      <w:szCs w:val="18"/>
    </w:rPr>
  </w:style>
  <w:style w:type="character" w:customStyle="1" w:styleId="TableText1">
    <w:name w:val="Table Text"/>
    <w:basedOn w:val="DefaultParagraphFont"/>
    <w:uiPriority w:val="99"/>
    <w:qFormat/>
    <w:rsid w:val="002917A0"/>
    <w:rPr>
      <w:rFonts w:ascii="Calibri" w:hAnsi="Calibri" w:cs="Times New Roman"/>
      <w:sz w:val="20"/>
    </w:rPr>
  </w:style>
  <w:style w:type="paragraph" w:customStyle="1" w:styleId="TableNotes1">
    <w:name w:val="Table Notes"/>
    <w:basedOn w:val="Normal"/>
    <w:link w:val="TableNotesChar0"/>
    <w:qFormat/>
    <w:rsid w:val="002917A0"/>
    <w:pPr>
      <w:widowControl/>
      <w:spacing w:after="40" w:line="276" w:lineRule="auto"/>
    </w:pPr>
    <w:rPr>
      <w:rFonts w:ascii="Calibri" w:hAnsi="Calibri" w:cs="Times New Roman"/>
      <w:snapToGrid/>
      <w:sz w:val="16"/>
      <w:szCs w:val="22"/>
    </w:rPr>
  </w:style>
  <w:style w:type="character" w:customStyle="1" w:styleId="TableNotesChar0">
    <w:name w:val="Table Notes Char"/>
    <w:basedOn w:val="DefaultParagraphFont"/>
    <w:link w:val="TableNotes1"/>
    <w:locked/>
    <w:rsid w:val="002917A0"/>
    <w:rPr>
      <w:rFonts w:ascii="Calibri" w:hAnsi="Calibri"/>
      <w:sz w:val="16"/>
      <w:szCs w:val="22"/>
      <w:lang w:eastAsia="en-US"/>
    </w:rPr>
  </w:style>
  <w:style w:type="paragraph" w:customStyle="1" w:styleId="TableLeft">
    <w:name w:val="Table Left"/>
    <w:basedOn w:val="TableCentred"/>
    <w:link w:val="TableLeftChar"/>
    <w:uiPriority w:val="99"/>
    <w:qFormat/>
    <w:rsid w:val="002917A0"/>
    <w:pPr>
      <w:spacing w:line="240" w:lineRule="auto"/>
      <w:jc w:val="left"/>
    </w:pPr>
  </w:style>
  <w:style w:type="paragraph" w:customStyle="1" w:styleId="TableCentred">
    <w:name w:val="Table Centred"/>
    <w:basedOn w:val="Normal"/>
    <w:link w:val="TableCentredChar"/>
    <w:uiPriority w:val="5"/>
    <w:qFormat/>
    <w:rsid w:val="002917A0"/>
    <w:pPr>
      <w:widowControl/>
      <w:spacing w:line="276" w:lineRule="auto"/>
      <w:jc w:val="center"/>
    </w:pPr>
    <w:rPr>
      <w:rFonts w:ascii="Calibri" w:hAnsi="Calibri" w:cs="Times New Roman"/>
      <w:snapToGrid/>
      <w:sz w:val="20"/>
      <w:szCs w:val="22"/>
    </w:rPr>
  </w:style>
  <w:style w:type="character" w:customStyle="1" w:styleId="TableCentredChar">
    <w:name w:val="Table Centred Char"/>
    <w:basedOn w:val="DefaultParagraphFont"/>
    <w:link w:val="TableCentred"/>
    <w:uiPriority w:val="5"/>
    <w:locked/>
    <w:rsid w:val="002917A0"/>
    <w:rPr>
      <w:rFonts w:ascii="Calibri" w:hAnsi="Calibri"/>
      <w:szCs w:val="22"/>
      <w:lang w:eastAsia="en-US"/>
    </w:rPr>
  </w:style>
  <w:style w:type="character" w:customStyle="1" w:styleId="TableLeftChar">
    <w:name w:val="Table Left Char"/>
    <w:basedOn w:val="TableCentredChar"/>
    <w:link w:val="TableLeft"/>
    <w:uiPriority w:val="99"/>
    <w:locked/>
    <w:rsid w:val="002917A0"/>
    <w:rPr>
      <w:rFonts w:ascii="Calibri" w:hAnsi="Calibri"/>
      <w:szCs w:val="22"/>
      <w:lang w:eastAsia="en-US"/>
    </w:rPr>
  </w:style>
  <w:style w:type="paragraph" w:customStyle="1" w:styleId="TableTitle">
    <w:name w:val="TableTitle"/>
    <w:basedOn w:val="BodyText"/>
    <w:next w:val="BodyText"/>
    <w:link w:val="TableTitleChar"/>
    <w:rsid w:val="002917A0"/>
    <w:pPr>
      <w:keepNext/>
      <w:widowControl/>
      <w:tabs>
        <w:tab w:val="left" w:pos="1559"/>
      </w:tabs>
      <w:spacing w:after="60"/>
      <w:ind w:left="1559" w:hanging="1559"/>
    </w:pPr>
    <w:rPr>
      <w:rFonts w:ascii="Calibri" w:hAnsi="Calibri"/>
      <w:b/>
      <w:snapToGrid/>
      <w:sz w:val="24"/>
      <w:szCs w:val="24"/>
    </w:rPr>
  </w:style>
  <w:style w:type="character" w:customStyle="1" w:styleId="TableTitleChar">
    <w:name w:val="TableTitle Char"/>
    <w:basedOn w:val="BodyTextChar"/>
    <w:link w:val="TableTitle"/>
    <w:rsid w:val="002917A0"/>
    <w:rPr>
      <w:rFonts w:ascii="Calibri" w:hAnsi="Calibri" w:cs="Arial"/>
      <w:b/>
      <w:snapToGrid/>
      <w:sz w:val="24"/>
      <w:szCs w:val="24"/>
      <w:lang w:eastAsia="en-US"/>
    </w:rPr>
  </w:style>
  <w:style w:type="paragraph" w:customStyle="1" w:styleId="StyleTable9Calibri">
    <w:name w:val="Style Table9 + Calibri"/>
    <w:basedOn w:val="Normal"/>
    <w:autoRedefine/>
    <w:rsid w:val="002917A0"/>
    <w:pPr>
      <w:widowControl/>
      <w:jc w:val="left"/>
    </w:pPr>
    <w:rPr>
      <w:rFonts w:ascii="Calibri" w:eastAsia="SimSun" w:hAnsi="Calibri" w:cs="Times New Roman"/>
      <w:snapToGrid/>
      <w:sz w:val="20"/>
      <w:szCs w:val="18"/>
      <w:lang w:eastAsia="zh-CN"/>
    </w:rPr>
  </w:style>
  <w:style w:type="character" w:styleId="FollowedHyperlink">
    <w:name w:val="FollowedHyperlink"/>
    <w:basedOn w:val="DefaultParagraphFont"/>
    <w:semiHidden/>
    <w:unhideWhenUsed/>
    <w:rsid w:val="00BB11B2"/>
    <w:rPr>
      <w:color w:val="800080" w:themeColor="followedHyperlink"/>
      <w:u w:val="single"/>
    </w:rPr>
  </w:style>
  <w:style w:type="paragraph" w:customStyle="1" w:styleId="TableFigureFootnote">
    <w:name w:val="Table &amp; Figure Footnote"/>
    <w:basedOn w:val="BodyText"/>
    <w:next w:val="BodyText"/>
    <w:qFormat/>
    <w:rsid w:val="004A1B32"/>
    <w:pPr>
      <w:widowControl/>
      <w:spacing w:before="20" w:after="20"/>
      <w:jc w:val="both"/>
    </w:pPr>
    <w:rPr>
      <w:rFonts w:cs="Times New Roman"/>
      <w:snapToGrid/>
      <w:sz w:val="16"/>
      <w:szCs w:val="24"/>
    </w:rPr>
  </w:style>
  <w:style w:type="character" w:customStyle="1" w:styleId="Heading1Char">
    <w:name w:val="Heading 1 Char"/>
    <w:basedOn w:val="DefaultParagraphFont"/>
    <w:link w:val="Heading1"/>
    <w:rsid w:val="00766308"/>
    <w:rPr>
      <w:rFonts w:ascii="Arial Bold" w:hAnsi="Arial Bold" w:cs="Arial"/>
      <w:b/>
      <w:caps/>
      <w:snapToGrid w:val="0"/>
      <w:sz w:val="22"/>
      <w:lang w:eastAsia="en-US"/>
    </w:rPr>
  </w:style>
  <w:style w:type="character" w:customStyle="1" w:styleId="NormalFont">
    <w:name w:val="Normal Font"/>
    <w:basedOn w:val="DefaultParagraphFont"/>
    <w:uiPriority w:val="99"/>
    <w:qFormat/>
    <w:rsid w:val="00017ED5"/>
    <w:rPr>
      <w:rFonts w:ascii="Calibri" w:hAnsi="Calibri" w:cs="Times New Roman"/>
      <w:sz w:val="24"/>
    </w:rPr>
  </w:style>
  <w:style w:type="character" w:customStyle="1" w:styleId="st">
    <w:name w:val="st"/>
    <w:basedOn w:val="DefaultParagraphFont"/>
    <w:rsid w:val="008C1C4B"/>
  </w:style>
  <w:style w:type="table" w:customStyle="1" w:styleId="TableGrid1">
    <w:name w:val="Table Grid1"/>
    <w:basedOn w:val="TableNormal"/>
    <w:next w:val="TableGrid"/>
    <w:uiPriority w:val="59"/>
    <w:rsid w:val="004A108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415C2B"/>
    <w:pPr>
      <w:widowControl/>
      <w:spacing w:after="160" w:line="240" w:lineRule="exact"/>
      <w:jc w:val="left"/>
    </w:pPr>
    <w:rPr>
      <w:rFonts w:ascii="Verdana" w:eastAsia="MS Mincho" w:hAnsi="Verdana" w:cs="Verdana"/>
      <w:snapToGrid/>
      <w:sz w:val="20"/>
      <w:lang w:val="en-US"/>
    </w:rPr>
  </w:style>
  <w:style w:type="paragraph" w:customStyle="1" w:styleId="PBACheading10">
    <w:name w:val="PBAC heading 1"/>
    <w:qFormat/>
    <w:rsid w:val="00963A67"/>
    <w:pPr>
      <w:ind w:left="720" w:hanging="720"/>
      <w:outlineLvl w:val="0"/>
    </w:pPr>
    <w:rPr>
      <w:rFonts w:ascii="Arial" w:hAnsi="Arial" w:cs="Arial"/>
      <w:b/>
      <w:snapToGrid w:val="0"/>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iPriority="1" w:unhideWhenUsed="0" w:qFormat="1"/>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header" w:uiPriority="99"/>
    <w:lsdException w:name="footer" w:uiPriority="99"/>
    <w:lsdException w:name="caption"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31191D"/>
    <w:pPr>
      <w:widowControl w:val="0"/>
      <w:jc w:val="both"/>
    </w:pPr>
    <w:rPr>
      <w:rFonts w:ascii="Arial" w:hAnsi="Arial" w:cs="Arial"/>
      <w:snapToGrid w:val="0"/>
      <w:sz w:val="22"/>
      <w:lang w:eastAsia="en-US"/>
    </w:rPr>
  </w:style>
  <w:style w:type="paragraph" w:styleId="Heading1">
    <w:name w:val="heading 1"/>
    <w:basedOn w:val="Normal"/>
    <w:next w:val="Normal"/>
    <w:link w:val="Heading1Char"/>
    <w:qFormat/>
    <w:rsid w:val="00D76A44"/>
    <w:pPr>
      <w:ind w:left="720" w:hanging="720"/>
      <w:outlineLvl w:val="0"/>
    </w:pPr>
    <w:rPr>
      <w:rFonts w:ascii="Arial Bold" w:hAnsi="Arial Bold"/>
      <w:b/>
      <w:caps/>
    </w:rPr>
  </w:style>
  <w:style w:type="paragraph" w:styleId="Heading2">
    <w:name w:val="heading 2"/>
    <w:basedOn w:val="Normal"/>
    <w:next w:val="Normal"/>
    <w:link w:val="Heading2Char"/>
    <w:qFormat/>
    <w:rsid w:val="004B3DDB"/>
    <w:pPr>
      <w:outlineLvl w:val="1"/>
    </w:pPr>
    <w:rPr>
      <w:b/>
    </w:rPr>
  </w:style>
  <w:style w:type="paragraph" w:styleId="Heading3">
    <w:name w:val="heading 3"/>
    <w:basedOn w:val="Normal"/>
    <w:next w:val="Normal"/>
    <w:uiPriority w:val="1"/>
    <w:qFormat/>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szCs w:val="22"/>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4B3DDB"/>
    <w:rPr>
      <w:rFonts w:ascii="Arial" w:hAnsi="Arial" w:cs="Arial"/>
      <w:b/>
      <w:snapToGrid w:val="0"/>
      <w:sz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uiPriority w:val="4"/>
    <w:qFormat/>
    <w:rsid w:val="00E2771E"/>
    <w:rPr>
      <w:rFonts w:ascii="Arial Narrow" w:hAnsi="Arial Narrow"/>
      <w:sz w:val="18"/>
    </w:rPr>
  </w:style>
  <w:style w:type="character" w:customStyle="1" w:styleId="TableFooterChar">
    <w:name w:val="Table Footer Char"/>
    <w:link w:val="TableFooter"/>
    <w:uiPriority w:val="4"/>
    <w:rsid w:val="00B95AFD"/>
    <w:rPr>
      <w:rFonts w:ascii="Arial Narrow" w:hAnsi="Arial Narrow" w:cs="Arial"/>
      <w:snapToGrid w:val="0"/>
      <w:sz w:val="18"/>
      <w:lang w:eastAsia="en-US"/>
    </w:rPr>
  </w:style>
  <w:style w:type="paragraph" w:customStyle="1" w:styleId="TableHeader">
    <w:name w:val="Table Header"/>
    <w:basedOn w:val="Normal"/>
    <w:uiPriority w:val="3"/>
    <w:qFormat/>
    <w:rsid w:val="000D1BFC"/>
    <w:rPr>
      <w:b/>
      <w:sz w:val="20"/>
    </w:rPr>
  </w:style>
  <w:style w:type="paragraph" w:styleId="Caption">
    <w:name w:val="caption"/>
    <w:aliases w:val="IB Caption,Medical Caption,Caption Char1 Char Char,Caption Char Char Char Char,Caption Char1 Char,Caption Char Char Char Char Char,Caption Char Char,Caption Char Char Char Char1,Caption Char1 Char1,Caption Char Char Char,Bayer Capti"/>
    <w:basedOn w:val="Normal"/>
    <w:next w:val="Normal"/>
    <w:link w:val="CaptionChar"/>
    <w:unhideWhenUsed/>
    <w:qFormat/>
    <w:rsid w:val="00124A51"/>
    <w:pPr>
      <w:spacing w:after="200"/>
    </w:pPr>
    <w:rPr>
      <w:b/>
      <w:bCs/>
      <w:color w:val="4F81BD" w:themeColor="accent1"/>
      <w:sz w:val="18"/>
      <w:szCs w:val="18"/>
    </w:rPr>
  </w:style>
  <w:style w:type="character" w:customStyle="1" w:styleId="CaptionChar">
    <w:name w:val="Caption Char"/>
    <w:aliases w:val="IB Caption Char,Medical Caption Char,Caption Char1 Char Char Char,Caption Char Char Char Char Char1,Caption Char1 Char Char1,Caption Char Char Char Char Char Char,Caption Char Char Char1,Caption Char Char Char Char1 Char,Bayer Capti Char"/>
    <w:link w:val="Caption"/>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ulletPoints"/>
    <w:basedOn w:val="Normal"/>
    <w:link w:val="ListParagraphChar"/>
    <w:uiPriority w:val="34"/>
    <w:qFormat/>
    <w:rsid w:val="00124A51"/>
    <w:pPr>
      <w:ind w:left="720"/>
      <w:contextualSpacing/>
    </w:pPr>
  </w:style>
  <w:style w:type="character" w:customStyle="1" w:styleId="ListParagraphChar">
    <w:name w:val="List Paragraph Char"/>
    <w:aliases w:val="BulletPoints Char"/>
    <w:basedOn w:val="DefaultParagraphFont"/>
    <w:link w:val="ListParagraph"/>
    <w:uiPriority w:val="72"/>
    <w:locked/>
    <w:rsid w:val="00962D97"/>
    <w:rPr>
      <w:rFonts w:ascii="Arial" w:hAnsi="Arial" w:cs="Arial"/>
      <w:snapToGrid w:val="0"/>
      <w:sz w:val="22"/>
      <w:lang w:eastAsia="en-US"/>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Table Gridbeth,Summary box,CMA Table Template"/>
    <w:basedOn w:val="TableNormal"/>
    <w:uiPriority w:val="59"/>
    <w:rsid w:val="004B3D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aliases w:val="Table Title"/>
    <w:qFormat/>
    <w:rsid w:val="00E2771E"/>
    <w:rPr>
      <w:rFonts w:ascii="Arial Narrow" w:hAnsi="Arial Narrow"/>
      <w:b/>
      <w:sz w:val="20"/>
      <w:szCs w:val="16"/>
    </w:rPr>
  </w:style>
  <w:style w:type="paragraph" w:customStyle="1" w:styleId="Tabletext">
    <w:name w:val="Table text"/>
    <w:basedOn w:val="Normal"/>
    <w:link w:val="TabletextChar"/>
    <w:qFormat/>
    <w:rsid w:val="00A56B6A"/>
    <w:pPr>
      <w:widowControl/>
      <w:spacing w:after="120"/>
      <w:jc w:val="left"/>
    </w:pPr>
    <w:rPr>
      <w:rFonts w:cs="Times New Roman"/>
      <w:snapToGrid/>
      <w:sz w:val="20"/>
    </w:rPr>
  </w:style>
  <w:style w:type="character" w:customStyle="1" w:styleId="TabletextChar">
    <w:name w:val="Table text Char"/>
    <w:link w:val="Tabletext"/>
    <w:rsid w:val="00A56B6A"/>
    <w:rPr>
      <w:rFonts w:ascii="Arial" w:hAnsi="Arial"/>
      <w:lang w:eastAsia="en-US"/>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rsid w:val="00CF456B"/>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BalloonText">
    <w:name w:val="Balloon Text"/>
    <w:basedOn w:val="Normal"/>
    <w:link w:val="BalloonTextChar"/>
    <w:rsid w:val="00CE6274"/>
    <w:rPr>
      <w:rFonts w:ascii="Tahoma" w:hAnsi="Tahoma" w:cs="Tahoma"/>
      <w:sz w:val="16"/>
      <w:szCs w:val="16"/>
    </w:rPr>
  </w:style>
  <w:style w:type="character" w:customStyle="1" w:styleId="BalloonTextChar">
    <w:name w:val="Balloon Text Char"/>
    <w:basedOn w:val="DefaultParagraphFont"/>
    <w:link w:val="BalloonText"/>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basedOn w:val="Normal"/>
    <w:link w:val="CommentTextChar"/>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TableText0">
    <w:name w:val="TableText"/>
    <w:basedOn w:val="Normal"/>
    <w:link w:val="TableTextChar0"/>
    <w:qFormat/>
    <w:rsid w:val="00CA7B09"/>
    <w:pPr>
      <w:keepNext/>
      <w:widowControl/>
      <w:spacing w:before="40" w:after="40"/>
      <w:jc w:val="left"/>
    </w:pPr>
    <w:rPr>
      <w:rFonts w:ascii="Arial Narrow" w:hAnsi="Arial Narrow" w:cs="Arial Narrow"/>
      <w:snapToGrid/>
      <w:sz w:val="20"/>
    </w:rPr>
  </w:style>
  <w:style w:type="character" w:customStyle="1" w:styleId="TableTextChar0">
    <w:name w:val="TableText Char"/>
    <w:link w:val="TableText0"/>
    <w:rsid w:val="000228B9"/>
    <w:rPr>
      <w:rFonts w:ascii="Arial Narrow" w:hAnsi="Arial Narrow" w:cs="Arial Narrow"/>
      <w:lang w:eastAsia="en-US"/>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452FFE"/>
    <w:pPr>
      <w:numPr>
        <w:numId w:val="1"/>
      </w:numPr>
      <w:outlineLvl w:val="0"/>
    </w:pPr>
    <w:rPr>
      <w:rFonts w:ascii="Arial" w:hAnsi="Arial" w:cs="Arial"/>
      <w:b/>
      <w:snapToGrid w:val="0"/>
      <w:sz w:val="22"/>
      <w:szCs w:val="22"/>
      <w:lang w:eastAsia="en-US"/>
    </w:rPr>
  </w:style>
  <w:style w:type="paragraph" w:styleId="FootnoteText">
    <w:name w:val="footnote text"/>
    <w:basedOn w:val="Normal"/>
    <w:link w:val="FootnoteTextChar"/>
    <w:unhideWhenUsed/>
    <w:rsid w:val="00E85CC6"/>
    <w:rPr>
      <w:sz w:val="20"/>
    </w:rPr>
  </w:style>
  <w:style w:type="character" w:customStyle="1" w:styleId="FootnoteTextChar">
    <w:name w:val="Footnote Text Char"/>
    <w:basedOn w:val="DefaultParagraphFont"/>
    <w:link w:val="FootnoteText"/>
    <w:rsid w:val="00E85CC6"/>
    <w:rPr>
      <w:rFonts w:ascii="Arial" w:hAnsi="Arial" w:cs="Arial"/>
      <w:snapToGrid w:val="0"/>
      <w:lang w:eastAsia="en-US"/>
    </w:rPr>
  </w:style>
  <w:style w:type="character" w:styleId="FootnoteReference">
    <w:name w:val="footnote reference"/>
    <w:basedOn w:val="DefaultParagraphFont"/>
    <w:semiHidden/>
    <w:unhideWhenUsed/>
    <w:rsid w:val="00E85CC6"/>
    <w:rPr>
      <w:vertAlign w:val="superscript"/>
    </w:rPr>
  </w:style>
  <w:style w:type="paragraph" w:customStyle="1" w:styleId="Default">
    <w:name w:val="Default"/>
    <w:rsid w:val="00004129"/>
    <w:pPr>
      <w:autoSpaceDE w:val="0"/>
      <w:autoSpaceDN w:val="0"/>
      <w:adjustRightInd w:val="0"/>
    </w:pPr>
    <w:rPr>
      <w:rFonts w:ascii="Arial" w:hAnsi="Arial" w:cs="Arial"/>
      <w:color w:val="000000"/>
      <w:sz w:val="24"/>
      <w:szCs w:val="24"/>
    </w:rPr>
  </w:style>
  <w:style w:type="paragraph" w:customStyle="1" w:styleId="TableText2">
    <w:name w:val="Table Text 2"/>
    <w:basedOn w:val="Normal"/>
    <w:next w:val="Tabletext"/>
    <w:link w:val="TableText2Char"/>
    <w:qFormat/>
    <w:rsid w:val="00004129"/>
    <w:pPr>
      <w:widowControl/>
      <w:spacing w:before="40" w:after="20"/>
      <w:jc w:val="left"/>
    </w:pPr>
    <w:rPr>
      <w:rFonts w:cs="Times New Roman"/>
      <w:b/>
      <w:bCs/>
      <w:snapToGrid/>
      <w:sz w:val="18"/>
      <w:lang w:eastAsia="en-AU"/>
    </w:rPr>
  </w:style>
  <w:style w:type="character" w:customStyle="1" w:styleId="TableText2Char">
    <w:name w:val="Table Text 2 Char"/>
    <w:link w:val="TableText2"/>
    <w:rsid w:val="00004129"/>
    <w:rPr>
      <w:rFonts w:ascii="Arial" w:hAnsi="Arial"/>
      <w:b/>
      <w:bCs/>
      <w:sz w:val="18"/>
    </w:rPr>
  </w:style>
  <w:style w:type="paragraph" w:customStyle="1" w:styleId="TableNotes">
    <w:name w:val="TableNotes"/>
    <w:basedOn w:val="Normal"/>
    <w:link w:val="TableNotesChar"/>
    <w:rsid w:val="003D577F"/>
    <w:pPr>
      <w:keepNext/>
      <w:widowControl/>
      <w:tabs>
        <w:tab w:val="left" w:pos="1559"/>
      </w:tabs>
      <w:ind w:left="1559" w:hanging="1559"/>
      <w:jc w:val="left"/>
    </w:pPr>
    <w:rPr>
      <w:rFonts w:ascii="Calibri" w:eastAsia="SimSun" w:hAnsi="Calibri" w:cs="Times New Roman"/>
      <w:snapToGrid/>
      <w:sz w:val="16"/>
      <w:lang w:eastAsia="zh-CN"/>
    </w:rPr>
  </w:style>
  <w:style w:type="character" w:customStyle="1" w:styleId="TableNotesChar">
    <w:name w:val="TableNotes Char"/>
    <w:basedOn w:val="DefaultParagraphFont"/>
    <w:link w:val="TableNotes"/>
    <w:rsid w:val="003D577F"/>
    <w:rPr>
      <w:rFonts w:ascii="Calibri" w:eastAsia="SimSun" w:hAnsi="Calibri"/>
      <w:sz w:val="16"/>
      <w:lang w:eastAsia="zh-CN"/>
    </w:rPr>
  </w:style>
  <w:style w:type="paragraph" w:customStyle="1" w:styleId="TableHeadingCentred">
    <w:name w:val="TableHeadingCentred"/>
    <w:basedOn w:val="Normal"/>
    <w:next w:val="TableText0"/>
    <w:rsid w:val="00086707"/>
    <w:pPr>
      <w:keepNext/>
      <w:widowControl/>
      <w:spacing w:before="20" w:after="20"/>
      <w:jc w:val="center"/>
    </w:pPr>
    <w:rPr>
      <w:rFonts w:ascii="Calibri" w:hAnsi="Calibri" w:cs="Times New Roman"/>
      <w:b/>
      <w:bCs/>
      <w:iCs/>
      <w:snapToGrid/>
      <w:sz w:val="20"/>
      <w:szCs w:val="18"/>
    </w:rPr>
  </w:style>
  <w:style w:type="character" w:customStyle="1" w:styleId="TableText1">
    <w:name w:val="Table Text"/>
    <w:basedOn w:val="DefaultParagraphFont"/>
    <w:uiPriority w:val="99"/>
    <w:qFormat/>
    <w:rsid w:val="002917A0"/>
    <w:rPr>
      <w:rFonts w:ascii="Calibri" w:hAnsi="Calibri" w:cs="Times New Roman"/>
      <w:sz w:val="20"/>
    </w:rPr>
  </w:style>
  <w:style w:type="paragraph" w:customStyle="1" w:styleId="TableNotes1">
    <w:name w:val="Table Notes"/>
    <w:basedOn w:val="Normal"/>
    <w:link w:val="TableNotesChar0"/>
    <w:qFormat/>
    <w:rsid w:val="002917A0"/>
    <w:pPr>
      <w:widowControl/>
      <w:spacing w:after="40" w:line="276" w:lineRule="auto"/>
    </w:pPr>
    <w:rPr>
      <w:rFonts w:ascii="Calibri" w:hAnsi="Calibri" w:cs="Times New Roman"/>
      <w:snapToGrid/>
      <w:sz w:val="16"/>
      <w:szCs w:val="22"/>
    </w:rPr>
  </w:style>
  <w:style w:type="character" w:customStyle="1" w:styleId="TableNotesChar0">
    <w:name w:val="Table Notes Char"/>
    <w:basedOn w:val="DefaultParagraphFont"/>
    <w:link w:val="TableNotes1"/>
    <w:locked/>
    <w:rsid w:val="002917A0"/>
    <w:rPr>
      <w:rFonts w:ascii="Calibri" w:hAnsi="Calibri"/>
      <w:sz w:val="16"/>
      <w:szCs w:val="22"/>
      <w:lang w:eastAsia="en-US"/>
    </w:rPr>
  </w:style>
  <w:style w:type="paragraph" w:customStyle="1" w:styleId="TableLeft">
    <w:name w:val="Table Left"/>
    <w:basedOn w:val="TableCentred"/>
    <w:link w:val="TableLeftChar"/>
    <w:uiPriority w:val="99"/>
    <w:qFormat/>
    <w:rsid w:val="002917A0"/>
    <w:pPr>
      <w:spacing w:line="240" w:lineRule="auto"/>
      <w:jc w:val="left"/>
    </w:pPr>
  </w:style>
  <w:style w:type="paragraph" w:customStyle="1" w:styleId="TableCentred">
    <w:name w:val="Table Centred"/>
    <w:basedOn w:val="Normal"/>
    <w:link w:val="TableCentredChar"/>
    <w:uiPriority w:val="5"/>
    <w:qFormat/>
    <w:rsid w:val="002917A0"/>
    <w:pPr>
      <w:widowControl/>
      <w:spacing w:line="276" w:lineRule="auto"/>
      <w:jc w:val="center"/>
    </w:pPr>
    <w:rPr>
      <w:rFonts w:ascii="Calibri" w:hAnsi="Calibri" w:cs="Times New Roman"/>
      <w:snapToGrid/>
      <w:sz w:val="20"/>
      <w:szCs w:val="22"/>
    </w:rPr>
  </w:style>
  <w:style w:type="character" w:customStyle="1" w:styleId="TableCentredChar">
    <w:name w:val="Table Centred Char"/>
    <w:basedOn w:val="DefaultParagraphFont"/>
    <w:link w:val="TableCentred"/>
    <w:uiPriority w:val="5"/>
    <w:locked/>
    <w:rsid w:val="002917A0"/>
    <w:rPr>
      <w:rFonts w:ascii="Calibri" w:hAnsi="Calibri"/>
      <w:szCs w:val="22"/>
      <w:lang w:eastAsia="en-US"/>
    </w:rPr>
  </w:style>
  <w:style w:type="character" w:customStyle="1" w:styleId="TableLeftChar">
    <w:name w:val="Table Left Char"/>
    <w:basedOn w:val="TableCentredChar"/>
    <w:link w:val="TableLeft"/>
    <w:uiPriority w:val="99"/>
    <w:locked/>
    <w:rsid w:val="002917A0"/>
    <w:rPr>
      <w:rFonts w:ascii="Calibri" w:hAnsi="Calibri"/>
      <w:szCs w:val="22"/>
      <w:lang w:eastAsia="en-US"/>
    </w:rPr>
  </w:style>
  <w:style w:type="paragraph" w:customStyle="1" w:styleId="TableTitle">
    <w:name w:val="TableTitle"/>
    <w:basedOn w:val="BodyText"/>
    <w:next w:val="BodyText"/>
    <w:link w:val="TableTitleChar"/>
    <w:rsid w:val="002917A0"/>
    <w:pPr>
      <w:keepNext/>
      <w:widowControl/>
      <w:tabs>
        <w:tab w:val="left" w:pos="1559"/>
      </w:tabs>
      <w:spacing w:after="60"/>
      <w:ind w:left="1559" w:hanging="1559"/>
    </w:pPr>
    <w:rPr>
      <w:rFonts w:ascii="Calibri" w:hAnsi="Calibri"/>
      <w:b/>
      <w:snapToGrid/>
      <w:sz w:val="24"/>
      <w:szCs w:val="24"/>
    </w:rPr>
  </w:style>
  <w:style w:type="character" w:customStyle="1" w:styleId="TableTitleChar">
    <w:name w:val="TableTitle Char"/>
    <w:basedOn w:val="BodyTextChar"/>
    <w:link w:val="TableTitle"/>
    <w:rsid w:val="002917A0"/>
    <w:rPr>
      <w:rFonts w:ascii="Calibri" w:hAnsi="Calibri" w:cs="Arial"/>
      <w:b/>
      <w:snapToGrid/>
      <w:sz w:val="24"/>
      <w:szCs w:val="24"/>
      <w:lang w:eastAsia="en-US"/>
    </w:rPr>
  </w:style>
  <w:style w:type="paragraph" w:customStyle="1" w:styleId="StyleTable9Calibri">
    <w:name w:val="Style Table9 + Calibri"/>
    <w:basedOn w:val="Normal"/>
    <w:autoRedefine/>
    <w:rsid w:val="002917A0"/>
    <w:pPr>
      <w:widowControl/>
      <w:jc w:val="left"/>
    </w:pPr>
    <w:rPr>
      <w:rFonts w:ascii="Calibri" w:eastAsia="SimSun" w:hAnsi="Calibri" w:cs="Times New Roman"/>
      <w:snapToGrid/>
      <w:sz w:val="20"/>
      <w:szCs w:val="18"/>
      <w:lang w:eastAsia="zh-CN"/>
    </w:rPr>
  </w:style>
  <w:style w:type="character" w:styleId="FollowedHyperlink">
    <w:name w:val="FollowedHyperlink"/>
    <w:basedOn w:val="DefaultParagraphFont"/>
    <w:semiHidden/>
    <w:unhideWhenUsed/>
    <w:rsid w:val="00BB11B2"/>
    <w:rPr>
      <w:color w:val="800080" w:themeColor="followedHyperlink"/>
      <w:u w:val="single"/>
    </w:rPr>
  </w:style>
  <w:style w:type="paragraph" w:customStyle="1" w:styleId="TableFigureFootnote">
    <w:name w:val="Table &amp; Figure Footnote"/>
    <w:basedOn w:val="BodyText"/>
    <w:next w:val="BodyText"/>
    <w:qFormat/>
    <w:rsid w:val="004A1B32"/>
    <w:pPr>
      <w:widowControl/>
      <w:spacing w:before="20" w:after="20"/>
      <w:jc w:val="both"/>
    </w:pPr>
    <w:rPr>
      <w:rFonts w:cs="Times New Roman"/>
      <w:snapToGrid/>
      <w:sz w:val="16"/>
      <w:szCs w:val="24"/>
    </w:rPr>
  </w:style>
  <w:style w:type="character" w:customStyle="1" w:styleId="Heading1Char">
    <w:name w:val="Heading 1 Char"/>
    <w:basedOn w:val="DefaultParagraphFont"/>
    <w:link w:val="Heading1"/>
    <w:rsid w:val="00766308"/>
    <w:rPr>
      <w:rFonts w:ascii="Arial Bold" w:hAnsi="Arial Bold" w:cs="Arial"/>
      <w:b/>
      <w:caps/>
      <w:snapToGrid w:val="0"/>
      <w:sz w:val="22"/>
      <w:lang w:eastAsia="en-US"/>
    </w:rPr>
  </w:style>
  <w:style w:type="character" w:customStyle="1" w:styleId="NormalFont">
    <w:name w:val="Normal Font"/>
    <w:basedOn w:val="DefaultParagraphFont"/>
    <w:uiPriority w:val="99"/>
    <w:qFormat/>
    <w:rsid w:val="00017ED5"/>
    <w:rPr>
      <w:rFonts w:ascii="Calibri" w:hAnsi="Calibri" w:cs="Times New Roman"/>
      <w:sz w:val="24"/>
    </w:rPr>
  </w:style>
  <w:style w:type="character" w:customStyle="1" w:styleId="st">
    <w:name w:val="st"/>
    <w:basedOn w:val="DefaultParagraphFont"/>
    <w:rsid w:val="008C1C4B"/>
  </w:style>
  <w:style w:type="table" w:customStyle="1" w:styleId="TableGrid1">
    <w:name w:val="Table Grid1"/>
    <w:basedOn w:val="TableNormal"/>
    <w:next w:val="TableGrid"/>
    <w:uiPriority w:val="59"/>
    <w:rsid w:val="004A108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415C2B"/>
    <w:pPr>
      <w:widowControl/>
      <w:spacing w:after="160" w:line="240" w:lineRule="exact"/>
      <w:jc w:val="left"/>
    </w:pPr>
    <w:rPr>
      <w:rFonts w:ascii="Verdana" w:eastAsia="MS Mincho" w:hAnsi="Verdana" w:cs="Verdana"/>
      <w:snapToGrid/>
      <w:sz w:val="20"/>
      <w:lang w:val="en-US"/>
    </w:rPr>
  </w:style>
  <w:style w:type="paragraph" w:customStyle="1" w:styleId="PBACheading10">
    <w:name w:val="PBAC heading 1"/>
    <w:qFormat/>
    <w:rsid w:val="00963A67"/>
    <w:pPr>
      <w:ind w:left="720" w:hanging="720"/>
      <w:outlineLvl w:val="0"/>
    </w:pPr>
    <w:rPr>
      <w:rFonts w:ascii="Arial" w:hAnsi="Arial" w:cs="Arial"/>
      <w:b/>
      <w:snapToGrid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489675">
      <w:bodyDiv w:val="1"/>
      <w:marLeft w:val="0"/>
      <w:marRight w:val="0"/>
      <w:marTop w:val="0"/>
      <w:marBottom w:val="0"/>
      <w:divBdr>
        <w:top w:val="none" w:sz="0" w:space="0" w:color="auto"/>
        <w:left w:val="none" w:sz="0" w:space="0" w:color="auto"/>
        <w:bottom w:val="none" w:sz="0" w:space="0" w:color="auto"/>
        <w:right w:val="none" w:sz="0" w:space="0" w:color="auto"/>
      </w:divBdr>
    </w:div>
    <w:div w:id="83382530">
      <w:bodyDiv w:val="1"/>
      <w:marLeft w:val="0"/>
      <w:marRight w:val="0"/>
      <w:marTop w:val="0"/>
      <w:marBottom w:val="0"/>
      <w:divBdr>
        <w:top w:val="none" w:sz="0" w:space="0" w:color="auto"/>
        <w:left w:val="none" w:sz="0" w:space="0" w:color="auto"/>
        <w:bottom w:val="none" w:sz="0" w:space="0" w:color="auto"/>
        <w:right w:val="none" w:sz="0" w:space="0" w:color="auto"/>
      </w:divBdr>
    </w:div>
    <w:div w:id="463932538">
      <w:bodyDiv w:val="1"/>
      <w:marLeft w:val="0"/>
      <w:marRight w:val="0"/>
      <w:marTop w:val="0"/>
      <w:marBottom w:val="0"/>
      <w:divBdr>
        <w:top w:val="none" w:sz="0" w:space="0" w:color="auto"/>
        <w:left w:val="none" w:sz="0" w:space="0" w:color="auto"/>
        <w:bottom w:val="none" w:sz="0" w:space="0" w:color="auto"/>
        <w:right w:val="none" w:sz="0" w:space="0" w:color="auto"/>
      </w:divBdr>
    </w:div>
    <w:div w:id="643197827">
      <w:bodyDiv w:val="1"/>
      <w:marLeft w:val="0"/>
      <w:marRight w:val="0"/>
      <w:marTop w:val="0"/>
      <w:marBottom w:val="0"/>
      <w:divBdr>
        <w:top w:val="none" w:sz="0" w:space="0" w:color="auto"/>
        <w:left w:val="none" w:sz="0" w:space="0" w:color="auto"/>
        <w:bottom w:val="none" w:sz="0" w:space="0" w:color="auto"/>
        <w:right w:val="none" w:sz="0" w:space="0" w:color="auto"/>
      </w:divBdr>
    </w:div>
    <w:div w:id="1167211481">
      <w:bodyDiv w:val="1"/>
      <w:marLeft w:val="0"/>
      <w:marRight w:val="0"/>
      <w:marTop w:val="0"/>
      <w:marBottom w:val="0"/>
      <w:divBdr>
        <w:top w:val="none" w:sz="0" w:space="0" w:color="auto"/>
        <w:left w:val="none" w:sz="0" w:space="0" w:color="auto"/>
        <w:bottom w:val="none" w:sz="0" w:space="0" w:color="auto"/>
        <w:right w:val="none" w:sz="0" w:space="0" w:color="auto"/>
      </w:divBdr>
    </w:div>
    <w:div w:id="1219166228">
      <w:bodyDiv w:val="1"/>
      <w:marLeft w:val="0"/>
      <w:marRight w:val="0"/>
      <w:marTop w:val="0"/>
      <w:marBottom w:val="0"/>
      <w:divBdr>
        <w:top w:val="none" w:sz="0" w:space="0" w:color="auto"/>
        <w:left w:val="none" w:sz="0" w:space="0" w:color="auto"/>
        <w:bottom w:val="none" w:sz="0" w:space="0" w:color="auto"/>
        <w:right w:val="none" w:sz="0" w:space="0" w:color="auto"/>
      </w:divBdr>
    </w:div>
    <w:div w:id="1221406665">
      <w:bodyDiv w:val="1"/>
      <w:marLeft w:val="0"/>
      <w:marRight w:val="0"/>
      <w:marTop w:val="0"/>
      <w:marBottom w:val="0"/>
      <w:divBdr>
        <w:top w:val="none" w:sz="0" w:space="0" w:color="auto"/>
        <w:left w:val="none" w:sz="0" w:space="0" w:color="auto"/>
        <w:bottom w:val="none" w:sz="0" w:space="0" w:color="auto"/>
        <w:right w:val="none" w:sz="0" w:space="0" w:color="auto"/>
      </w:divBdr>
    </w:div>
    <w:div w:id="1341009760">
      <w:bodyDiv w:val="1"/>
      <w:marLeft w:val="0"/>
      <w:marRight w:val="0"/>
      <w:marTop w:val="0"/>
      <w:marBottom w:val="0"/>
      <w:divBdr>
        <w:top w:val="none" w:sz="0" w:space="0" w:color="auto"/>
        <w:left w:val="none" w:sz="0" w:space="0" w:color="auto"/>
        <w:bottom w:val="none" w:sz="0" w:space="0" w:color="auto"/>
        <w:right w:val="none" w:sz="0" w:space="0" w:color="auto"/>
      </w:divBdr>
    </w:div>
    <w:div w:id="1465390671">
      <w:bodyDiv w:val="1"/>
      <w:marLeft w:val="0"/>
      <w:marRight w:val="0"/>
      <w:marTop w:val="0"/>
      <w:marBottom w:val="0"/>
      <w:divBdr>
        <w:top w:val="none" w:sz="0" w:space="0" w:color="auto"/>
        <w:left w:val="none" w:sz="0" w:space="0" w:color="auto"/>
        <w:bottom w:val="none" w:sz="0" w:space="0" w:color="auto"/>
        <w:right w:val="none" w:sz="0" w:space="0" w:color="auto"/>
      </w:divBdr>
    </w:div>
    <w:div w:id="2080864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57336C-62C5-4C72-BCE7-607FFC449D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7705</Words>
  <Characters>43195</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50799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2017-02-21T04:41:00Z</dcterms:created>
  <dcterms:modified xsi:type="dcterms:W3CDTF">2017-02-21T22:09:00Z</dcterms:modified>
</cp:coreProperties>
</file>