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59" w:rsidRPr="00CB59BF" w:rsidRDefault="00F31759" w:rsidP="00B36939">
      <w:pPr>
        <w:pStyle w:val="Heading1"/>
        <w:jc w:val="left"/>
      </w:pPr>
      <w:bookmarkStart w:id="0" w:name="_Toc461101492"/>
      <w:r w:rsidRPr="00CB59BF">
        <w:t>5.10</w:t>
      </w:r>
      <w:r w:rsidR="00B60939" w:rsidRPr="00CB59BF">
        <w:tab/>
      </w:r>
      <w:r w:rsidR="00F35087" w:rsidRPr="00CB59BF">
        <w:t>PALIPERIDONE</w:t>
      </w:r>
      <w:bookmarkStart w:id="1" w:name="_Toc461101493"/>
      <w:bookmarkEnd w:id="0"/>
      <w:r w:rsidR="00B36939" w:rsidRPr="00CB59BF">
        <w:br/>
      </w:r>
      <w:r w:rsidRPr="00CB59BF">
        <w:t>I</w:t>
      </w:r>
      <w:r w:rsidR="00F35087" w:rsidRPr="00CB59BF">
        <w:t>njection</w:t>
      </w:r>
      <w:r w:rsidR="00B60939" w:rsidRPr="00CB59BF">
        <w:t xml:space="preserve">, </w:t>
      </w:r>
      <w:r w:rsidR="00F35087" w:rsidRPr="00CB59BF">
        <w:t>175, 263, 350, 525</w:t>
      </w:r>
      <w:r w:rsidR="00EE6B80">
        <w:t xml:space="preserve"> </w:t>
      </w:r>
      <w:r w:rsidR="00F35087" w:rsidRPr="00CB59BF">
        <w:t>mg</w:t>
      </w:r>
      <w:bookmarkStart w:id="2" w:name="_Toc461101494"/>
      <w:bookmarkEnd w:id="1"/>
      <w:r w:rsidR="00B36939" w:rsidRPr="00CB59BF">
        <w:br/>
      </w:r>
      <w:proofErr w:type="spellStart"/>
      <w:r w:rsidR="00F35087" w:rsidRPr="00CB59BF">
        <w:t>Invega</w:t>
      </w:r>
      <w:proofErr w:type="spellEnd"/>
      <w:r w:rsidR="00F35087" w:rsidRPr="00CB59BF">
        <w:t xml:space="preserve">® </w:t>
      </w:r>
      <w:proofErr w:type="spellStart"/>
      <w:r w:rsidR="00F35087" w:rsidRPr="00CB59BF">
        <w:t>Trinza</w:t>
      </w:r>
      <w:proofErr w:type="spellEnd"/>
      <w:r w:rsidR="00F35087" w:rsidRPr="00CB59BF">
        <w:t>™</w:t>
      </w:r>
      <w:bookmarkEnd w:id="2"/>
    </w:p>
    <w:p w:rsidR="00B60939" w:rsidRPr="00CB59BF" w:rsidRDefault="00F35087" w:rsidP="00A950E8">
      <w:pPr>
        <w:pStyle w:val="Heading1"/>
        <w:ind w:firstLine="0"/>
      </w:pPr>
      <w:bookmarkStart w:id="3" w:name="_Toc461101495"/>
      <w:r w:rsidRPr="00CB59BF">
        <w:t>Janssen-</w:t>
      </w:r>
      <w:proofErr w:type="spellStart"/>
      <w:r w:rsidRPr="00CB59BF">
        <w:t>Cilag</w:t>
      </w:r>
      <w:proofErr w:type="spellEnd"/>
      <w:r w:rsidRPr="00CB59BF">
        <w:t xml:space="preserve"> Pty Ltd</w:t>
      </w:r>
      <w:bookmarkEnd w:id="3"/>
      <w:r w:rsidR="00A03221">
        <w:t>.</w:t>
      </w:r>
    </w:p>
    <w:p w:rsidR="00433044" w:rsidRPr="00CB59BF" w:rsidRDefault="00433044" w:rsidP="00B36939">
      <w:pPr>
        <w:ind w:right="96"/>
      </w:pPr>
    </w:p>
    <w:p w:rsidR="00B60939" w:rsidRPr="00CB59BF" w:rsidRDefault="00B60939" w:rsidP="00207D00"/>
    <w:p w:rsidR="00B50DB8" w:rsidRPr="00CB59BF" w:rsidRDefault="00B50DB8" w:rsidP="00A950E8">
      <w:pPr>
        <w:pStyle w:val="Heading2"/>
      </w:pPr>
      <w:bookmarkStart w:id="4" w:name="_Toc461101497"/>
      <w:r w:rsidRPr="00CB59BF">
        <w:t>Purpose of Application</w:t>
      </w:r>
      <w:bookmarkEnd w:id="4"/>
    </w:p>
    <w:p w:rsidR="00B60939" w:rsidRPr="00CB59BF" w:rsidRDefault="00B60939" w:rsidP="00B60939">
      <w:pPr>
        <w:rPr>
          <w:szCs w:val="22"/>
        </w:rPr>
      </w:pPr>
    </w:p>
    <w:p w:rsidR="002C2775" w:rsidRPr="00CB59BF" w:rsidRDefault="00884E65" w:rsidP="009026B4">
      <w:pPr>
        <w:pStyle w:val="ListParagraph"/>
        <w:widowControl/>
        <w:numPr>
          <w:ilvl w:val="1"/>
          <w:numId w:val="6"/>
        </w:numPr>
        <w:rPr>
          <w:szCs w:val="22"/>
        </w:rPr>
      </w:pPr>
      <w:r w:rsidRPr="00CB59BF">
        <w:t>Authority Required (STREAMLINED)</w:t>
      </w:r>
      <w:r w:rsidR="001E238E" w:rsidRPr="00CB59BF">
        <w:t xml:space="preserve"> listing for </w:t>
      </w:r>
      <w:r w:rsidR="008042A1">
        <w:t xml:space="preserve">PP3M </w:t>
      </w:r>
      <w:r w:rsidRPr="00CB59BF">
        <w:t>long acting injectable (LAI) antipsychotic</w:t>
      </w:r>
      <w:r w:rsidR="001E238E" w:rsidRPr="00CB59BF">
        <w:t xml:space="preserve"> for treatment of </w:t>
      </w:r>
      <w:r w:rsidRPr="00CB59BF">
        <w:t xml:space="preserve">patients with schizophrenia who have been adequately treated with </w:t>
      </w:r>
      <w:r w:rsidR="008042A1">
        <w:t xml:space="preserve">Paliperidone one month </w:t>
      </w:r>
      <w:r w:rsidRPr="00CB59BF">
        <w:t>LAI for at least four months</w:t>
      </w:r>
      <w:r w:rsidR="001E238E" w:rsidRPr="00CB59BF">
        <w:t>.</w:t>
      </w:r>
    </w:p>
    <w:p w:rsidR="00B60939" w:rsidRPr="00CB59BF" w:rsidRDefault="00B60939" w:rsidP="004B1CB4"/>
    <w:p w:rsidR="00B50DB8" w:rsidRPr="00CB59BF" w:rsidRDefault="00B50DB8" w:rsidP="00A950E8">
      <w:pPr>
        <w:pStyle w:val="Heading2"/>
      </w:pPr>
      <w:bookmarkStart w:id="5" w:name="_Toc461101498"/>
      <w:r w:rsidRPr="00CB59BF">
        <w:t>Requested listing</w:t>
      </w:r>
      <w:bookmarkEnd w:id="5"/>
    </w:p>
    <w:p w:rsidR="007C1F44" w:rsidRPr="00CB59BF" w:rsidRDefault="007C1F44" w:rsidP="007C1F44"/>
    <w:p w:rsidR="007C1F44" w:rsidRPr="00CB59BF" w:rsidRDefault="007C1F44" w:rsidP="007C1F44">
      <w:pPr>
        <w:pStyle w:val="ListParagraph"/>
        <w:widowControl/>
        <w:numPr>
          <w:ilvl w:val="1"/>
          <w:numId w:val="6"/>
        </w:numPr>
      </w:pPr>
      <w:r w:rsidRPr="00CB59BF">
        <w:t>Suggestions and additions proposed by the Secretariat to the requested listing are added in italics and suggested deletions are crossed out with strikethrough.</w:t>
      </w:r>
    </w:p>
    <w:p w:rsidR="00A950E8" w:rsidRPr="00F419D7" w:rsidRDefault="00A950E8" w:rsidP="00F419D7">
      <w:pPr>
        <w:widowControl/>
        <w:jc w:val="left"/>
        <w:rPr>
          <w:b/>
          <w:szCs w:val="22"/>
        </w:rPr>
      </w:pPr>
    </w:p>
    <w:tbl>
      <w:tblPr>
        <w:tblW w:w="4608" w:type="pct"/>
        <w:tblInd w:w="737" w:type="dxa"/>
        <w:tblCellMar>
          <w:left w:w="28" w:type="dxa"/>
          <w:right w:w="28" w:type="dxa"/>
        </w:tblCellMar>
        <w:tblLook w:val="0000" w:firstRow="0" w:lastRow="0" w:firstColumn="0" w:lastColumn="0" w:noHBand="0" w:noVBand="0"/>
      </w:tblPr>
      <w:tblGrid>
        <w:gridCol w:w="1984"/>
        <w:gridCol w:w="748"/>
        <w:gridCol w:w="603"/>
        <w:gridCol w:w="904"/>
        <w:gridCol w:w="1811"/>
        <w:gridCol w:w="936"/>
        <w:gridCol w:w="1385"/>
      </w:tblGrid>
      <w:tr w:rsidR="00F01A6D" w:rsidRPr="00CB59BF" w:rsidTr="002A367F">
        <w:trPr>
          <w:cantSplit/>
          <w:trHeight w:val="471"/>
        </w:trPr>
        <w:tc>
          <w:tcPr>
            <w:tcW w:w="1632" w:type="pct"/>
            <w:gridSpan w:val="2"/>
            <w:tcBorders>
              <w:bottom w:val="single" w:sz="4" w:space="0" w:color="auto"/>
            </w:tcBorders>
          </w:tcPr>
          <w:p w:rsidR="00F01A6D" w:rsidRPr="00CB59BF" w:rsidRDefault="00F01A6D" w:rsidP="00982F22">
            <w:pPr>
              <w:keepNext/>
              <w:rPr>
                <w:sz w:val="20"/>
              </w:rPr>
            </w:pPr>
            <w:r w:rsidRPr="00CB59BF">
              <w:rPr>
                <w:sz w:val="20"/>
              </w:rPr>
              <w:t>Name, Restriction,</w:t>
            </w:r>
          </w:p>
          <w:p w:rsidR="00F01A6D" w:rsidRPr="00CB59BF" w:rsidRDefault="00F01A6D" w:rsidP="00982F22">
            <w:pPr>
              <w:keepNext/>
              <w:rPr>
                <w:sz w:val="20"/>
              </w:rPr>
            </w:pPr>
            <w:r w:rsidRPr="00CB59BF">
              <w:rPr>
                <w:sz w:val="20"/>
              </w:rPr>
              <w:t>Manner of administration and form</w:t>
            </w:r>
          </w:p>
        </w:tc>
        <w:tc>
          <w:tcPr>
            <w:tcW w:w="360" w:type="pct"/>
            <w:tcBorders>
              <w:bottom w:val="single" w:sz="4" w:space="0" w:color="auto"/>
            </w:tcBorders>
          </w:tcPr>
          <w:p w:rsidR="00F01A6D" w:rsidRPr="00CB59BF" w:rsidRDefault="00F01A6D" w:rsidP="00982F22">
            <w:pPr>
              <w:keepNext/>
              <w:jc w:val="center"/>
              <w:rPr>
                <w:sz w:val="20"/>
              </w:rPr>
            </w:pPr>
            <w:r w:rsidRPr="00CB59BF">
              <w:rPr>
                <w:sz w:val="20"/>
              </w:rPr>
              <w:t>Max.</w:t>
            </w:r>
          </w:p>
          <w:p w:rsidR="00F01A6D" w:rsidRPr="00CB59BF" w:rsidRDefault="00F01A6D" w:rsidP="00982F22">
            <w:pPr>
              <w:keepNext/>
              <w:jc w:val="center"/>
              <w:rPr>
                <w:sz w:val="20"/>
              </w:rPr>
            </w:pPr>
            <w:r w:rsidRPr="00CB59BF">
              <w:rPr>
                <w:sz w:val="20"/>
              </w:rPr>
              <w:t>Qty</w:t>
            </w:r>
          </w:p>
        </w:tc>
        <w:tc>
          <w:tcPr>
            <w:tcW w:w="540" w:type="pct"/>
            <w:tcBorders>
              <w:bottom w:val="single" w:sz="4" w:space="0" w:color="auto"/>
            </w:tcBorders>
          </w:tcPr>
          <w:p w:rsidR="00F01A6D" w:rsidRPr="00CB59BF" w:rsidRDefault="00F01A6D" w:rsidP="00982F22">
            <w:pPr>
              <w:keepNext/>
              <w:jc w:val="center"/>
              <w:rPr>
                <w:sz w:val="20"/>
              </w:rPr>
            </w:pPr>
            <w:r w:rsidRPr="00CB59BF">
              <w:rPr>
                <w:sz w:val="20"/>
              </w:rPr>
              <w:t>№.of</w:t>
            </w:r>
          </w:p>
          <w:p w:rsidR="00F01A6D" w:rsidRPr="00CB59BF" w:rsidRDefault="00F01A6D" w:rsidP="00982F22">
            <w:pPr>
              <w:keepNext/>
              <w:jc w:val="center"/>
              <w:rPr>
                <w:sz w:val="20"/>
              </w:rPr>
            </w:pPr>
            <w:r w:rsidRPr="00CB59BF">
              <w:rPr>
                <w:sz w:val="20"/>
              </w:rPr>
              <w:t>Rpts</w:t>
            </w:r>
          </w:p>
        </w:tc>
        <w:tc>
          <w:tcPr>
            <w:tcW w:w="1082" w:type="pct"/>
            <w:tcBorders>
              <w:bottom w:val="single" w:sz="4" w:space="0" w:color="auto"/>
            </w:tcBorders>
          </w:tcPr>
          <w:p w:rsidR="00F01A6D" w:rsidRPr="00CB59BF" w:rsidRDefault="00F01A6D" w:rsidP="00982F22">
            <w:pPr>
              <w:keepNext/>
              <w:jc w:val="center"/>
              <w:rPr>
                <w:sz w:val="20"/>
              </w:rPr>
            </w:pPr>
            <w:r w:rsidRPr="00CB59BF">
              <w:rPr>
                <w:sz w:val="20"/>
              </w:rPr>
              <w:t>Dispensed Price for Max. Qty</w:t>
            </w:r>
          </w:p>
        </w:tc>
        <w:tc>
          <w:tcPr>
            <w:tcW w:w="1386" w:type="pct"/>
            <w:gridSpan w:val="2"/>
            <w:tcBorders>
              <w:bottom w:val="single" w:sz="4" w:space="0" w:color="auto"/>
            </w:tcBorders>
          </w:tcPr>
          <w:p w:rsidR="00F01A6D" w:rsidRPr="00CB59BF" w:rsidRDefault="00F01A6D" w:rsidP="00982F22">
            <w:pPr>
              <w:keepNext/>
              <w:jc w:val="center"/>
              <w:rPr>
                <w:sz w:val="20"/>
                <w:lang w:val="fr-FR"/>
              </w:rPr>
            </w:pPr>
            <w:r w:rsidRPr="00CB59BF">
              <w:rPr>
                <w:sz w:val="20"/>
              </w:rPr>
              <w:t>Proprietary Name and Manufacturer</w:t>
            </w:r>
          </w:p>
        </w:tc>
      </w:tr>
      <w:tr w:rsidR="00F01A6D" w:rsidRPr="00CB59BF" w:rsidTr="002A367F">
        <w:trPr>
          <w:cantSplit/>
          <w:trHeight w:val="577"/>
        </w:trPr>
        <w:tc>
          <w:tcPr>
            <w:tcW w:w="1632" w:type="pct"/>
            <w:gridSpan w:val="2"/>
          </w:tcPr>
          <w:p w:rsidR="00F01A6D" w:rsidRPr="00CB59BF" w:rsidRDefault="00F01A6D" w:rsidP="00982F22">
            <w:pPr>
              <w:keepNext/>
              <w:jc w:val="left"/>
              <w:rPr>
                <w:rFonts w:ascii="Arial Narrow" w:hAnsi="Arial Narrow"/>
                <w:sz w:val="20"/>
              </w:rPr>
            </w:pPr>
            <w:r w:rsidRPr="00CB59BF">
              <w:rPr>
                <w:smallCaps/>
                <w:sz w:val="20"/>
              </w:rPr>
              <w:t xml:space="preserve">Paliperidone </w:t>
            </w:r>
            <w:r w:rsidRPr="00CB59BF">
              <w:rPr>
                <w:rFonts w:ascii="Arial Narrow" w:hAnsi="Arial Narrow"/>
                <w:sz w:val="20"/>
              </w:rPr>
              <w:t xml:space="preserve"> PALMITATE</w:t>
            </w:r>
          </w:p>
          <w:p w:rsidR="00F01A6D" w:rsidRPr="00CB59BF" w:rsidRDefault="00F01A6D" w:rsidP="00982F22">
            <w:pPr>
              <w:keepNext/>
              <w:jc w:val="left"/>
              <w:rPr>
                <w:rFonts w:ascii="Arial Narrow" w:hAnsi="Arial Narrow"/>
                <w:sz w:val="20"/>
              </w:rPr>
            </w:pPr>
            <w:r w:rsidRPr="00CB59BF">
              <w:rPr>
                <w:rFonts w:ascii="Arial Narrow" w:hAnsi="Arial Narrow"/>
                <w:sz w:val="20"/>
              </w:rPr>
              <w:t>Aqueous solution for injection, 273mg, prefilled syringe</w:t>
            </w:r>
          </w:p>
          <w:p w:rsidR="00F01A6D" w:rsidRPr="00CB59BF" w:rsidRDefault="00F01A6D" w:rsidP="00982F22">
            <w:pPr>
              <w:keepNext/>
              <w:rPr>
                <w:rFonts w:ascii="Arial Narrow" w:hAnsi="Arial Narrow"/>
                <w:sz w:val="20"/>
              </w:rPr>
            </w:pPr>
            <w:r w:rsidRPr="00CB59BF">
              <w:rPr>
                <w:rFonts w:ascii="Arial Narrow" w:hAnsi="Arial Narrow"/>
                <w:sz w:val="20"/>
              </w:rPr>
              <w:t>Aqueous solution for injection, 410mg, prefilled syringe</w:t>
            </w:r>
          </w:p>
          <w:p w:rsidR="00F01A6D" w:rsidRPr="00CB59BF" w:rsidRDefault="00F01A6D" w:rsidP="00982F22">
            <w:pPr>
              <w:keepNext/>
              <w:rPr>
                <w:rFonts w:ascii="Arial Narrow" w:hAnsi="Arial Narrow"/>
                <w:sz w:val="20"/>
              </w:rPr>
            </w:pPr>
            <w:r w:rsidRPr="00CB59BF">
              <w:rPr>
                <w:rFonts w:ascii="Arial Narrow" w:hAnsi="Arial Narrow"/>
                <w:sz w:val="20"/>
              </w:rPr>
              <w:t>Aqueous solution for injection, 546mg, prefilled syringe</w:t>
            </w:r>
          </w:p>
          <w:p w:rsidR="00F01A6D" w:rsidRPr="00CB59BF" w:rsidRDefault="00F01A6D" w:rsidP="00982F22">
            <w:pPr>
              <w:keepNext/>
              <w:rPr>
                <w:sz w:val="20"/>
              </w:rPr>
            </w:pPr>
            <w:r w:rsidRPr="00CB59BF">
              <w:rPr>
                <w:rFonts w:ascii="Arial Narrow" w:hAnsi="Arial Narrow"/>
                <w:sz w:val="20"/>
              </w:rPr>
              <w:t>Aqueous solution for injection, 819mg, prefilled syringe</w:t>
            </w:r>
          </w:p>
        </w:tc>
        <w:tc>
          <w:tcPr>
            <w:tcW w:w="360" w:type="pct"/>
          </w:tcPr>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tc>
        <w:tc>
          <w:tcPr>
            <w:tcW w:w="540" w:type="pct"/>
          </w:tcPr>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p w:rsidR="00F01A6D" w:rsidRPr="00CB59BF" w:rsidRDefault="00F01A6D" w:rsidP="00982F22">
            <w:pPr>
              <w:keepNext/>
              <w:jc w:val="center"/>
              <w:rPr>
                <w:sz w:val="20"/>
              </w:rPr>
            </w:pPr>
          </w:p>
          <w:p w:rsidR="00F01A6D" w:rsidRPr="00CB59BF" w:rsidRDefault="00F01A6D" w:rsidP="00982F22">
            <w:pPr>
              <w:keepNext/>
              <w:jc w:val="center"/>
              <w:rPr>
                <w:sz w:val="20"/>
              </w:rPr>
            </w:pPr>
            <w:r w:rsidRPr="00CB59BF">
              <w:rPr>
                <w:sz w:val="20"/>
              </w:rPr>
              <w:t>1</w:t>
            </w:r>
          </w:p>
        </w:tc>
        <w:tc>
          <w:tcPr>
            <w:tcW w:w="1082" w:type="pct"/>
          </w:tcPr>
          <w:p w:rsidR="00F01A6D" w:rsidRPr="002A367F" w:rsidRDefault="00F01A6D" w:rsidP="00982F22">
            <w:pPr>
              <w:keepNext/>
              <w:jc w:val="center"/>
              <w:rPr>
                <w:rFonts w:ascii="Arial Narrow" w:hAnsi="Arial Narrow"/>
                <w:sz w:val="20"/>
              </w:rPr>
            </w:pPr>
          </w:p>
          <w:p w:rsidR="00F01A6D" w:rsidRPr="002A367F" w:rsidRDefault="00F01A6D" w:rsidP="00982F22">
            <w:pPr>
              <w:keepNext/>
              <w:jc w:val="center"/>
              <w:rPr>
                <w:rFonts w:ascii="Arial Narrow" w:hAnsi="Arial Narrow"/>
                <w:sz w:val="20"/>
              </w:rPr>
            </w:pPr>
            <w:r w:rsidRPr="002A367F">
              <w:rPr>
                <w:rFonts w:ascii="Arial Narrow" w:hAnsi="Arial Narrow"/>
                <w:sz w:val="20"/>
              </w:rPr>
              <w:t>$</w:t>
            </w:r>
            <w:r w:rsidR="009B013E">
              <w:rPr>
                <w:rFonts w:ascii="Arial Narrow" w:hAnsi="Arial Narrow"/>
                <w:noProof/>
                <w:color w:val="000000"/>
                <w:sz w:val="20"/>
                <w:highlight w:val="black"/>
              </w:rPr>
              <w:t>'''''''''''''''</w:t>
            </w:r>
          </w:p>
          <w:p w:rsidR="00F01A6D" w:rsidRPr="002A367F" w:rsidRDefault="00F01A6D" w:rsidP="00982F22">
            <w:pPr>
              <w:keepNext/>
              <w:jc w:val="center"/>
              <w:rPr>
                <w:rFonts w:ascii="Arial Narrow" w:hAnsi="Arial Narrow"/>
                <w:sz w:val="20"/>
              </w:rPr>
            </w:pPr>
          </w:p>
          <w:p w:rsidR="00F01A6D" w:rsidRPr="002A367F" w:rsidRDefault="00F01A6D" w:rsidP="00982F22">
            <w:pPr>
              <w:keepNext/>
              <w:jc w:val="center"/>
              <w:rPr>
                <w:rFonts w:ascii="Arial Narrow" w:hAnsi="Arial Narrow"/>
                <w:sz w:val="20"/>
              </w:rPr>
            </w:pPr>
            <w:r w:rsidRPr="002A367F">
              <w:rPr>
                <w:rFonts w:ascii="Arial Narrow" w:hAnsi="Arial Narrow"/>
                <w:sz w:val="20"/>
              </w:rPr>
              <w:t>$</w:t>
            </w:r>
            <w:r w:rsidR="009B013E">
              <w:rPr>
                <w:rFonts w:ascii="Arial Narrow" w:hAnsi="Arial Narrow"/>
                <w:noProof/>
                <w:color w:val="000000"/>
                <w:sz w:val="20"/>
                <w:highlight w:val="black"/>
              </w:rPr>
              <w:t>'''''''''''''''''''''</w:t>
            </w:r>
          </w:p>
          <w:p w:rsidR="00F01A6D" w:rsidRPr="002A367F" w:rsidRDefault="00F01A6D" w:rsidP="00982F22">
            <w:pPr>
              <w:keepNext/>
              <w:jc w:val="center"/>
              <w:rPr>
                <w:rFonts w:ascii="Arial Narrow" w:hAnsi="Arial Narrow"/>
                <w:sz w:val="20"/>
              </w:rPr>
            </w:pPr>
          </w:p>
          <w:p w:rsidR="00F01A6D" w:rsidRPr="002A367F" w:rsidRDefault="00F01A6D" w:rsidP="00982F22">
            <w:pPr>
              <w:keepNext/>
              <w:jc w:val="center"/>
              <w:rPr>
                <w:rFonts w:ascii="Arial Narrow" w:hAnsi="Arial Narrow"/>
                <w:sz w:val="20"/>
              </w:rPr>
            </w:pPr>
            <w:r w:rsidRPr="002A367F">
              <w:rPr>
                <w:rFonts w:ascii="Arial Narrow" w:hAnsi="Arial Narrow"/>
                <w:sz w:val="20"/>
              </w:rPr>
              <w:t>$</w:t>
            </w:r>
            <w:r w:rsidR="009B013E">
              <w:rPr>
                <w:rFonts w:ascii="Arial Narrow" w:hAnsi="Arial Narrow"/>
                <w:noProof/>
                <w:color w:val="000000"/>
                <w:sz w:val="20"/>
                <w:highlight w:val="black"/>
              </w:rPr>
              <w:t>''''''''''''''''''''</w:t>
            </w:r>
          </w:p>
          <w:p w:rsidR="00F01A6D" w:rsidRPr="002A367F" w:rsidRDefault="00F01A6D" w:rsidP="00982F22">
            <w:pPr>
              <w:keepNext/>
              <w:jc w:val="center"/>
              <w:rPr>
                <w:rFonts w:ascii="Arial Narrow" w:hAnsi="Arial Narrow"/>
                <w:sz w:val="20"/>
              </w:rPr>
            </w:pPr>
          </w:p>
          <w:p w:rsidR="00F01A6D" w:rsidRPr="002A367F" w:rsidRDefault="00F01A6D" w:rsidP="00982F22">
            <w:pPr>
              <w:keepNext/>
              <w:jc w:val="center"/>
              <w:rPr>
                <w:rFonts w:ascii="Arial Narrow" w:hAnsi="Arial Narrow"/>
                <w:sz w:val="20"/>
              </w:rPr>
            </w:pPr>
            <w:r w:rsidRPr="002A367F">
              <w:rPr>
                <w:rFonts w:ascii="Arial Narrow" w:hAnsi="Arial Narrow"/>
                <w:sz w:val="20"/>
              </w:rPr>
              <w:t>$</w:t>
            </w:r>
            <w:r w:rsidR="009B013E">
              <w:rPr>
                <w:rFonts w:ascii="Arial Narrow" w:hAnsi="Arial Narrow"/>
                <w:noProof/>
                <w:color w:val="000000"/>
                <w:sz w:val="20"/>
                <w:highlight w:val="black"/>
              </w:rPr>
              <w:t>''''''''''''''''''</w:t>
            </w:r>
          </w:p>
        </w:tc>
        <w:tc>
          <w:tcPr>
            <w:tcW w:w="559" w:type="pct"/>
            <w:vAlign w:val="center"/>
          </w:tcPr>
          <w:p w:rsidR="00F01A6D" w:rsidRPr="002A367F" w:rsidRDefault="00F01A6D" w:rsidP="00982F22">
            <w:pPr>
              <w:keepNext/>
              <w:jc w:val="center"/>
              <w:rPr>
                <w:rFonts w:ascii="Arial Narrow" w:hAnsi="Arial Narrow"/>
                <w:sz w:val="20"/>
                <w:vertAlign w:val="superscript"/>
              </w:rPr>
            </w:pPr>
            <w:proofErr w:type="spellStart"/>
            <w:r w:rsidRPr="002A367F">
              <w:rPr>
                <w:rFonts w:ascii="Arial Narrow" w:hAnsi="Arial Narrow"/>
                <w:sz w:val="20"/>
              </w:rPr>
              <w:t>Invega</w:t>
            </w:r>
            <w:proofErr w:type="spellEnd"/>
            <w:r w:rsidRPr="002A367F">
              <w:rPr>
                <w:rFonts w:ascii="Arial Narrow" w:hAnsi="Arial Narrow"/>
                <w:sz w:val="20"/>
                <w:vertAlign w:val="superscript"/>
              </w:rPr>
              <w:t>®</w:t>
            </w:r>
            <w:r w:rsidRPr="002A367F">
              <w:rPr>
                <w:rFonts w:ascii="Arial Narrow" w:hAnsi="Arial Narrow"/>
                <w:sz w:val="20"/>
              </w:rPr>
              <w:t xml:space="preserve"> </w:t>
            </w:r>
            <w:proofErr w:type="spellStart"/>
            <w:r w:rsidRPr="002A367F">
              <w:rPr>
                <w:rFonts w:ascii="Arial Narrow" w:hAnsi="Arial Narrow"/>
                <w:sz w:val="20"/>
              </w:rPr>
              <w:t>Trinza</w:t>
            </w:r>
            <w:proofErr w:type="spellEnd"/>
            <w:r w:rsidRPr="002A367F">
              <w:rPr>
                <w:rFonts w:ascii="Arial Narrow" w:hAnsi="Arial Narrow"/>
                <w:sz w:val="20"/>
                <w:vertAlign w:val="superscript"/>
              </w:rPr>
              <w:t>™</w:t>
            </w:r>
          </w:p>
        </w:tc>
        <w:tc>
          <w:tcPr>
            <w:tcW w:w="827" w:type="pct"/>
            <w:vAlign w:val="center"/>
          </w:tcPr>
          <w:p w:rsidR="00F01A6D" w:rsidRPr="002A367F" w:rsidRDefault="00F01A6D" w:rsidP="00982F22">
            <w:pPr>
              <w:keepNext/>
              <w:jc w:val="center"/>
              <w:rPr>
                <w:rFonts w:ascii="Arial Narrow" w:hAnsi="Arial Narrow"/>
                <w:sz w:val="20"/>
              </w:rPr>
            </w:pPr>
            <w:r w:rsidRPr="002A367F">
              <w:rPr>
                <w:rFonts w:ascii="Arial Narrow" w:hAnsi="Arial Narrow"/>
                <w:sz w:val="20"/>
              </w:rPr>
              <w:t>Janssen-</w:t>
            </w:r>
            <w:proofErr w:type="spellStart"/>
            <w:r w:rsidRPr="002A367F">
              <w:rPr>
                <w:rFonts w:ascii="Arial Narrow" w:hAnsi="Arial Narrow"/>
                <w:sz w:val="20"/>
              </w:rPr>
              <w:t>Cilag</w:t>
            </w:r>
            <w:proofErr w:type="spellEnd"/>
            <w:r w:rsidRPr="002A367F">
              <w:rPr>
                <w:rFonts w:ascii="Arial Narrow" w:hAnsi="Arial Narrow"/>
                <w:sz w:val="20"/>
              </w:rPr>
              <w:t xml:space="preserve"> Pty Ltd.</w:t>
            </w:r>
          </w:p>
        </w:tc>
      </w:tr>
      <w:tr w:rsidR="005C422C" w:rsidRPr="00CB59BF" w:rsidTr="00F01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 xml:space="preserve">Category / </w:t>
            </w:r>
          </w:p>
          <w:p w:rsidR="005C422C" w:rsidRPr="00CB59BF" w:rsidRDefault="005C422C" w:rsidP="00982F22">
            <w:pPr>
              <w:widowControl/>
              <w:snapToGrid w:val="0"/>
              <w:spacing w:line="20" w:lineRule="atLeast"/>
              <w:rPr>
                <w:b/>
                <w:lang w:eastAsia="en-AU"/>
              </w:rPr>
            </w:pPr>
            <w:r w:rsidRPr="00CB59BF">
              <w:rPr>
                <w:rFonts w:ascii="Arial Narrow" w:hAnsi="Arial Narrow"/>
                <w:b/>
                <w:snapToGrid/>
                <w:sz w:val="20"/>
                <w:lang w:eastAsia="en-AU"/>
              </w:rPr>
              <w:t>Program</w:t>
            </w: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t>GENERAL – General Schedule (Code GE)</w:t>
            </w:r>
          </w:p>
          <w:p w:rsidR="005C422C" w:rsidRPr="00CB59BF" w:rsidRDefault="005C422C" w:rsidP="00982F22">
            <w:pPr>
              <w:widowControl/>
              <w:snapToGrid w:val="0"/>
              <w:spacing w:line="20" w:lineRule="atLeast"/>
              <w:rPr>
                <w:rFonts w:ascii="Arial Narrow" w:hAnsi="Arial Narrow"/>
                <w:b/>
                <w:sz w:val="20"/>
                <w:lang w:eastAsia="en-AU"/>
              </w:rPr>
            </w:pPr>
          </w:p>
        </w:tc>
      </w:tr>
      <w:tr w:rsidR="005C422C" w:rsidRPr="00CB59BF" w:rsidTr="00F01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Prescriber type:</w:t>
            </w:r>
          </w:p>
          <w:p w:rsidR="005C422C" w:rsidRPr="00CB59BF" w:rsidRDefault="005C422C" w:rsidP="00982F22">
            <w:pPr>
              <w:widowControl/>
              <w:snapToGrid w:val="0"/>
              <w:spacing w:line="20" w:lineRule="atLeast"/>
              <w:rPr>
                <w:rFonts w:ascii="Arial Narrow" w:hAnsi="Arial Narrow"/>
                <w:b/>
                <w:sz w:val="20"/>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1"/>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 xml:space="preserve">Dental  </w:t>
            </w:r>
            <w:r w:rsidRPr="00CB59BF">
              <w:rPr>
                <w:rFonts w:ascii="Arial Narrow" w:hAnsi="Arial Narrow"/>
                <w:snapToGrid/>
                <w:sz w:val="20"/>
                <w:lang w:eastAsia="en-AU"/>
              </w:rPr>
              <w:fldChar w:fldCharType="begin">
                <w:ffData>
                  <w:name w:val=""/>
                  <w:enabled/>
                  <w:calcOnExit w:val="0"/>
                  <w:checkBox>
                    <w:sizeAuto/>
                    <w:default w:val="1"/>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 xml:space="preserve">Medical Practitioners  </w:t>
            </w:r>
            <w:r w:rsidRPr="00CB59BF">
              <w:rPr>
                <w:rFonts w:ascii="Arial Narrow" w:hAnsi="Arial Narrow"/>
                <w:snapToGrid/>
                <w:sz w:val="20"/>
                <w:lang w:eastAsia="en-AU"/>
              </w:rPr>
              <w:fldChar w:fldCharType="begin">
                <w:ffData>
                  <w:name w:val=""/>
                  <w:enabled/>
                  <w:calcOnExit w:val="0"/>
                  <w:checkBox>
                    <w:sizeAuto/>
                    <w:default w:val="1"/>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 xml:space="preserve">Nurse practitioners  </w:t>
            </w:r>
            <w:r w:rsidRPr="00CB59BF">
              <w:rPr>
                <w:rFonts w:ascii="Arial Narrow" w:hAnsi="Arial Narrow"/>
                <w:snapToGrid/>
                <w:sz w:val="20"/>
                <w:lang w:eastAsia="en-AU"/>
              </w:rPr>
              <w:fldChar w:fldCharType="begin">
                <w:ffData>
                  <w:name w:val=""/>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Optometrists</w:t>
            </w:r>
          </w:p>
          <w:p w:rsidR="005C422C" w:rsidRPr="00CB59BF" w:rsidRDefault="005C422C" w:rsidP="00982F22">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fldChar w:fldCharType="begin">
                <w:ffData>
                  <w:name w:val="Check5"/>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Midwives</w:t>
            </w:r>
          </w:p>
        </w:tc>
      </w:tr>
      <w:tr w:rsidR="005C422C" w:rsidRPr="00CB59BF" w:rsidTr="00F01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982F22">
            <w:pPr>
              <w:widowControl/>
              <w:snapToGrid w:val="0"/>
              <w:spacing w:line="20" w:lineRule="atLeast"/>
              <w:rPr>
                <w:rFonts w:ascii="Arial Narrow" w:hAnsi="Arial Narrow"/>
                <w:b/>
                <w:sz w:val="20"/>
                <w:lang w:eastAsia="en-AU"/>
              </w:rPr>
            </w:pPr>
            <w:r w:rsidRPr="00CB59BF">
              <w:rPr>
                <w:rFonts w:ascii="Arial Narrow" w:hAnsi="Arial Narrow"/>
                <w:b/>
                <w:snapToGrid/>
                <w:sz w:val="20"/>
                <w:lang w:eastAsia="en-AU"/>
              </w:rPr>
              <w:t>Condition:</w:t>
            </w: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982F22">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t>Schizophrenia</w:t>
            </w:r>
          </w:p>
        </w:tc>
      </w:tr>
      <w:tr w:rsidR="005C422C" w:rsidRPr="00CB59BF" w:rsidTr="00F01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PBS Indication:</w:t>
            </w:r>
          </w:p>
          <w:p w:rsidR="005C422C" w:rsidRPr="00CB59BF" w:rsidRDefault="005C422C" w:rsidP="00982F22">
            <w:pPr>
              <w:widowControl/>
              <w:snapToGrid w:val="0"/>
              <w:spacing w:line="20" w:lineRule="atLeast"/>
              <w:rPr>
                <w:rFonts w:ascii="Arial Narrow" w:hAnsi="Arial Narrow"/>
                <w:b/>
                <w:sz w:val="20"/>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982F22">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t>Schizophrenia</w:t>
            </w:r>
          </w:p>
        </w:tc>
      </w:tr>
      <w:tr w:rsidR="005C422C" w:rsidRPr="00CB59BF" w:rsidTr="00F01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Treatment phase:</w:t>
            </w:r>
          </w:p>
          <w:p w:rsidR="005C422C" w:rsidRPr="00CB59BF" w:rsidRDefault="005C422C" w:rsidP="00982F22">
            <w:pPr>
              <w:widowControl/>
              <w:snapToGrid w:val="0"/>
              <w:spacing w:line="20" w:lineRule="atLeast"/>
              <w:rPr>
                <w:rFonts w:ascii="Arial Narrow" w:hAnsi="Arial Narrow"/>
                <w:b/>
                <w:sz w:val="20"/>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982F22">
            <w:pPr>
              <w:widowControl/>
              <w:snapToGrid w:val="0"/>
              <w:spacing w:line="20" w:lineRule="atLeast"/>
              <w:rPr>
                <w:rFonts w:ascii="Arial Narrow" w:hAnsi="Arial Narrow"/>
                <w:sz w:val="20"/>
                <w:lang w:eastAsia="en-AU"/>
              </w:rPr>
            </w:pPr>
            <w:r w:rsidRPr="00CB59BF">
              <w:rPr>
                <w:rFonts w:ascii="Arial Narrow" w:hAnsi="Arial Narrow"/>
                <w:strike/>
                <w:snapToGrid/>
                <w:sz w:val="20"/>
                <w:lang w:eastAsia="en-AU"/>
              </w:rPr>
              <w:t>initial</w:t>
            </w:r>
          </w:p>
        </w:tc>
      </w:tr>
      <w:tr w:rsidR="005C422C" w:rsidRPr="00CB59BF" w:rsidTr="005C4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Restriction Level / Method:</w:t>
            </w:r>
          </w:p>
          <w:p w:rsidR="005C422C" w:rsidRPr="00CB59BF" w:rsidRDefault="005C422C" w:rsidP="005C422C">
            <w:pPr>
              <w:widowControl/>
              <w:jc w:val="left"/>
              <w:rPr>
                <w:rFonts w:ascii="Arial Narrow" w:hAnsi="Arial Narrow"/>
                <w:snapToGrid/>
                <w:sz w:val="20"/>
                <w:lang w:eastAsia="en-AU"/>
              </w:rPr>
            </w:pPr>
          </w:p>
          <w:p w:rsidR="005C422C" w:rsidRPr="00CB59BF" w:rsidRDefault="005C422C" w:rsidP="00982F22">
            <w:pPr>
              <w:widowControl/>
              <w:snapToGrid w:val="0"/>
              <w:spacing w:line="20" w:lineRule="atLeast"/>
              <w:rPr>
                <w:b/>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1"/>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Restricted benefit</w:t>
            </w:r>
          </w:p>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In Writing</w:t>
            </w:r>
          </w:p>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3"/>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Telephone</w:t>
            </w:r>
          </w:p>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Emergency</w:t>
            </w:r>
          </w:p>
          <w:p w:rsidR="005C422C" w:rsidRPr="00CB59BF" w:rsidRDefault="005C422C" w:rsidP="005C422C">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5"/>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Electronic</w:t>
            </w:r>
          </w:p>
          <w:p w:rsidR="005C422C" w:rsidRPr="00CB59BF" w:rsidRDefault="005C422C" w:rsidP="00982F22">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fldChar w:fldCharType="begin">
                <w:ffData>
                  <w:name w:val=""/>
                  <w:enabled/>
                  <w:calcOnExit w:val="0"/>
                  <w:checkBox>
                    <w:sizeAuto/>
                    <w:default w:val="1"/>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Streamlined</w:t>
            </w:r>
          </w:p>
        </w:tc>
      </w:tr>
      <w:tr w:rsidR="005C422C" w:rsidRPr="00CB59BF" w:rsidTr="005C4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Clinical criteria:</w:t>
            </w:r>
          </w:p>
          <w:p w:rsidR="005C422C" w:rsidRPr="00CB59BF" w:rsidRDefault="005C422C" w:rsidP="00982F22">
            <w:pPr>
              <w:widowControl/>
              <w:snapToGrid w:val="0"/>
              <w:spacing w:line="20" w:lineRule="atLeast"/>
              <w:rPr>
                <w:b/>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jc w:val="left"/>
              <w:rPr>
                <w:rFonts w:ascii="Arial Narrow" w:hAnsi="Arial Narrow"/>
                <w:i/>
                <w:snapToGrid/>
                <w:sz w:val="20"/>
                <w:lang w:eastAsia="en-AU"/>
              </w:rPr>
            </w:pPr>
            <w:r w:rsidRPr="00CB59BF">
              <w:rPr>
                <w:rFonts w:ascii="Arial Narrow" w:hAnsi="Arial Narrow"/>
                <w:i/>
                <w:snapToGrid/>
                <w:sz w:val="20"/>
                <w:lang w:eastAsia="en-AU"/>
              </w:rPr>
              <w:t xml:space="preserve">Patient must have previously received and be stabilised on PBS-subsidised paliperidone once-monthly injection for at least 4 consecutive months. </w:t>
            </w:r>
          </w:p>
          <w:p w:rsidR="005C422C" w:rsidRPr="00CB59BF" w:rsidRDefault="005C422C" w:rsidP="005C422C">
            <w:pPr>
              <w:widowControl/>
              <w:jc w:val="left"/>
              <w:rPr>
                <w:rFonts w:ascii="Arial Narrow" w:hAnsi="Arial Narrow"/>
                <w:snapToGrid/>
                <w:sz w:val="20"/>
                <w:lang w:eastAsia="en-AU"/>
              </w:rPr>
            </w:pPr>
          </w:p>
          <w:p w:rsidR="005C422C" w:rsidRPr="00CB59BF" w:rsidRDefault="005C422C" w:rsidP="00982F22">
            <w:pPr>
              <w:widowControl/>
              <w:snapToGrid w:val="0"/>
              <w:spacing w:line="20" w:lineRule="atLeast"/>
              <w:rPr>
                <w:rFonts w:ascii="Arial Narrow" w:hAnsi="Arial Narrow"/>
                <w:sz w:val="20"/>
                <w:lang w:eastAsia="en-AU"/>
              </w:rPr>
            </w:pPr>
            <w:r w:rsidRPr="00CB59BF">
              <w:rPr>
                <w:rFonts w:ascii="Arial Narrow" w:hAnsi="Arial Narrow"/>
                <w:strike/>
                <w:snapToGrid/>
                <w:sz w:val="20"/>
                <w:lang w:eastAsia="en-AU"/>
              </w:rPr>
              <w:t xml:space="preserve">Patient must be stabilised on </w:t>
            </w:r>
            <w:proofErr w:type="spellStart"/>
            <w:r w:rsidRPr="00CB59BF">
              <w:rPr>
                <w:rFonts w:ascii="Arial Narrow" w:hAnsi="Arial Narrow"/>
                <w:strike/>
                <w:snapToGrid/>
                <w:sz w:val="20"/>
                <w:lang w:eastAsia="en-AU"/>
              </w:rPr>
              <w:t>paliperidone</w:t>
            </w:r>
            <w:proofErr w:type="spellEnd"/>
            <w:r w:rsidRPr="00CB59BF">
              <w:rPr>
                <w:rFonts w:ascii="Arial Narrow" w:hAnsi="Arial Narrow"/>
                <w:strike/>
                <w:snapToGrid/>
                <w:sz w:val="20"/>
                <w:lang w:eastAsia="en-AU"/>
              </w:rPr>
              <w:t xml:space="preserve"> </w:t>
            </w:r>
            <w:proofErr w:type="spellStart"/>
            <w:r w:rsidRPr="00CB59BF">
              <w:rPr>
                <w:rFonts w:ascii="Arial Narrow" w:hAnsi="Arial Narrow"/>
                <w:strike/>
                <w:snapToGrid/>
                <w:sz w:val="20"/>
                <w:lang w:eastAsia="en-AU"/>
              </w:rPr>
              <w:t>palmitate</w:t>
            </w:r>
            <w:proofErr w:type="spellEnd"/>
            <w:r w:rsidRPr="00CB59BF">
              <w:rPr>
                <w:rFonts w:ascii="Arial Narrow" w:hAnsi="Arial Narrow"/>
                <w:strike/>
                <w:snapToGrid/>
                <w:sz w:val="20"/>
                <w:lang w:eastAsia="en-AU"/>
              </w:rPr>
              <w:t xml:space="preserve"> once-monthly formulation for at least 4 months.</w:t>
            </w:r>
          </w:p>
        </w:tc>
      </w:tr>
      <w:tr w:rsidR="005C422C" w:rsidRPr="00CB59BF" w:rsidTr="005C4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t>Prescriber Instructions</w:t>
            </w:r>
          </w:p>
          <w:p w:rsidR="005C422C" w:rsidRPr="00CB59BF" w:rsidRDefault="005C422C" w:rsidP="005C422C">
            <w:pPr>
              <w:widowControl/>
              <w:rPr>
                <w:rFonts w:ascii="Arial Narrow" w:hAnsi="Arial Narrow"/>
                <w:snapToGrid/>
                <w:sz w:val="20"/>
                <w:lang w:eastAsia="en-AU"/>
              </w:rPr>
            </w:pPr>
          </w:p>
          <w:p w:rsidR="005C422C" w:rsidRPr="00CB59BF" w:rsidRDefault="005C422C" w:rsidP="00982F22">
            <w:pPr>
              <w:widowControl/>
              <w:snapToGrid w:val="0"/>
              <w:spacing w:line="20" w:lineRule="atLeast"/>
              <w:rPr>
                <w:rFonts w:ascii="Arial Narrow" w:hAnsi="Arial Narrow"/>
                <w:b/>
                <w:sz w:val="20"/>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jc w:val="left"/>
              <w:rPr>
                <w:rFonts w:ascii="Arial Narrow" w:hAnsi="Arial Narrow"/>
                <w:b/>
                <w:snapToGrid/>
                <w:sz w:val="20"/>
                <w:lang w:eastAsia="en-AU"/>
              </w:rPr>
            </w:pPr>
            <w:r w:rsidRPr="00CB59BF">
              <w:rPr>
                <w:rFonts w:ascii="Arial Narrow" w:hAnsi="Arial Narrow"/>
                <w:b/>
                <w:snapToGrid/>
                <w:sz w:val="20"/>
                <w:lang w:eastAsia="en-AU"/>
              </w:rPr>
              <w:t>Shared Care Model:</w:t>
            </w:r>
          </w:p>
          <w:p w:rsidR="005C422C" w:rsidRPr="00CB59BF" w:rsidRDefault="005C422C" w:rsidP="005C422C">
            <w:pPr>
              <w:widowControl/>
              <w:jc w:val="left"/>
              <w:rPr>
                <w:rFonts w:ascii="Arial Narrow" w:hAnsi="Arial Narrow"/>
                <w:snapToGrid/>
                <w:sz w:val="20"/>
                <w:lang w:eastAsia="en-AU"/>
              </w:rPr>
            </w:pPr>
          </w:p>
          <w:p w:rsidR="005C422C" w:rsidRPr="00CB59BF" w:rsidRDefault="005C422C" w:rsidP="00982F22">
            <w:pPr>
              <w:widowControl/>
              <w:rPr>
                <w:rFonts w:ascii="Arial Narrow" w:hAnsi="Arial Narrow"/>
                <w:color w:val="222222"/>
                <w:sz w:val="20"/>
                <w:lang w:eastAsia="en-AU"/>
              </w:rPr>
            </w:pPr>
            <w:r w:rsidRPr="00CB59BF">
              <w:rPr>
                <w:rFonts w:ascii="Arial Narrow" w:hAnsi="Arial Narrow"/>
                <w:snapToGrid/>
                <w:sz w:val="20"/>
                <w:lang w:eastAsia="en-AU"/>
              </w:rPr>
              <w:t xml:space="preserve">For prescribing by nurse practitioners where care of a patient is shared between a nurse practitioner and medical practitioner in a formalised arrangement with an agreed </w:t>
            </w:r>
            <w:r w:rsidRPr="00CB59BF">
              <w:rPr>
                <w:rFonts w:ascii="Arial Narrow" w:hAnsi="Arial Narrow"/>
                <w:snapToGrid/>
                <w:sz w:val="20"/>
                <w:lang w:eastAsia="en-AU"/>
              </w:rPr>
              <w:lastRenderedPageBreak/>
              <w:t>management plan. Further information can be found in the Explanatory Notes for Nurse Practitioners.</w:t>
            </w:r>
          </w:p>
        </w:tc>
      </w:tr>
      <w:tr w:rsidR="005C422C" w:rsidRPr="00CB59BF" w:rsidTr="00F01A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rPr>
                <w:rFonts w:ascii="Arial Narrow" w:hAnsi="Arial Narrow"/>
                <w:b/>
                <w:snapToGrid/>
                <w:sz w:val="20"/>
                <w:lang w:eastAsia="en-AU"/>
              </w:rPr>
            </w:pPr>
            <w:r w:rsidRPr="00CB59BF">
              <w:rPr>
                <w:rFonts w:ascii="Arial Narrow" w:hAnsi="Arial Narrow"/>
                <w:b/>
                <w:snapToGrid/>
                <w:sz w:val="20"/>
                <w:lang w:eastAsia="en-AU"/>
              </w:rPr>
              <w:lastRenderedPageBreak/>
              <w:t>Administrative Advice</w:t>
            </w:r>
          </w:p>
          <w:p w:rsidR="005C422C" w:rsidRPr="00CB59BF" w:rsidRDefault="005C422C" w:rsidP="005C422C">
            <w:pPr>
              <w:widowControl/>
              <w:rPr>
                <w:rFonts w:ascii="Arial Narrow" w:hAnsi="Arial Narrow"/>
                <w:b/>
                <w:snapToGrid/>
                <w:sz w:val="20"/>
                <w:lang w:eastAsia="en-AU"/>
              </w:rPr>
            </w:pPr>
          </w:p>
        </w:tc>
        <w:tc>
          <w:tcPr>
            <w:tcW w:w="3815" w:type="pct"/>
            <w:gridSpan w:val="6"/>
            <w:tcBorders>
              <w:top w:val="single" w:sz="4" w:space="0" w:color="auto"/>
              <w:left w:val="single" w:sz="4" w:space="0" w:color="auto"/>
              <w:bottom w:val="single" w:sz="4" w:space="0" w:color="auto"/>
              <w:right w:val="single" w:sz="4" w:space="0" w:color="auto"/>
            </w:tcBorders>
          </w:tcPr>
          <w:p w:rsidR="005C422C" w:rsidRPr="00CB59BF" w:rsidRDefault="005C422C" w:rsidP="005C422C">
            <w:pPr>
              <w:widowControl/>
              <w:jc w:val="left"/>
              <w:rPr>
                <w:rFonts w:ascii="Arial Narrow" w:hAnsi="Arial Narrow"/>
                <w:i/>
                <w:snapToGrid/>
                <w:sz w:val="20"/>
                <w:lang w:eastAsia="en-AU"/>
              </w:rPr>
            </w:pPr>
            <w:r w:rsidRPr="00CB59BF">
              <w:rPr>
                <w:rFonts w:ascii="Arial Narrow" w:hAnsi="Arial Narrow"/>
                <w:i/>
                <w:snapToGrid/>
                <w:sz w:val="20"/>
                <w:lang w:eastAsia="en-AU"/>
              </w:rPr>
              <w:t>Patient dosage is to be determined as per the dose transition table in the Product Information based on the maintenance dose of paliperidone once</w:t>
            </w:r>
            <w:r w:rsidRPr="00CB59BF">
              <w:rPr>
                <w:rFonts w:ascii="Arial Narrow" w:hAnsi="Arial Narrow"/>
                <w:i/>
                <w:snapToGrid/>
                <w:sz w:val="20"/>
                <w:lang w:eastAsia="en-AU"/>
              </w:rPr>
              <w:noBreakHyphen/>
              <w:t xml:space="preserve">monthly injection. </w:t>
            </w:r>
          </w:p>
          <w:p w:rsidR="005C422C" w:rsidRPr="00CB59BF" w:rsidRDefault="005C422C" w:rsidP="005C422C">
            <w:pPr>
              <w:widowControl/>
              <w:jc w:val="left"/>
              <w:rPr>
                <w:rFonts w:ascii="Arial Narrow" w:hAnsi="Arial Narrow"/>
                <w:i/>
                <w:snapToGrid/>
                <w:sz w:val="20"/>
                <w:lang w:eastAsia="en-AU"/>
              </w:rPr>
            </w:pPr>
          </w:p>
          <w:p w:rsidR="005C422C" w:rsidRPr="00CB59BF" w:rsidRDefault="005C422C" w:rsidP="005C422C">
            <w:pPr>
              <w:widowControl/>
              <w:jc w:val="left"/>
              <w:rPr>
                <w:rFonts w:ascii="Arial Narrow" w:hAnsi="Arial Narrow"/>
                <w:i/>
                <w:snapToGrid/>
                <w:sz w:val="20"/>
                <w:lang w:eastAsia="en-AU"/>
              </w:rPr>
            </w:pPr>
            <w:r w:rsidRPr="00CB59BF">
              <w:rPr>
                <w:rFonts w:ascii="Arial Narrow" w:hAnsi="Arial Narrow"/>
                <w:i/>
                <w:snapToGrid/>
                <w:sz w:val="20"/>
                <w:lang w:eastAsia="en-AU"/>
              </w:rPr>
              <w:t>No increase in the maximum number of repeats may be authorised.</w:t>
            </w:r>
          </w:p>
          <w:p w:rsidR="005C422C" w:rsidRPr="00CB59BF" w:rsidRDefault="005C422C" w:rsidP="005C422C">
            <w:pPr>
              <w:widowControl/>
              <w:jc w:val="left"/>
              <w:rPr>
                <w:rFonts w:ascii="Arial Narrow" w:hAnsi="Arial Narrow"/>
                <w:i/>
                <w:snapToGrid/>
                <w:sz w:val="20"/>
                <w:lang w:eastAsia="en-AU"/>
              </w:rPr>
            </w:pPr>
          </w:p>
          <w:p w:rsidR="005C422C" w:rsidRPr="00CB59BF" w:rsidRDefault="005C422C" w:rsidP="005C422C">
            <w:pPr>
              <w:widowControl/>
              <w:jc w:val="left"/>
              <w:rPr>
                <w:rFonts w:ascii="Arial Narrow" w:hAnsi="Arial Narrow"/>
                <w:b/>
                <w:snapToGrid/>
                <w:sz w:val="20"/>
                <w:lang w:eastAsia="en-AU"/>
              </w:rPr>
            </w:pPr>
            <w:r w:rsidRPr="00CB59BF">
              <w:rPr>
                <w:rFonts w:ascii="Arial Narrow" w:hAnsi="Arial Narrow"/>
                <w:i/>
                <w:snapToGrid/>
                <w:sz w:val="20"/>
                <w:lang w:eastAsia="en-AU"/>
              </w:rPr>
              <w:t>No increase in the maximum quantity or number of units may be authorised.</w:t>
            </w:r>
          </w:p>
        </w:tc>
      </w:tr>
    </w:tbl>
    <w:p w:rsidR="00B60939" w:rsidRPr="00CB59BF" w:rsidRDefault="00B60939" w:rsidP="004B1CB4"/>
    <w:p w:rsidR="00F97A78" w:rsidRPr="00CB59BF" w:rsidRDefault="00A21881" w:rsidP="00A35D16">
      <w:pPr>
        <w:pStyle w:val="ListParagraph"/>
        <w:widowControl/>
        <w:numPr>
          <w:ilvl w:val="1"/>
          <w:numId w:val="6"/>
        </w:numPr>
        <w:rPr>
          <w:szCs w:val="22"/>
        </w:rPr>
      </w:pPr>
      <w:r w:rsidRPr="00CB59BF">
        <w:rPr>
          <w:szCs w:val="22"/>
        </w:rPr>
        <w:t xml:space="preserve">The listing was requested on a cost-minimisation basis compared </w:t>
      </w:r>
      <w:r w:rsidR="00717D35" w:rsidRPr="00CB59BF">
        <w:rPr>
          <w:szCs w:val="22"/>
        </w:rPr>
        <w:t>with</w:t>
      </w:r>
      <w:r w:rsidR="004A7D4D" w:rsidRPr="00CB59BF">
        <w:rPr>
          <w:szCs w:val="22"/>
        </w:rPr>
        <w:t xml:space="preserve"> </w:t>
      </w:r>
      <w:r w:rsidR="008042A1">
        <w:rPr>
          <w:szCs w:val="22"/>
        </w:rPr>
        <w:t>PP1M</w:t>
      </w:r>
      <w:r w:rsidRPr="00CB59BF">
        <w:rPr>
          <w:szCs w:val="22"/>
        </w:rPr>
        <w:t xml:space="preserve"> LAI</w:t>
      </w:r>
      <w:r w:rsidR="00BA2175" w:rsidRPr="00CB59BF">
        <w:rPr>
          <w:szCs w:val="22"/>
        </w:rPr>
        <w:t>.</w:t>
      </w:r>
    </w:p>
    <w:p w:rsidR="004E43B2" w:rsidRPr="00CB59BF" w:rsidRDefault="004E43B2" w:rsidP="004B1CB4"/>
    <w:p w:rsidR="00FE0EBA" w:rsidRPr="00CB59BF" w:rsidRDefault="00FE0EBA" w:rsidP="00FE0EBA">
      <w:pPr>
        <w:ind w:firstLine="720"/>
        <w:rPr>
          <w:bCs/>
          <w:szCs w:val="22"/>
        </w:rPr>
      </w:pPr>
      <w:r w:rsidRPr="00CB59BF">
        <w:rPr>
          <w:bCs/>
          <w:i/>
          <w:szCs w:val="22"/>
        </w:rPr>
        <w:t>For more detail on PBAC’s view, see section 7 “PBAC outcome”</w:t>
      </w:r>
      <w:r w:rsidR="007E3BAF">
        <w:rPr>
          <w:bCs/>
          <w:i/>
          <w:szCs w:val="22"/>
        </w:rPr>
        <w:t>.</w:t>
      </w:r>
    </w:p>
    <w:p w:rsidR="00B05303" w:rsidRDefault="00B05303" w:rsidP="004B1CB4"/>
    <w:p w:rsidR="00B05303" w:rsidRPr="00CB59BF" w:rsidRDefault="00B05303" w:rsidP="004B1CB4"/>
    <w:p w:rsidR="00B50DB8" w:rsidRPr="00CB59BF" w:rsidRDefault="00B50DB8" w:rsidP="00A950E8">
      <w:pPr>
        <w:pStyle w:val="Heading2"/>
      </w:pPr>
      <w:bookmarkStart w:id="6" w:name="_Toc461101499"/>
      <w:r w:rsidRPr="00CB59BF">
        <w:t>Background</w:t>
      </w:r>
      <w:bookmarkEnd w:id="6"/>
    </w:p>
    <w:p w:rsidR="00FE0EBA" w:rsidRPr="00CB59BF" w:rsidRDefault="00FE0EBA" w:rsidP="00FE0EBA">
      <w:pPr>
        <w:widowControl/>
      </w:pPr>
    </w:p>
    <w:p w:rsidR="00B60939" w:rsidRPr="00CB59BF" w:rsidRDefault="00B60939" w:rsidP="004B1CB4">
      <w:pPr>
        <w:pStyle w:val="ListParagraph"/>
        <w:widowControl/>
        <w:numPr>
          <w:ilvl w:val="1"/>
          <w:numId w:val="6"/>
        </w:numPr>
      </w:pPr>
      <w:r w:rsidRPr="00CB59BF">
        <w:t xml:space="preserve">The submission was made under </w:t>
      </w:r>
      <w:r w:rsidR="00EE6B80">
        <w:t xml:space="preserve">the </w:t>
      </w:r>
      <w:r w:rsidRPr="00CB59BF">
        <w:t xml:space="preserve">TGA/PBAC Parallel Process. </w:t>
      </w:r>
      <w:r w:rsidR="00EE6B80">
        <w:t>At the</w:t>
      </w:r>
      <w:r w:rsidR="00EE6B80" w:rsidRPr="00CB59BF">
        <w:rPr>
          <w:szCs w:val="22"/>
        </w:rPr>
        <w:t xml:space="preserve"> time of PBAC consideration </w:t>
      </w:r>
      <w:r w:rsidR="00EE6B80">
        <w:t>p</w:t>
      </w:r>
      <w:r w:rsidR="002762C5" w:rsidRPr="00CB59BF">
        <w:t xml:space="preserve">aliperidone </w:t>
      </w:r>
      <w:r w:rsidR="00CB59BF">
        <w:t xml:space="preserve">3-month LAI </w:t>
      </w:r>
      <w:r w:rsidR="002762C5" w:rsidRPr="00CB59BF">
        <w:t xml:space="preserve">presentations (175 mg, 263 mg, 350 mg and 525 mg) were TGA registered </w:t>
      </w:r>
      <w:r w:rsidR="00EE6B80">
        <w:t xml:space="preserve">(as of </w:t>
      </w:r>
      <w:r w:rsidR="002762C5" w:rsidRPr="00CB59BF">
        <w:t>23 September 2016</w:t>
      </w:r>
      <w:r w:rsidR="00EE6B80">
        <w:t>)</w:t>
      </w:r>
      <w:r w:rsidR="002762C5" w:rsidRPr="00CB59BF">
        <w:t>.</w:t>
      </w:r>
    </w:p>
    <w:p w:rsidR="00B60939" w:rsidRPr="00CB59BF" w:rsidRDefault="00B60939" w:rsidP="00B60939">
      <w:pPr>
        <w:pStyle w:val="ListParagraph"/>
        <w:rPr>
          <w:szCs w:val="22"/>
        </w:rPr>
      </w:pPr>
    </w:p>
    <w:p w:rsidR="002C2775" w:rsidRPr="00CB59BF" w:rsidRDefault="00A21881" w:rsidP="009026B4">
      <w:pPr>
        <w:pStyle w:val="ListParagraph"/>
        <w:widowControl/>
        <w:numPr>
          <w:ilvl w:val="1"/>
          <w:numId w:val="6"/>
        </w:numPr>
        <w:rPr>
          <w:szCs w:val="22"/>
        </w:rPr>
      </w:pPr>
      <w:r w:rsidRPr="00CB59BF">
        <w:rPr>
          <w:szCs w:val="22"/>
        </w:rPr>
        <w:t>Paliperidone three month</w:t>
      </w:r>
      <w:r w:rsidR="008042A1">
        <w:rPr>
          <w:szCs w:val="22"/>
        </w:rPr>
        <w:t xml:space="preserve"> (PP3M)</w:t>
      </w:r>
      <w:r w:rsidRPr="00CB59BF">
        <w:rPr>
          <w:szCs w:val="22"/>
        </w:rPr>
        <w:t xml:space="preserve"> LAI</w:t>
      </w:r>
      <w:r w:rsidR="002727D0" w:rsidRPr="00CB59BF">
        <w:rPr>
          <w:szCs w:val="22"/>
        </w:rPr>
        <w:t xml:space="preserve"> </w:t>
      </w:r>
      <w:r w:rsidRPr="00CB59BF">
        <w:rPr>
          <w:szCs w:val="22"/>
        </w:rPr>
        <w:t>has not previously been considered by the PBAC.</w:t>
      </w:r>
    </w:p>
    <w:p w:rsidR="003B3E4B" w:rsidRPr="00CB59BF" w:rsidRDefault="003B3E4B" w:rsidP="009F28FF">
      <w:pPr>
        <w:rPr>
          <w:szCs w:val="22"/>
        </w:rPr>
      </w:pPr>
    </w:p>
    <w:p w:rsidR="003B3E4B" w:rsidRPr="00CB59BF" w:rsidRDefault="003B3E4B" w:rsidP="003B3E4B">
      <w:pPr>
        <w:pStyle w:val="ListParagraph"/>
        <w:widowControl/>
        <w:numPr>
          <w:ilvl w:val="1"/>
          <w:numId w:val="6"/>
        </w:numPr>
        <w:rPr>
          <w:szCs w:val="22"/>
        </w:rPr>
      </w:pPr>
      <w:r w:rsidRPr="00CB59BF">
        <w:rPr>
          <w:szCs w:val="22"/>
        </w:rPr>
        <w:t>At its November 2007 meeting, the PBAC recommended the listing of paliperidone tablets on the PBS for schizophrenia on a cost-minimisation basis compared with olanzapine.  Paliperidone 3, 6 and 9 mg tablets were listed on 1 April 2008.</w:t>
      </w:r>
    </w:p>
    <w:p w:rsidR="003B3E4B" w:rsidRPr="00CB59BF" w:rsidRDefault="003B3E4B" w:rsidP="003B3E4B">
      <w:pPr>
        <w:pStyle w:val="ListParagraph"/>
        <w:rPr>
          <w:szCs w:val="22"/>
        </w:rPr>
      </w:pPr>
    </w:p>
    <w:p w:rsidR="00E55BB5" w:rsidRPr="00CB59BF" w:rsidRDefault="003B3E4B" w:rsidP="004B1CB4">
      <w:pPr>
        <w:pStyle w:val="ListParagraph"/>
        <w:widowControl/>
        <w:numPr>
          <w:ilvl w:val="1"/>
          <w:numId w:val="6"/>
        </w:numPr>
      </w:pPr>
      <w:r w:rsidRPr="00CB59BF">
        <w:rPr>
          <w:szCs w:val="22"/>
        </w:rPr>
        <w:t xml:space="preserve">At its November 2010 meeting, the PBAC recommended the listing of </w:t>
      </w:r>
      <w:r w:rsidR="008042A1">
        <w:rPr>
          <w:szCs w:val="22"/>
        </w:rPr>
        <w:t>paliperidone one month (PP1M)</w:t>
      </w:r>
      <w:r w:rsidRPr="00CB59BF">
        <w:rPr>
          <w:szCs w:val="22"/>
        </w:rPr>
        <w:t xml:space="preserve"> LAI on a cost minimisation basis compared with risperidone modified release injection. </w:t>
      </w:r>
    </w:p>
    <w:p w:rsidR="009F28FF" w:rsidRPr="00CB59BF" w:rsidRDefault="009F28FF" w:rsidP="009F28FF">
      <w:pPr>
        <w:pStyle w:val="ListParagraph"/>
      </w:pPr>
    </w:p>
    <w:p w:rsidR="009F28FF" w:rsidRPr="00CB59BF" w:rsidRDefault="009F28FF" w:rsidP="009F28FF">
      <w:pPr>
        <w:pStyle w:val="ListParagraph"/>
        <w:widowControl/>
        <w:numPr>
          <w:ilvl w:val="1"/>
          <w:numId w:val="6"/>
        </w:numPr>
        <w:rPr>
          <w:szCs w:val="22"/>
        </w:rPr>
      </w:pPr>
      <w:r w:rsidRPr="00CB59BF">
        <w:rPr>
          <w:szCs w:val="22"/>
        </w:rPr>
        <w:t xml:space="preserve">Four atypical LAI antipsychotics are currently listed on the PBS for the treatment of schizophrenia. Risperidone fortnightly LAI was recommended for listing on a cost-effectiveness basis versus risperidone tablets in July 2004. Olanzapine one month LAI was recommended for listing in July 2009, based on clinical comparisons with risperidone LAI and olanzapine tablets, and priced versus olanzapine tablets. </w:t>
      </w:r>
      <w:r w:rsidR="008042A1">
        <w:rPr>
          <w:szCs w:val="22"/>
        </w:rPr>
        <w:t>PP1M</w:t>
      </w:r>
      <w:r w:rsidRPr="00CB59BF">
        <w:rPr>
          <w:szCs w:val="22"/>
        </w:rPr>
        <w:t xml:space="preserve"> LAI</w:t>
      </w:r>
      <w:r w:rsidR="002727D0" w:rsidRPr="00CB59BF">
        <w:rPr>
          <w:szCs w:val="22"/>
        </w:rPr>
        <w:t xml:space="preserve"> (PP1M</w:t>
      </w:r>
      <w:r w:rsidR="00892643" w:rsidRPr="00CB59BF">
        <w:rPr>
          <w:szCs w:val="22"/>
        </w:rPr>
        <w:t>)</w:t>
      </w:r>
      <w:r w:rsidRPr="00CB59BF">
        <w:rPr>
          <w:szCs w:val="22"/>
        </w:rPr>
        <w:t xml:space="preserve"> was recommended for listing in November 2010 on a cost-minimisation basis versus risperidone LAI. Aripiprazole one month LAI was recommended for listing cost-minimisation basis compared to paliperidone LAI in July 2014.</w:t>
      </w:r>
    </w:p>
    <w:p w:rsidR="003B3E4B" w:rsidRPr="00CB59BF" w:rsidRDefault="003B3E4B" w:rsidP="003B3E4B">
      <w:pPr>
        <w:widowControl/>
      </w:pPr>
    </w:p>
    <w:p w:rsidR="00FE0EBA" w:rsidRPr="00CB59BF" w:rsidRDefault="00FE0EBA" w:rsidP="00FE0EBA">
      <w:pPr>
        <w:ind w:firstLine="720"/>
        <w:rPr>
          <w:bCs/>
          <w:szCs w:val="22"/>
        </w:rPr>
      </w:pPr>
      <w:r w:rsidRPr="00CB59BF">
        <w:rPr>
          <w:bCs/>
          <w:i/>
          <w:szCs w:val="22"/>
        </w:rPr>
        <w:t>For more detail on PBAC’s view, see section 7 “PBAC outcome”</w:t>
      </w:r>
      <w:r w:rsidR="007E3BAF">
        <w:rPr>
          <w:bCs/>
          <w:i/>
          <w:szCs w:val="22"/>
        </w:rPr>
        <w:t>.</w:t>
      </w:r>
    </w:p>
    <w:p w:rsidR="00FE0EBA" w:rsidRPr="00CB59BF" w:rsidRDefault="00FE0EBA" w:rsidP="003B3E4B">
      <w:pPr>
        <w:widowControl/>
      </w:pPr>
    </w:p>
    <w:p w:rsidR="00982F22" w:rsidRPr="00CB59BF" w:rsidRDefault="00982F22" w:rsidP="003B3E4B">
      <w:pPr>
        <w:widowControl/>
      </w:pPr>
    </w:p>
    <w:p w:rsidR="00B50DB8" w:rsidRPr="00CB59BF" w:rsidRDefault="00B50DB8" w:rsidP="00A950E8">
      <w:pPr>
        <w:pStyle w:val="Heading2"/>
      </w:pPr>
      <w:bookmarkStart w:id="7" w:name="_Toc461101500"/>
      <w:r w:rsidRPr="00CB59BF">
        <w:t>Clinical place for the proposed therapy</w:t>
      </w:r>
      <w:bookmarkEnd w:id="7"/>
    </w:p>
    <w:p w:rsidR="00B60939" w:rsidRPr="00CB59BF" w:rsidRDefault="00B60939" w:rsidP="00B60939">
      <w:pPr>
        <w:rPr>
          <w:szCs w:val="22"/>
        </w:rPr>
      </w:pPr>
    </w:p>
    <w:p w:rsidR="009F28FF" w:rsidRPr="00CB59BF" w:rsidRDefault="009F28FF" w:rsidP="009F28FF">
      <w:pPr>
        <w:widowControl/>
        <w:numPr>
          <w:ilvl w:val="1"/>
          <w:numId w:val="6"/>
        </w:numPr>
      </w:pPr>
      <w:r w:rsidRPr="00CB59BF">
        <w:t>Schizophrenia is a severe, chronic, relapsing psychiatric illness characterised by disturbances in speech, perception, cognition, volition and emotion.</w:t>
      </w:r>
    </w:p>
    <w:p w:rsidR="00894489" w:rsidRPr="00CB59BF" w:rsidRDefault="00894489" w:rsidP="00894489">
      <w:pPr>
        <w:widowControl/>
        <w:rPr>
          <w:szCs w:val="22"/>
        </w:rPr>
      </w:pPr>
    </w:p>
    <w:p w:rsidR="002C2775" w:rsidRPr="00CB59BF" w:rsidRDefault="009D661D" w:rsidP="002C2775">
      <w:pPr>
        <w:pStyle w:val="ListParagraph"/>
        <w:widowControl/>
        <w:numPr>
          <w:ilvl w:val="1"/>
          <w:numId w:val="6"/>
        </w:numPr>
        <w:rPr>
          <w:szCs w:val="22"/>
        </w:rPr>
      </w:pPr>
      <w:r w:rsidRPr="00CB59BF">
        <w:rPr>
          <w:szCs w:val="22"/>
        </w:rPr>
        <w:t xml:space="preserve">The submission proposed that </w:t>
      </w:r>
      <w:r w:rsidR="008042A1">
        <w:rPr>
          <w:szCs w:val="22"/>
        </w:rPr>
        <w:t>PP3M</w:t>
      </w:r>
      <w:r w:rsidRPr="00CB59BF">
        <w:rPr>
          <w:szCs w:val="22"/>
        </w:rPr>
        <w:t xml:space="preserve"> LAI would be </w:t>
      </w:r>
      <w:r w:rsidR="00634B78" w:rsidRPr="00CB59BF">
        <w:rPr>
          <w:szCs w:val="22"/>
        </w:rPr>
        <w:t>used</w:t>
      </w:r>
      <w:r w:rsidRPr="00CB59BF">
        <w:rPr>
          <w:szCs w:val="22"/>
        </w:rPr>
        <w:t xml:space="preserve"> as maintenance treatment for patients who have been stable on </w:t>
      </w:r>
      <w:r w:rsidR="008042A1">
        <w:rPr>
          <w:szCs w:val="22"/>
        </w:rPr>
        <w:t>PP1M</w:t>
      </w:r>
      <w:r w:rsidRPr="00CB59BF">
        <w:rPr>
          <w:szCs w:val="22"/>
        </w:rPr>
        <w:t xml:space="preserve"> LAI for at least four months</w:t>
      </w:r>
      <w:r w:rsidR="00894489" w:rsidRPr="00CB59BF">
        <w:rPr>
          <w:szCs w:val="22"/>
        </w:rPr>
        <w:t>.</w:t>
      </w:r>
      <w:r w:rsidRPr="00CB59BF">
        <w:rPr>
          <w:szCs w:val="22"/>
        </w:rPr>
        <w:t xml:space="preserve"> </w:t>
      </w:r>
      <w:r w:rsidR="008042A1">
        <w:rPr>
          <w:szCs w:val="22"/>
        </w:rPr>
        <w:t>PP3M</w:t>
      </w:r>
      <w:r w:rsidR="00DE77C4" w:rsidRPr="00CB59BF">
        <w:rPr>
          <w:szCs w:val="22"/>
        </w:rPr>
        <w:t xml:space="preserve"> LAI </w:t>
      </w:r>
      <w:r w:rsidR="00DE77C4" w:rsidRPr="00CB59BF">
        <w:rPr>
          <w:szCs w:val="22"/>
        </w:rPr>
        <w:lastRenderedPageBreak/>
        <w:t xml:space="preserve">would provide an alternate LAI treatment with a less frequent dosing schedule to those already listed on the PBS. </w:t>
      </w:r>
    </w:p>
    <w:p w:rsidR="00E55BB5" w:rsidRPr="00CB59BF" w:rsidRDefault="00E55BB5" w:rsidP="00B60939">
      <w:pPr>
        <w:pStyle w:val="Header"/>
        <w:rPr>
          <w:szCs w:val="22"/>
        </w:rPr>
      </w:pPr>
    </w:p>
    <w:p w:rsidR="00FE0EBA" w:rsidRPr="00CB59BF" w:rsidRDefault="00FE0EBA" w:rsidP="00FE0EBA">
      <w:pPr>
        <w:ind w:firstLine="720"/>
        <w:rPr>
          <w:bCs/>
          <w:szCs w:val="22"/>
        </w:rPr>
      </w:pPr>
      <w:r w:rsidRPr="00CB59BF">
        <w:rPr>
          <w:bCs/>
          <w:i/>
          <w:szCs w:val="22"/>
        </w:rPr>
        <w:t>For more detail on PBAC’s view, see section 7 “PBAC outcome”</w:t>
      </w:r>
      <w:r w:rsidR="007E3BAF">
        <w:rPr>
          <w:bCs/>
          <w:i/>
          <w:szCs w:val="22"/>
        </w:rPr>
        <w:t>.</w:t>
      </w:r>
    </w:p>
    <w:p w:rsidR="00FE0EBA" w:rsidRPr="00CB59BF" w:rsidRDefault="00FE0EBA" w:rsidP="00B60939">
      <w:pPr>
        <w:pStyle w:val="Header"/>
        <w:rPr>
          <w:szCs w:val="22"/>
        </w:rPr>
      </w:pPr>
    </w:p>
    <w:p w:rsidR="00982F22" w:rsidRPr="00CB59BF" w:rsidRDefault="00982F22" w:rsidP="00B60939">
      <w:pPr>
        <w:pStyle w:val="Header"/>
        <w:rPr>
          <w:szCs w:val="22"/>
        </w:rPr>
      </w:pPr>
    </w:p>
    <w:p w:rsidR="00B50DB8" w:rsidRPr="00CB59BF" w:rsidRDefault="00B50DB8" w:rsidP="00A950E8">
      <w:pPr>
        <w:pStyle w:val="Heading2"/>
      </w:pPr>
      <w:bookmarkStart w:id="8" w:name="_Toc461101501"/>
      <w:r w:rsidRPr="00CB59BF">
        <w:t>Comparator</w:t>
      </w:r>
      <w:bookmarkEnd w:id="8"/>
    </w:p>
    <w:p w:rsidR="00B60939" w:rsidRPr="00CB59BF" w:rsidRDefault="00B60939" w:rsidP="004B1CB4"/>
    <w:p w:rsidR="00B60939" w:rsidRPr="00CB59BF" w:rsidRDefault="008042A1" w:rsidP="00DF5D2B">
      <w:pPr>
        <w:pStyle w:val="ListParagraph"/>
        <w:widowControl/>
        <w:numPr>
          <w:ilvl w:val="1"/>
          <w:numId w:val="6"/>
        </w:numPr>
        <w:rPr>
          <w:szCs w:val="22"/>
        </w:rPr>
      </w:pPr>
      <w:r>
        <w:t>PP1M</w:t>
      </w:r>
      <w:r w:rsidR="009057F6" w:rsidRPr="00CB59BF">
        <w:t xml:space="preserve"> LAI.</w:t>
      </w:r>
      <w:r w:rsidR="00F067A2" w:rsidRPr="00CB59BF">
        <w:rPr>
          <w:color w:val="3366FF"/>
        </w:rPr>
        <w:t xml:space="preserve"> </w:t>
      </w:r>
      <w:r w:rsidR="00BA2175" w:rsidRPr="00CB59BF">
        <w:t>This was considered</w:t>
      </w:r>
      <w:r w:rsidR="00F067A2" w:rsidRPr="00CB59BF">
        <w:t xml:space="preserve"> the appropriate comparator.</w:t>
      </w:r>
    </w:p>
    <w:p w:rsidR="00D254D8" w:rsidRPr="00CB59BF" w:rsidRDefault="00D254D8" w:rsidP="00D254D8">
      <w:pPr>
        <w:pStyle w:val="ListParagraph"/>
        <w:widowControl/>
        <w:rPr>
          <w:szCs w:val="22"/>
        </w:rPr>
      </w:pPr>
    </w:p>
    <w:p w:rsidR="00D254D8" w:rsidRPr="00CB59BF" w:rsidRDefault="00D254D8" w:rsidP="00DF5D2B">
      <w:pPr>
        <w:pStyle w:val="ListParagraph"/>
        <w:widowControl/>
        <w:numPr>
          <w:ilvl w:val="1"/>
          <w:numId w:val="6"/>
        </w:numPr>
        <w:rPr>
          <w:szCs w:val="22"/>
        </w:rPr>
      </w:pPr>
      <w:r w:rsidRPr="00CB59BF">
        <w:t>If listed</w:t>
      </w:r>
      <w:r w:rsidR="00B9098D">
        <w:t>,</w:t>
      </w:r>
      <w:r w:rsidRPr="00CB59BF">
        <w:t xml:space="preserve"> </w:t>
      </w:r>
      <w:r w:rsidR="008042A1">
        <w:t>PP3M</w:t>
      </w:r>
      <w:r w:rsidRPr="00CB59BF">
        <w:t xml:space="preserve"> LAI would be the first l</w:t>
      </w:r>
      <w:r w:rsidR="005972AB">
        <w:t xml:space="preserve">ong acting antipsychotic with </w:t>
      </w:r>
      <w:proofErr w:type="gramStart"/>
      <w:r w:rsidR="005972AB">
        <w:t xml:space="preserve">a </w:t>
      </w:r>
      <w:r w:rsidRPr="00CB59BF">
        <w:t>duration</w:t>
      </w:r>
      <w:proofErr w:type="gramEnd"/>
      <w:r w:rsidRPr="00CB59BF">
        <w:t xml:space="preserve"> of action greater than four weeks.</w:t>
      </w:r>
      <w:r w:rsidR="002F7683" w:rsidRPr="00CB59BF">
        <w:t xml:space="preserve"> The ESC considered that </w:t>
      </w:r>
      <w:r w:rsidR="00B9098D">
        <w:t>c</w:t>
      </w:r>
      <w:r w:rsidR="002F7683" w:rsidRPr="00CB59BF">
        <w:t xml:space="preserve">linicians/patients may preferentially commence on </w:t>
      </w:r>
      <w:r w:rsidR="008042A1">
        <w:t>PP1M</w:t>
      </w:r>
      <w:r w:rsidR="002F7683" w:rsidRPr="00CB59BF">
        <w:t xml:space="preserve"> LAI over other LAI options, and further that patients may switch from another injectable to </w:t>
      </w:r>
      <w:r w:rsidR="008042A1">
        <w:t>PP1M</w:t>
      </w:r>
      <w:r w:rsidR="002F7683" w:rsidRPr="00CB59BF">
        <w:t xml:space="preserve"> LAI, in order to access the option of </w:t>
      </w:r>
      <w:r w:rsidR="008042A1">
        <w:t>PP3M</w:t>
      </w:r>
      <w:r w:rsidR="00703377">
        <w:t xml:space="preserve"> LAI.</w:t>
      </w:r>
    </w:p>
    <w:p w:rsidR="009057F6" w:rsidRPr="00CB59BF" w:rsidRDefault="009057F6" w:rsidP="009057F6">
      <w:pPr>
        <w:pStyle w:val="ListParagraph"/>
        <w:widowControl/>
        <w:rPr>
          <w:szCs w:val="22"/>
        </w:rPr>
      </w:pPr>
    </w:p>
    <w:p w:rsidR="00FE0EBA" w:rsidRPr="00CB59BF" w:rsidRDefault="00FE0EBA" w:rsidP="00FE0EBA">
      <w:pPr>
        <w:ind w:firstLine="720"/>
        <w:rPr>
          <w:bCs/>
          <w:szCs w:val="22"/>
        </w:rPr>
      </w:pPr>
      <w:r w:rsidRPr="00CB59BF">
        <w:rPr>
          <w:bCs/>
          <w:i/>
          <w:szCs w:val="22"/>
        </w:rPr>
        <w:t>For more detail on PBAC’s view, see section 7 “PBAC outcome”</w:t>
      </w:r>
      <w:r w:rsidR="007E3BAF">
        <w:rPr>
          <w:bCs/>
          <w:i/>
          <w:szCs w:val="22"/>
        </w:rPr>
        <w:t>.</w:t>
      </w:r>
    </w:p>
    <w:p w:rsidR="00FE0EBA" w:rsidRPr="00CB59BF" w:rsidRDefault="00FE0EBA" w:rsidP="009057F6">
      <w:pPr>
        <w:pStyle w:val="ListParagraph"/>
        <w:widowControl/>
        <w:rPr>
          <w:szCs w:val="22"/>
        </w:rPr>
      </w:pPr>
    </w:p>
    <w:p w:rsidR="00982F22" w:rsidRPr="00CB59BF" w:rsidRDefault="00982F22" w:rsidP="009057F6">
      <w:pPr>
        <w:pStyle w:val="ListParagraph"/>
        <w:widowControl/>
        <w:rPr>
          <w:szCs w:val="22"/>
        </w:rPr>
      </w:pPr>
    </w:p>
    <w:p w:rsidR="00B50DB8" w:rsidRPr="00CB59BF" w:rsidRDefault="00BD6CF3" w:rsidP="00A950E8">
      <w:pPr>
        <w:pStyle w:val="Heading2"/>
      </w:pPr>
      <w:bookmarkStart w:id="9" w:name="_Toc461101502"/>
      <w:r w:rsidRPr="00CB59BF">
        <w:t>C</w:t>
      </w:r>
      <w:r w:rsidR="00B50DB8" w:rsidRPr="00CB59BF">
        <w:t>onsideration of the evidence</w:t>
      </w:r>
      <w:bookmarkEnd w:id="9"/>
    </w:p>
    <w:p w:rsidR="00B60939" w:rsidRPr="00CB59BF" w:rsidRDefault="00B60939" w:rsidP="004B1CB4"/>
    <w:p w:rsidR="00FE0EBA" w:rsidRPr="00CB59BF" w:rsidRDefault="00FE0EBA" w:rsidP="007313D2">
      <w:pPr>
        <w:pStyle w:val="Heading3"/>
        <w:rPr>
          <w:b w:val="0"/>
          <w:bCs/>
          <w:szCs w:val="22"/>
        </w:rPr>
      </w:pPr>
      <w:r w:rsidRPr="00CB59BF">
        <w:rPr>
          <w:bCs/>
          <w:szCs w:val="22"/>
        </w:rPr>
        <w:t>Sponsor hearing</w:t>
      </w:r>
    </w:p>
    <w:p w:rsidR="00E941CA" w:rsidRPr="00CB59BF" w:rsidRDefault="00E941CA" w:rsidP="00FE0EBA">
      <w:pPr>
        <w:rPr>
          <w:b/>
          <w:bCs/>
          <w:szCs w:val="22"/>
        </w:rPr>
      </w:pPr>
    </w:p>
    <w:p w:rsidR="00FE0EBA" w:rsidRPr="00CB59BF" w:rsidRDefault="00FE0EBA" w:rsidP="00E15210">
      <w:pPr>
        <w:widowControl/>
        <w:numPr>
          <w:ilvl w:val="1"/>
          <w:numId w:val="6"/>
        </w:numPr>
        <w:jc w:val="left"/>
        <w:rPr>
          <w:bCs/>
          <w:szCs w:val="22"/>
        </w:rPr>
      </w:pPr>
      <w:r w:rsidRPr="00CB59BF">
        <w:rPr>
          <w:bCs/>
          <w:szCs w:val="22"/>
        </w:rPr>
        <w:t>The</w:t>
      </w:r>
      <w:r w:rsidR="00E941CA" w:rsidRPr="00CB59BF">
        <w:rPr>
          <w:bCs/>
          <w:szCs w:val="22"/>
        </w:rPr>
        <w:t>re was no hearing for this item</w:t>
      </w:r>
      <w:r w:rsidRPr="00CB59BF">
        <w:rPr>
          <w:bCs/>
          <w:szCs w:val="22"/>
        </w:rPr>
        <w:t>.</w:t>
      </w:r>
    </w:p>
    <w:p w:rsidR="00FE0EBA" w:rsidRPr="00CB59BF" w:rsidRDefault="00FE0EBA" w:rsidP="00FE0EBA">
      <w:pPr>
        <w:rPr>
          <w:bCs/>
          <w:szCs w:val="22"/>
        </w:rPr>
      </w:pPr>
    </w:p>
    <w:p w:rsidR="00FE0EBA" w:rsidRPr="00CB59BF" w:rsidRDefault="00FE0EBA" w:rsidP="007313D2">
      <w:pPr>
        <w:pStyle w:val="Heading3"/>
        <w:rPr>
          <w:b w:val="0"/>
          <w:bCs/>
          <w:szCs w:val="22"/>
        </w:rPr>
      </w:pPr>
      <w:r w:rsidRPr="00CB59BF">
        <w:rPr>
          <w:bCs/>
          <w:szCs w:val="22"/>
        </w:rPr>
        <w:t>Consumer comments</w:t>
      </w:r>
    </w:p>
    <w:p w:rsidR="00E15210" w:rsidRPr="00CB59BF" w:rsidRDefault="00E15210" w:rsidP="00FE0EBA">
      <w:pPr>
        <w:rPr>
          <w:b/>
          <w:bCs/>
          <w:szCs w:val="22"/>
        </w:rPr>
      </w:pPr>
    </w:p>
    <w:p w:rsidR="00E941CA" w:rsidRPr="005972AB" w:rsidRDefault="00FE0EBA" w:rsidP="00B9098D">
      <w:pPr>
        <w:widowControl/>
        <w:numPr>
          <w:ilvl w:val="1"/>
          <w:numId w:val="6"/>
        </w:numPr>
        <w:rPr>
          <w:bCs/>
          <w:szCs w:val="22"/>
        </w:rPr>
      </w:pPr>
      <w:r w:rsidRPr="005972AB">
        <w:rPr>
          <w:bCs/>
          <w:szCs w:val="22"/>
        </w:rPr>
        <w:t xml:space="preserve">The PBAC noted and welcomed the input from </w:t>
      </w:r>
      <w:r w:rsidR="00E941CA" w:rsidRPr="005972AB">
        <w:rPr>
          <w:bCs/>
          <w:szCs w:val="22"/>
        </w:rPr>
        <w:t>health care professionals (5</w:t>
      </w:r>
      <w:r w:rsidRPr="005972AB">
        <w:rPr>
          <w:bCs/>
          <w:szCs w:val="22"/>
        </w:rPr>
        <w:t xml:space="preserve">) via the Consumer Comments facility on the PBS website.  The comments described </w:t>
      </w:r>
      <w:r w:rsidR="00E941CA" w:rsidRPr="005972AB">
        <w:rPr>
          <w:bCs/>
          <w:szCs w:val="22"/>
        </w:rPr>
        <w:t>that a reduction in dosing frequency would result in greater adherence to therapy</w:t>
      </w:r>
      <w:r w:rsidR="00E15210" w:rsidRPr="005972AB">
        <w:rPr>
          <w:bCs/>
          <w:szCs w:val="22"/>
        </w:rPr>
        <w:t xml:space="preserve">, particularly in non-compliant patients, which would result in reduced risk of relapse and hospitalisation. </w:t>
      </w:r>
    </w:p>
    <w:p w:rsidR="00E15210" w:rsidRPr="00CB59BF" w:rsidRDefault="00E15210" w:rsidP="00E15210">
      <w:pPr>
        <w:pStyle w:val="PBACHeading1"/>
        <w:numPr>
          <w:ilvl w:val="0"/>
          <w:numId w:val="0"/>
        </w:numPr>
        <w:ind w:left="720" w:hanging="720"/>
      </w:pPr>
    </w:p>
    <w:p w:rsidR="00B60939" w:rsidRPr="007313D2" w:rsidRDefault="00B60939" w:rsidP="00A950E8">
      <w:pPr>
        <w:pStyle w:val="Heading3"/>
      </w:pPr>
      <w:bookmarkStart w:id="10" w:name="_Toc461101503"/>
      <w:r w:rsidRPr="007313D2">
        <w:t>Clinical trials</w:t>
      </w:r>
      <w:bookmarkEnd w:id="10"/>
    </w:p>
    <w:p w:rsidR="00B60939" w:rsidRPr="00CB59BF" w:rsidRDefault="00B60939" w:rsidP="00B60939">
      <w:pPr>
        <w:rPr>
          <w:szCs w:val="22"/>
        </w:rPr>
      </w:pPr>
    </w:p>
    <w:p w:rsidR="007F1017" w:rsidRPr="00CB59BF" w:rsidRDefault="003F1F38" w:rsidP="009026B4">
      <w:pPr>
        <w:pStyle w:val="ListParagraph"/>
        <w:widowControl/>
        <w:numPr>
          <w:ilvl w:val="1"/>
          <w:numId w:val="6"/>
        </w:numPr>
        <w:rPr>
          <w:szCs w:val="22"/>
        </w:rPr>
      </w:pPr>
      <w:r w:rsidRPr="00CB59BF">
        <w:t>The submission wa</w:t>
      </w:r>
      <w:r w:rsidR="00862502" w:rsidRPr="00CB59BF">
        <w:t xml:space="preserve">s based on one head-to-head trial comparing </w:t>
      </w:r>
      <w:r w:rsidR="008042A1">
        <w:t>PP3M</w:t>
      </w:r>
      <w:r w:rsidR="00320816" w:rsidRPr="00CB59BF">
        <w:t xml:space="preserve"> LAI</w:t>
      </w:r>
      <w:r w:rsidR="00862502" w:rsidRPr="00CB59BF">
        <w:t xml:space="preserve"> to </w:t>
      </w:r>
      <w:r w:rsidR="008042A1">
        <w:t>PP1M</w:t>
      </w:r>
      <w:r w:rsidR="00320816" w:rsidRPr="00CB59BF">
        <w:t xml:space="preserve"> LAI</w:t>
      </w:r>
      <w:r w:rsidR="0082762C" w:rsidRPr="00CB59BF">
        <w:t xml:space="preserve"> as maintenance treatment for schizophrenia in patients who had been stabilised on </w:t>
      </w:r>
      <w:r w:rsidR="008042A1">
        <w:t>PP1M</w:t>
      </w:r>
      <w:r w:rsidR="0082762C" w:rsidRPr="00CB59BF">
        <w:t xml:space="preserve"> LAI for four months prior to randomisation</w:t>
      </w:r>
      <w:r w:rsidR="00862502" w:rsidRPr="00CB59BF">
        <w:t>.</w:t>
      </w:r>
    </w:p>
    <w:p w:rsidR="00862502" w:rsidRPr="00CB59BF" w:rsidRDefault="00862502" w:rsidP="00862502">
      <w:pPr>
        <w:widowControl/>
        <w:rPr>
          <w:szCs w:val="22"/>
        </w:rPr>
      </w:pPr>
    </w:p>
    <w:p w:rsidR="00862502" w:rsidRPr="00CB59BF" w:rsidRDefault="00862502" w:rsidP="00862502">
      <w:pPr>
        <w:pStyle w:val="ListParagraph"/>
        <w:widowControl/>
        <w:numPr>
          <w:ilvl w:val="1"/>
          <w:numId w:val="6"/>
        </w:numPr>
        <w:rPr>
          <w:szCs w:val="22"/>
        </w:rPr>
      </w:pPr>
      <w:r w:rsidRPr="00CB59BF">
        <w:rPr>
          <w:szCs w:val="22"/>
        </w:rPr>
        <w:t>Details of the trial presented in the submission are provided in table</w:t>
      </w:r>
      <w:r w:rsidR="00982F22" w:rsidRPr="00CB59BF">
        <w:rPr>
          <w:szCs w:val="22"/>
        </w:rPr>
        <w:t xml:space="preserve"> 1</w:t>
      </w:r>
      <w:r w:rsidRPr="00CB59BF">
        <w:rPr>
          <w:szCs w:val="22"/>
        </w:rPr>
        <w:t xml:space="preserve"> below.</w:t>
      </w:r>
    </w:p>
    <w:p w:rsidR="00982F22" w:rsidRPr="00CB59BF" w:rsidRDefault="00982F22">
      <w:pPr>
        <w:widowControl/>
        <w:jc w:val="left"/>
        <w:rPr>
          <w:rStyle w:val="CommentReference"/>
        </w:rPr>
      </w:pPr>
    </w:p>
    <w:p w:rsidR="000E58C7" w:rsidRPr="00CB59BF" w:rsidRDefault="007B311E" w:rsidP="000E58C7">
      <w:pPr>
        <w:ind w:firstLine="720"/>
        <w:rPr>
          <w:rFonts w:ascii="Arial Narrow" w:hAnsi="Arial Narrow"/>
          <w:b/>
          <w:sz w:val="20"/>
        </w:rPr>
      </w:pPr>
      <w:r w:rsidRPr="00CB59BF">
        <w:rPr>
          <w:rFonts w:ascii="Arial Narrow" w:hAnsi="Arial Narrow"/>
          <w:b/>
          <w:sz w:val="20"/>
        </w:rPr>
        <w:t xml:space="preserve">Table </w:t>
      </w:r>
      <w:r w:rsidR="00894A87">
        <w:rPr>
          <w:rFonts w:ascii="Arial Narrow" w:hAnsi="Arial Narrow"/>
          <w:b/>
          <w:noProof/>
          <w:sz w:val="20"/>
        </w:rPr>
        <w:t>1</w:t>
      </w:r>
      <w:r w:rsidRPr="00CB59BF">
        <w:rPr>
          <w:rFonts w:ascii="Arial Narrow" w:hAnsi="Arial Narrow"/>
          <w:b/>
          <w:sz w:val="20"/>
        </w:rPr>
        <w:t xml:space="preserve">: Trials and </w:t>
      </w:r>
      <w:r w:rsidRPr="00CB59BF">
        <w:rPr>
          <w:rStyle w:val="CommentReference"/>
          <w:szCs w:val="20"/>
        </w:rPr>
        <w:t>associated</w:t>
      </w:r>
      <w:r w:rsidRPr="00CB59BF">
        <w:rPr>
          <w:rFonts w:ascii="Arial Narrow" w:hAnsi="Arial Narrow"/>
          <w:b/>
          <w:sz w:val="20"/>
        </w:rPr>
        <w:t xml:space="preserve">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6"/>
        <w:gridCol w:w="5241"/>
        <w:gridCol w:w="2108"/>
      </w:tblGrid>
      <w:tr w:rsidR="0082762C" w:rsidRPr="00CB59BF" w:rsidTr="00E313FE">
        <w:tc>
          <w:tcPr>
            <w:tcW w:w="597" w:type="pct"/>
          </w:tcPr>
          <w:p w:rsidR="0082762C" w:rsidRPr="00CB59BF" w:rsidRDefault="0082762C" w:rsidP="00247576">
            <w:pPr>
              <w:jc w:val="left"/>
              <w:rPr>
                <w:rFonts w:ascii="Arial Narrow" w:hAnsi="Arial Narrow"/>
                <w:b/>
                <w:sz w:val="20"/>
              </w:rPr>
            </w:pPr>
            <w:r w:rsidRPr="00CB59BF">
              <w:rPr>
                <w:rFonts w:ascii="Arial Narrow" w:hAnsi="Arial Narrow"/>
                <w:b/>
                <w:sz w:val="20"/>
              </w:rPr>
              <w:t>Trial ID</w:t>
            </w:r>
          </w:p>
        </w:tc>
        <w:tc>
          <w:tcPr>
            <w:tcW w:w="3140" w:type="pct"/>
          </w:tcPr>
          <w:p w:rsidR="0082762C" w:rsidRPr="00CB59BF" w:rsidRDefault="0082762C" w:rsidP="00247576">
            <w:pPr>
              <w:jc w:val="center"/>
              <w:rPr>
                <w:rFonts w:ascii="Arial Narrow" w:hAnsi="Arial Narrow"/>
                <w:b/>
                <w:sz w:val="20"/>
              </w:rPr>
            </w:pPr>
            <w:r w:rsidRPr="00CB59BF">
              <w:rPr>
                <w:rFonts w:ascii="Arial Narrow" w:hAnsi="Arial Narrow"/>
                <w:b/>
                <w:sz w:val="20"/>
              </w:rPr>
              <w:t>Protocol title/ Publication title</w:t>
            </w:r>
          </w:p>
        </w:tc>
        <w:tc>
          <w:tcPr>
            <w:tcW w:w="1263" w:type="pct"/>
          </w:tcPr>
          <w:p w:rsidR="0082762C" w:rsidRPr="00CB59BF" w:rsidRDefault="0082762C" w:rsidP="00247576">
            <w:pPr>
              <w:jc w:val="center"/>
              <w:rPr>
                <w:rFonts w:ascii="Arial Narrow" w:hAnsi="Arial Narrow"/>
                <w:b/>
                <w:sz w:val="20"/>
              </w:rPr>
            </w:pPr>
            <w:r w:rsidRPr="00CB59BF">
              <w:rPr>
                <w:rFonts w:ascii="Arial Narrow" w:hAnsi="Arial Narrow"/>
                <w:b/>
                <w:sz w:val="20"/>
              </w:rPr>
              <w:t>Publication citation</w:t>
            </w:r>
          </w:p>
        </w:tc>
      </w:tr>
      <w:tr w:rsidR="0082762C" w:rsidRPr="00CB59BF" w:rsidTr="00E313FE">
        <w:tc>
          <w:tcPr>
            <w:tcW w:w="597" w:type="pct"/>
          </w:tcPr>
          <w:p w:rsidR="0082762C" w:rsidRPr="00CB59BF" w:rsidRDefault="0082762C" w:rsidP="00247576">
            <w:pPr>
              <w:jc w:val="left"/>
              <w:rPr>
                <w:rFonts w:ascii="Arial Narrow" w:hAnsi="Arial Narrow"/>
                <w:sz w:val="20"/>
              </w:rPr>
            </w:pPr>
            <w:r w:rsidRPr="00CB59BF">
              <w:rPr>
                <w:rFonts w:ascii="Arial Narrow" w:hAnsi="Arial Narrow"/>
                <w:sz w:val="20"/>
              </w:rPr>
              <w:t>R092670-PSY-3011</w:t>
            </w:r>
          </w:p>
        </w:tc>
        <w:tc>
          <w:tcPr>
            <w:tcW w:w="3140" w:type="pct"/>
          </w:tcPr>
          <w:p w:rsidR="0082762C" w:rsidRPr="00CB59BF" w:rsidRDefault="0082762C" w:rsidP="00247576">
            <w:pPr>
              <w:jc w:val="left"/>
              <w:rPr>
                <w:rFonts w:ascii="Arial Narrow" w:hAnsi="Arial Narrow"/>
                <w:sz w:val="20"/>
              </w:rPr>
            </w:pPr>
            <w:r w:rsidRPr="00CB59BF">
              <w:rPr>
                <w:rFonts w:ascii="Arial Narrow" w:hAnsi="Arial Narrow"/>
                <w:sz w:val="20"/>
              </w:rPr>
              <w:t xml:space="preserve">A randomized, </w:t>
            </w:r>
            <w:r w:rsidR="00ED0913" w:rsidRPr="00CB59BF">
              <w:rPr>
                <w:rFonts w:ascii="Arial Narrow" w:hAnsi="Arial Narrow"/>
                <w:sz w:val="20"/>
              </w:rPr>
              <w:t>multicentre</w:t>
            </w:r>
            <w:r w:rsidRPr="00CB59BF">
              <w:rPr>
                <w:rFonts w:ascii="Arial Narrow" w:hAnsi="Arial Narrow"/>
                <w:sz w:val="20"/>
              </w:rPr>
              <w:t xml:space="preserve">, double-blind, non-inferiority study of </w:t>
            </w:r>
            <w:proofErr w:type="spellStart"/>
            <w:r w:rsidRPr="00CB59BF">
              <w:rPr>
                <w:rFonts w:ascii="Arial Narrow" w:hAnsi="Arial Narrow"/>
                <w:sz w:val="20"/>
              </w:rPr>
              <w:t>paliperidone</w:t>
            </w:r>
            <w:proofErr w:type="spellEnd"/>
            <w:r w:rsidRPr="00CB59BF">
              <w:rPr>
                <w:rFonts w:ascii="Arial Narrow" w:hAnsi="Arial Narrow"/>
                <w:sz w:val="20"/>
              </w:rPr>
              <w:t xml:space="preserve"> </w:t>
            </w:r>
            <w:proofErr w:type="spellStart"/>
            <w:r w:rsidRPr="00CB59BF">
              <w:rPr>
                <w:rFonts w:ascii="Arial Narrow" w:hAnsi="Arial Narrow"/>
                <w:sz w:val="20"/>
              </w:rPr>
              <w:t>palmitate</w:t>
            </w:r>
            <w:proofErr w:type="spellEnd"/>
            <w:r w:rsidRPr="00CB59BF">
              <w:rPr>
                <w:rFonts w:ascii="Arial Narrow" w:hAnsi="Arial Narrow"/>
                <w:sz w:val="20"/>
              </w:rPr>
              <w:t xml:space="preserve"> 3 month and 1 month formulations for the treatment of patients with schizophrenia.</w:t>
            </w:r>
          </w:p>
          <w:p w:rsidR="0082762C" w:rsidRPr="00CB59BF" w:rsidRDefault="0082762C" w:rsidP="00247576">
            <w:pPr>
              <w:jc w:val="left"/>
              <w:rPr>
                <w:rFonts w:ascii="Arial Narrow" w:hAnsi="Arial Narrow"/>
                <w:sz w:val="20"/>
              </w:rPr>
            </w:pPr>
          </w:p>
          <w:p w:rsidR="0082762C" w:rsidRPr="00CB59BF" w:rsidRDefault="00BA2175" w:rsidP="00EF4502">
            <w:pPr>
              <w:jc w:val="left"/>
              <w:rPr>
                <w:rFonts w:ascii="Arial Narrow" w:hAnsi="Arial Narrow"/>
                <w:b/>
                <w:sz w:val="20"/>
              </w:rPr>
            </w:pPr>
            <w:proofErr w:type="spellStart"/>
            <w:r w:rsidRPr="00CB59BF">
              <w:rPr>
                <w:rFonts w:ascii="Arial Narrow" w:hAnsi="Arial Narrow"/>
                <w:sz w:val="20"/>
              </w:rPr>
              <w:t>Savitz</w:t>
            </w:r>
            <w:proofErr w:type="spellEnd"/>
            <w:r w:rsidRPr="00CB59BF">
              <w:rPr>
                <w:rFonts w:ascii="Arial Narrow" w:hAnsi="Arial Narrow"/>
                <w:sz w:val="20"/>
              </w:rPr>
              <w:t xml:space="preserve"> AJ, Xu H, Gopal S, et al. Efficacy and safety of </w:t>
            </w:r>
            <w:proofErr w:type="spellStart"/>
            <w:r w:rsidRPr="00CB59BF">
              <w:rPr>
                <w:rFonts w:ascii="Arial Narrow" w:hAnsi="Arial Narrow"/>
                <w:sz w:val="20"/>
              </w:rPr>
              <w:t>paliperidone</w:t>
            </w:r>
            <w:proofErr w:type="spellEnd"/>
            <w:r w:rsidRPr="00CB59BF">
              <w:rPr>
                <w:rFonts w:ascii="Arial Narrow" w:hAnsi="Arial Narrow"/>
                <w:sz w:val="20"/>
              </w:rPr>
              <w:t xml:space="preserve"> </w:t>
            </w:r>
            <w:proofErr w:type="spellStart"/>
            <w:r w:rsidRPr="00CB59BF">
              <w:rPr>
                <w:rFonts w:ascii="Arial Narrow" w:hAnsi="Arial Narrow"/>
                <w:sz w:val="20"/>
              </w:rPr>
              <w:t>palmitate</w:t>
            </w:r>
            <w:proofErr w:type="spellEnd"/>
            <w:r w:rsidRPr="00CB59BF">
              <w:rPr>
                <w:rFonts w:ascii="Arial Narrow" w:hAnsi="Arial Narrow"/>
                <w:sz w:val="20"/>
              </w:rPr>
              <w:t xml:space="preserve"> 3-month formulation for patients with schizophrenia: a randomised, multicentre, double-blind, non</w:t>
            </w:r>
            <w:r w:rsidR="00DB0A15" w:rsidRPr="00CB59BF">
              <w:rPr>
                <w:rFonts w:ascii="Arial Narrow" w:hAnsi="Arial Narrow"/>
                <w:sz w:val="20"/>
              </w:rPr>
              <w:noBreakHyphen/>
            </w:r>
            <w:r w:rsidRPr="00CB59BF">
              <w:rPr>
                <w:rFonts w:ascii="Arial Narrow" w:hAnsi="Arial Narrow"/>
                <w:sz w:val="20"/>
              </w:rPr>
              <w:t>inferiority study.</w:t>
            </w:r>
          </w:p>
        </w:tc>
        <w:tc>
          <w:tcPr>
            <w:tcW w:w="1263" w:type="pct"/>
          </w:tcPr>
          <w:p w:rsidR="0082762C" w:rsidRPr="00CB59BF" w:rsidRDefault="0082762C" w:rsidP="00247576">
            <w:pPr>
              <w:jc w:val="left"/>
              <w:rPr>
                <w:rFonts w:ascii="Arial Narrow" w:hAnsi="Arial Narrow"/>
                <w:sz w:val="20"/>
              </w:rPr>
            </w:pPr>
            <w:r w:rsidRPr="00CB59BF">
              <w:rPr>
                <w:rFonts w:ascii="Arial Narrow" w:hAnsi="Arial Narrow"/>
                <w:sz w:val="20"/>
              </w:rPr>
              <w:t>10 June 2015</w:t>
            </w:r>
          </w:p>
          <w:p w:rsidR="0082762C" w:rsidRPr="00CB59BF" w:rsidRDefault="0082762C" w:rsidP="00247576">
            <w:pPr>
              <w:jc w:val="left"/>
              <w:rPr>
                <w:rFonts w:ascii="Arial Narrow" w:hAnsi="Arial Narrow"/>
                <w:sz w:val="20"/>
              </w:rPr>
            </w:pPr>
          </w:p>
          <w:p w:rsidR="0082762C" w:rsidRPr="00CB59BF" w:rsidRDefault="0082762C" w:rsidP="00247576">
            <w:pPr>
              <w:jc w:val="left"/>
              <w:rPr>
                <w:rFonts w:ascii="Arial Narrow" w:hAnsi="Arial Narrow"/>
                <w:sz w:val="20"/>
              </w:rPr>
            </w:pPr>
          </w:p>
          <w:p w:rsidR="0082762C" w:rsidRPr="00CB59BF" w:rsidRDefault="0082762C" w:rsidP="00247576">
            <w:pPr>
              <w:jc w:val="left"/>
              <w:rPr>
                <w:rFonts w:ascii="Arial Narrow" w:hAnsi="Arial Narrow"/>
                <w:sz w:val="20"/>
              </w:rPr>
            </w:pPr>
          </w:p>
          <w:p w:rsidR="0082762C" w:rsidRPr="00CB59BF" w:rsidRDefault="0082762C" w:rsidP="00247576">
            <w:pPr>
              <w:jc w:val="left"/>
              <w:rPr>
                <w:rFonts w:ascii="Arial Narrow" w:hAnsi="Arial Narrow"/>
                <w:b/>
                <w:sz w:val="20"/>
              </w:rPr>
            </w:pPr>
            <w:r w:rsidRPr="00CB59BF">
              <w:rPr>
                <w:rFonts w:ascii="Arial Narrow" w:hAnsi="Arial Narrow"/>
                <w:sz w:val="20"/>
              </w:rPr>
              <w:t xml:space="preserve">International Journal of </w:t>
            </w:r>
            <w:proofErr w:type="spellStart"/>
            <w:r w:rsidRPr="00CB59BF">
              <w:rPr>
                <w:rFonts w:ascii="Arial Narrow" w:hAnsi="Arial Narrow"/>
                <w:sz w:val="20"/>
              </w:rPr>
              <w:t>Neuropsychopharmacology</w:t>
            </w:r>
            <w:proofErr w:type="spellEnd"/>
            <w:r w:rsidRPr="00CB59BF">
              <w:rPr>
                <w:rFonts w:ascii="Arial Narrow" w:hAnsi="Arial Narrow"/>
                <w:sz w:val="20"/>
              </w:rPr>
              <w:t xml:space="preserve"> 2016; 19(7):1-14</w:t>
            </w:r>
          </w:p>
        </w:tc>
      </w:tr>
    </w:tbl>
    <w:p w:rsidR="00862502" w:rsidRPr="00CB59BF" w:rsidRDefault="00862502" w:rsidP="008F120A">
      <w:pPr>
        <w:widowControl/>
        <w:rPr>
          <w:szCs w:val="22"/>
        </w:rPr>
      </w:pPr>
    </w:p>
    <w:p w:rsidR="007F1017" w:rsidRPr="00CB59BF" w:rsidRDefault="008F120A" w:rsidP="007F1017">
      <w:pPr>
        <w:pStyle w:val="ListParagraph"/>
        <w:widowControl/>
        <w:numPr>
          <w:ilvl w:val="1"/>
          <w:numId w:val="6"/>
        </w:numPr>
        <w:rPr>
          <w:szCs w:val="22"/>
        </w:rPr>
      </w:pPr>
      <w:r w:rsidRPr="00CB59BF">
        <w:rPr>
          <w:szCs w:val="22"/>
        </w:rPr>
        <w:lastRenderedPageBreak/>
        <w:t>The key features of the direct randomised trial are summarised in table</w:t>
      </w:r>
      <w:r w:rsidR="00982F22" w:rsidRPr="00CB59BF">
        <w:rPr>
          <w:szCs w:val="22"/>
        </w:rPr>
        <w:t xml:space="preserve"> 2</w:t>
      </w:r>
      <w:r w:rsidR="00B06598" w:rsidRPr="00CB59BF">
        <w:rPr>
          <w:szCs w:val="22"/>
        </w:rPr>
        <w:t xml:space="preserve"> below</w:t>
      </w:r>
      <w:r w:rsidRPr="00CB59BF">
        <w:rPr>
          <w:szCs w:val="22"/>
        </w:rPr>
        <w:t>.</w:t>
      </w:r>
    </w:p>
    <w:p w:rsidR="00982F22" w:rsidRDefault="00982F22">
      <w:pPr>
        <w:widowControl/>
        <w:jc w:val="left"/>
        <w:rPr>
          <w:rStyle w:val="CommentReference"/>
        </w:rPr>
      </w:pPr>
    </w:p>
    <w:p w:rsidR="000E58C7" w:rsidRPr="00CB59BF" w:rsidRDefault="000E58C7" w:rsidP="00B9098D">
      <w:pPr>
        <w:pStyle w:val="Caption"/>
        <w:keepNext/>
        <w:ind w:firstLine="720"/>
      </w:pPr>
      <w:r w:rsidRPr="00CB59BF">
        <w:t xml:space="preserve">Table </w:t>
      </w:r>
      <w:r w:rsidR="00894A87">
        <w:rPr>
          <w:noProof/>
        </w:rPr>
        <w:t>2</w:t>
      </w:r>
      <w:r w:rsidRPr="00CB59BF">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7"/>
        <w:gridCol w:w="894"/>
        <w:gridCol w:w="2317"/>
        <w:gridCol w:w="1247"/>
        <w:gridCol w:w="1781"/>
        <w:gridCol w:w="1419"/>
      </w:tblGrid>
      <w:tr w:rsidR="0082762C" w:rsidRPr="00CB59BF" w:rsidTr="000E58C7">
        <w:tc>
          <w:tcPr>
            <w:tcW w:w="412" w:type="pct"/>
            <w:shd w:val="clear" w:color="auto" w:fill="auto"/>
            <w:vAlign w:val="center"/>
          </w:tcPr>
          <w:p w:rsidR="0082762C" w:rsidRPr="00CB59BF" w:rsidRDefault="0082762C" w:rsidP="00B9098D">
            <w:pPr>
              <w:keepNext/>
              <w:jc w:val="left"/>
              <w:rPr>
                <w:rFonts w:ascii="Arial Narrow" w:hAnsi="Arial Narrow"/>
                <w:b/>
                <w:sz w:val="20"/>
                <w:lang w:val="en-US"/>
              </w:rPr>
            </w:pPr>
            <w:r w:rsidRPr="00CB59BF">
              <w:rPr>
                <w:rFonts w:ascii="Arial Narrow" w:hAnsi="Arial Narrow"/>
                <w:b/>
                <w:sz w:val="20"/>
                <w:lang w:val="en-US"/>
              </w:rPr>
              <w:t>Trial</w:t>
            </w:r>
          </w:p>
        </w:tc>
        <w:tc>
          <w:tcPr>
            <w:tcW w:w="536" w:type="pct"/>
            <w:shd w:val="clear" w:color="auto" w:fill="auto"/>
            <w:vAlign w:val="center"/>
          </w:tcPr>
          <w:p w:rsidR="0082762C" w:rsidRPr="00CB59BF" w:rsidRDefault="0082762C" w:rsidP="00B9098D">
            <w:pPr>
              <w:keepNext/>
              <w:jc w:val="center"/>
              <w:rPr>
                <w:rFonts w:ascii="Arial Narrow" w:hAnsi="Arial Narrow"/>
                <w:b/>
                <w:sz w:val="20"/>
                <w:lang w:val="en-US"/>
              </w:rPr>
            </w:pPr>
            <w:r w:rsidRPr="00CB59BF">
              <w:rPr>
                <w:rFonts w:ascii="Arial Narrow" w:hAnsi="Arial Narrow"/>
                <w:b/>
                <w:sz w:val="20"/>
                <w:lang w:val="en-US"/>
              </w:rPr>
              <w:t>N</w:t>
            </w:r>
          </w:p>
        </w:tc>
        <w:tc>
          <w:tcPr>
            <w:tcW w:w="1388" w:type="pct"/>
            <w:shd w:val="clear" w:color="auto" w:fill="auto"/>
            <w:vAlign w:val="center"/>
          </w:tcPr>
          <w:p w:rsidR="0082762C" w:rsidRPr="00CB59BF" w:rsidRDefault="0082762C" w:rsidP="00B9098D">
            <w:pPr>
              <w:keepNext/>
              <w:jc w:val="center"/>
              <w:rPr>
                <w:rFonts w:ascii="Arial Narrow" w:hAnsi="Arial Narrow"/>
                <w:b/>
                <w:sz w:val="20"/>
                <w:lang w:val="en-US"/>
              </w:rPr>
            </w:pPr>
            <w:r w:rsidRPr="00CB59BF">
              <w:rPr>
                <w:rFonts w:ascii="Arial Narrow" w:hAnsi="Arial Narrow"/>
                <w:b/>
                <w:sz w:val="20"/>
                <w:lang w:val="en-US"/>
              </w:rPr>
              <w:t>Design/ duration</w:t>
            </w:r>
          </w:p>
        </w:tc>
        <w:tc>
          <w:tcPr>
            <w:tcW w:w="747" w:type="pct"/>
            <w:shd w:val="clear" w:color="auto" w:fill="auto"/>
            <w:vAlign w:val="center"/>
          </w:tcPr>
          <w:p w:rsidR="0082762C" w:rsidRPr="00CB59BF" w:rsidRDefault="0082762C" w:rsidP="00B9098D">
            <w:pPr>
              <w:keepNext/>
              <w:jc w:val="center"/>
              <w:rPr>
                <w:rFonts w:ascii="Arial Narrow" w:hAnsi="Arial Narrow"/>
                <w:b/>
                <w:sz w:val="20"/>
                <w:lang w:val="en-US"/>
              </w:rPr>
            </w:pPr>
            <w:r w:rsidRPr="00CB59BF">
              <w:rPr>
                <w:rFonts w:ascii="Arial Narrow" w:hAnsi="Arial Narrow"/>
                <w:b/>
                <w:sz w:val="20"/>
                <w:lang w:val="en-US"/>
              </w:rPr>
              <w:t>Risk of bias</w:t>
            </w:r>
          </w:p>
        </w:tc>
        <w:tc>
          <w:tcPr>
            <w:tcW w:w="1067" w:type="pct"/>
            <w:shd w:val="clear" w:color="auto" w:fill="auto"/>
            <w:vAlign w:val="center"/>
          </w:tcPr>
          <w:p w:rsidR="0082762C" w:rsidRPr="00CB59BF" w:rsidRDefault="0082762C" w:rsidP="00B9098D">
            <w:pPr>
              <w:keepNext/>
              <w:jc w:val="center"/>
              <w:rPr>
                <w:rFonts w:ascii="Arial Narrow" w:hAnsi="Arial Narrow"/>
                <w:b/>
                <w:sz w:val="20"/>
                <w:lang w:val="en-US"/>
              </w:rPr>
            </w:pPr>
            <w:r w:rsidRPr="00CB59BF">
              <w:rPr>
                <w:rFonts w:ascii="Arial Narrow" w:hAnsi="Arial Narrow"/>
                <w:b/>
                <w:sz w:val="20"/>
                <w:lang w:val="en-US"/>
              </w:rPr>
              <w:t>Patient population</w:t>
            </w:r>
          </w:p>
        </w:tc>
        <w:tc>
          <w:tcPr>
            <w:tcW w:w="850" w:type="pct"/>
            <w:shd w:val="clear" w:color="auto" w:fill="auto"/>
            <w:vAlign w:val="center"/>
          </w:tcPr>
          <w:p w:rsidR="0082762C" w:rsidRPr="00CB59BF" w:rsidRDefault="003223A2" w:rsidP="00B9098D">
            <w:pPr>
              <w:keepNext/>
              <w:jc w:val="center"/>
              <w:rPr>
                <w:rFonts w:ascii="Arial Narrow" w:hAnsi="Arial Narrow"/>
                <w:b/>
                <w:sz w:val="20"/>
                <w:lang w:val="en-US"/>
              </w:rPr>
            </w:pPr>
            <w:r w:rsidRPr="00CB59BF">
              <w:rPr>
                <w:rFonts w:ascii="Arial Narrow" w:hAnsi="Arial Narrow"/>
                <w:b/>
                <w:sz w:val="20"/>
                <w:lang w:val="en-US"/>
              </w:rPr>
              <w:t>Outcome</w:t>
            </w:r>
            <w:r w:rsidR="0082762C" w:rsidRPr="00CB59BF">
              <w:rPr>
                <w:rFonts w:ascii="Arial Narrow" w:hAnsi="Arial Narrow"/>
                <w:b/>
                <w:sz w:val="20"/>
                <w:lang w:val="en-US"/>
              </w:rPr>
              <w:t>s</w:t>
            </w:r>
          </w:p>
        </w:tc>
      </w:tr>
      <w:tr w:rsidR="007F1017" w:rsidRPr="00CB59BF" w:rsidTr="0082762C">
        <w:tc>
          <w:tcPr>
            <w:tcW w:w="5000" w:type="pct"/>
            <w:gridSpan w:val="6"/>
            <w:shd w:val="clear" w:color="auto" w:fill="auto"/>
            <w:vAlign w:val="center"/>
          </w:tcPr>
          <w:p w:rsidR="007F1017" w:rsidRPr="00CB59BF" w:rsidRDefault="0082762C" w:rsidP="00B9098D">
            <w:pPr>
              <w:keepNext/>
              <w:jc w:val="left"/>
              <w:rPr>
                <w:rFonts w:ascii="Arial Narrow" w:hAnsi="Arial Narrow"/>
                <w:b/>
                <w:sz w:val="20"/>
                <w:lang w:val="en-US"/>
              </w:rPr>
            </w:pPr>
            <w:r w:rsidRPr="00CB59BF">
              <w:rPr>
                <w:rFonts w:ascii="Arial Narrow" w:hAnsi="Arial Narrow"/>
                <w:b/>
                <w:sz w:val="20"/>
                <w:lang w:val="en-US"/>
              </w:rPr>
              <w:t>Paliperidone three month LAI vs. paliperidone one month LAI</w:t>
            </w:r>
          </w:p>
        </w:tc>
      </w:tr>
      <w:tr w:rsidR="0082762C" w:rsidRPr="00CB59BF" w:rsidTr="000E58C7">
        <w:tc>
          <w:tcPr>
            <w:tcW w:w="412" w:type="pct"/>
            <w:shd w:val="clear" w:color="auto" w:fill="auto"/>
            <w:vAlign w:val="center"/>
          </w:tcPr>
          <w:p w:rsidR="0082762C" w:rsidRPr="00CB59BF" w:rsidRDefault="0082762C" w:rsidP="00B9098D">
            <w:pPr>
              <w:keepNext/>
              <w:jc w:val="left"/>
              <w:rPr>
                <w:rFonts w:ascii="Arial Narrow" w:hAnsi="Arial Narrow"/>
                <w:sz w:val="20"/>
                <w:lang w:val="en-US"/>
              </w:rPr>
            </w:pPr>
            <w:r w:rsidRPr="00CB59BF">
              <w:rPr>
                <w:rFonts w:ascii="Arial Narrow" w:hAnsi="Arial Narrow"/>
                <w:sz w:val="20"/>
                <w:lang w:val="en-US"/>
              </w:rPr>
              <w:t>PSY-3011</w:t>
            </w:r>
          </w:p>
        </w:tc>
        <w:tc>
          <w:tcPr>
            <w:tcW w:w="536" w:type="pct"/>
            <w:shd w:val="clear" w:color="auto" w:fill="auto"/>
            <w:vAlign w:val="center"/>
          </w:tcPr>
          <w:p w:rsidR="0082762C" w:rsidRPr="00CB59BF" w:rsidRDefault="00E7545E" w:rsidP="00B9098D">
            <w:pPr>
              <w:keepNext/>
              <w:jc w:val="center"/>
              <w:rPr>
                <w:rFonts w:ascii="Arial Narrow" w:hAnsi="Arial Narrow"/>
                <w:sz w:val="20"/>
                <w:lang w:val="en-US"/>
              </w:rPr>
            </w:pPr>
            <w:r w:rsidRPr="00CB59BF">
              <w:rPr>
                <w:rFonts w:ascii="Arial Narrow" w:hAnsi="Arial Narrow"/>
                <w:sz w:val="20"/>
                <w:lang w:val="en-US"/>
              </w:rPr>
              <w:t>1016</w:t>
            </w:r>
          </w:p>
        </w:tc>
        <w:tc>
          <w:tcPr>
            <w:tcW w:w="1388" w:type="pct"/>
            <w:shd w:val="clear" w:color="auto" w:fill="auto"/>
            <w:vAlign w:val="center"/>
          </w:tcPr>
          <w:p w:rsidR="0082762C" w:rsidRPr="00CB59BF" w:rsidRDefault="00E7545E" w:rsidP="00B9098D">
            <w:pPr>
              <w:keepNext/>
              <w:jc w:val="center"/>
              <w:rPr>
                <w:rFonts w:ascii="Arial Narrow" w:hAnsi="Arial Narrow"/>
                <w:sz w:val="20"/>
                <w:lang w:val="en-US"/>
              </w:rPr>
            </w:pPr>
            <w:r w:rsidRPr="00CB59BF">
              <w:rPr>
                <w:rFonts w:ascii="Arial Narrow" w:hAnsi="Arial Narrow"/>
                <w:sz w:val="20"/>
                <w:lang w:val="en-US"/>
              </w:rPr>
              <w:t>MC, R, DB, PG</w:t>
            </w:r>
          </w:p>
          <w:p w:rsidR="00E7545E" w:rsidRPr="00CB59BF" w:rsidRDefault="00E7545E" w:rsidP="00B9098D">
            <w:pPr>
              <w:keepNext/>
              <w:jc w:val="center"/>
              <w:rPr>
                <w:rFonts w:ascii="Arial Narrow" w:hAnsi="Arial Narrow"/>
                <w:sz w:val="20"/>
                <w:lang w:val="en-US"/>
              </w:rPr>
            </w:pPr>
            <w:r w:rsidRPr="00CB59BF">
              <w:rPr>
                <w:rFonts w:ascii="Arial Narrow" w:hAnsi="Arial Narrow"/>
                <w:sz w:val="20"/>
                <w:lang w:val="en-US"/>
              </w:rPr>
              <w:t>17 weeks open label phase</w:t>
            </w:r>
          </w:p>
          <w:p w:rsidR="0082762C" w:rsidRPr="00CB59BF" w:rsidRDefault="00E7545E" w:rsidP="00B9098D">
            <w:pPr>
              <w:keepNext/>
              <w:jc w:val="center"/>
              <w:rPr>
                <w:rFonts w:ascii="Arial Narrow" w:hAnsi="Arial Narrow"/>
                <w:sz w:val="20"/>
                <w:lang w:val="en-US"/>
              </w:rPr>
            </w:pPr>
            <w:r w:rsidRPr="00CB59BF">
              <w:rPr>
                <w:rFonts w:ascii="Arial Narrow" w:hAnsi="Arial Narrow"/>
                <w:sz w:val="20"/>
                <w:lang w:val="en-US"/>
              </w:rPr>
              <w:t>48 weeks double blind phase</w:t>
            </w:r>
          </w:p>
        </w:tc>
        <w:tc>
          <w:tcPr>
            <w:tcW w:w="747" w:type="pct"/>
            <w:shd w:val="clear" w:color="auto" w:fill="auto"/>
            <w:vAlign w:val="center"/>
          </w:tcPr>
          <w:p w:rsidR="0082762C" w:rsidRPr="00CB59BF" w:rsidRDefault="0082762C" w:rsidP="00B9098D">
            <w:pPr>
              <w:keepNext/>
              <w:jc w:val="center"/>
              <w:rPr>
                <w:rFonts w:ascii="Arial Narrow" w:hAnsi="Arial Narrow"/>
                <w:sz w:val="20"/>
                <w:lang w:val="en-US"/>
              </w:rPr>
            </w:pPr>
            <w:r w:rsidRPr="00CB59BF">
              <w:rPr>
                <w:rFonts w:ascii="Arial Narrow" w:hAnsi="Arial Narrow"/>
                <w:sz w:val="20"/>
                <w:lang w:val="en-US"/>
              </w:rPr>
              <w:t>Low</w:t>
            </w:r>
          </w:p>
        </w:tc>
        <w:tc>
          <w:tcPr>
            <w:tcW w:w="1067" w:type="pct"/>
            <w:shd w:val="clear" w:color="auto" w:fill="auto"/>
            <w:vAlign w:val="center"/>
          </w:tcPr>
          <w:p w:rsidR="0082762C" w:rsidRPr="00CB59BF" w:rsidRDefault="00E7545E" w:rsidP="00B9098D">
            <w:pPr>
              <w:keepNext/>
              <w:jc w:val="center"/>
              <w:rPr>
                <w:rFonts w:ascii="Arial Narrow" w:hAnsi="Arial Narrow"/>
                <w:sz w:val="20"/>
                <w:lang w:val="en-US"/>
              </w:rPr>
            </w:pPr>
            <w:r w:rsidRPr="00CB59BF">
              <w:rPr>
                <w:rFonts w:ascii="Arial Narrow" w:hAnsi="Arial Narrow"/>
                <w:sz w:val="20"/>
                <w:lang w:val="en-US"/>
              </w:rPr>
              <w:t>Patients with schizophrenia on a stable dose of paliperidone one month LAI</w:t>
            </w:r>
          </w:p>
        </w:tc>
        <w:tc>
          <w:tcPr>
            <w:tcW w:w="850" w:type="pct"/>
            <w:shd w:val="clear" w:color="auto" w:fill="auto"/>
            <w:vAlign w:val="center"/>
          </w:tcPr>
          <w:p w:rsidR="0082762C" w:rsidRPr="00CB59BF" w:rsidRDefault="00E7545E" w:rsidP="00B9098D">
            <w:pPr>
              <w:keepNext/>
              <w:jc w:val="center"/>
              <w:rPr>
                <w:rFonts w:ascii="Arial Narrow" w:hAnsi="Arial Narrow"/>
                <w:sz w:val="20"/>
                <w:lang w:val="en-US"/>
              </w:rPr>
            </w:pPr>
            <w:r w:rsidRPr="00CB59BF">
              <w:rPr>
                <w:rFonts w:ascii="Arial Narrow" w:hAnsi="Arial Narrow"/>
                <w:sz w:val="20"/>
                <w:lang w:val="en-US"/>
              </w:rPr>
              <w:t>Relapse,</w:t>
            </w:r>
          </w:p>
          <w:p w:rsidR="00E7545E" w:rsidRPr="00CB59BF" w:rsidRDefault="00E7545E" w:rsidP="00B9098D">
            <w:pPr>
              <w:keepNext/>
              <w:jc w:val="center"/>
              <w:rPr>
                <w:rFonts w:ascii="Arial Narrow" w:hAnsi="Arial Narrow"/>
                <w:sz w:val="20"/>
                <w:lang w:val="en-US"/>
              </w:rPr>
            </w:pPr>
            <w:r w:rsidRPr="00CB59BF">
              <w:rPr>
                <w:rFonts w:ascii="Arial Narrow" w:hAnsi="Arial Narrow"/>
                <w:sz w:val="20"/>
                <w:lang w:val="en-US"/>
              </w:rPr>
              <w:t>PANSS</w:t>
            </w:r>
          </w:p>
        </w:tc>
      </w:tr>
    </w:tbl>
    <w:p w:rsidR="007F1017" w:rsidRPr="00CB59BF" w:rsidRDefault="007F1017" w:rsidP="00B9098D">
      <w:pPr>
        <w:pStyle w:val="TableFooter"/>
        <w:keepNext/>
        <w:ind w:firstLine="720"/>
      </w:pPr>
      <w:r w:rsidRPr="00CB59BF">
        <w:t>Source: compiled during the evaluation</w:t>
      </w:r>
    </w:p>
    <w:p w:rsidR="00E7545E" w:rsidRPr="00CB59BF" w:rsidRDefault="00E7545E" w:rsidP="003223A2">
      <w:pPr>
        <w:pStyle w:val="TableFooter"/>
        <w:ind w:left="720"/>
      </w:pPr>
      <w:r w:rsidRPr="00CB59BF">
        <w:t xml:space="preserve">Abbreviations: </w:t>
      </w:r>
      <w:r w:rsidR="003223A2" w:rsidRPr="00CB59BF">
        <w:t xml:space="preserve">LAI, long acting injectable; </w:t>
      </w:r>
      <w:r w:rsidRPr="00CB59BF">
        <w:t>DB, double blind; MC, multi-centre; R</w:t>
      </w:r>
      <w:r w:rsidR="003223A2" w:rsidRPr="00CB59BF">
        <w:t xml:space="preserve">, </w:t>
      </w:r>
      <w:r w:rsidRPr="00CB59BF">
        <w:t>randomised</w:t>
      </w:r>
      <w:r w:rsidR="003223A2" w:rsidRPr="00CB59BF">
        <w:t>; PG, parallel group; PANSS, positive and negative syndrome scale for schizophrenia</w:t>
      </w:r>
      <w:r w:rsidRPr="00CB59BF">
        <w:t>.</w:t>
      </w:r>
    </w:p>
    <w:p w:rsidR="004F702F" w:rsidRPr="00CB59BF" w:rsidRDefault="004F702F">
      <w:pPr>
        <w:widowControl/>
        <w:jc w:val="left"/>
        <w:rPr>
          <w:b/>
        </w:rPr>
      </w:pPr>
      <w:bookmarkStart w:id="11" w:name="_Toc461101504"/>
    </w:p>
    <w:p w:rsidR="00B60939" w:rsidRPr="007313D2" w:rsidRDefault="00B60939" w:rsidP="00A950E8">
      <w:pPr>
        <w:pStyle w:val="Heading3"/>
      </w:pPr>
      <w:r w:rsidRPr="007313D2">
        <w:t>Comparative effectiveness</w:t>
      </w:r>
      <w:bookmarkEnd w:id="11"/>
    </w:p>
    <w:p w:rsidR="00B60939" w:rsidRPr="00CB59BF" w:rsidRDefault="00B60939" w:rsidP="00B60939">
      <w:pPr>
        <w:rPr>
          <w:szCs w:val="22"/>
        </w:rPr>
      </w:pPr>
    </w:p>
    <w:p w:rsidR="002C2775" w:rsidRPr="00CB59BF" w:rsidRDefault="00BA2175" w:rsidP="00BA2175">
      <w:pPr>
        <w:pStyle w:val="ListParagraph"/>
        <w:widowControl/>
        <w:numPr>
          <w:ilvl w:val="1"/>
          <w:numId w:val="6"/>
        </w:numPr>
        <w:rPr>
          <w:szCs w:val="22"/>
        </w:rPr>
      </w:pPr>
      <w:r w:rsidRPr="00CB59BF">
        <w:rPr>
          <w:szCs w:val="22"/>
        </w:rPr>
        <w:t xml:space="preserve">Table 3 </w:t>
      </w:r>
      <w:r w:rsidRPr="00CB59BF">
        <w:t xml:space="preserve">summarises the results of the primary outcome (proportion of patients relapse free at 48 weeks) from </w:t>
      </w:r>
      <w:r w:rsidRPr="00CB59BF">
        <w:rPr>
          <w:szCs w:val="22"/>
        </w:rPr>
        <w:t>Trial PSY-3011.</w:t>
      </w:r>
    </w:p>
    <w:p w:rsidR="00137B77" w:rsidRPr="00CB59BF" w:rsidRDefault="00137B77" w:rsidP="000E58C7">
      <w:pPr>
        <w:pStyle w:val="Caption"/>
        <w:keepNext/>
      </w:pPr>
    </w:p>
    <w:p w:rsidR="000E58C7" w:rsidRPr="00CB59BF" w:rsidRDefault="000E58C7" w:rsidP="00905B0D">
      <w:pPr>
        <w:pStyle w:val="Caption"/>
        <w:keepNext/>
        <w:ind w:firstLine="720"/>
      </w:pPr>
      <w:r w:rsidRPr="00CB59BF">
        <w:t xml:space="preserve">Table </w:t>
      </w:r>
      <w:r w:rsidR="00894A87">
        <w:rPr>
          <w:noProof/>
        </w:rPr>
        <w:t>3</w:t>
      </w:r>
      <w:r w:rsidRPr="00CB59BF">
        <w:t>: Difference in percentage of relapse free patients in the double blind phase of Trial PSY-3011</w:t>
      </w:r>
    </w:p>
    <w:tbl>
      <w:tblPr>
        <w:tblW w:w="448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148"/>
        <w:gridCol w:w="2148"/>
        <w:gridCol w:w="2014"/>
      </w:tblGrid>
      <w:tr w:rsidR="002E2BF4" w:rsidRPr="00CB59BF" w:rsidTr="000E58C7">
        <w:trPr>
          <w:trHeight w:val="223"/>
          <w:tblHeader/>
        </w:trPr>
        <w:tc>
          <w:tcPr>
            <w:tcW w:w="1196" w:type="pct"/>
            <w:vAlign w:val="center"/>
          </w:tcPr>
          <w:p w:rsidR="003223A2" w:rsidRPr="00CB59BF" w:rsidRDefault="003223A2" w:rsidP="00247576">
            <w:pPr>
              <w:rPr>
                <w:rFonts w:ascii="Arial Narrow" w:hAnsi="Arial Narrow"/>
                <w:b/>
                <w:sz w:val="20"/>
                <w:vertAlign w:val="superscript"/>
              </w:rPr>
            </w:pPr>
            <w:r w:rsidRPr="00CB59BF">
              <w:rPr>
                <w:rFonts w:ascii="Arial Narrow" w:hAnsi="Arial Narrow"/>
                <w:b/>
                <w:sz w:val="20"/>
              </w:rPr>
              <w:t>Outcome</w:t>
            </w:r>
          </w:p>
        </w:tc>
        <w:tc>
          <w:tcPr>
            <w:tcW w:w="1295" w:type="pct"/>
            <w:vAlign w:val="center"/>
          </w:tcPr>
          <w:p w:rsidR="003223A2" w:rsidRPr="00CB59BF" w:rsidRDefault="003223A2" w:rsidP="00EF4502">
            <w:pPr>
              <w:jc w:val="center"/>
              <w:rPr>
                <w:rFonts w:ascii="Arial Narrow" w:hAnsi="Arial Narrow"/>
                <w:b/>
                <w:sz w:val="20"/>
              </w:rPr>
            </w:pPr>
            <w:r w:rsidRPr="00CB59BF">
              <w:rPr>
                <w:rFonts w:ascii="Arial Narrow" w:hAnsi="Arial Narrow"/>
                <w:b/>
                <w:sz w:val="20"/>
              </w:rPr>
              <w:t>Paliperidone three month</w:t>
            </w:r>
            <w:r w:rsidR="00EF4502" w:rsidRPr="00CB59BF">
              <w:rPr>
                <w:rFonts w:ascii="Arial Narrow" w:hAnsi="Arial Narrow"/>
                <w:b/>
                <w:sz w:val="20"/>
              </w:rPr>
              <w:t xml:space="preserve"> LAI</w:t>
            </w:r>
          </w:p>
        </w:tc>
        <w:tc>
          <w:tcPr>
            <w:tcW w:w="1295" w:type="pct"/>
            <w:vAlign w:val="center"/>
          </w:tcPr>
          <w:p w:rsidR="003223A2" w:rsidRPr="00CB59BF" w:rsidRDefault="003223A2" w:rsidP="00EF4502">
            <w:pPr>
              <w:jc w:val="center"/>
              <w:rPr>
                <w:rFonts w:ascii="Arial Narrow" w:hAnsi="Arial Narrow"/>
                <w:b/>
                <w:sz w:val="20"/>
              </w:rPr>
            </w:pPr>
            <w:r w:rsidRPr="00CB59BF">
              <w:rPr>
                <w:rFonts w:ascii="Arial Narrow" w:hAnsi="Arial Narrow"/>
                <w:b/>
                <w:sz w:val="20"/>
              </w:rPr>
              <w:t>Paliperidone one month</w:t>
            </w:r>
            <w:r w:rsidR="00EF4502" w:rsidRPr="00CB59BF">
              <w:rPr>
                <w:rFonts w:ascii="Arial Narrow" w:hAnsi="Arial Narrow"/>
                <w:b/>
                <w:sz w:val="20"/>
              </w:rPr>
              <w:t xml:space="preserve"> LAI</w:t>
            </w:r>
          </w:p>
        </w:tc>
        <w:tc>
          <w:tcPr>
            <w:tcW w:w="1214" w:type="pct"/>
            <w:vAlign w:val="center"/>
          </w:tcPr>
          <w:p w:rsidR="003223A2" w:rsidRPr="00CB59BF" w:rsidRDefault="00634B78" w:rsidP="00247576">
            <w:pPr>
              <w:jc w:val="center"/>
              <w:rPr>
                <w:rFonts w:ascii="Arial Narrow" w:hAnsi="Arial Narrow"/>
                <w:b/>
                <w:sz w:val="20"/>
              </w:rPr>
            </w:pPr>
            <w:r w:rsidRPr="00CB59BF">
              <w:rPr>
                <w:rFonts w:ascii="Arial Narrow" w:hAnsi="Arial Narrow"/>
                <w:b/>
                <w:sz w:val="20"/>
              </w:rPr>
              <w:t xml:space="preserve">Risk </w:t>
            </w:r>
            <w:r w:rsidR="003223A2" w:rsidRPr="00CB59BF">
              <w:rPr>
                <w:rFonts w:ascii="Arial Narrow" w:hAnsi="Arial Narrow"/>
                <w:b/>
                <w:sz w:val="20"/>
              </w:rPr>
              <w:t xml:space="preserve">Difference </w:t>
            </w:r>
          </w:p>
          <w:p w:rsidR="003223A2" w:rsidRPr="00CB59BF" w:rsidRDefault="003223A2" w:rsidP="00247576">
            <w:pPr>
              <w:jc w:val="center"/>
              <w:rPr>
                <w:rFonts w:ascii="Arial Narrow" w:hAnsi="Arial Narrow"/>
                <w:b/>
                <w:sz w:val="20"/>
              </w:rPr>
            </w:pPr>
            <w:r w:rsidRPr="00CB59BF">
              <w:rPr>
                <w:rFonts w:ascii="Arial Narrow" w:hAnsi="Arial Narrow"/>
                <w:b/>
                <w:sz w:val="20"/>
              </w:rPr>
              <w:t>% (95% CI)</w:t>
            </w:r>
          </w:p>
        </w:tc>
      </w:tr>
      <w:tr w:rsidR="003223A2" w:rsidRPr="00CB59BF" w:rsidTr="00CC29AE">
        <w:tc>
          <w:tcPr>
            <w:tcW w:w="5000" w:type="pct"/>
            <w:gridSpan w:val="4"/>
            <w:tcBorders>
              <w:bottom w:val="single" w:sz="4" w:space="0" w:color="auto"/>
            </w:tcBorders>
            <w:vAlign w:val="center"/>
          </w:tcPr>
          <w:p w:rsidR="003223A2" w:rsidRPr="00CB59BF" w:rsidRDefault="003223A2" w:rsidP="00EF4502">
            <w:pPr>
              <w:jc w:val="left"/>
              <w:rPr>
                <w:rFonts w:ascii="Arial Narrow" w:hAnsi="Arial Narrow"/>
                <w:b/>
                <w:sz w:val="20"/>
              </w:rPr>
            </w:pPr>
            <w:r w:rsidRPr="00CB59BF">
              <w:rPr>
                <w:rFonts w:ascii="Arial Narrow" w:hAnsi="Arial Narrow"/>
                <w:b/>
                <w:sz w:val="20"/>
              </w:rPr>
              <w:t>Proportion of patients who were relapse free</w:t>
            </w:r>
            <w:r w:rsidR="003F1F38" w:rsidRPr="00CB59BF">
              <w:rPr>
                <w:rFonts w:ascii="Arial Narrow" w:hAnsi="Arial Narrow"/>
                <w:b/>
                <w:sz w:val="20"/>
              </w:rPr>
              <w:t xml:space="preserve">, including patients who </w:t>
            </w:r>
            <w:proofErr w:type="gramStart"/>
            <w:r w:rsidR="003F1F38" w:rsidRPr="00CB59BF">
              <w:rPr>
                <w:rFonts w:ascii="Arial Narrow" w:hAnsi="Arial Narrow"/>
                <w:b/>
                <w:sz w:val="20"/>
              </w:rPr>
              <w:t>withdrew,</w:t>
            </w:r>
            <w:proofErr w:type="gramEnd"/>
            <w:r w:rsidRPr="00CB59BF">
              <w:rPr>
                <w:rFonts w:ascii="Arial Narrow" w:hAnsi="Arial Narrow"/>
                <w:b/>
                <w:sz w:val="20"/>
              </w:rPr>
              <w:t xml:space="preserve"> </w:t>
            </w:r>
            <w:r w:rsidR="002E2BF4" w:rsidRPr="00CB59BF">
              <w:rPr>
                <w:rFonts w:ascii="Arial Narrow" w:hAnsi="Arial Narrow"/>
                <w:b/>
                <w:sz w:val="20"/>
              </w:rPr>
              <w:t>n/N (%)</w:t>
            </w:r>
          </w:p>
        </w:tc>
      </w:tr>
      <w:tr w:rsidR="002E2BF4" w:rsidRPr="00CB59BF" w:rsidTr="000E58C7">
        <w:tc>
          <w:tcPr>
            <w:tcW w:w="1196" w:type="pct"/>
            <w:vAlign w:val="center"/>
          </w:tcPr>
          <w:p w:rsidR="003223A2" w:rsidRPr="00CB59BF" w:rsidRDefault="003223A2" w:rsidP="00247576">
            <w:pPr>
              <w:jc w:val="left"/>
              <w:rPr>
                <w:rFonts w:ascii="Arial Narrow" w:hAnsi="Arial Narrow"/>
                <w:sz w:val="20"/>
              </w:rPr>
            </w:pPr>
            <w:r w:rsidRPr="00CB59BF">
              <w:rPr>
                <w:rFonts w:ascii="Arial Narrow" w:hAnsi="Arial Narrow"/>
                <w:sz w:val="20"/>
              </w:rPr>
              <w:t>Per protocol analysis</w:t>
            </w:r>
          </w:p>
        </w:tc>
        <w:tc>
          <w:tcPr>
            <w:tcW w:w="1295" w:type="pct"/>
            <w:vAlign w:val="center"/>
          </w:tcPr>
          <w:p w:rsidR="003223A2" w:rsidRPr="00CB59BF" w:rsidRDefault="003223A2" w:rsidP="00247576">
            <w:pPr>
              <w:jc w:val="center"/>
              <w:rPr>
                <w:rFonts w:ascii="Arial Narrow" w:hAnsi="Arial Narrow"/>
                <w:sz w:val="20"/>
              </w:rPr>
            </w:pPr>
            <w:r w:rsidRPr="00CB59BF">
              <w:rPr>
                <w:rFonts w:ascii="Arial Narrow" w:hAnsi="Arial Narrow"/>
                <w:sz w:val="20"/>
              </w:rPr>
              <w:t>421/458 (91.2)</w:t>
            </w:r>
          </w:p>
        </w:tc>
        <w:tc>
          <w:tcPr>
            <w:tcW w:w="1295" w:type="pct"/>
            <w:vAlign w:val="center"/>
          </w:tcPr>
          <w:p w:rsidR="003223A2" w:rsidRPr="00CB59BF" w:rsidRDefault="003223A2" w:rsidP="00247576">
            <w:pPr>
              <w:jc w:val="center"/>
              <w:rPr>
                <w:rFonts w:ascii="Arial Narrow" w:hAnsi="Arial Narrow"/>
                <w:sz w:val="20"/>
              </w:rPr>
            </w:pPr>
            <w:r w:rsidRPr="00CB59BF">
              <w:rPr>
                <w:rFonts w:ascii="Arial Narrow" w:hAnsi="Arial Narrow"/>
                <w:sz w:val="20"/>
              </w:rPr>
              <w:t>445/490 (90.0)</w:t>
            </w:r>
          </w:p>
        </w:tc>
        <w:tc>
          <w:tcPr>
            <w:tcW w:w="1214" w:type="pct"/>
            <w:vAlign w:val="center"/>
          </w:tcPr>
          <w:p w:rsidR="003223A2" w:rsidRPr="00CB59BF" w:rsidRDefault="003223A2" w:rsidP="00247576">
            <w:pPr>
              <w:jc w:val="center"/>
              <w:rPr>
                <w:rFonts w:ascii="Arial Narrow" w:hAnsi="Arial Narrow"/>
                <w:sz w:val="20"/>
              </w:rPr>
            </w:pPr>
            <w:r w:rsidRPr="00CB59BF">
              <w:rPr>
                <w:rFonts w:ascii="Arial Narrow" w:hAnsi="Arial Narrow"/>
                <w:sz w:val="20"/>
              </w:rPr>
              <w:t>1.2 (-2.7, 5.1)</w:t>
            </w:r>
          </w:p>
        </w:tc>
      </w:tr>
      <w:tr w:rsidR="002E2BF4" w:rsidRPr="00CB59BF" w:rsidTr="000E58C7">
        <w:tc>
          <w:tcPr>
            <w:tcW w:w="1196" w:type="pct"/>
            <w:vAlign w:val="center"/>
          </w:tcPr>
          <w:p w:rsidR="003223A2" w:rsidRPr="00CB59BF" w:rsidRDefault="003223A2" w:rsidP="00247576">
            <w:pPr>
              <w:jc w:val="left"/>
              <w:rPr>
                <w:rFonts w:ascii="Arial Narrow" w:hAnsi="Arial Narrow"/>
                <w:sz w:val="20"/>
              </w:rPr>
            </w:pPr>
            <w:proofErr w:type="spellStart"/>
            <w:r w:rsidRPr="00CB59BF">
              <w:rPr>
                <w:rFonts w:ascii="Arial Narrow" w:hAnsi="Arial Narrow"/>
                <w:sz w:val="20"/>
              </w:rPr>
              <w:t>mITT</w:t>
            </w:r>
            <w:proofErr w:type="spellEnd"/>
            <w:r w:rsidRPr="00CB59BF">
              <w:rPr>
                <w:rFonts w:ascii="Arial Narrow" w:hAnsi="Arial Narrow"/>
                <w:sz w:val="20"/>
              </w:rPr>
              <w:t xml:space="preserve"> analysis</w:t>
            </w:r>
          </w:p>
        </w:tc>
        <w:tc>
          <w:tcPr>
            <w:tcW w:w="1295"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w:t>
            </w:r>
          </w:p>
        </w:tc>
        <w:tc>
          <w:tcPr>
            <w:tcW w:w="1295"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w:t>
            </w:r>
          </w:p>
        </w:tc>
        <w:tc>
          <w:tcPr>
            <w:tcW w:w="1214"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 ''''''''''</w:t>
            </w:r>
          </w:p>
        </w:tc>
      </w:tr>
      <w:tr w:rsidR="003223A2" w:rsidRPr="00CB59BF" w:rsidTr="00CC29AE">
        <w:tc>
          <w:tcPr>
            <w:tcW w:w="5000" w:type="pct"/>
            <w:gridSpan w:val="4"/>
            <w:vAlign w:val="center"/>
          </w:tcPr>
          <w:p w:rsidR="003223A2" w:rsidRPr="00CB59BF" w:rsidRDefault="003223A2" w:rsidP="003F1F38">
            <w:pPr>
              <w:jc w:val="left"/>
              <w:rPr>
                <w:rFonts w:ascii="Arial Narrow" w:hAnsi="Arial Narrow"/>
                <w:b/>
                <w:sz w:val="20"/>
              </w:rPr>
            </w:pPr>
            <w:r w:rsidRPr="00CB59BF">
              <w:rPr>
                <w:rFonts w:ascii="Arial Narrow" w:hAnsi="Arial Narrow"/>
                <w:b/>
                <w:sz w:val="20"/>
              </w:rPr>
              <w:t>Proportion of patients who were relapse fre</w:t>
            </w:r>
            <w:r w:rsidR="003F1F38" w:rsidRPr="00CB59BF">
              <w:rPr>
                <w:rFonts w:ascii="Arial Narrow" w:hAnsi="Arial Narrow"/>
                <w:b/>
                <w:sz w:val="20"/>
              </w:rPr>
              <w:t xml:space="preserve">e, excluding patients who </w:t>
            </w:r>
            <w:proofErr w:type="gramStart"/>
            <w:r w:rsidR="003F1F38" w:rsidRPr="00CB59BF">
              <w:rPr>
                <w:rFonts w:ascii="Arial Narrow" w:hAnsi="Arial Narrow"/>
                <w:b/>
                <w:sz w:val="20"/>
              </w:rPr>
              <w:t>withdrew,</w:t>
            </w:r>
            <w:proofErr w:type="gramEnd"/>
            <w:r w:rsidR="002E2BF4" w:rsidRPr="00CB59BF">
              <w:rPr>
                <w:rFonts w:ascii="Arial Narrow" w:hAnsi="Arial Narrow"/>
                <w:b/>
                <w:sz w:val="20"/>
                <w:vertAlign w:val="superscript"/>
              </w:rPr>
              <w:t xml:space="preserve"> </w:t>
            </w:r>
            <w:r w:rsidR="002E2BF4" w:rsidRPr="00CB59BF">
              <w:rPr>
                <w:rFonts w:ascii="Arial Narrow" w:hAnsi="Arial Narrow"/>
                <w:b/>
                <w:sz w:val="20"/>
              </w:rPr>
              <w:t>n/N (%)</w:t>
            </w:r>
          </w:p>
        </w:tc>
      </w:tr>
      <w:tr w:rsidR="002E2BF4" w:rsidRPr="00CB59BF" w:rsidTr="000E58C7">
        <w:tc>
          <w:tcPr>
            <w:tcW w:w="1196" w:type="pct"/>
            <w:vAlign w:val="center"/>
          </w:tcPr>
          <w:p w:rsidR="003223A2" w:rsidRPr="00CB59BF" w:rsidRDefault="003223A2" w:rsidP="00247576">
            <w:pPr>
              <w:jc w:val="left"/>
              <w:rPr>
                <w:rFonts w:ascii="Arial Narrow" w:hAnsi="Arial Narrow"/>
                <w:sz w:val="20"/>
              </w:rPr>
            </w:pPr>
            <w:r w:rsidRPr="00CB59BF">
              <w:rPr>
                <w:rFonts w:ascii="Arial Narrow" w:hAnsi="Arial Narrow"/>
                <w:sz w:val="20"/>
              </w:rPr>
              <w:t>Safety analysis set</w:t>
            </w:r>
          </w:p>
        </w:tc>
        <w:tc>
          <w:tcPr>
            <w:tcW w:w="1295"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w:t>
            </w:r>
          </w:p>
        </w:tc>
        <w:tc>
          <w:tcPr>
            <w:tcW w:w="1295"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w:t>
            </w:r>
          </w:p>
        </w:tc>
        <w:tc>
          <w:tcPr>
            <w:tcW w:w="1214"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 ''''''''''</w:t>
            </w:r>
          </w:p>
        </w:tc>
      </w:tr>
      <w:tr w:rsidR="002E2BF4" w:rsidRPr="00CB59BF" w:rsidTr="000E58C7">
        <w:tc>
          <w:tcPr>
            <w:tcW w:w="1196" w:type="pct"/>
            <w:vAlign w:val="center"/>
          </w:tcPr>
          <w:p w:rsidR="003223A2" w:rsidRPr="00CB59BF" w:rsidRDefault="003223A2" w:rsidP="00247576">
            <w:pPr>
              <w:jc w:val="left"/>
              <w:rPr>
                <w:rFonts w:ascii="Arial Narrow" w:hAnsi="Arial Narrow"/>
                <w:sz w:val="20"/>
              </w:rPr>
            </w:pPr>
            <w:proofErr w:type="spellStart"/>
            <w:r w:rsidRPr="00CB59BF">
              <w:rPr>
                <w:rFonts w:ascii="Arial Narrow" w:hAnsi="Arial Narrow"/>
                <w:sz w:val="20"/>
              </w:rPr>
              <w:t>mITT</w:t>
            </w:r>
            <w:proofErr w:type="spellEnd"/>
            <w:r w:rsidRPr="00CB59BF">
              <w:rPr>
                <w:rFonts w:ascii="Arial Narrow" w:hAnsi="Arial Narrow"/>
                <w:sz w:val="20"/>
              </w:rPr>
              <w:t xml:space="preserve"> analysis</w:t>
            </w:r>
          </w:p>
        </w:tc>
        <w:tc>
          <w:tcPr>
            <w:tcW w:w="1295"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w:t>
            </w:r>
          </w:p>
        </w:tc>
        <w:tc>
          <w:tcPr>
            <w:tcW w:w="1295"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w:t>
            </w:r>
          </w:p>
        </w:tc>
        <w:tc>
          <w:tcPr>
            <w:tcW w:w="1214" w:type="pct"/>
            <w:vAlign w:val="center"/>
          </w:tcPr>
          <w:p w:rsidR="003223A2" w:rsidRPr="009B013E" w:rsidRDefault="009B013E" w:rsidP="00247576">
            <w:pPr>
              <w:jc w:val="center"/>
              <w:rPr>
                <w:rFonts w:ascii="Arial Narrow" w:hAnsi="Arial Narrow"/>
                <w:sz w:val="20"/>
                <w:highlight w:val="black"/>
              </w:rPr>
            </w:pPr>
            <w:r>
              <w:rPr>
                <w:rFonts w:ascii="Arial Narrow" w:hAnsi="Arial Narrow"/>
                <w:noProof/>
                <w:color w:val="000000"/>
                <w:sz w:val="20"/>
                <w:highlight w:val="black"/>
              </w:rPr>
              <w:t>''''''''' ''''''''''' ''''''''''</w:t>
            </w:r>
          </w:p>
        </w:tc>
      </w:tr>
    </w:tbl>
    <w:p w:rsidR="003223A2" w:rsidRPr="00CB59BF" w:rsidRDefault="003223A2" w:rsidP="003F1F38">
      <w:pPr>
        <w:ind w:left="720"/>
        <w:rPr>
          <w:rFonts w:ascii="Arial Narrow" w:hAnsi="Arial Narrow"/>
          <w:sz w:val="18"/>
          <w:szCs w:val="18"/>
        </w:rPr>
      </w:pPr>
      <w:r w:rsidRPr="00CB59BF">
        <w:rPr>
          <w:rFonts w:ascii="Arial Narrow" w:hAnsi="Arial Narrow"/>
          <w:sz w:val="18"/>
          <w:szCs w:val="18"/>
        </w:rPr>
        <w:t>Source: Table B.6-1, p.48 of the submission;</w:t>
      </w:r>
      <w:r w:rsidRPr="00CB59BF">
        <w:t xml:space="preserve"> </w:t>
      </w:r>
      <w:r w:rsidRPr="00CB59BF">
        <w:rPr>
          <w:rFonts w:ascii="Arial Narrow" w:hAnsi="Arial Narrow"/>
          <w:sz w:val="18"/>
          <w:szCs w:val="18"/>
        </w:rPr>
        <w:t>Table 34, p. 98 (PP analysis), Table 35, p. 100 (</w:t>
      </w:r>
      <w:proofErr w:type="spellStart"/>
      <w:r w:rsidRPr="00CB59BF">
        <w:rPr>
          <w:rFonts w:ascii="Arial Narrow" w:hAnsi="Arial Narrow"/>
          <w:sz w:val="18"/>
          <w:szCs w:val="18"/>
        </w:rPr>
        <w:t>mITT</w:t>
      </w:r>
      <w:proofErr w:type="spellEnd"/>
      <w:r w:rsidRPr="00CB59BF">
        <w:rPr>
          <w:rFonts w:ascii="Arial Narrow" w:hAnsi="Arial Narrow"/>
          <w:sz w:val="18"/>
          <w:szCs w:val="18"/>
        </w:rPr>
        <w:t xml:space="preserve"> analysis), Table 12, p.71 (safety analysis set) and Table 13, p.72 (</w:t>
      </w:r>
      <w:proofErr w:type="spellStart"/>
      <w:r w:rsidRPr="00CB59BF">
        <w:rPr>
          <w:rFonts w:ascii="Arial Narrow" w:hAnsi="Arial Narrow"/>
          <w:sz w:val="18"/>
          <w:szCs w:val="18"/>
        </w:rPr>
        <w:t>mITT</w:t>
      </w:r>
      <w:proofErr w:type="spellEnd"/>
      <w:r w:rsidRPr="00CB59BF">
        <w:rPr>
          <w:rFonts w:ascii="Arial Narrow" w:hAnsi="Arial Narrow"/>
          <w:sz w:val="18"/>
          <w:szCs w:val="18"/>
        </w:rPr>
        <w:t xml:space="preserve"> analysis) of the clinical trial report.</w:t>
      </w:r>
      <w:r w:rsidR="003F1F38" w:rsidRPr="00CB59BF">
        <w:rPr>
          <w:rFonts w:ascii="Arial Narrow" w:hAnsi="Arial Narrow"/>
          <w:sz w:val="18"/>
          <w:szCs w:val="18"/>
        </w:rPr>
        <w:t xml:space="preserve"> Results presented in italics calculated during the evaluation</w:t>
      </w:r>
    </w:p>
    <w:p w:rsidR="003223A2" w:rsidRPr="00CB59BF" w:rsidRDefault="003223A2" w:rsidP="002E2BF4">
      <w:pPr>
        <w:ind w:left="720"/>
        <w:rPr>
          <w:rFonts w:ascii="Arial Narrow" w:hAnsi="Arial Narrow"/>
          <w:sz w:val="18"/>
          <w:szCs w:val="18"/>
        </w:rPr>
      </w:pPr>
      <w:r w:rsidRPr="00CB59BF">
        <w:rPr>
          <w:rFonts w:ascii="Arial Narrow" w:hAnsi="Arial Narrow"/>
          <w:sz w:val="18"/>
          <w:szCs w:val="18"/>
        </w:rPr>
        <w:t xml:space="preserve">Abbreviations: CI, confidence interval; </w:t>
      </w:r>
      <w:proofErr w:type="spellStart"/>
      <w:r w:rsidRPr="00CB59BF">
        <w:rPr>
          <w:rFonts w:ascii="Arial Narrow" w:hAnsi="Arial Narrow"/>
          <w:sz w:val="18"/>
          <w:szCs w:val="18"/>
        </w:rPr>
        <w:t>mITT</w:t>
      </w:r>
      <w:proofErr w:type="spellEnd"/>
      <w:r w:rsidRPr="00CB59BF">
        <w:rPr>
          <w:rFonts w:ascii="Arial Narrow" w:hAnsi="Arial Narrow"/>
          <w:sz w:val="18"/>
          <w:szCs w:val="18"/>
        </w:rPr>
        <w:t>, modified intention to treat</w:t>
      </w:r>
    </w:p>
    <w:p w:rsidR="00B60939" w:rsidRPr="00CB59BF" w:rsidRDefault="00B60939" w:rsidP="00B60939">
      <w:pPr>
        <w:rPr>
          <w:szCs w:val="22"/>
        </w:rPr>
      </w:pPr>
    </w:p>
    <w:p w:rsidR="00BA2175" w:rsidRPr="00CB59BF" w:rsidRDefault="00BA2175" w:rsidP="00BA2175">
      <w:pPr>
        <w:pStyle w:val="ListParagraph"/>
        <w:widowControl/>
        <w:numPr>
          <w:ilvl w:val="1"/>
          <w:numId w:val="6"/>
        </w:numPr>
        <w:rPr>
          <w:szCs w:val="22"/>
        </w:rPr>
      </w:pPr>
      <w:r w:rsidRPr="00CB59BF">
        <w:rPr>
          <w:szCs w:val="22"/>
        </w:rPr>
        <w:t xml:space="preserve">The proportion of patients remaining relapse-free over the 48 week double blind phase was not statistically significantly different between treatments in any of the analysis sets presented. </w:t>
      </w:r>
      <w:r w:rsidR="008042A1">
        <w:rPr>
          <w:szCs w:val="22"/>
        </w:rPr>
        <w:t>PP3M</w:t>
      </w:r>
      <w:r w:rsidRPr="00CB59BF">
        <w:rPr>
          <w:szCs w:val="22"/>
        </w:rPr>
        <w:t xml:space="preserve"> LAI demonstrated non-inferiority to </w:t>
      </w:r>
      <w:r w:rsidR="008042A1">
        <w:rPr>
          <w:szCs w:val="22"/>
        </w:rPr>
        <w:t>PP1M</w:t>
      </w:r>
      <w:r w:rsidRPr="00CB59BF">
        <w:rPr>
          <w:szCs w:val="22"/>
        </w:rPr>
        <w:t xml:space="preserve"> LAI with the lower bound of the 95% confidence interval </w:t>
      </w:r>
      <w:r w:rsidR="00F751D0" w:rsidRPr="00CB59BF">
        <w:rPr>
          <w:szCs w:val="22"/>
        </w:rPr>
        <w:t xml:space="preserve">within </w:t>
      </w:r>
      <w:r w:rsidRPr="00CB59BF">
        <w:rPr>
          <w:szCs w:val="22"/>
        </w:rPr>
        <w:t>the pre-specified non-inferiority margin of -15%.</w:t>
      </w:r>
    </w:p>
    <w:p w:rsidR="002E2BF4" w:rsidRPr="00CB59BF" w:rsidRDefault="002E2BF4" w:rsidP="002E2BF4">
      <w:pPr>
        <w:pStyle w:val="ListParagraph"/>
        <w:widowControl/>
        <w:rPr>
          <w:szCs w:val="22"/>
        </w:rPr>
      </w:pPr>
    </w:p>
    <w:p w:rsidR="002E2BF4" w:rsidRPr="00CB59BF" w:rsidRDefault="002E2BF4" w:rsidP="00B60939">
      <w:pPr>
        <w:pStyle w:val="ListParagraph"/>
        <w:widowControl/>
        <w:numPr>
          <w:ilvl w:val="1"/>
          <w:numId w:val="6"/>
        </w:numPr>
        <w:rPr>
          <w:szCs w:val="22"/>
        </w:rPr>
      </w:pPr>
      <w:r w:rsidRPr="00CB59BF">
        <w:rPr>
          <w:szCs w:val="22"/>
        </w:rPr>
        <w:t xml:space="preserve">Results for </w:t>
      </w:r>
      <w:r w:rsidR="0022556A" w:rsidRPr="00CB59BF">
        <w:rPr>
          <w:szCs w:val="22"/>
        </w:rPr>
        <w:t xml:space="preserve">secondary efficacy outcomes, including </w:t>
      </w:r>
      <w:r w:rsidRPr="00CB59BF">
        <w:rPr>
          <w:szCs w:val="22"/>
        </w:rPr>
        <w:t xml:space="preserve">the change in </w:t>
      </w:r>
      <w:r w:rsidR="00EF4502" w:rsidRPr="00CB59BF">
        <w:rPr>
          <w:szCs w:val="22"/>
        </w:rPr>
        <w:t xml:space="preserve">the Positive and Negative Syndrome </w:t>
      </w:r>
      <w:r w:rsidR="00ED0913" w:rsidRPr="00CB59BF">
        <w:rPr>
          <w:szCs w:val="22"/>
        </w:rPr>
        <w:t>Scale</w:t>
      </w:r>
      <w:r w:rsidR="00EF4502" w:rsidRPr="00CB59BF">
        <w:rPr>
          <w:szCs w:val="22"/>
        </w:rPr>
        <w:t xml:space="preserve"> for Schizophrenia (</w:t>
      </w:r>
      <w:r w:rsidRPr="00CB59BF">
        <w:rPr>
          <w:szCs w:val="22"/>
        </w:rPr>
        <w:t>PANSS</w:t>
      </w:r>
      <w:r w:rsidR="00EF4502" w:rsidRPr="00CB59BF">
        <w:rPr>
          <w:szCs w:val="22"/>
        </w:rPr>
        <w:t>)</w:t>
      </w:r>
      <w:r w:rsidR="0022556A" w:rsidRPr="00CB59BF">
        <w:rPr>
          <w:szCs w:val="22"/>
        </w:rPr>
        <w:t xml:space="preserve">, </w:t>
      </w:r>
      <w:r w:rsidR="007A1C03" w:rsidRPr="00CB59BF">
        <w:rPr>
          <w:szCs w:val="22"/>
        </w:rPr>
        <w:t>Clinical Global Impression- Severity (</w:t>
      </w:r>
      <w:r w:rsidR="0022556A" w:rsidRPr="00CB59BF">
        <w:rPr>
          <w:szCs w:val="22"/>
        </w:rPr>
        <w:t>CGI-S</w:t>
      </w:r>
      <w:r w:rsidR="007A1C03" w:rsidRPr="00CB59BF">
        <w:rPr>
          <w:szCs w:val="22"/>
        </w:rPr>
        <w:t>)</w:t>
      </w:r>
      <w:r w:rsidR="0022556A" w:rsidRPr="00CB59BF">
        <w:rPr>
          <w:szCs w:val="22"/>
        </w:rPr>
        <w:t xml:space="preserve"> and </w:t>
      </w:r>
      <w:r w:rsidR="007A1C03" w:rsidRPr="00CB59BF">
        <w:rPr>
          <w:szCs w:val="22"/>
        </w:rPr>
        <w:t>Personal and Social Performance (</w:t>
      </w:r>
      <w:r w:rsidR="0022556A" w:rsidRPr="00CB59BF">
        <w:rPr>
          <w:szCs w:val="22"/>
        </w:rPr>
        <w:t>PSP</w:t>
      </w:r>
      <w:r w:rsidR="007A1C03" w:rsidRPr="00CB59BF">
        <w:rPr>
          <w:szCs w:val="22"/>
        </w:rPr>
        <w:t>)</w:t>
      </w:r>
      <w:r w:rsidRPr="00CB59BF">
        <w:rPr>
          <w:szCs w:val="22"/>
        </w:rPr>
        <w:t xml:space="preserve"> score</w:t>
      </w:r>
      <w:r w:rsidR="0022556A" w:rsidRPr="00CB59BF">
        <w:rPr>
          <w:szCs w:val="22"/>
        </w:rPr>
        <w:t xml:space="preserve">s, </w:t>
      </w:r>
      <w:r w:rsidR="00BA2175" w:rsidRPr="00CB59BF">
        <w:rPr>
          <w:szCs w:val="22"/>
        </w:rPr>
        <w:t xml:space="preserve">showed no statistically significant difference between </w:t>
      </w:r>
      <w:r w:rsidR="008042A1">
        <w:rPr>
          <w:szCs w:val="22"/>
        </w:rPr>
        <w:t>PP3M</w:t>
      </w:r>
      <w:r w:rsidR="00BA2175" w:rsidRPr="00CB59BF">
        <w:rPr>
          <w:szCs w:val="22"/>
        </w:rPr>
        <w:t xml:space="preserve"> LAI and </w:t>
      </w:r>
      <w:r w:rsidR="008042A1">
        <w:rPr>
          <w:szCs w:val="22"/>
        </w:rPr>
        <w:t>PP1M</w:t>
      </w:r>
      <w:r w:rsidR="00BA2175" w:rsidRPr="00CB59BF">
        <w:rPr>
          <w:szCs w:val="22"/>
        </w:rPr>
        <w:t xml:space="preserve"> LAI</w:t>
      </w:r>
      <w:r w:rsidRPr="00CB59BF">
        <w:rPr>
          <w:szCs w:val="22"/>
        </w:rPr>
        <w:t>.</w:t>
      </w:r>
    </w:p>
    <w:p w:rsidR="002762C5" w:rsidRPr="00CB59BF" w:rsidRDefault="002762C5" w:rsidP="000D5F8E">
      <w:bookmarkStart w:id="12" w:name="_Toc461101505"/>
    </w:p>
    <w:p w:rsidR="00B60939" w:rsidRPr="007313D2" w:rsidRDefault="00B60939" w:rsidP="00A950E8">
      <w:pPr>
        <w:pStyle w:val="Heading3"/>
      </w:pPr>
      <w:r w:rsidRPr="007313D2">
        <w:t>Comparative harms</w:t>
      </w:r>
      <w:bookmarkEnd w:id="12"/>
    </w:p>
    <w:p w:rsidR="00B60939" w:rsidRPr="00CB59BF" w:rsidRDefault="00B60939" w:rsidP="00B60939">
      <w:pPr>
        <w:ind w:left="720" w:hanging="720"/>
        <w:rPr>
          <w:szCs w:val="22"/>
        </w:rPr>
      </w:pPr>
    </w:p>
    <w:p w:rsidR="00B60939" w:rsidRPr="00CB59BF" w:rsidRDefault="00247576" w:rsidP="009026B4">
      <w:pPr>
        <w:pStyle w:val="ListParagraph"/>
        <w:widowControl/>
        <w:numPr>
          <w:ilvl w:val="1"/>
          <w:numId w:val="6"/>
        </w:numPr>
        <w:rPr>
          <w:szCs w:val="22"/>
        </w:rPr>
      </w:pPr>
      <w:r w:rsidRPr="00CB59BF">
        <w:t>The incidence of</w:t>
      </w:r>
      <w:r w:rsidR="00AE1283" w:rsidRPr="00CB59BF">
        <w:t xml:space="preserve"> treatment </w:t>
      </w:r>
      <w:r w:rsidR="00634B78" w:rsidRPr="00CB59BF">
        <w:t>related</w:t>
      </w:r>
      <w:r w:rsidRPr="00CB59BF">
        <w:t xml:space="preserve"> adverse events and </w:t>
      </w:r>
      <w:r w:rsidR="00634B78" w:rsidRPr="00CB59BF">
        <w:t>serious adver</w:t>
      </w:r>
      <w:r w:rsidR="00AE1283" w:rsidRPr="00CB59BF">
        <w:t xml:space="preserve">se events </w:t>
      </w:r>
      <w:r w:rsidRPr="00CB59BF">
        <w:t xml:space="preserve">were similar across </w:t>
      </w:r>
      <w:r w:rsidR="00AE1283" w:rsidRPr="00CB59BF">
        <w:t xml:space="preserve">both </w:t>
      </w:r>
      <w:r w:rsidR="008042A1">
        <w:t>PP3M</w:t>
      </w:r>
      <w:r w:rsidR="00AE1283" w:rsidRPr="00CB59BF">
        <w:t xml:space="preserve"> LAI and </w:t>
      </w:r>
      <w:r w:rsidR="008042A1">
        <w:t>PP1M</w:t>
      </w:r>
      <w:r w:rsidR="00AE1283" w:rsidRPr="00CB59BF">
        <w:t xml:space="preserve"> LAI </w:t>
      </w:r>
      <w:r w:rsidRPr="00CB59BF">
        <w:t xml:space="preserve">treatment groups. </w:t>
      </w:r>
    </w:p>
    <w:p w:rsidR="00AE1283" w:rsidRPr="00CB59BF" w:rsidRDefault="00AE1283" w:rsidP="00AE1283">
      <w:pPr>
        <w:pStyle w:val="ListParagraph"/>
        <w:widowControl/>
        <w:rPr>
          <w:szCs w:val="22"/>
        </w:rPr>
      </w:pPr>
    </w:p>
    <w:p w:rsidR="00247576" w:rsidRPr="00CB59BF" w:rsidRDefault="00AE1283" w:rsidP="009026B4">
      <w:pPr>
        <w:pStyle w:val="ListParagraph"/>
        <w:widowControl/>
        <w:numPr>
          <w:ilvl w:val="1"/>
          <w:numId w:val="6"/>
        </w:numPr>
        <w:rPr>
          <w:szCs w:val="22"/>
        </w:rPr>
      </w:pPr>
      <w:r w:rsidRPr="00CB59BF">
        <w:t>The</w:t>
      </w:r>
      <w:r w:rsidR="00247576" w:rsidRPr="00CB59BF">
        <w:t xml:space="preserve"> most common adverse events</w:t>
      </w:r>
      <w:r w:rsidRPr="00CB59BF">
        <w:rPr>
          <w:rFonts w:ascii="Calibri" w:eastAsia="Calibri" w:hAnsi="Calibri" w:cs="Times New Roman"/>
          <w:snapToGrid/>
          <w:szCs w:val="22"/>
        </w:rPr>
        <w:t xml:space="preserve"> </w:t>
      </w:r>
      <w:r w:rsidRPr="00CB59BF">
        <w:t>were increased weight, nasopharyngitis, anxiety</w:t>
      </w:r>
      <w:r w:rsidR="002B009A" w:rsidRPr="00CB59BF">
        <w:t xml:space="preserve">, </w:t>
      </w:r>
      <w:proofErr w:type="gramStart"/>
      <w:r w:rsidRPr="00CB59BF">
        <w:t>headache</w:t>
      </w:r>
      <w:proofErr w:type="gramEnd"/>
      <w:r w:rsidR="002B009A" w:rsidRPr="00CB59BF">
        <w:t xml:space="preserve"> and</w:t>
      </w:r>
      <w:r w:rsidRPr="00CB59BF">
        <w:t xml:space="preserve"> injection site pain/induration.</w:t>
      </w:r>
    </w:p>
    <w:p w:rsidR="00AE1283" w:rsidRPr="00CB59BF" w:rsidRDefault="00AE1283" w:rsidP="00AE1283">
      <w:pPr>
        <w:pStyle w:val="ListParagraph"/>
        <w:rPr>
          <w:szCs w:val="22"/>
        </w:rPr>
      </w:pPr>
    </w:p>
    <w:p w:rsidR="00AE1283" w:rsidRPr="00CB59BF" w:rsidRDefault="00AE1283" w:rsidP="00AE1283">
      <w:pPr>
        <w:pStyle w:val="ListParagraph"/>
        <w:widowControl/>
        <w:numPr>
          <w:ilvl w:val="1"/>
          <w:numId w:val="6"/>
        </w:numPr>
        <w:rPr>
          <w:szCs w:val="22"/>
        </w:rPr>
      </w:pPr>
      <w:r w:rsidRPr="00CB59BF">
        <w:rPr>
          <w:szCs w:val="22"/>
        </w:rPr>
        <w:lastRenderedPageBreak/>
        <w:t xml:space="preserve">The </w:t>
      </w:r>
      <w:proofErr w:type="gramStart"/>
      <w:r w:rsidR="00ED0913" w:rsidRPr="00CB59BF">
        <w:rPr>
          <w:szCs w:val="22"/>
        </w:rPr>
        <w:t>incidence of extrapyramidal symptoms (EPS) or EPS-related events, and the use of medicati</w:t>
      </w:r>
      <w:r w:rsidR="00BA2175" w:rsidRPr="00CB59BF">
        <w:rPr>
          <w:szCs w:val="22"/>
        </w:rPr>
        <w:t>ons for the treatment of EPS, were</w:t>
      </w:r>
      <w:proofErr w:type="gramEnd"/>
      <w:r w:rsidRPr="00CB59BF">
        <w:rPr>
          <w:szCs w:val="22"/>
        </w:rPr>
        <w:t xml:space="preserve"> similar across treatment groups. </w:t>
      </w:r>
      <w:proofErr w:type="spellStart"/>
      <w:r w:rsidRPr="00CB59BF">
        <w:rPr>
          <w:szCs w:val="22"/>
        </w:rPr>
        <w:t>Akathisia</w:t>
      </w:r>
      <w:proofErr w:type="spellEnd"/>
      <w:r w:rsidRPr="00CB59BF">
        <w:rPr>
          <w:szCs w:val="22"/>
        </w:rPr>
        <w:t xml:space="preserve"> was the most common EPS event.</w:t>
      </w:r>
    </w:p>
    <w:p w:rsidR="007A1C03" w:rsidRPr="00CB59BF" w:rsidRDefault="007A1C03" w:rsidP="007A1C03">
      <w:pPr>
        <w:pStyle w:val="ListParagraph"/>
        <w:rPr>
          <w:szCs w:val="22"/>
        </w:rPr>
      </w:pPr>
    </w:p>
    <w:p w:rsidR="007A1C03" w:rsidRPr="00CB59BF" w:rsidRDefault="008042A1" w:rsidP="007A1C03">
      <w:pPr>
        <w:pStyle w:val="ListParagraph"/>
        <w:widowControl/>
        <w:numPr>
          <w:ilvl w:val="1"/>
          <w:numId w:val="6"/>
        </w:numPr>
        <w:rPr>
          <w:szCs w:val="22"/>
        </w:rPr>
      </w:pPr>
      <w:r>
        <w:rPr>
          <w:szCs w:val="22"/>
        </w:rPr>
        <w:t>PP3M</w:t>
      </w:r>
      <w:r w:rsidR="007A1C03" w:rsidRPr="00CB59BF">
        <w:rPr>
          <w:szCs w:val="22"/>
        </w:rPr>
        <w:t xml:space="preserve"> LAI has a safety profile that appears to be similar to that of </w:t>
      </w:r>
      <w:r>
        <w:rPr>
          <w:szCs w:val="22"/>
        </w:rPr>
        <w:t>PP1M</w:t>
      </w:r>
      <w:r w:rsidR="007A1C03" w:rsidRPr="00CB59BF">
        <w:rPr>
          <w:szCs w:val="22"/>
        </w:rPr>
        <w:t xml:space="preserve"> LAI. However, as a relatively new formulation which is currently only approved for marketing in the US (FDA, May 2015), its full adverse effect profile will only be established after more widespread and long term use in a broader patient population.</w:t>
      </w:r>
    </w:p>
    <w:p w:rsidR="004564EC" w:rsidRPr="00CB59BF" w:rsidRDefault="004564EC" w:rsidP="004564EC">
      <w:pPr>
        <w:pStyle w:val="ListParagraph"/>
        <w:rPr>
          <w:szCs w:val="22"/>
        </w:rPr>
      </w:pPr>
    </w:p>
    <w:p w:rsidR="004C56E5" w:rsidRPr="00CB59BF" w:rsidRDefault="00E0387B" w:rsidP="000A633D">
      <w:pPr>
        <w:pStyle w:val="ListParagraph"/>
        <w:widowControl/>
        <w:numPr>
          <w:ilvl w:val="1"/>
          <w:numId w:val="6"/>
        </w:numPr>
        <w:rPr>
          <w:szCs w:val="22"/>
        </w:rPr>
      </w:pPr>
      <w:r w:rsidRPr="00CB59BF">
        <w:rPr>
          <w:szCs w:val="22"/>
        </w:rPr>
        <w:t xml:space="preserve">The ESC </w:t>
      </w:r>
      <w:r w:rsidR="004C56E5" w:rsidRPr="00CB59BF">
        <w:rPr>
          <w:szCs w:val="22"/>
        </w:rPr>
        <w:t>considered that PP3M and PP1M were</w:t>
      </w:r>
      <w:r w:rsidR="00C040C3" w:rsidRPr="00CB59BF">
        <w:rPr>
          <w:szCs w:val="22"/>
        </w:rPr>
        <w:t xml:space="preserve"> likely to have</w:t>
      </w:r>
      <w:r w:rsidR="004C56E5" w:rsidRPr="00CB59BF">
        <w:rPr>
          <w:szCs w:val="22"/>
        </w:rPr>
        <w:t xml:space="preserve"> comparable safety profiles, but noted some differences in the</w:t>
      </w:r>
      <w:r w:rsidR="002F7683" w:rsidRPr="00CB59BF">
        <w:rPr>
          <w:szCs w:val="22"/>
        </w:rPr>
        <w:t xml:space="preserve"> PSY-3011</w:t>
      </w:r>
      <w:r w:rsidR="004C56E5" w:rsidRPr="00CB59BF">
        <w:rPr>
          <w:szCs w:val="22"/>
        </w:rPr>
        <w:t xml:space="preserve"> trial results, such as a different distribution of </w:t>
      </w:r>
      <w:proofErr w:type="spellStart"/>
      <w:r w:rsidR="004C56E5" w:rsidRPr="00CB59BF">
        <w:rPr>
          <w:szCs w:val="22"/>
        </w:rPr>
        <w:t>QTc</w:t>
      </w:r>
      <w:proofErr w:type="spellEnd"/>
      <w:r w:rsidR="004C56E5" w:rsidRPr="00CB59BF">
        <w:rPr>
          <w:szCs w:val="22"/>
        </w:rPr>
        <w:t xml:space="preserve"> prolongation between treatment groups</w:t>
      </w:r>
      <w:r w:rsidR="002F7683" w:rsidRPr="00CB59BF">
        <w:rPr>
          <w:szCs w:val="22"/>
        </w:rPr>
        <w:t xml:space="preserve">, which found a </w:t>
      </w:r>
      <w:proofErr w:type="spellStart"/>
      <w:r w:rsidR="002F7683" w:rsidRPr="00CB59BF">
        <w:rPr>
          <w:szCs w:val="22"/>
        </w:rPr>
        <w:t>QTc</w:t>
      </w:r>
      <w:proofErr w:type="spellEnd"/>
      <w:r w:rsidR="007A591D">
        <w:rPr>
          <w:szCs w:val="22"/>
        </w:rPr>
        <w:t xml:space="preserve"> </w:t>
      </w:r>
      <w:r w:rsidR="002F7683" w:rsidRPr="00CB59BF">
        <w:rPr>
          <w:szCs w:val="22"/>
        </w:rPr>
        <w:t>of &gt;30-60 seconds in 58/494 patients in the PP3M group and 29/494 patients in the PP1M group.</w:t>
      </w:r>
      <w:r w:rsidR="000A633D" w:rsidRPr="00CB59BF">
        <w:t xml:space="preserve"> </w:t>
      </w:r>
      <w:r w:rsidR="000A633D" w:rsidRPr="00CB59BF">
        <w:rPr>
          <w:szCs w:val="22"/>
        </w:rPr>
        <w:t xml:space="preserve">The ESC also considered it was outside the normal function of a General Practitioner to monitor for </w:t>
      </w:r>
      <w:proofErr w:type="spellStart"/>
      <w:r w:rsidR="000A633D" w:rsidRPr="00CB59BF">
        <w:rPr>
          <w:szCs w:val="22"/>
        </w:rPr>
        <w:t>QTc</w:t>
      </w:r>
      <w:proofErr w:type="spellEnd"/>
      <w:r w:rsidR="000A633D" w:rsidRPr="00CB59BF">
        <w:rPr>
          <w:szCs w:val="22"/>
        </w:rPr>
        <w:t xml:space="preserve"> prolongation in schizophrenia patients.</w:t>
      </w:r>
    </w:p>
    <w:p w:rsidR="004C56E5" w:rsidRPr="00CB59BF" w:rsidRDefault="004C56E5" w:rsidP="004C56E5">
      <w:pPr>
        <w:pStyle w:val="ListParagraph"/>
        <w:rPr>
          <w:szCs w:val="22"/>
        </w:rPr>
      </w:pPr>
    </w:p>
    <w:p w:rsidR="004C56E5" w:rsidRPr="00CB59BF" w:rsidRDefault="004C56E5" w:rsidP="00AF6E70">
      <w:pPr>
        <w:pStyle w:val="ListParagraph"/>
        <w:widowControl/>
        <w:numPr>
          <w:ilvl w:val="1"/>
          <w:numId w:val="6"/>
        </w:numPr>
        <w:rPr>
          <w:szCs w:val="22"/>
        </w:rPr>
      </w:pPr>
      <w:r w:rsidRPr="00CB59BF">
        <w:rPr>
          <w:szCs w:val="22"/>
        </w:rPr>
        <w:t xml:space="preserve">The ESC noted other potential concerns raised by the ACPM, including the inability to rapidly discontinue treatment in response to an adverse event and concerns relating to the use of PP3M in women of childbearing age if an unplanned pregnancy were to occur while being treated with PP3M. </w:t>
      </w:r>
      <w:r w:rsidR="00AF6E70" w:rsidRPr="00AF6E70">
        <w:rPr>
          <w:szCs w:val="22"/>
        </w:rPr>
        <w:t>The concerns raised by the TGA Delegate and echoed in the Commentary and by the ESC were addressed by Janssen (in consultation with the</w:t>
      </w:r>
      <w:r w:rsidR="00096F2E">
        <w:rPr>
          <w:szCs w:val="22"/>
        </w:rPr>
        <w:t xml:space="preserve"> TGA</w:t>
      </w:r>
      <w:r w:rsidR="00AF6E70" w:rsidRPr="00AF6E70">
        <w:rPr>
          <w:szCs w:val="22"/>
        </w:rPr>
        <w:t xml:space="preserve"> Delegate) </w:t>
      </w:r>
      <w:r w:rsidR="00096F2E">
        <w:rPr>
          <w:szCs w:val="22"/>
        </w:rPr>
        <w:t xml:space="preserve">by </w:t>
      </w:r>
      <w:r w:rsidR="00AF6E70" w:rsidRPr="00AF6E70">
        <w:rPr>
          <w:szCs w:val="22"/>
        </w:rPr>
        <w:t>including additional statements regarding these issues in the precautions section of the P</w:t>
      </w:r>
      <w:r w:rsidR="00096F2E">
        <w:rPr>
          <w:szCs w:val="22"/>
        </w:rPr>
        <w:t xml:space="preserve">roduct </w:t>
      </w:r>
      <w:r w:rsidR="00AF6E70" w:rsidRPr="00AF6E70">
        <w:rPr>
          <w:szCs w:val="22"/>
        </w:rPr>
        <w:t>I</w:t>
      </w:r>
      <w:r w:rsidR="00096F2E">
        <w:rPr>
          <w:szCs w:val="22"/>
        </w:rPr>
        <w:t>nformation</w:t>
      </w:r>
      <w:r w:rsidR="00AF6E70" w:rsidRPr="00AF6E70">
        <w:rPr>
          <w:szCs w:val="22"/>
        </w:rPr>
        <w:t>. These changes were made following the ACPM meeting and subsequent to Janssen’s PSCR</w:t>
      </w:r>
      <w:r w:rsidR="00DA0878">
        <w:rPr>
          <w:szCs w:val="22"/>
        </w:rPr>
        <w:t>.</w:t>
      </w:r>
    </w:p>
    <w:p w:rsidR="004C56E5" w:rsidRPr="00CB59BF" w:rsidRDefault="004C56E5" w:rsidP="00AA6662"/>
    <w:p w:rsidR="00B60939" w:rsidRPr="007313D2" w:rsidRDefault="00B60939" w:rsidP="00A950E8">
      <w:pPr>
        <w:pStyle w:val="Heading3"/>
      </w:pPr>
      <w:bookmarkStart w:id="13" w:name="_Toc461101506"/>
      <w:r w:rsidRPr="007313D2">
        <w:t>Clinical claim</w:t>
      </w:r>
      <w:bookmarkEnd w:id="13"/>
    </w:p>
    <w:p w:rsidR="00B60939" w:rsidRPr="00CB59BF" w:rsidRDefault="00B60939" w:rsidP="00B60939">
      <w:pPr>
        <w:ind w:left="720" w:hanging="720"/>
        <w:rPr>
          <w:szCs w:val="22"/>
        </w:rPr>
      </w:pPr>
    </w:p>
    <w:p w:rsidR="00247576" w:rsidRPr="00CB59BF" w:rsidRDefault="00247576" w:rsidP="00976136">
      <w:pPr>
        <w:pStyle w:val="ListParagraph"/>
        <w:widowControl/>
        <w:numPr>
          <w:ilvl w:val="1"/>
          <w:numId w:val="6"/>
        </w:numPr>
        <w:rPr>
          <w:szCs w:val="22"/>
        </w:rPr>
      </w:pPr>
      <w:r w:rsidRPr="00CB59BF">
        <w:t>The submission describe</w:t>
      </w:r>
      <w:r w:rsidR="00BA2175" w:rsidRPr="00CB59BF">
        <w:t>d</w:t>
      </w:r>
      <w:r w:rsidRPr="00CB59BF">
        <w:t xml:space="preserve"> </w:t>
      </w:r>
      <w:r w:rsidR="008042A1">
        <w:t>PP3M</w:t>
      </w:r>
      <w:r w:rsidRPr="00CB59BF">
        <w:t xml:space="preserve"> LAI as non-inferior in terms of comparative </w:t>
      </w:r>
      <w:r w:rsidR="00ED0913" w:rsidRPr="00CB59BF">
        <w:t>eff</w:t>
      </w:r>
      <w:r w:rsidR="00634B78" w:rsidRPr="00CB59BF">
        <w:t>icacy</w:t>
      </w:r>
      <w:r w:rsidRPr="00CB59BF">
        <w:t xml:space="preserve"> and equivalent in </w:t>
      </w:r>
      <w:r w:rsidR="002B009A" w:rsidRPr="00CB59BF">
        <w:t>terms</w:t>
      </w:r>
      <w:r w:rsidR="00EF4502" w:rsidRPr="00CB59BF">
        <w:t xml:space="preserve"> of comparative safety compared to</w:t>
      </w:r>
      <w:r w:rsidRPr="00CB59BF">
        <w:t xml:space="preserve"> </w:t>
      </w:r>
      <w:r w:rsidR="008042A1">
        <w:t>PP1M</w:t>
      </w:r>
      <w:r w:rsidRPr="00CB59BF">
        <w:t xml:space="preserve"> LAI.</w:t>
      </w:r>
      <w:r w:rsidR="00976136" w:rsidRPr="00CB59BF">
        <w:t xml:space="preserve"> </w:t>
      </w:r>
      <w:r w:rsidR="00BA2175" w:rsidRPr="00CB59BF">
        <w:t>This claim wa</w:t>
      </w:r>
      <w:r w:rsidRPr="00CB59BF">
        <w:t>s adequately supported</w:t>
      </w:r>
      <w:r w:rsidR="00052AED" w:rsidRPr="00CB59BF">
        <w:t xml:space="preserve"> for both efficacy and safety</w:t>
      </w:r>
      <w:r w:rsidRPr="00CB59BF">
        <w:t xml:space="preserve"> for the maintenance treatment of schizophrenia</w:t>
      </w:r>
      <w:r w:rsidR="00296A09" w:rsidRPr="00CB59BF">
        <w:t xml:space="preserve"> and considered reasonable by the ESC</w:t>
      </w:r>
      <w:r w:rsidR="00BA2175" w:rsidRPr="00CB59BF">
        <w:t>.</w:t>
      </w:r>
    </w:p>
    <w:p w:rsidR="000E3986" w:rsidRPr="00CB59BF" w:rsidRDefault="000E3986" w:rsidP="0085522A">
      <w:bookmarkStart w:id="14" w:name="_Toc461101507"/>
    </w:p>
    <w:p w:rsidR="00FE0EBA" w:rsidRPr="00CB59BF" w:rsidRDefault="00FE0EBA" w:rsidP="00FE0EBA">
      <w:pPr>
        <w:pStyle w:val="ListParagraph"/>
        <w:widowControl/>
        <w:numPr>
          <w:ilvl w:val="1"/>
          <w:numId w:val="6"/>
        </w:numPr>
        <w:jc w:val="left"/>
        <w:rPr>
          <w:bCs/>
        </w:rPr>
      </w:pPr>
      <w:r w:rsidRPr="00CB59BF">
        <w:rPr>
          <w:bCs/>
          <w:szCs w:val="22"/>
        </w:rPr>
        <w:t>The PBAC considered that the claim of non-inferior comparative effectiveness was reasonable</w:t>
      </w:r>
      <w:r w:rsidR="005972AB">
        <w:rPr>
          <w:bCs/>
          <w:szCs w:val="22"/>
        </w:rPr>
        <w:t>.</w:t>
      </w:r>
    </w:p>
    <w:p w:rsidR="00FE0EBA" w:rsidRPr="00CB59BF" w:rsidRDefault="00FE0EBA" w:rsidP="00FE0EBA">
      <w:pPr>
        <w:pStyle w:val="ListParagraph"/>
        <w:rPr>
          <w:bCs/>
          <w:szCs w:val="22"/>
        </w:rPr>
      </w:pPr>
    </w:p>
    <w:p w:rsidR="00FE0EBA" w:rsidRPr="00CB59BF" w:rsidRDefault="00FE0EBA" w:rsidP="00FE0EBA">
      <w:pPr>
        <w:pStyle w:val="ListParagraph"/>
        <w:widowControl/>
        <w:numPr>
          <w:ilvl w:val="1"/>
          <w:numId w:val="6"/>
        </w:numPr>
        <w:rPr>
          <w:szCs w:val="22"/>
        </w:rPr>
      </w:pPr>
      <w:r w:rsidRPr="00CB59BF">
        <w:rPr>
          <w:szCs w:val="22"/>
        </w:rPr>
        <w:t>The PBAC considered that the claim of non-inferior comparative safety was reasonable.</w:t>
      </w:r>
    </w:p>
    <w:p w:rsidR="00FE0EBA" w:rsidRPr="00CB59BF" w:rsidRDefault="00FE0EBA" w:rsidP="0085522A"/>
    <w:p w:rsidR="00B60939" w:rsidRPr="007313D2" w:rsidRDefault="00B60939" w:rsidP="00A950E8">
      <w:pPr>
        <w:pStyle w:val="Heading3"/>
      </w:pPr>
      <w:r w:rsidRPr="007313D2">
        <w:t>Economic analysis</w:t>
      </w:r>
      <w:bookmarkEnd w:id="14"/>
      <w:r w:rsidR="00491B3A" w:rsidRPr="007313D2">
        <w:t xml:space="preserve"> </w:t>
      </w:r>
    </w:p>
    <w:p w:rsidR="00A86E8B" w:rsidRPr="00CB59BF" w:rsidRDefault="00A86E8B" w:rsidP="00A86E8B">
      <w:pPr>
        <w:widowControl/>
        <w:rPr>
          <w:szCs w:val="22"/>
        </w:rPr>
      </w:pPr>
    </w:p>
    <w:p w:rsidR="007A1C03" w:rsidRPr="00CB59BF" w:rsidRDefault="007A1C03" w:rsidP="009026B4">
      <w:pPr>
        <w:pStyle w:val="ListParagraph"/>
        <w:widowControl/>
        <w:numPr>
          <w:ilvl w:val="1"/>
          <w:numId w:val="6"/>
        </w:numPr>
        <w:rPr>
          <w:szCs w:val="22"/>
        </w:rPr>
      </w:pPr>
      <w:r w:rsidRPr="00CB59BF">
        <w:t>The equi-effective doses we</w:t>
      </w:r>
      <w:r w:rsidR="00A86E8B" w:rsidRPr="00CB59BF">
        <w:t xml:space="preserve">re </w:t>
      </w:r>
      <w:r w:rsidR="008C3ABF" w:rsidRPr="00CB59BF">
        <w:t xml:space="preserve">directly informed by </w:t>
      </w:r>
      <w:r w:rsidRPr="00CB59BF">
        <w:t xml:space="preserve">the </w:t>
      </w:r>
      <w:r w:rsidR="00E318C8" w:rsidRPr="00CB59BF">
        <w:t xml:space="preserve">dose conversion </w:t>
      </w:r>
      <w:r w:rsidR="00B9098D">
        <w:t>used in</w:t>
      </w:r>
      <w:r w:rsidR="00B9098D" w:rsidRPr="00CB59BF">
        <w:t xml:space="preserve"> </w:t>
      </w:r>
      <w:r w:rsidRPr="00CB59BF">
        <w:t xml:space="preserve">Trial PSY-3011. The </w:t>
      </w:r>
      <w:r w:rsidR="00634B78" w:rsidRPr="00CB59BF">
        <w:t xml:space="preserve">submission claimed the </w:t>
      </w:r>
      <w:r w:rsidR="008042A1">
        <w:t>PP3M</w:t>
      </w:r>
      <w:r w:rsidRPr="00CB59BF">
        <w:t xml:space="preserve"> LAI dose is equivalent to 3.5 times the </w:t>
      </w:r>
      <w:r w:rsidR="00634B78" w:rsidRPr="00CB59BF">
        <w:t xml:space="preserve">stable </w:t>
      </w:r>
      <w:r w:rsidRPr="00CB59BF">
        <w:t xml:space="preserve">dose of </w:t>
      </w:r>
      <w:r w:rsidR="008042A1">
        <w:t>PP1M</w:t>
      </w:r>
      <w:r w:rsidRPr="00CB59BF">
        <w:t xml:space="preserve"> LAI. </w:t>
      </w:r>
      <w:r w:rsidR="00E318C8" w:rsidRPr="00CB59BF">
        <w:t>The equi-effective doses are presented in Table 4.</w:t>
      </w:r>
      <w:r w:rsidR="00F00A2D" w:rsidRPr="00CB59BF">
        <w:t xml:space="preserve"> The equi-effective doses based on the clinical trial data were reasonable.</w:t>
      </w:r>
    </w:p>
    <w:p w:rsidR="00F419D7" w:rsidRPr="00CB59BF" w:rsidRDefault="00F419D7" w:rsidP="00E318C8">
      <w:pPr>
        <w:pStyle w:val="ListParagraph"/>
        <w:widowControl/>
        <w:rPr>
          <w:szCs w:val="22"/>
        </w:rPr>
      </w:pPr>
    </w:p>
    <w:p w:rsidR="000E58C7" w:rsidRPr="00CB59BF" w:rsidRDefault="000E58C7" w:rsidP="00B9098D">
      <w:pPr>
        <w:pStyle w:val="Caption"/>
        <w:keepNext/>
        <w:ind w:left="720"/>
      </w:pPr>
      <w:r w:rsidRPr="00CB59BF">
        <w:lastRenderedPageBreak/>
        <w:t xml:space="preserve">Table </w:t>
      </w:r>
      <w:r w:rsidR="00894A87">
        <w:rPr>
          <w:noProof/>
        </w:rPr>
        <w:t>4</w:t>
      </w:r>
      <w:r w:rsidRPr="00CB59BF">
        <w:t>: Equi-effective doses of paliperidone one month LAI and three month LAI for the maintenance treatment of patients with schizophrenia.</w:t>
      </w:r>
    </w:p>
    <w:tbl>
      <w:tblPr>
        <w:tblStyle w:val="TableGrid"/>
        <w:tblW w:w="0" w:type="auto"/>
        <w:tblInd w:w="817" w:type="dxa"/>
        <w:tblLook w:val="04A0" w:firstRow="1" w:lastRow="0" w:firstColumn="1" w:lastColumn="0" w:noHBand="0" w:noVBand="1"/>
        <w:tblCaption w:val="Equi-effective doses of paliperidone"/>
      </w:tblPr>
      <w:tblGrid>
        <w:gridCol w:w="4164"/>
        <w:gridCol w:w="4199"/>
      </w:tblGrid>
      <w:tr w:rsidR="00E318C8" w:rsidRPr="00CB59BF" w:rsidTr="004F702F">
        <w:trPr>
          <w:tblHeader/>
        </w:trPr>
        <w:tc>
          <w:tcPr>
            <w:tcW w:w="4164" w:type="dxa"/>
            <w:vAlign w:val="center"/>
          </w:tcPr>
          <w:p w:rsidR="00E318C8" w:rsidRPr="00CB59BF" w:rsidRDefault="008C3ABF" w:rsidP="00B9098D">
            <w:pPr>
              <w:pStyle w:val="ListParagraph"/>
              <w:keepNext/>
              <w:widowControl/>
              <w:ind w:left="0"/>
              <w:jc w:val="center"/>
              <w:rPr>
                <w:rFonts w:ascii="Arial Narrow" w:hAnsi="Arial Narrow"/>
                <w:b/>
                <w:sz w:val="20"/>
              </w:rPr>
            </w:pPr>
            <w:r w:rsidRPr="00CB59BF">
              <w:rPr>
                <w:rFonts w:ascii="Arial Narrow" w:hAnsi="Arial Narrow"/>
                <w:b/>
                <w:sz w:val="20"/>
              </w:rPr>
              <w:t>Paliperidone three month dose (mg)</w:t>
            </w:r>
          </w:p>
        </w:tc>
        <w:tc>
          <w:tcPr>
            <w:tcW w:w="4199" w:type="dxa"/>
            <w:vAlign w:val="center"/>
          </w:tcPr>
          <w:p w:rsidR="00E318C8" w:rsidRPr="00CB59BF" w:rsidRDefault="008C3ABF" w:rsidP="00B9098D">
            <w:pPr>
              <w:pStyle w:val="ListParagraph"/>
              <w:keepNext/>
              <w:widowControl/>
              <w:ind w:left="0"/>
              <w:jc w:val="center"/>
              <w:rPr>
                <w:rFonts w:ascii="Arial Narrow" w:hAnsi="Arial Narrow"/>
                <w:b/>
                <w:sz w:val="20"/>
              </w:rPr>
            </w:pPr>
            <w:r w:rsidRPr="00CB59BF">
              <w:rPr>
                <w:rFonts w:ascii="Arial Narrow" w:hAnsi="Arial Narrow"/>
                <w:b/>
                <w:sz w:val="20"/>
              </w:rPr>
              <w:t>Paliperidone one month equi-effective dose (mg)</w:t>
            </w:r>
          </w:p>
        </w:tc>
      </w:tr>
      <w:tr w:rsidR="00E318C8" w:rsidRPr="00CB59BF" w:rsidTr="004F702F">
        <w:tc>
          <w:tcPr>
            <w:tcW w:w="4164"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175</w:t>
            </w:r>
          </w:p>
        </w:tc>
        <w:tc>
          <w:tcPr>
            <w:tcW w:w="4199"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50</w:t>
            </w:r>
          </w:p>
        </w:tc>
      </w:tr>
      <w:tr w:rsidR="00E318C8" w:rsidRPr="00CB59BF" w:rsidTr="004F702F">
        <w:tc>
          <w:tcPr>
            <w:tcW w:w="4164"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263</w:t>
            </w:r>
          </w:p>
        </w:tc>
        <w:tc>
          <w:tcPr>
            <w:tcW w:w="4199"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75</w:t>
            </w:r>
          </w:p>
        </w:tc>
      </w:tr>
      <w:tr w:rsidR="00E318C8" w:rsidRPr="00CB59BF" w:rsidTr="004F702F">
        <w:tc>
          <w:tcPr>
            <w:tcW w:w="4164"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350</w:t>
            </w:r>
          </w:p>
        </w:tc>
        <w:tc>
          <w:tcPr>
            <w:tcW w:w="4199"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100</w:t>
            </w:r>
          </w:p>
        </w:tc>
      </w:tr>
      <w:tr w:rsidR="00E318C8" w:rsidRPr="00CB59BF" w:rsidTr="004F702F">
        <w:tc>
          <w:tcPr>
            <w:tcW w:w="4164"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525</w:t>
            </w:r>
          </w:p>
        </w:tc>
        <w:tc>
          <w:tcPr>
            <w:tcW w:w="4199" w:type="dxa"/>
            <w:vAlign w:val="center"/>
          </w:tcPr>
          <w:p w:rsidR="00E318C8" w:rsidRPr="00CB59BF" w:rsidRDefault="008C3ABF" w:rsidP="00B9098D">
            <w:pPr>
              <w:pStyle w:val="ListParagraph"/>
              <w:keepNext/>
              <w:widowControl/>
              <w:ind w:left="0"/>
              <w:jc w:val="center"/>
              <w:rPr>
                <w:rFonts w:ascii="Arial Narrow" w:hAnsi="Arial Narrow"/>
                <w:sz w:val="20"/>
              </w:rPr>
            </w:pPr>
            <w:r w:rsidRPr="00CB59BF">
              <w:rPr>
                <w:rFonts w:ascii="Arial Narrow" w:hAnsi="Arial Narrow"/>
                <w:sz w:val="20"/>
              </w:rPr>
              <w:t>150</w:t>
            </w:r>
          </w:p>
        </w:tc>
      </w:tr>
    </w:tbl>
    <w:p w:rsidR="008C3ABF" w:rsidRPr="00CB59BF" w:rsidRDefault="008C3ABF" w:rsidP="008C3ABF">
      <w:pPr>
        <w:ind w:firstLine="720"/>
        <w:rPr>
          <w:rFonts w:ascii="Arial Narrow" w:hAnsi="Arial Narrow"/>
          <w:sz w:val="18"/>
          <w:szCs w:val="18"/>
        </w:rPr>
      </w:pPr>
      <w:r w:rsidRPr="00CB59BF">
        <w:rPr>
          <w:rFonts w:ascii="Arial Narrow" w:hAnsi="Arial Narrow"/>
          <w:sz w:val="18"/>
          <w:szCs w:val="18"/>
        </w:rPr>
        <w:t>Source: Table D.1-1, p.68 of the submission.</w:t>
      </w:r>
    </w:p>
    <w:p w:rsidR="00E318C8" w:rsidRPr="00CB59BF" w:rsidRDefault="00E318C8" w:rsidP="00E318C8">
      <w:pPr>
        <w:pStyle w:val="ListParagraph"/>
        <w:widowControl/>
        <w:rPr>
          <w:szCs w:val="22"/>
        </w:rPr>
      </w:pPr>
    </w:p>
    <w:p w:rsidR="00AA6F87" w:rsidRPr="00CB59BF" w:rsidRDefault="00BA2175" w:rsidP="00BA2175">
      <w:pPr>
        <w:pStyle w:val="ListParagraph"/>
        <w:widowControl/>
        <w:numPr>
          <w:ilvl w:val="1"/>
          <w:numId w:val="6"/>
        </w:numPr>
        <w:rPr>
          <w:szCs w:val="22"/>
        </w:rPr>
      </w:pPr>
      <w:r w:rsidRPr="00CB59BF">
        <w:rPr>
          <w:szCs w:val="22"/>
        </w:rPr>
        <w:t xml:space="preserve">The proposed price </w:t>
      </w:r>
      <w:r w:rsidR="00B9098D">
        <w:rPr>
          <w:szCs w:val="22"/>
        </w:rPr>
        <w:t>in the submission for</w:t>
      </w:r>
      <w:r w:rsidR="00B9098D" w:rsidRPr="00CB59BF">
        <w:rPr>
          <w:szCs w:val="22"/>
        </w:rPr>
        <w:t xml:space="preserve"> </w:t>
      </w:r>
      <w:r w:rsidR="008042A1">
        <w:rPr>
          <w:szCs w:val="22"/>
        </w:rPr>
        <w:t>PP3M</w:t>
      </w:r>
      <w:r w:rsidRPr="00CB59BF">
        <w:rPr>
          <w:szCs w:val="22"/>
        </w:rPr>
        <w:t xml:space="preserve"> LAI was based on the equi-effective doses of </w:t>
      </w:r>
      <w:r w:rsidR="008042A1">
        <w:rPr>
          <w:szCs w:val="22"/>
        </w:rPr>
        <w:t>PP1M</w:t>
      </w:r>
      <w:r w:rsidRPr="00CB59BF">
        <w:rPr>
          <w:szCs w:val="22"/>
        </w:rPr>
        <w:t xml:space="preserve"> LAI, and included drug costs and a cost offset for reduced administration costs (MBS Level B GP consultation). This approach resulted in </w:t>
      </w:r>
      <w:r w:rsidR="00634B78" w:rsidRPr="00CB59BF">
        <w:rPr>
          <w:szCs w:val="22"/>
        </w:rPr>
        <w:t xml:space="preserve">a higher price for </w:t>
      </w:r>
      <w:r w:rsidR="008042A1">
        <w:rPr>
          <w:szCs w:val="22"/>
        </w:rPr>
        <w:t>PP3M</w:t>
      </w:r>
      <w:r w:rsidR="00634B78" w:rsidRPr="00CB59BF">
        <w:rPr>
          <w:szCs w:val="22"/>
        </w:rPr>
        <w:t xml:space="preserve"> LAI compared to </w:t>
      </w:r>
      <w:r w:rsidR="008042A1">
        <w:rPr>
          <w:szCs w:val="22"/>
        </w:rPr>
        <w:t>PP1M</w:t>
      </w:r>
      <w:r w:rsidR="00634B78" w:rsidRPr="00CB59BF">
        <w:rPr>
          <w:szCs w:val="22"/>
        </w:rPr>
        <w:t xml:space="preserve"> LAI</w:t>
      </w:r>
      <w:r w:rsidR="00AA6F87" w:rsidRPr="00CB59BF">
        <w:rPr>
          <w:szCs w:val="22"/>
        </w:rPr>
        <w:t>.</w:t>
      </w:r>
    </w:p>
    <w:p w:rsidR="00AA6F87" w:rsidRPr="00CB59BF" w:rsidRDefault="00AA6F87" w:rsidP="00AA6F87">
      <w:pPr>
        <w:pStyle w:val="ListParagraph"/>
        <w:widowControl/>
        <w:rPr>
          <w:szCs w:val="22"/>
        </w:rPr>
      </w:pPr>
    </w:p>
    <w:p w:rsidR="009B4D44" w:rsidRPr="007A591D" w:rsidRDefault="00BA2175" w:rsidP="007A591D">
      <w:pPr>
        <w:pStyle w:val="ListParagraph"/>
        <w:widowControl/>
        <w:numPr>
          <w:ilvl w:val="1"/>
          <w:numId w:val="6"/>
        </w:numPr>
        <w:rPr>
          <w:szCs w:val="22"/>
        </w:rPr>
      </w:pPr>
      <w:r w:rsidRPr="00CB59BF">
        <w:rPr>
          <w:szCs w:val="22"/>
        </w:rPr>
        <w:t xml:space="preserve">The cost minimisation analysis presented in the submission </w:t>
      </w:r>
      <w:r w:rsidR="00B9098D">
        <w:rPr>
          <w:szCs w:val="22"/>
        </w:rPr>
        <w:t>used</w:t>
      </w:r>
      <w:r w:rsidRPr="00CB59BF">
        <w:rPr>
          <w:szCs w:val="22"/>
        </w:rPr>
        <w:t xml:space="preserve"> the </w:t>
      </w:r>
      <w:r w:rsidR="005934FB" w:rsidRPr="00CB59BF">
        <w:rPr>
          <w:color w:val="000000" w:themeColor="text1"/>
          <w:szCs w:val="22"/>
        </w:rPr>
        <w:t>d</w:t>
      </w:r>
      <w:r w:rsidR="005934FB" w:rsidRPr="00CB59BF">
        <w:rPr>
          <w:color w:val="000000" w:themeColor="text1"/>
          <w:shd w:val="clear" w:color="auto" w:fill="FFFFFF"/>
        </w:rPr>
        <w:t>ispensed price for maximum quantity</w:t>
      </w:r>
      <w:r w:rsidR="005934FB" w:rsidRPr="00CB59BF">
        <w:rPr>
          <w:color w:val="000000" w:themeColor="text1"/>
          <w:szCs w:val="22"/>
        </w:rPr>
        <w:t xml:space="preserve"> (</w:t>
      </w:r>
      <w:r w:rsidRPr="00CB59BF">
        <w:rPr>
          <w:color w:val="000000" w:themeColor="text1"/>
          <w:szCs w:val="22"/>
        </w:rPr>
        <w:t>DPMQ</w:t>
      </w:r>
      <w:r w:rsidR="005934FB" w:rsidRPr="00CB59BF">
        <w:rPr>
          <w:szCs w:val="22"/>
        </w:rPr>
        <w:t>)</w:t>
      </w:r>
      <w:r w:rsidRPr="00CB59BF">
        <w:rPr>
          <w:szCs w:val="22"/>
        </w:rPr>
        <w:t xml:space="preserve"> less weighted average patient co-payment. </w:t>
      </w:r>
      <w:r w:rsidR="00B9098D">
        <w:rPr>
          <w:szCs w:val="22"/>
        </w:rPr>
        <w:t>This</w:t>
      </w:r>
      <w:r w:rsidRPr="00CB59BF">
        <w:rPr>
          <w:szCs w:val="22"/>
        </w:rPr>
        <w:t xml:space="preserve"> was not appropriate. The cost minimisation analysis was </w:t>
      </w:r>
      <w:r w:rsidR="00E02C1E">
        <w:rPr>
          <w:szCs w:val="22"/>
        </w:rPr>
        <w:t>revised</w:t>
      </w:r>
      <w:r w:rsidR="00B9098D" w:rsidRPr="00CB59BF">
        <w:rPr>
          <w:szCs w:val="22"/>
        </w:rPr>
        <w:t xml:space="preserve"> </w:t>
      </w:r>
      <w:r w:rsidRPr="00CB59BF">
        <w:rPr>
          <w:szCs w:val="22"/>
        </w:rPr>
        <w:t xml:space="preserve">during </w:t>
      </w:r>
      <w:r w:rsidR="00AA6F87" w:rsidRPr="00CB59BF">
        <w:rPr>
          <w:szCs w:val="22"/>
        </w:rPr>
        <w:t xml:space="preserve">the evaluation </w:t>
      </w:r>
      <w:r w:rsidR="00E02C1E">
        <w:rPr>
          <w:szCs w:val="22"/>
        </w:rPr>
        <w:t>based on</w:t>
      </w:r>
      <w:r w:rsidR="00B9098D" w:rsidRPr="00CB59BF">
        <w:rPr>
          <w:szCs w:val="22"/>
        </w:rPr>
        <w:t xml:space="preserve"> </w:t>
      </w:r>
      <w:r w:rsidR="00AA6F87" w:rsidRPr="00CB59BF">
        <w:rPr>
          <w:szCs w:val="22"/>
        </w:rPr>
        <w:t xml:space="preserve">the </w:t>
      </w:r>
      <w:r w:rsidR="005934FB" w:rsidRPr="00CB59BF">
        <w:t>approved ex-manufacturer price (</w:t>
      </w:r>
      <w:r w:rsidR="00AA6F87" w:rsidRPr="00CB59BF">
        <w:rPr>
          <w:szCs w:val="22"/>
        </w:rPr>
        <w:t>AEMP</w:t>
      </w:r>
      <w:r w:rsidR="005934FB" w:rsidRPr="00CB59BF">
        <w:rPr>
          <w:szCs w:val="22"/>
        </w:rPr>
        <w:t>)</w:t>
      </w:r>
      <w:r w:rsidR="00E02C1E">
        <w:rPr>
          <w:szCs w:val="22"/>
        </w:rPr>
        <w:t xml:space="preserve"> (table 5)</w:t>
      </w:r>
      <w:r w:rsidR="00AA6F87" w:rsidRPr="00CB59BF">
        <w:rPr>
          <w:szCs w:val="22"/>
        </w:rPr>
        <w:t>.</w:t>
      </w:r>
    </w:p>
    <w:p w:rsidR="00F419D7" w:rsidRDefault="00F419D7">
      <w:pPr>
        <w:widowControl/>
        <w:jc w:val="left"/>
        <w:rPr>
          <w:rFonts w:ascii="Arial Narrow" w:hAnsi="Arial Narrow"/>
          <w:b/>
          <w:bCs/>
          <w:color w:val="000000" w:themeColor="text1"/>
          <w:sz w:val="20"/>
          <w:szCs w:val="18"/>
        </w:rPr>
      </w:pPr>
    </w:p>
    <w:p w:rsidR="000E58C7" w:rsidRPr="00CB59BF" w:rsidRDefault="000E58C7" w:rsidP="009B4D44">
      <w:pPr>
        <w:pStyle w:val="Caption"/>
        <w:keepNext/>
        <w:ind w:firstLine="720"/>
      </w:pPr>
      <w:r w:rsidRPr="00CB59BF">
        <w:t xml:space="preserve">Table </w:t>
      </w:r>
      <w:r w:rsidR="00894A87">
        <w:rPr>
          <w:noProof/>
        </w:rPr>
        <w:t>5</w:t>
      </w:r>
      <w:r w:rsidRPr="00CB59BF">
        <w:t>: Cost minimisation using ex-manufacturer pricing</w:t>
      </w:r>
    </w:p>
    <w:tbl>
      <w:tblPr>
        <w:tblStyle w:val="TableGrid"/>
        <w:tblW w:w="4525" w:type="pct"/>
        <w:tblInd w:w="817" w:type="dxa"/>
        <w:tblLook w:val="04A0" w:firstRow="1" w:lastRow="0" w:firstColumn="1" w:lastColumn="0" w:noHBand="0" w:noVBand="1"/>
        <w:tblCaption w:val="Cost minimisation summary at Ex-manufacturer price"/>
      </w:tblPr>
      <w:tblGrid>
        <w:gridCol w:w="4482"/>
        <w:gridCol w:w="2039"/>
        <w:gridCol w:w="1844"/>
      </w:tblGrid>
      <w:tr w:rsidR="00510B86" w:rsidRPr="00CB59BF" w:rsidTr="007B311E">
        <w:trPr>
          <w:tblHeader/>
        </w:trPr>
        <w:tc>
          <w:tcPr>
            <w:tcW w:w="2679" w:type="pct"/>
          </w:tcPr>
          <w:p w:rsidR="00510B86" w:rsidRPr="00CB59BF" w:rsidRDefault="00510B86" w:rsidP="00717D35">
            <w:pPr>
              <w:rPr>
                <w:rFonts w:ascii="Arial Narrow" w:hAnsi="Arial Narrow"/>
                <w:sz w:val="20"/>
              </w:rPr>
            </w:pPr>
          </w:p>
        </w:tc>
        <w:tc>
          <w:tcPr>
            <w:tcW w:w="1219" w:type="pct"/>
          </w:tcPr>
          <w:p w:rsidR="00510B86" w:rsidRPr="00CB59BF" w:rsidRDefault="00510B86" w:rsidP="00717D35">
            <w:pPr>
              <w:rPr>
                <w:rFonts w:ascii="Arial Narrow" w:hAnsi="Arial Narrow"/>
                <w:b/>
                <w:sz w:val="20"/>
              </w:rPr>
            </w:pPr>
            <w:r w:rsidRPr="00CB59BF">
              <w:rPr>
                <w:rFonts w:ascii="Arial Narrow" w:hAnsi="Arial Narrow"/>
                <w:b/>
                <w:sz w:val="20"/>
              </w:rPr>
              <w:t>Paliperidone one month</w:t>
            </w:r>
          </w:p>
        </w:tc>
        <w:tc>
          <w:tcPr>
            <w:tcW w:w="1102" w:type="pct"/>
          </w:tcPr>
          <w:p w:rsidR="00510B86" w:rsidRPr="00CB59BF" w:rsidRDefault="00510B86" w:rsidP="00717D35">
            <w:pPr>
              <w:rPr>
                <w:rFonts w:ascii="Arial Narrow" w:hAnsi="Arial Narrow"/>
                <w:b/>
                <w:sz w:val="20"/>
              </w:rPr>
            </w:pPr>
            <w:r w:rsidRPr="00CB59BF">
              <w:rPr>
                <w:rFonts w:ascii="Arial Narrow" w:hAnsi="Arial Narrow"/>
                <w:b/>
                <w:sz w:val="20"/>
              </w:rPr>
              <w:t>Paliperidone three months</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Paliperidone one month 50mg versus paliperidone three months 175mg</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Drug therapy costs</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sz w:val="20"/>
              </w:rPr>
              <w:t>Prescriptions per 48 week period</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12</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sz w:val="20"/>
              </w:rPr>
              <w:t>AEMP per prescription</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$230.06</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009B013E">
              <w:rPr>
                <w:rFonts w:ascii="Arial Narrow" w:hAnsi="Arial Narrow"/>
                <w:noProof/>
                <w:color w:val="000000"/>
                <w:sz w:val="20"/>
                <w:highlight w:val="black"/>
              </w:rPr>
              <w:t>''''''''''''''''</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sz w:val="20"/>
              </w:rPr>
              <w:t>Total cost of drug therapy over 48 weeks</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$2760.74</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009B013E">
              <w:rPr>
                <w:rFonts w:ascii="Arial Narrow" w:hAnsi="Arial Narrow"/>
                <w:noProof/>
                <w:color w:val="000000"/>
                <w:sz w:val="20"/>
                <w:highlight w:val="black"/>
              </w:rPr>
              <w:t>'''''''''''''''''</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b/>
                <w:sz w:val="20"/>
              </w:rPr>
              <w:t xml:space="preserve">Net difference in drug costs </w:t>
            </w:r>
          </w:p>
        </w:tc>
        <w:tc>
          <w:tcPr>
            <w:tcW w:w="2321" w:type="pct"/>
            <w:gridSpan w:val="2"/>
            <w:vAlign w:val="center"/>
          </w:tcPr>
          <w:p w:rsidR="00510B86" w:rsidRPr="00CB59BF" w:rsidRDefault="00510B86" w:rsidP="00717D35">
            <w:pPr>
              <w:jc w:val="center"/>
              <w:rPr>
                <w:rFonts w:ascii="Arial Narrow" w:hAnsi="Arial Narrow"/>
                <w:b/>
                <w:sz w:val="20"/>
              </w:rPr>
            </w:pPr>
            <w:r w:rsidRPr="00CB59BF">
              <w:rPr>
                <w:rFonts w:ascii="Arial Narrow" w:hAnsi="Arial Narrow"/>
                <w:b/>
                <w:sz w:val="20"/>
              </w:rPr>
              <w:t>$</w:t>
            </w:r>
            <w:r w:rsidR="009B013E">
              <w:rPr>
                <w:rFonts w:ascii="Arial Narrow" w:hAnsi="Arial Narrow"/>
                <w:b/>
                <w:noProof/>
                <w:color w:val="000000"/>
                <w:sz w:val="20"/>
                <w:highlight w:val="black"/>
              </w:rPr>
              <w:t>''''''''''''''</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Dose administration costs</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Dose administrations per 48 week period</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12</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sz w:val="20"/>
              </w:rPr>
              <w:t>GP standard consult ($37.05 per visit; MBS item 23)</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$444.60</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$148.20</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sz w:val="20"/>
              </w:rPr>
              <w:t>Total cost of treatment over 48 weeks</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$3205.34</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Pr="005D7CF4">
              <w:rPr>
                <w:rFonts w:ascii="Arial Narrow" w:hAnsi="Arial Narrow"/>
                <w:sz w:val="20"/>
              </w:rPr>
              <w:t>3205.34</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b/>
                <w:sz w:val="20"/>
              </w:rPr>
              <w:t>Net difference in treatment costs (paliperidone three month LAI – paliperidone one month LAI)</w:t>
            </w:r>
          </w:p>
        </w:tc>
        <w:tc>
          <w:tcPr>
            <w:tcW w:w="2321" w:type="pct"/>
            <w:gridSpan w:val="2"/>
            <w:vAlign w:val="center"/>
          </w:tcPr>
          <w:p w:rsidR="00510B86" w:rsidRPr="00CB59BF" w:rsidRDefault="00510B86" w:rsidP="00717D35">
            <w:pPr>
              <w:jc w:val="center"/>
              <w:rPr>
                <w:rFonts w:ascii="Arial Narrow" w:hAnsi="Arial Narrow"/>
                <w:b/>
                <w:sz w:val="20"/>
              </w:rPr>
            </w:pPr>
            <w:r w:rsidRPr="00CB59BF">
              <w:rPr>
                <w:rFonts w:ascii="Arial Narrow" w:hAnsi="Arial Narrow"/>
                <w:b/>
                <w:sz w:val="20"/>
              </w:rPr>
              <w:t>$0.00</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Paliperidone one month 75mg versus paliperidone three months 263mg</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Drug therapy costs</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Prescriptions per 48 week period</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12</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AEMP per prescription</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$299.28</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009B013E">
              <w:rPr>
                <w:rFonts w:ascii="Arial Narrow" w:hAnsi="Arial Narrow"/>
                <w:noProof/>
                <w:color w:val="000000"/>
                <w:sz w:val="20"/>
                <w:highlight w:val="black"/>
              </w:rPr>
              <w:t>''''''''''''''''</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Total cost of drug therapy over 48 weeks</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$3591.38</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009B013E">
              <w:rPr>
                <w:rFonts w:ascii="Arial Narrow" w:hAnsi="Arial Narrow"/>
                <w:noProof/>
                <w:color w:val="000000"/>
                <w:sz w:val="20"/>
                <w:highlight w:val="black"/>
              </w:rPr>
              <w:t>'''''''''''''''''''</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b/>
                <w:sz w:val="20"/>
              </w:rPr>
              <w:t xml:space="preserve">Net difference in drug costs </w:t>
            </w:r>
          </w:p>
        </w:tc>
        <w:tc>
          <w:tcPr>
            <w:tcW w:w="2321" w:type="pct"/>
            <w:gridSpan w:val="2"/>
            <w:vAlign w:val="center"/>
          </w:tcPr>
          <w:p w:rsidR="00510B86" w:rsidRPr="00CB59BF" w:rsidRDefault="00510B86" w:rsidP="00717D35">
            <w:pPr>
              <w:jc w:val="center"/>
              <w:rPr>
                <w:rFonts w:ascii="Arial Narrow" w:hAnsi="Arial Narrow"/>
                <w:b/>
                <w:sz w:val="20"/>
              </w:rPr>
            </w:pPr>
            <w:r w:rsidRPr="00CB59BF">
              <w:rPr>
                <w:rFonts w:ascii="Arial Narrow" w:hAnsi="Arial Narrow"/>
                <w:b/>
                <w:sz w:val="20"/>
              </w:rPr>
              <w:t>$</w:t>
            </w:r>
            <w:r w:rsidR="009B013E">
              <w:rPr>
                <w:rFonts w:ascii="Arial Narrow" w:hAnsi="Arial Narrow"/>
                <w:b/>
                <w:noProof/>
                <w:color w:val="000000"/>
                <w:sz w:val="20"/>
                <w:highlight w:val="black"/>
              </w:rPr>
              <w:t>''''''''''''</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Dose administration costs</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Dose administrations per 48 week period</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12</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GP standard consult ($37.05 per visit; MBS item 23)</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$444.60</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$148.20</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Total cost of treatment over 48 weeks</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$4035.98</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$4035.98</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b/>
                <w:sz w:val="20"/>
              </w:rPr>
              <w:t>Net difference in treatment costs (paliperidone three month LAI – paliperidone one month LAI)</w:t>
            </w:r>
          </w:p>
        </w:tc>
        <w:tc>
          <w:tcPr>
            <w:tcW w:w="2321" w:type="pct"/>
            <w:gridSpan w:val="2"/>
            <w:vAlign w:val="center"/>
          </w:tcPr>
          <w:p w:rsidR="00510B86" w:rsidRPr="00CB59BF" w:rsidRDefault="00510B86" w:rsidP="00717D35">
            <w:pPr>
              <w:jc w:val="center"/>
              <w:rPr>
                <w:rFonts w:ascii="Arial Narrow" w:hAnsi="Arial Narrow"/>
                <w:b/>
                <w:sz w:val="20"/>
              </w:rPr>
            </w:pPr>
            <w:r w:rsidRPr="00CB59BF">
              <w:rPr>
                <w:rFonts w:ascii="Arial Narrow" w:hAnsi="Arial Narrow"/>
                <w:b/>
                <w:sz w:val="20"/>
              </w:rPr>
              <w:t>$0.00</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Paliperidone one month 100/150mg versus paliperidone three months 350/525mg</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Drug therapy costs</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Prescriptions per 48 week period</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12</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AEMP per prescription</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$367.80</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009B013E">
              <w:rPr>
                <w:rFonts w:ascii="Arial Narrow" w:hAnsi="Arial Narrow"/>
                <w:noProof/>
                <w:color w:val="000000"/>
                <w:sz w:val="20"/>
                <w:highlight w:val="black"/>
              </w:rPr>
              <w:t>'''''''''''''''''''</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Total cost of drug therapy over 48 weeks</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$4413.60</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w:t>
            </w:r>
            <w:r w:rsidR="009B013E">
              <w:rPr>
                <w:rFonts w:ascii="Arial Narrow" w:hAnsi="Arial Narrow"/>
                <w:noProof/>
                <w:color w:val="000000"/>
                <w:sz w:val="20"/>
                <w:highlight w:val="black"/>
              </w:rPr>
              <w:t>'''''''''''''''''''</w:t>
            </w:r>
          </w:p>
        </w:tc>
      </w:tr>
      <w:tr w:rsidR="00510B86" w:rsidRPr="00CB59BF" w:rsidTr="00982F22">
        <w:tc>
          <w:tcPr>
            <w:tcW w:w="2679" w:type="pct"/>
          </w:tcPr>
          <w:p w:rsidR="00510B86" w:rsidRPr="00CB59BF" w:rsidRDefault="00510B86" w:rsidP="00717D35">
            <w:pPr>
              <w:rPr>
                <w:rFonts w:ascii="Arial Narrow" w:hAnsi="Arial Narrow"/>
                <w:sz w:val="20"/>
              </w:rPr>
            </w:pPr>
            <w:r w:rsidRPr="00CB59BF">
              <w:rPr>
                <w:rFonts w:ascii="Arial Narrow" w:hAnsi="Arial Narrow"/>
                <w:b/>
                <w:sz w:val="20"/>
              </w:rPr>
              <w:t xml:space="preserve">Net difference in drug costs </w:t>
            </w:r>
          </w:p>
        </w:tc>
        <w:tc>
          <w:tcPr>
            <w:tcW w:w="2321" w:type="pct"/>
            <w:gridSpan w:val="2"/>
            <w:vAlign w:val="center"/>
          </w:tcPr>
          <w:p w:rsidR="00510B86" w:rsidRPr="00CB59BF" w:rsidRDefault="00510B86" w:rsidP="00717D35">
            <w:pPr>
              <w:jc w:val="center"/>
              <w:rPr>
                <w:rFonts w:ascii="Arial Narrow" w:hAnsi="Arial Narrow"/>
                <w:b/>
                <w:sz w:val="20"/>
              </w:rPr>
            </w:pPr>
            <w:r w:rsidRPr="00CB59BF">
              <w:rPr>
                <w:rFonts w:ascii="Arial Narrow" w:hAnsi="Arial Narrow"/>
                <w:b/>
                <w:sz w:val="20"/>
              </w:rPr>
              <w:t>$</w:t>
            </w:r>
            <w:r w:rsidR="009B013E">
              <w:rPr>
                <w:rFonts w:ascii="Arial Narrow" w:hAnsi="Arial Narrow"/>
                <w:b/>
                <w:noProof/>
                <w:color w:val="000000"/>
                <w:sz w:val="20"/>
                <w:highlight w:val="black"/>
              </w:rPr>
              <w:t>''''''''''''</w:t>
            </w:r>
          </w:p>
        </w:tc>
      </w:tr>
      <w:tr w:rsidR="00510B86" w:rsidRPr="00CB59BF" w:rsidTr="00982F22">
        <w:tc>
          <w:tcPr>
            <w:tcW w:w="5000" w:type="pct"/>
            <w:gridSpan w:val="3"/>
          </w:tcPr>
          <w:p w:rsidR="00510B86" w:rsidRPr="00CB59BF" w:rsidRDefault="00510B86" w:rsidP="00717D35">
            <w:pPr>
              <w:rPr>
                <w:rFonts w:ascii="Arial Narrow" w:hAnsi="Arial Narrow"/>
                <w:sz w:val="20"/>
              </w:rPr>
            </w:pPr>
            <w:r w:rsidRPr="00CB59BF">
              <w:rPr>
                <w:rFonts w:ascii="Arial Narrow" w:hAnsi="Arial Narrow"/>
                <w:b/>
                <w:sz w:val="20"/>
              </w:rPr>
              <w:t>Dose administration costs</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lastRenderedPageBreak/>
              <w:t>Dose administrations per 48 week period</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12</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GP standard consult ($37.05 per visit; MBS item 23)</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$444.60</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$148.20</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sz w:val="20"/>
              </w:rPr>
              <w:t>Total cost of treatment over 48 weeks</w:t>
            </w:r>
          </w:p>
        </w:tc>
        <w:tc>
          <w:tcPr>
            <w:tcW w:w="1219"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$4858.20</w:t>
            </w:r>
          </w:p>
        </w:tc>
        <w:tc>
          <w:tcPr>
            <w:tcW w:w="1102" w:type="pct"/>
            <w:vAlign w:val="center"/>
          </w:tcPr>
          <w:p w:rsidR="00510B86" w:rsidRPr="00CB59BF" w:rsidRDefault="00510B86" w:rsidP="00717D35">
            <w:pPr>
              <w:jc w:val="center"/>
              <w:rPr>
                <w:rFonts w:ascii="Arial Narrow" w:hAnsi="Arial Narrow"/>
                <w:sz w:val="20"/>
              </w:rPr>
            </w:pPr>
            <w:r w:rsidRPr="00CB59BF">
              <w:rPr>
                <w:rFonts w:ascii="Arial Narrow" w:hAnsi="Arial Narrow"/>
                <w:sz w:val="20"/>
              </w:rPr>
              <w:t>$4858.20</w:t>
            </w:r>
          </w:p>
        </w:tc>
      </w:tr>
      <w:tr w:rsidR="00510B86" w:rsidRPr="00CB59BF" w:rsidTr="00982F22">
        <w:tc>
          <w:tcPr>
            <w:tcW w:w="2679" w:type="pct"/>
          </w:tcPr>
          <w:p w:rsidR="00510B86" w:rsidRPr="00CB59BF" w:rsidRDefault="00510B86" w:rsidP="00717D35">
            <w:pPr>
              <w:rPr>
                <w:rFonts w:ascii="Arial Narrow" w:hAnsi="Arial Narrow"/>
                <w:b/>
                <w:sz w:val="20"/>
              </w:rPr>
            </w:pPr>
            <w:r w:rsidRPr="00CB59BF">
              <w:rPr>
                <w:rFonts w:ascii="Arial Narrow" w:hAnsi="Arial Narrow"/>
                <w:b/>
                <w:sz w:val="20"/>
              </w:rPr>
              <w:t>Net difference in treatment costs (paliperidone three month LAI – paliperidone one month LAI)</w:t>
            </w:r>
          </w:p>
        </w:tc>
        <w:tc>
          <w:tcPr>
            <w:tcW w:w="2321" w:type="pct"/>
            <w:gridSpan w:val="2"/>
            <w:vAlign w:val="center"/>
          </w:tcPr>
          <w:p w:rsidR="00510B86" w:rsidRPr="00CB59BF" w:rsidRDefault="00510B86" w:rsidP="00717D35">
            <w:pPr>
              <w:jc w:val="center"/>
              <w:rPr>
                <w:rFonts w:ascii="Arial Narrow" w:hAnsi="Arial Narrow"/>
                <w:b/>
                <w:sz w:val="20"/>
              </w:rPr>
            </w:pPr>
            <w:r w:rsidRPr="00CB59BF">
              <w:rPr>
                <w:rFonts w:ascii="Arial Narrow" w:hAnsi="Arial Narrow"/>
                <w:b/>
                <w:sz w:val="20"/>
              </w:rPr>
              <w:t>$0.00</w:t>
            </w:r>
          </w:p>
        </w:tc>
      </w:tr>
    </w:tbl>
    <w:p w:rsidR="00510B86" w:rsidRPr="00CB59BF" w:rsidRDefault="00510B86" w:rsidP="000E58C7">
      <w:pPr>
        <w:ind w:firstLine="720"/>
        <w:rPr>
          <w:rFonts w:ascii="Arial Narrow" w:hAnsi="Arial Narrow"/>
          <w:sz w:val="18"/>
          <w:szCs w:val="18"/>
        </w:rPr>
      </w:pPr>
      <w:r w:rsidRPr="00CB59BF">
        <w:rPr>
          <w:rFonts w:ascii="Arial Narrow" w:hAnsi="Arial Narrow"/>
          <w:sz w:val="18"/>
          <w:szCs w:val="18"/>
        </w:rPr>
        <w:t>Source: Compiled during the evaluation</w:t>
      </w:r>
    </w:p>
    <w:p w:rsidR="00510B86" w:rsidRPr="00CB59BF" w:rsidRDefault="00510B86" w:rsidP="000E58C7">
      <w:pPr>
        <w:ind w:firstLine="720"/>
        <w:rPr>
          <w:rFonts w:ascii="Arial Narrow" w:hAnsi="Arial Narrow"/>
          <w:sz w:val="18"/>
          <w:szCs w:val="18"/>
        </w:rPr>
      </w:pPr>
      <w:r w:rsidRPr="00CB59BF">
        <w:rPr>
          <w:rFonts w:ascii="Arial Narrow" w:hAnsi="Arial Narrow"/>
          <w:sz w:val="18"/>
          <w:szCs w:val="18"/>
        </w:rPr>
        <w:t>Abbreviations: AEMP, approved ex-manufacturer price; LAI, long acting injectable; MBS, Medicare Benefits Schedule</w:t>
      </w:r>
    </w:p>
    <w:p w:rsidR="001145D7" w:rsidRPr="00CB59BF" w:rsidRDefault="001145D7" w:rsidP="001145D7">
      <w:pPr>
        <w:pStyle w:val="ListParagraph"/>
        <w:widowControl/>
        <w:rPr>
          <w:szCs w:val="22"/>
        </w:rPr>
      </w:pPr>
    </w:p>
    <w:p w:rsidR="00BA2175" w:rsidRPr="00CB59BF" w:rsidRDefault="00E02C1E" w:rsidP="00BA2175">
      <w:pPr>
        <w:pStyle w:val="ListParagraph"/>
        <w:widowControl/>
        <w:numPr>
          <w:ilvl w:val="1"/>
          <w:numId w:val="6"/>
        </w:numPr>
        <w:rPr>
          <w:szCs w:val="22"/>
        </w:rPr>
      </w:pPr>
      <w:r>
        <w:rPr>
          <w:szCs w:val="22"/>
        </w:rPr>
        <w:t>During the evaluation it was noted that s</w:t>
      </w:r>
      <w:r w:rsidR="00BA2175" w:rsidRPr="00CB59BF">
        <w:rPr>
          <w:szCs w:val="22"/>
        </w:rPr>
        <w:t xml:space="preserve">avings to the MBS associated with a reduction in </w:t>
      </w:r>
      <w:r>
        <w:rPr>
          <w:szCs w:val="22"/>
        </w:rPr>
        <w:t>medical visits</w:t>
      </w:r>
      <w:r w:rsidR="00BA2175" w:rsidRPr="00CB59BF">
        <w:rPr>
          <w:szCs w:val="22"/>
        </w:rPr>
        <w:t xml:space="preserve"> are unlikely to be realised in practice</w:t>
      </w:r>
      <w:r w:rsidR="00BA2175" w:rsidRPr="00CB59BF">
        <w:rPr>
          <w:rFonts w:ascii="Times New Roman" w:hAnsi="Times New Roman" w:cs="Times New Roman"/>
          <w:sz w:val="24"/>
          <w:szCs w:val="22"/>
        </w:rPr>
        <w:t xml:space="preserve"> </w:t>
      </w:r>
      <w:r w:rsidR="00BA2175" w:rsidRPr="00CB59BF">
        <w:rPr>
          <w:szCs w:val="22"/>
        </w:rPr>
        <w:t xml:space="preserve">as the </w:t>
      </w:r>
      <w:r w:rsidR="008F1D01" w:rsidRPr="00CB59BF">
        <w:rPr>
          <w:szCs w:val="22"/>
        </w:rPr>
        <w:t>purpose</w:t>
      </w:r>
      <w:r w:rsidR="00BA2175" w:rsidRPr="00CB59BF">
        <w:rPr>
          <w:szCs w:val="22"/>
        </w:rPr>
        <w:t xml:space="preserve"> of these visits </w:t>
      </w:r>
      <w:r w:rsidR="008F1D01" w:rsidRPr="00CB59BF">
        <w:rPr>
          <w:szCs w:val="22"/>
        </w:rPr>
        <w:t>may not be</w:t>
      </w:r>
      <w:r w:rsidR="00BA2175" w:rsidRPr="00CB59BF">
        <w:rPr>
          <w:szCs w:val="22"/>
        </w:rPr>
        <w:t xml:space="preserve"> specific to paliperidone administration.</w:t>
      </w:r>
    </w:p>
    <w:p w:rsidR="00CE2D6F" w:rsidRPr="00CB59BF" w:rsidRDefault="00CE2D6F" w:rsidP="00CE2D6F">
      <w:pPr>
        <w:pStyle w:val="PBACHeading1"/>
        <w:numPr>
          <w:ilvl w:val="0"/>
          <w:numId w:val="0"/>
        </w:numPr>
        <w:ind w:left="720" w:hanging="720"/>
      </w:pPr>
    </w:p>
    <w:p w:rsidR="00CE2D6F" w:rsidRPr="00CB59BF" w:rsidRDefault="00CE2D6F" w:rsidP="00BA2175">
      <w:pPr>
        <w:pStyle w:val="ListParagraph"/>
        <w:widowControl/>
        <w:numPr>
          <w:ilvl w:val="1"/>
          <w:numId w:val="6"/>
        </w:numPr>
        <w:rPr>
          <w:szCs w:val="22"/>
        </w:rPr>
      </w:pPr>
      <w:r w:rsidRPr="00CB59BF">
        <w:t>The P</w:t>
      </w:r>
      <w:r w:rsidR="004F73C3" w:rsidRPr="00CB59BF">
        <w:t>re-</w:t>
      </w:r>
      <w:r w:rsidRPr="00CB59BF">
        <w:t>S</w:t>
      </w:r>
      <w:r w:rsidR="004F73C3" w:rsidRPr="00CB59BF">
        <w:t>ub-</w:t>
      </w:r>
      <w:r w:rsidRPr="00CB59BF">
        <w:t>C</w:t>
      </w:r>
      <w:r w:rsidR="004F73C3" w:rsidRPr="00CB59BF">
        <w:t xml:space="preserve">ommittee </w:t>
      </w:r>
      <w:r w:rsidRPr="00CB59BF">
        <w:t>R</w:t>
      </w:r>
      <w:r w:rsidR="00DC12B3" w:rsidRPr="00CB59BF">
        <w:t xml:space="preserve">esponse (PSCR, </w:t>
      </w:r>
      <w:r w:rsidR="00296A09" w:rsidRPr="00CB59BF">
        <w:t>p3)</w:t>
      </w:r>
      <w:r w:rsidRPr="00CB59BF">
        <w:t xml:space="preserve"> argued the approach taken in the submission was consistent with that for PP1M, in which reduced GP visits were accepted against the comparator of risperidone LAI, which is administered fortnightly.</w:t>
      </w:r>
    </w:p>
    <w:p w:rsidR="005C422C" w:rsidRPr="00CB59BF" w:rsidRDefault="005C422C" w:rsidP="005C422C">
      <w:pPr>
        <w:pStyle w:val="ListParagraph"/>
        <w:rPr>
          <w:szCs w:val="22"/>
        </w:rPr>
      </w:pPr>
    </w:p>
    <w:p w:rsidR="005C422C" w:rsidRPr="00CB59BF" w:rsidRDefault="005C422C" w:rsidP="00BA2175">
      <w:pPr>
        <w:pStyle w:val="ListParagraph"/>
        <w:widowControl/>
        <w:numPr>
          <w:ilvl w:val="1"/>
          <w:numId w:val="6"/>
        </w:numPr>
        <w:rPr>
          <w:szCs w:val="22"/>
        </w:rPr>
      </w:pPr>
      <w:r w:rsidRPr="00CB59BF">
        <w:rPr>
          <w:szCs w:val="22"/>
        </w:rPr>
        <w:t>The ESC noted that the cost offsets for reduced GP visits used in the cost minimisation analysis resulted in a price premium for PP3M over equivalent doses of PP1M.</w:t>
      </w:r>
    </w:p>
    <w:p w:rsidR="004D1260" w:rsidRPr="00CB59BF" w:rsidRDefault="004D1260" w:rsidP="004D1260">
      <w:pPr>
        <w:pStyle w:val="ListParagraph"/>
        <w:rPr>
          <w:szCs w:val="22"/>
        </w:rPr>
      </w:pPr>
    </w:p>
    <w:p w:rsidR="00375D53" w:rsidRDefault="004D1260" w:rsidP="00375D53">
      <w:pPr>
        <w:pStyle w:val="ListParagraph"/>
        <w:widowControl/>
        <w:numPr>
          <w:ilvl w:val="1"/>
          <w:numId w:val="6"/>
        </w:numPr>
        <w:rPr>
          <w:szCs w:val="22"/>
        </w:rPr>
      </w:pPr>
      <w:r w:rsidRPr="00CB59BF">
        <w:rPr>
          <w:szCs w:val="22"/>
        </w:rPr>
        <w:t xml:space="preserve">The ESC also noted the advice of the ACPM, which ‘emphasised that contact between patient and health practitioner should be based on clinical need and not be based solely on the administration interval for medicines’. Further, the ESC considered that reasons for GP visits may include proper clinical management of schizophrenia, such as monitoring of </w:t>
      </w:r>
      <w:proofErr w:type="spellStart"/>
      <w:r w:rsidRPr="00CB59BF">
        <w:rPr>
          <w:szCs w:val="22"/>
        </w:rPr>
        <w:t>glycated</w:t>
      </w:r>
      <w:proofErr w:type="spellEnd"/>
      <w:r w:rsidRPr="00CB59BF">
        <w:rPr>
          <w:szCs w:val="22"/>
        </w:rPr>
        <w:t xml:space="preserve"> haemoglobin (HbA1c)</w:t>
      </w:r>
      <w:r w:rsidR="00DB51E5" w:rsidRPr="00CB59BF">
        <w:rPr>
          <w:szCs w:val="22"/>
        </w:rPr>
        <w:t xml:space="preserve"> and lipid levels</w:t>
      </w:r>
      <w:r w:rsidRPr="00CB59BF">
        <w:rPr>
          <w:szCs w:val="22"/>
        </w:rPr>
        <w:t xml:space="preserve"> while being treated with paliperidone. On that basis, the ESC agreed it was unlikely that the reduction in GP visits proposed in the submission would be fully realised in practice.</w:t>
      </w:r>
      <w:r w:rsidR="00375D53" w:rsidRPr="00375D53">
        <w:rPr>
          <w:szCs w:val="22"/>
        </w:rPr>
        <w:t xml:space="preserve"> </w:t>
      </w:r>
    </w:p>
    <w:p w:rsidR="00375D53" w:rsidRDefault="00375D53" w:rsidP="00375D53">
      <w:pPr>
        <w:pStyle w:val="ListParagraph"/>
        <w:widowControl/>
        <w:rPr>
          <w:szCs w:val="22"/>
        </w:rPr>
      </w:pPr>
    </w:p>
    <w:p w:rsidR="00375D53" w:rsidRPr="00F419D7" w:rsidRDefault="00E02C1E" w:rsidP="00375D53">
      <w:pPr>
        <w:pStyle w:val="ListParagraph"/>
        <w:widowControl/>
        <w:numPr>
          <w:ilvl w:val="1"/>
          <w:numId w:val="6"/>
        </w:numPr>
        <w:rPr>
          <w:szCs w:val="22"/>
        </w:rPr>
      </w:pPr>
      <w:r>
        <w:rPr>
          <w:szCs w:val="22"/>
        </w:rPr>
        <w:t>In t</w:t>
      </w:r>
      <w:r w:rsidR="00375D53">
        <w:rPr>
          <w:szCs w:val="22"/>
        </w:rPr>
        <w:t>he Pre-PBAC response the request for a cost offset for reduced GP consultations associated with less frequent administration of PP3M</w:t>
      </w:r>
      <w:r>
        <w:rPr>
          <w:szCs w:val="22"/>
        </w:rPr>
        <w:t xml:space="preserve"> was withdrawn</w:t>
      </w:r>
      <w:r w:rsidR="00375D53">
        <w:rPr>
          <w:szCs w:val="22"/>
        </w:rPr>
        <w:t>.</w:t>
      </w:r>
    </w:p>
    <w:p w:rsidR="00B668DE" w:rsidRPr="00CB59BF" w:rsidRDefault="00B668DE" w:rsidP="00B668DE">
      <w:pPr>
        <w:pStyle w:val="ListParagraph"/>
        <w:widowControl/>
        <w:rPr>
          <w:szCs w:val="22"/>
        </w:rPr>
      </w:pPr>
    </w:p>
    <w:p w:rsidR="00B668DE" w:rsidRPr="00CB59BF" w:rsidRDefault="00B668DE" w:rsidP="009026B4">
      <w:pPr>
        <w:pStyle w:val="ListParagraph"/>
        <w:widowControl/>
        <w:numPr>
          <w:ilvl w:val="1"/>
          <w:numId w:val="6"/>
        </w:numPr>
        <w:rPr>
          <w:szCs w:val="22"/>
        </w:rPr>
      </w:pPr>
      <w:r w:rsidRPr="00CB59BF">
        <w:t xml:space="preserve">The submission requested a flat pricing structure for the 350mg and 525mg strengths of </w:t>
      </w:r>
      <w:r w:rsidR="008042A1">
        <w:t>PP3M</w:t>
      </w:r>
      <w:r w:rsidRPr="00CB59BF">
        <w:t xml:space="preserve"> LAI, consistent with pricing for the highest doses of </w:t>
      </w:r>
      <w:r w:rsidR="008042A1">
        <w:t>PP1M</w:t>
      </w:r>
      <w:r w:rsidRPr="00CB59BF">
        <w:t xml:space="preserve"> LAI (paliperidone PSD, November 2010).</w:t>
      </w:r>
    </w:p>
    <w:p w:rsidR="000E3986" w:rsidRPr="00CB59BF" w:rsidRDefault="000E3986" w:rsidP="0085522A">
      <w:bookmarkStart w:id="15" w:name="_Toc461101508"/>
    </w:p>
    <w:p w:rsidR="00C25D9C" w:rsidRPr="007313D2" w:rsidRDefault="00C25D9C" w:rsidP="00A950E8">
      <w:pPr>
        <w:pStyle w:val="Heading3"/>
      </w:pPr>
      <w:r w:rsidRPr="007313D2">
        <w:t>Drug cost/patient</w:t>
      </w:r>
      <w:r w:rsidR="0080633F" w:rsidRPr="007313D2">
        <w:t xml:space="preserve"> </w:t>
      </w:r>
      <w:r w:rsidRPr="007313D2">
        <w:t>/year:</w:t>
      </w:r>
      <w:bookmarkEnd w:id="15"/>
      <w:r w:rsidRPr="007313D2">
        <w:t xml:space="preserve"> </w:t>
      </w:r>
    </w:p>
    <w:p w:rsidR="00F419D7" w:rsidRPr="00CB59BF" w:rsidRDefault="00F419D7" w:rsidP="00B74348"/>
    <w:p w:rsidR="0001304A" w:rsidRPr="00CB59BF" w:rsidRDefault="0001304A" w:rsidP="0001304A">
      <w:pPr>
        <w:pStyle w:val="ListParagraph"/>
        <w:widowControl/>
        <w:numPr>
          <w:ilvl w:val="1"/>
          <w:numId w:val="6"/>
        </w:numPr>
      </w:pPr>
      <w:r w:rsidRPr="00CB59BF">
        <w:t xml:space="preserve">The </w:t>
      </w:r>
      <w:r w:rsidR="00F419D7">
        <w:t xml:space="preserve"> revised drug cost per patient per year taking into account the prices in the Pre-PBAC response were estimated to be:  </w:t>
      </w:r>
    </w:p>
    <w:p w:rsidR="00C25D9C" w:rsidRPr="00CB59BF" w:rsidRDefault="0080633F" w:rsidP="0001304A">
      <w:pPr>
        <w:pStyle w:val="ListParagraph"/>
        <w:widowControl/>
        <w:numPr>
          <w:ilvl w:val="0"/>
          <w:numId w:val="11"/>
        </w:numPr>
        <w:ind w:left="1077" w:hanging="357"/>
        <w:rPr>
          <w:szCs w:val="22"/>
        </w:rPr>
      </w:pPr>
      <w:r w:rsidRPr="00CB59BF">
        <w:rPr>
          <w:szCs w:val="22"/>
        </w:rPr>
        <w:t>$</w:t>
      </w:r>
      <w:r w:rsidR="009B013E">
        <w:rPr>
          <w:noProof/>
          <w:color w:val="000000"/>
          <w:szCs w:val="22"/>
          <w:highlight w:val="black"/>
        </w:rPr>
        <w:t>''''''''''''''''''''''</w:t>
      </w:r>
      <w:r w:rsidRPr="00CB59BF">
        <w:rPr>
          <w:szCs w:val="22"/>
        </w:rPr>
        <w:t xml:space="preserve"> for </w:t>
      </w:r>
      <w:r w:rsidR="008042A1">
        <w:rPr>
          <w:szCs w:val="22"/>
        </w:rPr>
        <w:t>PP3M</w:t>
      </w:r>
      <w:r w:rsidRPr="00CB59BF">
        <w:rPr>
          <w:szCs w:val="22"/>
        </w:rPr>
        <w:t xml:space="preserve"> LAI 175mg</w:t>
      </w:r>
      <w:r w:rsidR="00B84896" w:rsidRPr="00CB59BF">
        <w:rPr>
          <w:szCs w:val="22"/>
        </w:rPr>
        <w:t xml:space="preserve"> (DPMQ $</w:t>
      </w:r>
      <w:r w:rsidR="009B013E">
        <w:rPr>
          <w:noProof/>
          <w:color w:val="000000"/>
          <w:szCs w:val="22"/>
          <w:highlight w:val="black"/>
        </w:rPr>
        <w:t>''''''''''''''''</w:t>
      </w:r>
      <w:r w:rsidR="00B84896" w:rsidRPr="00CB59BF">
        <w:rPr>
          <w:szCs w:val="22"/>
        </w:rPr>
        <w:t>; 4.35 injections per year [52.14 weeks per year/12 week</w:t>
      </w:r>
      <w:r w:rsidR="0001304A" w:rsidRPr="00CB59BF">
        <w:rPr>
          <w:szCs w:val="22"/>
        </w:rPr>
        <w:t>s</w:t>
      </w:r>
      <w:r w:rsidR="00B84896" w:rsidRPr="00CB59BF">
        <w:rPr>
          <w:szCs w:val="22"/>
        </w:rPr>
        <w:t>])</w:t>
      </w:r>
    </w:p>
    <w:p w:rsidR="00462480" w:rsidRPr="00CB59BF" w:rsidRDefault="0080633F" w:rsidP="0001304A">
      <w:pPr>
        <w:pStyle w:val="ListParagraph"/>
        <w:widowControl/>
        <w:numPr>
          <w:ilvl w:val="0"/>
          <w:numId w:val="11"/>
        </w:numPr>
        <w:ind w:left="1077" w:hanging="357"/>
        <w:rPr>
          <w:szCs w:val="22"/>
        </w:rPr>
      </w:pPr>
      <w:r w:rsidRPr="00CB59BF">
        <w:rPr>
          <w:szCs w:val="22"/>
        </w:rPr>
        <w:t>$</w:t>
      </w:r>
      <w:r w:rsidR="009B013E">
        <w:rPr>
          <w:noProof/>
          <w:color w:val="000000"/>
          <w:szCs w:val="22"/>
          <w:highlight w:val="black"/>
        </w:rPr>
        <w:t>'''''''''''''''''''</w:t>
      </w:r>
      <w:r w:rsidRPr="00CB59BF">
        <w:rPr>
          <w:szCs w:val="22"/>
        </w:rPr>
        <w:t xml:space="preserve"> for </w:t>
      </w:r>
      <w:r w:rsidR="008042A1">
        <w:rPr>
          <w:szCs w:val="22"/>
        </w:rPr>
        <w:t>PP3M</w:t>
      </w:r>
      <w:r w:rsidRPr="00CB59BF">
        <w:rPr>
          <w:szCs w:val="22"/>
        </w:rPr>
        <w:t xml:space="preserve"> LAI 263mg</w:t>
      </w:r>
      <w:r w:rsidR="00B84896" w:rsidRPr="00CB59BF">
        <w:rPr>
          <w:szCs w:val="22"/>
        </w:rPr>
        <w:t xml:space="preserve"> (DPMQ $</w:t>
      </w:r>
      <w:r w:rsidR="009B013E">
        <w:rPr>
          <w:noProof/>
          <w:color w:val="000000"/>
          <w:szCs w:val="22"/>
          <w:highlight w:val="black"/>
        </w:rPr>
        <w:t>'''''''''''''''''''</w:t>
      </w:r>
      <w:r w:rsidR="00B84896" w:rsidRPr="00CB59BF">
        <w:rPr>
          <w:szCs w:val="22"/>
        </w:rPr>
        <w:t>; 4.35 injections per year [52.14 weeks per year/12 week</w:t>
      </w:r>
      <w:r w:rsidR="0001304A" w:rsidRPr="00CB59BF">
        <w:rPr>
          <w:szCs w:val="22"/>
        </w:rPr>
        <w:t>s</w:t>
      </w:r>
      <w:r w:rsidR="00B84896" w:rsidRPr="00CB59BF">
        <w:rPr>
          <w:szCs w:val="22"/>
        </w:rPr>
        <w:t>])</w:t>
      </w:r>
    </w:p>
    <w:p w:rsidR="00462480" w:rsidRPr="00CB59BF" w:rsidRDefault="0080633F" w:rsidP="0001304A">
      <w:pPr>
        <w:pStyle w:val="ListParagraph"/>
        <w:widowControl/>
        <w:numPr>
          <w:ilvl w:val="0"/>
          <w:numId w:val="11"/>
        </w:numPr>
        <w:ind w:left="1077" w:hanging="357"/>
        <w:rPr>
          <w:szCs w:val="22"/>
        </w:rPr>
      </w:pPr>
      <w:r w:rsidRPr="00CB59BF">
        <w:rPr>
          <w:szCs w:val="22"/>
        </w:rPr>
        <w:t>$</w:t>
      </w:r>
      <w:r w:rsidR="009B013E">
        <w:rPr>
          <w:noProof/>
          <w:color w:val="000000"/>
          <w:szCs w:val="22"/>
          <w:highlight w:val="black"/>
        </w:rPr>
        <w:t>''''''''''''''''''''''</w:t>
      </w:r>
      <w:r w:rsidRPr="00CB59BF">
        <w:rPr>
          <w:szCs w:val="22"/>
        </w:rPr>
        <w:t xml:space="preserve"> for </w:t>
      </w:r>
      <w:r w:rsidR="008042A1">
        <w:rPr>
          <w:szCs w:val="22"/>
        </w:rPr>
        <w:t>PP3M</w:t>
      </w:r>
      <w:r w:rsidRPr="00CB59BF">
        <w:rPr>
          <w:szCs w:val="22"/>
        </w:rPr>
        <w:t xml:space="preserve"> LAI 350mg/525mg</w:t>
      </w:r>
      <w:r w:rsidR="00B84896" w:rsidRPr="00CB59BF">
        <w:rPr>
          <w:szCs w:val="22"/>
        </w:rPr>
        <w:t xml:space="preserve"> (DPMQ $</w:t>
      </w:r>
      <w:r w:rsidR="009B013E">
        <w:rPr>
          <w:noProof/>
          <w:color w:val="000000"/>
          <w:szCs w:val="22"/>
          <w:highlight w:val="black"/>
        </w:rPr>
        <w:t>''''''''''''''''''''''</w:t>
      </w:r>
      <w:r w:rsidR="00B84896" w:rsidRPr="00CB59BF">
        <w:rPr>
          <w:szCs w:val="22"/>
        </w:rPr>
        <w:t>; 4.35 injections per year [52.14 weeks per year/12 week</w:t>
      </w:r>
      <w:r w:rsidR="0001304A" w:rsidRPr="00CB59BF">
        <w:rPr>
          <w:szCs w:val="22"/>
        </w:rPr>
        <w:t>s</w:t>
      </w:r>
      <w:r w:rsidR="00B84896" w:rsidRPr="00CB59BF">
        <w:rPr>
          <w:szCs w:val="22"/>
        </w:rPr>
        <w:t>])</w:t>
      </w:r>
      <w:r w:rsidR="0001304A" w:rsidRPr="00CB59BF">
        <w:rPr>
          <w:szCs w:val="22"/>
        </w:rPr>
        <w:t>.</w:t>
      </w:r>
    </w:p>
    <w:p w:rsidR="00462480" w:rsidRPr="00CB59BF" w:rsidRDefault="00462480" w:rsidP="00C25D9C">
      <w:pPr>
        <w:widowControl/>
        <w:rPr>
          <w:szCs w:val="22"/>
        </w:rPr>
      </w:pPr>
    </w:p>
    <w:p w:rsidR="00B84896" w:rsidRPr="00CB59BF" w:rsidRDefault="0080633F" w:rsidP="009026B4">
      <w:pPr>
        <w:pStyle w:val="ListParagraph"/>
        <w:widowControl/>
        <w:numPr>
          <w:ilvl w:val="1"/>
          <w:numId w:val="6"/>
        </w:numPr>
        <w:rPr>
          <w:szCs w:val="22"/>
        </w:rPr>
      </w:pPr>
      <w:r w:rsidRPr="00CB59BF">
        <w:rPr>
          <w:szCs w:val="22"/>
        </w:rPr>
        <w:t xml:space="preserve">The drug costs per patient per year for </w:t>
      </w:r>
      <w:r w:rsidR="008042A1">
        <w:rPr>
          <w:szCs w:val="22"/>
        </w:rPr>
        <w:t>PP1M</w:t>
      </w:r>
      <w:r w:rsidRPr="00CB59BF">
        <w:rPr>
          <w:szCs w:val="22"/>
        </w:rPr>
        <w:t xml:space="preserve"> LAI were estimated to be</w:t>
      </w:r>
      <w:r w:rsidR="00B84896" w:rsidRPr="00CB59BF">
        <w:rPr>
          <w:szCs w:val="22"/>
        </w:rPr>
        <w:t>:</w:t>
      </w:r>
    </w:p>
    <w:p w:rsidR="00B84896" w:rsidRPr="00CB59BF" w:rsidRDefault="0080633F" w:rsidP="0001304A">
      <w:pPr>
        <w:pStyle w:val="ListParagraph"/>
        <w:widowControl/>
        <w:numPr>
          <w:ilvl w:val="0"/>
          <w:numId w:val="17"/>
        </w:numPr>
        <w:ind w:left="1077" w:hanging="357"/>
        <w:rPr>
          <w:szCs w:val="22"/>
        </w:rPr>
      </w:pPr>
      <w:r w:rsidRPr="00CB59BF">
        <w:rPr>
          <w:szCs w:val="22"/>
        </w:rPr>
        <w:lastRenderedPageBreak/>
        <w:t>$</w:t>
      </w:r>
      <w:r w:rsidR="009B013E">
        <w:rPr>
          <w:noProof/>
          <w:color w:val="000000"/>
          <w:szCs w:val="22"/>
          <w:highlight w:val="black"/>
        </w:rPr>
        <w:t>''''''''''''''''''''</w:t>
      </w:r>
      <w:r w:rsidR="00B84896" w:rsidRPr="00CB59BF">
        <w:rPr>
          <w:szCs w:val="22"/>
        </w:rPr>
        <w:t xml:space="preserve"> for </w:t>
      </w:r>
      <w:r w:rsidR="008042A1">
        <w:rPr>
          <w:szCs w:val="22"/>
        </w:rPr>
        <w:t>PP1M</w:t>
      </w:r>
      <w:r w:rsidR="00B84896" w:rsidRPr="00CB59BF">
        <w:rPr>
          <w:szCs w:val="22"/>
        </w:rPr>
        <w:t xml:space="preserve"> LAI 50mg </w:t>
      </w:r>
      <w:r w:rsidR="0001304A" w:rsidRPr="00CB59BF">
        <w:rPr>
          <w:szCs w:val="22"/>
        </w:rPr>
        <w:t>(</w:t>
      </w:r>
      <w:r w:rsidR="00B84896" w:rsidRPr="00CB59BF">
        <w:rPr>
          <w:szCs w:val="22"/>
        </w:rPr>
        <w:t>DPMQ $</w:t>
      </w:r>
      <w:r w:rsidR="009B013E">
        <w:rPr>
          <w:noProof/>
          <w:color w:val="000000"/>
          <w:szCs w:val="22"/>
          <w:highlight w:val="black"/>
        </w:rPr>
        <w:t>''''''''''''''''</w:t>
      </w:r>
      <w:r w:rsidR="0001304A" w:rsidRPr="00CB59BF">
        <w:rPr>
          <w:szCs w:val="22"/>
        </w:rPr>
        <w:t>; 13.04 injections per year [52.14 weeks per year/4 weeks])</w:t>
      </w:r>
    </w:p>
    <w:p w:rsidR="00B84896" w:rsidRPr="00CB59BF" w:rsidRDefault="0080633F" w:rsidP="0001304A">
      <w:pPr>
        <w:pStyle w:val="ListParagraph"/>
        <w:widowControl/>
        <w:numPr>
          <w:ilvl w:val="0"/>
          <w:numId w:val="17"/>
        </w:numPr>
        <w:ind w:left="1077" w:hanging="357"/>
        <w:rPr>
          <w:szCs w:val="22"/>
        </w:rPr>
      </w:pPr>
      <w:r w:rsidRPr="00CB59BF">
        <w:rPr>
          <w:szCs w:val="22"/>
        </w:rPr>
        <w:t>$</w:t>
      </w:r>
      <w:r w:rsidR="009B013E">
        <w:rPr>
          <w:noProof/>
          <w:color w:val="000000"/>
          <w:szCs w:val="22"/>
          <w:highlight w:val="black"/>
        </w:rPr>
        <w:t>''''''''''''''''''''</w:t>
      </w:r>
      <w:r w:rsidR="00B84896" w:rsidRPr="00CB59BF">
        <w:rPr>
          <w:szCs w:val="22"/>
        </w:rPr>
        <w:t xml:space="preserve"> for </w:t>
      </w:r>
      <w:r w:rsidR="008042A1">
        <w:rPr>
          <w:szCs w:val="22"/>
        </w:rPr>
        <w:t>PP1M</w:t>
      </w:r>
      <w:r w:rsidR="00B84896" w:rsidRPr="00CB59BF">
        <w:rPr>
          <w:szCs w:val="22"/>
        </w:rPr>
        <w:t xml:space="preserve"> LAI 75mg</w:t>
      </w:r>
      <w:r w:rsidR="0001304A" w:rsidRPr="00CB59BF">
        <w:rPr>
          <w:szCs w:val="22"/>
        </w:rPr>
        <w:t xml:space="preserve"> (DPMQ $</w:t>
      </w:r>
      <w:r w:rsidR="009B013E">
        <w:rPr>
          <w:noProof/>
          <w:color w:val="000000"/>
          <w:szCs w:val="22"/>
          <w:highlight w:val="black"/>
        </w:rPr>
        <w:t>''''''''''''''''''</w:t>
      </w:r>
      <w:r w:rsidR="0001304A" w:rsidRPr="00CB59BF">
        <w:rPr>
          <w:szCs w:val="22"/>
        </w:rPr>
        <w:t>; 13.04 injections per year [52.14 weeks per year/4 weeks])</w:t>
      </w:r>
    </w:p>
    <w:p w:rsidR="00462480" w:rsidRPr="00CB59BF" w:rsidRDefault="0080633F" w:rsidP="0001304A">
      <w:pPr>
        <w:pStyle w:val="ListParagraph"/>
        <w:widowControl/>
        <w:numPr>
          <w:ilvl w:val="0"/>
          <w:numId w:val="17"/>
        </w:numPr>
        <w:ind w:left="1077" w:hanging="357"/>
        <w:rPr>
          <w:szCs w:val="22"/>
        </w:rPr>
      </w:pPr>
      <w:r w:rsidRPr="00CB59BF">
        <w:rPr>
          <w:szCs w:val="22"/>
        </w:rPr>
        <w:t>$</w:t>
      </w:r>
      <w:r w:rsidR="009B013E">
        <w:rPr>
          <w:noProof/>
          <w:color w:val="000000"/>
          <w:szCs w:val="22"/>
          <w:highlight w:val="black"/>
        </w:rPr>
        <w:t>'''''''''''''''''''''</w:t>
      </w:r>
      <w:r w:rsidRPr="00CB59BF">
        <w:rPr>
          <w:szCs w:val="22"/>
        </w:rPr>
        <w:t xml:space="preserve"> for </w:t>
      </w:r>
      <w:r w:rsidR="008042A1">
        <w:rPr>
          <w:szCs w:val="22"/>
        </w:rPr>
        <w:t>PP1M</w:t>
      </w:r>
      <w:r w:rsidR="00B84896" w:rsidRPr="00CB59BF">
        <w:rPr>
          <w:szCs w:val="22"/>
        </w:rPr>
        <w:t xml:space="preserve"> LAI</w:t>
      </w:r>
      <w:r w:rsidRPr="00CB59BF">
        <w:rPr>
          <w:szCs w:val="22"/>
        </w:rPr>
        <w:t xml:space="preserve"> 100/150mg.</w:t>
      </w:r>
      <w:r w:rsidR="0001304A" w:rsidRPr="00CB59BF">
        <w:rPr>
          <w:szCs w:val="22"/>
        </w:rPr>
        <w:t xml:space="preserve"> (DPMQ</w:t>
      </w:r>
      <w:r w:rsidRPr="00CB59BF">
        <w:rPr>
          <w:szCs w:val="22"/>
        </w:rPr>
        <w:t xml:space="preserve"> </w:t>
      </w:r>
      <w:r w:rsidR="0001304A" w:rsidRPr="00CB59BF">
        <w:rPr>
          <w:szCs w:val="22"/>
        </w:rPr>
        <w:t>$</w:t>
      </w:r>
      <w:r w:rsidR="009B013E">
        <w:rPr>
          <w:noProof/>
          <w:color w:val="000000"/>
          <w:szCs w:val="22"/>
          <w:highlight w:val="black"/>
        </w:rPr>
        <w:t>''''''''''''''''</w:t>
      </w:r>
      <w:r w:rsidR="0001304A" w:rsidRPr="00CB59BF">
        <w:rPr>
          <w:szCs w:val="22"/>
        </w:rPr>
        <w:t>; 13.04 injections per year [52.14 weeks per year/4 weeks]).</w:t>
      </w:r>
    </w:p>
    <w:p w:rsidR="00E313FE" w:rsidRDefault="00E313FE">
      <w:pPr>
        <w:widowControl/>
        <w:jc w:val="left"/>
        <w:rPr>
          <w:b/>
          <w:i/>
        </w:rPr>
      </w:pPr>
      <w:bookmarkStart w:id="16" w:name="_Toc461101509"/>
    </w:p>
    <w:p w:rsidR="00B60939" w:rsidRPr="007313D2" w:rsidRDefault="00B60939" w:rsidP="00A950E8">
      <w:pPr>
        <w:pStyle w:val="Heading3"/>
      </w:pPr>
      <w:r w:rsidRPr="007313D2">
        <w:t>Estimated PBS usage &amp; financial implications</w:t>
      </w:r>
      <w:bookmarkEnd w:id="16"/>
    </w:p>
    <w:p w:rsidR="00B60939" w:rsidRPr="00CB59BF" w:rsidRDefault="00B60939" w:rsidP="00B60939">
      <w:pPr>
        <w:ind w:left="720" w:hanging="720"/>
        <w:rPr>
          <w:b/>
          <w:szCs w:val="22"/>
        </w:rPr>
      </w:pPr>
    </w:p>
    <w:p w:rsidR="00F419D7" w:rsidRPr="000B4764" w:rsidRDefault="00C25D9C" w:rsidP="000B4764">
      <w:pPr>
        <w:pStyle w:val="ListParagraph"/>
        <w:widowControl/>
        <w:numPr>
          <w:ilvl w:val="1"/>
          <w:numId w:val="6"/>
        </w:numPr>
        <w:rPr>
          <w:szCs w:val="22"/>
        </w:rPr>
      </w:pPr>
      <w:r w:rsidRPr="00CB59BF">
        <w:t xml:space="preserve">This submission </w:t>
      </w:r>
      <w:r w:rsidR="0080633F" w:rsidRPr="00CB59BF">
        <w:t>was not</w:t>
      </w:r>
      <w:r w:rsidRPr="00CB59BF">
        <w:t xml:space="preserve"> considered by DUSC</w:t>
      </w:r>
      <w:r w:rsidRPr="00CB59BF">
        <w:rPr>
          <w:color w:val="0070C0"/>
        </w:rPr>
        <w:t>.</w:t>
      </w:r>
      <w:r w:rsidR="0080633F" w:rsidRPr="00CB59BF">
        <w:rPr>
          <w:color w:val="0070C0"/>
        </w:rPr>
        <w:t xml:space="preserve"> </w:t>
      </w:r>
      <w:r w:rsidR="0080633F" w:rsidRPr="00CB59BF">
        <w:t xml:space="preserve">The submission presented a market share approach, </w:t>
      </w:r>
      <w:r w:rsidR="00236A04" w:rsidRPr="00CB59BF">
        <w:t xml:space="preserve">with estimates based on extrapolated trends of use of </w:t>
      </w:r>
      <w:r w:rsidR="008042A1">
        <w:t>PP1M</w:t>
      </w:r>
      <w:r w:rsidR="00236A04" w:rsidRPr="00CB59BF">
        <w:t xml:space="preserve"> LAI derived from </w:t>
      </w:r>
      <w:r w:rsidR="007A591D">
        <w:t>Department of Human Services (</w:t>
      </w:r>
      <w:r w:rsidR="00236A04" w:rsidRPr="00CB59BF">
        <w:t>DHS</w:t>
      </w:r>
      <w:r w:rsidR="007A591D">
        <w:t>)</w:t>
      </w:r>
      <w:r w:rsidR="00236A04" w:rsidRPr="00CB59BF">
        <w:t xml:space="preserve"> prescription data for the five years to April 2016. The submission assumed </w:t>
      </w:r>
      <w:r w:rsidR="008042A1">
        <w:t>PP3M</w:t>
      </w:r>
      <w:r w:rsidR="00236A04" w:rsidRPr="00CB59BF">
        <w:t xml:space="preserve"> LAI would only substitute for a proportion of the </w:t>
      </w:r>
      <w:r w:rsidR="008042A1">
        <w:t>PP1M</w:t>
      </w:r>
      <w:r w:rsidR="00236A04" w:rsidRPr="00CB59BF">
        <w:t xml:space="preserve"> LAI market.</w:t>
      </w:r>
      <w:r w:rsidR="000B4764">
        <w:t xml:space="preserve"> The financial estimates</w:t>
      </w:r>
      <w:r w:rsidR="002B64CA">
        <w:t xml:space="preserve"> </w:t>
      </w:r>
      <w:r w:rsidR="00E02C1E">
        <w:t xml:space="preserve">below are </w:t>
      </w:r>
      <w:r w:rsidR="002B64CA">
        <w:t>from the submission</w:t>
      </w:r>
      <w:r w:rsidR="000B4764">
        <w:t xml:space="preserve"> </w:t>
      </w:r>
      <w:r w:rsidR="00E02C1E">
        <w:t>and hence do not include</w:t>
      </w:r>
      <w:r w:rsidR="000B4764">
        <w:t xml:space="preserve"> the </w:t>
      </w:r>
      <w:r w:rsidR="00E02C1E">
        <w:t xml:space="preserve">reduced </w:t>
      </w:r>
      <w:r w:rsidR="000B4764">
        <w:t>price</w:t>
      </w:r>
      <w:r w:rsidR="00E02C1E">
        <w:t>s</w:t>
      </w:r>
      <w:r w:rsidR="000B4DA5">
        <w:t xml:space="preserve"> proposed</w:t>
      </w:r>
      <w:r w:rsidR="000B4764">
        <w:t xml:space="preserve"> in the Pre-PBAC response</w:t>
      </w:r>
      <w:r w:rsidR="00E02C1E">
        <w:t xml:space="preserve"> for </w:t>
      </w:r>
      <w:r w:rsidR="008042A1">
        <w:t>PP3M</w:t>
      </w:r>
      <w:r w:rsidR="00375D53" w:rsidRPr="00CB59BF">
        <w:t xml:space="preserve"> LAI</w:t>
      </w:r>
      <w:r w:rsidR="000B4764">
        <w:t>.</w:t>
      </w:r>
      <w:r w:rsidR="00DA0878">
        <w:t xml:space="preserve"> </w:t>
      </w:r>
      <w:r w:rsidR="008D4E9C">
        <w:t xml:space="preserve">The redacted table below shows that at Year 5 the estimated number of prescriptions </w:t>
      </w:r>
      <w:r w:rsidR="004564B5">
        <w:t>was over 200,000 per year and the net cost to the PBS would be less than $10 million per year.</w:t>
      </w:r>
    </w:p>
    <w:p w:rsidR="00F419D7" w:rsidRPr="00CB59BF" w:rsidRDefault="00F419D7">
      <w:pPr>
        <w:widowControl/>
        <w:jc w:val="left"/>
        <w:rPr>
          <w:rFonts w:ascii="Arial Narrow" w:hAnsi="Arial Narrow"/>
          <w:b/>
          <w:sz w:val="20"/>
        </w:rPr>
      </w:pPr>
    </w:p>
    <w:p w:rsidR="00917747" w:rsidRPr="00CB59BF" w:rsidRDefault="00917747" w:rsidP="00917747">
      <w:pPr>
        <w:pStyle w:val="Caption"/>
        <w:keepNext/>
        <w:ind w:left="720"/>
      </w:pPr>
      <w:r w:rsidRPr="00CB59BF">
        <w:t xml:space="preserve">Table </w:t>
      </w:r>
      <w:r w:rsidR="00894A87">
        <w:rPr>
          <w:noProof/>
        </w:rPr>
        <w:t>6</w:t>
      </w:r>
      <w:r w:rsidRPr="00CB59BF">
        <w:t>:  Estimated utilisation and cost to the PBS in the first five years of listing of paliperidone three months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3"/>
        <w:gridCol w:w="1130"/>
        <w:gridCol w:w="1130"/>
        <w:gridCol w:w="1131"/>
        <w:gridCol w:w="1130"/>
        <w:gridCol w:w="1131"/>
      </w:tblGrid>
      <w:tr w:rsidR="001D3B12" w:rsidRPr="00CB59BF" w:rsidTr="001D3B12">
        <w:tc>
          <w:tcPr>
            <w:tcW w:w="2693" w:type="dxa"/>
            <w:shd w:val="clear" w:color="auto" w:fill="auto"/>
            <w:noWrap/>
            <w:vAlign w:val="bottom"/>
          </w:tcPr>
          <w:p w:rsidR="00687068" w:rsidRPr="00CB59BF" w:rsidRDefault="00687068" w:rsidP="00A55FC3">
            <w:pPr>
              <w:widowControl/>
              <w:jc w:val="left"/>
              <w:rPr>
                <w:rFonts w:ascii="Arial Narrow" w:hAnsi="Arial Narrow" w:cs="Times New Roman"/>
                <w:snapToGrid/>
                <w:sz w:val="20"/>
                <w:lang w:eastAsia="en-AU"/>
              </w:rPr>
            </w:pPr>
          </w:p>
        </w:tc>
        <w:tc>
          <w:tcPr>
            <w:tcW w:w="1130" w:type="dxa"/>
            <w:shd w:val="clear" w:color="auto" w:fill="auto"/>
            <w:noWrap/>
            <w:vAlign w:val="bottom"/>
          </w:tcPr>
          <w:p w:rsidR="00687068" w:rsidRPr="00CB59BF" w:rsidRDefault="00687068" w:rsidP="00A55FC3">
            <w:pPr>
              <w:widowControl/>
              <w:jc w:val="center"/>
              <w:rPr>
                <w:rFonts w:ascii="Arial Narrow" w:hAnsi="Arial Narrow" w:cs="Times New Roman"/>
                <w:b/>
                <w:snapToGrid/>
                <w:sz w:val="20"/>
                <w:lang w:eastAsia="en-AU"/>
              </w:rPr>
            </w:pPr>
            <w:r w:rsidRPr="00CB59BF">
              <w:rPr>
                <w:rFonts w:ascii="Arial Narrow" w:hAnsi="Arial Narrow" w:cs="Times New Roman"/>
                <w:b/>
                <w:snapToGrid/>
                <w:sz w:val="20"/>
                <w:lang w:eastAsia="en-AU"/>
              </w:rPr>
              <w:t>Year 1</w:t>
            </w:r>
          </w:p>
        </w:tc>
        <w:tc>
          <w:tcPr>
            <w:tcW w:w="1130" w:type="dxa"/>
            <w:shd w:val="clear" w:color="auto" w:fill="auto"/>
            <w:noWrap/>
            <w:vAlign w:val="bottom"/>
          </w:tcPr>
          <w:p w:rsidR="00687068" w:rsidRPr="00CB59BF" w:rsidRDefault="00687068" w:rsidP="00A55FC3">
            <w:pPr>
              <w:widowControl/>
              <w:jc w:val="center"/>
              <w:rPr>
                <w:rFonts w:ascii="Arial Narrow" w:hAnsi="Arial Narrow" w:cs="Times New Roman"/>
                <w:b/>
                <w:snapToGrid/>
                <w:sz w:val="20"/>
                <w:lang w:eastAsia="en-AU"/>
              </w:rPr>
            </w:pPr>
            <w:r w:rsidRPr="00CB59BF">
              <w:rPr>
                <w:rFonts w:ascii="Arial Narrow" w:hAnsi="Arial Narrow" w:cs="Times New Roman"/>
                <w:b/>
                <w:snapToGrid/>
                <w:sz w:val="20"/>
                <w:lang w:eastAsia="en-AU"/>
              </w:rPr>
              <w:t>Year 2</w:t>
            </w:r>
          </w:p>
        </w:tc>
        <w:tc>
          <w:tcPr>
            <w:tcW w:w="1131" w:type="dxa"/>
            <w:shd w:val="clear" w:color="auto" w:fill="auto"/>
            <w:noWrap/>
            <w:vAlign w:val="bottom"/>
          </w:tcPr>
          <w:p w:rsidR="00687068" w:rsidRPr="00CB59BF" w:rsidRDefault="00687068" w:rsidP="00A55FC3">
            <w:pPr>
              <w:widowControl/>
              <w:jc w:val="center"/>
              <w:rPr>
                <w:rFonts w:ascii="Arial Narrow" w:hAnsi="Arial Narrow" w:cs="Times New Roman"/>
                <w:b/>
                <w:snapToGrid/>
                <w:sz w:val="20"/>
                <w:lang w:eastAsia="en-AU"/>
              </w:rPr>
            </w:pPr>
            <w:r w:rsidRPr="00CB59BF">
              <w:rPr>
                <w:rFonts w:ascii="Arial Narrow" w:hAnsi="Arial Narrow" w:cs="Times New Roman"/>
                <w:b/>
                <w:snapToGrid/>
                <w:sz w:val="20"/>
                <w:lang w:eastAsia="en-AU"/>
              </w:rPr>
              <w:t>Year 3</w:t>
            </w:r>
          </w:p>
        </w:tc>
        <w:tc>
          <w:tcPr>
            <w:tcW w:w="1130" w:type="dxa"/>
            <w:shd w:val="clear" w:color="auto" w:fill="auto"/>
            <w:noWrap/>
            <w:vAlign w:val="bottom"/>
          </w:tcPr>
          <w:p w:rsidR="00687068" w:rsidRPr="00CB59BF" w:rsidRDefault="00687068" w:rsidP="00A55FC3">
            <w:pPr>
              <w:widowControl/>
              <w:jc w:val="center"/>
              <w:rPr>
                <w:rFonts w:ascii="Arial Narrow" w:hAnsi="Arial Narrow" w:cs="Times New Roman"/>
                <w:b/>
                <w:snapToGrid/>
                <w:sz w:val="20"/>
                <w:lang w:eastAsia="en-AU"/>
              </w:rPr>
            </w:pPr>
            <w:r w:rsidRPr="00CB59BF">
              <w:rPr>
                <w:rFonts w:ascii="Arial Narrow" w:hAnsi="Arial Narrow" w:cs="Times New Roman"/>
                <w:b/>
                <w:snapToGrid/>
                <w:sz w:val="20"/>
                <w:lang w:eastAsia="en-AU"/>
              </w:rPr>
              <w:t>Year 4</w:t>
            </w:r>
          </w:p>
        </w:tc>
        <w:tc>
          <w:tcPr>
            <w:tcW w:w="1131" w:type="dxa"/>
            <w:shd w:val="clear" w:color="auto" w:fill="auto"/>
            <w:noWrap/>
            <w:vAlign w:val="bottom"/>
          </w:tcPr>
          <w:p w:rsidR="00687068" w:rsidRPr="00CB59BF" w:rsidRDefault="00687068" w:rsidP="00A55FC3">
            <w:pPr>
              <w:widowControl/>
              <w:jc w:val="center"/>
              <w:rPr>
                <w:rFonts w:ascii="Arial Narrow" w:hAnsi="Arial Narrow" w:cs="Times New Roman"/>
                <w:b/>
                <w:snapToGrid/>
                <w:sz w:val="20"/>
                <w:lang w:eastAsia="en-AU"/>
              </w:rPr>
            </w:pPr>
            <w:r w:rsidRPr="00CB59BF">
              <w:rPr>
                <w:rFonts w:ascii="Arial Narrow" w:hAnsi="Arial Narrow" w:cs="Times New Roman"/>
                <w:b/>
                <w:snapToGrid/>
                <w:sz w:val="20"/>
                <w:lang w:eastAsia="en-AU"/>
              </w:rPr>
              <w:t>Year 5</w:t>
            </w:r>
          </w:p>
        </w:tc>
      </w:tr>
      <w:tr w:rsidR="00687068" w:rsidRPr="00CB59BF" w:rsidTr="001D3B12">
        <w:tc>
          <w:tcPr>
            <w:tcW w:w="8345" w:type="dxa"/>
            <w:gridSpan w:val="6"/>
            <w:shd w:val="clear" w:color="auto" w:fill="auto"/>
            <w:noWrap/>
            <w:vAlign w:val="bottom"/>
          </w:tcPr>
          <w:p w:rsidR="00687068" w:rsidRPr="00CB59BF" w:rsidRDefault="00687068" w:rsidP="00A55FC3">
            <w:pPr>
              <w:widowControl/>
              <w:jc w:val="left"/>
              <w:rPr>
                <w:rFonts w:ascii="Arial Narrow" w:hAnsi="Arial Narrow" w:cs="Times New Roman"/>
                <w:b/>
                <w:snapToGrid/>
                <w:sz w:val="20"/>
                <w:lang w:eastAsia="en-AU"/>
              </w:rPr>
            </w:pPr>
            <w:r w:rsidRPr="00CB59BF">
              <w:rPr>
                <w:rFonts w:ascii="Arial Narrow" w:hAnsi="Arial Narrow" w:cs="Times New Roman"/>
                <w:b/>
                <w:snapToGrid/>
                <w:sz w:val="20"/>
                <w:lang w:eastAsia="en-AU"/>
              </w:rPr>
              <w:t>Paliperidone three months not listed</w:t>
            </w:r>
          </w:p>
        </w:tc>
      </w:tr>
      <w:tr w:rsidR="001D3B12" w:rsidRPr="00CB59BF" w:rsidTr="001D3B12">
        <w:tc>
          <w:tcPr>
            <w:tcW w:w="2693" w:type="dxa"/>
            <w:shd w:val="clear" w:color="auto" w:fill="auto"/>
            <w:noWrap/>
          </w:tcPr>
          <w:p w:rsidR="00687068" w:rsidRPr="00CB59BF" w:rsidRDefault="00687068" w:rsidP="00A55FC3">
            <w:pPr>
              <w:widowControl/>
              <w:jc w:val="left"/>
              <w:rPr>
                <w:rFonts w:ascii="Arial Narrow" w:hAnsi="Arial Narrow" w:cs="Times New Roman"/>
                <w:snapToGrid/>
                <w:sz w:val="20"/>
                <w:lang w:eastAsia="en-AU"/>
              </w:rPr>
            </w:pPr>
            <w:r w:rsidRPr="00CB59BF">
              <w:rPr>
                <w:rFonts w:ascii="Arial Narrow" w:hAnsi="Arial Narrow"/>
                <w:sz w:val="20"/>
              </w:rPr>
              <w:t>Total prescriptions</w:t>
            </w:r>
          </w:p>
        </w:tc>
        <w:tc>
          <w:tcPr>
            <w:tcW w:w="1130" w:type="dxa"/>
            <w:shd w:val="clear" w:color="auto" w:fill="auto"/>
            <w:noWrap/>
            <w:vAlign w:val="center"/>
          </w:tcPr>
          <w:p w:rsidR="00687068"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0" w:type="dxa"/>
            <w:shd w:val="clear" w:color="auto" w:fill="auto"/>
            <w:noWrap/>
            <w:vAlign w:val="center"/>
          </w:tcPr>
          <w:p w:rsidR="00687068"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1" w:type="dxa"/>
            <w:shd w:val="clear" w:color="auto" w:fill="auto"/>
            <w:noWrap/>
            <w:vAlign w:val="center"/>
          </w:tcPr>
          <w:p w:rsidR="00687068"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0" w:type="dxa"/>
            <w:shd w:val="clear" w:color="auto" w:fill="auto"/>
            <w:noWrap/>
            <w:vAlign w:val="center"/>
          </w:tcPr>
          <w:p w:rsidR="00687068"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1" w:type="dxa"/>
            <w:shd w:val="clear" w:color="auto" w:fill="auto"/>
            <w:noWrap/>
            <w:vAlign w:val="center"/>
          </w:tcPr>
          <w:p w:rsidR="00687068"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r>
      <w:tr w:rsidR="001D3B12" w:rsidRPr="00CB59BF" w:rsidTr="001D3B12">
        <w:tc>
          <w:tcPr>
            <w:tcW w:w="2693" w:type="dxa"/>
            <w:shd w:val="clear" w:color="auto" w:fill="auto"/>
            <w:noWrap/>
          </w:tcPr>
          <w:p w:rsidR="00687068" w:rsidRPr="00CB59BF" w:rsidRDefault="00687068" w:rsidP="00A55FC3">
            <w:pPr>
              <w:widowControl/>
              <w:jc w:val="left"/>
              <w:rPr>
                <w:rFonts w:ascii="Arial Narrow" w:hAnsi="Arial Narrow" w:cs="Times New Roman"/>
                <w:snapToGrid/>
                <w:sz w:val="20"/>
                <w:lang w:eastAsia="en-AU"/>
              </w:rPr>
            </w:pPr>
            <w:r w:rsidRPr="00CB59BF">
              <w:rPr>
                <w:rFonts w:ascii="Arial Narrow" w:hAnsi="Arial Narrow"/>
                <w:sz w:val="20"/>
              </w:rPr>
              <w:t>Cost to the PBS/RPBS (DPMQ)</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2693" w:type="dxa"/>
            <w:shd w:val="clear" w:color="auto" w:fill="auto"/>
            <w:noWrap/>
          </w:tcPr>
          <w:p w:rsidR="00687068" w:rsidRPr="00CB59BF" w:rsidRDefault="00687068" w:rsidP="00A55FC3">
            <w:pPr>
              <w:widowControl/>
              <w:jc w:val="left"/>
              <w:rPr>
                <w:rFonts w:ascii="Arial Narrow" w:hAnsi="Arial Narrow" w:cs="Times New Roman"/>
                <w:snapToGrid/>
                <w:sz w:val="20"/>
                <w:vertAlign w:val="superscript"/>
                <w:lang w:eastAsia="en-AU"/>
              </w:rPr>
            </w:pPr>
            <w:r w:rsidRPr="00CB59BF">
              <w:rPr>
                <w:rFonts w:ascii="Arial Narrow" w:hAnsi="Arial Narrow"/>
                <w:sz w:val="20"/>
              </w:rPr>
              <w:t>Total patient co-</w:t>
            </w:r>
            <w:proofErr w:type="spellStart"/>
            <w:r w:rsidRPr="00CB59BF">
              <w:rPr>
                <w:rFonts w:ascii="Arial Narrow" w:hAnsi="Arial Narrow"/>
                <w:sz w:val="20"/>
              </w:rPr>
              <w:t>payments</w:t>
            </w:r>
            <w:r w:rsidRPr="00CB59BF">
              <w:rPr>
                <w:rFonts w:ascii="Arial Narrow" w:hAnsi="Arial Narrow"/>
                <w:sz w:val="20"/>
                <w:vertAlign w:val="superscript"/>
              </w:rPr>
              <w:t>a</w:t>
            </w:r>
            <w:proofErr w:type="spellEnd"/>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2693" w:type="dxa"/>
            <w:shd w:val="clear" w:color="auto" w:fill="auto"/>
            <w:noWrap/>
          </w:tcPr>
          <w:p w:rsidR="00687068" w:rsidRPr="00CB59BF" w:rsidRDefault="00687068" w:rsidP="00A55FC3">
            <w:pPr>
              <w:widowControl/>
              <w:jc w:val="left"/>
              <w:rPr>
                <w:rFonts w:ascii="Arial Narrow" w:hAnsi="Arial Narrow" w:cs="Times New Roman"/>
                <w:snapToGrid/>
                <w:sz w:val="20"/>
                <w:lang w:eastAsia="en-AU"/>
              </w:rPr>
            </w:pPr>
            <w:r w:rsidRPr="00CB59BF">
              <w:rPr>
                <w:rFonts w:ascii="Arial Narrow" w:hAnsi="Arial Narrow"/>
                <w:sz w:val="20"/>
              </w:rPr>
              <w:t>Net cost to the PBS/RPBS</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687068" w:rsidRPr="00CB59BF" w:rsidRDefault="00687068"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687068" w:rsidRPr="00CB59BF" w:rsidTr="001D3B12">
        <w:tc>
          <w:tcPr>
            <w:tcW w:w="8345" w:type="dxa"/>
            <w:gridSpan w:val="6"/>
            <w:shd w:val="clear" w:color="auto" w:fill="auto"/>
            <w:noWrap/>
            <w:vAlign w:val="bottom"/>
          </w:tcPr>
          <w:p w:rsidR="00687068" w:rsidRPr="00CB59BF" w:rsidRDefault="00687068" w:rsidP="00A55FC3">
            <w:pPr>
              <w:widowControl/>
              <w:jc w:val="left"/>
              <w:rPr>
                <w:rFonts w:ascii="Arial Narrow" w:hAnsi="Arial Narrow" w:cs="Times New Roman"/>
                <w:b/>
                <w:snapToGrid/>
                <w:sz w:val="20"/>
                <w:lang w:eastAsia="en-AU"/>
              </w:rPr>
            </w:pPr>
            <w:r w:rsidRPr="00CB59BF">
              <w:rPr>
                <w:rFonts w:ascii="Arial Narrow" w:hAnsi="Arial Narrow" w:cs="Times New Roman"/>
                <w:b/>
                <w:snapToGrid/>
                <w:sz w:val="20"/>
                <w:lang w:eastAsia="en-AU"/>
              </w:rPr>
              <w:t>Paliperidone three months listed</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Market share (% of paliperidone one month LAI market)</w:t>
            </w:r>
          </w:p>
        </w:tc>
        <w:tc>
          <w:tcPr>
            <w:tcW w:w="1130" w:type="dxa"/>
            <w:shd w:val="clear" w:color="auto" w:fill="auto"/>
            <w:noWrap/>
            <w:vAlign w:val="center"/>
          </w:tcPr>
          <w:p w:rsidR="001D3B12" w:rsidRPr="00CB59BF" w:rsidRDefault="009B013E" w:rsidP="00A55FC3">
            <w:pPr>
              <w:widowControl/>
              <w:jc w:val="center"/>
              <w:rPr>
                <w:rFonts w:ascii="Arial Narrow" w:hAnsi="Arial Narrow"/>
                <w:color w:val="000000"/>
                <w:sz w:val="20"/>
              </w:rPr>
            </w:pPr>
            <w:r>
              <w:rPr>
                <w:rFonts w:ascii="Arial Narrow" w:hAnsi="Arial Narrow"/>
                <w:noProof/>
                <w:color w:val="000000"/>
                <w:sz w:val="20"/>
                <w:highlight w:val="black"/>
              </w:rPr>
              <w:t>''''''</w:t>
            </w:r>
            <w:r w:rsidR="001D3B12" w:rsidRPr="00CB59BF">
              <w:rPr>
                <w:rFonts w:ascii="Arial Narrow" w:hAnsi="Arial Narrow"/>
                <w:sz w:val="20"/>
              </w:rPr>
              <w:t>%</w:t>
            </w:r>
          </w:p>
        </w:tc>
        <w:tc>
          <w:tcPr>
            <w:tcW w:w="1130" w:type="dxa"/>
            <w:shd w:val="clear" w:color="auto" w:fill="auto"/>
            <w:noWrap/>
            <w:vAlign w:val="center"/>
          </w:tcPr>
          <w:p w:rsidR="001D3B12" w:rsidRPr="00CB59BF" w:rsidRDefault="009B013E" w:rsidP="00A55FC3">
            <w:pPr>
              <w:widowControl/>
              <w:jc w:val="center"/>
              <w:rPr>
                <w:rFonts w:ascii="Arial Narrow" w:hAnsi="Arial Narrow"/>
                <w:color w:val="000000"/>
                <w:sz w:val="20"/>
              </w:rPr>
            </w:pPr>
            <w:r>
              <w:rPr>
                <w:rFonts w:ascii="Arial Narrow" w:hAnsi="Arial Narrow"/>
                <w:noProof/>
                <w:color w:val="000000"/>
                <w:sz w:val="20"/>
                <w:highlight w:val="black"/>
              </w:rPr>
              <w:t>''''''</w:t>
            </w:r>
            <w:r w:rsidR="001D3B12" w:rsidRPr="00CB59BF">
              <w:rPr>
                <w:rFonts w:ascii="Arial Narrow" w:hAnsi="Arial Narrow"/>
                <w:sz w:val="20"/>
              </w:rPr>
              <w:t>%</w:t>
            </w:r>
          </w:p>
        </w:tc>
        <w:tc>
          <w:tcPr>
            <w:tcW w:w="1131" w:type="dxa"/>
            <w:shd w:val="clear" w:color="auto" w:fill="auto"/>
            <w:noWrap/>
            <w:vAlign w:val="center"/>
          </w:tcPr>
          <w:p w:rsidR="001D3B12" w:rsidRPr="00CB59BF" w:rsidRDefault="009B013E" w:rsidP="00A55FC3">
            <w:pPr>
              <w:widowControl/>
              <w:jc w:val="center"/>
              <w:rPr>
                <w:rFonts w:ascii="Arial Narrow" w:hAnsi="Arial Narrow"/>
                <w:color w:val="000000"/>
                <w:sz w:val="20"/>
              </w:rPr>
            </w:pPr>
            <w:r>
              <w:rPr>
                <w:rFonts w:ascii="Arial Narrow" w:hAnsi="Arial Narrow"/>
                <w:noProof/>
                <w:color w:val="000000"/>
                <w:sz w:val="20"/>
                <w:highlight w:val="black"/>
              </w:rPr>
              <w:t>''''''</w:t>
            </w:r>
            <w:r w:rsidR="001D3B12" w:rsidRPr="00CB59BF">
              <w:rPr>
                <w:rFonts w:ascii="Arial Narrow" w:hAnsi="Arial Narrow"/>
                <w:sz w:val="20"/>
              </w:rPr>
              <w:t>%</w:t>
            </w:r>
          </w:p>
        </w:tc>
        <w:tc>
          <w:tcPr>
            <w:tcW w:w="1130" w:type="dxa"/>
            <w:shd w:val="clear" w:color="auto" w:fill="auto"/>
            <w:noWrap/>
            <w:vAlign w:val="center"/>
          </w:tcPr>
          <w:p w:rsidR="001D3B12" w:rsidRPr="00CB59BF" w:rsidRDefault="009B013E" w:rsidP="00A55FC3">
            <w:pPr>
              <w:widowControl/>
              <w:jc w:val="center"/>
              <w:rPr>
                <w:rFonts w:ascii="Arial Narrow" w:hAnsi="Arial Narrow"/>
                <w:color w:val="000000"/>
                <w:sz w:val="20"/>
              </w:rPr>
            </w:pPr>
            <w:r>
              <w:rPr>
                <w:rFonts w:ascii="Arial Narrow" w:hAnsi="Arial Narrow"/>
                <w:noProof/>
                <w:color w:val="000000"/>
                <w:sz w:val="20"/>
                <w:highlight w:val="black"/>
              </w:rPr>
              <w:t>'''''</w:t>
            </w:r>
            <w:r w:rsidR="001D3B12" w:rsidRPr="00CB59BF">
              <w:rPr>
                <w:rFonts w:ascii="Arial Narrow" w:hAnsi="Arial Narrow"/>
                <w:sz w:val="20"/>
              </w:rPr>
              <w:t>%</w:t>
            </w:r>
          </w:p>
        </w:tc>
        <w:tc>
          <w:tcPr>
            <w:tcW w:w="1131" w:type="dxa"/>
            <w:shd w:val="clear" w:color="auto" w:fill="auto"/>
            <w:noWrap/>
            <w:vAlign w:val="center"/>
          </w:tcPr>
          <w:p w:rsidR="001D3B12" w:rsidRPr="00CB59BF" w:rsidRDefault="009B013E" w:rsidP="00A55FC3">
            <w:pPr>
              <w:widowControl/>
              <w:jc w:val="center"/>
              <w:rPr>
                <w:rFonts w:ascii="Arial Narrow" w:hAnsi="Arial Narrow"/>
                <w:color w:val="000000"/>
                <w:sz w:val="20"/>
              </w:rPr>
            </w:pPr>
            <w:r>
              <w:rPr>
                <w:rFonts w:ascii="Arial Narrow" w:hAnsi="Arial Narrow"/>
                <w:noProof/>
                <w:color w:val="000000"/>
                <w:sz w:val="20"/>
                <w:highlight w:val="black"/>
              </w:rPr>
              <w:t>''''''</w:t>
            </w:r>
            <w:r w:rsidR="001D3B12" w:rsidRPr="00CB59BF">
              <w:rPr>
                <w:rFonts w:ascii="Arial Narrow" w:hAnsi="Arial Narrow"/>
                <w:sz w:val="20"/>
              </w:rPr>
              <w:t>%</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Total prescriptions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one month</w:t>
            </w:r>
          </w:p>
          <w:p w:rsidR="001D3B12" w:rsidRPr="00CB59BF" w:rsidRDefault="001D3B12" w:rsidP="00A55FC3">
            <w:pPr>
              <w:widowControl/>
              <w:jc w:val="left"/>
              <w:rPr>
                <w:rFonts w:ascii="Arial Narrow" w:hAnsi="Arial Narrow" w:cs="Times New Roman"/>
                <w:snapToGrid/>
                <w:sz w:val="20"/>
                <w:vertAlign w:val="superscript"/>
                <w:lang w:eastAsia="en-AU"/>
              </w:rPr>
            </w:pPr>
            <w:r w:rsidRPr="00CB59BF">
              <w:rPr>
                <w:rFonts w:ascii="Arial Narrow" w:hAnsi="Arial Narrow" w:cs="Times New Roman"/>
                <w:snapToGrid/>
                <w:sz w:val="20"/>
                <w:lang w:eastAsia="en-AU"/>
              </w:rPr>
              <w:t>- Paliperidone three months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Total PBS/RPBS prescriptions</w:t>
            </w:r>
          </w:p>
        </w:tc>
        <w:tc>
          <w:tcPr>
            <w:tcW w:w="1130" w:type="dxa"/>
            <w:shd w:val="clear" w:color="auto" w:fill="auto"/>
            <w:noWrap/>
            <w:vAlign w:val="center"/>
          </w:tcPr>
          <w:p w:rsidR="001D3B12" w:rsidRPr="00CB59BF" w:rsidRDefault="001D3B12" w:rsidP="00A55FC3">
            <w:pPr>
              <w:widowControl/>
              <w:jc w:val="center"/>
              <w:rPr>
                <w:rFonts w:ascii="Arial Narrow" w:hAnsi="Arial Narrow"/>
                <w:color w:val="000000"/>
                <w:sz w:val="20"/>
              </w:rPr>
            </w:pP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p w:rsidR="001D3B12"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1130" w:type="dxa"/>
            <w:shd w:val="clear" w:color="auto" w:fill="auto"/>
            <w:noWrap/>
            <w:vAlign w:val="center"/>
          </w:tcPr>
          <w:p w:rsidR="001D3B12" w:rsidRPr="00CB59BF" w:rsidRDefault="001D3B12" w:rsidP="00A55FC3">
            <w:pPr>
              <w:widowControl/>
              <w:jc w:val="center"/>
              <w:rPr>
                <w:rFonts w:ascii="Arial Narrow" w:hAnsi="Arial Narrow"/>
                <w:color w:val="000000"/>
                <w:sz w:val="20"/>
              </w:rPr>
            </w:pP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color w:val="000000"/>
                <w:sz w:val="20"/>
              </w:rPr>
            </w:pP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color w:val="000000"/>
                <w:sz w:val="20"/>
              </w:rPr>
            </w:pP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color w:val="000000"/>
                <w:sz w:val="20"/>
              </w:rPr>
            </w:pP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olor w:val="000000"/>
                <w:sz w:val="20"/>
                <w:highlight w:val="black"/>
              </w:rPr>
            </w:pPr>
            <w:r>
              <w:rPr>
                <w:rFonts w:ascii="Arial Narrow" w:hAnsi="Arial Narrow"/>
                <w:noProof/>
                <w:color w:val="000000"/>
                <w:sz w:val="20"/>
                <w:highlight w:val="black"/>
              </w:rPr>
              <w:t>'''''''''''''''''</w:t>
            </w:r>
          </w:p>
          <w:p w:rsidR="001D3B12" w:rsidRPr="009B013E" w:rsidRDefault="009B013E" w:rsidP="00A55FC3">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Cost to the PBS/RPBS (DPMQ)</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one month</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three months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Total cost to the PBS/RPBS</w:t>
            </w:r>
          </w:p>
        </w:tc>
        <w:tc>
          <w:tcPr>
            <w:tcW w:w="1130" w:type="dxa"/>
            <w:shd w:val="clear" w:color="auto" w:fill="auto"/>
            <w:noWrap/>
            <w:vAlign w:val="bottom"/>
          </w:tcPr>
          <w:p w:rsidR="001D3B12" w:rsidRPr="00CB59BF" w:rsidRDefault="001D3B12" w:rsidP="00A55FC3">
            <w:pPr>
              <w:widowControl/>
              <w:jc w:val="center"/>
              <w:rPr>
                <w:rFonts w:ascii="Arial Narrow" w:hAnsi="Arial Narrow"/>
                <w:color w:val="000000"/>
                <w:sz w:val="20"/>
              </w:rPr>
            </w:pP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bottom"/>
          </w:tcPr>
          <w:p w:rsidR="001D3B12" w:rsidRPr="00CB59BF" w:rsidRDefault="001D3B12" w:rsidP="00A55FC3">
            <w:pPr>
              <w:widowControl/>
              <w:jc w:val="center"/>
              <w:rPr>
                <w:rFonts w:ascii="Arial Narrow" w:hAnsi="Arial Narrow"/>
                <w:color w:val="000000"/>
                <w:sz w:val="20"/>
              </w:rPr>
            </w:pP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bottom"/>
          </w:tcPr>
          <w:p w:rsidR="001D3B12" w:rsidRPr="00CB59BF" w:rsidRDefault="001D3B12" w:rsidP="00A55FC3">
            <w:pPr>
              <w:widowControl/>
              <w:jc w:val="center"/>
              <w:rPr>
                <w:rFonts w:ascii="Arial Narrow" w:hAnsi="Arial Narrow"/>
                <w:color w:val="000000"/>
                <w:sz w:val="20"/>
              </w:rPr>
            </w:pP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bottom"/>
          </w:tcPr>
          <w:p w:rsidR="001D3B12" w:rsidRPr="00CB59BF" w:rsidRDefault="001D3B12" w:rsidP="00A55FC3">
            <w:pPr>
              <w:widowControl/>
              <w:jc w:val="center"/>
              <w:rPr>
                <w:rFonts w:ascii="Arial Narrow" w:hAnsi="Arial Narrow"/>
                <w:color w:val="000000"/>
                <w:sz w:val="20"/>
              </w:rPr>
            </w:pP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bottom"/>
          </w:tcPr>
          <w:p w:rsidR="001D3B12" w:rsidRPr="00CB59BF" w:rsidRDefault="001D3B12" w:rsidP="00A55FC3">
            <w:pPr>
              <w:widowControl/>
              <w:jc w:val="center"/>
              <w:rPr>
                <w:rFonts w:ascii="Arial Narrow" w:hAnsi="Arial Narrow"/>
                <w:color w:val="000000"/>
                <w:sz w:val="20"/>
              </w:rPr>
            </w:pP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9B013E"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xml:space="preserve">Total patient </w:t>
            </w:r>
            <w:r w:rsidR="00ED0913" w:rsidRPr="00CB59BF">
              <w:rPr>
                <w:rFonts w:ascii="Arial Narrow" w:hAnsi="Arial Narrow" w:cs="Times New Roman"/>
                <w:snapToGrid/>
                <w:sz w:val="20"/>
                <w:lang w:eastAsia="en-AU"/>
              </w:rPr>
              <w:t>co-payments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one month</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three months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xml:space="preserve">- Total </w:t>
            </w:r>
            <w:r w:rsidR="00ED0913" w:rsidRPr="00CB59BF">
              <w:rPr>
                <w:rFonts w:ascii="Arial Narrow" w:hAnsi="Arial Narrow" w:cs="Times New Roman"/>
                <w:snapToGrid/>
                <w:sz w:val="20"/>
                <w:lang w:eastAsia="en-AU"/>
              </w:rPr>
              <w:t>co-payments</w:t>
            </w:r>
          </w:p>
        </w:tc>
        <w:tc>
          <w:tcPr>
            <w:tcW w:w="1130"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Net cost to the PBS/RPBS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one month</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Paliperidone three months</w:t>
            </w:r>
          </w:p>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cs="Times New Roman"/>
                <w:snapToGrid/>
                <w:sz w:val="20"/>
                <w:lang w:eastAsia="en-AU"/>
              </w:rPr>
              <w:t xml:space="preserve">- Net cost PBS/RPBS </w:t>
            </w:r>
          </w:p>
        </w:tc>
        <w:tc>
          <w:tcPr>
            <w:tcW w:w="1130"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bottom"/>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p w:rsidR="001D3B12" w:rsidRPr="00CB59BF" w:rsidRDefault="001D3B12" w:rsidP="00A55FC3">
            <w:pPr>
              <w:widowControl/>
              <w:jc w:val="center"/>
              <w:rPr>
                <w:rFonts w:ascii="Arial Narrow" w:hAnsi="Arial Narrow" w:cs="Times New Roman"/>
                <w:snapToGrid/>
                <w:sz w:val="20"/>
                <w:lang w:eastAsia="en-AU"/>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8345" w:type="dxa"/>
            <w:gridSpan w:val="6"/>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b/>
                <w:color w:val="000000"/>
                <w:sz w:val="20"/>
              </w:rPr>
              <w:t>Difference in costs to the PBS (paliperidone three months listed – paliperidone three months not listed)</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sz w:val="20"/>
              </w:rPr>
              <w:t>Costs to the PBS/RPBS at DPMQ</w:t>
            </w:r>
          </w:p>
        </w:tc>
        <w:tc>
          <w:tcPr>
            <w:tcW w:w="1130"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2693" w:type="dxa"/>
            <w:shd w:val="clear" w:color="auto" w:fill="auto"/>
            <w:noWrap/>
          </w:tcPr>
          <w:p w:rsidR="001D3B12" w:rsidRPr="00CB59BF" w:rsidRDefault="001D3B12" w:rsidP="00A55FC3">
            <w:pPr>
              <w:widowControl/>
              <w:jc w:val="left"/>
              <w:rPr>
                <w:rFonts w:ascii="Arial Narrow" w:hAnsi="Arial Narrow" w:cs="Times New Roman"/>
                <w:snapToGrid/>
                <w:sz w:val="20"/>
                <w:lang w:eastAsia="en-AU"/>
              </w:rPr>
            </w:pPr>
            <w:r w:rsidRPr="00CB59BF">
              <w:rPr>
                <w:rFonts w:ascii="Arial Narrow" w:hAnsi="Arial Narrow"/>
                <w:sz w:val="20"/>
              </w:rPr>
              <w:t xml:space="preserve">Patient </w:t>
            </w:r>
            <w:r w:rsidR="00ED0913" w:rsidRPr="00CB59BF">
              <w:rPr>
                <w:rFonts w:ascii="Arial Narrow" w:hAnsi="Arial Narrow"/>
                <w:sz w:val="20"/>
              </w:rPr>
              <w:t>co-payments</w:t>
            </w:r>
          </w:p>
        </w:tc>
        <w:tc>
          <w:tcPr>
            <w:tcW w:w="1130"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sz w:val="20"/>
              </w:rPr>
            </w:pPr>
            <w:r w:rsidRPr="00CB59BF">
              <w:rPr>
                <w:rFonts w:ascii="Arial Narrow" w:hAnsi="Arial Narrow"/>
                <w:color w:val="000000"/>
                <w:sz w:val="20"/>
              </w:rPr>
              <w:t>-$</w:t>
            </w:r>
            <w:r w:rsidR="009B013E">
              <w:rPr>
                <w:rFonts w:ascii="Arial Narrow" w:hAnsi="Arial Narrow"/>
                <w:noProof/>
                <w:color w:val="000000"/>
                <w:sz w:val="20"/>
                <w:highlight w:val="black"/>
              </w:rPr>
              <w:t>'''''''''''''''''''''</w:t>
            </w:r>
          </w:p>
        </w:tc>
      </w:tr>
      <w:tr w:rsidR="001D3B12" w:rsidRPr="00CB59BF" w:rsidTr="001D3B12">
        <w:tc>
          <w:tcPr>
            <w:tcW w:w="2693" w:type="dxa"/>
            <w:shd w:val="clear" w:color="auto" w:fill="auto"/>
            <w:noWrap/>
          </w:tcPr>
          <w:p w:rsidR="001D3B12" w:rsidRPr="00CB59BF" w:rsidRDefault="001D3B12" w:rsidP="00687068">
            <w:pPr>
              <w:widowControl/>
              <w:jc w:val="left"/>
              <w:rPr>
                <w:rFonts w:ascii="Arial Narrow" w:hAnsi="Arial Narrow" w:cs="Times New Roman"/>
                <w:b/>
                <w:snapToGrid/>
                <w:sz w:val="20"/>
                <w:lang w:eastAsia="en-AU"/>
              </w:rPr>
            </w:pPr>
            <w:r w:rsidRPr="00CB59BF">
              <w:rPr>
                <w:rFonts w:ascii="Arial Narrow" w:hAnsi="Arial Narrow"/>
                <w:b/>
                <w:sz w:val="20"/>
              </w:rPr>
              <w:t>Net cost to PBS/RPBS</w:t>
            </w:r>
          </w:p>
        </w:tc>
        <w:tc>
          <w:tcPr>
            <w:tcW w:w="1130" w:type="dxa"/>
            <w:shd w:val="clear" w:color="auto" w:fill="auto"/>
            <w:noWrap/>
            <w:vAlign w:val="center"/>
          </w:tcPr>
          <w:p w:rsidR="001D3B12" w:rsidRPr="00CB59BF" w:rsidRDefault="001D3B12" w:rsidP="00A55FC3">
            <w:pPr>
              <w:widowControl/>
              <w:jc w:val="center"/>
              <w:rPr>
                <w:rFonts w:ascii="Arial Narrow" w:hAnsi="Arial Narrow"/>
                <w:b/>
                <w:sz w:val="20"/>
              </w:rPr>
            </w:pPr>
            <w:r w:rsidRPr="00CB59BF">
              <w:rPr>
                <w:rFonts w:ascii="Arial Narrow" w:hAnsi="Arial Narrow"/>
                <w:b/>
                <w:color w:val="000000"/>
                <w:sz w:val="20"/>
              </w:rPr>
              <w:t>$</w:t>
            </w:r>
            <w:r w:rsidR="009B013E">
              <w:rPr>
                <w:rFonts w:ascii="Arial Narrow" w:hAnsi="Arial Narrow"/>
                <w:b/>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b/>
                <w:sz w:val="20"/>
              </w:rPr>
            </w:pPr>
            <w:r w:rsidRPr="00CB59BF">
              <w:rPr>
                <w:rFonts w:ascii="Arial Narrow" w:hAnsi="Arial Narrow"/>
                <w:b/>
                <w:color w:val="000000"/>
                <w:sz w:val="20"/>
              </w:rPr>
              <w:t>$</w:t>
            </w:r>
            <w:r w:rsidR="009B013E">
              <w:rPr>
                <w:rFonts w:ascii="Arial Narrow" w:hAnsi="Arial Narrow"/>
                <w:b/>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b/>
                <w:sz w:val="20"/>
              </w:rPr>
            </w:pPr>
            <w:r w:rsidRPr="00CB59BF">
              <w:rPr>
                <w:rFonts w:ascii="Arial Narrow" w:hAnsi="Arial Narrow"/>
                <w:b/>
                <w:color w:val="000000"/>
                <w:sz w:val="20"/>
              </w:rPr>
              <w:t>$</w:t>
            </w:r>
            <w:r w:rsidR="009B013E">
              <w:rPr>
                <w:rFonts w:ascii="Arial Narrow" w:hAnsi="Arial Narrow"/>
                <w:b/>
                <w:noProof/>
                <w:color w:val="000000"/>
                <w:sz w:val="20"/>
                <w:highlight w:val="black"/>
              </w:rPr>
              <w:t>'''''''''''''''''''''</w:t>
            </w:r>
          </w:p>
        </w:tc>
        <w:tc>
          <w:tcPr>
            <w:tcW w:w="1130" w:type="dxa"/>
            <w:shd w:val="clear" w:color="auto" w:fill="auto"/>
            <w:noWrap/>
            <w:vAlign w:val="center"/>
          </w:tcPr>
          <w:p w:rsidR="001D3B12" w:rsidRPr="00CB59BF" w:rsidRDefault="001D3B12" w:rsidP="00A55FC3">
            <w:pPr>
              <w:widowControl/>
              <w:jc w:val="center"/>
              <w:rPr>
                <w:rFonts w:ascii="Arial Narrow" w:hAnsi="Arial Narrow"/>
                <w:b/>
                <w:sz w:val="20"/>
              </w:rPr>
            </w:pPr>
            <w:r w:rsidRPr="00CB59BF">
              <w:rPr>
                <w:rFonts w:ascii="Arial Narrow" w:hAnsi="Arial Narrow"/>
                <w:b/>
                <w:color w:val="000000"/>
                <w:sz w:val="20"/>
              </w:rPr>
              <w:t>$</w:t>
            </w:r>
            <w:r w:rsidR="009B013E">
              <w:rPr>
                <w:rFonts w:ascii="Arial Narrow" w:hAnsi="Arial Narrow"/>
                <w:b/>
                <w:noProof/>
                <w:color w:val="000000"/>
                <w:sz w:val="20"/>
                <w:highlight w:val="black"/>
              </w:rPr>
              <w:t>'''''''''''''''''''''</w:t>
            </w:r>
          </w:p>
        </w:tc>
        <w:tc>
          <w:tcPr>
            <w:tcW w:w="1131" w:type="dxa"/>
            <w:shd w:val="clear" w:color="auto" w:fill="auto"/>
            <w:noWrap/>
            <w:vAlign w:val="center"/>
          </w:tcPr>
          <w:p w:rsidR="001D3B12" w:rsidRPr="00CB59BF" w:rsidRDefault="001D3B12" w:rsidP="00A55FC3">
            <w:pPr>
              <w:widowControl/>
              <w:jc w:val="center"/>
              <w:rPr>
                <w:rFonts w:ascii="Arial Narrow" w:hAnsi="Arial Narrow"/>
                <w:b/>
                <w:sz w:val="20"/>
              </w:rPr>
            </w:pPr>
            <w:r w:rsidRPr="00CB59BF">
              <w:rPr>
                <w:rFonts w:ascii="Arial Narrow" w:hAnsi="Arial Narrow"/>
                <w:b/>
                <w:color w:val="000000"/>
                <w:sz w:val="20"/>
              </w:rPr>
              <w:t>$</w:t>
            </w:r>
            <w:r w:rsidR="009B013E">
              <w:rPr>
                <w:rFonts w:ascii="Arial Narrow" w:hAnsi="Arial Narrow"/>
                <w:b/>
                <w:noProof/>
                <w:color w:val="000000"/>
                <w:sz w:val="20"/>
                <w:highlight w:val="black"/>
              </w:rPr>
              <w:t>''''''''''''''''''''</w:t>
            </w:r>
          </w:p>
        </w:tc>
      </w:tr>
    </w:tbl>
    <w:p w:rsidR="00687068" w:rsidRPr="00CB59BF" w:rsidRDefault="00687068" w:rsidP="00687068">
      <w:pPr>
        <w:ind w:firstLine="720"/>
        <w:rPr>
          <w:rFonts w:ascii="Arial Narrow" w:hAnsi="Arial Narrow"/>
          <w:sz w:val="18"/>
        </w:rPr>
      </w:pPr>
      <w:r w:rsidRPr="00CB59BF">
        <w:rPr>
          <w:rFonts w:ascii="Arial Narrow" w:hAnsi="Arial Narrow"/>
          <w:sz w:val="18"/>
        </w:rPr>
        <w:t>Source: compiled duri</w:t>
      </w:r>
      <w:r w:rsidR="008D4E9C">
        <w:rPr>
          <w:rFonts w:ascii="Arial Narrow" w:hAnsi="Arial Narrow"/>
          <w:sz w:val="18"/>
        </w:rPr>
        <w:t>ng the evaluation using ‘</w:t>
      </w:r>
      <w:proofErr w:type="spellStart"/>
      <w:r w:rsidR="008D4E9C">
        <w:rPr>
          <w:rFonts w:ascii="Arial Narrow" w:hAnsi="Arial Narrow"/>
          <w:sz w:val="18"/>
        </w:rPr>
        <w:t>Invega</w:t>
      </w:r>
      <w:proofErr w:type="spellEnd"/>
      <w:r w:rsidR="000E14C5">
        <w:rPr>
          <w:rFonts w:ascii="Arial Narrow" w:hAnsi="Arial Narrow"/>
          <w:sz w:val="18"/>
        </w:rPr>
        <w:t xml:space="preserve"> </w:t>
      </w:r>
      <w:proofErr w:type="spellStart"/>
      <w:r w:rsidRPr="00CB59BF">
        <w:rPr>
          <w:rFonts w:ascii="Arial Narrow" w:hAnsi="Arial Narrow"/>
          <w:sz w:val="18"/>
        </w:rPr>
        <w:t>Trinza</w:t>
      </w:r>
      <w:proofErr w:type="spellEnd"/>
      <w:r w:rsidRPr="00CB59BF">
        <w:rPr>
          <w:rFonts w:ascii="Arial Narrow" w:hAnsi="Arial Narrow"/>
          <w:sz w:val="18"/>
        </w:rPr>
        <w:t xml:space="preserve"> financial implications’ spreadsheet provided with the submission</w:t>
      </w:r>
    </w:p>
    <w:p w:rsidR="00687068" w:rsidRPr="00CB59BF" w:rsidRDefault="00687068" w:rsidP="00687068">
      <w:pPr>
        <w:ind w:firstLine="720"/>
        <w:rPr>
          <w:rFonts w:ascii="Arial Narrow" w:hAnsi="Arial Narrow"/>
          <w:sz w:val="18"/>
        </w:rPr>
      </w:pPr>
      <w:r w:rsidRPr="00CB59BF">
        <w:rPr>
          <w:rFonts w:ascii="Arial Narrow" w:hAnsi="Arial Narrow"/>
          <w:sz w:val="18"/>
        </w:rPr>
        <w:t xml:space="preserve">Abbreviations: </w:t>
      </w:r>
    </w:p>
    <w:p w:rsidR="00687068" w:rsidRPr="00CB59BF" w:rsidRDefault="00687068" w:rsidP="00687068">
      <w:pPr>
        <w:ind w:left="720"/>
        <w:rPr>
          <w:rFonts w:ascii="Arial Narrow" w:hAnsi="Arial Narrow"/>
          <w:sz w:val="18"/>
        </w:rPr>
      </w:pPr>
      <w:proofErr w:type="gramStart"/>
      <w:r w:rsidRPr="00CB59BF">
        <w:rPr>
          <w:rFonts w:ascii="Arial Narrow" w:hAnsi="Arial Narrow"/>
          <w:sz w:val="18"/>
          <w:vertAlign w:val="superscript"/>
        </w:rPr>
        <w:t>a</w:t>
      </w:r>
      <w:proofErr w:type="gramEnd"/>
      <w:r w:rsidRPr="00CB59BF">
        <w:rPr>
          <w:rFonts w:ascii="Arial Narrow" w:hAnsi="Arial Narrow"/>
          <w:sz w:val="18"/>
          <w:vertAlign w:val="superscript"/>
        </w:rPr>
        <w:t xml:space="preserve"> </w:t>
      </w:r>
      <w:r w:rsidRPr="00CB59BF">
        <w:rPr>
          <w:rFonts w:ascii="Arial Narrow" w:hAnsi="Arial Narrow"/>
          <w:sz w:val="18"/>
        </w:rPr>
        <w:t xml:space="preserve">Weighted average patient </w:t>
      </w:r>
      <w:r w:rsidR="00ED0913" w:rsidRPr="00CB59BF">
        <w:rPr>
          <w:rFonts w:ascii="Arial Narrow" w:hAnsi="Arial Narrow"/>
          <w:sz w:val="18"/>
        </w:rPr>
        <w:t>co-payment</w:t>
      </w:r>
      <w:r w:rsidRPr="00CB59BF">
        <w:rPr>
          <w:rFonts w:ascii="Arial Narrow" w:hAnsi="Arial Narrow"/>
          <w:sz w:val="18"/>
        </w:rPr>
        <w:t xml:space="preserve"> calculated in </w:t>
      </w:r>
      <w:r w:rsidR="009828EF" w:rsidRPr="00CB59BF">
        <w:rPr>
          <w:rFonts w:ascii="Arial Narrow" w:hAnsi="Arial Narrow"/>
          <w:sz w:val="18"/>
        </w:rPr>
        <w:t>the commentary</w:t>
      </w:r>
      <w:r w:rsidRPr="00CB59BF">
        <w:rPr>
          <w:rFonts w:ascii="Arial Narrow" w:hAnsi="Arial Narrow"/>
          <w:sz w:val="18"/>
        </w:rPr>
        <w:t xml:space="preserve"> used to determine estimate</w:t>
      </w:r>
      <w:r w:rsidR="006550D2" w:rsidRPr="00CB59BF">
        <w:rPr>
          <w:rFonts w:ascii="Arial Narrow" w:hAnsi="Arial Narrow"/>
          <w:sz w:val="18"/>
        </w:rPr>
        <w:t xml:space="preserve"> of total patient </w:t>
      </w:r>
      <w:r w:rsidR="00ED0913" w:rsidRPr="00CB59BF">
        <w:rPr>
          <w:rFonts w:ascii="Arial Narrow" w:hAnsi="Arial Narrow"/>
          <w:sz w:val="18"/>
        </w:rPr>
        <w:t>co-payments</w:t>
      </w:r>
      <w:r w:rsidR="006550D2" w:rsidRPr="00CB59BF">
        <w:rPr>
          <w:rFonts w:ascii="Arial Narrow" w:hAnsi="Arial Narrow"/>
          <w:sz w:val="18"/>
        </w:rPr>
        <w:t xml:space="preserve"> </w:t>
      </w:r>
    </w:p>
    <w:p w:rsidR="00C25D9C" w:rsidRPr="00CB59BF" w:rsidRDefault="00C25D9C" w:rsidP="00C25D9C">
      <w:pPr>
        <w:widowControl/>
        <w:rPr>
          <w:szCs w:val="22"/>
        </w:rPr>
      </w:pPr>
    </w:p>
    <w:p w:rsidR="00AB083D" w:rsidRPr="002B64CA" w:rsidRDefault="00653CDA" w:rsidP="000B4DA5">
      <w:pPr>
        <w:pStyle w:val="ListParagraph"/>
        <w:widowControl/>
        <w:numPr>
          <w:ilvl w:val="1"/>
          <w:numId w:val="6"/>
        </w:numPr>
      </w:pPr>
      <w:r>
        <w:t>The Pre-PBAC</w:t>
      </w:r>
      <w:r w:rsidR="000E14C5">
        <w:t xml:space="preserve"> response</w:t>
      </w:r>
      <w:r>
        <w:t xml:space="preserve"> included an update</w:t>
      </w:r>
      <w:r w:rsidR="002B64CA">
        <w:t>d</w:t>
      </w:r>
      <w:r>
        <w:t xml:space="preserve"> </w:t>
      </w:r>
      <w:r w:rsidR="000B4DA5">
        <w:t xml:space="preserve">estimate of </w:t>
      </w:r>
      <w:r>
        <w:t>net financial cost to government</w:t>
      </w:r>
      <w:r w:rsidR="000B4DA5">
        <w:t xml:space="preserve"> based on the proposed prices in the Pre-PBAC response (</w:t>
      </w:r>
      <w:r>
        <w:t>table 7</w:t>
      </w:r>
      <w:r w:rsidR="000B4DA5">
        <w:t>).</w:t>
      </w:r>
      <w:r>
        <w:t xml:space="preserve"> </w:t>
      </w:r>
      <w:r w:rsidR="004564B5">
        <w:t xml:space="preserve">The redacted table below shows that the </w:t>
      </w:r>
      <w:r w:rsidR="0052526C">
        <w:t>net cost to the PBS would be less than $10 million per year.</w:t>
      </w:r>
      <w:r>
        <w:t xml:space="preserve"> The PBAC noted that these</w:t>
      </w:r>
      <w:r w:rsidR="000B4DA5">
        <w:t xml:space="preserve"> estimates</w:t>
      </w:r>
      <w:r>
        <w:t xml:space="preserve"> had not been </w:t>
      </w:r>
      <w:r w:rsidR="00B728DA">
        <w:t>verified</w:t>
      </w:r>
      <w:r w:rsidR="00AB083D">
        <w:t>.</w:t>
      </w:r>
    </w:p>
    <w:p w:rsidR="00AB083D" w:rsidRPr="000E14C5" w:rsidRDefault="00AB083D" w:rsidP="000E14C5">
      <w:pPr>
        <w:widowControl/>
        <w:jc w:val="left"/>
        <w:rPr>
          <w:b/>
          <w:snapToGrid/>
          <w:sz w:val="20"/>
          <w:szCs w:val="24"/>
        </w:rPr>
      </w:pPr>
    </w:p>
    <w:p w:rsidR="000E14C5" w:rsidRDefault="000E14C5" w:rsidP="000E14C5">
      <w:pPr>
        <w:pStyle w:val="Caption"/>
        <w:keepNext/>
        <w:ind w:firstLine="720"/>
      </w:pPr>
      <w:r>
        <w:t xml:space="preserve">Table </w:t>
      </w:r>
      <w:r w:rsidR="00894A87">
        <w:rPr>
          <w:noProof/>
        </w:rPr>
        <w:t>7</w:t>
      </w:r>
      <w:r w:rsidR="00360A34">
        <w:t>:</w:t>
      </w:r>
      <w:r w:rsidR="00360A34" w:rsidRPr="00582A7A">
        <w:t xml:space="preserve"> Updated</w:t>
      </w:r>
      <w:r w:rsidRPr="00582A7A">
        <w:t xml:space="preserve"> net financial implications to the Government health budgets</w:t>
      </w:r>
    </w:p>
    <w:tbl>
      <w:tblPr>
        <w:tblStyle w:val="TableGrid"/>
        <w:tblW w:w="0" w:type="auto"/>
        <w:tblInd w:w="817" w:type="dxa"/>
        <w:tblLook w:val="04A0" w:firstRow="1" w:lastRow="0" w:firstColumn="1" w:lastColumn="0" w:noHBand="0" w:noVBand="1"/>
        <w:tblCaption w:val="Updated net financial implications to Government health budgets"/>
      </w:tblPr>
      <w:tblGrid>
        <w:gridCol w:w="2194"/>
        <w:gridCol w:w="1233"/>
        <w:gridCol w:w="1234"/>
        <w:gridCol w:w="1234"/>
        <w:gridCol w:w="1234"/>
        <w:gridCol w:w="1234"/>
      </w:tblGrid>
      <w:tr w:rsidR="00AB083D" w:rsidRPr="00AB083D" w:rsidTr="00DC0E3F">
        <w:trPr>
          <w:tblHeader/>
        </w:trPr>
        <w:tc>
          <w:tcPr>
            <w:tcW w:w="0" w:type="auto"/>
          </w:tcPr>
          <w:p w:rsidR="00AB083D" w:rsidRPr="00AB083D" w:rsidRDefault="00AB083D" w:rsidP="00B9098D">
            <w:pPr>
              <w:pStyle w:val="Default"/>
              <w:spacing w:after="60"/>
              <w:jc w:val="both"/>
              <w:rPr>
                <w:rFonts w:ascii="Arial Narrow" w:hAnsi="Arial Narrow"/>
                <w:iCs/>
                <w:sz w:val="20"/>
                <w:szCs w:val="20"/>
              </w:rPr>
            </w:pPr>
          </w:p>
        </w:tc>
        <w:tc>
          <w:tcPr>
            <w:tcW w:w="1233" w:type="dxa"/>
          </w:tcPr>
          <w:p w:rsidR="00AB083D" w:rsidRPr="00AB083D" w:rsidRDefault="00AB083D" w:rsidP="00B9098D">
            <w:pPr>
              <w:pStyle w:val="Default"/>
              <w:spacing w:after="60"/>
              <w:jc w:val="center"/>
              <w:rPr>
                <w:rFonts w:ascii="Arial Narrow" w:hAnsi="Arial Narrow"/>
                <w:b/>
                <w:iCs/>
                <w:sz w:val="20"/>
                <w:szCs w:val="20"/>
              </w:rPr>
            </w:pPr>
            <w:r w:rsidRPr="00AB083D">
              <w:rPr>
                <w:rFonts w:ascii="Arial Narrow" w:hAnsi="Arial Narrow"/>
                <w:b/>
                <w:iCs/>
                <w:sz w:val="20"/>
                <w:szCs w:val="20"/>
              </w:rPr>
              <w:t>Year 1</w:t>
            </w:r>
          </w:p>
        </w:tc>
        <w:tc>
          <w:tcPr>
            <w:tcW w:w="1234" w:type="dxa"/>
          </w:tcPr>
          <w:p w:rsidR="00AB083D" w:rsidRPr="00AB083D" w:rsidRDefault="00AB083D" w:rsidP="00B9098D">
            <w:pPr>
              <w:pStyle w:val="Default"/>
              <w:spacing w:after="60"/>
              <w:jc w:val="center"/>
              <w:rPr>
                <w:rFonts w:ascii="Arial Narrow" w:hAnsi="Arial Narrow"/>
                <w:b/>
                <w:iCs/>
                <w:sz w:val="20"/>
                <w:szCs w:val="20"/>
              </w:rPr>
            </w:pPr>
            <w:r w:rsidRPr="00AB083D">
              <w:rPr>
                <w:rFonts w:ascii="Arial Narrow" w:hAnsi="Arial Narrow"/>
                <w:b/>
                <w:iCs/>
                <w:sz w:val="20"/>
                <w:szCs w:val="20"/>
              </w:rPr>
              <w:t>Year 2</w:t>
            </w:r>
          </w:p>
        </w:tc>
        <w:tc>
          <w:tcPr>
            <w:tcW w:w="1234" w:type="dxa"/>
          </w:tcPr>
          <w:p w:rsidR="00AB083D" w:rsidRPr="00AB083D" w:rsidRDefault="00AB083D" w:rsidP="00B9098D">
            <w:pPr>
              <w:pStyle w:val="Default"/>
              <w:spacing w:after="60"/>
              <w:jc w:val="center"/>
              <w:rPr>
                <w:rFonts w:ascii="Arial Narrow" w:hAnsi="Arial Narrow"/>
                <w:b/>
                <w:iCs/>
                <w:sz w:val="20"/>
                <w:szCs w:val="20"/>
              </w:rPr>
            </w:pPr>
            <w:r w:rsidRPr="00AB083D">
              <w:rPr>
                <w:rFonts w:ascii="Arial Narrow" w:hAnsi="Arial Narrow"/>
                <w:b/>
                <w:iCs/>
                <w:sz w:val="20"/>
                <w:szCs w:val="20"/>
              </w:rPr>
              <w:t>Year 3</w:t>
            </w:r>
          </w:p>
        </w:tc>
        <w:tc>
          <w:tcPr>
            <w:tcW w:w="1234" w:type="dxa"/>
          </w:tcPr>
          <w:p w:rsidR="00AB083D" w:rsidRPr="00AB083D" w:rsidRDefault="00AB083D" w:rsidP="00B9098D">
            <w:pPr>
              <w:pStyle w:val="Default"/>
              <w:spacing w:after="60"/>
              <w:jc w:val="center"/>
              <w:rPr>
                <w:rFonts w:ascii="Arial Narrow" w:hAnsi="Arial Narrow"/>
                <w:b/>
                <w:iCs/>
                <w:sz w:val="20"/>
                <w:szCs w:val="20"/>
              </w:rPr>
            </w:pPr>
            <w:r w:rsidRPr="00AB083D">
              <w:rPr>
                <w:rFonts w:ascii="Arial Narrow" w:hAnsi="Arial Narrow"/>
                <w:b/>
                <w:iCs/>
                <w:sz w:val="20"/>
                <w:szCs w:val="20"/>
              </w:rPr>
              <w:t>Year 4</w:t>
            </w:r>
          </w:p>
        </w:tc>
        <w:tc>
          <w:tcPr>
            <w:tcW w:w="1234" w:type="dxa"/>
          </w:tcPr>
          <w:p w:rsidR="00AB083D" w:rsidRPr="00AB083D" w:rsidRDefault="00AB083D" w:rsidP="00B9098D">
            <w:pPr>
              <w:pStyle w:val="Default"/>
              <w:spacing w:after="60"/>
              <w:jc w:val="center"/>
              <w:rPr>
                <w:rFonts w:ascii="Arial Narrow" w:hAnsi="Arial Narrow"/>
                <w:b/>
                <w:iCs/>
                <w:sz w:val="20"/>
                <w:szCs w:val="20"/>
              </w:rPr>
            </w:pPr>
            <w:r w:rsidRPr="00AB083D">
              <w:rPr>
                <w:rFonts w:ascii="Arial Narrow" w:hAnsi="Arial Narrow"/>
                <w:b/>
                <w:iCs/>
                <w:sz w:val="20"/>
                <w:szCs w:val="20"/>
              </w:rPr>
              <w:t>Year 5</w:t>
            </w:r>
          </w:p>
        </w:tc>
      </w:tr>
      <w:tr w:rsidR="00AB083D" w:rsidRPr="00AB083D" w:rsidTr="00DC0E3F">
        <w:trPr>
          <w:tblHeader/>
        </w:trPr>
        <w:tc>
          <w:tcPr>
            <w:tcW w:w="0" w:type="auto"/>
          </w:tcPr>
          <w:p w:rsidR="00AB083D" w:rsidRPr="00AB083D" w:rsidRDefault="00AB083D" w:rsidP="00B9098D">
            <w:pPr>
              <w:pStyle w:val="Default"/>
              <w:spacing w:after="60"/>
              <w:jc w:val="both"/>
              <w:rPr>
                <w:rFonts w:ascii="Arial Narrow" w:hAnsi="Arial Narrow"/>
                <w:b/>
                <w:iCs/>
                <w:sz w:val="20"/>
                <w:szCs w:val="20"/>
              </w:rPr>
            </w:pPr>
            <w:r w:rsidRPr="00AB083D">
              <w:rPr>
                <w:rFonts w:ascii="Arial Narrow" w:hAnsi="Arial Narrow"/>
                <w:b/>
                <w:iCs/>
                <w:sz w:val="20"/>
                <w:szCs w:val="20"/>
              </w:rPr>
              <w:t>Net cost to PBS</w:t>
            </w:r>
          </w:p>
        </w:tc>
        <w:tc>
          <w:tcPr>
            <w:tcW w:w="1233"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r>
      <w:tr w:rsidR="00AB083D" w:rsidRPr="00AB083D" w:rsidTr="00DC0E3F">
        <w:trPr>
          <w:tblHeader/>
        </w:trPr>
        <w:tc>
          <w:tcPr>
            <w:tcW w:w="0" w:type="auto"/>
          </w:tcPr>
          <w:p w:rsidR="00AB083D" w:rsidRPr="00AB083D" w:rsidRDefault="00AB083D" w:rsidP="00B9098D">
            <w:pPr>
              <w:pStyle w:val="Default"/>
              <w:spacing w:after="60"/>
              <w:jc w:val="both"/>
              <w:rPr>
                <w:rFonts w:ascii="Arial Narrow" w:hAnsi="Arial Narrow"/>
                <w:b/>
                <w:iCs/>
                <w:sz w:val="20"/>
                <w:szCs w:val="20"/>
              </w:rPr>
            </w:pPr>
            <w:r w:rsidRPr="00AB083D">
              <w:rPr>
                <w:rFonts w:ascii="Arial Narrow" w:hAnsi="Arial Narrow"/>
                <w:b/>
                <w:iCs/>
                <w:sz w:val="20"/>
                <w:szCs w:val="20"/>
              </w:rPr>
              <w:t>Net cost to RPBS</w:t>
            </w:r>
          </w:p>
        </w:tc>
        <w:tc>
          <w:tcPr>
            <w:tcW w:w="1233"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r>
      <w:tr w:rsidR="00AB083D" w:rsidRPr="00AB083D" w:rsidTr="00DC0E3F">
        <w:trPr>
          <w:tblHeader/>
        </w:trPr>
        <w:tc>
          <w:tcPr>
            <w:tcW w:w="0" w:type="auto"/>
          </w:tcPr>
          <w:p w:rsidR="00AB083D" w:rsidRPr="00AB083D" w:rsidRDefault="00AB083D" w:rsidP="00B9098D">
            <w:pPr>
              <w:pStyle w:val="Default"/>
              <w:spacing w:after="60"/>
              <w:jc w:val="both"/>
              <w:rPr>
                <w:rFonts w:ascii="Arial Narrow" w:hAnsi="Arial Narrow"/>
                <w:b/>
                <w:iCs/>
                <w:sz w:val="20"/>
                <w:szCs w:val="20"/>
              </w:rPr>
            </w:pPr>
            <w:r w:rsidRPr="00AB083D">
              <w:rPr>
                <w:rFonts w:ascii="Arial Narrow" w:hAnsi="Arial Narrow"/>
                <w:b/>
                <w:iCs/>
                <w:sz w:val="20"/>
                <w:szCs w:val="20"/>
              </w:rPr>
              <w:t>Net cost to the MBS</w:t>
            </w:r>
          </w:p>
        </w:tc>
        <w:tc>
          <w:tcPr>
            <w:tcW w:w="1233"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r>
      <w:tr w:rsidR="00AB083D" w:rsidRPr="00AB083D" w:rsidTr="00DC0E3F">
        <w:trPr>
          <w:tblHeader/>
        </w:trPr>
        <w:tc>
          <w:tcPr>
            <w:tcW w:w="0" w:type="auto"/>
          </w:tcPr>
          <w:p w:rsidR="00AB083D" w:rsidRPr="00AB083D" w:rsidRDefault="00AB083D" w:rsidP="00B9098D">
            <w:pPr>
              <w:pStyle w:val="Default"/>
              <w:spacing w:after="60"/>
              <w:jc w:val="both"/>
              <w:rPr>
                <w:rFonts w:ascii="Arial Narrow" w:hAnsi="Arial Narrow"/>
                <w:b/>
                <w:iCs/>
                <w:sz w:val="20"/>
                <w:szCs w:val="20"/>
              </w:rPr>
            </w:pPr>
            <w:r w:rsidRPr="00AB083D">
              <w:rPr>
                <w:rFonts w:ascii="Arial Narrow" w:hAnsi="Arial Narrow"/>
                <w:b/>
                <w:iCs/>
                <w:sz w:val="20"/>
                <w:szCs w:val="20"/>
              </w:rPr>
              <w:t>Net financial implications</w:t>
            </w:r>
          </w:p>
        </w:tc>
        <w:tc>
          <w:tcPr>
            <w:tcW w:w="1233"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c>
          <w:tcPr>
            <w:tcW w:w="1234" w:type="dxa"/>
            <w:vAlign w:val="bottom"/>
          </w:tcPr>
          <w:p w:rsidR="00AB083D" w:rsidRPr="00AB083D" w:rsidRDefault="00AB083D" w:rsidP="00B9098D">
            <w:pPr>
              <w:jc w:val="center"/>
              <w:rPr>
                <w:rFonts w:ascii="Arial Narrow" w:hAnsi="Arial Narrow"/>
                <w:color w:val="000000"/>
                <w:sz w:val="20"/>
              </w:rPr>
            </w:pPr>
            <w:r w:rsidRPr="00AB083D">
              <w:rPr>
                <w:rFonts w:ascii="Arial Narrow" w:hAnsi="Arial Narrow"/>
                <w:color w:val="000000"/>
                <w:sz w:val="20"/>
              </w:rPr>
              <w:t>$</w:t>
            </w:r>
            <w:r w:rsidR="009B013E">
              <w:rPr>
                <w:rFonts w:ascii="Arial Narrow" w:hAnsi="Arial Narrow"/>
                <w:noProof/>
                <w:color w:val="000000"/>
                <w:sz w:val="20"/>
                <w:highlight w:val="black"/>
              </w:rPr>
              <w:t>'''''''''''''''''''</w:t>
            </w:r>
          </w:p>
        </w:tc>
      </w:tr>
    </w:tbl>
    <w:p w:rsidR="00AB083D" w:rsidRPr="000E14C5" w:rsidRDefault="00AB083D" w:rsidP="000E14C5">
      <w:pPr>
        <w:pStyle w:val="TableFigureFootnote"/>
        <w:ind w:left="720"/>
        <w:rPr>
          <w:rFonts w:ascii="Arial Narrow" w:hAnsi="Arial Narrow"/>
          <w:sz w:val="18"/>
          <w:szCs w:val="18"/>
        </w:rPr>
      </w:pPr>
      <w:r w:rsidRPr="000E14C5">
        <w:rPr>
          <w:rFonts w:ascii="Arial Narrow" w:hAnsi="Arial Narrow"/>
          <w:sz w:val="18"/>
          <w:szCs w:val="18"/>
        </w:rPr>
        <w:t>PBS = Pharmaceutical Benefits Scheme; RPBS = Repatriation Pharmaceutical Benefits Scheme; MBS = Medicare Benefits Scheme.</w:t>
      </w:r>
    </w:p>
    <w:p w:rsidR="00AB083D" w:rsidRPr="00AB083D" w:rsidRDefault="00AB083D" w:rsidP="00AB083D">
      <w:pPr>
        <w:pStyle w:val="ListParagraph"/>
        <w:widowControl/>
        <w:rPr>
          <w:szCs w:val="22"/>
        </w:rPr>
      </w:pPr>
    </w:p>
    <w:p w:rsidR="00C25D9C" w:rsidRPr="00CB59BF" w:rsidRDefault="00653CDA" w:rsidP="009026B4">
      <w:pPr>
        <w:pStyle w:val="ListParagraph"/>
        <w:widowControl/>
        <w:numPr>
          <w:ilvl w:val="1"/>
          <w:numId w:val="6"/>
        </w:numPr>
        <w:rPr>
          <w:szCs w:val="22"/>
        </w:rPr>
      </w:pPr>
      <w:r>
        <w:t xml:space="preserve"> </w:t>
      </w:r>
      <w:r w:rsidR="0025376A" w:rsidRPr="00CB59BF">
        <w:t xml:space="preserve">The additional </w:t>
      </w:r>
      <w:r w:rsidR="00B728DA">
        <w:t xml:space="preserve">PBS/RPBS </w:t>
      </w:r>
      <w:r w:rsidR="0025376A" w:rsidRPr="00CB59BF">
        <w:t xml:space="preserve">cost for </w:t>
      </w:r>
      <w:r w:rsidR="008042A1">
        <w:t>PP3M</w:t>
      </w:r>
      <w:r w:rsidR="0025376A" w:rsidRPr="00CB59BF">
        <w:t xml:space="preserve"> LAI </w:t>
      </w:r>
      <w:r w:rsidR="00375D53">
        <w:t xml:space="preserve">in table </w:t>
      </w:r>
      <w:r>
        <w:t xml:space="preserve">6 </w:t>
      </w:r>
      <w:r w:rsidR="0025376A" w:rsidRPr="00CB59BF">
        <w:t>is due to the inclusion of a cost offset for savings to the MBS resulting from reduced cost of administration for the three month compared to the one month LAI. The submission claim</w:t>
      </w:r>
      <w:r w:rsidR="001933B8" w:rsidRPr="00CB59BF">
        <w:t>ed</w:t>
      </w:r>
      <w:r w:rsidR="0025376A" w:rsidRPr="00CB59BF">
        <w:t xml:space="preserve"> the overall cost to government will be neutral, with additional costs to the PBS offset by an equivalent saving to the MBS as a result of less frequent drug administrations.</w:t>
      </w:r>
      <w:r w:rsidR="005E6139">
        <w:t xml:space="preserve"> The PBAC noted a slight cost to Government in the revised financial estimates in the Pre-PBAC response.</w:t>
      </w:r>
    </w:p>
    <w:p w:rsidR="0025376A" w:rsidRPr="00CB59BF" w:rsidRDefault="0025376A" w:rsidP="0025376A">
      <w:pPr>
        <w:pStyle w:val="ListParagraph"/>
        <w:widowControl/>
        <w:rPr>
          <w:szCs w:val="22"/>
        </w:rPr>
      </w:pPr>
    </w:p>
    <w:p w:rsidR="0025376A" w:rsidRPr="00CB59BF" w:rsidRDefault="0025376A" w:rsidP="009026B4">
      <w:pPr>
        <w:pStyle w:val="ListParagraph"/>
        <w:widowControl/>
        <w:numPr>
          <w:ilvl w:val="1"/>
          <w:numId w:val="6"/>
        </w:numPr>
        <w:rPr>
          <w:szCs w:val="22"/>
        </w:rPr>
      </w:pPr>
      <w:r w:rsidRPr="00CB59BF">
        <w:rPr>
          <w:szCs w:val="22"/>
        </w:rPr>
        <w:t>The submission</w:t>
      </w:r>
      <w:r w:rsidR="0001304A" w:rsidRPr="00CB59BF">
        <w:rPr>
          <w:szCs w:val="22"/>
        </w:rPr>
        <w:t>’</w:t>
      </w:r>
      <w:r w:rsidRPr="00CB59BF">
        <w:rPr>
          <w:szCs w:val="22"/>
        </w:rPr>
        <w:t xml:space="preserve">s </w:t>
      </w:r>
      <w:r w:rsidR="005E6139">
        <w:rPr>
          <w:szCs w:val="22"/>
        </w:rPr>
        <w:t xml:space="preserve">original </w:t>
      </w:r>
      <w:r w:rsidRPr="00CB59BF">
        <w:rPr>
          <w:szCs w:val="22"/>
        </w:rPr>
        <w:t xml:space="preserve">estimates of the costs to Government health budgets </w:t>
      </w:r>
      <w:r w:rsidR="00236A04" w:rsidRPr="00CB59BF">
        <w:rPr>
          <w:szCs w:val="22"/>
        </w:rPr>
        <w:t>may</w:t>
      </w:r>
      <w:r w:rsidRPr="00CB59BF">
        <w:rPr>
          <w:szCs w:val="22"/>
        </w:rPr>
        <w:t xml:space="preserve"> be underestimated because:</w:t>
      </w:r>
    </w:p>
    <w:p w:rsidR="0025376A" w:rsidRPr="00CB59BF" w:rsidRDefault="00687068" w:rsidP="0025376A">
      <w:pPr>
        <w:pStyle w:val="ListParagraph"/>
        <w:numPr>
          <w:ilvl w:val="0"/>
          <w:numId w:val="12"/>
        </w:numPr>
      </w:pPr>
      <w:r w:rsidRPr="00CB59BF">
        <w:rPr>
          <w:iCs/>
        </w:rPr>
        <w:t xml:space="preserve">Estimated savings derived from avoided GP visits </w:t>
      </w:r>
      <w:r w:rsidR="00F83F49">
        <w:rPr>
          <w:iCs/>
        </w:rPr>
        <w:t>may</w:t>
      </w:r>
      <w:r w:rsidR="00F83F49" w:rsidRPr="00CB59BF">
        <w:rPr>
          <w:iCs/>
        </w:rPr>
        <w:t xml:space="preserve"> </w:t>
      </w:r>
      <w:r w:rsidRPr="00CB59BF">
        <w:rPr>
          <w:iCs/>
        </w:rPr>
        <w:t>not</w:t>
      </w:r>
      <w:r w:rsidR="00F83F49">
        <w:rPr>
          <w:iCs/>
        </w:rPr>
        <w:t xml:space="preserve"> be</w:t>
      </w:r>
      <w:r w:rsidRPr="00CB59BF">
        <w:rPr>
          <w:iCs/>
        </w:rPr>
        <w:t xml:space="preserve"> realised in clinical practice</w:t>
      </w:r>
      <w:r w:rsidR="001933B8" w:rsidRPr="00CB59BF">
        <w:rPr>
          <w:iCs/>
        </w:rPr>
        <w:t>.</w:t>
      </w:r>
      <w:r w:rsidR="005E6139">
        <w:rPr>
          <w:iCs/>
        </w:rPr>
        <w:t xml:space="preserve"> The PBAC noted that this was removed from the proposal in t</w:t>
      </w:r>
      <w:r w:rsidR="000E14C5">
        <w:rPr>
          <w:iCs/>
        </w:rPr>
        <w:t>he Pre-</w:t>
      </w:r>
      <w:r w:rsidR="005E6139">
        <w:rPr>
          <w:iCs/>
        </w:rPr>
        <w:t>PBAC response.</w:t>
      </w:r>
    </w:p>
    <w:p w:rsidR="0025376A" w:rsidRPr="00CB59BF" w:rsidRDefault="00687068" w:rsidP="001933B8">
      <w:pPr>
        <w:pStyle w:val="ListParagraph"/>
        <w:numPr>
          <w:ilvl w:val="0"/>
          <w:numId w:val="12"/>
        </w:numPr>
      </w:pPr>
      <w:r w:rsidRPr="00CB59BF">
        <w:t>N</w:t>
      </w:r>
      <w:r w:rsidR="0025376A" w:rsidRPr="00CB59BF">
        <w:t xml:space="preserve">o allowance was made for patients switching from other oral or injectable antipsychotics to </w:t>
      </w:r>
      <w:r w:rsidR="008042A1">
        <w:t>PP3M</w:t>
      </w:r>
      <w:r w:rsidR="0025376A" w:rsidRPr="00CB59BF">
        <w:t xml:space="preserve"> LAI via </w:t>
      </w:r>
      <w:r w:rsidR="008042A1">
        <w:t>PP1M</w:t>
      </w:r>
      <w:r w:rsidR="0025376A" w:rsidRPr="00CB59BF">
        <w:t xml:space="preserve"> LAI</w:t>
      </w:r>
      <w:r w:rsidR="0001304A" w:rsidRPr="00CB59BF">
        <w:t xml:space="preserve"> (</w:t>
      </w:r>
      <w:r w:rsidR="0025376A" w:rsidRPr="00CB59BF">
        <w:t>if prescribers feel their patient would be better managed using a three month LAI</w:t>
      </w:r>
      <w:r w:rsidR="0001304A" w:rsidRPr="00CB59BF">
        <w:t>)</w:t>
      </w:r>
      <w:r w:rsidR="0025376A" w:rsidRPr="00CB59BF">
        <w:t>.</w:t>
      </w:r>
      <w:r w:rsidR="001933B8" w:rsidRPr="00CB59BF">
        <w:t xml:space="preserve"> Therefore, </w:t>
      </w:r>
      <w:r w:rsidR="0001304A" w:rsidRPr="00CB59BF">
        <w:t xml:space="preserve">the availability of </w:t>
      </w:r>
      <w:r w:rsidR="008042A1">
        <w:t>PP3M</w:t>
      </w:r>
      <w:r w:rsidR="0001304A" w:rsidRPr="00CB59BF">
        <w:t xml:space="preserve"> LAI may grow </w:t>
      </w:r>
      <w:r w:rsidR="001933B8" w:rsidRPr="00CB59BF">
        <w:t>the paliperidone LAI market</w:t>
      </w:r>
      <w:r w:rsidR="0001304A" w:rsidRPr="00CB59BF">
        <w:t>.</w:t>
      </w:r>
    </w:p>
    <w:p w:rsidR="00576972" w:rsidRPr="00CB59BF" w:rsidRDefault="00576972" w:rsidP="00576972">
      <w:pPr>
        <w:widowControl/>
        <w:rPr>
          <w:szCs w:val="22"/>
        </w:rPr>
      </w:pPr>
    </w:p>
    <w:p w:rsidR="00CE2D6F" w:rsidRPr="00CB59BF" w:rsidRDefault="00CE2D6F" w:rsidP="00CE2D6F">
      <w:pPr>
        <w:pStyle w:val="ListParagraph"/>
        <w:widowControl/>
        <w:numPr>
          <w:ilvl w:val="1"/>
          <w:numId w:val="6"/>
        </w:numPr>
        <w:rPr>
          <w:szCs w:val="22"/>
        </w:rPr>
      </w:pPr>
      <w:r w:rsidRPr="00CB59BF">
        <w:rPr>
          <w:szCs w:val="22"/>
        </w:rPr>
        <w:t>The PSCR</w:t>
      </w:r>
      <w:r w:rsidR="00DC12B3" w:rsidRPr="00CB59BF">
        <w:rPr>
          <w:szCs w:val="22"/>
        </w:rPr>
        <w:t xml:space="preserve"> (</w:t>
      </w:r>
      <w:r w:rsidR="00296A09" w:rsidRPr="00CB59BF">
        <w:rPr>
          <w:szCs w:val="22"/>
        </w:rPr>
        <w:t>p1-3)</w:t>
      </w:r>
      <w:r w:rsidRPr="00CB59BF">
        <w:rPr>
          <w:szCs w:val="22"/>
        </w:rPr>
        <w:t xml:space="preserve"> argued that clinical guidelines do not support switching from oral to injectable antipsychotics unless clinically indicated, and </w:t>
      </w:r>
      <w:r w:rsidR="003615A1" w:rsidRPr="00CB59BF">
        <w:rPr>
          <w:szCs w:val="22"/>
        </w:rPr>
        <w:t>patients’</w:t>
      </w:r>
      <w:r w:rsidRPr="00CB59BF">
        <w:rPr>
          <w:szCs w:val="22"/>
        </w:rPr>
        <w:t xml:space="preserve"> aversion to injections is common. Further, the PSCR argued that dosing frequency is not </w:t>
      </w:r>
      <w:r w:rsidR="00296A09" w:rsidRPr="00CB59BF">
        <w:rPr>
          <w:szCs w:val="22"/>
        </w:rPr>
        <w:t xml:space="preserve">a </w:t>
      </w:r>
      <w:r w:rsidRPr="00CB59BF">
        <w:rPr>
          <w:szCs w:val="22"/>
        </w:rPr>
        <w:t>significant driver of LAI choice as risperidone retains a substantial market share amongst the injectables</w:t>
      </w:r>
      <w:r w:rsidR="00DA2FBE">
        <w:rPr>
          <w:szCs w:val="22"/>
        </w:rPr>
        <w:t xml:space="preserve"> </w:t>
      </w:r>
      <w:r w:rsidR="00DA2FBE">
        <w:t>and that the efficacy and safety profiles of treatments are the key consideration of treatment choice</w:t>
      </w:r>
      <w:proofErr w:type="gramStart"/>
      <w:r w:rsidR="00DA2FBE">
        <w:t>.</w:t>
      </w:r>
      <w:r w:rsidRPr="00CB59BF">
        <w:rPr>
          <w:szCs w:val="22"/>
        </w:rPr>
        <w:t>.</w:t>
      </w:r>
      <w:proofErr w:type="gramEnd"/>
    </w:p>
    <w:p w:rsidR="009E0205" w:rsidRPr="00CB59BF" w:rsidRDefault="009E0205" w:rsidP="009E0205">
      <w:pPr>
        <w:pStyle w:val="ListParagraph"/>
        <w:widowControl/>
        <w:rPr>
          <w:szCs w:val="22"/>
        </w:rPr>
      </w:pPr>
    </w:p>
    <w:p w:rsidR="009E0205" w:rsidRPr="00BA5B0E" w:rsidRDefault="009E0205" w:rsidP="00CE2D6F">
      <w:pPr>
        <w:pStyle w:val="ListParagraph"/>
        <w:widowControl/>
        <w:numPr>
          <w:ilvl w:val="1"/>
          <w:numId w:val="6"/>
        </w:numPr>
        <w:rPr>
          <w:szCs w:val="22"/>
        </w:rPr>
      </w:pPr>
      <w:r w:rsidRPr="00CB59BF">
        <w:rPr>
          <w:szCs w:val="22"/>
        </w:rPr>
        <w:t xml:space="preserve">The ESC considered that </w:t>
      </w:r>
      <w:r w:rsidRPr="00CB59BF">
        <w:t xml:space="preserve">clinicians/patients may preferentially commence on </w:t>
      </w:r>
      <w:r w:rsidR="008042A1">
        <w:t>PP1M</w:t>
      </w:r>
      <w:r w:rsidRPr="00CB59BF">
        <w:t xml:space="preserve"> LAI over other LAI options. Alternatively, clinicians/patients may switch from another injectable to </w:t>
      </w:r>
      <w:r w:rsidR="008042A1">
        <w:t>PP1M</w:t>
      </w:r>
      <w:r w:rsidRPr="00CB59BF">
        <w:t xml:space="preserve"> LAI, in order to access the option of </w:t>
      </w:r>
      <w:r w:rsidR="008042A1">
        <w:t>PP3M</w:t>
      </w:r>
      <w:r w:rsidRPr="00CB59BF">
        <w:t xml:space="preserve"> LAI. Both could potentially increase the number of </w:t>
      </w:r>
      <w:r w:rsidR="008042A1">
        <w:t>PP1M</w:t>
      </w:r>
      <w:r w:rsidRPr="00CB59BF">
        <w:t xml:space="preserve"> LAI prescriptions, then </w:t>
      </w:r>
      <w:r w:rsidR="008042A1">
        <w:t>PP3M</w:t>
      </w:r>
      <w:r w:rsidRPr="00CB59BF">
        <w:t xml:space="preserve"> LAI prescriptions, for the financial estimates.</w:t>
      </w:r>
    </w:p>
    <w:p w:rsidR="00CE2D6F" w:rsidRPr="00CB59BF" w:rsidRDefault="00CE2D6F" w:rsidP="00576972">
      <w:pPr>
        <w:widowControl/>
      </w:pPr>
    </w:p>
    <w:p w:rsidR="00FE0EBA" w:rsidRPr="00CB59BF" w:rsidRDefault="00FE0EBA" w:rsidP="00FE0EBA">
      <w:pPr>
        <w:ind w:firstLine="720"/>
        <w:rPr>
          <w:bCs/>
          <w:szCs w:val="22"/>
        </w:rPr>
      </w:pPr>
      <w:r w:rsidRPr="00CB59BF">
        <w:rPr>
          <w:bCs/>
          <w:i/>
          <w:szCs w:val="22"/>
        </w:rPr>
        <w:t xml:space="preserve">For </w:t>
      </w:r>
      <w:bookmarkStart w:id="17" w:name="_GoBack"/>
      <w:bookmarkEnd w:id="17"/>
      <w:r w:rsidRPr="00CB59BF">
        <w:rPr>
          <w:bCs/>
          <w:i/>
          <w:szCs w:val="22"/>
        </w:rPr>
        <w:t>more detail on PBAC’s view, see section 7 “PBAC outcome”</w:t>
      </w:r>
      <w:r w:rsidR="002A367F">
        <w:rPr>
          <w:bCs/>
          <w:i/>
          <w:szCs w:val="22"/>
        </w:rPr>
        <w:t>.</w:t>
      </w:r>
    </w:p>
    <w:p w:rsidR="00FE0EBA" w:rsidRPr="00CB59BF" w:rsidRDefault="00FE0EBA" w:rsidP="00576972">
      <w:pPr>
        <w:widowControl/>
      </w:pPr>
    </w:p>
    <w:p w:rsidR="00B05303" w:rsidRDefault="00B05303" w:rsidP="00FE0EBA">
      <w:pPr>
        <w:rPr>
          <w:rStyle w:val="IntenseReference"/>
          <w:b w:val="0"/>
          <w:bCs w:val="0"/>
          <w:i/>
          <w:smallCaps w:val="0"/>
        </w:rPr>
      </w:pPr>
    </w:p>
    <w:p w:rsidR="00360A34" w:rsidRPr="00CB59BF" w:rsidRDefault="00360A34" w:rsidP="00FE0EBA">
      <w:pPr>
        <w:rPr>
          <w:rStyle w:val="IntenseReference"/>
          <w:b w:val="0"/>
          <w:bCs w:val="0"/>
          <w:i/>
          <w:smallCaps w:val="0"/>
        </w:rPr>
      </w:pPr>
    </w:p>
    <w:p w:rsidR="00FE0EBA" w:rsidRPr="00CB59BF" w:rsidRDefault="00FE0EBA" w:rsidP="005A7361">
      <w:pPr>
        <w:numPr>
          <w:ilvl w:val="0"/>
          <w:numId w:val="6"/>
        </w:numPr>
        <w:outlineLvl w:val="0"/>
        <w:rPr>
          <w:b/>
          <w:bCs/>
        </w:rPr>
      </w:pPr>
      <w:r w:rsidRPr="00CB59BF">
        <w:rPr>
          <w:b/>
          <w:bCs/>
        </w:rPr>
        <w:lastRenderedPageBreak/>
        <w:t>PBAC Outcome</w:t>
      </w:r>
    </w:p>
    <w:p w:rsidR="00FE0EBA" w:rsidRPr="00CB59BF" w:rsidRDefault="00FE0EBA" w:rsidP="00FE0EBA">
      <w:pPr>
        <w:rPr>
          <w:b/>
          <w:bCs/>
          <w:lang w:val="en-GB"/>
        </w:rPr>
      </w:pPr>
    </w:p>
    <w:p w:rsidR="00FE0EBA" w:rsidRPr="00CB59BF" w:rsidRDefault="002762C5" w:rsidP="00FE0EBA">
      <w:pPr>
        <w:numPr>
          <w:ilvl w:val="1"/>
          <w:numId w:val="6"/>
        </w:numPr>
        <w:rPr>
          <w:bCs/>
          <w:lang w:val="en-GB"/>
        </w:rPr>
      </w:pPr>
      <w:r w:rsidRPr="00CB59BF">
        <w:rPr>
          <w:bCs/>
          <w:lang w:val="en-GB"/>
        </w:rPr>
        <w:t xml:space="preserve">The PBAC recommended </w:t>
      </w:r>
      <w:r w:rsidR="009502E3">
        <w:rPr>
          <w:bCs/>
          <w:lang w:val="en-GB"/>
        </w:rPr>
        <w:t>the Authority required (</w:t>
      </w:r>
      <w:r w:rsidR="00985AB4">
        <w:rPr>
          <w:bCs/>
          <w:lang w:val="en-GB"/>
        </w:rPr>
        <w:t>STREAMLINED</w:t>
      </w:r>
      <w:r w:rsidR="009502E3">
        <w:rPr>
          <w:bCs/>
          <w:lang w:val="en-GB"/>
        </w:rPr>
        <w:t xml:space="preserve">) listing of </w:t>
      </w:r>
      <w:r w:rsidRPr="00CB59BF">
        <w:rPr>
          <w:bCs/>
          <w:lang w:val="en-GB"/>
        </w:rPr>
        <w:t xml:space="preserve">paliperidone </w:t>
      </w:r>
      <w:r w:rsidR="00BA5B0E">
        <w:rPr>
          <w:bCs/>
          <w:lang w:val="en-GB"/>
        </w:rPr>
        <w:t>3-month injection</w:t>
      </w:r>
      <w:r w:rsidR="000D5F8E" w:rsidRPr="00CB59BF">
        <w:rPr>
          <w:bCs/>
          <w:lang w:val="en-GB"/>
        </w:rPr>
        <w:t xml:space="preserve"> </w:t>
      </w:r>
      <w:r w:rsidR="009502E3">
        <w:rPr>
          <w:bCs/>
          <w:lang w:val="en-GB"/>
        </w:rPr>
        <w:t>for schizophrenia</w:t>
      </w:r>
      <w:r w:rsidR="000D5F8E" w:rsidRPr="00CB59BF">
        <w:rPr>
          <w:bCs/>
          <w:lang w:val="en-GB"/>
        </w:rPr>
        <w:t>, on a cost minimisation basis with equivalent doses of paliperidone once monthly injectio</w:t>
      </w:r>
      <w:r w:rsidR="007A591D">
        <w:rPr>
          <w:bCs/>
          <w:lang w:val="en-GB"/>
        </w:rPr>
        <w:t>n.</w:t>
      </w:r>
    </w:p>
    <w:p w:rsidR="000D5F8E" w:rsidRPr="00CB59BF" w:rsidRDefault="000D5F8E" w:rsidP="000D5F8E">
      <w:pPr>
        <w:pStyle w:val="PBACHeading1"/>
        <w:numPr>
          <w:ilvl w:val="0"/>
          <w:numId w:val="0"/>
        </w:numPr>
        <w:ind w:left="720" w:hanging="720"/>
        <w:rPr>
          <w:lang w:val="en-GB"/>
        </w:rPr>
      </w:pPr>
    </w:p>
    <w:p w:rsidR="000D5F8E" w:rsidRPr="00CB59BF" w:rsidRDefault="000D5F8E" w:rsidP="00FE0EBA">
      <w:pPr>
        <w:numPr>
          <w:ilvl w:val="1"/>
          <w:numId w:val="6"/>
        </w:numPr>
        <w:rPr>
          <w:bCs/>
          <w:lang w:val="en-GB"/>
        </w:rPr>
      </w:pPr>
      <w:r w:rsidRPr="00CB59BF">
        <w:rPr>
          <w:bCs/>
          <w:lang w:val="en-GB"/>
        </w:rPr>
        <w:t xml:space="preserve">The </w:t>
      </w:r>
      <w:r w:rsidR="00AE79DB">
        <w:rPr>
          <w:bCs/>
          <w:lang w:val="en-GB"/>
        </w:rPr>
        <w:t xml:space="preserve">PBAC considered the </w:t>
      </w:r>
      <w:r w:rsidRPr="00CB59BF">
        <w:rPr>
          <w:bCs/>
          <w:lang w:val="en-GB"/>
        </w:rPr>
        <w:t xml:space="preserve">equi-effective doses </w:t>
      </w:r>
      <w:r w:rsidR="00AE79DB">
        <w:rPr>
          <w:bCs/>
          <w:lang w:val="en-GB"/>
        </w:rPr>
        <w:t>to be</w:t>
      </w:r>
      <w:r w:rsidRPr="00CB59BF">
        <w:rPr>
          <w:bCs/>
          <w:lang w:val="en-GB"/>
        </w:rPr>
        <w:t>:</w:t>
      </w:r>
    </w:p>
    <w:p w:rsidR="000D5F8E" w:rsidRPr="00CB59BF" w:rsidRDefault="000D5F8E" w:rsidP="000D5F8E">
      <w:pPr>
        <w:pStyle w:val="ListParagraph"/>
        <w:rPr>
          <w:bCs/>
          <w:lang w:val="en-GB"/>
        </w:rPr>
      </w:pPr>
    </w:p>
    <w:p w:rsidR="000D5F8E" w:rsidRPr="00CB59BF" w:rsidRDefault="000D5F8E" w:rsidP="000D5F8E">
      <w:pPr>
        <w:pStyle w:val="PBACHeading1"/>
        <w:numPr>
          <w:ilvl w:val="0"/>
          <w:numId w:val="25"/>
        </w:numPr>
        <w:ind w:left="1134"/>
        <w:rPr>
          <w:b w:val="0"/>
          <w:lang w:val="en-GB"/>
        </w:rPr>
      </w:pPr>
      <w:r w:rsidRPr="00CB59BF">
        <w:rPr>
          <w:b w:val="0"/>
          <w:lang w:val="en-GB"/>
        </w:rPr>
        <w:t>One injection of PP3M 175 mg = three injections of 50 mg PP1M</w:t>
      </w:r>
    </w:p>
    <w:p w:rsidR="000D5F8E" w:rsidRPr="00CB59BF" w:rsidRDefault="000D5F8E" w:rsidP="000D5F8E">
      <w:pPr>
        <w:pStyle w:val="PBACHeading1"/>
        <w:numPr>
          <w:ilvl w:val="0"/>
          <w:numId w:val="25"/>
        </w:numPr>
        <w:ind w:left="1134"/>
        <w:rPr>
          <w:b w:val="0"/>
          <w:lang w:val="en-GB"/>
        </w:rPr>
      </w:pPr>
      <w:r w:rsidRPr="00CB59BF">
        <w:rPr>
          <w:b w:val="0"/>
          <w:lang w:val="en-GB"/>
        </w:rPr>
        <w:t>One injection of PP3M 263 mg = three injections of 7</w:t>
      </w:r>
      <w:r w:rsidR="00AE79DB">
        <w:rPr>
          <w:b w:val="0"/>
          <w:lang w:val="en-GB"/>
        </w:rPr>
        <w:t>5</w:t>
      </w:r>
      <w:r w:rsidRPr="00CB59BF">
        <w:rPr>
          <w:b w:val="0"/>
          <w:lang w:val="en-GB"/>
        </w:rPr>
        <w:t xml:space="preserve"> mg PP1M</w:t>
      </w:r>
    </w:p>
    <w:p w:rsidR="000D5F8E" w:rsidRPr="00CB59BF" w:rsidRDefault="000D5F8E" w:rsidP="000D5F8E">
      <w:pPr>
        <w:pStyle w:val="PBACHeading1"/>
        <w:numPr>
          <w:ilvl w:val="0"/>
          <w:numId w:val="25"/>
        </w:numPr>
        <w:ind w:left="1134"/>
        <w:rPr>
          <w:b w:val="0"/>
          <w:lang w:val="en-GB"/>
        </w:rPr>
      </w:pPr>
      <w:r w:rsidRPr="00CB59BF">
        <w:rPr>
          <w:b w:val="0"/>
          <w:lang w:val="en-GB"/>
        </w:rPr>
        <w:t>One injection of PP3M 350 mg = three injections of 100 mg PP1M</w:t>
      </w:r>
    </w:p>
    <w:p w:rsidR="000D5F8E" w:rsidRPr="00CB59BF" w:rsidRDefault="000D5F8E" w:rsidP="000D5F8E">
      <w:pPr>
        <w:pStyle w:val="PBACHeading1"/>
        <w:numPr>
          <w:ilvl w:val="0"/>
          <w:numId w:val="25"/>
        </w:numPr>
        <w:ind w:left="1134"/>
        <w:rPr>
          <w:b w:val="0"/>
          <w:lang w:val="en-GB"/>
        </w:rPr>
      </w:pPr>
      <w:r w:rsidRPr="00CB59BF">
        <w:rPr>
          <w:b w:val="0"/>
          <w:lang w:val="en-GB"/>
        </w:rPr>
        <w:t>One injection of PP3M 525 mg = three injections of 150 mg PP1M</w:t>
      </w:r>
    </w:p>
    <w:p w:rsidR="00DA0878" w:rsidRPr="00CB59BF" w:rsidRDefault="00DA0878" w:rsidP="00FE0EBA">
      <w:pPr>
        <w:rPr>
          <w:bCs/>
          <w:lang w:val="en-GB"/>
        </w:rPr>
      </w:pPr>
    </w:p>
    <w:p w:rsidR="00FE0EBA" w:rsidRPr="00CB59BF" w:rsidRDefault="000D5F8E" w:rsidP="00FE0EBA">
      <w:pPr>
        <w:numPr>
          <w:ilvl w:val="1"/>
          <w:numId w:val="6"/>
        </w:numPr>
        <w:rPr>
          <w:bCs/>
          <w:lang w:val="en-GB"/>
        </w:rPr>
      </w:pPr>
      <w:r w:rsidRPr="00CB59BF">
        <w:rPr>
          <w:bCs/>
          <w:lang w:val="en-GB"/>
        </w:rPr>
        <w:t xml:space="preserve">The PBAC </w:t>
      </w:r>
      <w:r w:rsidR="00BD3121">
        <w:rPr>
          <w:bCs/>
          <w:lang w:val="en-GB"/>
        </w:rPr>
        <w:t xml:space="preserve">considered </w:t>
      </w:r>
      <w:r w:rsidRPr="00CB59BF">
        <w:rPr>
          <w:bCs/>
          <w:lang w:val="en-GB"/>
        </w:rPr>
        <w:t xml:space="preserve">the clinical claim that PP3M </w:t>
      </w:r>
      <w:r w:rsidR="00BD3121">
        <w:rPr>
          <w:bCs/>
          <w:lang w:val="en-GB"/>
        </w:rPr>
        <w:t>wa</w:t>
      </w:r>
      <w:r w:rsidRPr="00CB59BF">
        <w:rPr>
          <w:bCs/>
          <w:lang w:val="en-GB"/>
        </w:rPr>
        <w:t>s non-inferior in terms of comparative efficacy and equivalent in terms of comparative safety compared to PP1M</w:t>
      </w:r>
      <w:r w:rsidR="00BD3121">
        <w:rPr>
          <w:bCs/>
          <w:lang w:val="en-GB"/>
        </w:rPr>
        <w:t xml:space="preserve"> to be reasonable</w:t>
      </w:r>
      <w:r w:rsidRPr="00CB59BF">
        <w:rPr>
          <w:bCs/>
          <w:lang w:val="en-GB"/>
        </w:rPr>
        <w:t>.</w:t>
      </w:r>
    </w:p>
    <w:p w:rsidR="00FE0EBA" w:rsidRPr="00CB59BF" w:rsidRDefault="00FE0EBA" w:rsidP="00FE0EBA">
      <w:pPr>
        <w:rPr>
          <w:bCs/>
          <w:lang w:val="en-GB"/>
        </w:rPr>
      </w:pPr>
    </w:p>
    <w:p w:rsidR="00FE0EBA" w:rsidRPr="00BD3121" w:rsidRDefault="009D58AB" w:rsidP="00FE0EBA">
      <w:pPr>
        <w:pStyle w:val="ListParagraph"/>
        <w:numPr>
          <w:ilvl w:val="1"/>
          <w:numId w:val="6"/>
        </w:numPr>
        <w:rPr>
          <w:bCs/>
          <w:lang w:val="en-GB"/>
        </w:rPr>
      </w:pPr>
      <w:r w:rsidRPr="00BD3121">
        <w:rPr>
          <w:bCs/>
          <w:lang w:val="en-GB"/>
        </w:rPr>
        <w:t xml:space="preserve">The PBAC </w:t>
      </w:r>
      <w:r w:rsidR="00BD3121">
        <w:rPr>
          <w:bCs/>
          <w:lang w:val="en-GB"/>
        </w:rPr>
        <w:t>approved</w:t>
      </w:r>
      <w:r w:rsidRPr="00BD3121">
        <w:rPr>
          <w:bCs/>
          <w:lang w:val="en-GB"/>
        </w:rPr>
        <w:t xml:space="preserve"> </w:t>
      </w:r>
      <w:r w:rsidR="00457A44" w:rsidRPr="00BD3121">
        <w:rPr>
          <w:bCs/>
          <w:lang w:val="en-GB"/>
        </w:rPr>
        <w:t xml:space="preserve">the proposed restrictions, including the </w:t>
      </w:r>
      <w:r w:rsidR="00661832">
        <w:rPr>
          <w:bCs/>
          <w:lang w:val="en-GB"/>
        </w:rPr>
        <w:t>addition</w:t>
      </w:r>
      <w:r w:rsidR="00661832" w:rsidRPr="00BD3121">
        <w:rPr>
          <w:bCs/>
          <w:lang w:val="en-GB"/>
        </w:rPr>
        <w:t xml:space="preserve"> </w:t>
      </w:r>
      <w:r w:rsidR="00375D53" w:rsidRPr="00BD3121">
        <w:rPr>
          <w:bCs/>
          <w:lang w:val="en-GB"/>
        </w:rPr>
        <w:t>of wording</w:t>
      </w:r>
      <w:r w:rsidR="00457A44" w:rsidRPr="00BD3121">
        <w:rPr>
          <w:bCs/>
          <w:lang w:val="en-GB"/>
        </w:rPr>
        <w:t xml:space="preserve"> proposed by the PBAC Secretariat</w:t>
      </w:r>
      <w:r w:rsidR="00375D53" w:rsidRPr="00BD3121">
        <w:rPr>
          <w:bCs/>
          <w:lang w:val="en-GB"/>
        </w:rPr>
        <w:t xml:space="preserve"> that patients must be</w:t>
      </w:r>
      <w:r w:rsidR="005E6139">
        <w:rPr>
          <w:bCs/>
          <w:lang w:val="en-GB"/>
        </w:rPr>
        <w:t xml:space="preserve"> </w:t>
      </w:r>
      <w:r w:rsidR="00375D53" w:rsidRPr="00BD3121">
        <w:rPr>
          <w:bCs/>
          <w:lang w:val="en-GB"/>
        </w:rPr>
        <w:t xml:space="preserve">stabilised on PBS-subsidised paliperidone once-monthly injection for at least 4 consecutive months. </w:t>
      </w:r>
    </w:p>
    <w:p w:rsidR="00FE0EBA" w:rsidRPr="00CB59BF" w:rsidRDefault="00FE0EBA" w:rsidP="00FE0EBA">
      <w:pPr>
        <w:rPr>
          <w:bCs/>
          <w:lang w:val="en-GB"/>
        </w:rPr>
      </w:pPr>
    </w:p>
    <w:p w:rsidR="00FE0EBA" w:rsidRPr="00CB59BF" w:rsidRDefault="008921B4" w:rsidP="00FE0EBA">
      <w:pPr>
        <w:numPr>
          <w:ilvl w:val="1"/>
          <w:numId w:val="6"/>
        </w:numPr>
        <w:rPr>
          <w:bCs/>
          <w:lang w:val="en-GB"/>
        </w:rPr>
      </w:pPr>
      <w:r w:rsidRPr="00CB59BF">
        <w:rPr>
          <w:bCs/>
          <w:lang w:val="en-GB"/>
        </w:rPr>
        <w:t xml:space="preserve">The PBAC considered there was a clinical place for PP3M, as it would provide an extended duration LAI treatment with less frequent dosing </w:t>
      </w:r>
      <w:r w:rsidR="00661832">
        <w:rPr>
          <w:bCs/>
          <w:lang w:val="en-GB"/>
        </w:rPr>
        <w:t>compared with</w:t>
      </w:r>
      <w:r w:rsidR="00661832" w:rsidRPr="00CB59BF">
        <w:rPr>
          <w:bCs/>
          <w:lang w:val="en-GB"/>
        </w:rPr>
        <w:t xml:space="preserve"> </w:t>
      </w:r>
      <w:r w:rsidRPr="00CB59BF">
        <w:rPr>
          <w:bCs/>
          <w:lang w:val="en-GB"/>
        </w:rPr>
        <w:t xml:space="preserve">other PBS listed therapies and may contribute to improvements in patient </w:t>
      </w:r>
      <w:r w:rsidR="009D58AB" w:rsidRPr="00CB59BF">
        <w:rPr>
          <w:bCs/>
          <w:lang w:val="en-GB"/>
        </w:rPr>
        <w:t>comfort, carer burden</w:t>
      </w:r>
      <w:r w:rsidR="00D546D7">
        <w:rPr>
          <w:bCs/>
          <w:lang w:val="en-GB"/>
        </w:rPr>
        <w:t xml:space="preserve"> and</w:t>
      </w:r>
      <w:r w:rsidR="009D58AB" w:rsidRPr="00CB59BF">
        <w:rPr>
          <w:bCs/>
          <w:lang w:val="en-GB"/>
        </w:rPr>
        <w:t xml:space="preserve"> access for patients in rural and remote areas.</w:t>
      </w:r>
    </w:p>
    <w:p w:rsidR="00FE0EBA" w:rsidRPr="00CB59BF" w:rsidRDefault="00FE0EBA" w:rsidP="00FE0EBA">
      <w:pPr>
        <w:rPr>
          <w:bCs/>
          <w:lang w:val="en-GB"/>
        </w:rPr>
      </w:pPr>
    </w:p>
    <w:p w:rsidR="00FE0EBA" w:rsidRPr="00CB59BF" w:rsidRDefault="001C131D" w:rsidP="00FE0EBA">
      <w:pPr>
        <w:numPr>
          <w:ilvl w:val="1"/>
          <w:numId w:val="6"/>
        </w:numPr>
        <w:rPr>
          <w:bCs/>
          <w:lang w:val="en-GB"/>
        </w:rPr>
      </w:pPr>
      <w:r w:rsidRPr="00CB59BF">
        <w:rPr>
          <w:bCs/>
          <w:lang w:val="en-GB"/>
        </w:rPr>
        <w:t xml:space="preserve">The PBAC </w:t>
      </w:r>
      <w:r w:rsidR="00BD3121">
        <w:rPr>
          <w:bCs/>
          <w:lang w:val="en-GB"/>
        </w:rPr>
        <w:t>considered</w:t>
      </w:r>
      <w:r w:rsidR="00762389" w:rsidRPr="00CB59BF">
        <w:rPr>
          <w:bCs/>
          <w:lang w:val="en-GB"/>
        </w:rPr>
        <w:t xml:space="preserve"> that </w:t>
      </w:r>
      <w:r w:rsidR="005E6139">
        <w:rPr>
          <w:bCs/>
          <w:lang w:val="en-GB"/>
        </w:rPr>
        <w:t>PP1M</w:t>
      </w:r>
      <w:r w:rsidR="00762389" w:rsidRPr="00CB59BF">
        <w:rPr>
          <w:bCs/>
          <w:lang w:val="en-GB"/>
        </w:rPr>
        <w:t xml:space="preserve"> was the appropriate comparator, but noted that long acting injectable forms of risperidone, aripiprazole and olanzapine </w:t>
      </w:r>
      <w:r w:rsidR="00BD3121">
        <w:rPr>
          <w:bCs/>
          <w:lang w:val="en-GB"/>
        </w:rPr>
        <w:t>we</w:t>
      </w:r>
      <w:r w:rsidR="00762389" w:rsidRPr="00CB59BF">
        <w:rPr>
          <w:bCs/>
          <w:lang w:val="en-GB"/>
        </w:rPr>
        <w:t>re also listed on the PBS</w:t>
      </w:r>
      <w:r w:rsidR="002E38FA">
        <w:rPr>
          <w:bCs/>
          <w:lang w:val="en-GB"/>
        </w:rPr>
        <w:t xml:space="preserve"> at comparable prices for a course of treatment, taking into account the different injection frequencies.</w:t>
      </w:r>
    </w:p>
    <w:p w:rsidR="00FE0EBA" w:rsidRPr="00CB59BF" w:rsidRDefault="00FE0EBA" w:rsidP="00FE0EBA">
      <w:pPr>
        <w:rPr>
          <w:bCs/>
          <w:lang w:val="en-GB"/>
        </w:rPr>
      </w:pPr>
    </w:p>
    <w:p w:rsidR="00FE0EBA" w:rsidRPr="00CB59BF" w:rsidRDefault="00452D49" w:rsidP="00FE0EBA">
      <w:pPr>
        <w:numPr>
          <w:ilvl w:val="1"/>
          <w:numId w:val="6"/>
        </w:numPr>
        <w:rPr>
          <w:bCs/>
          <w:lang w:val="en-GB"/>
        </w:rPr>
      </w:pPr>
      <w:r w:rsidRPr="00CB59BF">
        <w:rPr>
          <w:bCs/>
          <w:lang w:val="en-GB"/>
        </w:rPr>
        <w:t xml:space="preserve">The PBAC considered the single randomised head to head clinical trial (PSY-3011) was of good quality and the population was </w:t>
      </w:r>
      <w:proofErr w:type="spellStart"/>
      <w:r w:rsidRPr="00CB59BF">
        <w:rPr>
          <w:bCs/>
        </w:rPr>
        <w:t>generalisable</w:t>
      </w:r>
      <w:proofErr w:type="spellEnd"/>
      <w:r w:rsidRPr="00CB59BF">
        <w:rPr>
          <w:bCs/>
          <w:lang w:val="en-GB"/>
        </w:rPr>
        <w:t xml:space="preserve"> to the Australian patient population.</w:t>
      </w:r>
    </w:p>
    <w:p w:rsidR="00FE0EBA" w:rsidRPr="00CB59BF" w:rsidRDefault="00FE0EBA" w:rsidP="00FE0EBA">
      <w:pPr>
        <w:rPr>
          <w:bCs/>
          <w:lang w:val="en-GB"/>
        </w:rPr>
      </w:pPr>
    </w:p>
    <w:p w:rsidR="00FE0EBA" w:rsidRPr="00CB59BF" w:rsidRDefault="00452D49" w:rsidP="00FE0EBA">
      <w:pPr>
        <w:numPr>
          <w:ilvl w:val="1"/>
          <w:numId w:val="6"/>
        </w:numPr>
        <w:rPr>
          <w:bCs/>
          <w:lang w:val="en-GB"/>
        </w:rPr>
      </w:pPr>
      <w:r w:rsidRPr="00CB59BF">
        <w:rPr>
          <w:bCs/>
          <w:lang w:val="en-GB"/>
        </w:rPr>
        <w:t xml:space="preserve">The PBAC </w:t>
      </w:r>
      <w:r w:rsidR="00BD3121">
        <w:rPr>
          <w:bCs/>
          <w:lang w:val="en-GB"/>
        </w:rPr>
        <w:t>considered</w:t>
      </w:r>
      <w:r w:rsidRPr="00CB59BF">
        <w:rPr>
          <w:bCs/>
          <w:lang w:val="en-GB"/>
        </w:rPr>
        <w:t xml:space="preserve"> that PP3M demonstrated non-inferiority to PP1M at the proposed equi-effective doses with the lower bound of the 95% confidence interval within the pre-specified non-inferiority margin of -15%. The PBAC noted there was no statistically significant difference between PP3M and PP1M with regards to secondary efficacy outcomes including change in PANSS, CGI-S and PSP scores.</w:t>
      </w:r>
    </w:p>
    <w:p w:rsidR="00FE0EBA" w:rsidRPr="00CB59BF" w:rsidRDefault="00FE0EBA" w:rsidP="00FE0EBA">
      <w:pPr>
        <w:rPr>
          <w:bCs/>
          <w:lang w:val="en-GB"/>
        </w:rPr>
      </w:pPr>
    </w:p>
    <w:p w:rsidR="00FE0EBA" w:rsidRPr="00CB59BF" w:rsidRDefault="00452D49" w:rsidP="00FE0EBA">
      <w:pPr>
        <w:numPr>
          <w:ilvl w:val="1"/>
          <w:numId w:val="6"/>
        </w:numPr>
        <w:rPr>
          <w:bCs/>
          <w:lang w:val="en-GB"/>
        </w:rPr>
      </w:pPr>
      <w:r w:rsidRPr="00CB59BF">
        <w:rPr>
          <w:bCs/>
          <w:lang w:val="en-GB"/>
        </w:rPr>
        <w:t xml:space="preserve">The PBAC considered that the safety profile of PP3M was similar to PP1M, and noted the incidence of treatment related adverse events and serious adverse events were similar across both PP3M and PP1M treatment groups. The </w:t>
      </w:r>
      <w:r w:rsidR="001C131D" w:rsidRPr="00CB59BF">
        <w:rPr>
          <w:bCs/>
          <w:lang w:val="en-GB"/>
        </w:rPr>
        <w:t xml:space="preserve">PBAC noted that the ESC raised concerns about differences in </w:t>
      </w:r>
      <w:proofErr w:type="spellStart"/>
      <w:r w:rsidR="001C131D" w:rsidRPr="00CB59BF">
        <w:rPr>
          <w:bCs/>
          <w:lang w:val="en-GB"/>
        </w:rPr>
        <w:t>QTc</w:t>
      </w:r>
      <w:proofErr w:type="spellEnd"/>
      <w:r w:rsidR="001C131D" w:rsidRPr="00CB59BF">
        <w:rPr>
          <w:bCs/>
          <w:lang w:val="en-GB"/>
        </w:rPr>
        <w:t xml:space="preserve"> prolongation between </w:t>
      </w:r>
      <w:r w:rsidR="00661832">
        <w:rPr>
          <w:bCs/>
          <w:lang w:val="en-GB"/>
        </w:rPr>
        <w:t xml:space="preserve">the </w:t>
      </w:r>
      <w:r w:rsidR="001C131D" w:rsidRPr="00CB59BF">
        <w:rPr>
          <w:bCs/>
          <w:lang w:val="en-GB"/>
        </w:rPr>
        <w:t>treatment</w:t>
      </w:r>
      <w:r w:rsidR="00AE2F62">
        <w:rPr>
          <w:bCs/>
          <w:lang w:val="en-GB"/>
        </w:rPr>
        <w:t>s</w:t>
      </w:r>
      <w:r w:rsidR="001C131D" w:rsidRPr="00CB59BF">
        <w:rPr>
          <w:bCs/>
          <w:lang w:val="en-GB"/>
        </w:rPr>
        <w:t xml:space="preserve">, and the </w:t>
      </w:r>
      <w:r w:rsidR="00661832">
        <w:rPr>
          <w:bCs/>
          <w:lang w:val="en-GB"/>
        </w:rPr>
        <w:t xml:space="preserve">arguments in the </w:t>
      </w:r>
      <w:r w:rsidR="001C131D" w:rsidRPr="00CB59BF">
        <w:rPr>
          <w:bCs/>
          <w:lang w:val="en-GB"/>
        </w:rPr>
        <w:t xml:space="preserve">Pre-PBAC response that </w:t>
      </w:r>
      <w:proofErr w:type="spellStart"/>
      <w:r w:rsidR="001C131D" w:rsidRPr="00CB59BF">
        <w:rPr>
          <w:bCs/>
          <w:lang w:val="en-GB"/>
        </w:rPr>
        <w:t>QTc</w:t>
      </w:r>
      <w:proofErr w:type="spellEnd"/>
      <w:r w:rsidR="001C131D" w:rsidRPr="00CB59BF">
        <w:rPr>
          <w:bCs/>
          <w:lang w:val="en-GB"/>
        </w:rPr>
        <w:t xml:space="preserve"> prolongation is thought to occur quickly after oral dosing, and would therefore likely be detected during tolerability testing. </w:t>
      </w:r>
    </w:p>
    <w:p w:rsidR="00457A44" w:rsidRPr="00CB59BF" w:rsidRDefault="00457A44" w:rsidP="00457A44">
      <w:pPr>
        <w:pStyle w:val="ListParagraph"/>
        <w:rPr>
          <w:bCs/>
          <w:lang w:val="en-GB"/>
        </w:rPr>
      </w:pPr>
    </w:p>
    <w:p w:rsidR="00DA0878" w:rsidRPr="00360A34" w:rsidRDefault="00457A44" w:rsidP="00FE0EBA">
      <w:pPr>
        <w:numPr>
          <w:ilvl w:val="1"/>
          <w:numId w:val="6"/>
        </w:numPr>
        <w:rPr>
          <w:bCs/>
          <w:lang w:val="en-GB"/>
        </w:rPr>
      </w:pPr>
      <w:r w:rsidRPr="00CB59BF">
        <w:rPr>
          <w:bCs/>
          <w:lang w:val="en-GB"/>
        </w:rPr>
        <w:t xml:space="preserve">The PBAC noted the sponsor withdrew its request for a cost offset for reduced GP </w:t>
      </w:r>
      <w:r w:rsidRPr="00CB59BF">
        <w:rPr>
          <w:bCs/>
          <w:lang w:val="en-GB"/>
        </w:rPr>
        <w:lastRenderedPageBreak/>
        <w:t xml:space="preserve">visits </w:t>
      </w:r>
      <w:r w:rsidR="00B06EB8">
        <w:rPr>
          <w:bCs/>
          <w:lang w:val="en-GB"/>
        </w:rPr>
        <w:t xml:space="preserve">with PP3M </w:t>
      </w:r>
      <w:r w:rsidRPr="00CB59BF">
        <w:rPr>
          <w:bCs/>
          <w:lang w:val="en-GB"/>
        </w:rPr>
        <w:t xml:space="preserve">in the Pre-PBAC response, and </w:t>
      </w:r>
      <w:r w:rsidR="00B06EB8">
        <w:rPr>
          <w:bCs/>
          <w:lang w:val="en-GB"/>
        </w:rPr>
        <w:t xml:space="preserve">proposed </w:t>
      </w:r>
      <w:r w:rsidR="005E6139">
        <w:rPr>
          <w:bCs/>
          <w:lang w:val="en-GB"/>
        </w:rPr>
        <w:t>that PP3M</w:t>
      </w:r>
      <w:r w:rsidRPr="00CB59BF">
        <w:rPr>
          <w:bCs/>
          <w:lang w:val="en-GB"/>
        </w:rPr>
        <w:t xml:space="preserve"> </w:t>
      </w:r>
      <w:r w:rsidR="005E6139">
        <w:rPr>
          <w:bCs/>
          <w:lang w:val="en-GB"/>
        </w:rPr>
        <w:t xml:space="preserve">be cost minimised against PP1M </w:t>
      </w:r>
      <w:r w:rsidR="00B06EB8">
        <w:rPr>
          <w:bCs/>
          <w:lang w:val="en-GB"/>
        </w:rPr>
        <w:t>on the basis of drug costs only</w:t>
      </w:r>
      <w:r w:rsidRPr="00CB59BF">
        <w:rPr>
          <w:bCs/>
          <w:lang w:val="en-GB"/>
        </w:rPr>
        <w:t>.</w:t>
      </w:r>
    </w:p>
    <w:p w:rsidR="00DA0878" w:rsidRPr="00CB59BF" w:rsidRDefault="00DA0878" w:rsidP="00FE0EBA">
      <w:pPr>
        <w:rPr>
          <w:bCs/>
          <w:lang w:val="en-GB"/>
        </w:rPr>
      </w:pPr>
    </w:p>
    <w:p w:rsidR="00FE0EBA" w:rsidRPr="00CB59BF" w:rsidRDefault="00E67B03" w:rsidP="00FE0EBA">
      <w:pPr>
        <w:numPr>
          <w:ilvl w:val="1"/>
          <w:numId w:val="6"/>
        </w:numPr>
        <w:rPr>
          <w:bCs/>
          <w:lang w:val="en-GB"/>
        </w:rPr>
      </w:pPr>
      <w:r w:rsidRPr="00CB59BF">
        <w:rPr>
          <w:bCs/>
          <w:lang w:val="en-GB"/>
        </w:rPr>
        <w:t>The PBAC considered there was some uncertainty with the utilisation and financial estimates, and agreed</w:t>
      </w:r>
      <w:r w:rsidR="005E6139">
        <w:rPr>
          <w:bCs/>
          <w:lang w:val="en-GB"/>
        </w:rPr>
        <w:t xml:space="preserve"> with the ESC advice that</w:t>
      </w:r>
      <w:r w:rsidRPr="00CB59BF">
        <w:rPr>
          <w:bCs/>
          <w:lang w:val="en-GB"/>
        </w:rPr>
        <w:t xml:space="preserve"> it was possible that patients may switch to PP3M via PP1M</w:t>
      </w:r>
      <w:r w:rsidR="00816062">
        <w:rPr>
          <w:bCs/>
          <w:lang w:val="en-GB"/>
        </w:rPr>
        <w:t>,</w:t>
      </w:r>
      <w:r w:rsidR="005E6139">
        <w:rPr>
          <w:bCs/>
          <w:lang w:val="en-GB"/>
        </w:rPr>
        <w:t xml:space="preserve"> from other drugs for this indication</w:t>
      </w:r>
      <w:r w:rsidRPr="00CB59BF">
        <w:rPr>
          <w:bCs/>
          <w:lang w:val="en-GB"/>
        </w:rPr>
        <w:t>,</w:t>
      </w:r>
      <w:r w:rsidR="009D58AB" w:rsidRPr="00CB59BF">
        <w:rPr>
          <w:bCs/>
          <w:lang w:val="en-GB"/>
        </w:rPr>
        <w:t xml:space="preserve"> and therefore grow both the PP3M and PP1M markets,</w:t>
      </w:r>
      <w:r w:rsidRPr="00CB59BF">
        <w:rPr>
          <w:bCs/>
          <w:lang w:val="en-GB"/>
        </w:rPr>
        <w:t xml:space="preserve"> but was uncertain as to what extent this may occur.</w:t>
      </w:r>
    </w:p>
    <w:p w:rsidR="00FE0EBA" w:rsidRPr="00CB59BF" w:rsidRDefault="007313D2" w:rsidP="007313D2">
      <w:pPr>
        <w:tabs>
          <w:tab w:val="left" w:pos="1615"/>
        </w:tabs>
        <w:rPr>
          <w:bCs/>
          <w:lang w:val="en-GB"/>
        </w:rPr>
      </w:pPr>
      <w:r>
        <w:rPr>
          <w:bCs/>
          <w:lang w:val="en-GB"/>
        </w:rPr>
        <w:tab/>
      </w:r>
    </w:p>
    <w:p w:rsidR="00FE0EBA" w:rsidRPr="00CB59BF" w:rsidRDefault="00FE0EBA" w:rsidP="00FE0EBA">
      <w:pPr>
        <w:numPr>
          <w:ilvl w:val="1"/>
          <w:numId w:val="6"/>
        </w:numPr>
        <w:rPr>
          <w:bCs/>
          <w:lang w:val="en-GB"/>
        </w:rPr>
      </w:pPr>
      <w:r w:rsidRPr="00CB59BF">
        <w:rPr>
          <w:bCs/>
          <w:lang w:val="en-GB"/>
        </w:rPr>
        <w:t xml:space="preserve">The PBAC recommended that </w:t>
      </w:r>
      <w:r w:rsidR="00BA5B0E">
        <w:rPr>
          <w:bCs/>
          <w:lang w:val="en-GB"/>
        </w:rPr>
        <w:t>PP3M</w:t>
      </w:r>
      <w:r w:rsidRPr="00CB59BF">
        <w:rPr>
          <w:bCs/>
          <w:lang w:val="en-GB"/>
        </w:rPr>
        <w:t xml:space="preserve"> should not be treated as interchangeable with any other drugs</w:t>
      </w:r>
      <w:r w:rsidR="00A46111" w:rsidRPr="00CB59BF">
        <w:rPr>
          <w:bCs/>
          <w:lang w:val="en-GB"/>
        </w:rPr>
        <w:t xml:space="preserve"> as it is the first long acting injectable antipsychotic with </w:t>
      </w:r>
      <w:proofErr w:type="gramStart"/>
      <w:r w:rsidR="00A46111" w:rsidRPr="00CB59BF">
        <w:rPr>
          <w:bCs/>
          <w:lang w:val="en-GB"/>
        </w:rPr>
        <w:t>a duration</w:t>
      </w:r>
      <w:proofErr w:type="gramEnd"/>
      <w:r w:rsidR="00A46111" w:rsidRPr="00CB59BF">
        <w:rPr>
          <w:bCs/>
          <w:lang w:val="en-GB"/>
        </w:rPr>
        <w:t xml:space="preserve"> of action greater than one month.</w:t>
      </w:r>
    </w:p>
    <w:p w:rsidR="00FE0EBA" w:rsidRPr="00CB59BF" w:rsidRDefault="00FE0EBA" w:rsidP="00FE0EBA">
      <w:pPr>
        <w:rPr>
          <w:bCs/>
          <w:lang w:val="en-GB"/>
        </w:rPr>
      </w:pPr>
    </w:p>
    <w:p w:rsidR="00FE0EBA" w:rsidRPr="00CB59BF" w:rsidRDefault="00FE0EBA" w:rsidP="00FE0EBA">
      <w:pPr>
        <w:numPr>
          <w:ilvl w:val="1"/>
          <w:numId w:val="6"/>
        </w:numPr>
        <w:rPr>
          <w:bCs/>
          <w:lang w:val="en-GB"/>
        </w:rPr>
      </w:pPr>
      <w:r w:rsidRPr="00CB59BF">
        <w:rPr>
          <w:bCs/>
          <w:lang w:val="en-GB"/>
        </w:rPr>
        <w:t xml:space="preserve">The PBAC advised that </w:t>
      </w:r>
      <w:r w:rsidR="00BA5B0E">
        <w:rPr>
          <w:bCs/>
          <w:lang w:val="en-GB"/>
        </w:rPr>
        <w:t>PP3M</w:t>
      </w:r>
      <w:r w:rsidRPr="00CB59BF">
        <w:rPr>
          <w:bCs/>
          <w:lang w:val="en-GB"/>
        </w:rPr>
        <w:t xml:space="preserve"> is suitable for prescribing by nurse practitioners</w:t>
      </w:r>
      <w:r w:rsidR="00E67B03" w:rsidRPr="00CB59BF">
        <w:rPr>
          <w:bCs/>
          <w:lang w:val="en-GB"/>
        </w:rPr>
        <w:t xml:space="preserve"> under a shared care model, where care of a patient is shared between a nurse practitioner and medical practitioner in a formalised arrangement with an agreed management plan</w:t>
      </w:r>
      <w:r w:rsidRPr="00CB59BF">
        <w:rPr>
          <w:bCs/>
          <w:lang w:val="en-GB"/>
        </w:rPr>
        <w:t>.</w:t>
      </w:r>
    </w:p>
    <w:p w:rsidR="00FE0EBA" w:rsidRPr="00CB59BF" w:rsidRDefault="00FE0EBA" w:rsidP="00FE0EBA">
      <w:pPr>
        <w:rPr>
          <w:bCs/>
          <w:lang w:val="en-GB"/>
        </w:rPr>
      </w:pPr>
    </w:p>
    <w:p w:rsidR="00FE0EBA" w:rsidRPr="00CB59BF" w:rsidRDefault="00FE0EBA" w:rsidP="00FE0EBA">
      <w:pPr>
        <w:numPr>
          <w:ilvl w:val="1"/>
          <w:numId w:val="6"/>
        </w:numPr>
        <w:rPr>
          <w:bCs/>
          <w:lang w:val="en-GB"/>
        </w:rPr>
      </w:pPr>
      <w:r w:rsidRPr="00CB59BF">
        <w:rPr>
          <w:bCs/>
          <w:lang w:val="en-GB"/>
        </w:rPr>
        <w:t>The PBAC recommended that the Early Supply Rule should</w:t>
      </w:r>
      <w:r w:rsidR="00E67B03" w:rsidRPr="00CB59BF">
        <w:rPr>
          <w:bCs/>
          <w:lang w:val="en-GB"/>
        </w:rPr>
        <w:t xml:space="preserve"> not</w:t>
      </w:r>
      <w:r w:rsidRPr="00CB59BF">
        <w:rPr>
          <w:bCs/>
          <w:lang w:val="en-GB"/>
        </w:rPr>
        <w:t xml:space="preserve"> apply</w:t>
      </w:r>
      <w:r w:rsidR="00E67B03" w:rsidRPr="00CB59BF">
        <w:rPr>
          <w:bCs/>
          <w:lang w:val="en-GB"/>
        </w:rPr>
        <w:t>, as it does not apply to other LAI forms of paliperidone, risperidone or aripiprazole</w:t>
      </w:r>
      <w:r w:rsidRPr="00CB59BF">
        <w:rPr>
          <w:bCs/>
          <w:lang w:val="en-GB"/>
        </w:rPr>
        <w:t xml:space="preserve">. </w:t>
      </w:r>
    </w:p>
    <w:p w:rsidR="00FE0EBA" w:rsidRPr="00CB59BF" w:rsidRDefault="00FE0EBA" w:rsidP="00FE0EBA">
      <w:pPr>
        <w:rPr>
          <w:bCs/>
          <w:lang w:val="en-GB"/>
        </w:rPr>
      </w:pPr>
    </w:p>
    <w:p w:rsidR="00FE0EBA" w:rsidRPr="00CB59BF" w:rsidRDefault="00FE0EBA" w:rsidP="00FE0EBA">
      <w:pPr>
        <w:numPr>
          <w:ilvl w:val="1"/>
          <w:numId w:val="6"/>
        </w:numPr>
        <w:rPr>
          <w:bCs/>
          <w:lang w:val="en-GB"/>
        </w:rPr>
      </w:pPr>
      <w:r w:rsidRPr="00CB59BF">
        <w:rPr>
          <w:bCs/>
          <w:lang w:val="en-GB"/>
        </w:rPr>
        <w:t>The PBAC noted that this submission is not eligible for an Independent Review</w:t>
      </w:r>
      <w:r w:rsidR="00A46111" w:rsidRPr="00CB59BF">
        <w:rPr>
          <w:bCs/>
          <w:lang w:val="en-GB"/>
        </w:rPr>
        <w:t xml:space="preserve"> as it received a positive recommendation</w:t>
      </w:r>
      <w:r w:rsidRPr="00CB59BF">
        <w:rPr>
          <w:bCs/>
          <w:lang w:val="en-GB"/>
        </w:rPr>
        <w:t>.</w:t>
      </w:r>
    </w:p>
    <w:p w:rsidR="00FE0EBA" w:rsidRPr="00CB59BF" w:rsidRDefault="00FE0EBA" w:rsidP="00FE0EBA">
      <w:pPr>
        <w:rPr>
          <w:bCs/>
          <w:lang w:val="en-GB"/>
        </w:rPr>
      </w:pPr>
    </w:p>
    <w:p w:rsidR="00FE0EBA" w:rsidRPr="00CB59BF" w:rsidRDefault="00FE0EBA" w:rsidP="00FE0EBA">
      <w:pPr>
        <w:rPr>
          <w:b/>
          <w:bCs/>
          <w:lang w:val="en-GB"/>
        </w:rPr>
      </w:pPr>
    </w:p>
    <w:p w:rsidR="00FE0EBA" w:rsidRPr="00CB59BF" w:rsidRDefault="00FE0EBA" w:rsidP="00FE0EBA">
      <w:pPr>
        <w:rPr>
          <w:b/>
          <w:bCs/>
          <w:lang w:val="en-GB"/>
        </w:rPr>
      </w:pPr>
      <w:r w:rsidRPr="00CB59BF">
        <w:rPr>
          <w:b/>
          <w:bCs/>
          <w:lang w:val="en-GB"/>
        </w:rPr>
        <w:t>Outcome:</w:t>
      </w:r>
    </w:p>
    <w:p w:rsidR="00FE0EBA" w:rsidRPr="00CB59BF" w:rsidRDefault="00FE0EBA" w:rsidP="00FE0EBA">
      <w:pPr>
        <w:rPr>
          <w:bCs/>
          <w:lang w:val="en-GB"/>
        </w:rPr>
      </w:pPr>
      <w:r w:rsidRPr="00CB59BF">
        <w:rPr>
          <w:bCs/>
          <w:lang w:val="en-GB"/>
        </w:rPr>
        <w:t>Recommended</w:t>
      </w:r>
    </w:p>
    <w:p w:rsidR="00FE0EBA" w:rsidRPr="00CB59BF" w:rsidRDefault="00FE0EBA" w:rsidP="00FE0EBA">
      <w:pPr>
        <w:rPr>
          <w:b/>
          <w:bCs/>
        </w:rPr>
      </w:pPr>
    </w:p>
    <w:p w:rsidR="00FE0EBA" w:rsidRPr="00CB59BF" w:rsidRDefault="00FE0EBA" w:rsidP="00FE0EBA">
      <w:pPr>
        <w:rPr>
          <w:bCs/>
        </w:rPr>
      </w:pPr>
    </w:p>
    <w:p w:rsidR="00FE0EBA" w:rsidRPr="00CB59BF" w:rsidRDefault="00FE0EBA" w:rsidP="005A7361">
      <w:pPr>
        <w:numPr>
          <w:ilvl w:val="0"/>
          <w:numId w:val="6"/>
        </w:numPr>
        <w:outlineLvl w:val="0"/>
        <w:rPr>
          <w:b/>
          <w:bCs/>
          <w:i/>
          <w:lang w:val="en-GB"/>
        </w:rPr>
      </w:pPr>
      <w:r w:rsidRPr="00CB59BF">
        <w:rPr>
          <w:b/>
          <w:bCs/>
          <w:lang w:val="en-GB"/>
        </w:rPr>
        <w:t>Recommended listing</w:t>
      </w:r>
    </w:p>
    <w:p w:rsidR="00FE0EBA" w:rsidRPr="00CB59BF" w:rsidRDefault="00FE0EBA" w:rsidP="00FE0EBA">
      <w:pPr>
        <w:rPr>
          <w:b/>
          <w:bCs/>
          <w:i/>
          <w:lang w:val="en-GB"/>
        </w:rPr>
      </w:pPr>
    </w:p>
    <w:p w:rsidR="00FE0EBA" w:rsidRPr="00CB59BF" w:rsidRDefault="00FE0EBA" w:rsidP="00457A44">
      <w:pPr>
        <w:numPr>
          <w:ilvl w:val="1"/>
          <w:numId w:val="6"/>
        </w:numPr>
        <w:rPr>
          <w:b/>
          <w:bCs/>
        </w:rPr>
      </w:pPr>
      <w:r w:rsidRPr="00CB59BF">
        <w:rPr>
          <w:bCs/>
        </w:rPr>
        <w:t>Add new item</w:t>
      </w:r>
      <w:r w:rsidR="00F419D7">
        <w:rPr>
          <w:bCs/>
        </w:rPr>
        <w:t>s</w:t>
      </w:r>
      <w:r w:rsidRPr="00CB59BF">
        <w:rPr>
          <w:bCs/>
        </w:rPr>
        <w:t>:</w:t>
      </w:r>
    </w:p>
    <w:p w:rsidR="00FE0EBA" w:rsidRPr="00CB59BF" w:rsidRDefault="00FE0EBA" w:rsidP="00FE0EBA">
      <w:pPr>
        <w:rPr>
          <w:b/>
          <w:bCs/>
        </w:rPr>
      </w:pPr>
    </w:p>
    <w:tbl>
      <w:tblPr>
        <w:tblW w:w="4608" w:type="pct"/>
        <w:tblInd w:w="737" w:type="dxa"/>
        <w:tblCellMar>
          <w:left w:w="28" w:type="dxa"/>
          <w:right w:w="28" w:type="dxa"/>
        </w:tblCellMar>
        <w:tblLook w:val="0000" w:firstRow="0" w:lastRow="0" w:firstColumn="0" w:lastColumn="0" w:noHBand="0" w:noVBand="0"/>
      </w:tblPr>
      <w:tblGrid>
        <w:gridCol w:w="1984"/>
        <w:gridCol w:w="748"/>
        <w:gridCol w:w="603"/>
        <w:gridCol w:w="904"/>
        <w:gridCol w:w="1857"/>
        <w:gridCol w:w="2275"/>
      </w:tblGrid>
      <w:tr w:rsidR="00F419D7" w:rsidRPr="00CB59BF" w:rsidTr="00F419D7">
        <w:trPr>
          <w:cantSplit/>
          <w:trHeight w:val="471"/>
        </w:trPr>
        <w:tc>
          <w:tcPr>
            <w:tcW w:w="1632" w:type="pct"/>
            <w:gridSpan w:val="2"/>
            <w:tcBorders>
              <w:bottom w:val="single" w:sz="4" w:space="0" w:color="auto"/>
            </w:tcBorders>
          </w:tcPr>
          <w:p w:rsidR="00F419D7" w:rsidRPr="00CB59BF" w:rsidRDefault="00F419D7" w:rsidP="00CB59BF">
            <w:pPr>
              <w:keepNext/>
              <w:rPr>
                <w:sz w:val="20"/>
              </w:rPr>
            </w:pPr>
            <w:r w:rsidRPr="00CB59BF">
              <w:rPr>
                <w:sz w:val="20"/>
              </w:rPr>
              <w:t>Name, Restriction,</w:t>
            </w:r>
          </w:p>
          <w:p w:rsidR="00F419D7" w:rsidRPr="00CB59BF" w:rsidRDefault="00F419D7" w:rsidP="00CB59BF">
            <w:pPr>
              <w:keepNext/>
              <w:rPr>
                <w:sz w:val="20"/>
              </w:rPr>
            </w:pPr>
            <w:r w:rsidRPr="00CB59BF">
              <w:rPr>
                <w:sz w:val="20"/>
              </w:rPr>
              <w:t>Manner of administration and form</w:t>
            </w:r>
          </w:p>
        </w:tc>
        <w:tc>
          <w:tcPr>
            <w:tcW w:w="360" w:type="pct"/>
            <w:tcBorders>
              <w:bottom w:val="single" w:sz="4" w:space="0" w:color="auto"/>
            </w:tcBorders>
          </w:tcPr>
          <w:p w:rsidR="00F419D7" w:rsidRPr="00CB59BF" w:rsidRDefault="00F419D7" w:rsidP="00CB59BF">
            <w:pPr>
              <w:keepNext/>
              <w:jc w:val="center"/>
              <w:rPr>
                <w:sz w:val="20"/>
              </w:rPr>
            </w:pPr>
            <w:r w:rsidRPr="00CB59BF">
              <w:rPr>
                <w:sz w:val="20"/>
              </w:rPr>
              <w:t>Max.</w:t>
            </w:r>
          </w:p>
          <w:p w:rsidR="00F419D7" w:rsidRPr="00CB59BF" w:rsidRDefault="00F419D7" w:rsidP="00CB59BF">
            <w:pPr>
              <w:keepNext/>
              <w:jc w:val="center"/>
              <w:rPr>
                <w:sz w:val="20"/>
              </w:rPr>
            </w:pPr>
            <w:r w:rsidRPr="00CB59BF">
              <w:rPr>
                <w:sz w:val="20"/>
              </w:rPr>
              <w:t>Qty</w:t>
            </w:r>
          </w:p>
        </w:tc>
        <w:tc>
          <w:tcPr>
            <w:tcW w:w="540" w:type="pct"/>
            <w:tcBorders>
              <w:bottom w:val="single" w:sz="4" w:space="0" w:color="auto"/>
            </w:tcBorders>
          </w:tcPr>
          <w:p w:rsidR="00F419D7" w:rsidRPr="00CB59BF" w:rsidRDefault="00F419D7" w:rsidP="00CB59BF">
            <w:pPr>
              <w:keepNext/>
              <w:jc w:val="center"/>
              <w:rPr>
                <w:sz w:val="20"/>
              </w:rPr>
            </w:pPr>
            <w:r w:rsidRPr="00CB59BF">
              <w:rPr>
                <w:sz w:val="20"/>
              </w:rPr>
              <w:t>№.of</w:t>
            </w:r>
          </w:p>
          <w:p w:rsidR="00F419D7" w:rsidRPr="00CB59BF" w:rsidRDefault="00F419D7" w:rsidP="00CB59BF">
            <w:pPr>
              <w:keepNext/>
              <w:jc w:val="center"/>
              <w:rPr>
                <w:sz w:val="20"/>
              </w:rPr>
            </w:pPr>
            <w:r w:rsidRPr="00CB59BF">
              <w:rPr>
                <w:sz w:val="20"/>
              </w:rPr>
              <w:t>Rpts</w:t>
            </w:r>
          </w:p>
        </w:tc>
        <w:tc>
          <w:tcPr>
            <w:tcW w:w="2468" w:type="pct"/>
            <w:gridSpan w:val="2"/>
            <w:tcBorders>
              <w:bottom w:val="single" w:sz="4" w:space="0" w:color="auto"/>
            </w:tcBorders>
          </w:tcPr>
          <w:p w:rsidR="00F419D7" w:rsidRPr="00CB59BF" w:rsidRDefault="00F419D7" w:rsidP="00CB59BF">
            <w:pPr>
              <w:keepNext/>
              <w:jc w:val="center"/>
              <w:rPr>
                <w:sz w:val="20"/>
                <w:lang w:val="fr-FR"/>
              </w:rPr>
            </w:pPr>
            <w:r w:rsidRPr="00CB59BF">
              <w:rPr>
                <w:sz w:val="20"/>
              </w:rPr>
              <w:t>Proprietary Name and Manufacturer</w:t>
            </w:r>
          </w:p>
        </w:tc>
      </w:tr>
      <w:tr w:rsidR="00F419D7" w:rsidRPr="00CB59BF" w:rsidTr="00F419D7">
        <w:trPr>
          <w:cantSplit/>
          <w:trHeight w:val="577"/>
        </w:trPr>
        <w:tc>
          <w:tcPr>
            <w:tcW w:w="1632" w:type="pct"/>
            <w:gridSpan w:val="2"/>
          </w:tcPr>
          <w:p w:rsidR="00F419D7" w:rsidRPr="00CB59BF" w:rsidRDefault="00F419D7" w:rsidP="00CB59BF">
            <w:pPr>
              <w:keepNext/>
              <w:jc w:val="left"/>
              <w:rPr>
                <w:rFonts w:ascii="Arial Narrow" w:hAnsi="Arial Narrow"/>
                <w:sz w:val="20"/>
              </w:rPr>
            </w:pPr>
            <w:r w:rsidRPr="00CB59BF">
              <w:rPr>
                <w:smallCaps/>
                <w:sz w:val="20"/>
              </w:rPr>
              <w:t xml:space="preserve">Paliperidone </w:t>
            </w:r>
          </w:p>
          <w:p w:rsidR="00F419D7" w:rsidRPr="00CB59BF" w:rsidRDefault="00F419D7" w:rsidP="00CB59BF">
            <w:pPr>
              <w:keepNext/>
              <w:jc w:val="left"/>
              <w:rPr>
                <w:rFonts w:ascii="Arial Narrow" w:hAnsi="Arial Narrow"/>
                <w:sz w:val="20"/>
              </w:rPr>
            </w:pPr>
            <w:r w:rsidRPr="00CB59BF">
              <w:rPr>
                <w:rFonts w:ascii="Arial Narrow" w:hAnsi="Arial Narrow"/>
                <w:sz w:val="20"/>
              </w:rPr>
              <w:t>Aqueous solution for injection, 273mg, prefilled syringe</w:t>
            </w:r>
          </w:p>
          <w:p w:rsidR="00F419D7" w:rsidRPr="00CB59BF" w:rsidRDefault="00F419D7" w:rsidP="00CB59BF">
            <w:pPr>
              <w:keepNext/>
              <w:rPr>
                <w:rFonts w:ascii="Arial Narrow" w:hAnsi="Arial Narrow"/>
                <w:sz w:val="20"/>
              </w:rPr>
            </w:pPr>
            <w:r w:rsidRPr="00CB59BF">
              <w:rPr>
                <w:rFonts w:ascii="Arial Narrow" w:hAnsi="Arial Narrow"/>
                <w:sz w:val="20"/>
              </w:rPr>
              <w:t>Aqueous solution for injection, 410mg, prefilled syringe</w:t>
            </w:r>
          </w:p>
          <w:p w:rsidR="00F419D7" w:rsidRPr="00CB59BF" w:rsidRDefault="00F419D7" w:rsidP="00CB59BF">
            <w:pPr>
              <w:keepNext/>
              <w:rPr>
                <w:rFonts w:ascii="Arial Narrow" w:hAnsi="Arial Narrow"/>
                <w:sz w:val="20"/>
              </w:rPr>
            </w:pPr>
            <w:r w:rsidRPr="00CB59BF">
              <w:rPr>
                <w:rFonts w:ascii="Arial Narrow" w:hAnsi="Arial Narrow"/>
                <w:sz w:val="20"/>
              </w:rPr>
              <w:t>Aqueous solution for injection, 546mg, prefilled syringe</w:t>
            </w:r>
          </w:p>
          <w:p w:rsidR="00F419D7" w:rsidRPr="00CB59BF" w:rsidRDefault="00F419D7" w:rsidP="00CB59BF">
            <w:pPr>
              <w:keepNext/>
              <w:rPr>
                <w:sz w:val="20"/>
              </w:rPr>
            </w:pPr>
            <w:r w:rsidRPr="00CB59BF">
              <w:rPr>
                <w:rFonts w:ascii="Arial Narrow" w:hAnsi="Arial Narrow"/>
                <w:sz w:val="20"/>
              </w:rPr>
              <w:t>Aqueous solution for injection, 819mg, prefilled syringe</w:t>
            </w:r>
          </w:p>
        </w:tc>
        <w:tc>
          <w:tcPr>
            <w:tcW w:w="360" w:type="pct"/>
          </w:tcPr>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tc>
        <w:tc>
          <w:tcPr>
            <w:tcW w:w="540" w:type="pct"/>
          </w:tcPr>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p w:rsidR="00F419D7" w:rsidRPr="00CB59BF" w:rsidRDefault="00F419D7" w:rsidP="00CB59BF">
            <w:pPr>
              <w:keepNext/>
              <w:jc w:val="center"/>
              <w:rPr>
                <w:sz w:val="20"/>
              </w:rPr>
            </w:pPr>
          </w:p>
          <w:p w:rsidR="00F419D7" w:rsidRPr="00CB59BF" w:rsidRDefault="00F419D7" w:rsidP="00CB59BF">
            <w:pPr>
              <w:keepNext/>
              <w:jc w:val="center"/>
              <w:rPr>
                <w:sz w:val="20"/>
              </w:rPr>
            </w:pPr>
            <w:r w:rsidRPr="00CB59BF">
              <w:rPr>
                <w:sz w:val="20"/>
              </w:rPr>
              <w:t>1</w:t>
            </w:r>
          </w:p>
        </w:tc>
        <w:tc>
          <w:tcPr>
            <w:tcW w:w="1109" w:type="pct"/>
            <w:vAlign w:val="center"/>
          </w:tcPr>
          <w:p w:rsidR="00F419D7" w:rsidRPr="00CB59BF" w:rsidRDefault="00F419D7" w:rsidP="00CB59BF">
            <w:pPr>
              <w:keepNext/>
              <w:jc w:val="center"/>
              <w:rPr>
                <w:sz w:val="20"/>
                <w:vertAlign w:val="superscript"/>
              </w:rPr>
            </w:pPr>
            <w:proofErr w:type="spellStart"/>
            <w:r w:rsidRPr="00CB59BF">
              <w:rPr>
                <w:sz w:val="20"/>
              </w:rPr>
              <w:t>Invega</w:t>
            </w:r>
            <w:proofErr w:type="spellEnd"/>
            <w:r w:rsidRPr="00CB59BF">
              <w:rPr>
                <w:sz w:val="20"/>
                <w:vertAlign w:val="superscript"/>
              </w:rPr>
              <w:t>®</w:t>
            </w:r>
            <w:r w:rsidRPr="00CB59BF">
              <w:rPr>
                <w:sz w:val="20"/>
              </w:rPr>
              <w:t xml:space="preserve"> </w:t>
            </w:r>
            <w:proofErr w:type="spellStart"/>
            <w:r w:rsidRPr="00CB59BF">
              <w:rPr>
                <w:sz w:val="20"/>
              </w:rPr>
              <w:t>Trinza</w:t>
            </w:r>
            <w:proofErr w:type="spellEnd"/>
            <w:r w:rsidRPr="00CB59BF">
              <w:rPr>
                <w:sz w:val="20"/>
                <w:vertAlign w:val="superscript"/>
              </w:rPr>
              <w:t>™</w:t>
            </w:r>
          </w:p>
        </w:tc>
        <w:tc>
          <w:tcPr>
            <w:tcW w:w="1359" w:type="pct"/>
            <w:vAlign w:val="center"/>
          </w:tcPr>
          <w:p w:rsidR="00F419D7" w:rsidRPr="00CB59BF" w:rsidRDefault="00F419D7" w:rsidP="00CB59BF">
            <w:pPr>
              <w:keepNext/>
              <w:jc w:val="center"/>
              <w:rPr>
                <w:sz w:val="20"/>
              </w:rPr>
            </w:pPr>
            <w:r w:rsidRPr="00CB59BF">
              <w:rPr>
                <w:sz w:val="20"/>
              </w:rPr>
              <w:t>Janssen-</w:t>
            </w:r>
            <w:proofErr w:type="spellStart"/>
            <w:r w:rsidRPr="00CB59BF">
              <w:rPr>
                <w:sz w:val="20"/>
              </w:rPr>
              <w:t>Cilag</w:t>
            </w:r>
            <w:proofErr w:type="spellEnd"/>
            <w:r w:rsidRPr="00CB59BF">
              <w:rPr>
                <w:sz w:val="20"/>
              </w:rPr>
              <w:t xml:space="preserve"> Pty Ltd.</w:t>
            </w: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rPr>
                <w:rFonts w:ascii="Arial Narrow" w:hAnsi="Arial Narrow"/>
                <w:b/>
                <w:snapToGrid/>
                <w:sz w:val="20"/>
                <w:lang w:eastAsia="en-AU"/>
              </w:rPr>
            </w:pPr>
            <w:r w:rsidRPr="00CB59BF">
              <w:rPr>
                <w:rFonts w:ascii="Arial Narrow" w:hAnsi="Arial Narrow"/>
                <w:b/>
                <w:snapToGrid/>
                <w:sz w:val="20"/>
                <w:lang w:eastAsia="en-AU"/>
              </w:rPr>
              <w:t xml:space="preserve">Category / </w:t>
            </w:r>
          </w:p>
          <w:p w:rsidR="00457A44" w:rsidRPr="00CB59BF" w:rsidRDefault="00457A44" w:rsidP="00CB59BF">
            <w:pPr>
              <w:widowControl/>
              <w:snapToGrid w:val="0"/>
              <w:spacing w:line="20" w:lineRule="atLeast"/>
              <w:rPr>
                <w:b/>
                <w:lang w:eastAsia="en-AU"/>
              </w:rPr>
            </w:pPr>
            <w:r w:rsidRPr="00CB59BF">
              <w:rPr>
                <w:rFonts w:ascii="Arial Narrow" w:hAnsi="Arial Narrow"/>
                <w:b/>
                <w:snapToGrid/>
                <w:sz w:val="20"/>
                <w:lang w:eastAsia="en-AU"/>
              </w:rPr>
              <w:t>Program</w:t>
            </w: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t>GENERAL – General Schedule (Code GE)</w:t>
            </w:r>
          </w:p>
          <w:p w:rsidR="00457A44" w:rsidRPr="00CB59BF" w:rsidRDefault="00457A44" w:rsidP="00CB59BF">
            <w:pPr>
              <w:widowControl/>
              <w:snapToGrid w:val="0"/>
              <w:spacing w:line="20" w:lineRule="atLeast"/>
              <w:rPr>
                <w:rFonts w:ascii="Arial Narrow" w:hAnsi="Arial Narrow"/>
                <w:b/>
                <w:sz w:val="20"/>
                <w:lang w:eastAsia="en-AU"/>
              </w:rPr>
            </w:pP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rPr>
                <w:rFonts w:ascii="Arial Narrow" w:hAnsi="Arial Narrow"/>
                <w:b/>
                <w:snapToGrid/>
                <w:sz w:val="20"/>
                <w:lang w:eastAsia="en-AU"/>
              </w:rPr>
            </w:pPr>
            <w:r w:rsidRPr="00CB59BF">
              <w:rPr>
                <w:rFonts w:ascii="Arial Narrow" w:hAnsi="Arial Narrow"/>
                <w:b/>
                <w:snapToGrid/>
                <w:sz w:val="20"/>
                <w:lang w:eastAsia="en-AU"/>
              </w:rPr>
              <w:t>Prescriber type:</w:t>
            </w:r>
          </w:p>
          <w:p w:rsidR="00457A44" w:rsidRPr="00CB59BF" w:rsidRDefault="00457A44" w:rsidP="00CB59BF">
            <w:pPr>
              <w:widowControl/>
              <w:snapToGrid w:val="0"/>
              <w:spacing w:line="20" w:lineRule="atLeast"/>
              <w:rPr>
                <w:rFonts w:ascii="Arial Narrow" w:hAnsi="Arial Narrow"/>
                <w:b/>
                <w:sz w:val="20"/>
                <w:lang w:eastAsia="en-AU"/>
              </w:rPr>
            </w:pP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1"/>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 xml:space="preserve">Dental  </w:t>
            </w:r>
            <w:r w:rsidRPr="00CB59BF">
              <w:rPr>
                <w:rFonts w:ascii="Arial Narrow" w:hAnsi="Arial Narrow"/>
                <w:snapToGrid/>
                <w:sz w:val="20"/>
                <w:lang w:eastAsia="en-AU"/>
              </w:rPr>
              <w:fldChar w:fldCharType="begin">
                <w:ffData>
                  <w:name w:val=""/>
                  <w:enabled/>
                  <w:calcOnExit w:val="0"/>
                  <w:checkBox>
                    <w:sizeAuto/>
                    <w:default w:val="1"/>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 xml:space="preserve">Medical Practitioners  </w:t>
            </w:r>
            <w:r w:rsidRPr="00CB59BF">
              <w:rPr>
                <w:rFonts w:ascii="Arial Narrow" w:hAnsi="Arial Narrow"/>
                <w:snapToGrid/>
                <w:sz w:val="20"/>
                <w:lang w:eastAsia="en-AU"/>
              </w:rPr>
              <w:fldChar w:fldCharType="begin">
                <w:ffData>
                  <w:name w:val=""/>
                  <w:enabled/>
                  <w:calcOnExit w:val="0"/>
                  <w:checkBox>
                    <w:sizeAuto/>
                    <w:default w:val="1"/>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 xml:space="preserve">Nurse practitioners  </w:t>
            </w:r>
            <w:r w:rsidRPr="00CB59BF">
              <w:rPr>
                <w:rFonts w:ascii="Arial Narrow" w:hAnsi="Arial Narrow"/>
                <w:snapToGrid/>
                <w:sz w:val="20"/>
                <w:lang w:eastAsia="en-AU"/>
              </w:rPr>
              <w:fldChar w:fldCharType="begin">
                <w:ffData>
                  <w:name w:val=""/>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Optometrists</w:t>
            </w:r>
          </w:p>
          <w:p w:rsidR="00457A44" w:rsidRPr="00CB59BF" w:rsidRDefault="00457A44" w:rsidP="00CB59BF">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fldChar w:fldCharType="begin">
                <w:ffData>
                  <w:name w:val="Check5"/>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Midwives</w:t>
            </w: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snapToGrid w:val="0"/>
              <w:spacing w:line="20" w:lineRule="atLeast"/>
              <w:rPr>
                <w:rFonts w:ascii="Arial Narrow" w:hAnsi="Arial Narrow"/>
                <w:b/>
                <w:sz w:val="20"/>
                <w:lang w:eastAsia="en-AU"/>
              </w:rPr>
            </w:pPr>
            <w:r w:rsidRPr="00CB59BF">
              <w:rPr>
                <w:rFonts w:ascii="Arial Narrow" w:hAnsi="Arial Narrow"/>
                <w:b/>
                <w:snapToGrid/>
                <w:sz w:val="20"/>
                <w:lang w:eastAsia="en-AU"/>
              </w:rPr>
              <w:t>Condition:</w:t>
            </w: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t>Schizophrenia</w:t>
            </w: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2A367F">
            <w:pPr>
              <w:widowControl/>
              <w:rPr>
                <w:rFonts w:ascii="Arial Narrow" w:hAnsi="Arial Narrow"/>
                <w:b/>
                <w:sz w:val="20"/>
                <w:lang w:eastAsia="en-AU"/>
              </w:rPr>
            </w:pPr>
            <w:r w:rsidRPr="00CB59BF">
              <w:rPr>
                <w:rFonts w:ascii="Arial Narrow" w:hAnsi="Arial Narrow"/>
                <w:b/>
                <w:snapToGrid/>
                <w:sz w:val="20"/>
                <w:lang w:eastAsia="en-AU"/>
              </w:rPr>
              <w:t>PBS Indication:</w:t>
            </w: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t>Schizophrenia</w:t>
            </w: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rPr>
                <w:rFonts w:ascii="Arial Narrow" w:hAnsi="Arial Narrow"/>
                <w:b/>
                <w:snapToGrid/>
                <w:sz w:val="20"/>
                <w:lang w:eastAsia="en-AU"/>
              </w:rPr>
            </w:pPr>
            <w:r w:rsidRPr="00CB59BF">
              <w:rPr>
                <w:rFonts w:ascii="Arial Narrow" w:hAnsi="Arial Narrow"/>
                <w:b/>
                <w:snapToGrid/>
                <w:sz w:val="20"/>
                <w:lang w:eastAsia="en-AU"/>
              </w:rPr>
              <w:t xml:space="preserve">Restriction Level / </w:t>
            </w:r>
            <w:r w:rsidRPr="00CB59BF">
              <w:rPr>
                <w:rFonts w:ascii="Arial Narrow" w:hAnsi="Arial Narrow"/>
                <w:b/>
                <w:snapToGrid/>
                <w:sz w:val="20"/>
                <w:lang w:eastAsia="en-AU"/>
              </w:rPr>
              <w:lastRenderedPageBreak/>
              <w:t>Method:</w:t>
            </w:r>
          </w:p>
          <w:p w:rsidR="00457A44" w:rsidRPr="00CB59BF" w:rsidRDefault="00457A44" w:rsidP="00CB59BF">
            <w:pPr>
              <w:widowControl/>
              <w:jc w:val="left"/>
              <w:rPr>
                <w:rFonts w:ascii="Arial Narrow" w:hAnsi="Arial Narrow"/>
                <w:snapToGrid/>
                <w:sz w:val="20"/>
                <w:lang w:eastAsia="en-AU"/>
              </w:rPr>
            </w:pPr>
          </w:p>
          <w:p w:rsidR="00457A44" w:rsidRPr="00CB59BF" w:rsidRDefault="00457A44" w:rsidP="00CB59BF">
            <w:pPr>
              <w:widowControl/>
              <w:snapToGrid w:val="0"/>
              <w:spacing w:line="20" w:lineRule="atLeast"/>
              <w:rPr>
                <w:b/>
                <w:lang w:eastAsia="en-AU"/>
              </w:rPr>
            </w:pP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lastRenderedPageBreak/>
              <w:fldChar w:fldCharType="begin">
                <w:ffData>
                  <w:name w:val="Check1"/>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Restricted benefit</w:t>
            </w:r>
          </w:p>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lastRenderedPageBreak/>
              <w:fldChar w:fldCharType="begin">
                <w:ffData>
                  <w:name w:val=""/>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In Writing</w:t>
            </w:r>
          </w:p>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3"/>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Telephone</w:t>
            </w:r>
          </w:p>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Emergency</w:t>
            </w:r>
          </w:p>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fldChar w:fldCharType="begin">
                <w:ffData>
                  <w:name w:val="Check5"/>
                  <w:enabled/>
                  <w:calcOnExit w:val="0"/>
                  <w:checkBox>
                    <w:sizeAuto/>
                    <w:default w:val="0"/>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Authority Required - Electronic</w:t>
            </w:r>
          </w:p>
          <w:p w:rsidR="00457A44" w:rsidRPr="00CB59BF" w:rsidRDefault="00457A44" w:rsidP="00CB59BF">
            <w:pPr>
              <w:widowControl/>
              <w:snapToGrid w:val="0"/>
              <w:spacing w:line="20" w:lineRule="atLeast"/>
              <w:rPr>
                <w:rFonts w:ascii="Arial Narrow" w:hAnsi="Arial Narrow"/>
                <w:sz w:val="20"/>
                <w:lang w:eastAsia="en-AU"/>
              </w:rPr>
            </w:pPr>
            <w:r w:rsidRPr="00CB59BF">
              <w:rPr>
                <w:rFonts w:ascii="Arial Narrow" w:hAnsi="Arial Narrow"/>
                <w:snapToGrid/>
                <w:sz w:val="20"/>
                <w:lang w:eastAsia="en-AU"/>
              </w:rPr>
              <w:fldChar w:fldCharType="begin">
                <w:ffData>
                  <w:name w:val=""/>
                  <w:enabled/>
                  <w:calcOnExit w:val="0"/>
                  <w:checkBox>
                    <w:sizeAuto/>
                    <w:default w:val="1"/>
                  </w:checkBox>
                </w:ffData>
              </w:fldChar>
            </w:r>
            <w:r w:rsidRPr="00CB59BF">
              <w:rPr>
                <w:rFonts w:ascii="Arial Narrow" w:hAnsi="Arial Narrow"/>
                <w:snapToGrid/>
                <w:sz w:val="20"/>
                <w:lang w:eastAsia="en-AU"/>
              </w:rPr>
              <w:instrText xml:space="preserve"> FORMCHECKBOX </w:instrText>
            </w:r>
            <w:r w:rsidR="00703377">
              <w:rPr>
                <w:rFonts w:ascii="Arial Narrow" w:hAnsi="Arial Narrow"/>
                <w:snapToGrid/>
                <w:sz w:val="20"/>
                <w:lang w:eastAsia="en-AU"/>
              </w:rPr>
            </w:r>
            <w:r w:rsidR="00703377">
              <w:rPr>
                <w:rFonts w:ascii="Arial Narrow" w:hAnsi="Arial Narrow"/>
                <w:snapToGrid/>
                <w:sz w:val="20"/>
                <w:lang w:eastAsia="en-AU"/>
              </w:rPr>
              <w:fldChar w:fldCharType="separate"/>
            </w:r>
            <w:r w:rsidRPr="00CB59BF">
              <w:rPr>
                <w:rFonts w:ascii="Arial Narrow" w:hAnsi="Arial Narrow"/>
                <w:snapToGrid/>
                <w:sz w:val="20"/>
                <w:lang w:eastAsia="en-AU"/>
              </w:rPr>
              <w:fldChar w:fldCharType="end"/>
            </w:r>
            <w:r w:rsidRPr="00CB59BF">
              <w:rPr>
                <w:rFonts w:ascii="Arial Narrow" w:hAnsi="Arial Narrow"/>
                <w:snapToGrid/>
                <w:sz w:val="20"/>
                <w:lang w:eastAsia="en-AU"/>
              </w:rPr>
              <w:t>Streamlined</w:t>
            </w: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rPr>
                <w:rFonts w:ascii="Arial Narrow" w:hAnsi="Arial Narrow"/>
                <w:b/>
                <w:snapToGrid/>
                <w:sz w:val="20"/>
                <w:lang w:eastAsia="en-AU"/>
              </w:rPr>
            </w:pPr>
            <w:r w:rsidRPr="00CB59BF">
              <w:rPr>
                <w:rFonts w:ascii="Arial Narrow" w:hAnsi="Arial Narrow"/>
                <w:b/>
                <w:snapToGrid/>
                <w:sz w:val="20"/>
                <w:lang w:eastAsia="en-AU"/>
              </w:rPr>
              <w:lastRenderedPageBreak/>
              <w:t>Clinical criteria:</w:t>
            </w:r>
          </w:p>
          <w:p w:rsidR="00457A44" w:rsidRPr="00CB59BF" w:rsidRDefault="00457A44" w:rsidP="00CB59BF">
            <w:pPr>
              <w:widowControl/>
              <w:snapToGrid w:val="0"/>
              <w:spacing w:line="20" w:lineRule="atLeast"/>
              <w:rPr>
                <w:b/>
                <w:lang w:eastAsia="en-AU"/>
              </w:rPr>
            </w:pP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t xml:space="preserve">Patient must have previously received and be stabilised on PBS-subsidised paliperidone once-monthly injection for at least 4 consecutive months. </w:t>
            </w:r>
          </w:p>
          <w:p w:rsidR="00457A44" w:rsidRPr="00CB59BF" w:rsidRDefault="00457A44" w:rsidP="00CB59BF">
            <w:pPr>
              <w:widowControl/>
              <w:snapToGrid w:val="0"/>
              <w:spacing w:line="20" w:lineRule="atLeast"/>
              <w:rPr>
                <w:rFonts w:ascii="Arial Narrow" w:hAnsi="Arial Narrow"/>
                <w:sz w:val="20"/>
                <w:lang w:eastAsia="en-AU"/>
              </w:rPr>
            </w:pP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rPr>
                <w:rFonts w:ascii="Arial Narrow" w:hAnsi="Arial Narrow"/>
                <w:b/>
                <w:snapToGrid/>
                <w:sz w:val="20"/>
                <w:lang w:eastAsia="en-AU"/>
              </w:rPr>
            </w:pPr>
            <w:r w:rsidRPr="00CB59BF">
              <w:rPr>
                <w:rFonts w:ascii="Arial Narrow" w:hAnsi="Arial Narrow"/>
                <w:b/>
                <w:snapToGrid/>
                <w:sz w:val="20"/>
                <w:lang w:eastAsia="en-AU"/>
              </w:rPr>
              <w:t>Prescriber Instructions</w:t>
            </w:r>
          </w:p>
          <w:p w:rsidR="00457A44" w:rsidRPr="00CB59BF" w:rsidRDefault="00457A44" w:rsidP="00CB59BF">
            <w:pPr>
              <w:widowControl/>
              <w:rPr>
                <w:rFonts w:ascii="Arial Narrow" w:hAnsi="Arial Narrow"/>
                <w:snapToGrid/>
                <w:sz w:val="20"/>
                <w:lang w:eastAsia="en-AU"/>
              </w:rPr>
            </w:pPr>
          </w:p>
          <w:p w:rsidR="00457A44" w:rsidRPr="00CB59BF" w:rsidRDefault="00457A44" w:rsidP="00CB59BF">
            <w:pPr>
              <w:widowControl/>
              <w:snapToGrid w:val="0"/>
              <w:spacing w:line="20" w:lineRule="atLeast"/>
              <w:rPr>
                <w:rFonts w:ascii="Arial Narrow" w:hAnsi="Arial Narrow"/>
                <w:b/>
                <w:sz w:val="20"/>
                <w:lang w:eastAsia="en-AU"/>
              </w:rPr>
            </w:pP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jc w:val="left"/>
              <w:rPr>
                <w:rFonts w:ascii="Arial Narrow" w:hAnsi="Arial Narrow"/>
                <w:b/>
                <w:snapToGrid/>
                <w:sz w:val="20"/>
                <w:lang w:eastAsia="en-AU"/>
              </w:rPr>
            </w:pPr>
            <w:r w:rsidRPr="00CB59BF">
              <w:rPr>
                <w:rFonts w:ascii="Arial Narrow" w:hAnsi="Arial Narrow"/>
                <w:b/>
                <w:snapToGrid/>
                <w:sz w:val="20"/>
                <w:lang w:eastAsia="en-AU"/>
              </w:rPr>
              <w:t>Shared Care Model:</w:t>
            </w:r>
          </w:p>
          <w:p w:rsidR="00457A44" w:rsidRPr="00CB59BF" w:rsidRDefault="00457A44" w:rsidP="00CB59BF">
            <w:pPr>
              <w:widowControl/>
              <w:jc w:val="left"/>
              <w:rPr>
                <w:rFonts w:ascii="Arial Narrow" w:hAnsi="Arial Narrow"/>
                <w:snapToGrid/>
                <w:sz w:val="20"/>
                <w:lang w:eastAsia="en-AU"/>
              </w:rPr>
            </w:pPr>
          </w:p>
          <w:p w:rsidR="00457A44" w:rsidRPr="00CB59BF" w:rsidRDefault="00457A44" w:rsidP="00CB59BF">
            <w:pPr>
              <w:widowControl/>
              <w:rPr>
                <w:rFonts w:ascii="Arial Narrow" w:hAnsi="Arial Narrow"/>
                <w:color w:val="222222"/>
                <w:sz w:val="20"/>
                <w:lang w:eastAsia="en-AU"/>
              </w:rPr>
            </w:pPr>
            <w:r w:rsidRPr="00CB59BF">
              <w:rPr>
                <w:rFonts w:ascii="Arial Narrow" w:hAnsi="Arial Narrow"/>
                <w:snapToGrid/>
                <w:sz w:val="20"/>
                <w:lang w:eastAsia="en-AU"/>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457A44" w:rsidRPr="00CB59BF" w:rsidTr="00CB5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85" w:type="pct"/>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rPr>
                <w:rFonts w:ascii="Arial Narrow" w:hAnsi="Arial Narrow"/>
                <w:b/>
                <w:snapToGrid/>
                <w:sz w:val="20"/>
                <w:lang w:eastAsia="en-AU"/>
              </w:rPr>
            </w:pPr>
            <w:r w:rsidRPr="00CB59BF">
              <w:rPr>
                <w:rFonts w:ascii="Arial Narrow" w:hAnsi="Arial Narrow"/>
                <w:b/>
                <w:snapToGrid/>
                <w:sz w:val="20"/>
                <w:lang w:eastAsia="en-AU"/>
              </w:rPr>
              <w:t>Administrative Advice</w:t>
            </w:r>
          </w:p>
          <w:p w:rsidR="00457A44" w:rsidRPr="00CB59BF" w:rsidRDefault="00457A44" w:rsidP="00CB59BF">
            <w:pPr>
              <w:widowControl/>
              <w:rPr>
                <w:rFonts w:ascii="Arial Narrow" w:hAnsi="Arial Narrow"/>
                <w:b/>
                <w:snapToGrid/>
                <w:sz w:val="20"/>
                <w:lang w:eastAsia="en-AU"/>
              </w:rPr>
            </w:pPr>
          </w:p>
        </w:tc>
        <w:tc>
          <w:tcPr>
            <w:tcW w:w="3815" w:type="pct"/>
            <w:gridSpan w:val="5"/>
            <w:tcBorders>
              <w:top w:val="single" w:sz="4" w:space="0" w:color="auto"/>
              <w:left w:val="single" w:sz="4" w:space="0" w:color="auto"/>
              <w:bottom w:val="single" w:sz="4" w:space="0" w:color="auto"/>
              <w:right w:val="single" w:sz="4" w:space="0" w:color="auto"/>
            </w:tcBorders>
          </w:tcPr>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t>Patient dosage is to be determined as per the dose transition table in the Product Information based on the maintenance dose of paliperidone once</w:t>
            </w:r>
            <w:r w:rsidRPr="00CB59BF">
              <w:rPr>
                <w:rFonts w:ascii="Arial Narrow" w:hAnsi="Arial Narrow"/>
                <w:snapToGrid/>
                <w:sz w:val="20"/>
                <w:lang w:eastAsia="en-AU"/>
              </w:rPr>
              <w:noBreakHyphen/>
              <w:t xml:space="preserve">monthly injection. </w:t>
            </w:r>
          </w:p>
          <w:p w:rsidR="00457A44" w:rsidRPr="00CB59BF" w:rsidRDefault="00457A44" w:rsidP="00CB59BF">
            <w:pPr>
              <w:widowControl/>
              <w:jc w:val="left"/>
              <w:rPr>
                <w:rFonts w:ascii="Arial Narrow" w:hAnsi="Arial Narrow"/>
                <w:snapToGrid/>
                <w:sz w:val="20"/>
                <w:lang w:eastAsia="en-AU"/>
              </w:rPr>
            </w:pPr>
          </w:p>
          <w:p w:rsidR="00457A44" w:rsidRPr="00CB59BF" w:rsidRDefault="00457A44" w:rsidP="00CB59BF">
            <w:pPr>
              <w:widowControl/>
              <w:jc w:val="left"/>
              <w:rPr>
                <w:rFonts w:ascii="Arial Narrow" w:hAnsi="Arial Narrow"/>
                <w:snapToGrid/>
                <w:sz w:val="20"/>
                <w:lang w:eastAsia="en-AU"/>
              </w:rPr>
            </w:pPr>
            <w:r w:rsidRPr="00CB59BF">
              <w:rPr>
                <w:rFonts w:ascii="Arial Narrow" w:hAnsi="Arial Narrow"/>
                <w:snapToGrid/>
                <w:sz w:val="20"/>
                <w:lang w:eastAsia="en-AU"/>
              </w:rPr>
              <w:t>No increase in the maximum number of repeats may be authorised.</w:t>
            </w:r>
          </w:p>
          <w:p w:rsidR="00457A44" w:rsidRPr="00CB59BF" w:rsidRDefault="00457A44" w:rsidP="00CB59BF">
            <w:pPr>
              <w:widowControl/>
              <w:jc w:val="left"/>
              <w:rPr>
                <w:rFonts w:ascii="Arial Narrow" w:hAnsi="Arial Narrow"/>
                <w:snapToGrid/>
                <w:sz w:val="20"/>
                <w:lang w:eastAsia="en-AU"/>
              </w:rPr>
            </w:pPr>
          </w:p>
          <w:p w:rsidR="00457A44" w:rsidRPr="00CB59BF" w:rsidRDefault="00457A44" w:rsidP="00CB59BF">
            <w:pPr>
              <w:widowControl/>
              <w:jc w:val="left"/>
              <w:rPr>
                <w:rFonts w:ascii="Arial Narrow" w:hAnsi="Arial Narrow"/>
                <w:b/>
                <w:snapToGrid/>
                <w:sz w:val="20"/>
                <w:lang w:eastAsia="en-AU"/>
              </w:rPr>
            </w:pPr>
            <w:r w:rsidRPr="00CB59BF">
              <w:rPr>
                <w:rFonts w:ascii="Arial Narrow" w:hAnsi="Arial Narrow"/>
                <w:snapToGrid/>
                <w:sz w:val="20"/>
                <w:lang w:eastAsia="en-AU"/>
              </w:rPr>
              <w:t>No increase in the maximum quantity or number of units may be authorised.</w:t>
            </w:r>
          </w:p>
        </w:tc>
      </w:tr>
    </w:tbl>
    <w:p w:rsidR="00457A44" w:rsidRPr="00CB59BF" w:rsidRDefault="00457A44" w:rsidP="00FE0EBA">
      <w:pPr>
        <w:rPr>
          <w:b/>
          <w:bCs/>
        </w:rPr>
      </w:pPr>
    </w:p>
    <w:p w:rsidR="002A367F" w:rsidRPr="00C052DD" w:rsidRDefault="002A367F" w:rsidP="002A367F">
      <w:pPr>
        <w:rPr>
          <w:rFonts w:ascii="Calibri" w:hAnsi="Calibri" w:cs="Calibri"/>
        </w:rPr>
      </w:pPr>
    </w:p>
    <w:p w:rsidR="002A367F" w:rsidRPr="00570D4E" w:rsidRDefault="002A367F" w:rsidP="002A367F">
      <w:pPr>
        <w:pStyle w:val="PBACHeading1"/>
        <w:keepNext/>
        <w:outlineLvl w:val="0"/>
      </w:pPr>
      <w:r w:rsidRPr="00485DD3">
        <w:t>Context for Decision</w:t>
      </w:r>
    </w:p>
    <w:p w:rsidR="002A367F" w:rsidRDefault="002A367F" w:rsidP="002A367F">
      <w:pPr>
        <w:ind w:left="426"/>
      </w:pPr>
    </w:p>
    <w:p w:rsidR="002A367F" w:rsidRDefault="002A367F" w:rsidP="002A367F">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367F" w:rsidRDefault="002A367F" w:rsidP="002A367F">
      <w:pPr>
        <w:ind w:left="709"/>
      </w:pPr>
    </w:p>
    <w:p w:rsidR="002A367F" w:rsidRPr="00570D4E" w:rsidRDefault="002A367F" w:rsidP="002A367F">
      <w:pPr>
        <w:pStyle w:val="PBACHeading1"/>
        <w:keepNext/>
        <w:outlineLvl w:val="0"/>
      </w:pPr>
      <w:r w:rsidRPr="00485DD3">
        <w:t>Sponsor’s Comment</w:t>
      </w:r>
    </w:p>
    <w:p w:rsidR="002A367F" w:rsidRDefault="002A367F" w:rsidP="002A367F">
      <w:pPr>
        <w:ind w:left="426"/>
        <w:rPr>
          <w:bCs/>
          <w:highlight w:val="yellow"/>
          <w:lang w:val="en-GB"/>
        </w:rPr>
      </w:pPr>
    </w:p>
    <w:p w:rsidR="002A367F" w:rsidRDefault="002A367F" w:rsidP="002A367F">
      <w:pPr>
        <w:spacing w:after="120"/>
        <w:ind w:left="709"/>
        <w:rPr>
          <w:bCs/>
        </w:rPr>
      </w:pPr>
      <w:r w:rsidRPr="003035CC">
        <w:rPr>
          <w:bCs/>
        </w:rPr>
        <w:t>The sponsor had no comment.</w:t>
      </w:r>
    </w:p>
    <w:p w:rsidR="00A47AAA" w:rsidRPr="00A32D30" w:rsidRDefault="00A47AAA" w:rsidP="00F8574D">
      <w:pPr>
        <w:rPr>
          <w:rFonts w:ascii="Arial Narrow" w:hAnsi="Arial Narrow"/>
          <w:b/>
          <w:sz w:val="20"/>
        </w:rPr>
      </w:pPr>
    </w:p>
    <w:sectPr w:rsidR="00A47AAA" w:rsidRPr="00A32D30"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3E" w:rsidRDefault="009B013E" w:rsidP="00124A51">
      <w:r>
        <w:separator/>
      </w:r>
    </w:p>
  </w:endnote>
  <w:endnote w:type="continuationSeparator" w:id="0">
    <w:p w:rsidR="009B013E" w:rsidRDefault="009B013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D5" w:rsidRDefault="00AE3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394203"/>
      <w:docPartObj>
        <w:docPartGallery w:val="Page Numbers (Bottom of Page)"/>
        <w:docPartUnique/>
      </w:docPartObj>
    </w:sdtPr>
    <w:sdtEndPr>
      <w:rPr>
        <w:noProof/>
      </w:rPr>
    </w:sdtEndPr>
    <w:sdtContent>
      <w:p w:rsidR="00AE38D5" w:rsidRDefault="00AE38D5">
        <w:pPr>
          <w:pStyle w:val="Footer"/>
          <w:jc w:val="center"/>
        </w:pPr>
        <w:r>
          <w:fldChar w:fldCharType="begin"/>
        </w:r>
        <w:r>
          <w:instrText xml:space="preserve"> PAGE   \* MERGEFORMAT </w:instrText>
        </w:r>
        <w:r>
          <w:fldChar w:fldCharType="separate"/>
        </w:r>
        <w:r w:rsidR="00703377">
          <w:rPr>
            <w:noProof/>
          </w:rPr>
          <w:t>9</w:t>
        </w:r>
        <w:r>
          <w:rPr>
            <w:noProof/>
          </w:rPr>
          <w:fldChar w:fldCharType="end"/>
        </w:r>
      </w:p>
    </w:sdtContent>
  </w:sdt>
  <w:p w:rsidR="00AE38D5" w:rsidRDefault="00AE3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D5" w:rsidRDefault="00AE3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3E" w:rsidRDefault="009B013E" w:rsidP="00124A51">
      <w:r>
        <w:separator/>
      </w:r>
    </w:p>
  </w:footnote>
  <w:footnote w:type="continuationSeparator" w:id="0">
    <w:p w:rsidR="009B013E" w:rsidRDefault="009B013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D5" w:rsidRDefault="00AE38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D5" w:rsidRPr="00DF217D" w:rsidRDefault="00AE38D5" w:rsidP="00FE0EBA">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AE38D5" w:rsidRPr="00FE0EBA" w:rsidRDefault="00AE38D5" w:rsidP="00FE0EBA">
    <w:pPr>
      <w:pStyle w:val="Header"/>
      <w:ind w:left="360"/>
      <w:jc w:val="center"/>
      <w:rPr>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D5" w:rsidRDefault="00AE3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D0CB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33A1D"/>
    <w:multiLevelType w:val="hybridMultilevel"/>
    <w:tmpl w:val="6F082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A50902"/>
    <w:multiLevelType w:val="hybridMultilevel"/>
    <w:tmpl w:val="70CCD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10C4F7E"/>
    <w:multiLevelType w:val="hybridMultilevel"/>
    <w:tmpl w:val="BE206A74"/>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8">
    <w:nsid w:val="33E75C4F"/>
    <w:multiLevelType w:val="hybridMultilevel"/>
    <w:tmpl w:val="5B8EC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EE5ED3"/>
    <w:multiLevelType w:val="hybridMultilevel"/>
    <w:tmpl w:val="3F564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7C34E2"/>
    <w:multiLevelType w:val="hybridMultilevel"/>
    <w:tmpl w:val="7F22C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2">
    <w:nsid w:val="3E811DE6"/>
    <w:multiLevelType w:val="hybridMultilevel"/>
    <w:tmpl w:val="33548A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25D3864"/>
    <w:multiLevelType w:val="hybridMultilevel"/>
    <w:tmpl w:val="113EE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6637E99"/>
    <w:multiLevelType w:val="hybridMultilevel"/>
    <w:tmpl w:val="04684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51E45388"/>
    <w:multiLevelType w:val="hybridMultilevel"/>
    <w:tmpl w:val="F4700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42D14E8"/>
    <w:multiLevelType w:val="hybridMultilevel"/>
    <w:tmpl w:val="67F81CCA"/>
    <w:lvl w:ilvl="0" w:tplc="B6845D9C">
      <w:start w:val="1"/>
      <w:numFmt w:val="decimal"/>
      <w:lvlText w:val="%1."/>
      <w:lvlJc w:val="left"/>
      <w:pPr>
        <w:ind w:left="780" w:hanging="4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AC310F"/>
    <w:multiLevelType w:val="multilevel"/>
    <w:tmpl w:val="247E699A"/>
    <w:lvl w:ilvl="0">
      <w:start w:val="1"/>
      <w:numFmt w:val="decimal"/>
      <w:pStyle w:val="TableTitleB"/>
      <w:lvlText w:val="Tabl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431540F"/>
    <w:multiLevelType w:val="hybridMultilevel"/>
    <w:tmpl w:val="25AA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4A119B3"/>
    <w:multiLevelType w:val="hybridMultilevel"/>
    <w:tmpl w:val="8924D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5E94C14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1"/>
  </w:num>
  <w:num w:numId="3">
    <w:abstractNumId w:val="16"/>
  </w:num>
  <w:num w:numId="4">
    <w:abstractNumId w:val="10"/>
  </w:num>
  <w:num w:numId="5">
    <w:abstractNumId w:val="2"/>
  </w:num>
  <w:num w:numId="6">
    <w:abstractNumId w:val="24"/>
  </w:num>
  <w:num w:numId="7">
    <w:abstractNumId w:val="9"/>
  </w:num>
  <w:num w:numId="8">
    <w:abstractNumId w:val="13"/>
  </w:num>
  <w:num w:numId="9">
    <w:abstractNumId w:val="3"/>
  </w:num>
  <w:num w:numId="10">
    <w:abstractNumId w:val="0"/>
  </w:num>
  <w:num w:numId="11">
    <w:abstractNumId w:val="5"/>
  </w:num>
  <w:num w:numId="12">
    <w:abstractNumId w:val="12"/>
  </w:num>
  <w:num w:numId="13">
    <w:abstractNumId w:val="8"/>
  </w:num>
  <w:num w:numId="14">
    <w:abstractNumId w:val="17"/>
  </w:num>
  <w:num w:numId="15">
    <w:abstractNumId w:val="23"/>
  </w:num>
  <w:num w:numId="16">
    <w:abstractNumId w:val="22"/>
  </w:num>
  <w:num w:numId="17">
    <w:abstractNumId w:val="7"/>
  </w:num>
  <w:num w:numId="18">
    <w:abstractNumId w:val="18"/>
  </w:num>
  <w:num w:numId="19">
    <w:abstractNumId w:val="24"/>
  </w:num>
  <w:num w:numId="20">
    <w:abstractNumId w:val="15"/>
  </w:num>
  <w:num w:numId="21">
    <w:abstractNumId w:val="19"/>
  </w:num>
  <w:num w:numId="22">
    <w:abstractNumId w:val="4"/>
  </w:num>
  <w:num w:numId="23">
    <w:abstractNumId w:val="1"/>
  </w:num>
  <w:num w:numId="24">
    <w:abstractNumId w:val="6"/>
  </w:num>
  <w:num w:numId="25">
    <w:abstractNumId w:val="14"/>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632E"/>
    <w:rsid w:val="00012EA6"/>
    <w:rsid w:val="0001304A"/>
    <w:rsid w:val="00013247"/>
    <w:rsid w:val="000138EF"/>
    <w:rsid w:val="00015886"/>
    <w:rsid w:val="00015992"/>
    <w:rsid w:val="000162EF"/>
    <w:rsid w:val="0001703B"/>
    <w:rsid w:val="00017989"/>
    <w:rsid w:val="00021947"/>
    <w:rsid w:val="0002225F"/>
    <w:rsid w:val="00023763"/>
    <w:rsid w:val="00025D2C"/>
    <w:rsid w:val="0002618F"/>
    <w:rsid w:val="00026D8A"/>
    <w:rsid w:val="00040895"/>
    <w:rsid w:val="00043C37"/>
    <w:rsid w:val="00046834"/>
    <w:rsid w:val="000526C8"/>
    <w:rsid w:val="00052AED"/>
    <w:rsid w:val="000546D7"/>
    <w:rsid w:val="00057D59"/>
    <w:rsid w:val="00070B2E"/>
    <w:rsid w:val="00071248"/>
    <w:rsid w:val="000720B9"/>
    <w:rsid w:val="00073248"/>
    <w:rsid w:val="00073F59"/>
    <w:rsid w:val="00076D75"/>
    <w:rsid w:val="000812CA"/>
    <w:rsid w:val="00082BF4"/>
    <w:rsid w:val="00090C7E"/>
    <w:rsid w:val="00096F2E"/>
    <w:rsid w:val="000A3E57"/>
    <w:rsid w:val="000A6183"/>
    <w:rsid w:val="000A633D"/>
    <w:rsid w:val="000B3BBA"/>
    <w:rsid w:val="000B4764"/>
    <w:rsid w:val="000B4DA5"/>
    <w:rsid w:val="000B61F7"/>
    <w:rsid w:val="000C11AC"/>
    <w:rsid w:val="000C370B"/>
    <w:rsid w:val="000D1BFC"/>
    <w:rsid w:val="000D1ED8"/>
    <w:rsid w:val="000D567D"/>
    <w:rsid w:val="000D5F8E"/>
    <w:rsid w:val="000E112B"/>
    <w:rsid w:val="000E14C5"/>
    <w:rsid w:val="000E3229"/>
    <w:rsid w:val="000E3986"/>
    <w:rsid w:val="000E58C7"/>
    <w:rsid w:val="000E7091"/>
    <w:rsid w:val="000E7C86"/>
    <w:rsid w:val="000F32DB"/>
    <w:rsid w:val="000F3B88"/>
    <w:rsid w:val="000F4BB8"/>
    <w:rsid w:val="000F7127"/>
    <w:rsid w:val="00100F8A"/>
    <w:rsid w:val="00102C6D"/>
    <w:rsid w:val="0010387C"/>
    <w:rsid w:val="0011032E"/>
    <w:rsid w:val="001120E0"/>
    <w:rsid w:val="0011348B"/>
    <w:rsid w:val="001145D7"/>
    <w:rsid w:val="00114D15"/>
    <w:rsid w:val="00121799"/>
    <w:rsid w:val="001222FC"/>
    <w:rsid w:val="00124A51"/>
    <w:rsid w:val="00126621"/>
    <w:rsid w:val="001301E9"/>
    <w:rsid w:val="001316BC"/>
    <w:rsid w:val="00132265"/>
    <w:rsid w:val="00132377"/>
    <w:rsid w:val="001349AC"/>
    <w:rsid w:val="00137645"/>
    <w:rsid w:val="00137B77"/>
    <w:rsid w:val="0014015A"/>
    <w:rsid w:val="00140E99"/>
    <w:rsid w:val="00145540"/>
    <w:rsid w:val="001456B0"/>
    <w:rsid w:val="00153457"/>
    <w:rsid w:val="00154D4E"/>
    <w:rsid w:val="00157130"/>
    <w:rsid w:val="001602DE"/>
    <w:rsid w:val="0016160B"/>
    <w:rsid w:val="00162913"/>
    <w:rsid w:val="00163EFF"/>
    <w:rsid w:val="001661FB"/>
    <w:rsid w:val="0018174E"/>
    <w:rsid w:val="0018752F"/>
    <w:rsid w:val="00191081"/>
    <w:rsid w:val="00192F74"/>
    <w:rsid w:val="001933B8"/>
    <w:rsid w:val="00195222"/>
    <w:rsid w:val="001975D8"/>
    <w:rsid w:val="00197CBE"/>
    <w:rsid w:val="001A26CE"/>
    <w:rsid w:val="001B3443"/>
    <w:rsid w:val="001B4878"/>
    <w:rsid w:val="001B6FFD"/>
    <w:rsid w:val="001C131D"/>
    <w:rsid w:val="001C6E66"/>
    <w:rsid w:val="001C75A9"/>
    <w:rsid w:val="001D036E"/>
    <w:rsid w:val="001D3B12"/>
    <w:rsid w:val="001E238E"/>
    <w:rsid w:val="001E2B1E"/>
    <w:rsid w:val="001E52EB"/>
    <w:rsid w:val="001E6AD0"/>
    <w:rsid w:val="001E740C"/>
    <w:rsid w:val="001F1235"/>
    <w:rsid w:val="001F1CB3"/>
    <w:rsid w:val="001F3F38"/>
    <w:rsid w:val="001F7361"/>
    <w:rsid w:val="0020385F"/>
    <w:rsid w:val="00206BAA"/>
    <w:rsid w:val="00207021"/>
    <w:rsid w:val="00207D00"/>
    <w:rsid w:val="002105C1"/>
    <w:rsid w:val="00220160"/>
    <w:rsid w:val="00222708"/>
    <w:rsid w:val="00223B49"/>
    <w:rsid w:val="00224DD4"/>
    <w:rsid w:val="0022556A"/>
    <w:rsid w:val="002258DD"/>
    <w:rsid w:val="00226D82"/>
    <w:rsid w:val="00227572"/>
    <w:rsid w:val="002309CC"/>
    <w:rsid w:val="00236A04"/>
    <w:rsid w:val="00247576"/>
    <w:rsid w:val="00250417"/>
    <w:rsid w:val="002509EA"/>
    <w:rsid w:val="00251A44"/>
    <w:rsid w:val="0025376A"/>
    <w:rsid w:val="00254B95"/>
    <w:rsid w:val="00254DCF"/>
    <w:rsid w:val="0025534B"/>
    <w:rsid w:val="00255BB7"/>
    <w:rsid w:val="0025601F"/>
    <w:rsid w:val="00262A87"/>
    <w:rsid w:val="00265BD1"/>
    <w:rsid w:val="00271669"/>
    <w:rsid w:val="002727D0"/>
    <w:rsid w:val="00275C5A"/>
    <w:rsid w:val="002762C5"/>
    <w:rsid w:val="00281014"/>
    <w:rsid w:val="00283DDD"/>
    <w:rsid w:val="00286178"/>
    <w:rsid w:val="002903A0"/>
    <w:rsid w:val="002939EE"/>
    <w:rsid w:val="00295BC5"/>
    <w:rsid w:val="00296A09"/>
    <w:rsid w:val="002974AC"/>
    <w:rsid w:val="002A14AB"/>
    <w:rsid w:val="002A2849"/>
    <w:rsid w:val="002A367F"/>
    <w:rsid w:val="002A6420"/>
    <w:rsid w:val="002B009A"/>
    <w:rsid w:val="002B1C1F"/>
    <w:rsid w:val="002B432F"/>
    <w:rsid w:val="002B64CA"/>
    <w:rsid w:val="002B6CCE"/>
    <w:rsid w:val="002C039F"/>
    <w:rsid w:val="002C2775"/>
    <w:rsid w:val="002C27C1"/>
    <w:rsid w:val="002C2BFE"/>
    <w:rsid w:val="002C3CA6"/>
    <w:rsid w:val="002D4191"/>
    <w:rsid w:val="002D79EC"/>
    <w:rsid w:val="002E1A7B"/>
    <w:rsid w:val="002E2BF4"/>
    <w:rsid w:val="002E38FA"/>
    <w:rsid w:val="002E3DBC"/>
    <w:rsid w:val="002E53A5"/>
    <w:rsid w:val="002F1C08"/>
    <w:rsid w:val="002F2D5B"/>
    <w:rsid w:val="002F3D06"/>
    <w:rsid w:val="002F6E86"/>
    <w:rsid w:val="002F7683"/>
    <w:rsid w:val="00301017"/>
    <w:rsid w:val="0030786C"/>
    <w:rsid w:val="0031031A"/>
    <w:rsid w:val="00310981"/>
    <w:rsid w:val="003113D7"/>
    <w:rsid w:val="00315498"/>
    <w:rsid w:val="0031661F"/>
    <w:rsid w:val="00320816"/>
    <w:rsid w:val="003223A2"/>
    <w:rsid w:val="00327338"/>
    <w:rsid w:val="00333A19"/>
    <w:rsid w:val="003366C9"/>
    <w:rsid w:val="003371B0"/>
    <w:rsid w:val="0033760C"/>
    <w:rsid w:val="0035000D"/>
    <w:rsid w:val="003502FB"/>
    <w:rsid w:val="0035620E"/>
    <w:rsid w:val="00360A34"/>
    <w:rsid w:val="003615A1"/>
    <w:rsid w:val="003622B4"/>
    <w:rsid w:val="003679E3"/>
    <w:rsid w:val="00375D53"/>
    <w:rsid w:val="00376809"/>
    <w:rsid w:val="0038365C"/>
    <w:rsid w:val="00384517"/>
    <w:rsid w:val="00392577"/>
    <w:rsid w:val="00392743"/>
    <w:rsid w:val="00396FD0"/>
    <w:rsid w:val="003A1A7A"/>
    <w:rsid w:val="003A3E66"/>
    <w:rsid w:val="003A5EA8"/>
    <w:rsid w:val="003B0FA0"/>
    <w:rsid w:val="003B3E4B"/>
    <w:rsid w:val="003B793C"/>
    <w:rsid w:val="003C59DA"/>
    <w:rsid w:val="003D1828"/>
    <w:rsid w:val="003D2422"/>
    <w:rsid w:val="003D3A47"/>
    <w:rsid w:val="003D7D24"/>
    <w:rsid w:val="003E172F"/>
    <w:rsid w:val="003F1F38"/>
    <w:rsid w:val="003F3151"/>
    <w:rsid w:val="003F4156"/>
    <w:rsid w:val="003F5C5B"/>
    <w:rsid w:val="004015CD"/>
    <w:rsid w:val="00410005"/>
    <w:rsid w:val="00410708"/>
    <w:rsid w:val="00410EC7"/>
    <w:rsid w:val="00414476"/>
    <w:rsid w:val="00420B9F"/>
    <w:rsid w:val="00422347"/>
    <w:rsid w:val="00423438"/>
    <w:rsid w:val="0043063D"/>
    <w:rsid w:val="004319F8"/>
    <w:rsid w:val="00432EA7"/>
    <w:rsid w:val="00433044"/>
    <w:rsid w:val="004376C9"/>
    <w:rsid w:val="004443A7"/>
    <w:rsid w:val="0044458C"/>
    <w:rsid w:val="00445A7F"/>
    <w:rsid w:val="004464EB"/>
    <w:rsid w:val="004472AB"/>
    <w:rsid w:val="00452D49"/>
    <w:rsid w:val="00455D45"/>
    <w:rsid w:val="004564B5"/>
    <w:rsid w:val="004564EC"/>
    <w:rsid w:val="0045691D"/>
    <w:rsid w:val="00457A44"/>
    <w:rsid w:val="00462480"/>
    <w:rsid w:val="004641DF"/>
    <w:rsid w:val="00464595"/>
    <w:rsid w:val="00470D87"/>
    <w:rsid w:val="00470D88"/>
    <w:rsid w:val="00480BCF"/>
    <w:rsid w:val="00482422"/>
    <w:rsid w:val="00485AF1"/>
    <w:rsid w:val="004867E2"/>
    <w:rsid w:val="00491B3A"/>
    <w:rsid w:val="00492CFD"/>
    <w:rsid w:val="004962D2"/>
    <w:rsid w:val="004A0810"/>
    <w:rsid w:val="004A0DA1"/>
    <w:rsid w:val="004A6597"/>
    <w:rsid w:val="004A7D4D"/>
    <w:rsid w:val="004B1CB4"/>
    <w:rsid w:val="004B2F18"/>
    <w:rsid w:val="004B3DDB"/>
    <w:rsid w:val="004B44FD"/>
    <w:rsid w:val="004B5CFC"/>
    <w:rsid w:val="004C4AED"/>
    <w:rsid w:val="004C56E5"/>
    <w:rsid w:val="004C5C7D"/>
    <w:rsid w:val="004D0654"/>
    <w:rsid w:val="004D1260"/>
    <w:rsid w:val="004D6538"/>
    <w:rsid w:val="004E0EB8"/>
    <w:rsid w:val="004E1085"/>
    <w:rsid w:val="004E2ADC"/>
    <w:rsid w:val="004E43B2"/>
    <w:rsid w:val="004E50DC"/>
    <w:rsid w:val="004F1D02"/>
    <w:rsid w:val="004F2679"/>
    <w:rsid w:val="004F4B5C"/>
    <w:rsid w:val="004F702F"/>
    <w:rsid w:val="004F73C3"/>
    <w:rsid w:val="004F7865"/>
    <w:rsid w:val="0050503E"/>
    <w:rsid w:val="00506928"/>
    <w:rsid w:val="00510B86"/>
    <w:rsid w:val="00511B5E"/>
    <w:rsid w:val="005152B5"/>
    <w:rsid w:val="00521319"/>
    <w:rsid w:val="00523C28"/>
    <w:rsid w:val="0052526C"/>
    <w:rsid w:val="0052567A"/>
    <w:rsid w:val="00527CDE"/>
    <w:rsid w:val="00530F9A"/>
    <w:rsid w:val="00540368"/>
    <w:rsid w:val="005414F5"/>
    <w:rsid w:val="00552BD3"/>
    <w:rsid w:val="00555109"/>
    <w:rsid w:val="005630DF"/>
    <w:rsid w:val="0056407B"/>
    <w:rsid w:val="0056696F"/>
    <w:rsid w:val="00567978"/>
    <w:rsid w:val="005706A7"/>
    <w:rsid w:val="00575396"/>
    <w:rsid w:val="00575D8D"/>
    <w:rsid w:val="00576972"/>
    <w:rsid w:val="00583699"/>
    <w:rsid w:val="005838DF"/>
    <w:rsid w:val="00586739"/>
    <w:rsid w:val="005934FB"/>
    <w:rsid w:val="005972AB"/>
    <w:rsid w:val="005A3AB9"/>
    <w:rsid w:val="005A7361"/>
    <w:rsid w:val="005B268F"/>
    <w:rsid w:val="005B5857"/>
    <w:rsid w:val="005C0C6E"/>
    <w:rsid w:val="005C1B83"/>
    <w:rsid w:val="005C2097"/>
    <w:rsid w:val="005C32BA"/>
    <w:rsid w:val="005C346B"/>
    <w:rsid w:val="005C422C"/>
    <w:rsid w:val="005C6180"/>
    <w:rsid w:val="005D044D"/>
    <w:rsid w:val="005D18AD"/>
    <w:rsid w:val="005D727A"/>
    <w:rsid w:val="005D7CF4"/>
    <w:rsid w:val="005E1637"/>
    <w:rsid w:val="005E22E1"/>
    <w:rsid w:val="005E6139"/>
    <w:rsid w:val="005E63DE"/>
    <w:rsid w:val="005E73C0"/>
    <w:rsid w:val="005F2706"/>
    <w:rsid w:val="005F518D"/>
    <w:rsid w:val="005F6086"/>
    <w:rsid w:val="005F6A8F"/>
    <w:rsid w:val="006016F4"/>
    <w:rsid w:val="00601CA5"/>
    <w:rsid w:val="00602743"/>
    <w:rsid w:val="0060386A"/>
    <w:rsid w:val="00607669"/>
    <w:rsid w:val="006076B0"/>
    <w:rsid w:val="00612F97"/>
    <w:rsid w:val="00615F67"/>
    <w:rsid w:val="0061640C"/>
    <w:rsid w:val="00616802"/>
    <w:rsid w:val="00617E12"/>
    <w:rsid w:val="00621477"/>
    <w:rsid w:val="00622533"/>
    <w:rsid w:val="00622FA9"/>
    <w:rsid w:val="00625158"/>
    <w:rsid w:val="00626227"/>
    <w:rsid w:val="006302A7"/>
    <w:rsid w:val="00630704"/>
    <w:rsid w:val="00631D6B"/>
    <w:rsid w:val="0063479F"/>
    <w:rsid w:val="00634B78"/>
    <w:rsid w:val="006364A1"/>
    <w:rsid w:val="00637BFD"/>
    <w:rsid w:val="006410C9"/>
    <w:rsid w:val="006432A3"/>
    <w:rsid w:val="0064549A"/>
    <w:rsid w:val="006471CC"/>
    <w:rsid w:val="0065079F"/>
    <w:rsid w:val="00653CDA"/>
    <w:rsid w:val="006550D2"/>
    <w:rsid w:val="006567B3"/>
    <w:rsid w:val="00661832"/>
    <w:rsid w:val="00666958"/>
    <w:rsid w:val="00666F9E"/>
    <w:rsid w:val="00670EA7"/>
    <w:rsid w:val="00674662"/>
    <w:rsid w:val="00674E42"/>
    <w:rsid w:val="006818C5"/>
    <w:rsid w:val="00682112"/>
    <w:rsid w:val="00683E02"/>
    <w:rsid w:val="006849BE"/>
    <w:rsid w:val="00687068"/>
    <w:rsid w:val="006872BA"/>
    <w:rsid w:val="00690BE4"/>
    <w:rsid w:val="006912BA"/>
    <w:rsid w:val="006917D7"/>
    <w:rsid w:val="00694F44"/>
    <w:rsid w:val="006A5DCE"/>
    <w:rsid w:val="006B07C5"/>
    <w:rsid w:val="006C2A8E"/>
    <w:rsid w:val="006C6FF2"/>
    <w:rsid w:val="006D10B7"/>
    <w:rsid w:val="006D3C7D"/>
    <w:rsid w:val="006D5D5F"/>
    <w:rsid w:val="006E103D"/>
    <w:rsid w:val="006E799D"/>
    <w:rsid w:val="006F627A"/>
    <w:rsid w:val="006F63A5"/>
    <w:rsid w:val="0070276E"/>
    <w:rsid w:val="00702F8F"/>
    <w:rsid w:val="00703377"/>
    <w:rsid w:val="00703F0D"/>
    <w:rsid w:val="007059FC"/>
    <w:rsid w:val="0071131B"/>
    <w:rsid w:val="00711A36"/>
    <w:rsid w:val="007172AD"/>
    <w:rsid w:val="00717D35"/>
    <w:rsid w:val="007233F7"/>
    <w:rsid w:val="0072416F"/>
    <w:rsid w:val="007260C7"/>
    <w:rsid w:val="00727988"/>
    <w:rsid w:val="00730447"/>
    <w:rsid w:val="007313D2"/>
    <w:rsid w:val="00732D98"/>
    <w:rsid w:val="007348D4"/>
    <w:rsid w:val="00735328"/>
    <w:rsid w:val="0073685B"/>
    <w:rsid w:val="00742AB2"/>
    <w:rsid w:val="007436DF"/>
    <w:rsid w:val="00752B09"/>
    <w:rsid w:val="00753947"/>
    <w:rsid w:val="00762389"/>
    <w:rsid w:val="007720F3"/>
    <w:rsid w:val="0077500E"/>
    <w:rsid w:val="007766BA"/>
    <w:rsid w:val="007811FF"/>
    <w:rsid w:val="007843FA"/>
    <w:rsid w:val="00785ED7"/>
    <w:rsid w:val="007A0A12"/>
    <w:rsid w:val="007A1003"/>
    <w:rsid w:val="007A1C03"/>
    <w:rsid w:val="007A591D"/>
    <w:rsid w:val="007A769C"/>
    <w:rsid w:val="007B0E7F"/>
    <w:rsid w:val="007B251D"/>
    <w:rsid w:val="007B311E"/>
    <w:rsid w:val="007B36E2"/>
    <w:rsid w:val="007B62E5"/>
    <w:rsid w:val="007B6BD0"/>
    <w:rsid w:val="007B77D1"/>
    <w:rsid w:val="007C1F44"/>
    <w:rsid w:val="007C361D"/>
    <w:rsid w:val="007C6271"/>
    <w:rsid w:val="007C7A91"/>
    <w:rsid w:val="007D0B38"/>
    <w:rsid w:val="007D0DE0"/>
    <w:rsid w:val="007D2444"/>
    <w:rsid w:val="007D2876"/>
    <w:rsid w:val="007D6FF4"/>
    <w:rsid w:val="007E3BAF"/>
    <w:rsid w:val="007E4655"/>
    <w:rsid w:val="007F1017"/>
    <w:rsid w:val="007F1546"/>
    <w:rsid w:val="007F2103"/>
    <w:rsid w:val="007F4738"/>
    <w:rsid w:val="007F4A3F"/>
    <w:rsid w:val="00801E98"/>
    <w:rsid w:val="0080339C"/>
    <w:rsid w:val="008042A1"/>
    <w:rsid w:val="00805142"/>
    <w:rsid w:val="0080633F"/>
    <w:rsid w:val="00807A8B"/>
    <w:rsid w:val="00812149"/>
    <w:rsid w:val="00812379"/>
    <w:rsid w:val="00816062"/>
    <w:rsid w:val="008166E5"/>
    <w:rsid w:val="008166EF"/>
    <w:rsid w:val="008224E7"/>
    <w:rsid w:val="008264EB"/>
    <w:rsid w:val="0082762C"/>
    <w:rsid w:val="00833B05"/>
    <w:rsid w:val="0083553C"/>
    <w:rsid w:val="00840CA2"/>
    <w:rsid w:val="00842385"/>
    <w:rsid w:val="00853E31"/>
    <w:rsid w:val="0085522A"/>
    <w:rsid w:val="00856E9A"/>
    <w:rsid w:val="0086062F"/>
    <w:rsid w:val="008617C4"/>
    <w:rsid w:val="00862502"/>
    <w:rsid w:val="00862CCC"/>
    <w:rsid w:val="00870A12"/>
    <w:rsid w:val="008716CD"/>
    <w:rsid w:val="00872819"/>
    <w:rsid w:val="00875A3A"/>
    <w:rsid w:val="008778C1"/>
    <w:rsid w:val="00880C80"/>
    <w:rsid w:val="00882874"/>
    <w:rsid w:val="00883787"/>
    <w:rsid w:val="00883CA4"/>
    <w:rsid w:val="00884E65"/>
    <w:rsid w:val="00885755"/>
    <w:rsid w:val="008921B4"/>
    <w:rsid w:val="00892643"/>
    <w:rsid w:val="008939BE"/>
    <w:rsid w:val="00894489"/>
    <w:rsid w:val="00894A87"/>
    <w:rsid w:val="008960D4"/>
    <w:rsid w:val="008963A5"/>
    <w:rsid w:val="00896777"/>
    <w:rsid w:val="008A0AC8"/>
    <w:rsid w:val="008A3C3E"/>
    <w:rsid w:val="008A79DE"/>
    <w:rsid w:val="008A7E1E"/>
    <w:rsid w:val="008B3F17"/>
    <w:rsid w:val="008B4469"/>
    <w:rsid w:val="008B713B"/>
    <w:rsid w:val="008B7D7E"/>
    <w:rsid w:val="008B7FBA"/>
    <w:rsid w:val="008C2D46"/>
    <w:rsid w:val="008C3462"/>
    <w:rsid w:val="008C3ABF"/>
    <w:rsid w:val="008C6A29"/>
    <w:rsid w:val="008C6BBB"/>
    <w:rsid w:val="008C7ECB"/>
    <w:rsid w:val="008D0F1D"/>
    <w:rsid w:val="008D1D7F"/>
    <w:rsid w:val="008D4E9C"/>
    <w:rsid w:val="008D5E0E"/>
    <w:rsid w:val="008E0CB3"/>
    <w:rsid w:val="008E1B9E"/>
    <w:rsid w:val="008F120A"/>
    <w:rsid w:val="008F1D01"/>
    <w:rsid w:val="008F1D4E"/>
    <w:rsid w:val="008F1E60"/>
    <w:rsid w:val="008F2607"/>
    <w:rsid w:val="008F48EB"/>
    <w:rsid w:val="008F4F0B"/>
    <w:rsid w:val="008F7E9D"/>
    <w:rsid w:val="0090106A"/>
    <w:rsid w:val="00901654"/>
    <w:rsid w:val="009026B4"/>
    <w:rsid w:val="0090519A"/>
    <w:rsid w:val="009057F6"/>
    <w:rsid w:val="00905B0D"/>
    <w:rsid w:val="009062A5"/>
    <w:rsid w:val="00911272"/>
    <w:rsid w:val="009115E6"/>
    <w:rsid w:val="00915944"/>
    <w:rsid w:val="00917747"/>
    <w:rsid w:val="009339C9"/>
    <w:rsid w:val="0093767F"/>
    <w:rsid w:val="00941653"/>
    <w:rsid w:val="00947809"/>
    <w:rsid w:val="009502E3"/>
    <w:rsid w:val="0095384B"/>
    <w:rsid w:val="0096000E"/>
    <w:rsid w:val="009618AE"/>
    <w:rsid w:val="00962CB9"/>
    <w:rsid w:val="00964312"/>
    <w:rsid w:val="0097067A"/>
    <w:rsid w:val="00976136"/>
    <w:rsid w:val="009775BD"/>
    <w:rsid w:val="009828EF"/>
    <w:rsid w:val="00982F22"/>
    <w:rsid w:val="00983E57"/>
    <w:rsid w:val="0098493C"/>
    <w:rsid w:val="00985AB4"/>
    <w:rsid w:val="00992931"/>
    <w:rsid w:val="00995ACA"/>
    <w:rsid w:val="00996B1A"/>
    <w:rsid w:val="009B013E"/>
    <w:rsid w:val="009B38FC"/>
    <w:rsid w:val="009B3E26"/>
    <w:rsid w:val="009B4570"/>
    <w:rsid w:val="009B4D44"/>
    <w:rsid w:val="009B4EEE"/>
    <w:rsid w:val="009C22B4"/>
    <w:rsid w:val="009C7C35"/>
    <w:rsid w:val="009D4ED1"/>
    <w:rsid w:val="009D58AB"/>
    <w:rsid w:val="009D5B91"/>
    <w:rsid w:val="009D661D"/>
    <w:rsid w:val="009E0205"/>
    <w:rsid w:val="009E4C07"/>
    <w:rsid w:val="009F28FF"/>
    <w:rsid w:val="009F6AD1"/>
    <w:rsid w:val="00A03221"/>
    <w:rsid w:val="00A033BD"/>
    <w:rsid w:val="00A03D43"/>
    <w:rsid w:val="00A04380"/>
    <w:rsid w:val="00A06572"/>
    <w:rsid w:val="00A13948"/>
    <w:rsid w:val="00A21881"/>
    <w:rsid w:val="00A249D3"/>
    <w:rsid w:val="00A25D0E"/>
    <w:rsid w:val="00A27AEC"/>
    <w:rsid w:val="00A301B3"/>
    <w:rsid w:val="00A3034E"/>
    <w:rsid w:val="00A32CB1"/>
    <w:rsid w:val="00A32D30"/>
    <w:rsid w:val="00A35D16"/>
    <w:rsid w:val="00A4074B"/>
    <w:rsid w:val="00A41248"/>
    <w:rsid w:val="00A43C59"/>
    <w:rsid w:val="00A46111"/>
    <w:rsid w:val="00A47AAA"/>
    <w:rsid w:val="00A50ECD"/>
    <w:rsid w:val="00A52729"/>
    <w:rsid w:val="00A53675"/>
    <w:rsid w:val="00A55CD8"/>
    <w:rsid w:val="00A55FC3"/>
    <w:rsid w:val="00A56B6A"/>
    <w:rsid w:val="00A56F2A"/>
    <w:rsid w:val="00A578DC"/>
    <w:rsid w:val="00A6725B"/>
    <w:rsid w:val="00A74848"/>
    <w:rsid w:val="00A8370D"/>
    <w:rsid w:val="00A86408"/>
    <w:rsid w:val="00A86E8B"/>
    <w:rsid w:val="00A93072"/>
    <w:rsid w:val="00A950E8"/>
    <w:rsid w:val="00A959D8"/>
    <w:rsid w:val="00AA0600"/>
    <w:rsid w:val="00AA42E0"/>
    <w:rsid w:val="00AA6662"/>
    <w:rsid w:val="00AA6F87"/>
    <w:rsid w:val="00AB042A"/>
    <w:rsid w:val="00AB083D"/>
    <w:rsid w:val="00AB2D34"/>
    <w:rsid w:val="00AB3430"/>
    <w:rsid w:val="00AB7CFA"/>
    <w:rsid w:val="00AC1E8B"/>
    <w:rsid w:val="00AC7F1F"/>
    <w:rsid w:val="00AE1283"/>
    <w:rsid w:val="00AE2F62"/>
    <w:rsid w:val="00AE38D5"/>
    <w:rsid w:val="00AE79DB"/>
    <w:rsid w:val="00AF0933"/>
    <w:rsid w:val="00AF2FEB"/>
    <w:rsid w:val="00AF3232"/>
    <w:rsid w:val="00AF6AF2"/>
    <w:rsid w:val="00AF6E70"/>
    <w:rsid w:val="00B05303"/>
    <w:rsid w:val="00B06598"/>
    <w:rsid w:val="00B06EB8"/>
    <w:rsid w:val="00B25365"/>
    <w:rsid w:val="00B30318"/>
    <w:rsid w:val="00B356BD"/>
    <w:rsid w:val="00B36939"/>
    <w:rsid w:val="00B41400"/>
    <w:rsid w:val="00B42851"/>
    <w:rsid w:val="00B466DA"/>
    <w:rsid w:val="00B50DB8"/>
    <w:rsid w:val="00B51D93"/>
    <w:rsid w:val="00B53905"/>
    <w:rsid w:val="00B54B5B"/>
    <w:rsid w:val="00B5562E"/>
    <w:rsid w:val="00B57000"/>
    <w:rsid w:val="00B6047F"/>
    <w:rsid w:val="00B60939"/>
    <w:rsid w:val="00B60AFD"/>
    <w:rsid w:val="00B62715"/>
    <w:rsid w:val="00B65B46"/>
    <w:rsid w:val="00B668DE"/>
    <w:rsid w:val="00B7172B"/>
    <w:rsid w:val="00B728DA"/>
    <w:rsid w:val="00B74348"/>
    <w:rsid w:val="00B779AA"/>
    <w:rsid w:val="00B80C3B"/>
    <w:rsid w:val="00B818A4"/>
    <w:rsid w:val="00B84896"/>
    <w:rsid w:val="00B8649C"/>
    <w:rsid w:val="00B9098D"/>
    <w:rsid w:val="00B92D0B"/>
    <w:rsid w:val="00B94945"/>
    <w:rsid w:val="00B95445"/>
    <w:rsid w:val="00BA2175"/>
    <w:rsid w:val="00BA5B0E"/>
    <w:rsid w:val="00BB0E26"/>
    <w:rsid w:val="00BB406E"/>
    <w:rsid w:val="00BB7405"/>
    <w:rsid w:val="00BC0AEB"/>
    <w:rsid w:val="00BC188E"/>
    <w:rsid w:val="00BC6FF4"/>
    <w:rsid w:val="00BC72C5"/>
    <w:rsid w:val="00BD3121"/>
    <w:rsid w:val="00BD6CF3"/>
    <w:rsid w:val="00BE2180"/>
    <w:rsid w:val="00BE3497"/>
    <w:rsid w:val="00BE4275"/>
    <w:rsid w:val="00BE4EA4"/>
    <w:rsid w:val="00BE726A"/>
    <w:rsid w:val="00BF0ABA"/>
    <w:rsid w:val="00BF2433"/>
    <w:rsid w:val="00BF60E3"/>
    <w:rsid w:val="00BF61C9"/>
    <w:rsid w:val="00C040C3"/>
    <w:rsid w:val="00C05C3C"/>
    <w:rsid w:val="00C063E0"/>
    <w:rsid w:val="00C06B86"/>
    <w:rsid w:val="00C0797D"/>
    <w:rsid w:val="00C12BC7"/>
    <w:rsid w:val="00C2000D"/>
    <w:rsid w:val="00C21C5E"/>
    <w:rsid w:val="00C22CE8"/>
    <w:rsid w:val="00C24906"/>
    <w:rsid w:val="00C25418"/>
    <w:rsid w:val="00C25D9C"/>
    <w:rsid w:val="00C31649"/>
    <w:rsid w:val="00C34CFA"/>
    <w:rsid w:val="00C35DF8"/>
    <w:rsid w:val="00C401FA"/>
    <w:rsid w:val="00C40385"/>
    <w:rsid w:val="00C44A89"/>
    <w:rsid w:val="00C44EBF"/>
    <w:rsid w:val="00C473A2"/>
    <w:rsid w:val="00C4768F"/>
    <w:rsid w:val="00C6230A"/>
    <w:rsid w:val="00C65576"/>
    <w:rsid w:val="00C66165"/>
    <w:rsid w:val="00C72E38"/>
    <w:rsid w:val="00C750C8"/>
    <w:rsid w:val="00C80AD2"/>
    <w:rsid w:val="00C8213F"/>
    <w:rsid w:val="00C8797A"/>
    <w:rsid w:val="00C906D0"/>
    <w:rsid w:val="00C938CF"/>
    <w:rsid w:val="00C97CAE"/>
    <w:rsid w:val="00CA5245"/>
    <w:rsid w:val="00CA7A1C"/>
    <w:rsid w:val="00CA7B09"/>
    <w:rsid w:val="00CA7F27"/>
    <w:rsid w:val="00CB4733"/>
    <w:rsid w:val="00CB59BF"/>
    <w:rsid w:val="00CB5B1A"/>
    <w:rsid w:val="00CB696E"/>
    <w:rsid w:val="00CC0BF9"/>
    <w:rsid w:val="00CC1FFB"/>
    <w:rsid w:val="00CC29AE"/>
    <w:rsid w:val="00CC3DE6"/>
    <w:rsid w:val="00CC4493"/>
    <w:rsid w:val="00CC6390"/>
    <w:rsid w:val="00CD44F3"/>
    <w:rsid w:val="00CD6369"/>
    <w:rsid w:val="00CD6ADC"/>
    <w:rsid w:val="00CE060D"/>
    <w:rsid w:val="00CE2D6F"/>
    <w:rsid w:val="00CE6274"/>
    <w:rsid w:val="00CE7DC4"/>
    <w:rsid w:val="00CF2B3A"/>
    <w:rsid w:val="00CF456B"/>
    <w:rsid w:val="00CF5A22"/>
    <w:rsid w:val="00CF6B52"/>
    <w:rsid w:val="00D0262E"/>
    <w:rsid w:val="00D034D5"/>
    <w:rsid w:val="00D110BD"/>
    <w:rsid w:val="00D113ED"/>
    <w:rsid w:val="00D11F74"/>
    <w:rsid w:val="00D14C8C"/>
    <w:rsid w:val="00D171CF"/>
    <w:rsid w:val="00D17D6C"/>
    <w:rsid w:val="00D20F8B"/>
    <w:rsid w:val="00D254D8"/>
    <w:rsid w:val="00D357FF"/>
    <w:rsid w:val="00D440F1"/>
    <w:rsid w:val="00D44749"/>
    <w:rsid w:val="00D44AA2"/>
    <w:rsid w:val="00D546D7"/>
    <w:rsid w:val="00D57D6F"/>
    <w:rsid w:val="00D6484F"/>
    <w:rsid w:val="00D65CCF"/>
    <w:rsid w:val="00D70765"/>
    <w:rsid w:val="00D74F4B"/>
    <w:rsid w:val="00D75589"/>
    <w:rsid w:val="00D76A44"/>
    <w:rsid w:val="00D76B9A"/>
    <w:rsid w:val="00D81593"/>
    <w:rsid w:val="00D867A0"/>
    <w:rsid w:val="00D870FF"/>
    <w:rsid w:val="00D87E70"/>
    <w:rsid w:val="00D92B52"/>
    <w:rsid w:val="00D93753"/>
    <w:rsid w:val="00DA0878"/>
    <w:rsid w:val="00DA2FBE"/>
    <w:rsid w:val="00DA7119"/>
    <w:rsid w:val="00DA77A5"/>
    <w:rsid w:val="00DB0A15"/>
    <w:rsid w:val="00DB2548"/>
    <w:rsid w:val="00DB2AB9"/>
    <w:rsid w:val="00DB51E5"/>
    <w:rsid w:val="00DC0001"/>
    <w:rsid w:val="00DC086A"/>
    <w:rsid w:val="00DC0E3F"/>
    <w:rsid w:val="00DC0EF7"/>
    <w:rsid w:val="00DC12B3"/>
    <w:rsid w:val="00DC2326"/>
    <w:rsid w:val="00DC5501"/>
    <w:rsid w:val="00DC6571"/>
    <w:rsid w:val="00DC75F6"/>
    <w:rsid w:val="00DC7635"/>
    <w:rsid w:val="00DD0706"/>
    <w:rsid w:val="00DD1B4C"/>
    <w:rsid w:val="00DD3F28"/>
    <w:rsid w:val="00DD4537"/>
    <w:rsid w:val="00DD4E15"/>
    <w:rsid w:val="00DD7079"/>
    <w:rsid w:val="00DE0982"/>
    <w:rsid w:val="00DE33CC"/>
    <w:rsid w:val="00DE4FCB"/>
    <w:rsid w:val="00DE77C4"/>
    <w:rsid w:val="00DF011B"/>
    <w:rsid w:val="00DF458C"/>
    <w:rsid w:val="00DF49A4"/>
    <w:rsid w:val="00DF5D2B"/>
    <w:rsid w:val="00DF7F50"/>
    <w:rsid w:val="00E022F1"/>
    <w:rsid w:val="00E02AAF"/>
    <w:rsid w:val="00E02C1E"/>
    <w:rsid w:val="00E0387B"/>
    <w:rsid w:val="00E10149"/>
    <w:rsid w:val="00E113D5"/>
    <w:rsid w:val="00E12B58"/>
    <w:rsid w:val="00E1353F"/>
    <w:rsid w:val="00E15210"/>
    <w:rsid w:val="00E16372"/>
    <w:rsid w:val="00E169E0"/>
    <w:rsid w:val="00E17007"/>
    <w:rsid w:val="00E17B6B"/>
    <w:rsid w:val="00E20ED6"/>
    <w:rsid w:val="00E21358"/>
    <w:rsid w:val="00E220D8"/>
    <w:rsid w:val="00E2249B"/>
    <w:rsid w:val="00E22A0D"/>
    <w:rsid w:val="00E2771E"/>
    <w:rsid w:val="00E30A04"/>
    <w:rsid w:val="00E313FE"/>
    <w:rsid w:val="00E318C8"/>
    <w:rsid w:val="00E37569"/>
    <w:rsid w:val="00E41E30"/>
    <w:rsid w:val="00E43D70"/>
    <w:rsid w:val="00E47470"/>
    <w:rsid w:val="00E479E7"/>
    <w:rsid w:val="00E47B2C"/>
    <w:rsid w:val="00E50FE8"/>
    <w:rsid w:val="00E51560"/>
    <w:rsid w:val="00E52B12"/>
    <w:rsid w:val="00E55424"/>
    <w:rsid w:val="00E55BB5"/>
    <w:rsid w:val="00E56264"/>
    <w:rsid w:val="00E630E1"/>
    <w:rsid w:val="00E6339A"/>
    <w:rsid w:val="00E63AED"/>
    <w:rsid w:val="00E6597D"/>
    <w:rsid w:val="00E65E79"/>
    <w:rsid w:val="00E66C80"/>
    <w:rsid w:val="00E67416"/>
    <w:rsid w:val="00E67B03"/>
    <w:rsid w:val="00E718B6"/>
    <w:rsid w:val="00E73581"/>
    <w:rsid w:val="00E7545E"/>
    <w:rsid w:val="00E76EF3"/>
    <w:rsid w:val="00E81200"/>
    <w:rsid w:val="00E83BDF"/>
    <w:rsid w:val="00E941CA"/>
    <w:rsid w:val="00EA3864"/>
    <w:rsid w:val="00EB15B6"/>
    <w:rsid w:val="00EB4916"/>
    <w:rsid w:val="00EB7891"/>
    <w:rsid w:val="00EB7EC1"/>
    <w:rsid w:val="00EC00C9"/>
    <w:rsid w:val="00EC046E"/>
    <w:rsid w:val="00EC14AD"/>
    <w:rsid w:val="00EC5AAA"/>
    <w:rsid w:val="00EC7261"/>
    <w:rsid w:val="00EC73B7"/>
    <w:rsid w:val="00ED0913"/>
    <w:rsid w:val="00ED1F25"/>
    <w:rsid w:val="00ED6CE3"/>
    <w:rsid w:val="00EE0254"/>
    <w:rsid w:val="00EE07D3"/>
    <w:rsid w:val="00EE085E"/>
    <w:rsid w:val="00EE1A20"/>
    <w:rsid w:val="00EE60D0"/>
    <w:rsid w:val="00EE615F"/>
    <w:rsid w:val="00EE6B80"/>
    <w:rsid w:val="00EF280F"/>
    <w:rsid w:val="00EF3587"/>
    <w:rsid w:val="00EF4502"/>
    <w:rsid w:val="00EF68EC"/>
    <w:rsid w:val="00F00A2D"/>
    <w:rsid w:val="00F01A6D"/>
    <w:rsid w:val="00F0260F"/>
    <w:rsid w:val="00F067A2"/>
    <w:rsid w:val="00F12E0C"/>
    <w:rsid w:val="00F24837"/>
    <w:rsid w:val="00F2575F"/>
    <w:rsid w:val="00F31759"/>
    <w:rsid w:val="00F33DE9"/>
    <w:rsid w:val="00F3443F"/>
    <w:rsid w:val="00F35087"/>
    <w:rsid w:val="00F3619A"/>
    <w:rsid w:val="00F37854"/>
    <w:rsid w:val="00F378A8"/>
    <w:rsid w:val="00F419D7"/>
    <w:rsid w:val="00F46CB6"/>
    <w:rsid w:val="00F55E73"/>
    <w:rsid w:val="00F56673"/>
    <w:rsid w:val="00F57501"/>
    <w:rsid w:val="00F60092"/>
    <w:rsid w:val="00F6109F"/>
    <w:rsid w:val="00F67DBE"/>
    <w:rsid w:val="00F740FA"/>
    <w:rsid w:val="00F751D0"/>
    <w:rsid w:val="00F76D26"/>
    <w:rsid w:val="00F80E5D"/>
    <w:rsid w:val="00F83F49"/>
    <w:rsid w:val="00F851CE"/>
    <w:rsid w:val="00F8574D"/>
    <w:rsid w:val="00F913B1"/>
    <w:rsid w:val="00F96D26"/>
    <w:rsid w:val="00F97A78"/>
    <w:rsid w:val="00FA24E7"/>
    <w:rsid w:val="00FB178F"/>
    <w:rsid w:val="00FB1BC0"/>
    <w:rsid w:val="00FB2C96"/>
    <w:rsid w:val="00FB2FCB"/>
    <w:rsid w:val="00FB46C4"/>
    <w:rsid w:val="00FC1074"/>
    <w:rsid w:val="00FC120E"/>
    <w:rsid w:val="00FC1884"/>
    <w:rsid w:val="00FD0966"/>
    <w:rsid w:val="00FD0CFD"/>
    <w:rsid w:val="00FD2100"/>
    <w:rsid w:val="00FD3052"/>
    <w:rsid w:val="00FD446D"/>
    <w:rsid w:val="00FD5F6D"/>
    <w:rsid w:val="00FE0EBA"/>
    <w:rsid w:val="00FE4C9A"/>
    <w:rsid w:val="00FF2872"/>
    <w:rsid w:val="00FF3DCF"/>
    <w:rsid w:val="00FF5AA3"/>
    <w:rsid w:val="00FF5A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6E86"/>
    <w:pPr>
      <w:widowControl w:val="0"/>
      <w:jc w:val="both"/>
    </w:pPr>
    <w:rPr>
      <w:rFonts w:ascii="Arial" w:hAnsi="Arial" w:cs="Arial"/>
      <w:snapToGrid w:val="0"/>
      <w:sz w:val="22"/>
      <w:lang w:eastAsia="en-US"/>
    </w:rPr>
  </w:style>
  <w:style w:type="paragraph" w:styleId="Heading1">
    <w:name w:val="heading 1"/>
    <w:basedOn w:val="Normal"/>
    <w:next w:val="Normal"/>
    <w:qFormat/>
    <w:rsid w:val="00A950E8"/>
    <w:pPr>
      <w:ind w:left="720" w:hanging="720"/>
      <w:outlineLvl w:val="0"/>
    </w:pPr>
    <w:rPr>
      <w:rFonts w:ascii="Arial Bold" w:hAnsi="Arial Bold"/>
      <w:b/>
      <w:sz w:val="28"/>
    </w:rPr>
  </w:style>
  <w:style w:type="paragraph" w:styleId="Heading2">
    <w:name w:val="heading 2"/>
    <w:basedOn w:val="PBACHeading1"/>
    <w:next w:val="Normal"/>
    <w:link w:val="Heading2Char"/>
    <w:qFormat/>
    <w:rsid w:val="00A950E8"/>
    <w:pPr>
      <w:outlineLvl w:val="1"/>
    </w:pPr>
  </w:style>
  <w:style w:type="paragraph" w:styleId="Heading3">
    <w:name w:val="heading 3"/>
    <w:basedOn w:val="Normal"/>
    <w:next w:val="Normal"/>
    <w:qFormat/>
    <w:rsid w:val="00A950E8"/>
    <w:pPr>
      <w:outlineLvl w:val="2"/>
    </w:pPr>
    <w:rPr>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950E8"/>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0E58C7"/>
    <w:rPr>
      <w:rFonts w:ascii="Arial Narrow" w:hAnsi="Arial Narrow"/>
      <w:b/>
      <w:bCs/>
      <w:color w:val="000000" w:themeColor="text1"/>
      <w:sz w:val="20"/>
      <w:szCs w:val="18"/>
    </w:rPr>
  </w:style>
  <w:style w:type="character" w:customStyle="1" w:styleId="CaptionChar">
    <w:name w:val="Caption Char"/>
    <w:link w:val="Caption"/>
    <w:rsid w:val="000E58C7"/>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styleId="ListBullet">
    <w:name w:val="List Bullet"/>
    <w:basedOn w:val="Normal"/>
    <w:unhideWhenUsed/>
    <w:rsid w:val="0090106A"/>
    <w:pPr>
      <w:numPr>
        <w:numId w:val="10"/>
      </w:numPr>
      <w:contextualSpacing/>
    </w:pPr>
  </w:style>
  <w:style w:type="table" w:customStyle="1" w:styleId="TableGrid1">
    <w:name w:val="Table Grid1"/>
    <w:basedOn w:val="TableNormal"/>
    <w:next w:val="TableGrid"/>
    <w:uiPriority w:val="59"/>
    <w:rsid w:val="00CC6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locked/>
    <w:rsid w:val="007A769C"/>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74348"/>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FE0EBA"/>
    <w:rPr>
      <w:b/>
      <w:bCs/>
      <w:smallCaps/>
      <w:color w:val="C0504D" w:themeColor="accent2"/>
      <w:spacing w:val="5"/>
      <w:u w:val="single"/>
    </w:rPr>
  </w:style>
  <w:style w:type="paragraph" w:customStyle="1" w:styleId="Default">
    <w:name w:val="Default"/>
    <w:rsid w:val="000B4764"/>
    <w:pPr>
      <w:autoSpaceDE w:val="0"/>
      <w:autoSpaceDN w:val="0"/>
      <w:adjustRightInd w:val="0"/>
    </w:pPr>
    <w:rPr>
      <w:rFonts w:ascii="Arial" w:hAnsi="Arial" w:cs="Arial"/>
      <w:color w:val="000000"/>
      <w:sz w:val="24"/>
      <w:szCs w:val="24"/>
      <w:lang w:val="en-US" w:eastAsia="en-US"/>
    </w:rPr>
  </w:style>
  <w:style w:type="paragraph" w:customStyle="1" w:styleId="TableTitleB">
    <w:name w:val="Table Title B"/>
    <w:basedOn w:val="Normal"/>
    <w:next w:val="BodyText"/>
    <w:qFormat/>
    <w:rsid w:val="00AB083D"/>
    <w:pPr>
      <w:widowControl/>
      <w:numPr>
        <w:numId w:val="26"/>
      </w:numPr>
      <w:spacing w:after="120"/>
      <w:jc w:val="left"/>
    </w:pPr>
    <w:rPr>
      <w:rFonts w:cs="Times New Roman"/>
      <w:b/>
      <w:snapToGrid/>
      <w:sz w:val="20"/>
      <w:szCs w:val="24"/>
    </w:rPr>
  </w:style>
  <w:style w:type="paragraph" w:customStyle="1" w:styleId="TableFigureFootnote">
    <w:name w:val="Table &amp; Figure Footnote"/>
    <w:basedOn w:val="BodyText"/>
    <w:next w:val="BodyText"/>
    <w:qFormat/>
    <w:rsid w:val="00AB083D"/>
    <w:pPr>
      <w:widowControl/>
      <w:spacing w:before="20" w:after="20"/>
      <w:jc w:val="both"/>
    </w:pPr>
    <w:rPr>
      <w:rFonts w:cs="Times New Roman"/>
      <w:snapToGrid/>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6E86"/>
    <w:pPr>
      <w:widowControl w:val="0"/>
      <w:jc w:val="both"/>
    </w:pPr>
    <w:rPr>
      <w:rFonts w:ascii="Arial" w:hAnsi="Arial" w:cs="Arial"/>
      <w:snapToGrid w:val="0"/>
      <w:sz w:val="22"/>
      <w:lang w:eastAsia="en-US"/>
    </w:rPr>
  </w:style>
  <w:style w:type="paragraph" w:styleId="Heading1">
    <w:name w:val="heading 1"/>
    <w:basedOn w:val="Normal"/>
    <w:next w:val="Normal"/>
    <w:qFormat/>
    <w:rsid w:val="00A950E8"/>
    <w:pPr>
      <w:ind w:left="720" w:hanging="720"/>
      <w:outlineLvl w:val="0"/>
    </w:pPr>
    <w:rPr>
      <w:rFonts w:ascii="Arial Bold" w:hAnsi="Arial Bold"/>
      <w:b/>
      <w:sz w:val="28"/>
    </w:rPr>
  </w:style>
  <w:style w:type="paragraph" w:styleId="Heading2">
    <w:name w:val="heading 2"/>
    <w:basedOn w:val="PBACHeading1"/>
    <w:next w:val="Normal"/>
    <w:link w:val="Heading2Char"/>
    <w:qFormat/>
    <w:rsid w:val="00A950E8"/>
    <w:pPr>
      <w:outlineLvl w:val="1"/>
    </w:pPr>
  </w:style>
  <w:style w:type="paragraph" w:styleId="Heading3">
    <w:name w:val="heading 3"/>
    <w:basedOn w:val="Normal"/>
    <w:next w:val="Normal"/>
    <w:qFormat/>
    <w:rsid w:val="00A950E8"/>
    <w:pPr>
      <w:outlineLvl w:val="2"/>
    </w:pPr>
    <w:rPr>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950E8"/>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0E58C7"/>
    <w:rPr>
      <w:rFonts w:ascii="Arial Narrow" w:hAnsi="Arial Narrow"/>
      <w:b/>
      <w:bCs/>
      <w:color w:val="000000" w:themeColor="text1"/>
      <w:sz w:val="20"/>
      <w:szCs w:val="18"/>
    </w:rPr>
  </w:style>
  <w:style w:type="character" w:customStyle="1" w:styleId="CaptionChar">
    <w:name w:val="Caption Char"/>
    <w:link w:val="Caption"/>
    <w:rsid w:val="000E58C7"/>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paragraph" w:styleId="ListBullet">
    <w:name w:val="List Bullet"/>
    <w:basedOn w:val="Normal"/>
    <w:unhideWhenUsed/>
    <w:rsid w:val="0090106A"/>
    <w:pPr>
      <w:numPr>
        <w:numId w:val="10"/>
      </w:numPr>
      <w:contextualSpacing/>
    </w:pPr>
  </w:style>
  <w:style w:type="table" w:customStyle="1" w:styleId="TableGrid1">
    <w:name w:val="Table Grid1"/>
    <w:basedOn w:val="TableNormal"/>
    <w:next w:val="TableGrid"/>
    <w:uiPriority w:val="59"/>
    <w:rsid w:val="00CC6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locked/>
    <w:rsid w:val="007A769C"/>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74348"/>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FE0EBA"/>
    <w:rPr>
      <w:b/>
      <w:bCs/>
      <w:smallCaps/>
      <w:color w:val="C0504D" w:themeColor="accent2"/>
      <w:spacing w:val="5"/>
      <w:u w:val="single"/>
    </w:rPr>
  </w:style>
  <w:style w:type="paragraph" w:customStyle="1" w:styleId="Default">
    <w:name w:val="Default"/>
    <w:rsid w:val="000B4764"/>
    <w:pPr>
      <w:autoSpaceDE w:val="0"/>
      <w:autoSpaceDN w:val="0"/>
      <w:adjustRightInd w:val="0"/>
    </w:pPr>
    <w:rPr>
      <w:rFonts w:ascii="Arial" w:hAnsi="Arial" w:cs="Arial"/>
      <w:color w:val="000000"/>
      <w:sz w:val="24"/>
      <w:szCs w:val="24"/>
      <w:lang w:val="en-US" w:eastAsia="en-US"/>
    </w:rPr>
  </w:style>
  <w:style w:type="paragraph" w:customStyle="1" w:styleId="TableTitleB">
    <w:name w:val="Table Title B"/>
    <w:basedOn w:val="Normal"/>
    <w:next w:val="BodyText"/>
    <w:qFormat/>
    <w:rsid w:val="00AB083D"/>
    <w:pPr>
      <w:widowControl/>
      <w:numPr>
        <w:numId w:val="26"/>
      </w:numPr>
      <w:spacing w:after="120"/>
      <w:jc w:val="left"/>
    </w:pPr>
    <w:rPr>
      <w:rFonts w:cs="Times New Roman"/>
      <w:b/>
      <w:snapToGrid/>
      <w:sz w:val="20"/>
      <w:szCs w:val="24"/>
    </w:rPr>
  </w:style>
  <w:style w:type="paragraph" w:customStyle="1" w:styleId="TableFigureFootnote">
    <w:name w:val="Table &amp; Figure Footnote"/>
    <w:basedOn w:val="BodyText"/>
    <w:next w:val="BodyText"/>
    <w:qFormat/>
    <w:rsid w:val="00AB083D"/>
    <w:pPr>
      <w:widowControl/>
      <w:spacing w:before="20" w:after="20"/>
      <w:jc w:val="both"/>
    </w:pPr>
    <w:rPr>
      <w:rFonts w:cs="Times New Roman"/>
      <w:snapToGrid/>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6994A-BEC8-4121-A70F-72A80D95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4332</Words>
  <Characters>26598</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2017-02-14T02:58:00Z</dcterms:created>
  <dcterms:modified xsi:type="dcterms:W3CDTF">2017-02-16T05:05:00Z</dcterms:modified>
</cp:coreProperties>
</file>