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Default="00B36D06" w:rsidP="004A6FE4">
      <w:pPr>
        <w:pStyle w:val="Title"/>
        <w:ind w:left="720" w:hanging="720"/>
        <w:rPr>
          <w:szCs w:val="28"/>
        </w:rPr>
      </w:pPr>
      <w:bookmarkStart w:id="0" w:name="_GoBack"/>
      <w:bookmarkEnd w:id="0"/>
      <w:r>
        <w:rPr>
          <w:szCs w:val="28"/>
        </w:rPr>
        <w:t>5.24</w:t>
      </w:r>
      <w:r w:rsidR="007C0F57" w:rsidRPr="006D6EC7">
        <w:rPr>
          <w:szCs w:val="28"/>
        </w:rPr>
        <w:tab/>
      </w:r>
      <w:r w:rsidR="00036A22" w:rsidRPr="00036A22">
        <w:rPr>
          <w:szCs w:val="28"/>
        </w:rPr>
        <w:t xml:space="preserve">OXYCODONE </w:t>
      </w:r>
      <w:r w:rsidR="008B6705">
        <w:rPr>
          <w:szCs w:val="28"/>
        </w:rPr>
        <w:t>WITH</w:t>
      </w:r>
      <w:r w:rsidR="008B6705" w:rsidRPr="00036A22">
        <w:rPr>
          <w:szCs w:val="28"/>
        </w:rPr>
        <w:t xml:space="preserve"> </w:t>
      </w:r>
      <w:r w:rsidR="00036A22" w:rsidRPr="00036A22">
        <w:rPr>
          <w:szCs w:val="28"/>
        </w:rPr>
        <w:t>NALOXONE</w:t>
      </w:r>
      <w:r w:rsidR="004A6FE4">
        <w:rPr>
          <w:szCs w:val="28"/>
        </w:rPr>
        <w:br/>
      </w:r>
      <w:r w:rsidR="008B6705" w:rsidRPr="008B6705">
        <w:rPr>
          <w:szCs w:val="28"/>
        </w:rPr>
        <w:t>Tablet (controlled release) containing oxycodone</w:t>
      </w:r>
      <w:r w:rsidR="004A6FE4">
        <w:rPr>
          <w:szCs w:val="28"/>
        </w:rPr>
        <w:t xml:space="preserve"> </w:t>
      </w:r>
      <w:r w:rsidR="008B6705" w:rsidRPr="008B6705">
        <w:rPr>
          <w:szCs w:val="28"/>
        </w:rPr>
        <w:t>hydrochloride 60 mg with naloxone hydrochloride</w:t>
      </w:r>
      <w:r w:rsidR="004A6FE4">
        <w:rPr>
          <w:szCs w:val="28"/>
        </w:rPr>
        <w:t xml:space="preserve"> </w:t>
      </w:r>
      <w:r w:rsidR="008B6705" w:rsidRPr="008B6705">
        <w:rPr>
          <w:szCs w:val="28"/>
        </w:rPr>
        <w:t>30 mg</w:t>
      </w:r>
      <w:r w:rsidR="00036A22" w:rsidRPr="00036A22">
        <w:rPr>
          <w:szCs w:val="28"/>
        </w:rPr>
        <w:t>, 28 tablets</w:t>
      </w:r>
      <w:r w:rsidR="004A6FE4">
        <w:rPr>
          <w:szCs w:val="28"/>
        </w:rPr>
        <w:t xml:space="preserve">, </w:t>
      </w:r>
      <w:r w:rsidR="008B6705" w:rsidRPr="008B6705">
        <w:rPr>
          <w:szCs w:val="28"/>
        </w:rPr>
        <w:t>Tablet (controlled release) containing oxycodone</w:t>
      </w:r>
      <w:r w:rsidR="004A6FE4">
        <w:rPr>
          <w:szCs w:val="28"/>
        </w:rPr>
        <w:t xml:space="preserve"> </w:t>
      </w:r>
      <w:r w:rsidR="008B6705" w:rsidRPr="008B6705">
        <w:rPr>
          <w:szCs w:val="28"/>
        </w:rPr>
        <w:t>hydrochloride 80 mg with naloxone hydrochloride</w:t>
      </w:r>
      <w:r w:rsidR="004A6FE4">
        <w:rPr>
          <w:szCs w:val="28"/>
        </w:rPr>
        <w:t xml:space="preserve"> </w:t>
      </w:r>
      <w:r w:rsidR="008B6705" w:rsidRPr="008B6705">
        <w:rPr>
          <w:szCs w:val="28"/>
        </w:rPr>
        <w:t>40 mg</w:t>
      </w:r>
      <w:r w:rsidR="00E82F95">
        <w:rPr>
          <w:szCs w:val="28"/>
        </w:rPr>
        <w:t>,</w:t>
      </w:r>
      <w:r w:rsidR="003F0BB0">
        <w:rPr>
          <w:szCs w:val="28"/>
        </w:rPr>
        <w:t xml:space="preserve"> </w:t>
      </w:r>
      <w:r w:rsidR="00036A22" w:rsidRPr="00036A22">
        <w:rPr>
          <w:szCs w:val="28"/>
        </w:rPr>
        <w:t>28 tablets</w:t>
      </w:r>
      <w:r w:rsidR="004A6FE4">
        <w:rPr>
          <w:szCs w:val="28"/>
        </w:rPr>
        <w:br/>
      </w:r>
      <w:proofErr w:type="spellStart"/>
      <w:r w:rsidR="00036A22">
        <w:rPr>
          <w:szCs w:val="28"/>
        </w:rPr>
        <w:t>Targin</w:t>
      </w:r>
      <w:proofErr w:type="spellEnd"/>
      <w:r w:rsidR="0004240E" w:rsidRPr="006D6EC7">
        <w:rPr>
          <w:szCs w:val="28"/>
          <w:vertAlign w:val="superscript"/>
        </w:rPr>
        <w:t>®</w:t>
      </w:r>
      <w:proofErr w:type="gramStart"/>
      <w:r w:rsidR="00711909">
        <w:rPr>
          <w:szCs w:val="28"/>
        </w:rPr>
        <w:t>,</w:t>
      </w:r>
      <w:proofErr w:type="gramEnd"/>
      <w:r w:rsidR="00466FF1">
        <w:rPr>
          <w:szCs w:val="28"/>
        </w:rPr>
        <w:br/>
      </w:r>
      <w:proofErr w:type="spellStart"/>
      <w:r w:rsidR="00036A22">
        <w:rPr>
          <w:szCs w:val="28"/>
        </w:rPr>
        <w:t>Mundipharma</w:t>
      </w:r>
      <w:proofErr w:type="spellEnd"/>
      <w:r w:rsidR="00036A22">
        <w:rPr>
          <w:szCs w:val="28"/>
        </w:rPr>
        <w:t xml:space="preserve"> Pty Ltd</w:t>
      </w:r>
      <w:r w:rsidR="00466FF1">
        <w:rPr>
          <w:szCs w:val="28"/>
        </w:rPr>
        <w:t>.</w:t>
      </w:r>
    </w:p>
    <w:p w:rsidR="00744418" w:rsidRPr="00744418" w:rsidRDefault="00744418" w:rsidP="00744418"/>
    <w:p w:rsidR="00E15627" w:rsidRDefault="00CE10C4" w:rsidP="00E15627">
      <w:pPr>
        <w:pStyle w:val="PBACHeading1"/>
      </w:pPr>
      <w:r w:rsidRPr="00C603D4">
        <w:t xml:space="preserve">Purpose of </w:t>
      </w:r>
      <w:r w:rsidR="0004240E" w:rsidRPr="00C603D4">
        <w:t>Application</w:t>
      </w:r>
    </w:p>
    <w:p w:rsidR="008A50F1" w:rsidRPr="00E15627" w:rsidRDefault="008A50F1" w:rsidP="00E15627"/>
    <w:p w:rsidR="006A12A5" w:rsidRPr="00E15627" w:rsidRDefault="00EF44A0" w:rsidP="00414B20">
      <w:pPr>
        <w:pStyle w:val="ListParagraph"/>
        <w:numPr>
          <w:ilvl w:val="1"/>
          <w:numId w:val="5"/>
        </w:numPr>
        <w:rPr>
          <w:szCs w:val="22"/>
        </w:rPr>
      </w:pPr>
      <w:r w:rsidRPr="00E15627">
        <w:rPr>
          <w:szCs w:val="22"/>
        </w:rPr>
        <w:t>The mi</w:t>
      </w:r>
      <w:r w:rsidR="00B65C72">
        <w:rPr>
          <w:szCs w:val="22"/>
        </w:rPr>
        <w:t>nor submission r</w:t>
      </w:r>
      <w:r w:rsidR="00FF2801" w:rsidRPr="00E15627">
        <w:rPr>
          <w:szCs w:val="22"/>
        </w:rPr>
        <w:t>equested</w:t>
      </w:r>
      <w:r w:rsidR="00414B20">
        <w:rPr>
          <w:szCs w:val="22"/>
        </w:rPr>
        <w:t xml:space="preserve"> </w:t>
      </w:r>
      <w:r w:rsidR="00414B20" w:rsidRPr="00414B20">
        <w:rPr>
          <w:szCs w:val="22"/>
        </w:rPr>
        <w:t xml:space="preserve">an Authority </w:t>
      </w:r>
      <w:proofErr w:type="gramStart"/>
      <w:r w:rsidR="00414B20" w:rsidRPr="00414B20">
        <w:rPr>
          <w:szCs w:val="22"/>
        </w:rPr>
        <w:t>Required</w:t>
      </w:r>
      <w:proofErr w:type="gramEnd"/>
      <w:r w:rsidR="00414B20" w:rsidRPr="00414B20">
        <w:rPr>
          <w:szCs w:val="22"/>
        </w:rPr>
        <w:t xml:space="preserve"> listing for two additional strengths of oxycodone with naloxone for the treatment of </w:t>
      </w:r>
      <w:r w:rsidR="00321EA8">
        <w:rPr>
          <w:szCs w:val="22"/>
        </w:rPr>
        <w:t>moderate to severe pain unresponsive to non-</w:t>
      </w:r>
      <w:r w:rsidR="0058636B">
        <w:rPr>
          <w:szCs w:val="22"/>
        </w:rPr>
        <w:t>opioid</w:t>
      </w:r>
      <w:r w:rsidR="00321EA8">
        <w:rPr>
          <w:szCs w:val="22"/>
        </w:rPr>
        <w:t xml:space="preserve"> analgesia</w:t>
      </w:r>
      <w:r w:rsidR="00025B71">
        <w:rPr>
          <w:szCs w:val="22"/>
        </w:rPr>
        <w:t xml:space="preserve"> under the same conditions as the currently listed strengths.</w:t>
      </w:r>
    </w:p>
    <w:p w:rsidR="00EF44A0" w:rsidRDefault="00EF44A0" w:rsidP="00C27B58">
      <w:pPr>
        <w:pStyle w:val="NoSpacing"/>
      </w:pPr>
    </w:p>
    <w:p w:rsidR="00744418" w:rsidRPr="00C27B58" w:rsidRDefault="00744418" w:rsidP="00C27B58">
      <w:pPr>
        <w:pStyle w:val="NoSpacing"/>
      </w:pPr>
    </w:p>
    <w:p w:rsidR="00962223" w:rsidRPr="00962223" w:rsidRDefault="006A12A5" w:rsidP="008A50F1">
      <w:pPr>
        <w:pStyle w:val="PBACHeading1"/>
      </w:pPr>
      <w:r w:rsidRPr="004A2484">
        <w:t>Requested listing</w:t>
      </w:r>
    </w:p>
    <w:p w:rsidR="006A12A5" w:rsidRPr="00882085" w:rsidRDefault="006A12A5" w:rsidP="00882085">
      <w:pPr>
        <w:jc w:val="both"/>
        <w:rPr>
          <w:rFonts w:ascii="Arial" w:hAnsi="Arial"/>
          <w:b/>
          <w:sz w:val="22"/>
          <w:szCs w:val="22"/>
        </w:rPr>
      </w:pPr>
    </w:p>
    <w:p w:rsidR="00C731C2" w:rsidRDefault="00EF44A0" w:rsidP="00C731C2">
      <w:pPr>
        <w:pStyle w:val="ListParagraph"/>
        <w:numPr>
          <w:ilvl w:val="1"/>
          <w:numId w:val="5"/>
        </w:numPr>
        <w:rPr>
          <w:szCs w:val="22"/>
        </w:rPr>
      </w:pPr>
      <w:r w:rsidRPr="00077143">
        <w:rPr>
          <w:szCs w:val="22"/>
        </w:rPr>
        <w:t xml:space="preserve">The submission </w:t>
      </w:r>
      <w:r w:rsidR="00FF2801" w:rsidRPr="00077143">
        <w:rPr>
          <w:szCs w:val="22"/>
        </w:rPr>
        <w:t>requested</w:t>
      </w:r>
      <w:r w:rsidRPr="00077143">
        <w:rPr>
          <w:szCs w:val="22"/>
        </w:rPr>
        <w:t xml:space="preserve"> </w:t>
      </w:r>
      <w:r w:rsidR="00943728">
        <w:rPr>
          <w:szCs w:val="22"/>
        </w:rPr>
        <w:t xml:space="preserve">listing the additional strengths of oxycodone </w:t>
      </w:r>
      <w:r w:rsidR="008B6705">
        <w:rPr>
          <w:szCs w:val="22"/>
        </w:rPr>
        <w:t xml:space="preserve">with </w:t>
      </w:r>
      <w:r w:rsidR="00943728">
        <w:rPr>
          <w:szCs w:val="22"/>
        </w:rPr>
        <w:t>naloxone with the same General Schedule listing as the existing strengths:</w:t>
      </w:r>
      <w:r w:rsidR="00325A07">
        <w:rPr>
          <w:szCs w:val="22"/>
        </w:rPr>
        <w:t xml:space="preserve"> 2.5</w:t>
      </w:r>
      <w:r w:rsidR="00EB76CF">
        <w:rPr>
          <w:szCs w:val="22"/>
        </w:rPr>
        <w:t> </w:t>
      </w:r>
      <w:r w:rsidR="00325A07">
        <w:rPr>
          <w:szCs w:val="22"/>
        </w:rPr>
        <w:t>mg/1.25</w:t>
      </w:r>
      <w:r w:rsidR="00EB76CF">
        <w:rPr>
          <w:szCs w:val="22"/>
        </w:rPr>
        <w:t> </w:t>
      </w:r>
      <w:r w:rsidR="00325A07">
        <w:rPr>
          <w:szCs w:val="22"/>
        </w:rPr>
        <w:t>mg, 15</w:t>
      </w:r>
      <w:r w:rsidR="00EB76CF">
        <w:rPr>
          <w:szCs w:val="22"/>
        </w:rPr>
        <w:t> </w:t>
      </w:r>
      <w:r w:rsidR="00325A07">
        <w:rPr>
          <w:szCs w:val="22"/>
        </w:rPr>
        <w:t>mg/7.5</w:t>
      </w:r>
      <w:r w:rsidR="00EB76CF">
        <w:rPr>
          <w:szCs w:val="22"/>
        </w:rPr>
        <w:t> </w:t>
      </w:r>
      <w:r w:rsidR="00325A07">
        <w:rPr>
          <w:szCs w:val="22"/>
        </w:rPr>
        <w:t xml:space="preserve">mg, </w:t>
      </w:r>
      <w:r w:rsidR="00A70858">
        <w:rPr>
          <w:szCs w:val="22"/>
        </w:rPr>
        <w:t>30</w:t>
      </w:r>
      <w:r w:rsidR="00EB76CF">
        <w:rPr>
          <w:szCs w:val="22"/>
        </w:rPr>
        <w:t> </w:t>
      </w:r>
      <w:r w:rsidR="00A70858">
        <w:rPr>
          <w:szCs w:val="22"/>
        </w:rPr>
        <w:t>mg/15</w:t>
      </w:r>
      <w:r w:rsidR="00EB76CF">
        <w:rPr>
          <w:szCs w:val="22"/>
        </w:rPr>
        <w:t> </w:t>
      </w:r>
      <w:r w:rsidR="00A70858">
        <w:rPr>
          <w:szCs w:val="22"/>
        </w:rPr>
        <w:t>mg</w:t>
      </w:r>
      <w:r w:rsidR="00325A07">
        <w:rPr>
          <w:szCs w:val="22"/>
        </w:rPr>
        <w:t>, 20</w:t>
      </w:r>
      <w:r w:rsidR="00EB76CF">
        <w:rPr>
          <w:szCs w:val="22"/>
        </w:rPr>
        <w:t> </w:t>
      </w:r>
      <w:r w:rsidR="00325A07">
        <w:rPr>
          <w:szCs w:val="22"/>
        </w:rPr>
        <w:t>mg/10</w:t>
      </w:r>
      <w:r w:rsidR="00EB76CF">
        <w:rPr>
          <w:szCs w:val="22"/>
        </w:rPr>
        <w:t> </w:t>
      </w:r>
      <w:r w:rsidR="00325A07">
        <w:rPr>
          <w:szCs w:val="22"/>
        </w:rPr>
        <w:t>mg and 40</w:t>
      </w:r>
      <w:r w:rsidR="00EB76CF">
        <w:rPr>
          <w:szCs w:val="22"/>
        </w:rPr>
        <w:t> </w:t>
      </w:r>
      <w:r w:rsidR="00325A07">
        <w:rPr>
          <w:szCs w:val="22"/>
        </w:rPr>
        <w:t>mg/20</w:t>
      </w:r>
      <w:r w:rsidR="00EB76CF">
        <w:rPr>
          <w:szCs w:val="22"/>
        </w:rPr>
        <w:t> </w:t>
      </w:r>
      <w:r w:rsidR="00325A07">
        <w:rPr>
          <w:szCs w:val="22"/>
        </w:rPr>
        <w:t>mg</w:t>
      </w:r>
      <w:r w:rsidR="00A70858">
        <w:rPr>
          <w:szCs w:val="22"/>
        </w:rPr>
        <w:t>.</w:t>
      </w:r>
    </w:p>
    <w:p w:rsidR="00CD4C4B" w:rsidRPr="001F7B60" w:rsidRDefault="00CD4C4B" w:rsidP="001F7B60">
      <w:pPr>
        <w:pStyle w:val="ListParagraph"/>
        <w:rPr>
          <w:szCs w:val="22"/>
        </w:rPr>
      </w:pPr>
    </w:p>
    <w:p w:rsidR="00826F6D" w:rsidRPr="00C27B58" w:rsidRDefault="00826F6D" w:rsidP="00C27B58">
      <w:pPr>
        <w:pStyle w:val="NoSpacing"/>
      </w:pPr>
    </w:p>
    <w:tbl>
      <w:tblPr>
        <w:tblW w:w="8363" w:type="dxa"/>
        <w:tblInd w:w="817" w:type="dxa"/>
        <w:tblLook w:val="0000" w:firstRow="0" w:lastRow="0" w:firstColumn="0" w:lastColumn="0" w:noHBand="0" w:noVBand="0"/>
      </w:tblPr>
      <w:tblGrid>
        <w:gridCol w:w="1968"/>
        <w:gridCol w:w="1104"/>
        <w:gridCol w:w="840"/>
        <w:gridCol w:w="703"/>
        <w:gridCol w:w="1267"/>
        <w:gridCol w:w="1262"/>
        <w:gridCol w:w="1219"/>
      </w:tblGrid>
      <w:tr w:rsidR="00826F6D" w:rsidRPr="0039782C" w:rsidTr="00F53A08">
        <w:trPr>
          <w:cantSplit/>
          <w:trHeight w:val="471"/>
        </w:trPr>
        <w:tc>
          <w:tcPr>
            <w:tcW w:w="3072" w:type="dxa"/>
            <w:gridSpan w:val="2"/>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40"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3"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267"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2481" w:type="dxa"/>
            <w:gridSpan w:val="2"/>
            <w:tcBorders>
              <w:bottom w:val="single" w:sz="4" w:space="0" w:color="auto"/>
            </w:tcBorders>
          </w:tcPr>
          <w:p w:rsidR="00826F6D" w:rsidRPr="0039782C" w:rsidRDefault="00826F6D" w:rsidP="00C27B5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F53A08" w:rsidRPr="00260CE3" w:rsidTr="00F53A08">
        <w:trPr>
          <w:cantSplit/>
          <w:trHeight w:val="577"/>
        </w:trPr>
        <w:tc>
          <w:tcPr>
            <w:tcW w:w="3072" w:type="dxa"/>
            <w:gridSpan w:val="2"/>
          </w:tcPr>
          <w:p w:rsidR="00F53A08" w:rsidRDefault="00F53A08" w:rsidP="007D095F">
            <w:pPr>
              <w:keepNext/>
              <w:ind w:left="-108"/>
              <w:jc w:val="both"/>
              <w:rPr>
                <w:rFonts w:ascii="Arial Narrow" w:hAnsi="Arial Narrow" w:cs="Arial"/>
                <w:sz w:val="20"/>
                <w:szCs w:val="20"/>
              </w:rPr>
            </w:pPr>
            <w:r>
              <w:rPr>
                <w:rFonts w:ascii="Arial Narrow" w:hAnsi="Arial Narrow" w:cs="Arial"/>
                <w:sz w:val="20"/>
                <w:szCs w:val="20"/>
              </w:rPr>
              <w:t>Oxycodone hydrochloride 60</w:t>
            </w:r>
            <w:r w:rsidR="00EB76CF">
              <w:rPr>
                <w:rFonts w:ascii="Arial Narrow" w:hAnsi="Arial Narrow" w:cs="Arial"/>
                <w:sz w:val="20"/>
                <w:szCs w:val="20"/>
              </w:rPr>
              <w:t> </w:t>
            </w:r>
            <w:r>
              <w:rPr>
                <w:rFonts w:ascii="Arial Narrow" w:hAnsi="Arial Narrow" w:cs="Arial"/>
                <w:sz w:val="20"/>
                <w:szCs w:val="20"/>
              </w:rPr>
              <w:t>mg + naloxone hydrochloride 30</w:t>
            </w:r>
            <w:r w:rsidR="00EB76CF">
              <w:rPr>
                <w:rFonts w:ascii="Arial Narrow" w:hAnsi="Arial Narrow" w:cs="Arial"/>
                <w:sz w:val="20"/>
                <w:szCs w:val="20"/>
              </w:rPr>
              <w:t> </w:t>
            </w:r>
            <w:r>
              <w:rPr>
                <w:rFonts w:ascii="Arial Narrow" w:hAnsi="Arial Narrow" w:cs="Arial"/>
                <w:sz w:val="20"/>
                <w:szCs w:val="20"/>
              </w:rPr>
              <w:t>mg:</w:t>
            </w:r>
          </w:p>
          <w:p w:rsidR="00F53A08" w:rsidRDefault="00771616" w:rsidP="007D095F">
            <w:pPr>
              <w:keepNext/>
              <w:ind w:left="-108"/>
              <w:jc w:val="both"/>
              <w:rPr>
                <w:rFonts w:ascii="Arial Narrow" w:hAnsi="Arial Narrow" w:cs="Arial"/>
                <w:sz w:val="20"/>
                <w:szCs w:val="20"/>
              </w:rPr>
            </w:pPr>
            <w:r>
              <w:rPr>
                <w:rFonts w:ascii="Arial Narrow" w:hAnsi="Arial Narrow" w:cs="Arial"/>
                <w:sz w:val="20"/>
                <w:szCs w:val="20"/>
              </w:rPr>
              <w:t>m</w:t>
            </w:r>
            <w:r w:rsidR="00F53A08">
              <w:rPr>
                <w:rFonts w:ascii="Arial Narrow" w:hAnsi="Arial Narrow" w:cs="Arial"/>
                <w:sz w:val="20"/>
                <w:szCs w:val="20"/>
              </w:rPr>
              <w:t>odified release, tablet</w:t>
            </w:r>
            <w:r w:rsidR="004A6B96">
              <w:rPr>
                <w:rFonts w:ascii="Arial Narrow" w:hAnsi="Arial Narrow" w:cs="Arial"/>
                <w:sz w:val="20"/>
                <w:szCs w:val="20"/>
              </w:rPr>
              <w:t>, 28</w:t>
            </w:r>
          </w:p>
          <w:p w:rsidR="00F53A08" w:rsidRDefault="00F53A08" w:rsidP="007D095F">
            <w:pPr>
              <w:keepNext/>
              <w:ind w:left="-108"/>
              <w:jc w:val="both"/>
              <w:rPr>
                <w:rFonts w:ascii="Arial Narrow" w:hAnsi="Arial Narrow" w:cs="Arial"/>
                <w:sz w:val="20"/>
                <w:szCs w:val="20"/>
              </w:rPr>
            </w:pPr>
          </w:p>
          <w:p w:rsidR="00F53A08" w:rsidRDefault="00771616" w:rsidP="007D095F">
            <w:pPr>
              <w:keepNext/>
              <w:ind w:left="-108"/>
              <w:jc w:val="both"/>
              <w:rPr>
                <w:rFonts w:ascii="Arial Narrow" w:hAnsi="Arial Narrow" w:cs="Arial"/>
                <w:sz w:val="20"/>
                <w:szCs w:val="20"/>
              </w:rPr>
            </w:pPr>
            <w:r>
              <w:rPr>
                <w:rFonts w:ascii="Arial Narrow" w:hAnsi="Arial Narrow" w:cs="Arial"/>
                <w:sz w:val="20"/>
                <w:szCs w:val="20"/>
              </w:rPr>
              <w:t>Oxycodone hydrochloride 80</w:t>
            </w:r>
            <w:r w:rsidR="00EB76CF">
              <w:rPr>
                <w:rFonts w:ascii="Arial Narrow" w:hAnsi="Arial Narrow" w:cs="Arial"/>
                <w:sz w:val="20"/>
                <w:szCs w:val="20"/>
              </w:rPr>
              <w:t> </w:t>
            </w:r>
            <w:r>
              <w:rPr>
                <w:rFonts w:ascii="Arial Narrow" w:hAnsi="Arial Narrow" w:cs="Arial"/>
                <w:sz w:val="20"/>
                <w:szCs w:val="20"/>
              </w:rPr>
              <w:t>mg +</w:t>
            </w:r>
            <w:r w:rsidR="00BD67B2">
              <w:rPr>
                <w:rFonts w:ascii="Arial Narrow" w:hAnsi="Arial Narrow" w:cs="Arial"/>
                <w:sz w:val="20"/>
                <w:szCs w:val="20"/>
              </w:rPr>
              <w:t xml:space="preserve"> </w:t>
            </w:r>
          </w:p>
          <w:p w:rsidR="00771616" w:rsidRDefault="0039681A" w:rsidP="007D095F">
            <w:pPr>
              <w:keepNext/>
              <w:ind w:left="-108"/>
              <w:jc w:val="both"/>
              <w:rPr>
                <w:rFonts w:ascii="Arial Narrow" w:hAnsi="Arial Narrow" w:cs="Arial"/>
                <w:sz w:val="20"/>
                <w:szCs w:val="20"/>
              </w:rPr>
            </w:pPr>
            <w:r>
              <w:rPr>
                <w:rFonts w:ascii="Arial Narrow" w:hAnsi="Arial Narrow" w:cs="Arial"/>
                <w:sz w:val="20"/>
                <w:szCs w:val="20"/>
              </w:rPr>
              <w:t>n</w:t>
            </w:r>
            <w:r w:rsidR="00771616">
              <w:rPr>
                <w:rFonts w:ascii="Arial Narrow" w:hAnsi="Arial Narrow" w:cs="Arial"/>
                <w:sz w:val="20"/>
                <w:szCs w:val="20"/>
              </w:rPr>
              <w:t>aloxone hydrochloride 40</w:t>
            </w:r>
            <w:r w:rsidR="00EB76CF">
              <w:rPr>
                <w:rFonts w:ascii="Arial Narrow" w:hAnsi="Arial Narrow" w:cs="Arial"/>
                <w:sz w:val="20"/>
                <w:szCs w:val="20"/>
              </w:rPr>
              <w:t> </w:t>
            </w:r>
            <w:r w:rsidR="00771616">
              <w:rPr>
                <w:rFonts w:ascii="Arial Narrow" w:hAnsi="Arial Narrow" w:cs="Arial"/>
                <w:sz w:val="20"/>
                <w:szCs w:val="20"/>
              </w:rPr>
              <w:t>mg:</w:t>
            </w:r>
          </w:p>
          <w:p w:rsidR="00771616" w:rsidRPr="00260CE3" w:rsidRDefault="00771616" w:rsidP="007D095F">
            <w:pPr>
              <w:keepNext/>
              <w:ind w:left="-108"/>
              <w:jc w:val="both"/>
              <w:rPr>
                <w:rFonts w:ascii="Arial Narrow" w:hAnsi="Arial Narrow" w:cs="Arial"/>
                <w:sz w:val="20"/>
                <w:szCs w:val="20"/>
              </w:rPr>
            </w:pPr>
            <w:r>
              <w:rPr>
                <w:rFonts w:ascii="Arial Narrow" w:hAnsi="Arial Narrow" w:cs="Arial"/>
                <w:sz w:val="20"/>
                <w:szCs w:val="20"/>
              </w:rPr>
              <w:t>modified release, tablet</w:t>
            </w:r>
            <w:r w:rsidR="004A6B96">
              <w:rPr>
                <w:rFonts w:ascii="Arial Narrow" w:hAnsi="Arial Narrow" w:cs="Arial"/>
                <w:sz w:val="20"/>
                <w:szCs w:val="20"/>
              </w:rPr>
              <w:t>, 28</w:t>
            </w:r>
          </w:p>
        </w:tc>
        <w:tc>
          <w:tcPr>
            <w:tcW w:w="840" w:type="dxa"/>
          </w:tcPr>
          <w:p w:rsidR="00F53A08" w:rsidRDefault="004A6B96" w:rsidP="007D095F">
            <w:pPr>
              <w:keepNext/>
              <w:ind w:left="-108"/>
              <w:jc w:val="both"/>
              <w:rPr>
                <w:rFonts w:ascii="Arial Narrow" w:hAnsi="Arial Narrow" w:cs="Arial"/>
                <w:sz w:val="20"/>
                <w:szCs w:val="20"/>
              </w:rPr>
            </w:pPr>
            <w:r>
              <w:rPr>
                <w:rFonts w:ascii="Arial Narrow" w:hAnsi="Arial Narrow" w:cs="Arial"/>
                <w:sz w:val="20"/>
                <w:szCs w:val="20"/>
              </w:rPr>
              <w:t>1</w:t>
            </w:r>
          </w:p>
          <w:p w:rsidR="00625A5E" w:rsidRDefault="00625A5E" w:rsidP="007D095F">
            <w:pPr>
              <w:keepNext/>
              <w:ind w:left="-108"/>
              <w:jc w:val="both"/>
              <w:rPr>
                <w:rFonts w:ascii="Arial Narrow" w:hAnsi="Arial Narrow" w:cs="Arial"/>
                <w:sz w:val="20"/>
                <w:szCs w:val="20"/>
              </w:rPr>
            </w:pPr>
          </w:p>
          <w:p w:rsidR="00625A5E" w:rsidRDefault="00625A5E" w:rsidP="007D095F">
            <w:pPr>
              <w:keepNext/>
              <w:ind w:left="-108"/>
              <w:jc w:val="both"/>
              <w:rPr>
                <w:rFonts w:ascii="Arial Narrow" w:hAnsi="Arial Narrow" w:cs="Arial"/>
                <w:sz w:val="20"/>
                <w:szCs w:val="20"/>
              </w:rPr>
            </w:pPr>
          </w:p>
          <w:p w:rsidR="00625A5E" w:rsidRDefault="00625A5E" w:rsidP="007D095F">
            <w:pPr>
              <w:keepNext/>
              <w:ind w:left="-108"/>
              <w:jc w:val="both"/>
              <w:rPr>
                <w:rFonts w:ascii="Arial Narrow" w:hAnsi="Arial Narrow" w:cs="Arial"/>
                <w:sz w:val="20"/>
                <w:szCs w:val="20"/>
              </w:rPr>
            </w:pPr>
          </w:p>
          <w:p w:rsidR="00625A5E" w:rsidRPr="00260CE3" w:rsidRDefault="004A6B96" w:rsidP="004A6B96">
            <w:pPr>
              <w:keepNext/>
              <w:ind w:left="-108"/>
              <w:jc w:val="both"/>
              <w:rPr>
                <w:rFonts w:ascii="Arial Narrow" w:hAnsi="Arial Narrow" w:cs="Arial"/>
                <w:sz w:val="20"/>
                <w:szCs w:val="20"/>
              </w:rPr>
            </w:pPr>
            <w:r>
              <w:rPr>
                <w:rFonts w:ascii="Arial Narrow" w:hAnsi="Arial Narrow" w:cs="Arial"/>
                <w:sz w:val="20"/>
                <w:szCs w:val="20"/>
              </w:rPr>
              <w:t>1</w:t>
            </w:r>
          </w:p>
        </w:tc>
        <w:tc>
          <w:tcPr>
            <w:tcW w:w="703" w:type="dxa"/>
          </w:tcPr>
          <w:p w:rsidR="00F53A08" w:rsidRDefault="00F53A08" w:rsidP="007D095F">
            <w:pPr>
              <w:keepNext/>
              <w:jc w:val="both"/>
              <w:rPr>
                <w:rFonts w:ascii="Arial Narrow" w:hAnsi="Arial Narrow" w:cs="Arial"/>
                <w:sz w:val="20"/>
                <w:szCs w:val="20"/>
              </w:rPr>
            </w:pPr>
            <w:r>
              <w:rPr>
                <w:rFonts w:ascii="Arial Narrow" w:hAnsi="Arial Narrow" w:cs="Arial"/>
                <w:sz w:val="20"/>
                <w:szCs w:val="20"/>
              </w:rPr>
              <w:t>0</w:t>
            </w:r>
          </w:p>
          <w:p w:rsidR="00625A5E" w:rsidRDefault="00625A5E" w:rsidP="007D095F">
            <w:pPr>
              <w:keepNext/>
              <w:jc w:val="both"/>
              <w:rPr>
                <w:rFonts w:ascii="Arial Narrow" w:hAnsi="Arial Narrow" w:cs="Arial"/>
                <w:sz w:val="20"/>
                <w:szCs w:val="20"/>
              </w:rPr>
            </w:pPr>
          </w:p>
          <w:p w:rsidR="00625A5E" w:rsidRDefault="00625A5E" w:rsidP="007D095F">
            <w:pPr>
              <w:keepNext/>
              <w:jc w:val="both"/>
              <w:rPr>
                <w:rFonts w:ascii="Arial Narrow" w:hAnsi="Arial Narrow" w:cs="Arial"/>
                <w:sz w:val="20"/>
                <w:szCs w:val="20"/>
              </w:rPr>
            </w:pPr>
          </w:p>
          <w:p w:rsidR="00625A5E" w:rsidRDefault="00625A5E" w:rsidP="007D095F">
            <w:pPr>
              <w:keepNext/>
              <w:jc w:val="both"/>
              <w:rPr>
                <w:rFonts w:ascii="Arial Narrow" w:hAnsi="Arial Narrow" w:cs="Arial"/>
                <w:sz w:val="20"/>
                <w:szCs w:val="20"/>
              </w:rPr>
            </w:pPr>
          </w:p>
          <w:p w:rsidR="00625A5E" w:rsidRPr="00260CE3" w:rsidRDefault="00625A5E" w:rsidP="007D095F">
            <w:pPr>
              <w:keepNext/>
              <w:jc w:val="both"/>
              <w:rPr>
                <w:rFonts w:ascii="Arial Narrow" w:hAnsi="Arial Narrow" w:cs="Arial"/>
                <w:sz w:val="20"/>
                <w:szCs w:val="20"/>
              </w:rPr>
            </w:pPr>
            <w:r>
              <w:rPr>
                <w:rFonts w:ascii="Arial Narrow" w:hAnsi="Arial Narrow" w:cs="Arial"/>
                <w:sz w:val="20"/>
                <w:szCs w:val="20"/>
              </w:rPr>
              <w:t>0</w:t>
            </w:r>
          </w:p>
        </w:tc>
        <w:tc>
          <w:tcPr>
            <w:tcW w:w="1267" w:type="dxa"/>
          </w:tcPr>
          <w:p w:rsidR="00F53A08" w:rsidRDefault="00910FCF" w:rsidP="008F16D1">
            <w:pPr>
              <w:keepNext/>
              <w:jc w:val="both"/>
              <w:rPr>
                <w:rFonts w:ascii="Arial Narrow" w:hAnsi="Arial Narrow" w:cs="Arial"/>
                <w:sz w:val="20"/>
                <w:szCs w:val="20"/>
              </w:rPr>
            </w:pPr>
            <w:r>
              <w:rPr>
                <w:rFonts w:ascii="Arial Narrow" w:hAnsi="Arial Narrow" w:cs="Arial"/>
                <w:sz w:val="20"/>
                <w:szCs w:val="20"/>
              </w:rPr>
              <w:t>$</w:t>
            </w:r>
            <w:r w:rsidR="006013B2">
              <w:rPr>
                <w:rFonts w:ascii="Arial Narrow" w:hAnsi="Arial Narrow" w:cs="Arial"/>
                <w:noProof/>
                <w:color w:val="000000"/>
                <w:sz w:val="20"/>
                <w:szCs w:val="20"/>
                <w:highlight w:val="black"/>
              </w:rPr>
              <w:t>''''''''''''</w:t>
            </w:r>
          </w:p>
          <w:p w:rsidR="00625A5E" w:rsidRDefault="00625A5E" w:rsidP="008F16D1">
            <w:pPr>
              <w:keepNext/>
              <w:jc w:val="both"/>
              <w:rPr>
                <w:rFonts w:ascii="Arial Narrow" w:hAnsi="Arial Narrow" w:cs="Arial"/>
                <w:sz w:val="20"/>
                <w:szCs w:val="20"/>
              </w:rPr>
            </w:pPr>
          </w:p>
          <w:p w:rsidR="00625A5E" w:rsidRDefault="00625A5E" w:rsidP="008F16D1">
            <w:pPr>
              <w:keepNext/>
              <w:jc w:val="both"/>
              <w:rPr>
                <w:rFonts w:ascii="Arial Narrow" w:hAnsi="Arial Narrow" w:cs="Arial"/>
                <w:sz w:val="20"/>
                <w:szCs w:val="20"/>
              </w:rPr>
            </w:pPr>
          </w:p>
          <w:p w:rsidR="00625A5E" w:rsidRDefault="00625A5E" w:rsidP="008F16D1">
            <w:pPr>
              <w:keepNext/>
              <w:jc w:val="both"/>
              <w:rPr>
                <w:rFonts w:ascii="Arial Narrow" w:hAnsi="Arial Narrow" w:cs="Arial"/>
                <w:sz w:val="20"/>
                <w:szCs w:val="20"/>
              </w:rPr>
            </w:pPr>
          </w:p>
          <w:p w:rsidR="00625A5E" w:rsidRPr="00260CE3" w:rsidRDefault="00625A5E" w:rsidP="00DC3AE9">
            <w:pPr>
              <w:keepNext/>
              <w:jc w:val="both"/>
              <w:rPr>
                <w:rFonts w:ascii="Arial Narrow" w:hAnsi="Arial Narrow" w:cs="Arial"/>
                <w:sz w:val="20"/>
                <w:szCs w:val="20"/>
              </w:rPr>
            </w:pPr>
            <w:r w:rsidRPr="00260CE3">
              <w:rPr>
                <w:rFonts w:ascii="Arial Narrow" w:hAnsi="Arial Narrow" w:cs="Arial"/>
                <w:sz w:val="20"/>
                <w:szCs w:val="20"/>
              </w:rPr>
              <w:t>$</w:t>
            </w:r>
            <w:r w:rsidR="006013B2">
              <w:rPr>
                <w:rFonts w:ascii="Arial Narrow" w:hAnsi="Arial Narrow" w:cs="Arial"/>
                <w:noProof/>
                <w:color w:val="000000"/>
                <w:sz w:val="20"/>
                <w:szCs w:val="20"/>
                <w:highlight w:val="black"/>
              </w:rPr>
              <w:t>''''''''''''''</w:t>
            </w:r>
          </w:p>
        </w:tc>
        <w:tc>
          <w:tcPr>
            <w:tcW w:w="1262" w:type="dxa"/>
          </w:tcPr>
          <w:p w:rsidR="00F53A08" w:rsidRPr="00260CE3" w:rsidRDefault="00F53A08" w:rsidP="00C27B58">
            <w:pPr>
              <w:keepNext/>
              <w:jc w:val="both"/>
              <w:rPr>
                <w:rFonts w:ascii="Arial Narrow" w:hAnsi="Arial Narrow" w:cs="Arial"/>
                <w:sz w:val="20"/>
                <w:szCs w:val="20"/>
              </w:rPr>
            </w:pPr>
            <w:r>
              <w:rPr>
                <w:rFonts w:ascii="Arial Narrow" w:hAnsi="Arial Narrow" w:cs="Arial"/>
                <w:sz w:val="20"/>
                <w:szCs w:val="20"/>
              </w:rPr>
              <w:t>Targin®</w:t>
            </w:r>
          </w:p>
        </w:tc>
        <w:tc>
          <w:tcPr>
            <w:tcW w:w="1219" w:type="dxa"/>
          </w:tcPr>
          <w:p w:rsidR="00F53A08" w:rsidRPr="00260CE3" w:rsidRDefault="00F53A08" w:rsidP="00C27B58">
            <w:pPr>
              <w:keepNext/>
              <w:jc w:val="both"/>
              <w:rPr>
                <w:rFonts w:ascii="Arial Narrow" w:hAnsi="Arial Narrow" w:cs="Arial"/>
                <w:sz w:val="20"/>
                <w:szCs w:val="20"/>
              </w:rPr>
            </w:pPr>
            <w:r>
              <w:rPr>
                <w:rFonts w:ascii="Arial Narrow" w:hAnsi="Arial Narrow" w:cs="Arial"/>
                <w:sz w:val="20"/>
                <w:szCs w:val="20"/>
              </w:rPr>
              <w:t>Mundipharma Pty Ltd</w:t>
            </w:r>
          </w:p>
        </w:tc>
      </w:tr>
      <w:tr w:rsidR="00F53A08" w:rsidRPr="00260CE3" w:rsidTr="00030FC4">
        <w:trPr>
          <w:cantSplit/>
          <w:trHeight w:val="360"/>
        </w:trPr>
        <w:tc>
          <w:tcPr>
            <w:tcW w:w="8363" w:type="dxa"/>
            <w:gridSpan w:val="7"/>
            <w:tcBorders>
              <w:bottom w:val="single" w:sz="4" w:space="0" w:color="auto"/>
            </w:tcBorders>
          </w:tcPr>
          <w:p w:rsidR="00F53A08" w:rsidRPr="00260CE3" w:rsidRDefault="00F53A08" w:rsidP="00C27B58">
            <w:pPr>
              <w:jc w:val="both"/>
              <w:rPr>
                <w:rFonts w:ascii="Arial Narrow" w:hAnsi="Arial Narrow" w:cs="Arial"/>
                <w:sz w:val="20"/>
                <w:szCs w:val="20"/>
              </w:rPr>
            </w:pPr>
          </w:p>
        </w:tc>
      </w:tr>
      <w:tr w:rsidR="00F53A08" w:rsidRPr="00260CE3" w:rsidTr="00F53A08">
        <w:trPr>
          <w:cantSplit/>
          <w:trHeight w:val="360"/>
        </w:trPr>
        <w:tc>
          <w:tcPr>
            <w:tcW w:w="1968" w:type="dxa"/>
            <w:tcBorders>
              <w:top w:val="single" w:sz="4" w:space="0" w:color="auto"/>
              <w:left w:val="single" w:sz="4" w:space="0" w:color="auto"/>
              <w:bottom w:val="single" w:sz="4" w:space="0" w:color="auto"/>
              <w:right w:val="single" w:sz="4" w:space="0" w:color="auto"/>
            </w:tcBorders>
          </w:tcPr>
          <w:p w:rsidR="00F53A08" w:rsidRPr="00260CE3" w:rsidRDefault="00F53A08" w:rsidP="00C27B58">
            <w:pPr>
              <w:jc w:val="both"/>
              <w:rPr>
                <w:rFonts w:ascii="Arial Narrow" w:hAnsi="Arial Narrow" w:cs="Arial"/>
                <w:b/>
                <w:sz w:val="20"/>
                <w:szCs w:val="20"/>
              </w:rPr>
            </w:pPr>
            <w:r w:rsidRPr="00260CE3">
              <w:rPr>
                <w:rFonts w:ascii="Arial Narrow" w:hAnsi="Arial Narrow" w:cs="Arial"/>
                <w:b/>
                <w:sz w:val="20"/>
                <w:szCs w:val="20"/>
              </w:rPr>
              <w:t xml:space="preserve">Category / </w:t>
            </w:r>
          </w:p>
          <w:p w:rsidR="00F53A08" w:rsidRPr="00260CE3" w:rsidRDefault="00F53A08" w:rsidP="00C27B58">
            <w:pPr>
              <w:jc w:val="both"/>
              <w:rPr>
                <w:rFonts w:ascii="Arial Narrow" w:hAnsi="Arial Narrow" w:cs="Arial"/>
                <w:b/>
                <w:sz w:val="20"/>
                <w:szCs w:val="20"/>
              </w:rPr>
            </w:pPr>
            <w:r w:rsidRPr="00260CE3">
              <w:rPr>
                <w:rFonts w:ascii="Arial Narrow" w:hAnsi="Arial Narrow" w:cs="Arial"/>
                <w:b/>
                <w:sz w:val="20"/>
                <w:szCs w:val="20"/>
              </w:rPr>
              <w:t>Program</w:t>
            </w:r>
          </w:p>
        </w:tc>
        <w:tc>
          <w:tcPr>
            <w:tcW w:w="6395" w:type="dxa"/>
            <w:gridSpan w:val="6"/>
            <w:tcBorders>
              <w:top w:val="single" w:sz="4" w:space="0" w:color="auto"/>
              <w:left w:val="single" w:sz="4" w:space="0" w:color="auto"/>
              <w:bottom w:val="single" w:sz="4" w:space="0" w:color="auto"/>
              <w:right w:val="single" w:sz="4" w:space="0" w:color="auto"/>
            </w:tcBorders>
          </w:tcPr>
          <w:p w:rsidR="00F53A08" w:rsidRPr="00260CE3" w:rsidRDefault="00F53A08" w:rsidP="00C27B58">
            <w:pPr>
              <w:rPr>
                <w:rFonts w:ascii="Arial Narrow" w:hAnsi="Arial Narrow" w:cs="Arial"/>
                <w:sz w:val="20"/>
                <w:szCs w:val="20"/>
              </w:rPr>
            </w:pPr>
            <w:r w:rsidRPr="00260CE3">
              <w:rPr>
                <w:rFonts w:ascii="Arial Narrow" w:hAnsi="Arial Narrow" w:cs="Arial"/>
                <w:sz w:val="20"/>
                <w:szCs w:val="20"/>
              </w:rPr>
              <w:t>GENERAL – General Schedule (</w:t>
            </w:r>
            <w:r w:rsidRPr="00522B6F">
              <w:rPr>
                <w:rFonts w:ascii="Arial Narrow" w:hAnsi="Arial Narrow" w:cs="Arial"/>
                <w:sz w:val="20"/>
                <w:szCs w:val="20"/>
              </w:rPr>
              <w:t>Code</w:t>
            </w:r>
            <w:r w:rsidRPr="00564798">
              <w:rPr>
                <w:rFonts w:ascii="Arial Narrow" w:hAnsi="Arial Narrow" w:cs="Arial"/>
                <w:strike/>
                <w:sz w:val="20"/>
                <w:szCs w:val="20"/>
              </w:rPr>
              <w:t xml:space="preserve"> </w:t>
            </w:r>
            <w:r w:rsidRPr="00260CE3">
              <w:rPr>
                <w:rFonts w:ascii="Arial Narrow" w:hAnsi="Arial Narrow" w:cs="Arial"/>
                <w:sz w:val="20"/>
                <w:szCs w:val="20"/>
              </w:rPr>
              <w:t>GE)</w:t>
            </w:r>
          </w:p>
          <w:p w:rsidR="00F53A08" w:rsidRPr="00260CE3" w:rsidRDefault="00F53A08" w:rsidP="00C27B58">
            <w:pPr>
              <w:rPr>
                <w:rFonts w:ascii="Arial Narrow" w:hAnsi="Arial Narrow" w:cs="Arial"/>
                <w:sz w:val="20"/>
                <w:szCs w:val="20"/>
              </w:rPr>
            </w:pPr>
          </w:p>
        </w:tc>
      </w:tr>
      <w:tr w:rsidR="00F53A08" w:rsidRPr="00260CE3" w:rsidTr="00F53A08">
        <w:trPr>
          <w:cantSplit/>
          <w:trHeight w:val="360"/>
        </w:trPr>
        <w:tc>
          <w:tcPr>
            <w:tcW w:w="1968" w:type="dxa"/>
            <w:tcBorders>
              <w:top w:val="single" w:sz="4" w:space="0" w:color="auto"/>
              <w:left w:val="single" w:sz="4" w:space="0" w:color="auto"/>
              <w:bottom w:val="single" w:sz="4" w:space="0" w:color="auto"/>
              <w:right w:val="single" w:sz="4" w:space="0" w:color="auto"/>
            </w:tcBorders>
          </w:tcPr>
          <w:p w:rsidR="00F53A08" w:rsidRPr="00260CE3" w:rsidRDefault="00F53A08" w:rsidP="00C27B58">
            <w:pPr>
              <w:jc w:val="both"/>
              <w:rPr>
                <w:rFonts w:ascii="Arial Narrow" w:hAnsi="Arial Narrow" w:cs="Arial"/>
                <w:b/>
                <w:sz w:val="20"/>
                <w:szCs w:val="20"/>
              </w:rPr>
            </w:pPr>
            <w:r w:rsidRPr="00260CE3">
              <w:rPr>
                <w:rFonts w:ascii="Arial Narrow" w:hAnsi="Arial Narrow" w:cs="Arial"/>
                <w:b/>
                <w:sz w:val="20"/>
                <w:szCs w:val="20"/>
              </w:rPr>
              <w:t>Prescriber type:</w:t>
            </w:r>
          </w:p>
        </w:tc>
        <w:tc>
          <w:tcPr>
            <w:tcW w:w="6395" w:type="dxa"/>
            <w:gridSpan w:val="6"/>
            <w:tcBorders>
              <w:top w:val="single" w:sz="4" w:space="0" w:color="auto"/>
              <w:left w:val="single" w:sz="4" w:space="0" w:color="auto"/>
              <w:bottom w:val="single" w:sz="4" w:space="0" w:color="auto"/>
              <w:right w:val="single" w:sz="4" w:space="0" w:color="auto"/>
            </w:tcBorders>
          </w:tcPr>
          <w:p w:rsidR="00F53A08" w:rsidRPr="00260CE3" w:rsidRDefault="00F53A08" w:rsidP="00C27B5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5668E4">
              <w:rPr>
                <w:rFonts w:ascii="Arial Narrow" w:hAnsi="Arial Narrow" w:cs="Arial"/>
                <w:sz w:val="20"/>
                <w:szCs w:val="20"/>
              </w:rPr>
            </w:r>
            <w:r w:rsidR="005668E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668E4">
              <w:rPr>
                <w:rFonts w:ascii="Arial Narrow" w:hAnsi="Arial Narrow" w:cs="Arial"/>
                <w:sz w:val="20"/>
                <w:szCs w:val="20"/>
              </w:rPr>
            </w:r>
            <w:r w:rsidR="005668E4">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bookmarkStart w:id="1" w:name="Check3"/>
            <w:r>
              <w:rPr>
                <w:rFonts w:ascii="Arial Narrow" w:hAnsi="Arial Narrow" w:cs="Arial"/>
                <w:sz w:val="20"/>
                <w:szCs w:val="20"/>
              </w:rPr>
              <w:instrText xml:space="preserve"> FORMCHECKBOX </w:instrText>
            </w:r>
            <w:r w:rsidR="005668E4">
              <w:rPr>
                <w:rFonts w:ascii="Arial Narrow" w:hAnsi="Arial Narrow" w:cs="Arial"/>
                <w:sz w:val="20"/>
                <w:szCs w:val="20"/>
              </w:rPr>
            </w:r>
            <w:r w:rsidR="005668E4">
              <w:rPr>
                <w:rFonts w:ascii="Arial Narrow" w:hAnsi="Arial Narrow" w:cs="Arial"/>
                <w:sz w:val="20"/>
                <w:szCs w:val="20"/>
              </w:rPr>
              <w:fldChar w:fldCharType="separate"/>
            </w:r>
            <w:r>
              <w:rPr>
                <w:rFonts w:ascii="Arial Narrow" w:hAnsi="Arial Narrow" w:cs="Arial"/>
                <w:sz w:val="20"/>
                <w:szCs w:val="20"/>
              </w:rPr>
              <w:fldChar w:fldCharType="end"/>
            </w:r>
            <w:bookmarkEnd w:id="1"/>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5668E4">
              <w:rPr>
                <w:rFonts w:ascii="Arial Narrow" w:hAnsi="Arial Narrow" w:cs="Arial"/>
                <w:sz w:val="20"/>
                <w:szCs w:val="20"/>
              </w:rPr>
            </w:r>
            <w:r w:rsidR="005668E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F53A08" w:rsidRPr="00260CE3" w:rsidRDefault="00F53A08" w:rsidP="00C27B5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5668E4">
              <w:rPr>
                <w:rFonts w:ascii="Arial Narrow" w:hAnsi="Arial Narrow" w:cs="Arial"/>
                <w:sz w:val="20"/>
                <w:szCs w:val="20"/>
              </w:rPr>
            </w:r>
            <w:r w:rsidR="005668E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F53A08" w:rsidRPr="00260CE3" w:rsidTr="00F53A08">
        <w:trPr>
          <w:cantSplit/>
          <w:trHeight w:val="360"/>
        </w:trPr>
        <w:tc>
          <w:tcPr>
            <w:tcW w:w="1968" w:type="dxa"/>
            <w:tcBorders>
              <w:top w:val="single" w:sz="4" w:space="0" w:color="auto"/>
              <w:left w:val="single" w:sz="4" w:space="0" w:color="auto"/>
              <w:bottom w:val="single" w:sz="4" w:space="0" w:color="auto"/>
              <w:right w:val="single" w:sz="4" w:space="0" w:color="auto"/>
            </w:tcBorders>
          </w:tcPr>
          <w:p w:rsidR="00F53A08" w:rsidRPr="00260CE3" w:rsidRDefault="00F53A08" w:rsidP="00C27B58">
            <w:pPr>
              <w:jc w:val="both"/>
              <w:rPr>
                <w:rFonts w:ascii="Arial Narrow" w:hAnsi="Arial Narrow" w:cs="Arial"/>
                <w:b/>
                <w:sz w:val="20"/>
                <w:szCs w:val="20"/>
              </w:rPr>
            </w:pPr>
            <w:r w:rsidRPr="00260CE3">
              <w:rPr>
                <w:rFonts w:ascii="Arial Narrow" w:hAnsi="Arial Narrow" w:cs="Arial"/>
                <w:b/>
                <w:sz w:val="20"/>
                <w:szCs w:val="20"/>
              </w:rPr>
              <w:t>Condition:</w:t>
            </w:r>
          </w:p>
        </w:tc>
        <w:tc>
          <w:tcPr>
            <w:tcW w:w="6395" w:type="dxa"/>
            <w:gridSpan w:val="6"/>
            <w:tcBorders>
              <w:top w:val="single" w:sz="4" w:space="0" w:color="auto"/>
              <w:left w:val="single" w:sz="4" w:space="0" w:color="auto"/>
              <w:bottom w:val="single" w:sz="4" w:space="0" w:color="auto"/>
              <w:right w:val="single" w:sz="4" w:space="0" w:color="auto"/>
            </w:tcBorders>
          </w:tcPr>
          <w:p w:rsidR="00F53A08" w:rsidRPr="00260CE3" w:rsidRDefault="00F53A08" w:rsidP="00C27B58">
            <w:pPr>
              <w:rPr>
                <w:rFonts w:ascii="Arial Narrow" w:hAnsi="Arial Narrow" w:cs="Arial"/>
                <w:sz w:val="20"/>
                <w:szCs w:val="20"/>
              </w:rPr>
            </w:pPr>
            <w:r>
              <w:rPr>
                <w:rFonts w:ascii="Arial Narrow" w:hAnsi="Arial Narrow" w:cs="Arial"/>
                <w:sz w:val="20"/>
                <w:szCs w:val="20"/>
              </w:rPr>
              <w:t>Chronic severe disabling pain</w:t>
            </w:r>
          </w:p>
        </w:tc>
      </w:tr>
      <w:tr w:rsidR="00F53A08" w:rsidRPr="00260CE3" w:rsidTr="00F53A08">
        <w:trPr>
          <w:cantSplit/>
          <w:trHeight w:val="360"/>
        </w:trPr>
        <w:tc>
          <w:tcPr>
            <w:tcW w:w="1968" w:type="dxa"/>
            <w:tcBorders>
              <w:top w:val="single" w:sz="4" w:space="0" w:color="auto"/>
              <w:left w:val="single" w:sz="4" w:space="0" w:color="auto"/>
              <w:bottom w:val="single" w:sz="4" w:space="0" w:color="auto"/>
              <w:right w:val="single" w:sz="4" w:space="0" w:color="auto"/>
            </w:tcBorders>
          </w:tcPr>
          <w:p w:rsidR="00F53A08" w:rsidRPr="00260CE3" w:rsidRDefault="00F53A08" w:rsidP="00C27B58">
            <w:pPr>
              <w:jc w:val="both"/>
              <w:rPr>
                <w:rFonts w:ascii="Arial Narrow" w:hAnsi="Arial Narrow" w:cs="Arial"/>
                <w:b/>
                <w:sz w:val="20"/>
                <w:szCs w:val="20"/>
              </w:rPr>
            </w:pPr>
            <w:r w:rsidRPr="00260CE3">
              <w:rPr>
                <w:rFonts w:ascii="Arial Narrow" w:hAnsi="Arial Narrow" w:cs="Arial"/>
                <w:b/>
                <w:sz w:val="20"/>
                <w:szCs w:val="20"/>
              </w:rPr>
              <w:t>PBS Indication:</w:t>
            </w:r>
          </w:p>
        </w:tc>
        <w:tc>
          <w:tcPr>
            <w:tcW w:w="6395" w:type="dxa"/>
            <w:gridSpan w:val="6"/>
            <w:tcBorders>
              <w:top w:val="single" w:sz="4" w:space="0" w:color="auto"/>
              <w:left w:val="single" w:sz="4" w:space="0" w:color="auto"/>
              <w:bottom w:val="single" w:sz="4" w:space="0" w:color="auto"/>
              <w:right w:val="single" w:sz="4" w:space="0" w:color="auto"/>
            </w:tcBorders>
          </w:tcPr>
          <w:p w:rsidR="00F53A08" w:rsidRPr="00260CE3" w:rsidRDefault="00F53A08" w:rsidP="00C27B58">
            <w:pPr>
              <w:rPr>
                <w:rFonts w:ascii="Arial Narrow" w:hAnsi="Arial Narrow" w:cs="Arial"/>
                <w:sz w:val="20"/>
                <w:szCs w:val="20"/>
              </w:rPr>
            </w:pPr>
            <w:r>
              <w:rPr>
                <w:rFonts w:ascii="Arial Narrow" w:hAnsi="Arial Narrow" w:cs="Arial"/>
                <w:sz w:val="20"/>
                <w:szCs w:val="20"/>
              </w:rPr>
              <w:t>Chronic severe disabling pain</w:t>
            </w:r>
          </w:p>
        </w:tc>
      </w:tr>
      <w:tr w:rsidR="00F53A08" w:rsidRPr="00260CE3" w:rsidTr="00F53A08">
        <w:trPr>
          <w:cantSplit/>
          <w:trHeight w:val="360"/>
        </w:trPr>
        <w:tc>
          <w:tcPr>
            <w:tcW w:w="1968" w:type="dxa"/>
            <w:tcBorders>
              <w:top w:val="single" w:sz="4" w:space="0" w:color="auto"/>
              <w:left w:val="single" w:sz="4" w:space="0" w:color="auto"/>
              <w:bottom w:val="single" w:sz="4" w:space="0" w:color="auto"/>
              <w:right w:val="single" w:sz="4" w:space="0" w:color="auto"/>
            </w:tcBorders>
          </w:tcPr>
          <w:p w:rsidR="00F53A08" w:rsidRPr="00260CE3" w:rsidRDefault="00F53A08" w:rsidP="00C27B5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F53A08" w:rsidRPr="00260CE3" w:rsidRDefault="00F53A08" w:rsidP="00C27B58">
            <w:pPr>
              <w:rPr>
                <w:rFonts w:ascii="Arial Narrow" w:hAnsi="Arial Narrow" w:cs="Arial"/>
                <w:sz w:val="20"/>
                <w:szCs w:val="20"/>
              </w:rPr>
            </w:pPr>
          </w:p>
        </w:tc>
        <w:tc>
          <w:tcPr>
            <w:tcW w:w="6395" w:type="dxa"/>
            <w:gridSpan w:val="6"/>
            <w:tcBorders>
              <w:top w:val="single" w:sz="4" w:space="0" w:color="auto"/>
              <w:left w:val="single" w:sz="4" w:space="0" w:color="auto"/>
              <w:bottom w:val="single" w:sz="4" w:space="0" w:color="auto"/>
              <w:right w:val="single" w:sz="4" w:space="0" w:color="auto"/>
            </w:tcBorders>
          </w:tcPr>
          <w:p w:rsidR="00F53A08" w:rsidRPr="00106BCF" w:rsidRDefault="00F53A08" w:rsidP="00C27B58">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bookmarkStart w:id="2" w:name="Check1"/>
            <w:r>
              <w:rPr>
                <w:rFonts w:ascii="Arial Narrow" w:hAnsi="Arial Narrow" w:cs="Arial"/>
                <w:sz w:val="20"/>
                <w:szCs w:val="20"/>
              </w:rPr>
              <w:instrText xml:space="preserve"> FORMCHECKBOX </w:instrText>
            </w:r>
            <w:r w:rsidR="005668E4">
              <w:rPr>
                <w:rFonts w:ascii="Arial Narrow" w:hAnsi="Arial Narrow" w:cs="Arial"/>
                <w:sz w:val="20"/>
                <w:szCs w:val="20"/>
              </w:rPr>
            </w:r>
            <w:r w:rsidR="005668E4">
              <w:rPr>
                <w:rFonts w:ascii="Arial Narrow" w:hAnsi="Arial Narrow" w:cs="Arial"/>
                <w:sz w:val="20"/>
                <w:szCs w:val="20"/>
              </w:rPr>
              <w:fldChar w:fldCharType="separate"/>
            </w:r>
            <w:r>
              <w:rPr>
                <w:rFonts w:ascii="Arial Narrow" w:hAnsi="Arial Narrow" w:cs="Arial"/>
                <w:sz w:val="20"/>
                <w:szCs w:val="20"/>
              </w:rPr>
              <w:fldChar w:fldCharType="end"/>
            </w:r>
            <w:bookmarkEnd w:id="2"/>
            <w:r w:rsidRPr="00106BCF">
              <w:rPr>
                <w:rFonts w:ascii="Arial Narrow" w:hAnsi="Arial Narrow" w:cs="Arial"/>
                <w:sz w:val="20"/>
                <w:szCs w:val="20"/>
              </w:rPr>
              <w:t>Restricted benefit</w:t>
            </w:r>
          </w:p>
          <w:p w:rsidR="00F53A08" w:rsidRPr="00106BCF" w:rsidRDefault="00F53A08"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5668E4">
              <w:rPr>
                <w:rFonts w:ascii="Arial Narrow" w:hAnsi="Arial Narrow" w:cs="Arial"/>
                <w:sz w:val="20"/>
                <w:szCs w:val="20"/>
              </w:rPr>
            </w:r>
            <w:r w:rsidR="005668E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F53A08" w:rsidRPr="00106BCF" w:rsidRDefault="00F53A08" w:rsidP="00C27B58">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5668E4">
              <w:rPr>
                <w:rFonts w:ascii="Arial Narrow" w:hAnsi="Arial Narrow" w:cs="Arial"/>
                <w:sz w:val="20"/>
                <w:szCs w:val="20"/>
              </w:rPr>
            </w:r>
            <w:r w:rsidR="005668E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F53A08" w:rsidRPr="00106BCF" w:rsidRDefault="00F53A08"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5668E4">
              <w:rPr>
                <w:rFonts w:ascii="Arial Narrow" w:hAnsi="Arial Narrow" w:cs="Arial"/>
                <w:sz w:val="20"/>
                <w:szCs w:val="20"/>
              </w:rPr>
            </w:r>
            <w:r w:rsidR="005668E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F53A08" w:rsidRPr="00106BCF" w:rsidRDefault="00F53A08"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5668E4">
              <w:rPr>
                <w:rFonts w:ascii="Arial Narrow" w:hAnsi="Arial Narrow" w:cs="Arial"/>
                <w:sz w:val="20"/>
                <w:szCs w:val="20"/>
              </w:rPr>
            </w:r>
            <w:r w:rsidR="005668E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F53A08" w:rsidRPr="00260CE3" w:rsidRDefault="00F53A08"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5668E4">
              <w:rPr>
                <w:rFonts w:ascii="Arial Narrow" w:hAnsi="Arial Narrow" w:cs="Arial"/>
                <w:sz w:val="20"/>
                <w:szCs w:val="20"/>
              </w:rPr>
            </w:r>
            <w:r w:rsidR="005668E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F53A08" w:rsidRPr="00260CE3" w:rsidTr="00F53A08">
        <w:trPr>
          <w:cantSplit/>
          <w:trHeight w:val="450"/>
        </w:trPr>
        <w:tc>
          <w:tcPr>
            <w:tcW w:w="1968" w:type="dxa"/>
            <w:tcBorders>
              <w:top w:val="single" w:sz="4" w:space="0" w:color="auto"/>
              <w:left w:val="single" w:sz="4" w:space="0" w:color="auto"/>
              <w:bottom w:val="single" w:sz="4" w:space="0" w:color="auto"/>
              <w:right w:val="single" w:sz="4" w:space="0" w:color="auto"/>
            </w:tcBorders>
          </w:tcPr>
          <w:p w:rsidR="00F53A08" w:rsidRPr="00280D1A" w:rsidRDefault="00F53A08" w:rsidP="00C27B58">
            <w:pPr>
              <w:jc w:val="both"/>
              <w:rPr>
                <w:rFonts w:ascii="Arial Narrow" w:hAnsi="Arial Narrow" w:cs="Arial"/>
                <w:b/>
                <w:sz w:val="20"/>
                <w:szCs w:val="20"/>
              </w:rPr>
            </w:pPr>
            <w:r w:rsidRPr="00260CE3">
              <w:rPr>
                <w:rFonts w:ascii="Arial Narrow" w:hAnsi="Arial Narrow" w:cs="Arial"/>
                <w:b/>
                <w:sz w:val="20"/>
                <w:szCs w:val="20"/>
              </w:rPr>
              <w:lastRenderedPageBreak/>
              <w:t>Clinical criteria:</w:t>
            </w:r>
          </w:p>
          <w:p w:rsidR="00F53A08" w:rsidRPr="00260CE3" w:rsidRDefault="00F53A08" w:rsidP="000454DA">
            <w:pPr>
              <w:jc w:val="both"/>
              <w:rPr>
                <w:rFonts w:ascii="Arial Narrow" w:hAnsi="Arial Narrow" w:cs="Arial"/>
                <w:sz w:val="20"/>
                <w:szCs w:val="20"/>
              </w:rPr>
            </w:pPr>
          </w:p>
        </w:tc>
        <w:tc>
          <w:tcPr>
            <w:tcW w:w="6395" w:type="dxa"/>
            <w:gridSpan w:val="6"/>
            <w:tcBorders>
              <w:top w:val="single" w:sz="4" w:space="0" w:color="auto"/>
              <w:left w:val="single" w:sz="4" w:space="0" w:color="auto"/>
              <w:bottom w:val="single" w:sz="4" w:space="0" w:color="auto"/>
              <w:right w:val="single" w:sz="4" w:space="0" w:color="auto"/>
            </w:tcBorders>
          </w:tcPr>
          <w:p w:rsidR="00F53A08" w:rsidRPr="00260CE3" w:rsidRDefault="00F53A08" w:rsidP="00CD385C">
            <w:pPr>
              <w:rPr>
                <w:rFonts w:ascii="Arial Narrow" w:hAnsi="Arial Narrow" w:cs="Arial"/>
                <w:sz w:val="20"/>
                <w:szCs w:val="20"/>
              </w:rPr>
            </w:pPr>
            <w:r>
              <w:rPr>
                <w:rFonts w:ascii="Arial Narrow" w:hAnsi="Arial Narrow" w:cs="Arial"/>
                <w:sz w:val="20"/>
                <w:szCs w:val="20"/>
              </w:rPr>
              <w:t>The condition must be unresponsive to non-</w:t>
            </w:r>
            <w:r w:rsidR="00BC26EC">
              <w:rPr>
                <w:rFonts w:ascii="Arial Narrow" w:hAnsi="Arial Narrow" w:cs="Arial"/>
                <w:sz w:val="20"/>
                <w:szCs w:val="20"/>
              </w:rPr>
              <w:t>opioid</w:t>
            </w:r>
            <w:r>
              <w:rPr>
                <w:rFonts w:ascii="Arial Narrow" w:hAnsi="Arial Narrow" w:cs="Arial"/>
                <w:sz w:val="20"/>
                <w:szCs w:val="20"/>
              </w:rPr>
              <w:t xml:space="preserve"> analgesics.</w:t>
            </w:r>
          </w:p>
        </w:tc>
      </w:tr>
      <w:tr w:rsidR="00F53A08" w:rsidRPr="00260CE3" w:rsidTr="00F53A08">
        <w:trPr>
          <w:cantSplit/>
          <w:trHeight w:val="360"/>
        </w:trPr>
        <w:tc>
          <w:tcPr>
            <w:tcW w:w="1968" w:type="dxa"/>
            <w:tcBorders>
              <w:top w:val="single" w:sz="4" w:space="0" w:color="auto"/>
              <w:left w:val="single" w:sz="4" w:space="0" w:color="auto"/>
              <w:bottom w:val="single" w:sz="4" w:space="0" w:color="auto"/>
              <w:right w:val="single" w:sz="4" w:space="0" w:color="auto"/>
            </w:tcBorders>
          </w:tcPr>
          <w:p w:rsidR="00F53A08" w:rsidRPr="00260CE3" w:rsidRDefault="00F53A08" w:rsidP="00C27B58">
            <w:pPr>
              <w:jc w:val="both"/>
              <w:rPr>
                <w:rFonts w:ascii="Arial Narrow" w:hAnsi="Arial Narrow" w:cs="Arial"/>
                <w:b/>
                <w:sz w:val="20"/>
                <w:szCs w:val="20"/>
              </w:rPr>
            </w:pPr>
            <w:r w:rsidRPr="00260CE3">
              <w:rPr>
                <w:rFonts w:ascii="Arial Narrow" w:hAnsi="Arial Narrow" w:cs="Arial"/>
                <w:b/>
                <w:sz w:val="20"/>
                <w:szCs w:val="20"/>
              </w:rPr>
              <w:t>Administrative Advice</w:t>
            </w:r>
          </w:p>
          <w:p w:rsidR="00F53A08" w:rsidRPr="00260CE3" w:rsidRDefault="00F53A08" w:rsidP="00C27B58">
            <w:pPr>
              <w:jc w:val="both"/>
              <w:rPr>
                <w:rFonts w:ascii="Arial Narrow" w:hAnsi="Arial Narrow" w:cs="Arial"/>
                <w:i/>
                <w:sz w:val="20"/>
                <w:szCs w:val="20"/>
              </w:rPr>
            </w:pPr>
          </w:p>
          <w:p w:rsidR="00F53A08" w:rsidRPr="00260CE3" w:rsidRDefault="00F53A08" w:rsidP="00C27B58">
            <w:pPr>
              <w:jc w:val="both"/>
              <w:rPr>
                <w:rFonts w:ascii="Arial Narrow" w:hAnsi="Arial Narrow" w:cs="Arial"/>
                <w:i/>
                <w:sz w:val="20"/>
                <w:szCs w:val="20"/>
              </w:rPr>
            </w:pPr>
          </w:p>
        </w:tc>
        <w:tc>
          <w:tcPr>
            <w:tcW w:w="6395" w:type="dxa"/>
            <w:gridSpan w:val="6"/>
            <w:tcBorders>
              <w:top w:val="single" w:sz="4" w:space="0" w:color="auto"/>
              <w:left w:val="single" w:sz="4" w:space="0" w:color="auto"/>
              <w:bottom w:val="single" w:sz="4" w:space="0" w:color="auto"/>
              <w:right w:val="single" w:sz="4" w:space="0" w:color="auto"/>
            </w:tcBorders>
          </w:tcPr>
          <w:tbl>
            <w:tblPr>
              <w:tblW w:w="5000" w:type="pct"/>
              <w:tblLook w:val="0000" w:firstRow="0" w:lastRow="0" w:firstColumn="0" w:lastColumn="0" w:noHBand="0" w:noVBand="0"/>
            </w:tblPr>
            <w:tblGrid>
              <w:gridCol w:w="6179"/>
            </w:tblGrid>
            <w:tr w:rsidR="00F53A08" w:rsidRPr="001C2FA1" w:rsidTr="00030FC4">
              <w:trPr>
                <w:cantSplit/>
                <w:trHeight w:val="360"/>
              </w:trPr>
              <w:tc>
                <w:tcPr>
                  <w:tcW w:w="5000" w:type="pct"/>
                </w:tcPr>
                <w:p w:rsidR="00F53A08" w:rsidRPr="00CD385C" w:rsidRDefault="00F53A08" w:rsidP="00C731C2">
                  <w:pPr>
                    <w:pStyle w:val="KMC16-Tablecontent"/>
                    <w:jc w:val="left"/>
                    <w:rPr>
                      <w:i/>
                      <w:color w:val="auto"/>
                      <w:szCs w:val="20"/>
                      <w:u w:val="single"/>
                      <w:lang w:val="en-AU" w:eastAsia="en-AU"/>
                    </w:rPr>
                  </w:pPr>
                  <w:r w:rsidRPr="00CD385C">
                    <w:rPr>
                      <w:i/>
                      <w:color w:val="auto"/>
                      <w:szCs w:val="20"/>
                      <w:u w:val="single"/>
                      <w:lang w:val="en-AU" w:eastAsia="en-AU"/>
                    </w:rPr>
                    <w:t>Note</w:t>
                  </w:r>
                </w:p>
                <w:p w:rsidR="00F53A08" w:rsidRPr="00030FC4" w:rsidRDefault="00F53A08" w:rsidP="00C731C2">
                  <w:pPr>
                    <w:pStyle w:val="KMC16-Tablecontent"/>
                    <w:jc w:val="left"/>
                    <w:rPr>
                      <w:color w:val="auto"/>
                      <w:szCs w:val="20"/>
                      <w:lang w:val="en-AU" w:eastAsia="en-AU"/>
                    </w:rPr>
                  </w:pPr>
                  <w:r w:rsidRPr="00030FC4">
                    <w:rPr>
                      <w:color w:val="auto"/>
                      <w:szCs w:val="20"/>
                      <w:lang w:val="en-AU" w:eastAsia="en-AU"/>
                    </w:rPr>
                    <w:t>Authorities for increased maximum quantities and/or repeats will be granted only for:</w:t>
                  </w:r>
                </w:p>
                <w:p w:rsidR="00F53A08" w:rsidRPr="00030FC4" w:rsidRDefault="00F53A08" w:rsidP="00C731C2">
                  <w:pPr>
                    <w:pStyle w:val="KMC16-Tablecontent"/>
                    <w:jc w:val="left"/>
                    <w:rPr>
                      <w:color w:val="auto"/>
                      <w:szCs w:val="20"/>
                      <w:lang w:val="en-AU" w:eastAsia="en-AU"/>
                    </w:rPr>
                  </w:pPr>
                  <w:r w:rsidRPr="00030FC4">
                    <w:rPr>
                      <w:color w:val="auto"/>
                      <w:szCs w:val="20"/>
                      <w:lang w:val="en-AU" w:eastAsia="en-AU"/>
                    </w:rPr>
                    <w:t>(i) chronic severe disabling pain associated with proven malignant neoplasia; or</w:t>
                  </w:r>
                </w:p>
                <w:p w:rsidR="00F53A08" w:rsidRDefault="00F53A08" w:rsidP="00C731C2">
                  <w:pPr>
                    <w:pStyle w:val="KMC16-Tablecontent"/>
                    <w:jc w:val="left"/>
                    <w:rPr>
                      <w:color w:val="auto"/>
                      <w:szCs w:val="20"/>
                      <w:lang w:val="en-AU" w:eastAsia="en-AU"/>
                    </w:rPr>
                  </w:pPr>
                </w:p>
                <w:p w:rsidR="00F53A08" w:rsidRPr="00030FC4" w:rsidRDefault="00F53A08" w:rsidP="00C731C2">
                  <w:pPr>
                    <w:pStyle w:val="KMC16-Tablecontent"/>
                    <w:jc w:val="left"/>
                    <w:rPr>
                      <w:color w:val="auto"/>
                      <w:szCs w:val="20"/>
                      <w:lang w:val="en-AU" w:eastAsia="en-AU"/>
                    </w:rPr>
                  </w:pPr>
                  <w:r w:rsidRPr="00030FC4">
                    <w:rPr>
                      <w:color w:val="auto"/>
                      <w:szCs w:val="20"/>
                      <w:lang w:val="en-AU" w:eastAsia="en-AU"/>
                    </w:rPr>
                    <w:t>(ii) chronic severe disabling pain not responding to non-opioid analgesics where the total duration of opioid analgesic treatment is less than 12 months; or</w:t>
                  </w:r>
                </w:p>
                <w:p w:rsidR="00F53A08" w:rsidRDefault="00F53A08" w:rsidP="00C731C2">
                  <w:pPr>
                    <w:pStyle w:val="KMC16-Tablecontent"/>
                    <w:jc w:val="left"/>
                    <w:rPr>
                      <w:color w:val="auto"/>
                      <w:szCs w:val="20"/>
                      <w:lang w:val="en-AU" w:eastAsia="en-AU"/>
                    </w:rPr>
                  </w:pPr>
                </w:p>
                <w:p w:rsidR="00F53A08" w:rsidRPr="00030FC4" w:rsidRDefault="00F53A08" w:rsidP="00C731C2">
                  <w:pPr>
                    <w:pStyle w:val="KMC16-Tablecontent"/>
                    <w:jc w:val="left"/>
                    <w:rPr>
                      <w:color w:val="auto"/>
                      <w:szCs w:val="20"/>
                      <w:lang w:val="en-AU" w:eastAsia="en-AU"/>
                    </w:rPr>
                  </w:pPr>
                  <w:r w:rsidRPr="00030FC4">
                    <w:rPr>
                      <w:color w:val="auto"/>
                      <w:szCs w:val="20"/>
                      <w:lang w:val="en-AU" w:eastAsia="en-AU"/>
                    </w:rPr>
                    <w:t>(iii) first application for treatment beyond 12 months of chronic severe disabling pain not responding to non-opioid analgesics where the patient's pain management has been reviewed through consultation by the patient with another medical practitioner, and the clinical need for continuing opioid analgesic treatment has been confirmed. The date of the consultation must be no more than 3 months prior to the application for a PBS authority. The full name of the medical practitioner consulted and the date of consultation are to be provided at the time of application; or</w:t>
                  </w:r>
                </w:p>
                <w:p w:rsidR="00F53A08" w:rsidRDefault="00F53A08" w:rsidP="00C731C2">
                  <w:pPr>
                    <w:pStyle w:val="KMC16-Tablecontent"/>
                    <w:jc w:val="left"/>
                    <w:rPr>
                      <w:color w:val="auto"/>
                      <w:szCs w:val="20"/>
                      <w:lang w:val="en-AU" w:eastAsia="en-AU"/>
                    </w:rPr>
                  </w:pPr>
                </w:p>
                <w:p w:rsidR="00F53A08" w:rsidRPr="00030FC4" w:rsidRDefault="00F53A08" w:rsidP="00C731C2">
                  <w:pPr>
                    <w:pStyle w:val="KMC16-Tablecontent"/>
                    <w:jc w:val="left"/>
                    <w:rPr>
                      <w:color w:val="auto"/>
                      <w:szCs w:val="20"/>
                      <w:lang w:val="en-AU" w:eastAsia="en-AU"/>
                    </w:rPr>
                  </w:pPr>
                  <w:r w:rsidRPr="00030FC4">
                    <w:rPr>
                      <w:color w:val="auto"/>
                      <w:szCs w:val="20"/>
                      <w:lang w:val="en-AU" w:eastAsia="en-AU"/>
                    </w:rPr>
                    <w:t xml:space="preserve">(iv) </w:t>
                  </w:r>
                  <w:proofErr w:type="gramStart"/>
                  <w:r w:rsidRPr="00030FC4">
                    <w:rPr>
                      <w:color w:val="auto"/>
                      <w:szCs w:val="20"/>
                      <w:lang w:val="en-AU" w:eastAsia="en-AU"/>
                    </w:rPr>
                    <w:t>subsequent</w:t>
                  </w:r>
                  <w:proofErr w:type="gramEnd"/>
                  <w:r w:rsidRPr="00030FC4">
                    <w:rPr>
                      <w:color w:val="auto"/>
                      <w:szCs w:val="20"/>
                      <w:lang w:val="en-AU" w:eastAsia="en-AU"/>
                    </w:rPr>
                    <w:t xml:space="preserve"> application for treatment of chronic severe disabling pain not responding to non-opioid analgesics where a PBS authority prescription for treatment beyond 12 months has previously been issued for this patient.</w:t>
                  </w:r>
                </w:p>
              </w:tc>
            </w:tr>
            <w:tr w:rsidR="00F53A08" w:rsidRPr="001B2983" w:rsidTr="00030FC4">
              <w:trPr>
                <w:cantSplit/>
                <w:trHeight w:val="360"/>
              </w:trPr>
              <w:tc>
                <w:tcPr>
                  <w:tcW w:w="5000" w:type="pct"/>
                </w:tcPr>
                <w:p w:rsidR="00F53A08" w:rsidRPr="00CD385C" w:rsidRDefault="00F53A08" w:rsidP="00C731C2">
                  <w:pPr>
                    <w:pStyle w:val="KMC16-Tablecontent"/>
                    <w:jc w:val="left"/>
                    <w:rPr>
                      <w:i/>
                      <w:color w:val="auto"/>
                      <w:szCs w:val="20"/>
                      <w:u w:val="single"/>
                      <w:lang w:val="en-AU" w:eastAsia="en-AU"/>
                    </w:rPr>
                  </w:pPr>
                  <w:r w:rsidRPr="00CD385C">
                    <w:rPr>
                      <w:i/>
                      <w:color w:val="auto"/>
                      <w:szCs w:val="20"/>
                      <w:u w:val="single"/>
                      <w:lang w:val="en-AU" w:eastAsia="en-AU"/>
                    </w:rPr>
                    <w:t>Note</w:t>
                  </w:r>
                </w:p>
                <w:p w:rsidR="00F53A08" w:rsidRPr="00030FC4" w:rsidRDefault="00F53A08" w:rsidP="00C731C2">
                  <w:pPr>
                    <w:pStyle w:val="KMC16-Tablecontent"/>
                    <w:jc w:val="left"/>
                    <w:rPr>
                      <w:color w:val="auto"/>
                      <w:szCs w:val="20"/>
                      <w:lang w:val="en-AU" w:eastAsia="en-AU"/>
                    </w:rPr>
                  </w:pPr>
                  <w:r w:rsidRPr="00030FC4">
                    <w:rPr>
                      <w:color w:val="auto"/>
                      <w:szCs w:val="20"/>
                      <w:lang w:val="en-AU" w:eastAsia="en-AU"/>
                    </w:rPr>
                    <w:t>Shared Care Model:</w:t>
                  </w:r>
                </w:p>
                <w:p w:rsidR="00F53A08" w:rsidRPr="00030FC4" w:rsidRDefault="00F53A08" w:rsidP="00C731C2">
                  <w:pPr>
                    <w:pStyle w:val="KMC16-Tablecontent"/>
                    <w:jc w:val="left"/>
                    <w:rPr>
                      <w:color w:val="auto"/>
                      <w:szCs w:val="20"/>
                      <w:lang w:val="en-AU" w:eastAsia="en-AU"/>
                    </w:rPr>
                  </w:pPr>
                  <w:r w:rsidRPr="00030FC4">
                    <w:rPr>
                      <w:color w:val="auto"/>
                      <w:szCs w:val="20"/>
                      <w:lang w:val="en-AU" w:eastAsia="en-AU"/>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F53A08" w:rsidRPr="00260CE3" w:rsidRDefault="00F53A08" w:rsidP="00C27B58">
            <w:pPr>
              <w:rPr>
                <w:rFonts w:ascii="Arial Narrow" w:hAnsi="Arial Narrow" w:cs="Arial"/>
                <w:sz w:val="20"/>
                <w:szCs w:val="20"/>
              </w:rPr>
            </w:pPr>
          </w:p>
        </w:tc>
      </w:tr>
      <w:tr w:rsidR="00F53A08" w:rsidRPr="00260CE3" w:rsidTr="0077640F">
        <w:trPr>
          <w:cantSplit/>
          <w:trHeight w:val="295"/>
        </w:trPr>
        <w:tc>
          <w:tcPr>
            <w:tcW w:w="1968" w:type="dxa"/>
            <w:tcBorders>
              <w:top w:val="single" w:sz="4" w:space="0" w:color="auto"/>
              <w:left w:val="single" w:sz="4" w:space="0" w:color="auto"/>
              <w:bottom w:val="single" w:sz="4" w:space="0" w:color="auto"/>
              <w:right w:val="single" w:sz="4" w:space="0" w:color="auto"/>
            </w:tcBorders>
          </w:tcPr>
          <w:p w:rsidR="00F53A08" w:rsidRPr="00260CE3" w:rsidRDefault="00F53A08" w:rsidP="00C27B58">
            <w:pPr>
              <w:jc w:val="both"/>
              <w:rPr>
                <w:rFonts w:ascii="Arial Narrow" w:hAnsi="Arial Narrow" w:cs="Arial"/>
                <w:b/>
                <w:sz w:val="20"/>
                <w:szCs w:val="20"/>
              </w:rPr>
            </w:pPr>
            <w:r w:rsidRPr="00260CE3">
              <w:rPr>
                <w:rFonts w:ascii="Arial Narrow" w:hAnsi="Arial Narrow" w:cs="Arial"/>
                <w:b/>
                <w:sz w:val="20"/>
                <w:szCs w:val="20"/>
              </w:rPr>
              <w:t>Cautions</w:t>
            </w:r>
          </w:p>
          <w:p w:rsidR="00F53A08" w:rsidRPr="00260CE3" w:rsidRDefault="00F53A08" w:rsidP="00030FC4">
            <w:pPr>
              <w:jc w:val="both"/>
              <w:rPr>
                <w:rFonts w:ascii="Arial Narrow" w:hAnsi="Arial Narrow" w:cs="Arial"/>
                <w:i/>
                <w:sz w:val="20"/>
                <w:szCs w:val="20"/>
              </w:rPr>
            </w:pPr>
          </w:p>
        </w:tc>
        <w:tc>
          <w:tcPr>
            <w:tcW w:w="6395" w:type="dxa"/>
            <w:gridSpan w:val="6"/>
            <w:tcBorders>
              <w:top w:val="single" w:sz="4" w:space="0" w:color="auto"/>
              <w:left w:val="single" w:sz="4" w:space="0" w:color="auto"/>
              <w:bottom w:val="single" w:sz="4" w:space="0" w:color="auto"/>
              <w:right w:val="single" w:sz="4" w:space="0" w:color="auto"/>
            </w:tcBorders>
          </w:tcPr>
          <w:p w:rsidR="00F53A08" w:rsidRPr="00260CE3" w:rsidRDefault="00F53A08" w:rsidP="00C27B58">
            <w:pPr>
              <w:rPr>
                <w:rFonts w:ascii="Arial Narrow" w:hAnsi="Arial Narrow" w:cs="Arial"/>
                <w:sz w:val="20"/>
                <w:szCs w:val="20"/>
              </w:rPr>
            </w:pPr>
            <w:r>
              <w:rPr>
                <w:rFonts w:ascii="Arial Narrow" w:hAnsi="Arial Narrow" w:cs="Arial"/>
                <w:sz w:val="20"/>
                <w:szCs w:val="20"/>
              </w:rPr>
              <w:t>The risk of drug dependence is high.</w:t>
            </w:r>
          </w:p>
        </w:tc>
      </w:tr>
    </w:tbl>
    <w:p w:rsidR="008C7482" w:rsidRDefault="008C7482" w:rsidP="00882085">
      <w:pPr>
        <w:jc w:val="both"/>
        <w:rPr>
          <w:rFonts w:ascii="Arial" w:hAnsi="Arial"/>
          <w:b/>
          <w:sz w:val="22"/>
          <w:szCs w:val="22"/>
        </w:rPr>
      </w:pPr>
    </w:p>
    <w:p w:rsidR="00EC4D56" w:rsidRPr="00882085" w:rsidRDefault="00EC4D56" w:rsidP="00882085">
      <w:pPr>
        <w:jc w:val="both"/>
        <w:rPr>
          <w:rFonts w:ascii="Arial" w:hAnsi="Arial"/>
          <w:b/>
          <w:sz w:val="22"/>
          <w:szCs w:val="22"/>
        </w:rPr>
      </w:pPr>
    </w:p>
    <w:p w:rsidR="00CE10C4" w:rsidRPr="00C603D4" w:rsidRDefault="00CE10C4" w:rsidP="008A50F1">
      <w:pPr>
        <w:pStyle w:val="PBACHeading1"/>
      </w:pPr>
      <w:r w:rsidRPr="00C603D4">
        <w:t>Background</w:t>
      </w:r>
    </w:p>
    <w:p w:rsidR="00C603D4" w:rsidRPr="00C603D4" w:rsidRDefault="00C603D4" w:rsidP="00176B28">
      <w:pPr>
        <w:pStyle w:val="ListParagraph"/>
        <w:ind w:firstLine="720"/>
        <w:rPr>
          <w:i/>
          <w:szCs w:val="22"/>
        </w:rPr>
      </w:pPr>
    </w:p>
    <w:p w:rsidR="00171C78" w:rsidRPr="00171C78" w:rsidRDefault="00171C78" w:rsidP="008A50F1">
      <w:pPr>
        <w:pStyle w:val="ListParagraph"/>
        <w:numPr>
          <w:ilvl w:val="1"/>
          <w:numId w:val="5"/>
        </w:numPr>
        <w:rPr>
          <w:i/>
          <w:szCs w:val="22"/>
        </w:rPr>
      </w:pPr>
      <w:r>
        <w:rPr>
          <w:szCs w:val="22"/>
        </w:rPr>
        <w:t>The PBAC recommended that the Department consult with organisations representing physicians experienced in pain management.</w:t>
      </w:r>
    </w:p>
    <w:p w:rsidR="00171C78" w:rsidRPr="00171C78" w:rsidRDefault="00171C78" w:rsidP="00171C78">
      <w:pPr>
        <w:pStyle w:val="ListParagraph"/>
        <w:rPr>
          <w:i/>
          <w:szCs w:val="22"/>
        </w:rPr>
      </w:pPr>
    </w:p>
    <w:p w:rsidR="002B1AE6" w:rsidRPr="008758FA" w:rsidRDefault="000C4128" w:rsidP="008758FA">
      <w:pPr>
        <w:pStyle w:val="ListParagraph"/>
        <w:numPr>
          <w:ilvl w:val="1"/>
          <w:numId w:val="5"/>
        </w:numPr>
        <w:rPr>
          <w:i/>
          <w:szCs w:val="22"/>
        </w:rPr>
      </w:pPr>
      <w:r>
        <w:rPr>
          <w:szCs w:val="22"/>
        </w:rPr>
        <w:t>O</w:t>
      </w:r>
      <w:r w:rsidR="002113CE" w:rsidRPr="004A6B96">
        <w:rPr>
          <w:szCs w:val="22"/>
        </w:rPr>
        <w:t xml:space="preserve">xycodone </w:t>
      </w:r>
      <w:r w:rsidR="004A6B96" w:rsidRPr="004A6B96">
        <w:rPr>
          <w:szCs w:val="22"/>
        </w:rPr>
        <w:t xml:space="preserve">with </w:t>
      </w:r>
      <w:r w:rsidR="002113CE" w:rsidRPr="004A6B96">
        <w:rPr>
          <w:szCs w:val="22"/>
        </w:rPr>
        <w:t xml:space="preserve">naloxone </w:t>
      </w:r>
      <w:r>
        <w:rPr>
          <w:szCs w:val="22"/>
        </w:rPr>
        <w:t>was</w:t>
      </w:r>
      <w:r w:rsidR="002113CE" w:rsidRPr="004A6B96">
        <w:rPr>
          <w:szCs w:val="22"/>
        </w:rPr>
        <w:t xml:space="preserve"> TGA approved in March 2010 for the management of moderation to severe chronic pain unresponsive to </w:t>
      </w:r>
      <w:r w:rsidR="002113CE" w:rsidRPr="008758FA">
        <w:rPr>
          <w:szCs w:val="22"/>
        </w:rPr>
        <w:t>non-narcotic analgesia.</w:t>
      </w:r>
    </w:p>
    <w:p w:rsidR="006B0D94" w:rsidRPr="00882085" w:rsidRDefault="006B0D94" w:rsidP="00882085">
      <w:pPr>
        <w:pStyle w:val="ListParagraph"/>
        <w:rPr>
          <w:szCs w:val="22"/>
        </w:rPr>
      </w:pPr>
    </w:p>
    <w:p w:rsidR="005848CA" w:rsidRDefault="000C4128" w:rsidP="000C4128">
      <w:pPr>
        <w:pStyle w:val="ListParagraph"/>
        <w:numPr>
          <w:ilvl w:val="1"/>
          <w:numId w:val="5"/>
        </w:numPr>
        <w:rPr>
          <w:szCs w:val="22"/>
        </w:rPr>
      </w:pPr>
      <w:r>
        <w:rPr>
          <w:szCs w:val="22"/>
        </w:rPr>
        <w:t>O</w:t>
      </w:r>
      <w:r w:rsidR="002113CE">
        <w:rPr>
          <w:szCs w:val="22"/>
        </w:rPr>
        <w:t xml:space="preserve">xycodone </w:t>
      </w:r>
      <w:r w:rsidR="00EB76CF">
        <w:rPr>
          <w:szCs w:val="22"/>
        </w:rPr>
        <w:t xml:space="preserve">with </w:t>
      </w:r>
      <w:r w:rsidR="002113CE">
        <w:rPr>
          <w:szCs w:val="22"/>
        </w:rPr>
        <w:t xml:space="preserve">naloxone </w:t>
      </w:r>
      <w:r>
        <w:rPr>
          <w:szCs w:val="22"/>
        </w:rPr>
        <w:t>was initially</w:t>
      </w:r>
      <w:r w:rsidR="002113CE">
        <w:rPr>
          <w:szCs w:val="22"/>
        </w:rPr>
        <w:t xml:space="preserve"> recommended for PBS listing at the November 2010 PBAC meeting</w:t>
      </w:r>
      <w:r>
        <w:rPr>
          <w:szCs w:val="22"/>
        </w:rPr>
        <w:t xml:space="preserve"> in a limited range of strengths.</w:t>
      </w:r>
      <w:r w:rsidR="00994A12">
        <w:rPr>
          <w:szCs w:val="22"/>
        </w:rPr>
        <w:t xml:space="preserve"> At the March 2015 PBAC meeting, the PBAC deferred making a recommendation regarding the proposed general schedule listing of additional strengths of oxycodone </w:t>
      </w:r>
      <w:r w:rsidR="004A6B96">
        <w:rPr>
          <w:szCs w:val="22"/>
        </w:rPr>
        <w:t xml:space="preserve">with </w:t>
      </w:r>
      <w:r w:rsidR="00994A12">
        <w:rPr>
          <w:szCs w:val="22"/>
        </w:rPr>
        <w:t>naloxone</w:t>
      </w:r>
      <w:r>
        <w:rPr>
          <w:szCs w:val="22"/>
        </w:rPr>
        <w:t xml:space="preserve"> pending consultation with </w:t>
      </w:r>
      <w:r w:rsidRPr="000C4128">
        <w:rPr>
          <w:szCs w:val="22"/>
        </w:rPr>
        <w:t xml:space="preserve">organisations representing physicians experienced in pain </w:t>
      </w:r>
      <w:r w:rsidR="00656CBF" w:rsidRPr="000C4128">
        <w:rPr>
          <w:szCs w:val="22"/>
        </w:rPr>
        <w:t>management.</w:t>
      </w:r>
      <w:r w:rsidR="00656CBF">
        <w:rPr>
          <w:szCs w:val="22"/>
        </w:rPr>
        <w:t xml:space="preserve"> At</w:t>
      </w:r>
      <w:r w:rsidR="00732F09">
        <w:rPr>
          <w:szCs w:val="22"/>
        </w:rPr>
        <w:t xml:space="preserve"> the November 2015 meeting, the PBAC recommended</w:t>
      </w:r>
      <w:r w:rsidR="004A6B96">
        <w:rPr>
          <w:szCs w:val="22"/>
        </w:rPr>
        <w:t xml:space="preserve"> listing</w:t>
      </w:r>
      <w:r w:rsidR="00732F09">
        <w:rPr>
          <w:szCs w:val="22"/>
        </w:rPr>
        <w:t xml:space="preserve"> the </w:t>
      </w:r>
      <w:r w:rsidR="00757AC7">
        <w:rPr>
          <w:szCs w:val="22"/>
        </w:rPr>
        <w:t>strengths 2.5</w:t>
      </w:r>
      <w:r w:rsidR="00EB76CF">
        <w:rPr>
          <w:szCs w:val="22"/>
        </w:rPr>
        <w:t> </w:t>
      </w:r>
      <w:r w:rsidR="00757AC7">
        <w:rPr>
          <w:szCs w:val="22"/>
        </w:rPr>
        <w:t>mg/1.25</w:t>
      </w:r>
      <w:r w:rsidR="00EB76CF">
        <w:rPr>
          <w:szCs w:val="22"/>
        </w:rPr>
        <w:t> </w:t>
      </w:r>
      <w:r w:rsidR="00757AC7">
        <w:rPr>
          <w:szCs w:val="22"/>
        </w:rPr>
        <w:t>mg, 15</w:t>
      </w:r>
      <w:r w:rsidR="00EB76CF">
        <w:rPr>
          <w:szCs w:val="22"/>
        </w:rPr>
        <w:t> </w:t>
      </w:r>
      <w:r w:rsidR="00757AC7">
        <w:rPr>
          <w:szCs w:val="22"/>
        </w:rPr>
        <w:t>mg/7.5</w:t>
      </w:r>
      <w:r w:rsidR="00EB76CF">
        <w:rPr>
          <w:szCs w:val="22"/>
        </w:rPr>
        <w:t> </w:t>
      </w:r>
      <w:r w:rsidR="00757AC7">
        <w:rPr>
          <w:szCs w:val="22"/>
        </w:rPr>
        <w:t>mg and 30</w:t>
      </w:r>
      <w:r w:rsidR="00EB76CF">
        <w:rPr>
          <w:szCs w:val="22"/>
        </w:rPr>
        <w:t> </w:t>
      </w:r>
      <w:r w:rsidR="00757AC7">
        <w:rPr>
          <w:szCs w:val="22"/>
        </w:rPr>
        <w:t>mg/15</w:t>
      </w:r>
      <w:r w:rsidR="00EB76CF">
        <w:rPr>
          <w:szCs w:val="22"/>
        </w:rPr>
        <w:t> </w:t>
      </w:r>
      <w:r w:rsidR="00757AC7">
        <w:rPr>
          <w:szCs w:val="22"/>
        </w:rPr>
        <w:t>mg.</w:t>
      </w:r>
    </w:p>
    <w:p w:rsidR="008917FE" w:rsidRDefault="008917FE" w:rsidP="008917FE">
      <w:pPr>
        <w:pStyle w:val="ListParagraph"/>
        <w:rPr>
          <w:szCs w:val="22"/>
        </w:rPr>
      </w:pPr>
    </w:p>
    <w:p w:rsidR="008917FE" w:rsidRPr="005848CA" w:rsidRDefault="008917FE" w:rsidP="005848CA">
      <w:pPr>
        <w:pStyle w:val="ListParagraph"/>
        <w:numPr>
          <w:ilvl w:val="1"/>
          <w:numId w:val="5"/>
        </w:numPr>
        <w:rPr>
          <w:szCs w:val="22"/>
        </w:rPr>
      </w:pPr>
      <w:r>
        <w:rPr>
          <w:szCs w:val="22"/>
        </w:rPr>
        <w:t xml:space="preserve">At the November 2015 meeting, </w:t>
      </w:r>
      <w:r w:rsidR="000B0D52">
        <w:rPr>
          <w:szCs w:val="22"/>
        </w:rPr>
        <w:t>in accordance with subsection 101(3BA) of the</w:t>
      </w:r>
      <w:r w:rsidR="000B0D52">
        <w:rPr>
          <w:i/>
          <w:szCs w:val="22"/>
        </w:rPr>
        <w:t xml:space="preserve"> National Health Act </w:t>
      </w:r>
      <w:r w:rsidR="000B0D52">
        <w:rPr>
          <w:szCs w:val="22"/>
        </w:rPr>
        <w:t xml:space="preserve">1953, the PBAC advised that oxycodone </w:t>
      </w:r>
      <w:r w:rsidR="00B87716">
        <w:rPr>
          <w:szCs w:val="22"/>
        </w:rPr>
        <w:t xml:space="preserve">with </w:t>
      </w:r>
      <w:r w:rsidR="000B0D52">
        <w:rPr>
          <w:szCs w:val="22"/>
        </w:rPr>
        <w:t>naloxone should not be treated as interchangeable on an individual patient basis with any other drug.</w:t>
      </w:r>
    </w:p>
    <w:p w:rsidR="006A12A5" w:rsidRPr="00882085" w:rsidRDefault="006A12A5" w:rsidP="00882085">
      <w:pPr>
        <w:pStyle w:val="ListParagraph"/>
        <w:rPr>
          <w:szCs w:val="22"/>
        </w:rPr>
      </w:pPr>
    </w:p>
    <w:p w:rsidR="00BB7EC3" w:rsidRPr="005A3223" w:rsidRDefault="001B1766" w:rsidP="008A50F1">
      <w:pPr>
        <w:pStyle w:val="ListParagraph"/>
        <w:numPr>
          <w:ilvl w:val="1"/>
          <w:numId w:val="5"/>
        </w:numPr>
        <w:rPr>
          <w:szCs w:val="22"/>
        </w:rPr>
      </w:pPr>
      <w:r>
        <w:rPr>
          <w:szCs w:val="22"/>
        </w:rPr>
        <w:t>The requested strengths have not previously been considered by the PBAC.</w:t>
      </w:r>
    </w:p>
    <w:p w:rsidR="008A1956" w:rsidRDefault="008A1956" w:rsidP="00882085">
      <w:pPr>
        <w:jc w:val="both"/>
        <w:rPr>
          <w:rFonts w:ascii="Arial" w:hAnsi="Arial"/>
          <w:b/>
          <w:sz w:val="22"/>
          <w:szCs w:val="22"/>
        </w:rPr>
      </w:pPr>
    </w:p>
    <w:p w:rsidR="008C7482" w:rsidRDefault="008C7482" w:rsidP="008C7482">
      <w:pPr>
        <w:pStyle w:val="ListParagraph"/>
        <w:ind w:left="709"/>
        <w:rPr>
          <w:i/>
          <w:szCs w:val="22"/>
        </w:rPr>
      </w:pPr>
      <w:r w:rsidRPr="00BB192A">
        <w:rPr>
          <w:i/>
          <w:szCs w:val="22"/>
        </w:rPr>
        <w:t>For more detail on PBAC’s view, see section 7 “PBAC outcome”</w:t>
      </w:r>
    </w:p>
    <w:p w:rsidR="008C7482" w:rsidRDefault="008C7482" w:rsidP="00882085">
      <w:pPr>
        <w:jc w:val="both"/>
        <w:rPr>
          <w:rFonts w:ascii="Arial" w:hAnsi="Arial"/>
          <w:b/>
          <w:sz w:val="22"/>
          <w:szCs w:val="22"/>
        </w:rPr>
      </w:pPr>
    </w:p>
    <w:p w:rsidR="00744418" w:rsidRPr="00882085" w:rsidRDefault="00744418" w:rsidP="00882085">
      <w:pPr>
        <w:jc w:val="both"/>
        <w:rPr>
          <w:rFonts w:ascii="Arial" w:hAnsi="Arial"/>
          <w:b/>
          <w:sz w:val="22"/>
          <w:szCs w:val="22"/>
        </w:rPr>
      </w:pPr>
    </w:p>
    <w:p w:rsidR="00CE10C4" w:rsidRPr="00C603D4" w:rsidRDefault="00CE10C4" w:rsidP="008A50F1">
      <w:pPr>
        <w:pStyle w:val="PBACHeading1"/>
      </w:pPr>
      <w:r w:rsidRPr="00C603D4">
        <w:t>Clinical place for the proposed ther</w:t>
      </w:r>
      <w:r w:rsidR="006A12A5" w:rsidRPr="00C603D4">
        <w:t>apy</w:t>
      </w:r>
    </w:p>
    <w:p w:rsidR="00CE10C4" w:rsidRPr="00882085" w:rsidRDefault="00CE10C4" w:rsidP="00882085">
      <w:pPr>
        <w:jc w:val="both"/>
        <w:rPr>
          <w:rFonts w:ascii="Arial" w:hAnsi="Arial"/>
          <w:sz w:val="22"/>
          <w:szCs w:val="22"/>
        </w:rPr>
      </w:pPr>
    </w:p>
    <w:p w:rsidR="008121B4" w:rsidRDefault="009743BD" w:rsidP="00882085">
      <w:pPr>
        <w:pStyle w:val="ListParagraph"/>
        <w:numPr>
          <w:ilvl w:val="1"/>
          <w:numId w:val="5"/>
        </w:numPr>
        <w:rPr>
          <w:szCs w:val="22"/>
        </w:rPr>
      </w:pPr>
      <w:r>
        <w:rPr>
          <w:szCs w:val="22"/>
        </w:rPr>
        <w:t xml:space="preserve">The submission stated that the two additional strengths </w:t>
      </w:r>
      <w:r w:rsidR="00B87716">
        <w:rPr>
          <w:szCs w:val="22"/>
        </w:rPr>
        <w:t>we</w:t>
      </w:r>
      <w:r w:rsidR="00FF6160">
        <w:rPr>
          <w:szCs w:val="22"/>
        </w:rPr>
        <w:t>re</w:t>
      </w:r>
      <w:r>
        <w:rPr>
          <w:szCs w:val="22"/>
        </w:rPr>
        <w:t xml:space="preserve"> to </w:t>
      </w:r>
      <w:r w:rsidR="00C42242">
        <w:rPr>
          <w:szCs w:val="22"/>
        </w:rPr>
        <w:t xml:space="preserve">enable medical practitioners to titrate in greater increments than what </w:t>
      </w:r>
      <w:r w:rsidR="00BC26EC">
        <w:rPr>
          <w:szCs w:val="22"/>
        </w:rPr>
        <w:t>was</w:t>
      </w:r>
      <w:r w:rsidR="00C42242">
        <w:rPr>
          <w:szCs w:val="22"/>
        </w:rPr>
        <w:t xml:space="preserve"> currently available with </w:t>
      </w:r>
      <w:r w:rsidR="00626340">
        <w:rPr>
          <w:szCs w:val="22"/>
        </w:rPr>
        <w:t>treatment with oxycodone alone, which would avo</w:t>
      </w:r>
      <w:r w:rsidR="004C795C">
        <w:rPr>
          <w:szCs w:val="22"/>
        </w:rPr>
        <w:t>id the unnecessary side effects in order to achieve effective chronic pain control.</w:t>
      </w:r>
    </w:p>
    <w:p w:rsidR="004C795C" w:rsidRDefault="004C795C" w:rsidP="004C795C">
      <w:pPr>
        <w:pStyle w:val="ListParagraph"/>
        <w:rPr>
          <w:szCs w:val="22"/>
        </w:rPr>
      </w:pPr>
    </w:p>
    <w:p w:rsidR="004C795C" w:rsidRDefault="00C53B94" w:rsidP="00882085">
      <w:pPr>
        <w:pStyle w:val="ListParagraph"/>
        <w:numPr>
          <w:ilvl w:val="1"/>
          <w:numId w:val="5"/>
        </w:numPr>
        <w:rPr>
          <w:szCs w:val="22"/>
        </w:rPr>
      </w:pPr>
      <w:r>
        <w:rPr>
          <w:szCs w:val="22"/>
        </w:rPr>
        <w:t>The submission stated that the higher strengths provide</w:t>
      </w:r>
      <w:r w:rsidR="00B87716">
        <w:rPr>
          <w:szCs w:val="22"/>
        </w:rPr>
        <w:t>d</w:t>
      </w:r>
      <w:r>
        <w:rPr>
          <w:szCs w:val="22"/>
        </w:rPr>
        <w:t xml:space="preserve"> clinicians and patients with the choice of an opioid that can meet their pain requirements whilst improving </w:t>
      </w:r>
      <w:r w:rsidR="00EB76CF">
        <w:rPr>
          <w:szCs w:val="22"/>
        </w:rPr>
        <w:t xml:space="preserve">outcomes of </w:t>
      </w:r>
      <w:r>
        <w:rPr>
          <w:szCs w:val="22"/>
        </w:rPr>
        <w:t>op</w:t>
      </w:r>
      <w:r w:rsidR="000266A0">
        <w:rPr>
          <w:szCs w:val="22"/>
        </w:rPr>
        <w:t>ioid induced constipation (OIC).</w:t>
      </w:r>
    </w:p>
    <w:p w:rsidR="003820EB" w:rsidRPr="003820EB" w:rsidRDefault="003820EB" w:rsidP="003820EB">
      <w:pPr>
        <w:pStyle w:val="ListParagraph"/>
        <w:rPr>
          <w:szCs w:val="22"/>
        </w:rPr>
      </w:pPr>
    </w:p>
    <w:p w:rsidR="003820EB" w:rsidRDefault="003820EB" w:rsidP="00882085">
      <w:pPr>
        <w:pStyle w:val="ListParagraph"/>
        <w:numPr>
          <w:ilvl w:val="1"/>
          <w:numId w:val="5"/>
        </w:numPr>
        <w:rPr>
          <w:szCs w:val="22"/>
        </w:rPr>
      </w:pPr>
      <w:r>
        <w:rPr>
          <w:szCs w:val="22"/>
        </w:rPr>
        <w:t xml:space="preserve">The submission stated that in current clinical practice, a maximum daily dose of oxycodone </w:t>
      </w:r>
      <w:r w:rsidR="00B87716">
        <w:rPr>
          <w:szCs w:val="22"/>
        </w:rPr>
        <w:t xml:space="preserve">with </w:t>
      </w:r>
      <w:r>
        <w:rPr>
          <w:szCs w:val="22"/>
        </w:rPr>
        <w:t>naloxone 160</w:t>
      </w:r>
      <w:r w:rsidR="00EB76CF">
        <w:rPr>
          <w:szCs w:val="22"/>
        </w:rPr>
        <w:t> </w:t>
      </w:r>
      <w:r>
        <w:rPr>
          <w:szCs w:val="22"/>
        </w:rPr>
        <w:t>mg/80</w:t>
      </w:r>
      <w:r w:rsidR="00EB76CF">
        <w:rPr>
          <w:szCs w:val="22"/>
        </w:rPr>
        <w:t> </w:t>
      </w:r>
      <w:r>
        <w:rPr>
          <w:szCs w:val="22"/>
        </w:rPr>
        <w:t xml:space="preserve">mg can only be achieved by combining more than one of the already listed tablet strengths. </w:t>
      </w:r>
      <w:r w:rsidR="009D5D16">
        <w:rPr>
          <w:szCs w:val="22"/>
        </w:rPr>
        <w:t>The sponsor expects that the addition dose strengths will allow for a simplified pain management therapy for patients requiring higher doses of controlled release oxycodone.</w:t>
      </w:r>
    </w:p>
    <w:p w:rsidR="00B02BC5" w:rsidRDefault="00B02BC5" w:rsidP="00882085">
      <w:pPr>
        <w:pStyle w:val="Header"/>
        <w:tabs>
          <w:tab w:val="clear" w:pos="4153"/>
          <w:tab w:val="clear" w:pos="8306"/>
        </w:tabs>
        <w:jc w:val="both"/>
        <w:rPr>
          <w:rFonts w:ascii="Arial" w:hAnsi="Arial"/>
          <w:sz w:val="22"/>
          <w:szCs w:val="22"/>
        </w:rPr>
      </w:pPr>
    </w:p>
    <w:p w:rsidR="008C7482" w:rsidRDefault="008C7482" w:rsidP="008C7482">
      <w:pPr>
        <w:pStyle w:val="ListParagraph"/>
        <w:ind w:left="709"/>
        <w:rPr>
          <w:i/>
          <w:szCs w:val="22"/>
        </w:rPr>
      </w:pPr>
      <w:r w:rsidRPr="008D1F3D">
        <w:rPr>
          <w:i/>
          <w:szCs w:val="22"/>
        </w:rPr>
        <w:t>For more detail on PBAC’s view, see section 7 “PBAC outcome”</w:t>
      </w:r>
    </w:p>
    <w:p w:rsidR="008C7482" w:rsidRDefault="008C7482" w:rsidP="00882085">
      <w:pPr>
        <w:pStyle w:val="Header"/>
        <w:tabs>
          <w:tab w:val="clear" w:pos="4153"/>
          <w:tab w:val="clear" w:pos="8306"/>
        </w:tabs>
        <w:jc w:val="both"/>
        <w:rPr>
          <w:rFonts w:ascii="Arial" w:hAnsi="Arial"/>
          <w:sz w:val="22"/>
          <w:szCs w:val="22"/>
        </w:rPr>
      </w:pPr>
    </w:p>
    <w:p w:rsidR="00C63686" w:rsidRPr="00882085" w:rsidRDefault="00C63686" w:rsidP="00882085">
      <w:pPr>
        <w:pStyle w:val="Header"/>
        <w:tabs>
          <w:tab w:val="clear" w:pos="4153"/>
          <w:tab w:val="clear" w:pos="8306"/>
        </w:tabs>
        <w:jc w:val="both"/>
        <w:rPr>
          <w:rFonts w:ascii="Arial" w:hAnsi="Arial"/>
          <w:sz w:val="22"/>
          <w:szCs w:val="22"/>
        </w:rPr>
      </w:pPr>
    </w:p>
    <w:p w:rsidR="005A3173" w:rsidRPr="00882085" w:rsidRDefault="005A3173" w:rsidP="008A50F1">
      <w:pPr>
        <w:pStyle w:val="PBACHeading1"/>
      </w:pPr>
      <w:r w:rsidRPr="00882085">
        <w:t>Comparator</w:t>
      </w:r>
    </w:p>
    <w:p w:rsidR="005A3173" w:rsidRPr="00882085" w:rsidRDefault="005A3173" w:rsidP="00882085">
      <w:pPr>
        <w:pStyle w:val="Header"/>
        <w:tabs>
          <w:tab w:val="clear" w:pos="4153"/>
          <w:tab w:val="clear" w:pos="8306"/>
        </w:tabs>
        <w:jc w:val="both"/>
        <w:rPr>
          <w:rFonts w:ascii="Arial" w:hAnsi="Arial"/>
          <w:b/>
          <w:sz w:val="22"/>
          <w:szCs w:val="22"/>
        </w:rPr>
      </w:pPr>
    </w:p>
    <w:p w:rsidR="00F57A6D" w:rsidRDefault="003E68EF" w:rsidP="00325823">
      <w:pPr>
        <w:pStyle w:val="ListParagraph"/>
        <w:numPr>
          <w:ilvl w:val="1"/>
          <w:numId w:val="5"/>
        </w:numPr>
        <w:rPr>
          <w:szCs w:val="22"/>
        </w:rPr>
      </w:pPr>
      <w:r w:rsidRPr="00BB004C">
        <w:rPr>
          <w:szCs w:val="22"/>
        </w:rPr>
        <w:t>The minor submission did not nominate a comparator.</w:t>
      </w:r>
    </w:p>
    <w:p w:rsidR="008C7482" w:rsidRDefault="008C7482" w:rsidP="008C7482">
      <w:pPr>
        <w:pStyle w:val="ListParagraph"/>
        <w:rPr>
          <w:szCs w:val="22"/>
        </w:rPr>
      </w:pPr>
    </w:p>
    <w:p w:rsidR="00535F20" w:rsidRPr="008D1F3D" w:rsidRDefault="00535F20" w:rsidP="008D1F3D">
      <w:pPr>
        <w:rPr>
          <w:szCs w:val="22"/>
        </w:rPr>
      </w:pPr>
    </w:p>
    <w:p w:rsidR="00BB004C" w:rsidRDefault="00236B2B" w:rsidP="005C2EF4">
      <w:pPr>
        <w:pStyle w:val="PBACHeading1"/>
      </w:pPr>
      <w:r>
        <w:t>Consideration of the evidence</w:t>
      </w:r>
    </w:p>
    <w:p w:rsidR="00236B2B" w:rsidRDefault="00236B2B" w:rsidP="004A6FE4">
      <w:pPr>
        <w:pStyle w:val="ListParagraph"/>
      </w:pPr>
    </w:p>
    <w:p w:rsidR="00236B2B" w:rsidRDefault="00236B2B" w:rsidP="004A6FE4">
      <w:pPr>
        <w:pStyle w:val="Heading2"/>
        <w:rPr>
          <w:rFonts w:cs="Arial"/>
          <w:bCs/>
          <w:snapToGrid w:val="0"/>
          <w:szCs w:val="22"/>
          <w:lang w:eastAsia="en-US"/>
        </w:rPr>
      </w:pPr>
      <w:r w:rsidRPr="005C2EF4">
        <w:rPr>
          <w:rFonts w:cs="Arial"/>
          <w:bCs/>
          <w:snapToGrid w:val="0"/>
          <w:szCs w:val="22"/>
          <w:lang w:eastAsia="en-US"/>
        </w:rPr>
        <w:t>Sponsor hearing</w:t>
      </w:r>
    </w:p>
    <w:p w:rsidR="004A6FE4" w:rsidRPr="004A6FE4" w:rsidRDefault="004A6FE4" w:rsidP="004A6FE4">
      <w:pPr>
        <w:rPr>
          <w:lang w:eastAsia="en-US"/>
        </w:rPr>
      </w:pPr>
    </w:p>
    <w:p w:rsidR="00CB15E2" w:rsidRDefault="00CB15E2" w:rsidP="00CB15E2">
      <w:pPr>
        <w:widowControl w:val="0"/>
        <w:numPr>
          <w:ilvl w:val="1"/>
          <w:numId w:val="5"/>
        </w:numPr>
        <w:spacing w:after="120"/>
        <w:contextualSpacing/>
        <w:jc w:val="both"/>
        <w:rPr>
          <w:rFonts w:ascii="Arial" w:hAnsi="Arial" w:cs="Arial"/>
          <w:bCs/>
          <w:snapToGrid w:val="0"/>
          <w:sz w:val="22"/>
          <w:szCs w:val="22"/>
          <w:lang w:eastAsia="en-US"/>
        </w:rPr>
      </w:pPr>
      <w:r w:rsidRPr="005C2EF4">
        <w:rPr>
          <w:rFonts w:ascii="Arial" w:hAnsi="Arial" w:cs="Arial"/>
          <w:bCs/>
          <w:snapToGrid w:val="0"/>
          <w:sz w:val="22"/>
          <w:szCs w:val="22"/>
          <w:lang w:eastAsia="en-US"/>
        </w:rPr>
        <w:t>There was no hearing for this item as it was a minor submission.</w:t>
      </w:r>
    </w:p>
    <w:p w:rsidR="00236B2B" w:rsidRPr="005C2EF4" w:rsidRDefault="00236B2B" w:rsidP="00236B2B">
      <w:pPr>
        <w:jc w:val="both"/>
        <w:rPr>
          <w:rFonts w:ascii="Arial" w:hAnsi="Arial" w:cs="Arial"/>
          <w:bCs/>
          <w:snapToGrid w:val="0"/>
          <w:sz w:val="22"/>
          <w:szCs w:val="22"/>
          <w:lang w:eastAsia="en-US"/>
        </w:rPr>
      </w:pPr>
    </w:p>
    <w:p w:rsidR="00236B2B" w:rsidRDefault="00236B2B" w:rsidP="004A6FE4">
      <w:pPr>
        <w:pStyle w:val="Heading2"/>
        <w:rPr>
          <w:rFonts w:cs="Arial"/>
          <w:bCs/>
          <w:snapToGrid w:val="0"/>
          <w:szCs w:val="22"/>
          <w:lang w:eastAsia="en-US"/>
        </w:rPr>
      </w:pPr>
      <w:r w:rsidRPr="005C2EF4">
        <w:rPr>
          <w:rFonts w:cs="Arial"/>
          <w:bCs/>
          <w:snapToGrid w:val="0"/>
          <w:szCs w:val="22"/>
          <w:lang w:eastAsia="en-US"/>
        </w:rPr>
        <w:t>Consumer comments</w:t>
      </w:r>
    </w:p>
    <w:p w:rsidR="004A6FE4" w:rsidRPr="00EC4D56" w:rsidRDefault="004A6FE4" w:rsidP="004A6FE4">
      <w:pPr>
        <w:rPr>
          <w:sz w:val="22"/>
          <w:szCs w:val="22"/>
          <w:lang w:eastAsia="en-US"/>
        </w:rPr>
      </w:pPr>
    </w:p>
    <w:p w:rsidR="00236B2B" w:rsidRPr="005C2EF4" w:rsidRDefault="00236B2B" w:rsidP="00EC4D56">
      <w:pPr>
        <w:widowControl w:val="0"/>
        <w:numPr>
          <w:ilvl w:val="1"/>
          <w:numId w:val="5"/>
        </w:numPr>
        <w:contextualSpacing/>
        <w:jc w:val="both"/>
        <w:rPr>
          <w:rFonts w:ascii="Arial" w:hAnsi="Arial" w:cs="Arial"/>
          <w:bCs/>
          <w:snapToGrid w:val="0"/>
          <w:sz w:val="22"/>
          <w:szCs w:val="22"/>
          <w:lang w:eastAsia="en-US"/>
        </w:rPr>
      </w:pPr>
      <w:r w:rsidRPr="005C2EF4">
        <w:rPr>
          <w:rFonts w:ascii="Arial" w:hAnsi="Arial" w:cs="Arial"/>
          <w:bCs/>
          <w:snapToGrid w:val="0"/>
          <w:sz w:val="22"/>
          <w:szCs w:val="22"/>
          <w:lang w:eastAsia="en-US"/>
        </w:rPr>
        <w:t xml:space="preserve">The PBAC noted and welcomed the input </w:t>
      </w:r>
      <w:r w:rsidR="00656CBF">
        <w:rPr>
          <w:rFonts w:ascii="Arial" w:hAnsi="Arial" w:cs="Arial"/>
          <w:bCs/>
          <w:snapToGrid w:val="0"/>
          <w:sz w:val="22"/>
          <w:szCs w:val="22"/>
          <w:lang w:eastAsia="en-US"/>
        </w:rPr>
        <w:t xml:space="preserve">of </w:t>
      </w:r>
      <w:r w:rsidRPr="005C2EF4">
        <w:rPr>
          <w:rFonts w:ascii="Arial" w:hAnsi="Arial" w:cs="Arial"/>
          <w:bCs/>
          <w:snapToGrid w:val="0"/>
          <w:sz w:val="22"/>
          <w:szCs w:val="22"/>
          <w:lang w:eastAsia="en-US"/>
        </w:rPr>
        <w:t>health care professionals (1)</w:t>
      </w:r>
      <w:r w:rsidR="001715EE">
        <w:rPr>
          <w:rFonts w:ascii="Arial" w:hAnsi="Arial" w:cs="Arial"/>
          <w:bCs/>
          <w:snapToGrid w:val="0"/>
          <w:sz w:val="22"/>
          <w:szCs w:val="22"/>
          <w:lang w:eastAsia="en-US"/>
        </w:rPr>
        <w:t xml:space="preserve"> via</w:t>
      </w:r>
      <w:r w:rsidRPr="005C2EF4">
        <w:rPr>
          <w:rFonts w:ascii="Arial" w:hAnsi="Arial" w:cs="Arial"/>
          <w:bCs/>
          <w:snapToGrid w:val="0"/>
          <w:sz w:val="22"/>
          <w:szCs w:val="22"/>
          <w:lang w:eastAsia="en-US"/>
        </w:rPr>
        <w:t xml:space="preserve"> the Consumer Comments facility on the PBS website.  The comment described </w:t>
      </w:r>
      <w:r w:rsidR="00CF469D" w:rsidRPr="005C2EF4">
        <w:rPr>
          <w:rFonts w:ascii="Arial" w:hAnsi="Arial" w:cs="Arial"/>
          <w:bCs/>
          <w:snapToGrid w:val="0"/>
          <w:sz w:val="22"/>
          <w:szCs w:val="22"/>
          <w:lang w:eastAsia="en-US"/>
        </w:rPr>
        <w:t xml:space="preserve">the benefit </w:t>
      </w:r>
      <w:r w:rsidRPr="005C2EF4">
        <w:rPr>
          <w:rFonts w:ascii="Arial" w:hAnsi="Arial" w:cs="Arial"/>
          <w:bCs/>
          <w:snapToGrid w:val="0"/>
          <w:sz w:val="22"/>
          <w:szCs w:val="22"/>
          <w:lang w:eastAsia="en-US"/>
        </w:rPr>
        <w:t>of treatment with oxycodone hydrochloride with naloxone hydrochloride</w:t>
      </w:r>
      <w:r w:rsidR="000C4128">
        <w:rPr>
          <w:rFonts w:ascii="Arial" w:hAnsi="Arial" w:cs="Arial"/>
          <w:bCs/>
          <w:snapToGrid w:val="0"/>
          <w:sz w:val="22"/>
          <w:szCs w:val="22"/>
          <w:lang w:eastAsia="en-US"/>
        </w:rPr>
        <w:t>,</w:t>
      </w:r>
      <w:r w:rsidRPr="005C2EF4">
        <w:rPr>
          <w:rFonts w:ascii="Arial" w:hAnsi="Arial" w:cs="Arial"/>
          <w:bCs/>
          <w:snapToGrid w:val="0"/>
          <w:sz w:val="22"/>
          <w:szCs w:val="22"/>
          <w:lang w:eastAsia="en-US"/>
        </w:rPr>
        <w:t xml:space="preserve"> </w:t>
      </w:r>
      <w:r w:rsidR="001715EE">
        <w:rPr>
          <w:rFonts w:ascii="Arial" w:hAnsi="Arial" w:cs="Arial"/>
          <w:bCs/>
          <w:snapToGrid w:val="0"/>
          <w:sz w:val="22"/>
          <w:szCs w:val="22"/>
          <w:lang w:eastAsia="en-US"/>
        </w:rPr>
        <w:t>highlighting</w:t>
      </w:r>
      <w:r w:rsidR="00CF469D" w:rsidRPr="005C2EF4">
        <w:rPr>
          <w:rFonts w:ascii="Arial" w:hAnsi="Arial" w:cs="Arial"/>
          <w:bCs/>
          <w:snapToGrid w:val="0"/>
          <w:sz w:val="22"/>
          <w:szCs w:val="22"/>
          <w:lang w:eastAsia="en-US"/>
        </w:rPr>
        <w:t xml:space="preserve"> the</w:t>
      </w:r>
      <w:r w:rsidRPr="005C2EF4">
        <w:rPr>
          <w:rFonts w:ascii="Arial" w:hAnsi="Arial" w:cs="Arial"/>
          <w:bCs/>
          <w:snapToGrid w:val="0"/>
          <w:sz w:val="22"/>
          <w:szCs w:val="22"/>
          <w:lang w:eastAsia="en-US"/>
        </w:rPr>
        <w:t xml:space="preserve"> availability of higher strengths</w:t>
      </w:r>
      <w:r w:rsidR="008D1F3D">
        <w:rPr>
          <w:rFonts w:ascii="Arial" w:hAnsi="Arial" w:cs="Arial"/>
          <w:bCs/>
          <w:snapToGrid w:val="0"/>
          <w:sz w:val="22"/>
          <w:szCs w:val="22"/>
          <w:lang w:eastAsia="en-US"/>
        </w:rPr>
        <w:t xml:space="preserve"> which would </w:t>
      </w:r>
      <w:r w:rsidRPr="005C2EF4">
        <w:rPr>
          <w:rFonts w:ascii="Arial" w:hAnsi="Arial" w:cs="Arial"/>
          <w:bCs/>
          <w:snapToGrid w:val="0"/>
          <w:sz w:val="22"/>
          <w:szCs w:val="22"/>
          <w:lang w:eastAsia="en-US"/>
        </w:rPr>
        <w:t xml:space="preserve">allow for the administration of fewer tablets </w:t>
      </w:r>
      <w:r w:rsidR="00CF469D" w:rsidRPr="005C2EF4">
        <w:rPr>
          <w:rFonts w:ascii="Arial" w:hAnsi="Arial" w:cs="Arial"/>
          <w:bCs/>
          <w:snapToGrid w:val="0"/>
          <w:sz w:val="22"/>
          <w:szCs w:val="22"/>
          <w:lang w:eastAsia="en-US"/>
        </w:rPr>
        <w:t>to</w:t>
      </w:r>
      <w:r w:rsidR="00EC4CF9" w:rsidRPr="005C2EF4">
        <w:rPr>
          <w:rFonts w:ascii="Arial" w:hAnsi="Arial" w:cs="Arial"/>
          <w:bCs/>
          <w:snapToGrid w:val="0"/>
          <w:sz w:val="22"/>
          <w:szCs w:val="22"/>
          <w:lang w:eastAsia="en-US"/>
        </w:rPr>
        <w:t xml:space="preserve"> </w:t>
      </w:r>
      <w:r w:rsidRPr="005C2EF4">
        <w:rPr>
          <w:rFonts w:ascii="Arial" w:hAnsi="Arial" w:cs="Arial"/>
          <w:bCs/>
          <w:snapToGrid w:val="0"/>
          <w:sz w:val="22"/>
          <w:szCs w:val="22"/>
          <w:lang w:eastAsia="en-US"/>
        </w:rPr>
        <w:t xml:space="preserve">improve patient compliance. The PBAC noted that this advice was supportive of the </w:t>
      </w:r>
      <w:r w:rsidR="000C4128">
        <w:rPr>
          <w:rFonts w:ascii="Arial" w:hAnsi="Arial" w:cs="Arial"/>
          <w:bCs/>
          <w:snapToGrid w:val="0"/>
          <w:sz w:val="22"/>
          <w:szCs w:val="22"/>
          <w:lang w:eastAsia="en-US"/>
        </w:rPr>
        <w:t>claims made by</w:t>
      </w:r>
      <w:r w:rsidRPr="005C2EF4">
        <w:rPr>
          <w:rFonts w:ascii="Arial" w:hAnsi="Arial" w:cs="Arial"/>
          <w:bCs/>
          <w:snapToGrid w:val="0"/>
          <w:sz w:val="22"/>
          <w:szCs w:val="22"/>
          <w:lang w:eastAsia="en-US"/>
        </w:rPr>
        <w:t xml:space="preserve"> the submission.</w:t>
      </w:r>
    </w:p>
    <w:p w:rsidR="00236B2B" w:rsidRDefault="00236B2B" w:rsidP="004A6FE4">
      <w:pPr>
        <w:pStyle w:val="ListParagraph"/>
      </w:pPr>
    </w:p>
    <w:p w:rsidR="00EC4D56" w:rsidRDefault="00EC4D56" w:rsidP="004A6FE4">
      <w:pPr>
        <w:pStyle w:val="ListParagraph"/>
      </w:pPr>
    </w:p>
    <w:p w:rsidR="00EC4D56" w:rsidRDefault="00EC4D56" w:rsidP="004A6FE4">
      <w:pPr>
        <w:pStyle w:val="ListParagraph"/>
      </w:pPr>
    </w:p>
    <w:p w:rsidR="00EC4D56" w:rsidRPr="00236B2B" w:rsidRDefault="00EC4D56" w:rsidP="004A6FE4">
      <w:pPr>
        <w:pStyle w:val="ListParagraph"/>
      </w:pPr>
    </w:p>
    <w:p w:rsidR="005A3173" w:rsidRPr="004A6FE4" w:rsidRDefault="005A3173" w:rsidP="00B1059E">
      <w:pPr>
        <w:pStyle w:val="Heading2"/>
      </w:pPr>
      <w:r w:rsidRPr="004A6FE4">
        <w:lastRenderedPageBreak/>
        <w:t>Economic analysis</w:t>
      </w:r>
    </w:p>
    <w:p w:rsidR="005A3173" w:rsidRPr="00882085" w:rsidRDefault="005A3173" w:rsidP="00D84934">
      <w:pPr>
        <w:pStyle w:val="NoSpacing"/>
      </w:pPr>
    </w:p>
    <w:p w:rsidR="009B0F67" w:rsidRPr="008701CF" w:rsidRDefault="00B95177" w:rsidP="008121B4">
      <w:pPr>
        <w:pStyle w:val="ListParagraph"/>
        <w:numPr>
          <w:ilvl w:val="1"/>
          <w:numId w:val="5"/>
        </w:numPr>
        <w:rPr>
          <w:szCs w:val="22"/>
        </w:rPr>
      </w:pPr>
      <w:r>
        <w:rPr>
          <w:szCs w:val="22"/>
        </w:rPr>
        <w:t>The price proposed for the two additional strengths was calculated</w:t>
      </w:r>
      <w:r w:rsidR="0097046A">
        <w:rPr>
          <w:szCs w:val="22"/>
        </w:rPr>
        <w:t xml:space="preserve"> using </w:t>
      </w:r>
      <w:r w:rsidR="000D4825">
        <w:rPr>
          <w:szCs w:val="22"/>
        </w:rPr>
        <w:t>the</w:t>
      </w:r>
      <w:r w:rsidR="00F15866">
        <w:rPr>
          <w:szCs w:val="22"/>
        </w:rPr>
        <w:t xml:space="preserve"> </w:t>
      </w:r>
      <w:r w:rsidR="00625A01">
        <w:rPr>
          <w:szCs w:val="22"/>
        </w:rPr>
        <w:t>Pricing Man</w:t>
      </w:r>
      <w:r w:rsidR="00170745">
        <w:rPr>
          <w:szCs w:val="22"/>
        </w:rPr>
        <w:t xml:space="preserve">ual pricing derivation approach, </w:t>
      </w:r>
      <w:r w:rsidR="00CC062E">
        <w:rPr>
          <w:szCs w:val="22"/>
        </w:rPr>
        <w:t xml:space="preserve">based </w:t>
      </w:r>
      <w:r w:rsidR="00170745">
        <w:rPr>
          <w:szCs w:val="22"/>
        </w:rPr>
        <w:t xml:space="preserve">on a </w:t>
      </w:r>
      <w:r w:rsidR="00CC062E">
        <w:rPr>
          <w:szCs w:val="22"/>
        </w:rPr>
        <w:t>20% premium over the comparable oxycodone presentation</w:t>
      </w:r>
      <w:r w:rsidR="00170745">
        <w:rPr>
          <w:szCs w:val="22"/>
        </w:rPr>
        <w:t>.</w:t>
      </w:r>
    </w:p>
    <w:p w:rsidR="008C7482" w:rsidRDefault="008C7482" w:rsidP="00324030">
      <w:pPr>
        <w:jc w:val="both"/>
        <w:rPr>
          <w:rFonts w:ascii="Arial" w:hAnsi="Arial"/>
          <w:b/>
          <w:i/>
          <w:sz w:val="22"/>
          <w:szCs w:val="22"/>
        </w:rPr>
      </w:pPr>
    </w:p>
    <w:p w:rsidR="005A3173" w:rsidRPr="004A6FE4" w:rsidRDefault="005A3173" w:rsidP="00B1059E">
      <w:pPr>
        <w:pStyle w:val="Heading2"/>
      </w:pPr>
      <w:r w:rsidRPr="004A6FE4">
        <w:t>Estimated PBS usage &amp; financial implications</w:t>
      </w:r>
    </w:p>
    <w:p w:rsidR="005A3173" w:rsidRPr="00882085" w:rsidRDefault="005A3173" w:rsidP="00882085">
      <w:pPr>
        <w:ind w:left="720" w:hanging="720"/>
        <w:jc w:val="both"/>
        <w:rPr>
          <w:rFonts w:ascii="Arial" w:hAnsi="Arial"/>
          <w:b/>
          <w:i/>
          <w:sz w:val="22"/>
          <w:szCs w:val="22"/>
        </w:rPr>
      </w:pPr>
    </w:p>
    <w:p w:rsidR="00443051" w:rsidRDefault="007E49F1" w:rsidP="00443051">
      <w:pPr>
        <w:pStyle w:val="ListParagraph"/>
        <w:numPr>
          <w:ilvl w:val="1"/>
          <w:numId w:val="5"/>
        </w:numPr>
        <w:rPr>
          <w:szCs w:val="22"/>
        </w:rPr>
      </w:pPr>
      <w:r w:rsidRPr="0028626F">
        <w:rPr>
          <w:szCs w:val="22"/>
        </w:rPr>
        <w:t>The submission use</w:t>
      </w:r>
      <w:r w:rsidR="000C4128" w:rsidRPr="0028626F">
        <w:rPr>
          <w:szCs w:val="22"/>
        </w:rPr>
        <w:t>d</w:t>
      </w:r>
      <w:r w:rsidRPr="0028626F">
        <w:rPr>
          <w:szCs w:val="22"/>
        </w:rPr>
        <w:t xml:space="preserve"> a market share approach to estimate the financial</w:t>
      </w:r>
      <w:r w:rsidR="00B10BFD" w:rsidRPr="0028626F">
        <w:rPr>
          <w:szCs w:val="22"/>
        </w:rPr>
        <w:t xml:space="preserve"> impact of the proposed </w:t>
      </w:r>
      <w:r w:rsidR="00C63686" w:rsidRPr="0028626F">
        <w:rPr>
          <w:szCs w:val="22"/>
        </w:rPr>
        <w:t>listing</w:t>
      </w:r>
      <w:r w:rsidR="00C63686">
        <w:rPr>
          <w:szCs w:val="22"/>
        </w:rPr>
        <w:t>.</w:t>
      </w:r>
      <w:r w:rsidR="00C63686" w:rsidRPr="00247B4B">
        <w:rPr>
          <w:szCs w:val="22"/>
        </w:rPr>
        <w:t xml:space="preserve"> The</w:t>
      </w:r>
      <w:r w:rsidR="00443051" w:rsidRPr="00247B4B">
        <w:rPr>
          <w:szCs w:val="22"/>
        </w:rPr>
        <w:t xml:space="preserve"> submission proposed there will no net change in the number of prescriptions for </w:t>
      </w:r>
      <w:r w:rsidR="00443051">
        <w:rPr>
          <w:szCs w:val="22"/>
        </w:rPr>
        <w:t>oxycodone</w:t>
      </w:r>
      <w:r w:rsidR="0028626F">
        <w:rPr>
          <w:szCs w:val="22"/>
        </w:rPr>
        <w:t xml:space="preserve"> and consequently no real change in the cost to the PBS/RPBS.</w:t>
      </w:r>
    </w:p>
    <w:p w:rsidR="00236B2B" w:rsidRDefault="00236B2B" w:rsidP="00236B2B">
      <w:pPr>
        <w:jc w:val="both"/>
        <w:rPr>
          <w:rFonts w:ascii="Arial" w:hAnsi="Arial"/>
          <w:b/>
          <w:i/>
          <w:sz w:val="22"/>
          <w:szCs w:val="22"/>
        </w:rPr>
      </w:pPr>
    </w:p>
    <w:p w:rsidR="008C7482" w:rsidRPr="008C7482" w:rsidRDefault="008C7482" w:rsidP="008C7482">
      <w:pPr>
        <w:contextualSpacing/>
        <w:jc w:val="both"/>
        <w:rPr>
          <w:rFonts w:ascii="Arial" w:hAnsi="Arial" w:cs="Arial"/>
          <w:bCs/>
          <w:snapToGrid w:val="0"/>
          <w:sz w:val="22"/>
          <w:szCs w:val="22"/>
          <w:highlight w:val="yellow"/>
          <w:lang w:eastAsia="en-US"/>
        </w:rPr>
      </w:pPr>
    </w:p>
    <w:p w:rsidR="00713890" w:rsidRPr="008B3855" w:rsidRDefault="00713890" w:rsidP="004A6FE4">
      <w:pPr>
        <w:pStyle w:val="PBACHeading1"/>
        <w:rPr>
          <w:b w:val="0"/>
          <w:bCs/>
        </w:rPr>
      </w:pPr>
      <w:r w:rsidRPr="008B3855">
        <w:rPr>
          <w:bCs/>
        </w:rPr>
        <w:t>PBAC Outcome</w:t>
      </w:r>
    </w:p>
    <w:p w:rsidR="00713890" w:rsidRPr="003C3927" w:rsidRDefault="00713890" w:rsidP="00443051">
      <w:pPr>
        <w:widowControl w:val="0"/>
        <w:ind w:left="720"/>
        <w:contextualSpacing/>
        <w:jc w:val="both"/>
        <w:rPr>
          <w:rFonts w:ascii="Arial" w:hAnsi="Arial" w:cs="Arial"/>
          <w:bCs/>
          <w:snapToGrid w:val="0"/>
          <w:sz w:val="22"/>
          <w:szCs w:val="22"/>
          <w:highlight w:val="yellow"/>
          <w:lang w:val="en-GB"/>
        </w:rPr>
      </w:pPr>
    </w:p>
    <w:p w:rsidR="002D76CF" w:rsidRPr="00CF469D" w:rsidRDefault="002D76CF" w:rsidP="00443051">
      <w:pPr>
        <w:widowControl w:val="0"/>
        <w:numPr>
          <w:ilvl w:val="1"/>
          <w:numId w:val="5"/>
        </w:numPr>
        <w:contextualSpacing/>
        <w:jc w:val="both"/>
        <w:rPr>
          <w:rFonts w:ascii="Arial" w:hAnsi="Arial" w:cs="Arial"/>
          <w:bCs/>
          <w:snapToGrid w:val="0"/>
          <w:sz w:val="22"/>
          <w:szCs w:val="22"/>
          <w:lang w:val="en-GB"/>
        </w:rPr>
      </w:pPr>
      <w:r w:rsidRPr="00CF469D">
        <w:rPr>
          <w:rFonts w:ascii="Arial" w:hAnsi="Arial" w:cs="Arial"/>
          <w:bCs/>
          <w:snapToGrid w:val="0"/>
          <w:sz w:val="22"/>
          <w:szCs w:val="22"/>
          <w:lang w:val="en-GB"/>
        </w:rPr>
        <w:t>The PBAC recommended the listing of</w:t>
      </w:r>
      <w:r w:rsidR="00AA4E23">
        <w:rPr>
          <w:rFonts w:ascii="Arial" w:hAnsi="Arial" w:cs="Arial"/>
          <w:bCs/>
          <w:snapToGrid w:val="0"/>
          <w:sz w:val="22"/>
          <w:szCs w:val="22"/>
          <w:lang w:val="en-GB"/>
        </w:rPr>
        <w:t xml:space="preserve"> the</w:t>
      </w:r>
      <w:r>
        <w:rPr>
          <w:rFonts w:ascii="Arial" w:hAnsi="Arial" w:cs="Arial"/>
          <w:bCs/>
          <w:snapToGrid w:val="0"/>
          <w:sz w:val="22"/>
          <w:szCs w:val="22"/>
          <w:lang w:val="en-GB"/>
        </w:rPr>
        <w:t xml:space="preserve"> </w:t>
      </w:r>
      <w:r w:rsidR="001715EE">
        <w:rPr>
          <w:rFonts w:ascii="Arial" w:hAnsi="Arial" w:cs="Arial"/>
          <w:bCs/>
          <w:snapToGrid w:val="0"/>
          <w:sz w:val="22"/>
          <w:szCs w:val="22"/>
          <w:lang w:val="en-GB"/>
        </w:rPr>
        <w:t xml:space="preserve">new strengths of </w:t>
      </w:r>
      <w:r>
        <w:rPr>
          <w:rFonts w:ascii="Arial" w:hAnsi="Arial" w:cs="Arial"/>
          <w:bCs/>
          <w:snapToGrid w:val="0"/>
          <w:sz w:val="22"/>
          <w:szCs w:val="22"/>
          <w:lang w:val="en-GB"/>
        </w:rPr>
        <w:t>oxycodone with naloxone for the treatment of chronic severe disabling pain.</w:t>
      </w:r>
    </w:p>
    <w:p w:rsidR="007E5BDA" w:rsidRPr="00FC09FD" w:rsidRDefault="007E5BDA" w:rsidP="00FC09FD">
      <w:pPr>
        <w:rPr>
          <w:bCs/>
          <w:szCs w:val="22"/>
          <w:lang w:val="en-GB"/>
        </w:rPr>
      </w:pPr>
    </w:p>
    <w:p w:rsidR="0043772C" w:rsidRDefault="007E5BDA" w:rsidP="0043772C">
      <w:pPr>
        <w:widowControl w:val="0"/>
        <w:numPr>
          <w:ilvl w:val="1"/>
          <w:numId w:val="5"/>
        </w:numPr>
        <w:contextualSpacing/>
        <w:jc w:val="both"/>
        <w:rPr>
          <w:rFonts w:ascii="Arial" w:hAnsi="Arial" w:cs="Arial"/>
          <w:bCs/>
          <w:snapToGrid w:val="0"/>
          <w:sz w:val="22"/>
          <w:szCs w:val="22"/>
          <w:lang w:val="en-GB"/>
        </w:rPr>
      </w:pPr>
      <w:r>
        <w:rPr>
          <w:rFonts w:ascii="Arial" w:hAnsi="Arial" w:cs="Arial"/>
          <w:bCs/>
          <w:snapToGrid w:val="0"/>
          <w:sz w:val="22"/>
          <w:szCs w:val="22"/>
          <w:lang w:val="en-GB"/>
        </w:rPr>
        <w:t>The PBAC</w:t>
      </w:r>
      <w:r w:rsidR="00804260">
        <w:rPr>
          <w:rFonts w:ascii="Arial" w:hAnsi="Arial" w:cs="Arial"/>
          <w:bCs/>
          <w:snapToGrid w:val="0"/>
          <w:sz w:val="22"/>
          <w:szCs w:val="22"/>
          <w:lang w:val="en-GB"/>
        </w:rPr>
        <w:t xml:space="preserve"> </w:t>
      </w:r>
      <w:r>
        <w:rPr>
          <w:rFonts w:ascii="Arial" w:hAnsi="Arial" w:cs="Arial"/>
          <w:bCs/>
          <w:snapToGrid w:val="0"/>
          <w:sz w:val="22"/>
          <w:szCs w:val="22"/>
          <w:lang w:val="en-GB"/>
        </w:rPr>
        <w:t xml:space="preserve">noted the market for </w:t>
      </w:r>
      <w:r w:rsidR="007B4DFA">
        <w:rPr>
          <w:rFonts w:ascii="Arial" w:hAnsi="Arial" w:cs="Arial"/>
          <w:bCs/>
          <w:snapToGrid w:val="0"/>
          <w:sz w:val="22"/>
          <w:szCs w:val="22"/>
          <w:lang w:val="en-GB"/>
        </w:rPr>
        <w:t xml:space="preserve">both </w:t>
      </w:r>
      <w:r>
        <w:rPr>
          <w:rFonts w:ascii="Arial" w:hAnsi="Arial" w:cs="Arial"/>
          <w:bCs/>
          <w:snapToGrid w:val="0"/>
          <w:sz w:val="22"/>
          <w:szCs w:val="22"/>
          <w:lang w:val="en-GB"/>
        </w:rPr>
        <w:t xml:space="preserve">oxycodone and oxycodone with naloxone </w:t>
      </w:r>
      <w:r w:rsidR="00836A5E">
        <w:rPr>
          <w:rFonts w:ascii="Arial" w:hAnsi="Arial" w:cs="Arial"/>
          <w:bCs/>
          <w:snapToGrid w:val="0"/>
          <w:sz w:val="22"/>
          <w:szCs w:val="22"/>
          <w:lang w:val="en-GB"/>
        </w:rPr>
        <w:t>is</w:t>
      </w:r>
      <w:r w:rsidR="003B3002">
        <w:rPr>
          <w:rFonts w:ascii="Arial" w:hAnsi="Arial" w:cs="Arial"/>
          <w:bCs/>
          <w:snapToGrid w:val="0"/>
          <w:sz w:val="22"/>
          <w:szCs w:val="22"/>
          <w:lang w:val="en-GB"/>
        </w:rPr>
        <w:t xml:space="preserve"> growing </w:t>
      </w:r>
      <w:r w:rsidR="0028626F">
        <w:rPr>
          <w:rFonts w:ascii="Arial" w:hAnsi="Arial" w:cs="Arial"/>
          <w:bCs/>
          <w:snapToGrid w:val="0"/>
          <w:sz w:val="22"/>
          <w:szCs w:val="22"/>
          <w:lang w:val="en-GB"/>
        </w:rPr>
        <w:t>but did not consider that the addition of extra strengths to the PBS would add to that growth.</w:t>
      </w:r>
    </w:p>
    <w:p w:rsidR="00810136" w:rsidRPr="003B3002" w:rsidRDefault="00810136" w:rsidP="00810136">
      <w:pPr>
        <w:rPr>
          <w:bCs/>
          <w:snapToGrid w:val="0"/>
          <w:szCs w:val="22"/>
          <w:lang w:val="en-GB"/>
        </w:rPr>
      </w:pPr>
    </w:p>
    <w:p w:rsidR="00810136" w:rsidRPr="0043772C" w:rsidRDefault="004D2671" w:rsidP="0043772C">
      <w:pPr>
        <w:widowControl w:val="0"/>
        <w:numPr>
          <w:ilvl w:val="1"/>
          <w:numId w:val="5"/>
        </w:numPr>
        <w:contextualSpacing/>
        <w:jc w:val="both"/>
        <w:rPr>
          <w:rFonts w:ascii="Arial" w:hAnsi="Arial" w:cs="Arial"/>
          <w:bCs/>
          <w:snapToGrid w:val="0"/>
          <w:sz w:val="22"/>
          <w:szCs w:val="22"/>
          <w:lang w:val="en-GB"/>
        </w:rPr>
      </w:pPr>
      <w:r>
        <w:rPr>
          <w:rFonts w:ascii="Arial" w:hAnsi="Arial" w:cs="Arial"/>
          <w:bCs/>
          <w:snapToGrid w:val="0"/>
          <w:sz w:val="22"/>
          <w:szCs w:val="22"/>
          <w:lang w:val="en-GB"/>
        </w:rPr>
        <w:t>The PBAC noted</w:t>
      </w:r>
      <w:r w:rsidR="00D126F6">
        <w:rPr>
          <w:rFonts w:ascii="Arial" w:hAnsi="Arial" w:cs="Arial"/>
          <w:bCs/>
          <w:snapToGrid w:val="0"/>
          <w:sz w:val="22"/>
          <w:szCs w:val="22"/>
          <w:lang w:val="en-GB"/>
        </w:rPr>
        <w:t xml:space="preserve"> that</w:t>
      </w:r>
      <w:r>
        <w:rPr>
          <w:rFonts w:ascii="Arial" w:hAnsi="Arial" w:cs="Arial"/>
          <w:bCs/>
          <w:snapToGrid w:val="0"/>
          <w:sz w:val="22"/>
          <w:szCs w:val="22"/>
          <w:lang w:val="en-GB"/>
        </w:rPr>
        <w:t xml:space="preserve"> the TGA had</w:t>
      </w:r>
      <w:r w:rsidR="00810136">
        <w:rPr>
          <w:rFonts w:ascii="Arial" w:hAnsi="Arial" w:cs="Arial"/>
          <w:bCs/>
          <w:snapToGrid w:val="0"/>
          <w:sz w:val="22"/>
          <w:szCs w:val="22"/>
          <w:lang w:val="en-GB"/>
        </w:rPr>
        <w:t xml:space="preserve"> increased the maximum </w:t>
      </w:r>
      <w:r w:rsidR="00D126F6">
        <w:rPr>
          <w:rFonts w:ascii="Arial" w:hAnsi="Arial" w:cs="Arial"/>
          <w:bCs/>
          <w:snapToGrid w:val="0"/>
          <w:sz w:val="22"/>
          <w:szCs w:val="22"/>
          <w:lang w:val="en-GB"/>
        </w:rPr>
        <w:t xml:space="preserve">allowable </w:t>
      </w:r>
      <w:r w:rsidR="00810136">
        <w:rPr>
          <w:rFonts w:ascii="Arial" w:hAnsi="Arial" w:cs="Arial"/>
          <w:bCs/>
          <w:snapToGrid w:val="0"/>
          <w:sz w:val="22"/>
          <w:szCs w:val="22"/>
          <w:lang w:val="en-GB"/>
        </w:rPr>
        <w:t xml:space="preserve">dose per day for oxycodone. </w:t>
      </w:r>
      <w:r w:rsidR="005212C4">
        <w:rPr>
          <w:rFonts w:ascii="Arial" w:hAnsi="Arial" w:cs="Arial"/>
          <w:bCs/>
          <w:snapToGrid w:val="0"/>
          <w:sz w:val="22"/>
          <w:szCs w:val="22"/>
          <w:lang w:val="en-GB"/>
        </w:rPr>
        <w:t xml:space="preserve">The </w:t>
      </w:r>
      <w:r w:rsidR="001165F6">
        <w:rPr>
          <w:rFonts w:ascii="Arial" w:hAnsi="Arial" w:cs="Arial"/>
          <w:bCs/>
          <w:snapToGrid w:val="0"/>
          <w:sz w:val="22"/>
          <w:szCs w:val="22"/>
          <w:lang w:val="en-GB"/>
        </w:rPr>
        <w:t xml:space="preserve">PBAC also noted that currently there </w:t>
      </w:r>
      <w:r w:rsidR="00D126F6">
        <w:rPr>
          <w:rFonts w:ascii="Arial" w:hAnsi="Arial" w:cs="Arial"/>
          <w:bCs/>
          <w:snapToGrid w:val="0"/>
          <w:sz w:val="22"/>
          <w:szCs w:val="22"/>
          <w:lang w:val="en-GB"/>
        </w:rPr>
        <w:t>was</w:t>
      </w:r>
      <w:r w:rsidR="001165F6">
        <w:rPr>
          <w:rFonts w:ascii="Arial" w:hAnsi="Arial" w:cs="Arial"/>
          <w:bCs/>
          <w:snapToGrid w:val="0"/>
          <w:sz w:val="22"/>
          <w:szCs w:val="22"/>
          <w:lang w:val="en-GB"/>
        </w:rPr>
        <w:t xml:space="preserve"> no</w:t>
      </w:r>
      <w:r w:rsidR="00D126F6">
        <w:rPr>
          <w:rFonts w:ascii="Arial" w:hAnsi="Arial" w:cs="Arial"/>
          <w:bCs/>
          <w:snapToGrid w:val="0"/>
          <w:sz w:val="22"/>
          <w:szCs w:val="22"/>
          <w:lang w:val="en-GB"/>
        </w:rPr>
        <w:t xml:space="preserve"> corresponding 60 mg oxycodone monotherapy dose</w:t>
      </w:r>
      <w:r w:rsidR="00A0119E">
        <w:rPr>
          <w:rFonts w:ascii="Arial" w:hAnsi="Arial" w:cs="Arial"/>
          <w:bCs/>
          <w:snapToGrid w:val="0"/>
          <w:sz w:val="22"/>
          <w:szCs w:val="22"/>
          <w:lang w:val="en-GB"/>
        </w:rPr>
        <w:t xml:space="preserve"> </w:t>
      </w:r>
      <w:r w:rsidR="0089775A">
        <w:rPr>
          <w:rFonts w:ascii="Arial" w:hAnsi="Arial" w:cs="Arial"/>
          <w:bCs/>
          <w:snapToGrid w:val="0"/>
          <w:sz w:val="22"/>
          <w:szCs w:val="22"/>
          <w:lang w:val="en-GB"/>
        </w:rPr>
        <w:t>available on the PBS</w:t>
      </w:r>
      <w:r w:rsidR="001165F6">
        <w:rPr>
          <w:rFonts w:ascii="Arial" w:hAnsi="Arial" w:cs="Arial"/>
          <w:bCs/>
          <w:snapToGrid w:val="0"/>
          <w:sz w:val="22"/>
          <w:szCs w:val="22"/>
          <w:lang w:val="en-GB"/>
        </w:rPr>
        <w:t>.</w:t>
      </w:r>
      <w:r w:rsidR="002B1EAD">
        <w:rPr>
          <w:rFonts w:ascii="Arial" w:hAnsi="Arial" w:cs="Arial"/>
          <w:bCs/>
          <w:snapToGrid w:val="0"/>
          <w:sz w:val="22"/>
          <w:szCs w:val="22"/>
          <w:lang w:val="en-GB"/>
        </w:rPr>
        <w:t xml:space="preserve"> </w:t>
      </w:r>
      <w:r w:rsidR="005212C4">
        <w:rPr>
          <w:rFonts w:ascii="Arial" w:hAnsi="Arial" w:cs="Arial"/>
          <w:bCs/>
          <w:snapToGrid w:val="0"/>
          <w:sz w:val="22"/>
          <w:szCs w:val="22"/>
          <w:lang w:val="en-GB"/>
        </w:rPr>
        <w:t xml:space="preserve">The PBAC </w:t>
      </w:r>
      <w:r w:rsidR="00D126F6">
        <w:rPr>
          <w:rFonts w:ascii="Arial" w:hAnsi="Arial" w:cs="Arial"/>
          <w:bCs/>
          <w:snapToGrid w:val="0"/>
          <w:sz w:val="22"/>
          <w:szCs w:val="22"/>
          <w:lang w:val="en-GB"/>
        </w:rPr>
        <w:t>noted that</w:t>
      </w:r>
      <w:r w:rsidR="005212C4">
        <w:rPr>
          <w:rFonts w:ascii="Arial" w:hAnsi="Arial" w:cs="Arial"/>
          <w:bCs/>
          <w:snapToGrid w:val="0"/>
          <w:sz w:val="22"/>
          <w:szCs w:val="22"/>
          <w:lang w:val="en-GB"/>
        </w:rPr>
        <w:t xml:space="preserve"> t</w:t>
      </w:r>
      <w:r w:rsidR="002B1EAD">
        <w:rPr>
          <w:rFonts w:ascii="Arial" w:hAnsi="Arial" w:cs="Arial"/>
          <w:bCs/>
          <w:snapToGrid w:val="0"/>
          <w:sz w:val="22"/>
          <w:szCs w:val="22"/>
          <w:lang w:val="en-GB"/>
        </w:rPr>
        <w:t xml:space="preserve">he two additional strengths </w:t>
      </w:r>
      <w:r w:rsidR="00D126F6">
        <w:rPr>
          <w:rFonts w:ascii="Arial" w:hAnsi="Arial" w:cs="Arial"/>
          <w:bCs/>
          <w:snapToGrid w:val="0"/>
          <w:sz w:val="22"/>
          <w:szCs w:val="22"/>
          <w:lang w:val="en-GB"/>
        </w:rPr>
        <w:t>may</w:t>
      </w:r>
      <w:r w:rsidR="002B1EAD">
        <w:rPr>
          <w:rFonts w:ascii="Arial" w:hAnsi="Arial" w:cs="Arial"/>
          <w:bCs/>
          <w:snapToGrid w:val="0"/>
          <w:sz w:val="22"/>
          <w:szCs w:val="22"/>
          <w:lang w:val="en-GB"/>
        </w:rPr>
        <w:t xml:space="preserve"> assist in reducing the number of tablets required for the treatment</w:t>
      </w:r>
      <w:r w:rsidR="00DC707F">
        <w:rPr>
          <w:rFonts w:ascii="Arial" w:hAnsi="Arial" w:cs="Arial"/>
          <w:bCs/>
          <w:snapToGrid w:val="0"/>
          <w:sz w:val="22"/>
          <w:szCs w:val="22"/>
          <w:lang w:val="en-GB"/>
        </w:rPr>
        <w:t xml:space="preserve"> of chronic severe disabling pain</w:t>
      </w:r>
      <w:r w:rsidR="002B1EAD">
        <w:rPr>
          <w:rFonts w:ascii="Arial" w:hAnsi="Arial" w:cs="Arial"/>
          <w:bCs/>
          <w:snapToGrid w:val="0"/>
          <w:sz w:val="22"/>
          <w:szCs w:val="22"/>
          <w:lang w:val="en-GB"/>
        </w:rPr>
        <w:t xml:space="preserve"> in some patients.</w:t>
      </w:r>
    </w:p>
    <w:p w:rsidR="00810136" w:rsidRPr="00640005" w:rsidRDefault="00810136" w:rsidP="007455B0">
      <w:pPr>
        <w:widowControl w:val="0"/>
        <w:contextualSpacing/>
        <w:jc w:val="both"/>
        <w:rPr>
          <w:rFonts w:ascii="Arial" w:hAnsi="Arial" w:cs="Arial"/>
          <w:bCs/>
          <w:snapToGrid w:val="0"/>
          <w:sz w:val="22"/>
          <w:szCs w:val="22"/>
          <w:highlight w:val="yellow"/>
          <w:lang w:val="en-GB"/>
        </w:rPr>
      </w:pPr>
    </w:p>
    <w:p w:rsidR="006829EF" w:rsidRDefault="00EC6EF7" w:rsidP="00C94B1E">
      <w:pPr>
        <w:widowControl w:val="0"/>
        <w:numPr>
          <w:ilvl w:val="1"/>
          <w:numId w:val="5"/>
        </w:numPr>
        <w:contextualSpacing/>
        <w:jc w:val="both"/>
        <w:rPr>
          <w:rFonts w:ascii="Arial" w:hAnsi="Arial" w:cs="Arial"/>
          <w:bCs/>
          <w:snapToGrid w:val="0"/>
          <w:sz w:val="22"/>
          <w:szCs w:val="22"/>
          <w:lang w:val="en-GB"/>
        </w:rPr>
      </w:pPr>
      <w:r>
        <w:rPr>
          <w:rFonts w:ascii="Arial" w:hAnsi="Arial" w:cs="Arial"/>
          <w:bCs/>
          <w:snapToGrid w:val="0"/>
          <w:sz w:val="22"/>
          <w:szCs w:val="22"/>
          <w:lang w:val="en-GB"/>
        </w:rPr>
        <w:t xml:space="preserve">The PBAC noted </w:t>
      </w:r>
      <w:r w:rsidR="002B1EAD">
        <w:rPr>
          <w:rFonts w:ascii="Arial" w:hAnsi="Arial" w:cs="Arial"/>
          <w:bCs/>
          <w:snapToGrid w:val="0"/>
          <w:sz w:val="22"/>
          <w:szCs w:val="22"/>
          <w:lang w:val="en-GB"/>
        </w:rPr>
        <w:t xml:space="preserve">that </w:t>
      </w:r>
      <w:r>
        <w:rPr>
          <w:rFonts w:ascii="Arial" w:hAnsi="Arial" w:cs="Arial"/>
          <w:bCs/>
          <w:snapToGrid w:val="0"/>
          <w:sz w:val="22"/>
          <w:szCs w:val="22"/>
          <w:lang w:val="en-GB"/>
        </w:rPr>
        <w:t xml:space="preserve">in a palliative care setting </w:t>
      </w:r>
      <w:r w:rsidR="0075361B">
        <w:rPr>
          <w:rFonts w:ascii="Arial" w:hAnsi="Arial" w:cs="Arial"/>
          <w:bCs/>
          <w:snapToGrid w:val="0"/>
          <w:sz w:val="22"/>
          <w:szCs w:val="22"/>
          <w:lang w:val="en-GB"/>
        </w:rPr>
        <w:t>the administration of</w:t>
      </w:r>
      <w:r>
        <w:rPr>
          <w:rFonts w:ascii="Arial" w:hAnsi="Arial" w:cs="Arial"/>
          <w:bCs/>
          <w:snapToGrid w:val="0"/>
          <w:sz w:val="22"/>
          <w:szCs w:val="22"/>
          <w:lang w:val="en-GB"/>
        </w:rPr>
        <w:t xml:space="preserve"> higher doses</w:t>
      </w:r>
      <w:r w:rsidR="00F34AEE">
        <w:rPr>
          <w:rFonts w:ascii="Arial" w:hAnsi="Arial" w:cs="Arial"/>
          <w:bCs/>
          <w:snapToGrid w:val="0"/>
          <w:sz w:val="22"/>
          <w:szCs w:val="22"/>
          <w:lang w:val="en-GB"/>
        </w:rPr>
        <w:t xml:space="preserve"> w</w:t>
      </w:r>
      <w:r w:rsidR="00D126F6">
        <w:rPr>
          <w:rFonts w:ascii="Arial" w:hAnsi="Arial" w:cs="Arial"/>
          <w:bCs/>
          <w:snapToGrid w:val="0"/>
          <w:sz w:val="22"/>
          <w:szCs w:val="22"/>
          <w:lang w:val="en-GB"/>
        </w:rPr>
        <w:t>ould</w:t>
      </w:r>
      <w:r w:rsidR="00F34AEE">
        <w:rPr>
          <w:rFonts w:ascii="Arial" w:hAnsi="Arial" w:cs="Arial"/>
          <w:bCs/>
          <w:snapToGrid w:val="0"/>
          <w:sz w:val="22"/>
          <w:szCs w:val="22"/>
          <w:lang w:val="en-GB"/>
        </w:rPr>
        <w:t xml:space="preserve"> be required</w:t>
      </w:r>
      <w:r w:rsidR="00D126F6">
        <w:rPr>
          <w:rFonts w:ascii="Arial" w:hAnsi="Arial" w:cs="Arial"/>
          <w:bCs/>
          <w:snapToGrid w:val="0"/>
          <w:sz w:val="22"/>
          <w:szCs w:val="22"/>
          <w:lang w:val="en-GB"/>
        </w:rPr>
        <w:t xml:space="preserve"> and may be assisted by the requested listing</w:t>
      </w:r>
      <w:r>
        <w:rPr>
          <w:rFonts w:ascii="Arial" w:hAnsi="Arial" w:cs="Arial"/>
          <w:bCs/>
          <w:snapToGrid w:val="0"/>
          <w:sz w:val="22"/>
          <w:szCs w:val="22"/>
          <w:lang w:val="en-GB"/>
        </w:rPr>
        <w:t>.</w:t>
      </w:r>
    </w:p>
    <w:p w:rsidR="00713890" w:rsidRPr="00E01B22" w:rsidRDefault="00713890" w:rsidP="00CF469D">
      <w:pPr>
        <w:widowControl w:val="0"/>
        <w:contextualSpacing/>
        <w:jc w:val="both"/>
        <w:rPr>
          <w:rFonts w:ascii="Arial" w:hAnsi="Arial" w:cs="Arial"/>
          <w:bCs/>
          <w:snapToGrid w:val="0"/>
          <w:sz w:val="22"/>
          <w:szCs w:val="22"/>
          <w:lang w:val="en-GB"/>
        </w:rPr>
      </w:pPr>
    </w:p>
    <w:p w:rsidR="00E01B22" w:rsidRDefault="00E01B22" w:rsidP="00E01B22">
      <w:pPr>
        <w:widowControl w:val="0"/>
        <w:numPr>
          <w:ilvl w:val="1"/>
          <w:numId w:val="5"/>
        </w:numPr>
        <w:contextualSpacing/>
        <w:jc w:val="both"/>
        <w:rPr>
          <w:rFonts w:ascii="Arial" w:hAnsi="Arial" w:cs="Arial"/>
          <w:bCs/>
          <w:snapToGrid w:val="0"/>
          <w:sz w:val="22"/>
          <w:szCs w:val="22"/>
          <w:lang w:val="en-GB"/>
        </w:rPr>
      </w:pPr>
      <w:r w:rsidRPr="008D1F3D">
        <w:rPr>
          <w:rFonts w:ascii="Arial" w:hAnsi="Arial" w:cs="Arial"/>
          <w:bCs/>
          <w:snapToGrid w:val="0"/>
          <w:sz w:val="22"/>
          <w:szCs w:val="22"/>
          <w:lang w:val="en-GB"/>
        </w:rPr>
        <w:t xml:space="preserve">The PBAC </w:t>
      </w:r>
      <w:r w:rsidR="00870390">
        <w:rPr>
          <w:rFonts w:ascii="Arial" w:hAnsi="Arial" w:cs="Arial"/>
          <w:bCs/>
          <w:snapToGrid w:val="0"/>
          <w:sz w:val="22"/>
          <w:szCs w:val="22"/>
          <w:lang w:val="en-GB"/>
        </w:rPr>
        <w:t>advised</w:t>
      </w:r>
      <w:r w:rsidR="00870390" w:rsidRPr="008D1F3D">
        <w:rPr>
          <w:rFonts w:ascii="Arial" w:hAnsi="Arial" w:cs="Arial"/>
          <w:bCs/>
          <w:snapToGrid w:val="0"/>
          <w:sz w:val="22"/>
          <w:szCs w:val="22"/>
          <w:lang w:val="en-GB"/>
        </w:rPr>
        <w:t xml:space="preserve"> </w:t>
      </w:r>
      <w:r>
        <w:rPr>
          <w:rFonts w:ascii="Arial" w:hAnsi="Arial" w:cs="Arial"/>
          <w:bCs/>
          <w:snapToGrid w:val="0"/>
          <w:sz w:val="22"/>
          <w:szCs w:val="22"/>
          <w:lang w:val="en-GB"/>
        </w:rPr>
        <w:t xml:space="preserve">under Section 101(3BA) of the </w:t>
      </w:r>
      <w:r w:rsidRPr="003D2DAC">
        <w:rPr>
          <w:rFonts w:ascii="Arial" w:hAnsi="Arial" w:cs="Arial"/>
          <w:bCs/>
          <w:i/>
          <w:snapToGrid w:val="0"/>
          <w:sz w:val="22"/>
          <w:szCs w:val="22"/>
          <w:lang w:val="en-GB"/>
        </w:rPr>
        <w:t>National Health Act, 1953</w:t>
      </w:r>
      <w:r>
        <w:rPr>
          <w:rFonts w:ascii="Arial" w:hAnsi="Arial" w:cs="Arial"/>
          <w:bCs/>
          <w:snapToGrid w:val="0"/>
          <w:sz w:val="22"/>
          <w:szCs w:val="22"/>
          <w:lang w:val="en-GB"/>
        </w:rPr>
        <w:t xml:space="preserve"> that oxycodone with naloxone should not be treated as interchangeable on an individual basis with any other drug.</w:t>
      </w:r>
    </w:p>
    <w:p w:rsidR="00713890" w:rsidRPr="00754DB7" w:rsidRDefault="00713890" w:rsidP="00250E35">
      <w:pPr>
        <w:widowControl w:val="0"/>
        <w:contextualSpacing/>
        <w:jc w:val="both"/>
        <w:rPr>
          <w:rFonts w:ascii="Arial" w:hAnsi="Arial" w:cs="Arial"/>
          <w:bCs/>
          <w:snapToGrid w:val="0"/>
          <w:sz w:val="22"/>
          <w:szCs w:val="22"/>
          <w:lang w:val="en-GB"/>
        </w:rPr>
      </w:pPr>
    </w:p>
    <w:p w:rsidR="005C0167" w:rsidRPr="00754DB7" w:rsidRDefault="005C0167" w:rsidP="005C0167">
      <w:pPr>
        <w:widowControl w:val="0"/>
        <w:numPr>
          <w:ilvl w:val="1"/>
          <w:numId w:val="5"/>
        </w:numPr>
        <w:contextualSpacing/>
        <w:jc w:val="both"/>
        <w:rPr>
          <w:rFonts w:ascii="Arial" w:hAnsi="Arial" w:cs="Arial"/>
          <w:bCs/>
          <w:snapToGrid w:val="0"/>
          <w:sz w:val="22"/>
          <w:szCs w:val="22"/>
          <w:lang w:val="en-GB"/>
        </w:rPr>
      </w:pPr>
      <w:r w:rsidRPr="00754DB7">
        <w:rPr>
          <w:rFonts w:ascii="Arial" w:hAnsi="Arial" w:cs="Arial"/>
          <w:bCs/>
          <w:snapToGrid w:val="0"/>
          <w:sz w:val="22"/>
          <w:szCs w:val="22"/>
          <w:lang w:val="en-GB"/>
        </w:rPr>
        <w:t xml:space="preserve">The PBAC advised that </w:t>
      </w:r>
      <w:r>
        <w:rPr>
          <w:rFonts w:ascii="Arial" w:hAnsi="Arial" w:cs="Arial"/>
          <w:bCs/>
          <w:snapToGrid w:val="0"/>
          <w:sz w:val="22"/>
          <w:szCs w:val="22"/>
          <w:lang w:val="en-GB"/>
        </w:rPr>
        <w:t>oxycodone with naloxone</w:t>
      </w:r>
      <w:r w:rsidRPr="00754DB7">
        <w:rPr>
          <w:rFonts w:ascii="Arial" w:hAnsi="Arial" w:cs="Arial"/>
          <w:bCs/>
          <w:snapToGrid w:val="0"/>
          <w:sz w:val="22"/>
          <w:szCs w:val="22"/>
          <w:lang w:val="en-GB"/>
        </w:rPr>
        <w:t xml:space="preserve"> </w:t>
      </w:r>
      <w:r w:rsidR="00DC707F">
        <w:rPr>
          <w:rFonts w:ascii="Arial" w:hAnsi="Arial" w:cs="Arial"/>
          <w:bCs/>
          <w:snapToGrid w:val="0"/>
          <w:sz w:val="22"/>
          <w:szCs w:val="22"/>
          <w:lang w:val="en-GB"/>
        </w:rPr>
        <w:t>wa</w:t>
      </w:r>
      <w:r w:rsidRPr="00754DB7">
        <w:rPr>
          <w:rFonts w:ascii="Arial" w:hAnsi="Arial" w:cs="Arial"/>
          <w:bCs/>
          <w:snapToGrid w:val="0"/>
          <w:sz w:val="22"/>
          <w:szCs w:val="22"/>
          <w:lang w:val="en-GB"/>
        </w:rPr>
        <w:t>s suitable for prescribing by nurse practitioners</w:t>
      </w:r>
      <w:r w:rsidR="00DC707F">
        <w:rPr>
          <w:rFonts w:ascii="Arial" w:hAnsi="Arial" w:cs="Arial"/>
          <w:bCs/>
          <w:snapToGrid w:val="0"/>
          <w:sz w:val="22"/>
          <w:szCs w:val="22"/>
          <w:lang w:val="en-GB"/>
        </w:rPr>
        <w:t xml:space="preserve"> under a shared care model</w:t>
      </w:r>
      <w:r w:rsidRPr="00754DB7">
        <w:rPr>
          <w:rFonts w:ascii="Arial" w:hAnsi="Arial" w:cs="Arial"/>
          <w:bCs/>
          <w:snapToGrid w:val="0"/>
          <w:sz w:val="22"/>
          <w:szCs w:val="22"/>
          <w:lang w:val="en-GB"/>
        </w:rPr>
        <w:t>.</w:t>
      </w:r>
    </w:p>
    <w:p w:rsidR="00713890" w:rsidRPr="003C3927" w:rsidRDefault="00713890" w:rsidP="00713890">
      <w:pPr>
        <w:widowControl w:val="0"/>
        <w:ind w:left="720"/>
        <w:contextualSpacing/>
        <w:jc w:val="both"/>
        <w:rPr>
          <w:rFonts w:ascii="Arial" w:hAnsi="Arial" w:cs="Arial"/>
          <w:bCs/>
          <w:snapToGrid w:val="0"/>
          <w:sz w:val="22"/>
          <w:szCs w:val="22"/>
          <w:highlight w:val="yellow"/>
          <w:lang w:val="en-GB"/>
        </w:rPr>
      </w:pPr>
    </w:p>
    <w:p w:rsidR="00C93D37" w:rsidRPr="008D1F3D" w:rsidRDefault="00C93D37" w:rsidP="00C93D37">
      <w:pPr>
        <w:widowControl w:val="0"/>
        <w:numPr>
          <w:ilvl w:val="1"/>
          <w:numId w:val="5"/>
        </w:numPr>
        <w:contextualSpacing/>
        <w:jc w:val="both"/>
        <w:rPr>
          <w:rFonts w:ascii="Arial" w:hAnsi="Arial" w:cs="Arial"/>
          <w:bCs/>
          <w:snapToGrid w:val="0"/>
          <w:sz w:val="22"/>
          <w:szCs w:val="22"/>
          <w:lang w:val="en-GB"/>
        </w:rPr>
      </w:pPr>
      <w:r w:rsidRPr="00C93D37">
        <w:rPr>
          <w:rFonts w:ascii="Arial" w:hAnsi="Arial" w:cs="Arial"/>
          <w:bCs/>
          <w:snapToGrid w:val="0"/>
          <w:sz w:val="22"/>
          <w:szCs w:val="22"/>
          <w:lang w:val="en-GB"/>
        </w:rPr>
        <w:t xml:space="preserve">The PBAC recommended that the </w:t>
      </w:r>
      <w:r w:rsidRPr="004E2BBA">
        <w:rPr>
          <w:rFonts w:ascii="Arial" w:hAnsi="Arial" w:cs="Arial"/>
          <w:bCs/>
          <w:snapToGrid w:val="0"/>
          <w:sz w:val="22"/>
          <w:szCs w:val="22"/>
          <w:lang w:val="en-GB"/>
        </w:rPr>
        <w:t>Early Supply Rule should not apply, as it currently does not apply to the existing strengths</w:t>
      </w:r>
      <w:r w:rsidR="00711909">
        <w:rPr>
          <w:rFonts w:ascii="Arial" w:hAnsi="Arial" w:cs="Arial"/>
          <w:bCs/>
          <w:snapToGrid w:val="0"/>
          <w:sz w:val="22"/>
          <w:szCs w:val="22"/>
          <w:lang w:val="en-GB"/>
        </w:rPr>
        <w:t>.</w:t>
      </w:r>
    </w:p>
    <w:p w:rsidR="00713890" w:rsidRPr="003C3927" w:rsidRDefault="00713890" w:rsidP="0012412C">
      <w:pPr>
        <w:widowControl w:val="0"/>
        <w:contextualSpacing/>
        <w:jc w:val="both"/>
        <w:rPr>
          <w:rFonts w:ascii="Arial" w:hAnsi="Arial" w:cs="Arial"/>
          <w:bCs/>
          <w:snapToGrid w:val="0"/>
          <w:sz w:val="22"/>
          <w:szCs w:val="22"/>
          <w:highlight w:val="yellow"/>
          <w:lang w:val="en-GB"/>
        </w:rPr>
      </w:pPr>
    </w:p>
    <w:p w:rsidR="00250E35" w:rsidRPr="008D1F3D" w:rsidRDefault="00250E35" w:rsidP="00946D59">
      <w:pPr>
        <w:widowControl w:val="0"/>
        <w:numPr>
          <w:ilvl w:val="1"/>
          <w:numId w:val="5"/>
        </w:numPr>
        <w:spacing w:after="120"/>
        <w:contextualSpacing/>
        <w:jc w:val="both"/>
        <w:rPr>
          <w:rFonts w:ascii="Arial" w:hAnsi="Arial" w:cs="Arial"/>
          <w:bCs/>
          <w:snapToGrid w:val="0"/>
          <w:sz w:val="22"/>
          <w:szCs w:val="22"/>
          <w:lang w:val="en-GB"/>
        </w:rPr>
      </w:pPr>
      <w:r w:rsidRPr="00250E35">
        <w:rPr>
          <w:rFonts w:ascii="Arial" w:hAnsi="Arial" w:cs="Arial"/>
          <w:bCs/>
          <w:snapToGrid w:val="0"/>
          <w:sz w:val="22"/>
          <w:szCs w:val="22"/>
          <w:lang w:val="en-GB"/>
        </w:rPr>
        <w:t>The PBA</w:t>
      </w:r>
      <w:r w:rsidRPr="00E01B22">
        <w:rPr>
          <w:rFonts w:ascii="Arial" w:hAnsi="Arial" w:cs="Arial"/>
          <w:bCs/>
          <w:snapToGrid w:val="0"/>
          <w:sz w:val="22"/>
          <w:szCs w:val="22"/>
          <w:lang w:val="en-GB"/>
        </w:rPr>
        <w:t>C noted that this submission is not eligible for an Independent Review because the PBAC has</w:t>
      </w:r>
      <w:r w:rsidR="00870390">
        <w:rPr>
          <w:rFonts w:ascii="Arial" w:hAnsi="Arial" w:cs="Arial"/>
          <w:bCs/>
          <w:snapToGrid w:val="0"/>
          <w:sz w:val="22"/>
          <w:szCs w:val="22"/>
          <w:lang w:val="en-GB"/>
        </w:rPr>
        <w:t xml:space="preserve"> made</w:t>
      </w:r>
      <w:r w:rsidRPr="00E01B22">
        <w:rPr>
          <w:rFonts w:ascii="Arial" w:hAnsi="Arial" w:cs="Arial"/>
          <w:bCs/>
          <w:snapToGrid w:val="0"/>
          <w:sz w:val="22"/>
          <w:szCs w:val="22"/>
          <w:lang w:val="en-GB"/>
        </w:rPr>
        <w:t xml:space="preserve"> a positive recommendation.</w:t>
      </w:r>
    </w:p>
    <w:p w:rsidR="00250E35" w:rsidRDefault="00250E35" w:rsidP="00250E35">
      <w:pPr>
        <w:jc w:val="both"/>
        <w:rPr>
          <w:rFonts w:ascii="Arial" w:hAnsi="Arial" w:cs="Arial"/>
          <w:b/>
          <w:snapToGrid w:val="0"/>
          <w:sz w:val="22"/>
          <w:szCs w:val="22"/>
          <w:highlight w:val="yellow"/>
          <w:lang w:val="en-GB"/>
        </w:rPr>
      </w:pPr>
    </w:p>
    <w:p w:rsidR="00713890" w:rsidRPr="004800DA" w:rsidRDefault="00713890" w:rsidP="00713890">
      <w:pPr>
        <w:jc w:val="both"/>
        <w:rPr>
          <w:rFonts w:ascii="Arial" w:hAnsi="Arial" w:cs="Arial"/>
          <w:b/>
          <w:bCs/>
          <w:snapToGrid w:val="0"/>
          <w:sz w:val="22"/>
          <w:szCs w:val="22"/>
          <w:lang w:val="en-GB"/>
        </w:rPr>
      </w:pPr>
      <w:r w:rsidRPr="004800DA">
        <w:rPr>
          <w:rFonts w:ascii="Arial" w:hAnsi="Arial" w:cs="Arial"/>
          <w:b/>
          <w:bCs/>
          <w:snapToGrid w:val="0"/>
          <w:sz w:val="22"/>
          <w:szCs w:val="22"/>
          <w:lang w:val="en-GB"/>
        </w:rPr>
        <w:t>Outcome:</w:t>
      </w:r>
    </w:p>
    <w:p w:rsidR="00713890" w:rsidRDefault="00713890" w:rsidP="00713890">
      <w:pPr>
        <w:jc w:val="both"/>
        <w:rPr>
          <w:rFonts w:ascii="Arial" w:hAnsi="Arial" w:cs="Arial"/>
          <w:bCs/>
          <w:snapToGrid w:val="0"/>
          <w:sz w:val="22"/>
          <w:szCs w:val="22"/>
          <w:lang w:val="en-GB"/>
        </w:rPr>
      </w:pPr>
      <w:r w:rsidRPr="004800DA">
        <w:rPr>
          <w:rFonts w:ascii="Arial" w:hAnsi="Arial" w:cs="Arial"/>
          <w:bCs/>
          <w:snapToGrid w:val="0"/>
          <w:sz w:val="22"/>
          <w:szCs w:val="22"/>
          <w:lang w:val="en-GB"/>
        </w:rPr>
        <w:t>Recommended</w:t>
      </w:r>
    </w:p>
    <w:p w:rsidR="00DC707F" w:rsidRDefault="00DC707F" w:rsidP="00713890">
      <w:pPr>
        <w:jc w:val="both"/>
        <w:rPr>
          <w:rFonts w:ascii="Arial" w:hAnsi="Arial" w:cs="Arial"/>
          <w:bCs/>
          <w:snapToGrid w:val="0"/>
          <w:sz w:val="22"/>
          <w:szCs w:val="22"/>
          <w:lang w:val="en-GB"/>
        </w:rPr>
      </w:pPr>
    </w:p>
    <w:p w:rsidR="003801EE" w:rsidRDefault="003801EE" w:rsidP="00713890">
      <w:pPr>
        <w:jc w:val="both"/>
        <w:rPr>
          <w:rFonts w:ascii="Arial" w:hAnsi="Arial" w:cs="Arial"/>
          <w:bCs/>
          <w:snapToGrid w:val="0"/>
          <w:sz w:val="22"/>
          <w:szCs w:val="22"/>
          <w:lang w:val="en-GB"/>
        </w:rPr>
      </w:pPr>
    </w:p>
    <w:p w:rsidR="0018083B" w:rsidRDefault="0018083B">
      <w:pPr>
        <w:rPr>
          <w:rFonts w:ascii="Arial" w:hAnsi="Arial" w:cs="Arial"/>
          <w:b/>
          <w:color w:val="FF0000"/>
          <w:sz w:val="22"/>
          <w:szCs w:val="22"/>
        </w:rPr>
      </w:pPr>
      <w:r>
        <w:rPr>
          <w:rFonts w:ascii="Arial" w:hAnsi="Arial" w:cs="Arial"/>
          <w:b/>
          <w:color w:val="FF0000"/>
          <w:sz w:val="22"/>
          <w:szCs w:val="22"/>
        </w:rPr>
        <w:br w:type="page"/>
      </w:r>
    </w:p>
    <w:p w:rsidR="00414C41" w:rsidRPr="00897977" w:rsidRDefault="00902BBE" w:rsidP="00414C41">
      <w:pPr>
        <w:rPr>
          <w:rFonts w:ascii="Arial" w:hAnsi="Arial" w:cs="Arial"/>
          <w:b/>
          <w:color w:val="000000" w:themeColor="text1"/>
          <w:sz w:val="22"/>
          <w:szCs w:val="22"/>
        </w:rPr>
      </w:pPr>
      <w:r w:rsidRPr="00897977">
        <w:rPr>
          <w:rFonts w:ascii="Arial" w:hAnsi="Arial" w:cs="Arial"/>
          <w:b/>
          <w:color w:val="000000" w:themeColor="text1"/>
          <w:sz w:val="22"/>
          <w:szCs w:val="22"/>
        </w:rPr>
        <w:lastRenderedPageBreak/>
        <w:t>Addendum:</w:t>
      </w:r>
    </w:p>
    <w:p w:rsidR="00414C41" w:rsidRDefault="00902BBE" w:rsidP="003A5632">
      <w:pPr>
        <w:jc w:val="both"/>
        <w:rPr>
          <w:rFonts w:ascii="Arial" w:hAnsi="Arial"/>
          <w:sz w:val="22"/>
          <w:szCs w:val="22"/>
        </w:rPr>
      </w:pPr>
      <w:r>
        <w:rPr>
          <w:rFonts w:ascii="Arial" w:hAnsi="Arial" w:cs="Arial"/>
          <w:sz w:val="22"/>
          <w:szCs w:val="22"/>
        </w:rPr>
        <w:t>Subsequent to the November 2016 PBAC meeting t</w:t>
      </w:r>
      <w:r w:rsidRPr="001F7B60">
        <w:rPr>
          <w:rFonts w:ascii="Arial" w:hAnsi="Arial" w:cs="Arial"/>
          <w:sz w:val="22"/>
          <w:szCs w:val="22"/>
        </w:rPr>
        <w:t xml:space="preserve">he </w:t>
      </w:r>
      <w:r>
        <w:rPr>
          <w:rFonts w:ascii="Arial" w:hAnsi="Arial" w:cs="Arial"/>
          <w:sz w:val="22"/>
          <w:szCs w:val="22"/>
        </w:rPr>
        <w:t xml:space="preserve">PBAC considered at </w:t>
      </w:r>
      <w:r w:rsidRPr="001F7B60">
        <w:rPr>
          <w:rFonts w:ascii="Arial" w:hAnsi="Arial" w:cs="Arial"/>
          <w:sz w:val="22"/>
          <w:szCs w:val="22"/>
        </w:rPr>
        <w:t xml:space="preserve">December Special PBAC meeting </w:t>
      </w:r>
      <w:r>
        <w:rPr>
          <w:rFonts w:ascii="Arial" w:hAnsi="Arial" w:cs="Arial"/>
          <w:sz w:val="22"/>
          <w:szCs w:val="22"/>
        </w:rPr>
        <w:t xml:space="preserve">whether the new strengths of oxycodone with naloxone </w:t>
      </w:r>
      <w:r w:rsidR="00414C41">
        <w:rPr>
          <w:rFonts w:ascii="Arial" w:hAnsi="Arial" w:cs="Arial"/>
          <w:sz w:val="22"/>
          <w:szCs w:val="22"/>
        </w:rPr>
        <w:t xml:space="preserve">met the criteria for a ruling under </w:t>
      </w:r>
      <w:r w:rsidR="00414C41" w:rsidRPr="00077848">
        <w:rPr>
          <w:rFonts w:ascii="Arial" w:hAnsi="Arial"/>
          <w:sz w:val="22"/>
          <w:szCs w:val="22"/>
        </w:rPr>
        <w:t xml:space="preserve">section 101 (4AC) of the </w:t>
      </w:r>
      <w:r w:rsidR="00414C41" w:rsidRPr="00BA6FC7">
        <w:rPr>
          <w:rFonts w:ascii="Arial" w:hAnsi="Arial"/>
          <w:i/>
          <w:sz w:val="22"/>
          <w:szCs w:val="22"/>
        </w:rPr>
        <w:t>National Health Act</w:t>
      </w:r>
      <w:r w:rsidR="00414C41" w:rsidRPr="00077848">
        <w:rPr>
          <w:rFonts w:ascii="Arial" w:hAnsi="Arial"/>
          <w:sz w:val="22"/>
          <w:szCs w:val="22"/>
        </w:rPr>
        <w:t xml:space="preserve"> 19</w:t>
      </w:r>
      <w:r w:rsidR="00711909">
        <w:rPr>
          <w:rFonts w:ascii="Arial" w:hAnsi="Arial"/>
          <w:sz w:val="22"/>
          <w:szCs w:val="22"/>
        </w:rPr>
        <w:t>53 for the requested strengths.</w:t>
      </w:r>
    </w:p>
    <w:p w:rsidR="00371E3E" w:rsidRDefault="00371E3E" w:rsidP="003A5632">
      <w:pPr>
        <w:jc w:val="both"/>
        <w:rPr>
          <w:rFonts w:ascii="Arial" w:hAnsi="Arial"/>
          <w:sz w:val="22"/>
          <w:szCs w:val="22"/>
        </w:rPr>
      </w:pPr>
    </w:p>
    <w:p w:rsidR="00414C41" w:rsidRDefault="00414C41" w:rsidP="003A5632">
      <w:pPr>
        <w:jc w:val="both"/>
        <w:rPr>
          <w:rFonts w:ascii="Arial" w:hAnsi="Arial"/>
          <w:sz w:val="22"/>
          <w:szCs w:val="22"/>
        </w:rPr>
      </w:pPr>
      <w:r>
        <w:rPr>
          <w:rFonts w:ascii="Arial" w:hAnsi="Arial"/>
          <w:sz w:val="22"/>
          <w:szCs w:val="22"/>
        </w:rPr>
        <w:t>The PBAC provided the following advice:</w:t>
      </w:r>
    </w:p>
    <w:p w:rsidR="00414C41" w:rsidRDefault="00414C41" w:rsidP="003A5632">
      <w:pPr>
        <w:jc w:val="both"/>
        <w:rPr>
          <w:rFonts w:ascii="Arial" w:hAnsi="Arial"/>
          <w:sz w:val="22"/>
          <w:szCs w:val="22"/>
        </w:rPr>
      </w:pPr>
    </w:p>
    <w:p w:rsidR="00414C41" w:rsidRDefault="00414C41" w:rsidP="003A5632">
      <w:pPr>
        <w:jc w:val="both"/>
        <w:rPr>
          <w:rFonts w:ascii="Arial" w:hAnsi="Arial"/>
          <w:sz w:val="22"/>
          <w:szCs w:val="22"/>
        </w:rPr>
      </w:pPr>
      <w:r w:rsidRPr="00414C41">
        <w:rPr>
          <w:rFonts w:ascii="Arial" w:hAnsi="Arial"/>
          <w:sz w:val="22"/>
          <w:szCs w:val="22"/>
        </w:rPr>
        <w:t xml:space="preserve">The PBAC reaffirmed its advice under section 101 (4AC) of the </w:t>
      </w:r>
      <w:r w:rsidRPr="000E2E3C">
        <w:rPr>
          <w:rFonts w:ascii="Arial" w:hAnsi="Arial"/>
          <w:i/>
          <w:sz w:val="22"/>
          <w:szCs w:val="22"/>
        </w:rPr>
        <w:t>National Health Act</w:t>
      </w:r>
      <w:r w:rsidRPr="00414C41">
        <w:rPr>
          <w:rFonts w:ascii="Arial" w:hAnsi="Arial"/>
          <w:sz w:val="22"/>
          <w:szCs w:val="22"/>
        </w:rPr>
        <w:t xml:space="preserve"> 1953 </w:t>
      </w:r>
      <w:r w:rsidR="000E2E3C">
        <w:rPr>
          <w:rFonts w:ascii="Arial" w:hAnsi="Arial"/>
          <w:sz w:val="22"/>
          <w:szCs w:val="22"/>
        </w:rPr>
        <w:t xml:space="preserve">that </w:t>
      </w:r>
      <w:r w:rsidRPr="00414C41">
        <w:rPr>
          <w:rFonts w:ascii="Arial" w:hAnsi="Arial"/>
          <w:sz w:val="22"/>
          <w:szCs w:val="22"/>
        </w:rPr>
        <w:t>the additional strengths of oxycodone</w:t>
      </w:r>
      <w:r>
        <w:rPr>
          <w:rFonts w:ascii="Arial" w:hAnsi="Arial"/>
          <w:sz w:val="22"/>
          <w:szCs w:val="22"/>
        </w:rPr>
        <w:t xml:space="preserve"> with</w:t>
      </w:r>
      <w:r w:rsidRPr="00414C41">
        <w:rPr>
          <w:rFonts w:ascii="Arial" w:hAnsi="Arial"/>
          <w:sz w:val="22"/>
          <w:szCs w:val="22"/>
        </w:rPr>
        <w:t xml:space="preserve"> naloxone</w:t>
      </w:r>
      <w:r w:rsidR="000E2E3C">
        <w:rPr>
          <w:rFonts w:ascii="Arial" w:hAnsi="Arial"/>
          <w:sz w:val="22"/>
          <w:szCs w:val="22"/>
        </w:rPr>
        <w:t xml:space="preserve"> meet the criteria under this section.</w:t>
      </w:r>
    </w:p>
    <w:p w:rsidR="00902BBE" w:rsidRDefault="00902BBE" w:rsidP="00713890">
      <w:pPr>
        <w:jc w:val="both"/>
        <w:rPr>
          <w:rFonts w:ascii="Arial" w:hAnsi="Arial" w:cs="Arial"/>
          <w:bCs/>
          <w:snapToGrid w:val="0"/>
          <w:sz w:val="22"/>
          <w:szCs w:val="22"/>
          <w:lang w:val="en-GB"/>
        </w:rPr>
      </w:pPr>
    </w:p>
    <w:p w:rsidR="00DC707F" w:rsidRPr="008D1F3D" w:rsidRDefault="00DC707F" w:rsidP="008D1F3D">
      <w:pPr>
        <w:widowControl w:val="0"/>
        <w:ind w:left="720"/>
        <w:jc w:val="both"/>
        <w:rPr>
          <w:rFonts w:ascii="Arial" w:hAnsi="Arial" w:cs="Arial"/>
          <w:b/>
          <w:bCs/>
          <w:i/>
          <w:snapToGrid w:val="0"/>
          <w:sz w:val="22"/>
          <w:szCs w:val="22"/>
          <w:lang w:val="en-GB"/>
        </w:rPr>
      </w:pPr>
    </w:p>
    <w:p w:rsidR="00054436" w:rsidRPr="008D1F3D" w:rsidRDefault="00054436" w:rsidP="00946D59">
      <w:pPr>
        <w:pStyle w:val="PBACHeading1"/>
        <w:rPr>
          <w:b w:val="0"/>
          <w:bCs/>
          <w:i/>
          <w:lang w:val="en-GB"/>
        </w:rPr>
      </w:pPr>
      <w:r w:rsidRPr="008D1F3D">
        <w:rPr>
          <w:bCs/>
          <w:lang w:val="en-GB"/>
        </w:rPr>
        <w:t>Recommended listing</w:t>
      </w:r>
    </w:p>
    <w:p w:rsidR="00054436" w:rsidRPr="00946D59" w:rsidRDefault="00054436" w:rsidP="00946D59">
      <w:pPr>
        <w:widowControl w:val="0"/>
        <w:spacing w:after="120"/>
        <w:ind w:left="720"/>
        <w:contextualSpacing/>
        <w:jc w:val="both"/>
        <w:rPr>
          <w:rFonts w:ascii="Arial" w:hAnsi="Arial" w:cs="Arial"/>
          <w:bCs/>
          <w:snapToGrid w:val="0"/>
          <w:sz w:val="22"/>
          <w:szCs w:val="22"/>
          <w:lang w:val="en-GB"/>
        </w:rPr>
      </w:pPr>
    </w:p>
    <w:p w:rsidR="00054436" w:rsidRPr="00946D59" w:rsidRDefault="00054436" w:rsidP="00946D59">
      <w:pPr>
        <w:widowControl w:val="0"/>
        <w:numPr>
          <w:ilvl w:val="1"/>
          <w:numId w:val="5"/>
        </w:numPr>
        <w:spacing w:after="120"/>
        <w:contextualSpacing/>
        <w:jc w:val="both"/>
        <w:rPr>
          <w:rFonts w:ascii="Arial" w:hAnsi="Arial" w:cs="Arial"/>
          <w:bCs/>
          <w:snapToGrid w:val="0"/>
          <w:sz w:val="22"/>
          <w:szCs w:val="22"/>
          <w:lang w:val="en-GB"/>
        </w:rPr>
      </w:pPr>
      <w:r w:rsidRPr="00946D59">
        <w:rPr>
          <w:rFonts w:ascii="Arial" w:hAnsi="Arial" w:cs="Arial"/>
          <w:bCs/>
          <w:snapToGrid w:val="0"/>
          <w:sz w:val="22"/>
          <w:szCs w:val="22"/>
          <w:lang w:val="en-GB"/>
        </w:rPr>
        <w:t>Add new item</w:t>
      </w:r>
    </w:p>
    <w:p w:rsidR="0093284E" w:rsidRPr="004800DA" w:rsidRDefault="0093284E" w:rsidP="00713890">
      <w:pPr>
        <w:jc w:val="both"/>
        <w:rPr>
          <w:rFonts w:ascii="Arial" w:hAnsi="Arial" w:cs="Arial"/>
          <w:bCs/>
          <w:snapToGrid w:val="0"/>
          <w:sz w:val="22"/>
          <w:szCs w:val="22"/>
          <w:lang w:val="en-GB"/>
        </w:rPr>
      </w:pPr>
    </w:p>
    <w:p w:rsidR="00713890" w:rsidRPr="00EA0EDA" w:rsidRDefault="00713890" w:rsidP="00713890">
      <w:pPr>
        <w:jc w:val="both"/>
        <w:rPr>
          <w:rFonts w:ascii="Arial" w:hAnsi="Arial" w:cs="Arial"/>
          <w:bCs/>
          <w:snapToGrid w:val="0"/>
          <w:sz w:val="22"/>
          <w:szCs w:val="22"/>
          <w:highlight w:val="yellow"/>
          <w:lang w:val="en-GB"/>
        </w:rPr>
      </w:pPr>
    </w:p>
    <w:tbl>
      <w:tblPr>
        <w:tblW w:w="8293" w:type="dxa"/>
        <w:tblInd w:w="817" w:type="dxa"/>
        <w:tblLook w:val="0000" w:firstRow="0" w:lastRow="0" w:firstColumn="0" w:lastColumn="0" w:noHBand="0" w:noVBand="0"/>
      </w:tblPr>
      <w:tblGrid>
        <w:gridCol w:w="1965"/>
        <w:gridCol w:w="1579"/>
        <w:gridCol w:w="709"/>
        <w:gridCol w:w="992"/>
        <w:gridCol w:w="2977"/>
        <w:gridCol w:w="71"/>
      </w:tblGrid>
      <w:tr w:rsidR="00656CBF" w:rsidRPr="0039782C" w:rsidTr="00656CBF">
        <w:trPr>
          <w:gridAfter w:val="1"/>
          <w:wAfter w:w="71" w:type="dxa"/>
          <w:cantSplit/>
          <w:trHeight w:val="471"/>
        </w:trPr>
        <w:tc>
          <w:tcPr>
            <w:tcW w:w="3544" w:type="dxa"/>
            <w:gridSpan w:val="2"/>
            <w:tcBorders>
              <w:bottom w:val="single" w:sz="4" w:space="0" w:color="auto"/>
            </w:tcBorders>
          </w:tcPr>
          <w:p w:rsidR="00656CBF" w:rsidRPr="0039782C" w:rsidRDefault="00656CBF" w:rsidP="004B3C31">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656CBF" w:rsidRPr="0039782C" w:rsidRDefault="00656CBF" w:rsidP="004B3C31">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709" w:type="dxa"/>
            <w:tcBorders>
              <w:bottom w:val="single" w:sz="4" w:space="0" w:color="auto"/>
            </w:tcBorders>
          </w:tcPr>
          <w:p w:rsidR="00656CBF" w:rsidRPr="0039782C" w:rsidRDefault="00656CBF" w:rsidP="004B3C31">
            <w:pPr>
              <w:keepNext/>
              <w:ind w:left="-108"/>
              <w:jc w:val="both"/>
              <w:rPr>
                <w:rFonts w:ascii="Arial Narrow" w:hAnsi="Arial Narrow" w:cs="Arial"/>
                <w:b/>
                <w:sz w:val="20"/>
                <w:szCs w:val="20"/>
              </w:rPr>
            </w:pPr>
            <w:r w:rsidRPr="0039782C">
              <w:rPr>
                <w:rFonts w:ascii="Arial Narrow" w:hAnsi="Arial Narrow" w:cs="Arial"/>
                <w:b/>
                <w:sz w:val="20"/>
                <w:szCs w:val="20"/>
              </w:rPr>
              <w:t>Max.</w:t>
            </w:r>
          </w:p>
          <w:p w:rsidR="00656CBF" w:rsidRPr="0039782C" w:rsidRDefault="00656CBF" w:rsidP="004B3C31">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992" w:type="dxa"/>
            <w:tcBorders>
              <w:bottom w:val="single" w:sz="4" w:space="0" w:color="auto"/>
            </w:tcBorders>
          </w:tcPr>
          <w:p w:rsidR="00656CBF" w:rsidRPr="0039782C" w:rsidRDefault="00656CBF" w:rsidP="004B3C31">
            <w:pPr>
              <w:keepNext/>
              <w:ind w:left="-108"/>
              <w:jc w:val="both"/>
              <w:rPr>
                <w:rFonts w:ascii="Arial Narrow" w:hAnsi="Arial Narrow" w:cs="Arial"/>
                <w:b/>
                <w:sz w:val="20"/>
                <w:szCs w:val="20"/>
              </w:rPr>
            </w:pPr>
            <w:r w:rsidRPr="0039782C">
              <w:rPr>
                <w:rFonts w:ascii="Arial Narrow" w:hAnsi="Arial Narrow" w:cs="Arial"/>
                <w:b/>
                <w:sz w:val="20"/>
                <w:szCs w:val="20"/>
              </w:rPr>
              <w:t>№.of</w:t>
            </w:r>
          </w:p>
          <w:p w:rsidR="00656CBF" w:rsidRPr="0039782C" w:rsidRDefault="00656CBF" w:rsidP="004B3C31">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2977" w:type="dxa"/>
            <w:tcBorders>
              <w:bottom w:val="single" w:sz="4" w:space="0" w:color="auto"/>
            </w:tcBorders>
          </w:tcPr>
          <w:p w:rsidR="00656CBF" w:rsidRPr="0039782C" w:rsidRDefault="00656CBF" w:rsidP="00FD22AB">
            <w:pPr>
              <w:keepNext/>
              <w:tabs>
                <w:tab w:val="left" w:pos="522"/>
              </w:tabs>
              <w:ind w:left="-108"/>
              <w:jc w:val="both"/>
              <w:rPr>
                <w:rFonts w:ascii="Arial Narrow" w:hAnsi="Arial Narrow" w:cs="Arial"/>
                <w:b/>
                <w:sz w:val="20"/>
                <w:szCs w:val="20"/>
              </w:rPr>
            </w:pPr>
            <w:r>
              <w:rPr>
                <w:rFonts w:ascii="Arial Narrow" w:hAnsi="Arial Narrow" w:cs="Arial"/>
                <w:b/>
                <w:sz w:val="20"/>
                <w:szCs w:val="20"/>
              </w:rPr>
              <w:t xml:space="preserve">Proprietary Name </w:t>
            </w:r>
            <w:r w:rsidRPr="0039782C">
              <w:rPr>
                <w:rFonts w:ascii="Arial Narrow" w:hAnsi="Arial Narrow" w:cs="Arial"/>
                <w:b/>
                <w:sz w:val="20"/>
                <w:szCs w:val="20"/>
              </w:rPr>
              <w:t>and Manufacturer</w:t>
            </w:r>
          </w:p>
        </w:tc>
      </w:tr>
      <w:tr w:rsidR="00656CBF" w:rsidRPr="00260CE3" w:rsidTr="00656CBF">
        <w:trPr>
          <w:gridAfter w:val="1"/>
          <w:wAfter w:w="71" w:type="dxa"/>
          <w:cantSplit/>
          <w:trHeight w:val="577"/>
        </w:trPr>
        <w:tc>
          <w:tcPr>
            <w:tcW w:w="3544" w:type="dxa"/>
            <w:gridSpan w:val="2"/>
          </w:tcPr>
          <w:p w:rsidR="00656CBF" w:rsidRDefault="00656CBF" w:rsidP="00656CBF">
            <w:pPr>
              <w:keepNext/>
              <w:ind w:left="-108"/>
              <w:rPr>
                <w:rFonts w:ascii="Arial Narrow" w:hAnsi="Arial Narrow" w:cs="Arial"/>
                <w:sz w:val="20"/>
                <w:szCs w:val="20"/>
              </w:rPr>
            </w:pPr>
            <w:r>
              <w:rPr>
                <w:rFonts w:ascii="Arial Narrow" w:hAnsi="Arial Narrow" w:cs="Arial"/>
                <w:sz w:val="20"/>
                <w:szCs w:val="20"/>
              </w:rPr>
              <w:t>Oxycodone hydrochloride 60mg + naloxone hydrochloride 30mg:</w:t>
            </w:r>
          </w:p>
          <w:p w:rsidR="00656CBF" w:rsidRDefault="00656CBF" w:rsidP="00656CBF">
            <w:pPr>
              <w:keepNext/>
              <w:ind w:left="-108"/>
              <w:rPr>
                <w:rFonts w:ascii="Arial Narrow" w:hAnsi="Arial Narrow" w:cs="Arial"/>
                <w:sz w:val="20"/>
                <w:szCs w:val="20"/>
              </w:rPr>
            </w:pPr>
            <w:r>
              <w:rPr>
                <w:rFonts w:ascii="Arial Narrow" w:hAnsi="Arial Narrow" w:cs="Arial"/>
                <w:sz w:val="20"/>
                <w:szCs w:val="20"/>
              </w:rPr>
              <w:t>modified release, tablet, 28</w:t>
            </w:r>
          </w:p>
          <w:p w:rsidR="00656CBF" w:rsidRDefault="00656CBF" w:rsidP="004B3C31">
            <w:pPr>
              <w:keepNext/>
              <w:ind w:left="-108"/>
              <w:jc w:val="both"/>
              <w:rPr>
                <w:rFonts w:ascii="Arial Narrow" w:hAnsi="Arial Narrow" w:cs="Arial"/>
                <w:sz w:val="20"/>
                <w:szCs w:val="20"/>
              </w:rPr>
            </w:pPr>
          </w:p>
          <w:p w:rsidR="00656CBF" w:rsidRDefault="00656CBF" w:rsidP="004B3C31">
            <w:pPr>
              <w:keepNext/>
              <w:ind w:left="-108"/>
              <w:jc w:val="both"/>
              <w:rPr>
                <w:rFonts w:ascii="Arial Narrow" w:hAnsi="Arial Narrow" w:cs="Arial"/>
                <w:sz w:val="20"/>
                <w:szCs w:val="20"/>
              </w:rPr>
            </w:pPr>
            <w:r>
              <w:rPr>
                <w:rFonts w:ascii="Arial Narrow" w:hAnsi="Arial Narrow" w:cs="Arial"/>
                <w:sz w:val="20"/>
                <w:szCs w:val="20"/>
              </w:rPr>
              <w:t>Oxycodone hydrochloride 80mg +</w:t>
            </w:r>
          </w:p>
          <w:p w:rsidR="00656CBF" w:rsidRDefault="00656CBF" w:rsidP="004B3C31">
            <w:pPr>
              <w:keepNext/>
              <w:ind w:left="-108"/>
              <w:jc w:val="both"/>
              <w:rPr>
                <w:rFonts w:ascii="Arial Narrow" w:hAnsi="Arial Narrow" w:cs="Arial"/>
                <w:sz w:val="20"/>
                <w:szCs w:val="20"/>
              </w:rPr>
            </w:pPr>
            <w:r>
              <w:rPr>
                <w:rFonts w:ascii="Arial Narrow" w:hAnsi="Arial Narrow" w:cs="Arial"/>
                <w:sz w:val="20"/>
                <w:szCs w:val="20"/>
              </w:rPr>
              <w:t>naloxone hydrochloride 40mg:</w:t>
            </w:r>
          </w:p>
          <w:p w:rsidR="00656CBF" w:rsidRPr="00260CE3" w:rsidRDefault="00656CBF" w:rsidP="004B3C31">
            <w:pPr>
              <w:keepNext/>
              <w:ind w:left="-108"/>
              <w:jc w:val="both"/>
              <w:rPr>
                <w:rFonts w:ascii="Arial Narrow" w:hAnsi="Arial Narrow" w:cs="Arial"/>
                <w:sz w:val="20"/>
                <w:szCs w:val="20"/>
              </w:rPr>
            </w:pPr>
            <w:r>
              <w:rPr>
                <w:rFonts w:ascii="Arial Narrow" w:hAnsi="Arial Narrow" w:cs="Arial"/>
                <w:sz w:val="20"/>
                <w:szCs w:val="20"/>
              </w:rPr>
              <w:t>modified release, tablet, 28</w:t>
            </w:r>
          </w:p>
        </w:tc>
        <w:tc>
          <w:tcPr>
            <w:tcW w:w="709" w:type="dxa"/>
          </w:tcPr>
          <w:p w:rsidR="00656CBF" w:rsidRDefault="00656CBF" w:rsidP="004B3C31">
            <w:pPr>
              <w:keepNext/>
              <w:ind w:left="-108"/>
              <w:jc w:val="both"/>
              <w:rPr>
                <w:rFonts w:ascii="Arial Narrow" w:hAnsi="Arial Narrow" w:cs="Arial"/>
                <w:sz w:val="20"/>
                <w:szCs w:val="20"/>
              </w:rPr>
            </w:pPr>
            <w:r>
              <w:rPr>
                <w:rFonts w:ascii="Arial Narrow" w:hAnsi="Arial Narrow" w:cs="Arial"/>
                <w:sz w:val="20"/>
                <w:szCs w:val="20"/>
              </w:rPr>
              <w:t>1</w:t>
            </w:r>
          </w:p>
          <w:p w:rsidR="00656CBF" w:rsidRDefault="00656CBF" w:rsidP="004B3C31">
            <w:pPr>
              <w:keepNext/>
              <w:ind w:left="-108"/>
              <w:jc w:val="both"/>
              <w:rPr>
                <w:rFonts w:ascii="Arial Narrow" w:hAnsi="Arial Narrow" w:cs="Arial"/>
                <w:sz w:val="20"/>
                <w:szCs w:val="20"/>
              </w:rPr>
            </w:pPr>
          </w:p>
          <w:p w:rsidR="00656CBF" w:rsidRDefault="00656CBF" w:rsidP="004B3C31">
            <w:pPr>
              <w:keepNext/>
              <w:ind w:left="-108"/>
              <w:jc w:val="both"/>
              <w:rPr>
                <w:rFonts w:ascii="Arial Narrow" w:hAnsi="Arial Narrow" w:cs="Arial"/>
                <w:sz w:val="20"/>
                <w:szCs w:val="20"/>
              </w:rPr>
            </w:pPr>
          </w:p>
          <w:p w:rsidR="00656CBF" w:rsidRDefault="00656CBF" w:rsidP="004B3C31">
            <w:pPr>
              <w:keepNext/>
              <w:ind w:left="-108"/>
              <w:jc w:val="both"/>
              <w:rPr>
                <w:rFonts w:ascii="Arial Narrow" w:hAnsi="Arial Narrow" w:cs="Arial"/>
                <w:sz w:val="20"/>
                <w:szCs w:val="20"/>
              </w:rPr>
            </w:pPr>
          </w:p>
          <w:p w:rsidR="00656CBF" w:rsidRPr="00260CE3" w:rsidRDefault="00656CBF" w:rsidP="004B3C31">
            <w:pPr>
              <w:keepNext/>
              <w:ind w:left="-108"/>
              <w:jc w:val="both"/>
              <w:rPr>
                <w:rFonts w:ascii="Arial Narrow" w:hAnsi="Arial Narrow" w:cs="Arial"/>
                <w:sz w:val="20"/>
                <w:szCs w:val="20"/>
              </w:rPr>
            </w:pPr>
            <w:r>
              <w:rPr>
                <w:rFonts w:ascii="Arial Narrow" w:hAnsi="Arial Narrow" w:cs="Arial"/>
                <w:sz w:val="20"/>
                <w:szCs w:val="20"/>
              </w:rPr>
              <w:t>1</w:t>
            </w:r>
          </w:p>
        </w:tc>
        <w:tc>
          <w:tcPr>
            <w:tcW w:w="992" w:type="dxa"/>
          </w:tcPr>
          <w:p w:rsidR="00656CBF" w:rsidRDefault="00656CBF" w:rsidP="004B3C31">
            <w:pPr>
              <w:keepNext/>
              <w:jc w:val="both"/>
              <w:rPr>
                <w:rFonts w:ascii="Arial Narrow" w:hAnsi="Arial Narrow" w:cs="Arial"/>
                <w:sz w:val="20"/>
                <w:szCs w:val="20"/>
              </w:rPr>
            </w:pPr>
            <w:r>
              <w:rPr>
                <w:rFonts w:ascii="Arial Narrow" w:hAnsi="Arial Narrow" w:cs="Arial"/>
                <w:sz w:val="20"/>
                <w:szCs w:val="20"/>
              </w:rPr>
              <w:t>0</w:t>
            </w:r>
          </w:p>
          <w:p w:rsidR="00656CBF" w:rsidRDefault="00656CBF" w:rsidP="004B3C31">
            <w:pPr>
              <w:keepNext/>
              <w:jc w:val="both"/>
              <w:rPr>
                <w:rFonts w:ascii="Arial Narrow" w:hAnsi="Arial Narrow" w:cs="Arial"/>
                <w:sz w:val="20"/>
                <w:szCs w:val="20"/>
              </w:rPr>
            </w:pPr>
          </w:p>
          <w:p w:rsidR="00656CBF" w:rsidRDefault="00656CBF" w:rsidP="004B3C31">
            <w:pPr>
              <w:keepNext/>
              <w:jc w:val="both"/>
              <w:rPr>
                <w:rFonts w:ascii="Arial Narrow" w:hAnsi="Arial Narrow" w:cs="Arial"/>
                <w:sz w:val="20"/>
                <w:szCs w:val="20"/>
              </w:rPr>
            </w:pPr>
          </w:p>
          <w:p w:rsidR="00656CBF" w:rsidRDefault="00656CBF" w:rsidP="004B3C31">
            <w:pPr>
              <w:keepNext/>
              <w:jc w:val="both"/>
              <w:rPr>
                <w:rFonts w:ascii="Arial Narrow" w:hAnsi="Arial Narrow" w:cs="Arial"/>
                <w:sz w:val="20"/>
                <w:szCs w:val="20"/>
              </w:rPr>
            </w:pPr>
          </w:p>
          <w:p w:rsidR="00656CBF" w:rsidRPr="00260CE3" w:rsidRDefault="00656CBF" w:rsidP="004B3C31">
            <w:pPr>
              <w:keepNext/>
              <w:jc w:val="both"/>
              <w:rPr>
                <w:rFonts w:ascii="Arial Narrow" w:hAnsi="Arial Narrow" w:cs="Arial"/>
                <w:sz w:val="20"/>
                <w:szCs w:val="20"/>
              </w:rPr>
            </w:pPr>
            <w:r>
              <w:rPr>
                <w:rFonts w:ascii="Arial Narrow" w:hAnsi="Arial Narrow" w:cs="Arial"/>
                <w:sz w:val="20"/>
                <w:szCs w:val="20"/>
              </w:rPr>
              <w:t>0</w:t>
            </w:r>
          </w:p>
        </w:tc>
        <w:tc>
          <w:tcPr>
            <w:tcW w:w="2977" w:type="dxa"/>
          </w:tcPr>
          <w:p w:rsidR="00656CBF" w:rsidRDefault="00656CBF" w:rsidP="004B3C31">
            <w:pPr>
              <w:keepNext/>
              <w:jc w:val="both"/>
              <w:rPr>
                <w:rFonts w:ascii="Arial Narrow" w:hAnsi="Arial Narrow" w:cs="Arial"/>
                <w:sz w:val="20"/>
                <w:szCs w:val="20"/>
              </w:rPr>
            </w:pPr>
            <w:r>
              <w:rPr>
                <w:rFonts w:ascii="Arial Narrow" w:hAnsi="Arial Narrow" w:cs="Arial"/>
                <w:sz w:val="20"/>
                <w:szCs w:val="20"/>
              </w:rPr>
              <w:t>Targin®</w:t>
            </w:r>
          </w:p>
          <w:p w:rsidR="00656CBF" w:rsidRDefault="00656CBF" w:rsidP="004B3C31">
            <w:pPr>
              <w:keepNext/>
              <w:jc w:val="both"/>
              <w:rPr>
                <w:rFonts w:ascii="Arial Narrow" w:hAnsi="Arial Narrow" w:cs="Arial"/>
                <w:sz w:val="20"/>
                <w:szCs w:val="20"/>
              </w:rPr>
            </w:pPr>
            <w:r>
              <w:rPr>
                <w:rFonts w:ascii="Arial Narrow" w:hAnsi="Arial Narrow" w:cs="Arial"/>
                <w:sz w:val="20"/>
                <w:szCs w:val="20"/>
              </w:rPr>
              <w:t>Mundipharma Pty Ltd</w:t>
            </w:r>
          </w:p>
          <w:p w:rsidR="00656CBF" w:rsidRPr="00260CE3" w:rsidRDefault="00656CBF" w:rsidP="004B3C31">
            <w:pPr>
              <w:keepNext/>
              <w:jc w:val="both"/>
              <w:rPr>
                <w:rFonts w:ascii="Arial Narrow" w:hAnsi="Arial Narrow" w:cs="Arial"/>
                <w:sz w:val="20"/>
                <w:szCs w:val="20"/>
              </w:rPr>
            </w:pPr>
          </w:p>
        </w:tc>
      </w:tr>
      <w:tr w:rsidR="004800DA" w:rsidRPr="00260CE3" w:rsidTr="00FD22AB">
        <w:trPr>
          <w:cantSplit/>
          <w:trHeight w:val="360"/>
        </w:trPr>
        <w:tc>
          <w:tcPr>
            <w:tcW w:w="8293" w:type="dxa"/>
            <w:gridSpan w:val="6"/>
            <w:tcBorders>
              <w:bottom w:val="single" w:sz="4" w:space="0" w:color="auto"/>
            </w:tcBorders>
          </w:tcPr>
          <w:p w:rsidR="004800DA" w:rsidRPr="00260CE3" w:rsidRDefault="004800DA" w:rsidP="004B3C31">
            <w:pPr>
              <w:jc w:val="both"/>
              <w:rPr>
                <w:rFonts w:ascii="Arial Narrow" w:hAnsi="Arial Narrow" w:cs="Arial"/>
                <w:sz w:val="20"/>
                <w:szCs w:val="20"/>
              </w:rPr>
            </w:pPr>
          </w:p>
        </w:tc>
      </w:tr>
      <w:tr w:rsidR="004800DA" w:rsidRPr="00260CE3" w:rsidTr="00656CBF">
        <w:trPr>
          <w:cantSplit/>
          <w:trHeight w:val="360"/>
        </w:trPr>
        <w:tc>
          <w:tcPr>
            <w:tcW w:w="1965" w:type="dxa"/>
            <w:tcBorders>
              <w:top w:val="single" w:sz="4" w:space="0" w:color="auto"/>
              <w:left w:val="single" w:sz="4" w:space="0" w:color="auto"/>
              <w:bottom w:val="single" w:sz="4" w:space="0" w:color="auto"/>
              <w:right w:val="single" w:sz="4" w:space="0" w:color="auto"/>
            </w:tcBorders>
          </w:tcPr>
          <w:p w:rsidR="004800DA" w:rsidRPr="00260CE3" w:rsidRDefault="004800DA" w:rsidP="004B3C31">
            <w:pPr>
              <w:jc w:val="both"/>
              <w:rPr>
                <w:rFonts w:ascii="Arial Narrow" w:hAnsi="Arial Narrow" w:cs="Arial"/>
                <w:b/>
                <w:sz w:val="20"/>
                <w:szCs w:val="20"/>
              </w:rPr>
            </w:pPr>
            <w:r w:rsidRPr="00260CE3">
              <w:rPr>
                <w:rFonts w:ascii="Arial Narrow" w:hAnsi="Arial Narrow" w:cs="Arial"/>
                <w:b/>
                <w:sz w:val="20"/>
                <w:szCs w:val="20"/>
              </w:rPr>
              <w:t xml:space="preserve">Category / </w:t>
            </w:r>
          </w:p>
          <w:p w:rsidR="004800DA" w:rsidRPr="00260CE3" w:rsidRDefault="004800DA" w:rsidP="004B3C31">
            <w:pPr>
              <w:jc w:val="both"/>
              <w:rPr>
                <w:rFonts w:ascii="Arial Narrow" w:hAnsi="Arial Narrow" w:cs="Arial"/>
                <w:b/>
                <w:sz w:val="20"/>
                <w:szCs w:val="20"/>
              </w:rPr>
            </w:pPr>
            <w:r w:rsidRPr="00260CE3">
              <w:rPr>
                <w:rFonts w:ascii="Arial Narrow" w:hAnsi="Arial Narrow" w:cs="Arial"/>
                <w:b/>
                <w:sz w:val="20"/>
                <w:szCs w:val="20"/>
              </w:rPr>
              <w:t>Program</w:t>
            </w:r>
          </w:p>
        </w:tc>
        <w:tc>
          <w:tcPr>
            <w:tcW w:w="6328" w:type="dxa"/>
            <w:gridSpan w:val="5"/>
            <w:tcBorders>
              <w:top w:val="single" w:sz="4" w:space="0" w:color="auto"/>
              <w:left w:val="single" w:sz="4" w:space="0" w:color="auto"/>
              <w:bottom w:val="single" w:sz="4" w:space="0" w:color="auto"/>
              <w:right w:val="single" w:sz="4" w:space="0" w:color="auto"/>
            </w:tcBorders>
          </w:tcPr>
          <w:p w:rsidR="004800DA" w:rsidRPr="00260CE3" w:rsidRDefault="004800DA" w:rsidP="004B3C31">
            <w:pPr>
              <w:rPr>
                <w:rFonts w:ascii="Arial Narrow" w:hAnsi="Arial Narrow" w:cs="Arial"/>
                <w:sz w:val="20"/>
                <w:szCs w:val="20"/>
              </w:rPr>
            </w:pPr>
            <w:r w:rsidRPr="00260CE3">
              <w:rPr>
                <w:rFonts w:ascii="Arial Narrow" w:hAnsi="Arial Narrow" w:cs="Arial"/>
                <w:sz w:val="20"/>
                <w:szCs w:val="20"/>
              </w:rPr>
              <w:t>GENERAL – General Schedule (</w:t>
            </w:r>
            <w:r w:rsidRPr="00564798">
              <w:rPr>
                <w:rFonts w:ascii="Arial Narrow" w:hAnsi="Arial Narrow" w:cs="Arial"/>
                <w:strike/>
                <w:sz w:val="20"/>
                <w:szCs w:val="20"/>
              </w:rPr>
              <w:t xml:space="preserve">Code </w:t>
            </w:r>
            <w:r w:rsidRPr="00260CE3">
              <w:rPr>
                <w:rFonts w:ascii="Arial Narrow" w:hAnsi="Arial Narrow" w:cs="Arial"/>
                <w:sz w:val="20"/>
                <w:szCs w:val="20"/>
              </w:rPr>
              <w:t>GE)</w:t>
            </w:r>
          </w:p>
          <w:p w:rsidR="004800DA" w:rsidRPr="00260CE3" w:rsidRDefault="004800DA" w:rsidP="004B3C31">
            <w:pPr>
              <w:rPr>
                <w:rFonts w:ascii="Arial Narrow" w:hAnsi="Arial Narrow" w:cs="Arial"/>
                <w:sz w:val="20"/>
                <w:szCs w:val="20"/>
              </w:rPr>
            </w:pPr>
          </w:p>
        </w:tc>
      </w:tr>
      <w:tr w:rsidR="004800DA" w:rsidRPr="00260CE3" w:rsidTr="00656CBF">
        <w:trPr>
          <w:cantSplit/>
          <w:trHeight w:val="360"/>
        </w:trPr>
        <w:tc>
          <w:tcPr>
            <w:tcW w:w="1965" w:type="dxa"/>
            <w:tcBorders>
              <w:top w:val="single" w:sz="4" w:space="0" w:color="auto"/>
              <w:left w:val="single" w:sz="4" w:space="0" w:color="auto"/>
              <w:bottom w:val="single" w:sz="4" w:space="0" w:color="auto"/>
              <w:right w:val="single" w:sz="4" w:space="0" w:color="auto"/>
            </w:tcBorders>
          </w:tcPr>
          <w:p w:rsidR="004800DA" w:rsidRPr="00260CE3" w:rsidRDefault="004800DA" w:rsidP="004B3C31">
            <w:pPr>
              <w:jc w:val="both"/>
              <w:rPr>
                <w:rFonts w:ascii="Arial Narrow" w:hAnsi="Arial Narrow" w:cs="Arial"/>
                <w:b/>
                <w:sz w:val="20"/>
                <w:szCs w:val="20"/>
              </w:rPr>
            </w:pPr>
            <w:r w:rsidRPr="00260CE3">
              <w:rPr>
                <w:rFonts w:ascii="Arial Narrow" w:hAnsi="Arial Narrow" w:cs="Arial"/>
                <w:b/>
                <w:sz w:val="20"/>
                <w:szCs w:val="20"/>
              </w:rPr>
              <w:t>Prescriber type:</w:t>
            </w:r>
          </w:p>
        </w:tc>
        <w:tc>
          <w:tcPr>
            <w:tcW w:w="6328" w:type="dxa"/>
            <w:gridSpan w:val="5"/>
            <w:tcBorders>
              <w:top w:val="single" w:sz="4" w:space="0" w:color="auto"/>
              <w:left w:val="single" w:sz="4" w:space="0" w:color="auto"/>
              <w:bottom w:val="single" w:sz="4" w:space="0" w:color="auto"/>
              <w:right w:val="single" w:sz="4" w:space="0" w:color="auto"/>
            </w:tcBorders>
          </w:tcPr>
          <w:p w:rsidR="004800DA" w:rsidRPr="00260CE3" w:rsidRDefault="004800DA" w:rsidP="004B3C31">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5668E4">
              <w:rPr>
                <w:rFonts w:ascii="Arial Narrow" w:hAnsi="Arial Narrow" w:cs="Arial"/>
                <w:sz w:val="20"/>
                <w:szCs w:val="20"/>
              </w:rPr>
            </w:r>
            <w:r w:rsidR="005668E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668E4">
              <w:rPr>
                <w:rFonts w:ascii="Arial Narrow" w:hAnsi="Arial Narrow" w:cs="Arial"/>
                <w:sz w:val="20"/>
                <w:szCs w:val="20"/>
              </w:rPr>
            </w:r>
            <w:r w:rsidR="005668E4">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5668E4">
              <w:rPr>
                <w:rFonts w:ascii="Arial Narrow" w:hAnsi="Arial Narrow" w:cs="Arial"/>
                <w:sz w:val="20"/>
                <w:szCs w:val="20"/>
              </w:rPr>
            </w:r>
            <w:r w:rsidR="005668E4">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5668E4">
              <w:rPr>
                <w:rFonts w:ascii="Arial Narrow" w:hAnsi="Arial Narrow" w:cs="Arial"/>
                <w:sz w:val="20"/>
                <w:szCs w:val="20"/>
              </w:rPr>
            </w:r>
            <w:r w:rsidR="005668E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4800DA" w:rsidRPr="00260CE3" w:rsidRDefault="004800DA" w:rsidP="004B3C31">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5668E4">
              <w:rPr>
                <w:rFonts w:ascii="Arial Narrow" w:hAnsi="Arial Narrow" w:cs="Arial"/>
                <w:sz w:val="20"/>
                <w:szCs w:val="20"/>
              </w:rPr>
            </w:r>
            <w:r w:rsidR="005668E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4800DA" w:rsidRPr="00260CE3" w:rsidTr="00656CBF">
        <w:trPr>
          <w:cantSplit/>
          <w:trHeight w:val="360"/>
        </w:trPr>
        <w:tc>
          <w:tcPr>
            <w:tcW w:w="1965" w:type="dxa"/>
            <w:tcBorders>
              <w:top w:val="single" w:sz="4" w:space="0" w:color="auto"/>
              <w:left w:val="single" w:sz="4" w:space="0" w:color="auto"/>
              <w:bottom w:val="single" w:sz="4" w:space="0" w:color="auto"/>
              <w:right w:val="single" w:sz="4" w:space="0" w:color="auto"/>
            </w:tcBorders>
          </w:tcPr>
          <w:p w:rsidR="004800DA" w:rsidRPr="00260CE3" w:rsidRDefault="004800DA" w:rsidP="004B3C31">
            <w:pPr>
              <w:jc w:val="both"/>
              <w:rPr>
                <w:rFonts w:ascii="Arial Narrow" w:hAnsi="Arial Narrow" w:cs="Arial"/>
                <w:b/>
                <w:sz w:val="20"/>
                <w:szCs w:val="20"/>
              </w:rPr>
            </w:pPr>
            <w:r w:rsidRPr="00260CE3">
              <w:rPr>
                <w:rFonts w:ascii="Arial Narrow" w:hAnsi="Arial Narrow" w:cs="Arial"/>
                <w:b/>
                <w:sz w:val="20"/>
                <w:szCs w:val="20"/>
              </w:rPr>
              <w:t>Condition:</w:t>
            </w:r>
          </w:p>
        </w:tc>
        <w:tc>
          <w:tcPr>
            <w:tcW w:w="6328" w:type="dxa"/>
            <w:gridSpan w:val="5"/>
            <w:tcBorders>
              <w:top w:val="single" w:sz="4" w:space="0" w:color="auto"/>
              <w:left w:val="single" w:sz="4" w:space="0" w:color="auto"/>
              <w:bottom w:val="single" w:sz="4" w:space="0" w:color="auto"/>
              <w:right w:val="single" w:sz="4" w:space="0" w:color="auto"/>
            </w:tcBorders>
          </w:tcPr>
          <w:p w:rsidR="004800DA" w:rsidRPr="00260CE3" w:rsidRDefault="004800DA" w:rsidP="004B3C31">
            <w:pPr>
              <w:rPr>
                <w:rFonts w:ascii="Arial Narrow" w:hAnsi="Arial Narrow" w:cs="Arial"/>
                <w:sz w:val="20"/>
                <w:szCs w:val="20"/>
              </w:rPr>
            </w:pPr>
            <w:r>
              <w:rPr>
                <w:rFonts w:ascii="Arial Narrow" w:hAnsi="Arial Narrow" w:cs="Arial"/>
                <w:sz w:val="20"/>
                <w:szCs w:val="20"/>
              </w:rPr>
              <w:t>Chronic severe disabling pain</w:t>
            </w:r>
          </w:p>
        </w:tc>
      </w:tr>
      <w:tr w:rsidR="004800DA" w:rsidRPr="00260CE3" w:rsidTr="00656CBF">
        <w:trPr>
          <w:cantSplit/>
          <w:trHeight w:val="360"/>
        </w:trPr>
        <w:tc>
          <w:tcPr>
            <w:tcW w:w="1965" w:type="dxa"/>
            <w:tcBorders>
              <w:top w:val="single" w:sz="4" w:space="0" w:color="auto"/>
              <w:left w:val="single" w:sz="4" w:space="0" w:color="auto"/>
              <w:bottom w:val="single" w:sz="4" w:space="0" w:color="auto"/>
              <w:right w:val="single" w:sz="4" w:space="0" w:color="auto"/>
            </w:tcBorders>
          </w:tcPr>
          <w:p w:rsidR="004800DA" w:rsidRPr="00260CE3" w:rsidRDefault="004800DA" w:rsidP="004B3C31">
            <w:pPr>
              <w:jc w:val="both"/>
              <w:rPr>
                <w:rFonts w:ascii="Arial Narrow" w:hAnsi="Arial Narrow" w:cs="Arial"/>
                <w:b/>
                <w:sz w:val="20"/>
                <w:szCs w:val="20"/>
              </w:rPr>
            </w:pPr>
            <w:r w:rsidRPr="00260CE3">
              <w:rPr>
                <w:rFonts w:ascii="Arial Narrow" w:hAnsi="Arial Narrow" w:cs="Arial"/>
                <w:b/>
                <w:sz w:val="20"/>
                <w:szCs w:val="20"/>
              </w:rPr>
              <w:t>PBS Indication:</w:t>
            </w:r>
          </w:p>
        </w:tc>
        <w:tc>
          <w:tcPr>
            <w:tcW w:w="6328" w:type="dxa"/>
            <w:gridSpan w:val="5"/>
            <w:tcBorders>
              <w:top w:val="single" w:sz="4" w:space="0" w:color="auto"/>
              <w:left w:val="single" w:sz="4" w:space="0" w:color="auto"/>
              <w:bottom w:val="single" w:sz="4" w:space="0" w:color="auto"/>
              <w:right w:val="single" w:sz="4" w:space="0" w:color="auto"/>
            </w:tcBorders>
          </w:tcPr>
          <w:p w:rsidR="004800DA" w:rsidRPr="00260CE3" w:rsidRDefault="004800DA" w:rsidP="004B3C31">
            <w:pPr>
              <w:rPr>
                <w:rFonts w:ascii="Arial Narrow" w:hAnsi="Arial Narrow" w:cs="Arial"/>
                <w:sz w:val="20"/>
                <w:szCs w:val="20"/>
              </w:rPr>
            </w:pPr>
            <w:r>
              <w:rPr>
                <w:rFonts w:ascii="Arial Narrow" w:hAnsi="Arial Narrow" w:cs="Arial"/>
                <w:sz w:val="20"/>
                <w:szCs w:val="20"/>
              </w:rPr>
              <w:t>Chronic severe disabling pain</w:t>
            </w:r>
          </w:p>
        </w:tc>
      </w:tr>
      <w:tr w:rsidR="004800DA" w:rsidRPr="00260CE3" w:rsidTr="00656CBF">
        <w:trPr>
          <w:cantSplit/>
          <w:trHeight w:val="360"/>
        </w:trPr>
        <w:tc>
          <w:tcPr>
            <w:tcW w:w="1965" w:type="dxa"/>
            <w:tcBorders>
              <w:top w:val="single" w:sz="4" w:space="0" w:color="auto"/>
              <w:left w:val="single" w:sz="4" w:space="0" w:color="auto"/>
              <w:bottom w:val="single" w:sz="4" w:space="0" w:color="auto"/>
              <w:right w:val="single" w:sz="4" w:space="0" w:color="auto"/>
            </w:tcBorders>
          </w:tcPr>
          <w:p w:rsidR="004800DA" w:rsidRPr="00260CE3" w:rsidRDefault="004800DA" w:rsidP="004B3C31">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4800DA" w:rsidRPr="00260CE3" w:rsidRDefault="004800DA" w:rsidP="004B3C31">
            <w:pPr>
              <w:rPr>
                <w:rFonts w:ascii="Arial Narrow" w:hAnsi="Arial Narrow" w:cs="Arial"/>
                <w:sz w:val="20"/>
                <w:szCs w:val="20"/>
              </w:rPr>
            </w:pPr>
          </w:p>
        </w:tc>
        <w:tc>
          <w:tcPr>
            <w:tcW w:w="6328" w:type="dxa"/>
            <w:gridSpan w:val="5"/>
            <w:tcBorders>
              <w:top w:val="single" w:sz="4" w:space="0" w:color="auto"/>
              <w:left w:val="single" w:sz="4" w:space="0" w:color="auto"/>
              <w:bottom w:val="single" w:sz="4" w:space="0" w:color="auto"/>
              <w:right w:val="single" w:sz="4" w:space="0" w:color="auto"/>
            </w:tcBorders>
          </w:tcPr>
          <w:p w:rsidR="004800DA" w:rsidRPr="00106BCF" w:rsidRDefault="004800DA" w:rsidP="004B3C31">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5668E4">
              <w:rPr>
                <w:rFonts w:ascii="Arial Narrow" w:hAnsi="Arial Narrow" w:cs="Arial"/>
                <w:sz w:val="20"/>
                <w:szCs w:val="20"/>
              </w:rPr>
            </w:r>
            <w:r w:rsidR="005668E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rsidR="004800DA" w:rsidRPr="00106BCF" w:rsidRDefault="004800DA" w:rsidP="004B3C31">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5668E4">
              <w:rPr>
                <w:rFonts w:ascii="Arial Narrow" w:hAnsi="Arial Narrow" w:cs="Arial"/>
                <w:sz w:val="20"/>
                <w:szCs w:val="20"/>
              </w:rPr>
            </w:r>
            <w:r w:rsidR="005668E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4800DA" w:rsidRPr="00106BCF" w:rsidRDefault="004800DA" w:rsidP="004B3C31">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5668E4">
              <w:rPr>
                <w:rFonts w:ascii="Arial Narrow" w:hAnsi="Arial Narrow" w:cs="Arial"/>
                <w:sz w:val="20"/>
                <w:szCs w:val="20"/>
              </w:rPr>
            </w:r>
            <w:r w:rsidR="005668E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4800DA" w:rsidRPr="00106BCF" w:rsidRDefault="004800DA" w:rsidP="004B3C31">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5668E4">
              <w:rPr>
                <w:rFonts w:ascii="Arial Narrow" w:hAnsi="Arial Narrow" w:cs="Arial"/>
                <w:sz w:val="20"/>
                <w:szCs w:val="20"/>
              </w:rPr>
            </w:r>
            <w:r w:rsidR="005668E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4800DA" w:rsidRPr="00106BCF" w:rsidRDefault="004800DA" w:rsidP="004B3C31">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5668E4">
              <w:rPr>
                <w:rFonts w:ascii="Arial Narrow" w:hAnsi="Arial Narrow" w:cs="Arial"/>
                <w:sz w:val="20"/>
                <w:szCs w:val="20"/>
              </w:rPr>
            </w:r>
            <w:r w:rsidR="005668E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4800DA" w:rsidRPr="00260CE3" w:rsidRDefault="004800DA" w:rsidP="004B3C31">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5668E4">
              <w:rPr>
                <w:rFonts w:ascii="Arial Narrow" w:hAnsi="Arial Narrow" w:cs="Arial"/>
                <w:sz w:val="20"/>
                <w:szCs w:val="20"/>
              </w:rPr>
            </w:r>
            <w:r w:rsidR="005668E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4800DA" w:rsidRPr="00260CE3" w:rsidTr="00656CBF">
        <w:trPr>
          <w:cantSplit/>
          <w:trHeight w:val="450"/>
        </w:trPr>
        <w:tc>
          <w:tcPr>
            <w:tcW w:w="1965" w:type="dxa"/>
            <w:tcBorders>
              <w:top w:val="single" w:sz="4" w:space="0" w:color="auto"/>
              <w:left w:val="single" w:sz="4" w:space="0" w:color="auto"/>
              <w:bottom w:val="single" w:sz="4" w:space="0" w:color="auto"/>
              <w:right w:val="single" w:sz="4" w:space="0" w:color="auto"/>
            </w:tcBorders>
          </w:tcPr>
          <w:p w:rsidR="004800DA" w:rsidRPr="00260CE3" w:rsidRDefault="004800DA" w:rsidP="004B3C31">
            <w:pPr>
              <w:jc w:val="both"/>
              <w:rPr>
                <w:rFonts w:ascii="Arial Narrow" w:hAnsi="Arial Narrow" w:cs="Arial"/>
                <w:b/>
                <w:sz w:val="20"/>
                <w:szCs w:val="20"/>
              </w:rPr>
            </w:pPr>
            <w:r w:rsidRPr="00260CE3">
              <w:rPr>
                <w:rFonts w:ascii="Arial Narrow" w:hAnsi="Arial Narrow" w:cs="Arial"/>
                <w:b/>
                <w:sz w:val="20"/>
                <w:szCs w:val="20"/>
              </w:rPr>
              <w:t>Clinical criteria:</w:t>
            </w:r>
          </w:p>
          <w:p w:rsidR="004800DA" w:rsidRPr="00260CE3" w:rsidRDefault="004800DA" w:rsidP="004B3C31">
            <w:pPr>
              <w:jc w:val="both"/>
              <w:rPr>
                <w:rFonts w:ascii="Arial Narrow" w:hAnsi="Arial Narrow" w:cs="Arial"/>
                <w:i/>
                <w:sz w:val="20"/>
                <w:szCs w:val="20"/>
              </w:rPr>
            </w:pPr>
          </w:p>
          <w:p w:rsidR="004800DA" w:rsidRPr="00260CE3" w:rsidRDefault="004800DA" w:rsidP="004B3C31">
            <w:pPr>
              <w:jc w:val="both"/>
              <w:rPr>
                <w:rFonts w:ascii="Arial Narrow" w:hAnsi="Arial Narrow" w:cs="Arial"/>
                <w:sz w:val="20"/>
                <w:szCs w:val="20"/>
              </w:rPr>
            </w:pPr>
          </w:p>
        </w:tc>
        <w:tc>
          <w:tcPr>
            <w:tcW w:w="6328" w:type="dxa"/>
            <w:gridSpan w:val="5"/>
            <w:tcBorders>
              <w:top w:val="single" w:sz="4" w:space="0" w:color="auto"/>
              <w:left w:val="single" w:sz="4" w:space="0" w:color="auto"/>
              <w:bottom w:val="single" w:sz="4" w:space="0" w:color="auto"/>
              <w:right w:val="single" w:sz="4" w:space="0" w:color="auto"/>
            </w:tcBorders>
          </w:tcPr>
          <w:p w:rsidR="004800DA" w:rsidRPr="00260CE3" w:rsidRDefault="004800DA" w:rsidP="004B3C31">
            <w:pPr>
              <w:rPr>
                <w:rFonts w:ascii="Arial Narrow" w:hAnsi="Arial Narrow" w:cs="Arial"/>
                <w:sz w:val="20"/>
                <w:szCs w:val="20"/>
              </w:rPr>
            </w:pPr>
            <w:r>
              <w:rPr>
                <w:rFonts w:ascii="Arial Narrow" w:hAnsi="Arial Narrow" w:cs="Arial"/>
                <w:sz w:val="20"/>
                <w:szCs w:val="20"/>
              </w:rPr>
              <w:t>The condition must be unresponsive to non-opioid analgesics.</w:t>
            </w:r>
          </w:p>
        </w:tc>
      </w:tr>
      <w:tr w:rsidR="004800DA" w:rsidRPr="00260CE3" w:rsidTr="00656CBF">
        <w:trPr>
          <w:cantSplit/>
          <w:trHeight w:val="360"/>
        </w:trPr>
        <w:tc>
          <w:tcPr>
            <w:tcW w:w="1965" w:type="dxa"/>
            <w:tcBorders>
              <w:top w:val="single" w:sz="4" w:space="0" w:color="auto"/>
              <w:left w:val="single" w:sz="4" w:space="0" w:color="auto"/>
              <w:bottom w:val="single" w:sz="4" w:space="0" w:color="auto"/>
              <w:right w:val="single" w:sz="4" w:space="0" w:color="auto"/>
            </w:tcBorders>
          </w:tcPr>
          <w:p w:rsidR="004800DA" w:rsidRPr="00260CE3" w:rsidRDefault="004800DA" w:rsidP="004B3C31">
            <w:pPr>
              <w:jc w:val="both"/>
              <w:rPr>
                <w:rFonts w:ascii="Arial Narrow" w:hAnsi="Arial Narrow" w:cs="Arial"/>
                <w:b/>
                <w:sz w:val="20"/>
                <w:szCs w:val="20"/>
              </w:rPr>
            </w:pPr>
            <w:r w:rsidRPr="00260CE3">
              <w:rPr>
                <w:rFonts w:ascii="Arial Narrow" w:hAnsi="Arial Narrow" w:cs="Arial"/>
                <w:b/>
                <w:sz w:val="20"/>
                <w:szCs w:val="20"/>
              </w:rPr>
              <w:lastRenderedPageBreak/>
              <w:t>Administrative Advice</w:t>
            </w:r>
          </w:p>
          <w:p w:rsidR="004800DA" w:rsidRPr="00260CE3" w:rsidRDefault="004800DA" w:rsidP="004B3C31">
            <w:pPr>
              <w:jc w:val="both"/>
              <w:rPr>
                <w:rFonts w:ascii="Arial Narrow" w:hAnsi="Arial Narrow" w:cs="Arial"/>
                <w:i/>
                <w:sz w:val="20"/>
                <w:szCs w:val="20"/>
              </w:rPr>
            </w:pPr>
          </w:p>
          <w:p w:rsidR="004800DA" w:rsidRPr="00260CE3" w:rsidRDefault="004800DA" w:rsidP="004B3C31">
            <w:pPr>
              <w:jc w:val="both"/>
              <w:rPr>
                <w:rFonts w:ascii="Arial Narrow" w:hAnsi="Arial Narrow" w:cs="Arial"/>
                <w:i/>
                <w:sz w:val="20"/>
                <w:szCs w:val="20"/>
              </w:rPr>
            </w:pPr>
          </w:p>
        </w:tc>
        <w:tc>
          <w:tcPr>
            <w:tcW w:w="6328" w:type="dxa"/>
            <w:gridSpan w:val="5"/>
            <w:tcBorders>
              <w:top w:val="single" w:sz="4" w:space="0" w:color="auto"/>
              <w:left w:val="single" w:sz="4" w:space="0" w:color="auto"/>
              <w:bottom w:val="single" w:sz="4" w:space="0" w:color="auto"/>
              <w:right w:val="single" w:sz="4" w:space="0" w:color="auto"/>
            </w:tcBorders>
          </w:tcPr>
          <w:tbl>
            <w:tblPr>
              <w:tblW w:w="5000" w:type="pct"/>
              <w:tblLook w:val="0000" w:firstRow="0" w:lastRow="0" w:firstColumn="0" w:lastColumn="0" w:noHBand="0" w:noVBand="0"/>
            </w:tblPr>
            <w:tblGrid>
              <w:gridCol w:w="6112"/>
            </w:tblGrid>
            <w:tr w:rsidR="004800DA" w:rsidRPr="001C2FA1" w:rsidTr="004B3C31">
              <w:trPr>
                <w:cantSplit/>
                <w:trHeight w:val="360"/>
              </w:trPr>
              <w:tc>
                <w:tcPr>
                  <w:tcW w:w="5000" w:type="pct"/>
                </w:tcPr>
                <w:p w:rsidR="004800DA" w:rsidRPr="00CD385C" w:rsidRDefault="004800DA" w:rsidP="004B3C31">
                  <w:pPr>
                    <w:pStyle w:val="KMC16-Tablecontent"/>
                    <w:jc w:val="left"/>
                    <w:rPr>
                      <w:i/>
                      <w:color w:val="auto"/>
                      <w:szCs w:val="20"/>
                      <w:u w:val="single"/>
                      <w:lang w:val="en-AU" w:eastAsia="en-AU"/>
                    </w:rPr>
                  </w:pPr>
                  <w:r w:rsidRPr="00CD385C">
                    <w:rPr>
                      <w:i/>
                      <w:color w:val="auto"/>
                      <w:szCs w:val="20"/>
                      <w:u w:val="single"/>
                      <w:lang w:val="en-AU" w:eastAsia="en-AU"/>
                    </w:rPr>
                    <w:t>Note</w:t>
                  </w:r>
                </w:p>
                <w:p w:rsidR="004800DA" w:rsidRPr="00030FC4" w:rsidRDefault="004800DA" w:rsidP="004B3C31">
                  <w:pPr>
                    <w:pStyle w:val="KMC16-Tablecontent"/>
                    <w:jc w:val="left"/>
                    <w:rPr>
                      <w:color w:val="auto"/>
                      <w:szCs w:val="20"/>
                      <w:lang w:val="en-AU" w:eastAsia="en-AU"/>
                    </w:rPr>
                  </w:pPr>
                  <w:r w:rsidRPr="00030FC4">
                    <w:rPr>
                      <w:color w:val="auto"/>
                      <w:szCs w:val="20"/>
                      <w:lang w:val="en-AU" w:eastAsia="en-AU"/>
                    </w:rPr>
                    <w:t>Authorities for increased maximum quantities and/or repeats will be granted only for:</w:t>
                  </w:r>
                </w:p>
                <w:p w:rsidR="004800DA" w:rsidRPr="00030FC4" w:rsidRDefault="004800DA" w:rsidP="004B3C31">
                  <w:pPr>
                    <w:pStyle w:val="KMC16-Tablecontent"/>
                    <w:jc w:val="left"/>
                    <w:rPr>
                      <w:color w:val="auto"/>
                      <w:szCs w:val="20"/>
                      <w:lang w:val="en-AU" w:eastAsia="en-AU"/>
                    </w:rPr>
                  </w:pPr>
                  <w:r w:rsidRPr="00030FC4">
                    <w:rPr>
                      <w:color w:val="auto"/>
                      <w:szCs w:val="20"/>
                      <w:lang w:val="en-AU" w:eastAsia="en-AU"/>
                    </w:rPr>
                    <w:t>(i) chronic severe disabling pain associated with proven malignant neoplasia; or</w:t>
                  </w:r>
                </w:p>
                <w:p w:rsidR="004800DA" w:rsidRDefault="004800DA" w:rsidP="004B3C31">
                  <w:pPr>
                    <w:pStyle w:val="KMC16-Tablecontent"/>
                    <w:jc w:val="left"/>
                    <w:rPr>
                      <w:color w:val="auto"/>
                      <w:szCs w:val="20"/>
                      <w:lang w:val="en-AU" w:eastAsia="en-AU"/>
                    </w:rPr>
                  </w:pPr>
                </w:p>
                <w:p w:rsidR="004800DA" w:rsidRPr="00030FC4" w:rsidRDefault="004800DA" w:rsidP="004B3C31">
                  <w:pPr>
                    <w:pStyle w:val="KMC16-Tablecontent"/>
                    <w:jc w:val="left"/>
                    <w:rPr>
                      <w:color w:val="auto"/>
                      <w:szCs w:val="20"/>
                      <w:lang w:val="en-AU" w:eastAsia="en-AU"/>
                    </w:rPr>
                  </w:pPr>
                  <w:r w:rsidRPr="00030FC4">
                    <w:rPr>
                      <w:color w:val="auto"/>
                      <w:szCs w:val="20"/>
                      <w:lang w:val="en-AU" w:eastAsia="en-AU"/>
                    </w:rPr>
                    <w:t>(ii) chronic severe disabling pain not responding to non-opioid analgesics where the total duration of opioid analgesic treatment is less than 12 months; or</w:t>
                  </w:r>
                </w:p>
                <w:p w:rsidR="004800DA" w:rsidRDefault="004800DA" w:rsidP="004B3C31">
                  <w:pPr>
                    <w:pStyle w:val="KMC16-Tablecontent"/>
                    <w:jc w:val="left"/>
                    <w:rPr>
                      <w:color w:val="auto"/>
                      <w:szCs w:val="20"/>
                      <w:lang w:val="en-AU" w:eastAsia="en-AU"/>
                    </w:rPr>
                  </w:pPr>
                </w:p>
                <w:p w:rsidR="004800DA" w:rsidRPr="00030FC4" w:rsidRDefault="004800DA" w:rsidP="004B3C31">
                  <w:pPr>
                    <w:pStyle w:val="KMC16-Tablecontent"/>
                    <w:jc w:val="left"/>
                    <w:rPr>
                      <w:color w:val="auto"/>
                      <w:szCs w:val="20"/>
                      <w:lang w:val="en-AU" w:eastAsia="en-AU"/>
                    </w:rPr>
                  </w:pPr>
                  <w:r w:rsidRPr="00030FC4">
                    <w:rPr>
                      <w:color w:val="auto"/>
                      <w:szCs w:val="20"/>
                      <w:lang w:val="en-AU" w:eastAsia="en-AU"/>
                    </w:rPr>
                    <w:t>(iii) first application for treatment beyond 12 months of chronic severe disabling pain not responding to non-opioid analgesics where the patient's pain management has been reviewed through consultation by the patient with another medical practitioner, and the clinical need for continuing opioid analgesic treatment has been confirmed. The date of the consultation must be no more than 3 months prior to the application for a PBS authority. The full name of the medical practitioner consulted and the date of consultation are to be provided at the time of application; or</w:t>
                  </w:r>
                </w:p>
                <w:p w:rsidR="004800DA" w:rsidRDefault="004800DA" w:rsidP="004B3C31">
                  <w:pPr>
                    <w:pStyle w:val="KMC16-Tablecontent"/>
                    <w:jc w:val="left"/>
                    <w:rPr>
                      <w:color w:val="auto"/>
                      <w:szCs w:val="20"/>
                      <w:lang w:val="en-AU" w:eastAsia="en-AU"/>
                    </w:rPr>
                  </w:pPr>
                </w:p>
                <w:p w:rsidR="004800DA" w:rsidRPr="00030FC4" w:rsidRDefault="004800DA" w:rsidP="004B3C31">
                  <w:pPr>
                    <w:pStyle w:val="KMC16-Tablecontent"/>
                    <w:jc w:val="left"/>
                    <w:rPr>
                      <w:color w:val="auto"/>
                      <w:szCs w:val="20"/>
                      <w:lang w:val="en-AU" w:eastAsia="en-AU"/>
                    </w:rPr>
                  </w:pPr>
                  <w:r w:rsidRPr="00030FC4">
                    <w:rPr>
                      <w:color w:val="auto"/>
                      <w:szCs w:val="20"/>
                      <w:lang w:val="en-AU" w:eastAsia="en-AU"/>
                    </w:rPr>
                    <w:t xml:space="preserve">(iv) </w:t>
                  </w:r>
                  <w:proofErr w:type="gramStart"/>
                  <w:r w:rsidRPr="00030FC4">
                    <w:rPr>
                      <w:color w:val="auto"/>
                      <w:szCs w:val="20"/>
                      <w:lang w:val="en-AU" w:eastAsia="en-AU"/>
                    </w:rPr>
                    <w:t>subsequent</w:t>
                  </w:r>
                  <w:proofErr w:type="gramEnd"/>
                  <w:r w:rsidRPr="00030FC4">
                    <w:rPr>
                      <w:color w:val="auto"/>
                      <w:szCs w:val="20"/>
                      <w:lang w:val="en-AU" w:eastAsia="en-AU"/>
                    </w:rPr>
                    <w:t xml:space="preserve"> application for treatment of chronic severe disabling pain not responding to non-opioid analgesics where a PBS authority prescription for treatment beyond 12 months has previously been issued for this patient.</w:t>
                  </w:r>
                </w:p>
              </w:tc>
            </w:tr>
            <w:tr w:rsidR="004800DA" w:rsidRPr="001B2983" w:rsidTr="004B3C31">
              <w:trPr>
                <w:cantSplit/>
                <w:trHeight w:val="360"/>
              </w:trPr>
              <w:tc>
                <w:tcPr>
                  <w:tcW w:w="5000" w:type="pct"/>
                </w:tcPr>
                <w:p w:rsidR="004800DA" w:rsidRPr="00CD385C" w:rsidRDefault="004800DA" w:rsidP="004B3C31">
                  <w:pPr>
                    <w:pStyle w:val="KMC16-Tablecontent"/>
                    <w:jc w:val="left"/>
                    <w:rPr>
                      <w:i/>
                      <w:color w:val="auto"/>
                      <w:szCs w:val="20"/>
                      <w:u w:val="single"/>
                      <w:lang w:val="en-AU" w:eastAsia="en-AU"/>
                    </w:rPr>
                  </w:pPr>
                  <w:r w:rsidRPr="00CD385C">
                    <w:rPr>
                      <w:i/>
                      <w:color w:val="auto"/>
                      <w:szCs w:val="20"/>
                      <w:u w:val="single"/>
                      <w:lang w:val="en-AU" w:eastAsia="en-AU"/>
                    </w:rPr>
                    <w:t>Note</w:t>
                  </w:r>
                </w:p>
                <w:p w:rsidR="004800DA" w:rsidRPr="00030FC4" w:rsidRDefault="004800DA" w:rsidP="004B3C31">
                  <w:pPr>
                    <w:pStyle w:val="KMC16-Tablecontent"/>
                    <w:jc w:val="left"/>
                    <w:rPr>
                      <w:color w:val="auto"/>
                      <w:szCs w:val="20"/>
                      <w:lang w:val="en-AU" w:eastAsia="en-AU"/>
                    </w:rPr>
                  </w:pPr>
                  <w:r w:rsidRPr="00030FC4">
                    <w:rPr>
                      <w:color w:val="auto"/>
                      <w:szCs w:val="20"/>
                      <w:lang w:val="en-AU" w:eastAsia="en-AU"/>
                    </w:rPr>
                    <w:t>Shared Care Model:</w:t>
                  </w:r>
                </w:p>
                <w:p w:rsidR="004800DA" w:rsidRPr="00030FC4" w:rsidRDefault="004800DA" w:rsidP="004B3C31">
                  <w:pPr>
                    <w:pStyle w:val="KMC16-Tablecontent"/>
                    <w:jc w:val="left"/>
                    <w:rPr>
                      <w:color w:val="auto"/>
                      <w:szCs w:val="20"/>
                      <w:lang w:val="en-AU" w:eastAsia="en-AU"/>
                    </w:rPr>
                  </w:pPr>
                  <w:r w:rsidRPr="00030FC4">
                    <w:rPr>
                      <w:color w:val="auto"/>
                      <w:szCs w:val="20"/>
                      <w:lang w:val="en-AU" w:eastAsia="en-AU"/>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4800DA" w:rsidRPr="00260CE3" w:rsidRDefault="004800DA" w:rsidP="004B3C31">
            <w:pPr>
              <w:rPr>
                <w:rFonts w:ascii="Arial Narrow" w:hAnsi="Arial Narrow" w:cs="Arial"/>
                <w:sz w:val="20"/>
                <w:szCs w:val="20"/>
              </w:rPr>
            </w:pPr>
          </w:p>
        </w:tc>
      </w:tr>
      <w:tr w:rsidR="004800DA" w:rsidRPr="00260CE3" w:rsidTr="00656CBF">
        <w:trPr>
          <w:cantSplit/>
          <w:trHeight w:val="360"/>
        </w:trPr>
        <w:tc>
          <w:tcPr>
            <w:tcW w:w="1965" w:type="dxa"/>
            <w:tcBorders>
              <w:top w:val="single" w:sz="4" w:space="0" w:color="auto"/>
              <w:left w:val="single" w:sz="4" w:space="0" w:color="auto"/>
              <w:bottom w:val="single" w:sz="4" w:space="0" w:color="auto"/>
              <w:right w:val="single" w:sz="4" w:space="0" w:color="auto"/>
            </w:tcBorders>
          </w:tcPr>
          <w:p w:rsidR="004800DA" w:rsidRPr="00260CE3" w:rsidRDefault="004800DA" w:rsidP="004B3C31">
            <w:pPr>
              <w:jc w:val="both"/>
              <w:rPr>
                <w:rFonts w:ascii="Arial Narrow" w:hAnsi="Arial Narrow" w:cs="Arial"/>
                <w:b/>
                <w:sz w:val="20"/>
                <w:szCs w:val="20"/>
              </w:rPr>
            </w:pPr>
            <w:r w:rsidRPr="00260CE3">
              <w:rPr>
                <w:rFonts w:ascii="Arial Narrow" w:hAnsi="Arial Narrow" w:cs="Arial"/>
                <w:b/>
                <w:sz w:val="20"/>
                <w:szCs w:val="20"/>
              </w:rPr>
              <w:t>Cautions</w:t>
            </w:r>
          </w:p>
          <w:p w:rsidR="004800DA" w:rsidRPr="00260CE3" w:rsidRDefault="004800DA" w:rsidP="004B3C31">
            <w:pPr>
              <w:jc w:val="both"/>
              <w:rPr>
                <w:rFonts w:ascii="Arial Narrow" w:hAnsi="Arial Narrow" w:cs="Arial"/>
                <w:i/>
                <w:sz w:val="20"/>
                <w:szCs w:val="20"/>
              </w:rPr>
            </w:pPr>
          </w:p>
        </w:tc>
        <w:tc>
          <w:tcPr>
            <w:tcW w:w="6328" w:type="dxa"/>
            <w:gridSpan w:val="5"/>
            <w:tcBorders>
              <w:top w:val="single" w:sz="4" w:space="0" w:color="auto"/>
              <w:left w:val="single" w:sz="4" w:space="0" w:color="auto"/>
              <w:bottom w:val="single" w:sz="4" w:space="0" w:color="auto"/>
              <w:right w:val="single" w:sz="4" w:space="0" w:color="auto"/>
            </w:tcBorders>
          </w:tcPr>
          <w:p w:rsidR="004800DA" w:rsidRPr="00260CE3" w:rsidRDefault="004800DA" w:rsidP="004B3C31">
            <w:pPr>
              <w:rPr>
                <w:rFonts w:ascii="Arial Narrow" w:hAnsi="Arial Narrow" w:cs="Arial"/>
                <w:sz w:val="20"/>
                <w:szCs w:val="20"/>
              </w:rPr>
            </w:pPr>
            <w:r>
              <w:rPr>
                <w:rFonts w:ascii="Arial Narrow" w:hAnsi="Arial Narrow" w:cs="Arial"/>
                <w:sz w:val="20"/>
                <w:szCs w:val="20"/>
              </w:rPr>
              <w:t>The risk of drug dependence is high.</w:t>
            </w:r>
          </w:p>
        </w:tc>
      </w:tr>
    </w:tbl>
    <w:p w:rsidR="00903E4E" w:rsidRPr="00EA0EDA" w:rsidRDefault="00903E4E" w:rsidP="00713890">
      <w:pPr>
        <w:widowControl w:val="0"/>
        <w:jc w:val="both"/>
        <w:rPr>
          <w:rFonts w:ascii="Arial" w:hAnsi="Arial" w:cs="Arial"/>
          <w:b/>
          <w:bCs/>
          <w:snapToGrid w:val="0"/>
          <w:sz w:val="22"/>
          <w:szCs w:val="22"/>
          <w:highlight w:val="yellow"/>
        </w:rPr>
      </w:pPr>
    </w:p>
    <w:p w:rsidR="00713890" w:rsidRDefault="00713890" w:rsidP="00713890">
      <w:pPr>
        <w:pStyle w:val="NoSpacing"/>
        <w:rPr>
          <w:lang w:val="en-GB"/>
        </w:rPr>
      </w:pPr>
    </w:p>
    <w:p w:rsidR="001F1450" w:rsidRPr="001F1450" w:rsidRDefault="001F1450" w:rsidP="001F1450">
      <w:pPr>
        <w:pStyle w:val="PBACHeading1"/>
        <w:rPr>
          <w:bCs/>
        </w:rPr>
      </w:pPr>
      <w:r w:rsidRPr="001F1450">
        <w:rPr>
          <w:bCs/>
        </w:rPr>
        <w:t>Context for Decision</w:t>
      </w:r>
    </w:p>
    <w:p w:rsidR="001F1450" w:rsidRPr="001F1450" w:rsidRDefault="001F1450" w:rsidP="001F1450">
      <w:pPr>
        <w:ind w:left="426"/>
        <w:jc w:val="both"/>
        <w:rPr>
          <w:rFonts w:ascii="Arial" w:hAnsi="Arial"/>
          <w:sz w:val="22"/>
          <w:szCs w:val="22"/>
        </w:rPr>
      </w:pPr>
    </w:p>
    <w:p w:rsidR="001F1450" w:rsidRPr="001F1450" w:rsidRDefault="001F1450" w:rsidP="001F1450">
      <w:pPr>
        <w:ind w:left="709"/>
        <w:jc w:val="both"/>
        <w:rPr>
          <w:rFonts w:ascii="Arial" w:hAnsi="Arial"/>
          <w:sz w:val="22"/>
          <w:szCs w:val="22"/>
        </w:rPr>
      </w:pPr>
      <w:r w:rsidRPr="001F1450">
        <w:rPr>
          <w:rFonts w:ascii="Arial" w:hAnsi="Arial"/>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F1450" w:rsidRPr="001F1450" w:rsidRDefault="001F1450" w:rsidP="000602F2">
      <w:pPr>
        <w:spacing w:after="120"/>
        <w:ind w:left="709"/>
        <w:jc w:val="both"/>
        <w:rPr>
          <w:rFonts w:ascii="Arial" w:hAnsi="Arial" w:cs="Arial"/>
          <w:bCs/>
          <w:sz w:val="22"/>
          <w:szCs w:val="22"/>
        </w:rPr>
      </w:pPr>
    </w:p>
    <w:p w:rsidR="001F1450" w:rsidRPr="001F1450" w:rsidRDefault="001F1450" w:rsidP="001F1450">
      <w:pPr>
        <w:pStyle w:val="PBACHeading1"/>
        <w:rPr>
          <w:bCs/>
        </w:rPr>
      </w:pPr>
      <w:r w:rsidRPr="001F1450">
        <w:rPr>
          <w:bCs/>
        </w:rPr>
        <w:t>Sponsor’s Comment</w:t>
      </w:r>
    </w:p>
    <w:p w:rsidR="001F1450" w:rsidRPr="001F1450" w:rsidRDefault="001F1450" w:rsidP="001F1450">
      <w:pPr>
        <w:ind w:left="426"/>
        <w:jc w:val="both"/>
        <w:rPr>
          <w:rFonts w:ascii="Arial" w:hAnsi="Arial"/>
          <w:sz w:val="22"/>
          <w:szCs w:val="22"/>
        </w:rPr>
      </w:pPr>
    </w:p>
    <w:p w:rsidR="00522B6F" w:rsidRPr="00470AAC" w:rsidRDefault="00522B6F" w:rsidP="00522B6F">
      <w:pPr>
        <w:ind w:left="709"/>
        <w:jc w:val="both"/>
        <w:rPr>
          <w:rFonts w:ascii="Arial" w:hAnsi="Arial"/>
          <w:sz w:val="22"/>
          <w:szCs w:val="22"/>
        </w:rPr>
      </w:pPr>
      <w:r w:rsidRPr="00470AAC">
        <w:rPr>
          <w:rFonts w:ascii="Arial" w:hAnsi="Arial"/>
          <w:sz w:val="22"/>
          <w:szCs w:val="22"/>
        </w:rPr>
        <w:t xml:space="preserve">The Sponsor welcomes the PBACs decision and will be working towards ensuring that patients have access to a broader choice of </w:t>
      </w:r>
      <w:r>
        <w:rPr>
          <w:rFonts w:ascii="Arial" w:hAnsi="Arial"/>
          <w:sz w:val="22"/>
          <w:szCs w:val="22"/>
        </w:rPr>
        <w:t>medications for c</w:t>
      </w:r>
      <w:r w:rsidRPr="00470AAC">
        <w:rPr>
          <w:rFonts w:ascii="Arial" w:hAnsi="Arial"/>
          <w:sz w:val="22"/>
          <w:szCs w:val="22"/>
        </w:rPr>
        <w:t>hronic severe disabling pain.</w:t>
      </w:r>
    </w:p>
    <w:p w:rsidR="00872551" w:rsidRDefault="00872551" w:rsidP="00713890">
      <w:pPr>
        <w:pStyle w:val="NoSpacing"/>
        <w:rPr>
          <w:lang w:val="en-GB"/>
        </w:rPr>
      </w:pPr>
    </w:p>
    <w:sectPr w:rsidR="00872551"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3B2" w:rsidRDefault="006013B2">
      <w:r>
        <w:separator/>
      </w:r>
    </w:p>
    <w:p w:rsidR="006013B2" w:rsidRDefault="006013B2"/>
  </w:endnote>
  <w:endnote w:type="continuationSeparator" w:id="0">
    <w:p w:rsidR="006013B2" w:rsidRDefault="006013B2">
      <w:r>
        <w:continuationSeparator/>
      </w:r>
    </w:p>
    <w:p w:rsidR="006013B2" w:rsidRDefault="006013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731C2" w:rsidTr="005A3173">
      <w:trPr>
        <w:trHeight w:val="151"/>
      </w:trPr>
      <w:tc>
        <w:tcPr>
          <w:tcW w:w="2250" w:type="pct"/>
          <w:tcBorders>
            <w:top w:val="nil"/>
            <w:left w:val="nil"/>
            <w:bottom w:val="single" w:sz="4" w:space="0" w:color="4F81BD"/>
            <w:right w:val="nil"/>
          </w:tcBorders>
        </w:tcPr>
        <w:p w:rsidR="00C731C2" w:rsidRPr="005A3173" w:rsidRDefault="00C731C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731C2" w:rsidRPr="005A3173" w:rsidRDefault="00C731C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731C2" w:rsidRPr="005A3173" w:rsidRDefault="00C731C2" w:rsidP="005A3173">
          <w:pPr>
            <w:pStyle w:val="Header"/>
            <w:spacing w:line="276" w:lineRule="auto"/>
            <w:rPr>
              <w:rFonts w:ascii="Calibri" w:eastAsia="MS Gothic" w:hAnsi="Calibri"/>
              <w:b/>
              <w:bCs/>
              <w:color w:val="4F81BD"/>
            </w:rPr>
          </w:pPr>
        </w:p>
      </w:tc>
    </w:tr>
    <w:tr w:rsidR="00C731C2" w:rsidTr="005A3173">
      <w:trPr>
        <w:trHeight w:val="150"/>
      </w:trPr>
      <w:tc>
        <w:tcPr>
          <w:tcW w:w="2250" w:type="pct"/>
          <w:tcBorders>
            <w:top w:val="single" w:sz="4" w:space="0" w:color="4F81BD"/>
            <w:left w:val="nil"/>
            <w:bottom w:val="nil"/>
            <w:right w:val="nil"/>
          </w:tcBorders>
        </w:tcPr>
        <w:p w:rsidR="00C731C2" w:rsidRPr="005A3173" w:rsidRDefault="00C731C2" w:rsidP="005A3173">
          <w:pPr>
            <w:pStyle w:val="Header"/>
            <w:spacing w:line="276" w:lineRule="auto"/>
            <w:rPr>
              <w:rFonts w:ascii="Calibri" w:eastAsia="MS Gothic" w:hAnsi="Calibri"/>
              <w:b/>
              <w:bCs/>
              <w:color w:val="4F81BD"/>
            </w:rPr>
          </w:pPr>
        </w:p>
      </w:tc>
      <w:tc>
        <w:tcPr>
          <w:tcW w:w="0" w:type="auto"/>
          <w:vMerge/>
          <w:vAlign w:val="center"/>
          <w:hideMark/>
        </w:tcPr>
        <w:p w:rsidR="00C731C2" w:rsidRPr="005A3173" w:rsidRDefault="00C731C2" w:rsidP="005A3173">
          <w:pPr>
            <w:rPr>
              <w:rFonts w:ascii="Calibri" w:hAnsi="Calibri"/>
              <w:color w:val="365F91"/>
              <w:sz w:val="22"/>
              <w:szCs w:val="22"/>
            </w:rPr>
          </w:pPr>
        </w:p>
      </w:tc>
      <w:tc>
        <w:tcPr>
          <w:tcW w:w="2250" w:type="pct"/>
          <w:tcBorders>
            <w:top w:val="single" w:sz="4" w:space="0" w:color="4F81BD"/>
            <w:left w:val="nil"/>
            <w:bottom w:val="nil"/>
            <w:right w:val="nil"/>
          </w:tcBorders>
        </w:tcPr>
        <w:p w:rsidR="00C731C2" w:rsidRPr="005A3173" w:rsidRDefault="00C731C2" w:rsidP="005A3173">
          <w:pPr>
            <w:pStyle w:val="Header"/>
            <w:spacing w:line="276" w:lineRule="auto"/>
            <w:rPr>
              <w:rFonts w:ascii="Calibri" w:eastAsia="MS Gothic" w:hAnsi="Calibri"/>
              <w:b/>
              <w:bCs/>
              <w:color w:val="4F81BD"/>
            </w:rPr>
          </w:pPr>
        </w:p>
      </w:tc>
    </w:tr>
  </w:tbl>
  <w:p w:rsidR="00C731C2" w:rsidRDefault="00C731C2"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31C2" w:rsidRDefault="00C731C2">
    <w:pPr>
      <w:pStyle w:val="Footer"/>
    </w:pPr>
  </w:p>
  <w:p w:rsidR="00C731C2" w:rsidRDefault="00C731C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394723"/>
      <w:docPartObj>
        <w:docPartGallery w:val="Page Numbers (Bottom of Page)"/>
        <w:docPartUnique/>
      </w:docPartObj>
    </w:sdtPr>
    <w:sdtEndPr>
      <w:rPr>
        <w:rFonts w:ascii="Arial" w:hAnsi="Arial" w:cs="Arial"/>
        <w:noProof/>
        <w:sz w:val="22"/>
      </w:rPr>
    </w:sdtEndPr>
    <w:sdtContent>
      <w:p w:rsidR="003801EE" w:rsidRDefault="003801EE" w:rsidP="003801EE">
        <w:pPr>
          <w:pStyle w:val="Footer"/>
          <w:jc w:val="center"/>
        </w:pPr>
      </w:p>
      <w:p w:rsidR="00C731C2" w:rsidRPr="003801EE" w:rsidRDefault="001E37DA" w:rsidP="003801EE">
        <w:pPr>
          <w:pStyle w:val="Footer"/>
          <w:jc w:val="center"/>
          <w:rPr>
            <w:rFonts w:ascii="Arial" w:hAnsi="Arial" w:cs="Arial"/>
            <w:sz w:val="22"/>
          </w:rPr>
        </w:pPr>
        <w:r w:rsidRPr="003801EE">
          <w:rPr>
            <w:rFonts w:ascii="Arial" w:hAnsi="Arial" w:cs="Arial"/>
            <w:sz w:val="22"/>
          </w:rPr>
          <w:fldChar w:fldCharType="begin"/>
        </w:r>
        <w:r w:rsidRPr="003801EE">
          <w:rPr>
            <w:rFonts w:ascii="Arial" w:hAnsi="Arial" w:cs="Arial"/>
            <w:sz w:val="22"/>
          </w:rPr>
          <w:instrText xml:space="preserve"> PAGE   \* MERGEFORMAT </w:instrText>
        </w:r>
        <w:r w:rsidRPr="003801EE">
          <w:rPr>
            <w:rFonts w:ascii="Arial" w:hAnsi="Arial" w:cs="Arial"/>
            <w:sz w:val="22"/>
          </w:rPr>
          <w:fldChar w:fldCharType="separate"/>
        </w:r>
        <w:r w:rsidR="005668E4">
          <w:rPr>
            <w:rFonts w:ascii="Arial" w:hAnsi="Arial" w:cs="Arial"/>
            <w:noProof/>
            <w:sz w:val="22"/>
          </w:rPr>
          <w:t>1</w:t>
        </w:r>
        <w:r w:rsidRPr="003801EE">
          <w:rPr>
            <w:rFonts w:ascii="Arial" w:hAnsi="Arial" w:cs="Arial"/>
            <w:noProof/>
            <w:sz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C731C2" w:rsidTr="005A3173">
      <w:trPr>
        <w:trHeight w:val="151"/>
      </w:trPr>
      <w:tc>
        <w:tcPr>
          <w:tcW w:w="2250" w:type="pct"/>
          <w:tcBorders>
            <w:top w:val="nil"/>
            <w:left w:val="nil"/>
            <w:bottom w:val="single" w:sz="4" w:space="0" w:color="4F81BD"/>
            <w:right w:val="nil"/>
          </w:tcBorders>
        </w:tcPr>
        <w:p w:rsidR="00C731C2" w:rsidRPr="005A3173" w:rsidRDefault="00C731C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731C2" w:rsidRPr="005A3173" w:rsidRDefault="00C731C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731C2" w:rsidRPr="005A3173" w:rsidRDefault="00C731C2" w:rsidP="005A3173">
          <w:pPr>
            <w:pStyle w:val="Header"/>
            <w:spacing w:line="276" w:lineRule="auto"/>
            <w:rPr>
              <w:rFonts w:ascii="Calibri" w:eastAsia="MS Gothic" w:hAnsi="Calibri"/>
              <w:b/>
              <w:bCs/>
              <w:color w:val="4F81BD"/>
            </w:rPr>
          </w:pPr>
        </w:p>
      </w:tc>
    </w:tr>
    <w:tr w:rsidR="00C731C2" w:rsidTr="005A3173">
      <w:trPr>
        <w:trHeight w:val="150"/>
      </w:trPr>
      <w:tc>
        <w:tcPr>
          <w:tcW w:w="2250" w:type="pct"/>
          <w:tcBorders>
            <w:top w:val="single" w:sz="4" w:space="0" w:color="4F81BD"/>
            <w:left w:val="nil"/>
            <w:bottom w:val="nil"/>
            <w:right w:val="nil"/>
          </w:tcBorders>
        </w:tcPr>
        <w:p w:rsidR="00C731C2" w:rsidRPr="005A3173" w:rsidRDefault="00C731C2" w:rsidP="005A3173">
          <w:pPr>
            <w:pStyle w:val="Header"/>
            <w:spacing w:line="276" w:lineRule="auto"/>
            <w:rPr>
              <w:rFonts w:ascii="Calibri" w:eastAsia="MS Gothic" w:hAnsi="Calibri"/>
              <w:b/>
              <w:bCs/>
              <w:color w:val="4F81BD"/>
            </w:rPr>
          </w:pPr>
        </w:p>
      </w:tc>
      <w:tc>
        <w:tcPr>
          <w:tcW w:w="0" w:type="auto"/>
          <w:vMerge/>
          <w:vAlign w:val="center"/>
          <w:hideMark/>
        </w:tcPr>
        <w:p w:rsidR="00C731C2" w:rsidRPr="005A3173" w:rsidRDefault="00C731C2" w:rsidP="005A3173">
          <w:pPr>
            <w:rPr>
              <w:rFonts w:ascii="Calibri" w:hAnsi="Calibri"/>
              <w:color w:val="365F91"/>
              <w:sz w:val="22"/>
              <w:szCs w:val="22"/>
            </w:rPr>
          </w:pPr>
        </w:p>
      </w:tc>
      <w:tc>
        <w:tcPr>
          <w:tcW w:w="2250" w:type="pct"/>
          <w:tcBorders>
            <w:top w:val="single" w:sz="4" w:space="0" w:color="4F81BD"/>
            <w:left w:val="nil"/>
            <w:bottom w:val="nil"/>
            <w:right w:val="nil"/>
          </w:tcBorders>
        </w:tcPr>
        <w:p w:rsidR="00C731C2" w:rsidRPr="005A3173" w:rsidRDefault="00C731C2"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731C2" w:rsidTr="005A3173">
      <w:trPr>
        <w:trHeight w:val="151"/>
      </w:trPr>
      <w:tc>
        <w:tcPr>
          <w:tcW w:w="2250" w:type="pct"/>
          <w:tcBorders>
            <w:top w:val="nil"/>
            <w:left w:val="nil"/>
            <w:bottom w:val="single" w:sz="4" w:space="0" w:color="4F81BD"/>
            <w:right w:val="nil"/>
          </w:tcBorders>
        </w:tcPr>
        <w:p w:rsidR="00C731C2" w:rsidRPr="005A3173" w:rsidRDefault="00C731C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731C2" w:rsidRPr="005A3173" w:rsidRDefault="00C731C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731C2" w:rsidRPr="005A3173" w:rsidRDefault="00C731C2" w:rsidP="005A3173">
          <w:pPr>
            <w:pStyle w:val="Header"/>
            <w:spacing w:line="276" w:lineRule="auto"/>
            <w:rPr>
              <w:rFonts w:ascii="Calibri" w:eastAsia="MS Gothic" w:hAnsi="Calibri"/>
              <w:b/>
              <w:bCs/>
              <w:color w:val="4F81BD"/>
            </w:rPr>
          </w:pPr>
        </w:p>
      </w:tc>
    </w:tr>
    <w:tr w:rsidR="00C731C2" w:rsidTr="005A3173">
      <w:trPr>
        <w:trHeight w:val="150"/>
      </w:trPr>
      <w:tc>
        <w:tcPr>
          <w:tcW w:w="2250" w:type="pct"/>
          <w:tcBorders>
            <w:top w:val="single" w:sz="4" w:space="0" w:color="4F81BD"/>
            <w:left w:val="nil"/>
            <w:bottom w:val="nil"/>
            <w:right w:val="nil"/>
          </w:tcBorders>
        </w:tcPr>
        <w:p w:rsidR="00C731C2" w:rsidRPr="005A3173" w:rsidRDefault="00C731C2" w:rsidP="005A3173">
          <w:pPr>
            <w:pStyle w:val="Header"/>
            <w:spacing w:line="276" w:lineRule="auto"/>
            <w:rPr>
              <w:rFonts w:ascii="Calibri" w:eastAsia="MS Gothic" w:hAnsi="Calibri"/>
              <w:b/>
              <w:bCs/>
              <w:color w:val="4F81BD"/>
            </w:rPr>
          </w:pPr>
        </w:p>
      </w:tc>
      <w:tc>
        <w:tcPr>
          <w:tcW w:w="0" w:type="auto"/>
          <w:vMerge/>
          <w:vAlign w:val="center"/>
          <w:hideMark/>
        </w:tcPr>
        <w:p w:rsidR="00C731C2" w:rsidRPr="005A3173" w:rsidRDefault="00C731C2" w:rsidP="005A3173">
          <w:pPr>
            <w:rPr>
              <w:rFonts w:ascii="Calibri" w:hAnsi="Calibri"/>
              <w:color w:val="365F91"/>
              <w:sz w:val="22"/>
              <w:szCs w:val="22"/>
            </w:rPr>
          </w:pPr>
        </w:p>
      </w:tc>
      <w:tc>
        <w:tcPr>
          <w:tcW w:w="2250" w:type="pct"/>
          <w:tcBorders>
            <w:top w:val="single" w:sz="4" w:space="0" w:color="4F81BD"/>
            <w:left w:val="nil"/>
            <w:bottom w:val="nil"/>
            <w:right w:val="nil"/>
          </w:tcBorders>
        </w:tcPr>
        <w:p w:rsidR="00C731C2" w:rsidRPr="005A3173" w:rsidRDefault="00C731C2" w:rsidP="005A3173">
          <w:pPr>
            <w:pStyle w:val="Header"/>
            <w:spacing w:line="276" w:lineRule="auto"/>
            <w:rPr>
              <w:rFonts w:ascii="Calibri" w:eastAsia="MS Gothic" w:hAnsi="Calibri"/>
              <w:b/>
              <w:bCs/>
              <w:color w:val="4F81BD"/>
            </w:rPr>
          </w:pPr>
        </w:p>
      </w:tc>
    </w:tr>
  </w:tbl>
  <w:p w:rsidR="00C731C2" w:rsidRPr="007C0F57" w:rsidRDefault="00C731C2"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C731C2" w:rsidRPr="007C0F57" w:rsidRDefault="00C731C2" w:rsidP="007C0F57">
    <w:pPr>
      <w:pStyle w:val="Footer"/>
      <w:jc w:val="center"/>
      <w:rPr>
        <w:b/>
        <w:i/>
        <w:sz w:val="20"/>
        <w:szCs w:val="20"/>
      </w:rPr>
    </w:pPr>
    <w:r w:rsidRPr="007C0F57">
      <w:rPr>
        <w:b/>
        <w:i/>
        <w:sz w:val="20"/>
        <w:szCs w:val="20"/>
      </w:rPr>
      <w:t>Commercial-in-Confidence</w:t>
    </w:r>
  </w:p>
  <w:p w:rsidR="00C731C2" w:rsidRDefault="00C731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3B2" w:rsidRDefault="006013B2">
      <w:r>
        <w:separator/>
      </w:r>
    </w:p>
    <w:p w:rsidR="006013B2" w:rsidRDefault="006013B2"/>
  </w:footnote>
  <w:footnote w:type="continuationSeparator" w:id="0">
    <w:p w:rsidR="006013B2" w:rsidRDefault="006013B2">
      <w:r>
        <w:continuationSeparator/>
      </w:r>
    </w:p>
    <w:p w:rsidR="006013B2" w:rsidRDefault="006013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731C2" w:rsidRPr="008E0D90" w:rsidTr="00A06225">
      <w:trPr>
        <w:trHeight w:val="151"/>
      </w:trPr>
      <w:tc>
        <w:tcPr>
          <w:tcW w:w="2389" w:type="pct"/>
          <w:tcBorders>
            <w:top w:val="nil"/>
            <w:left w:val="nil"/>
            <w:bottom w:val="single" w:sz="4" w:space="0" w:color="4F81BD"/>
            <w:right w:val="nil"/>
          </w:tcBorders>
        </w:tcPr>
        <w:p w:rsidR="00C731C2" w:rsidRPr="00A06225" w:rsidRDefault="00C731C2">
          <w:pPr>
            <w:pStyle w:val="Header"/>
            <w:spacing w:line="276" w:lineRule="auto"/>
            <w:rPr>
              <w:rFonts w:ascii="Cambria" w:eastAsia="MS Gothic" w:hAnsi="Cambria"/>
              <w:b/>
              <w:bCs/>
              <w:color w:val="4F81BD"/>
            </w:rPr>
          </w:pPr>
        </w:p>
      </w:tc>
      <w:tc>
        <w:tcPr>
          <w:tcW w:w="333" w:type="pct"/>
          <w:vMerge w:val="restart"/>
          <w:noWrap/>
          <w:vAlign w:val="center"/>
          <w:hideMark/>
        </w:tcPr>
        <w:p w:rsidR="00C731C2" w:rsidRPr="00A06225" w:rsidRDefault="00C731C2"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C731C2" w:rsidRPr="00A06225" w:rsidRDefault="00C731C2">
          <w:pPr>
            <w:pStyle w:val="Header"/>
            <w:spacing w:line="276" w:lineRule="auto"/>
            <w:rPr>
              <w:rFonts w:ascii="Cambria" w:eastAsia="MS Gothic" w:hAnsi="Cambria"/>
              <w:b/>
              <w:bCs/>
              <w:color w:val="4F81BD"/>
            </w:rPr>
          </w:pPr>
        </w:p>
      </w:tc>
    </w:tr>
    <w:tr w:rsidR="00C731C2" w:rsidRPr="008E0D90" w:rsidTr="00A06225">
      <w:trPr>
        <w:trHeight w:val="150"/>
      </w:trPr>
      <w:tc>
        <w:tcPr>
          <w:tcW w:w="2389" w:type="pct"/>
          <w:tcBorders>
            <w:top w:val="single" w:sz="4" w:space="0" w:color="4F81BD"/>
            <w:left w:val="nil"/>
            <w:bottom w:val="nil"/>
            <w:right w:val="nil"/>
          </w:tcBorders>
        </w:tcPr>
        <w:p w:rsidR="00C731C2" w:rsidRPr="00A06225" w:rsidRDefault="00C731C2">
          <w:pPr>
            <w:pStyle w:val="Header"/>
            <w:spacing w:line="276" w:lineRule="auto"/>
            <w:rPr>
              <w:rFonts w:ascii="Cambria" w:eastAsia="MS Gothic" w:hAnsi="Cambria"/>
              <w:b/>
              <w:bCs/>
              <w:color w:val="4F81BD"/>
            </w:rPr>
          </w:pPr>
        </w:p>
      </w:tc>
      <w:tc>
        <w:tcPr>
          <w:tcW w:w="0" w:type="auto"/>
          <w:vMerge/>
          <w:vAlign w:val="center"/>
          <w:hideMark/>
        </w:tcPr>
        <w:p w:rsidR="00C731C2" w:rsidRPr="00A06225" w:rsidRDefault="00C731C2">
          <w:pPr>
            <w:rPr>
              <w:rFonts w:ascii="Cambria" w:hAnsi="Cambria"/>
              <w:color w:val="4F81BD"/>
              <w:sz w:val="22"/>
              <w:szCs w:val="22"/>
            </w:rPr>
          </w:pPr>
        </w:p>
      </w:tc>
      <w:tc>
        <w:tcPr>
          <w:tcW w:w="2278" w:type="pct"/>
          <w:tcBorders>
            <w:top w:val="single" w:sz="4" w:space="0" w:color="4F81BD"/>
            <w:left w:val="nil"/>
            <w:bottom w:val="nil"/>
            <w:right w:val="nil"/>
          </w:tcBorders>
        </w:tcPr>
        <w:p w:rsidR="00C731C2" w:rsidRPr="00A06225" w:rsidRDefault="00C731C2">
          <w:pPr>
            <w:pStyle w:val="Header"/>
            <w:spacing w:line="276" w:lineRule="auto"/>
            <w:rPr>
              <w:rFonts w:ascii="Cambria" w:eastAsia="MS Gothic" w:hAnsi="Cambria"/>
              <w:b/>
              <w:bCs/>
              <w:color w:val="4F81BD"/>
            </w:rPr>
          </w:pPr>
        </w:p>
      </w:tc>
    </w:tr>
  </w:tbl>
  <w:p w:rsidR="00C731C2" w:rsidRDefault="00C731C2">
    <w:pPr>
      <w:pStyle w:val="Header"/>
    </w:pPr>
  </w:p>
  <w:p w:rsidR="00C731C2" w:rsidRDefault="00C731C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1C2" w:rsidRPr="00FF7707" w:rsidRDefault="00466FF1" w:rsidP="001E37DA">
    <w:pPr>
      <w:pStyle w:val="Header"/>
      <w:jc w:val="center"/>
      <w:rPr>
        <w:rFonts w:ascii="Arial" w:hAnsi="Arial" w:cs="Arial"/>
        <w:i/>
        <w:sz w:val="20"/>
        <w:szCs w:val="20"/>
      </w:rPr>
    </w:pPr>
    <w:r>
      <w:rPr>
        <w:rFonts w:ascii="Arial" w:hAnsi="Arial" w:cs="Arial"/>
        <w:i/>
        <w:sz w:val="20"/>
        <w:szCs w:val="20"/>
      </w:rPr>
      <w:t>Public Summary Document</w:t>
    </w:r>
    <w:r w:rsidR="001E37DA" w:rsidRPr="00FF7707">
      <w:rPr>
        <w:rFonts w:ascii="Arial" w:hAnsi="Arial" w:cs="Arial"/>
        <w:i/>
        <w:sz w:val="20"/>
        <w:szCs w:val="20"/>
      </w:rPr>
      <w:t xml:space="preserve"> – November 2016 PBAC Meeting</w:t>
    </w:r>
  </w:p>
  <w:p w:rsidR="00C731C2" w:rsidRDefault="00C731C2"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B2" w:rsidRDefault="006013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3D6981"/>
    <w:multiLevelType w:val="hybridMultilevel"/>
    <w:tmpl w:val="6BA881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2D02673F"/>
    <w:multiLevelType w:val="hybridMultilevel"/>
    <w:tmpl w:val="6D303BC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84D033C"/>
    <w:multiLevelType w:val="multilevel"/>
    <w:tmpl w:val="17E8A190"/>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7"/>
  </w:num>
  <w:num w:numId="4">
    <w:abstractNumId w:val="16"/>
  </w:num>
  <w:num w:numId="5">
    <w:abstractNumId w:val="18"/>
  </w:num>
  <w:num w:numId="6">
    <w:abstractNumId w:val="8"/>
  </w:num>
  <w:num w:numId="7">
    <w:abstractNumId w:val="15"/>
  </w:num>
  <w:num w:numId="8">
    <w:abstractNumId w:val="4"/>
  </w:num>
  <w:num w:numId="9">
    <w:abstractNumId w:val="14"/>
  </w:num>
  <w:num w:numId="10">
    <w:abstractNumId w:val="13"/>
  </w:num>
  <w:num w:numId="11">
    <w:abstractNumId w:val="11"/>
  </w:num>
  <w:num w:numId="12">
    <w:abstractNumId w:val="1"/>
  </w:num>
  <w:num w:numId="13">
    <w:abstractNumId w:val="0"/>
  </w:num>
  <w:num w:numId="14">
    <w:abstractNumId w:val="18"/>
  </w:num>
  <w:num w:numId="15">
    <w:abstractNumId w:val="5"/>
  </w:num>
  <w:num w:numId="16">
    <w:abstractNumId w:val="12"/>
  </w:num>
  <w:num w:numId="17">
    <w:abstractNumId w:val="17"/>
  </w:num>
  <w:num w:numId="18">
    <w:abstractNumId w:val="6"/>
  </w:num>
  <w:num w:numId="19">
    <w:abstractNumId w:val="2"/>
  </w:num>
  <w:num w:numId="20">
    <w:abstractNumId w:val="10"/>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2E79"/>
    <w:rsid w:val="00013712"/>
    <w:rsid w:val="00020A85"/>
    <w:rsid w:val="0002464A"/>
    <w:rsid w:val="00025B71"/>
    <w:rsid w:val="000266A0"/>
    <w:rsid w:val="00030FC4"/>
    <w:rsid w:val="0003106B"/>
    <w:rsid w:val="00036A22"/>
    <w:rsid w:val="000421A1"/>
    <w:rsid w:val="0004240E"/>
    <w:rsid w:val="000454DA"/>
    <w:rsid w:val="00045E26"/>
    <w:rsid w:val="000514B5"/>
    <w:rsid w:val="00054436"/>
    <w:rsid w:val="000602F2"/>
    <w:rsid w:val="00060E64"/>
    <w:rsid w:val="00066755"/>
    <w:rsid w:val="00077143"/>
    <w:rsid w:val="000969AD"/>
    <w:rsid w:val="000B0D52"/>
    <w:rsid w:val="000B558D"/>
    <w:rsid w:val="000C4128"/>
    <w:rsid w:val="000C6996"/>
    <w:rsid w:val="000D23BA"/>
    <w:rsid w:val="000D4825"/>
    <w:rsid w:val="000E2E3C"/>
    <w:rsid w:val="000E681E"/>
    <w:rsid w:val="000E75B5"/>
    <w:rsid w:val="000F4E6A"/>
    <w:rsid w:val="001107BF"/>
    <w:rsid w:val="001165F6"/>
    <w:rsid w:val="00117346"/>
    <w:rsid w:val="0012412C"/>
    <w:rsid w:val="0012417C"/>
    <w:rsid w:val="00142395"/>
    <w:rsid w:val="00142714"/>
    <w:rsid w:val="0014391B"/>
    <w:rsid w:val="001452ED"/>
    <w:rsid w:val="00154DEB"/>
    <w:rsid w:val="0016124E"/>
    <w:rsid w:val="00165E84"/>
    <w:rsid w:val="00170745"/>
    <w:rsid w:val="001715EE"/>
    <w:rsid w:val="00171C78"/>
    <w:rsid w:val="00176B28"/>
    <w:rsid w:val="0018083B"/>
    <w:rsid w:val="001830CE"/>
    <w:rsid w:val="0018643B"/>
    <w:rsid w:val="00187593"/>
    <w:rsid w:val="00196307"/>
    <w:rsid w:val="001B017F"/>
    <w:rsid w:val="001B1766"/>
    <w:rsid w:val="001B5129"/>
    <w:rsid w:val="001C1195"/>
    <w:rsid w:val="001E37DA"/>
    <w:rsid w:val="001F1450"/>
    <w:rsid w:val="001F7B60"/>
    <w:rsid w:val="002030F9"/>
    <w:rsid w:val="0021106D"/>
    <w:rsid w:val="002113CE"/>
    <w:rsid w:val="00213CFB"/>
    <w:rsid w:val="00231914"/>
    <w:rsid w:val="00234CC5"/>
    <w:rsid w:val="00236B2B"/>
    <w:rsid w:val="00247B4B"/>
    <w:rsid w:val="002509FB"/>
    <w:rsid w:val="00250E35"/>
    <w:rsid w:val="002551C2"/>
    <w:rsid w:val="00271BA1"/>
    <w:rsid w:val="00277505"/>
    <w:rsid w:val="00280D1A"/>
    <w:rsid w:val="0028416E"/>
    <w:rsid w:val="0028626F"/>
    <w:rsid w:val="0029458F"/>
    <w:rsid w:val="002A104C"/>
    <w:rsid w:val="002A4960"/>
    <w:rsid w:val="002A6E81"/>
    <w:rsid w:val="002A7D7E"/>
    <w:rsid w:val="002B1AE6"/>
    <w:rsid w:val="002B1EAD"/>
    <w:rsid w:val="002B30F8"/>
    <w:rsid w:val="002C212F"/>
    <w:rsid w:val="002D76CF"/>
    <w:rsid w:val="002E3153"/>
    <w:rsid w:val="002E4B92"/>
    <w:rsid w:val="002E5677"/>
    <w:rsid w:val="002E647E"/>
    <w:rsid w:val="002E72CA"/>
    <w:rsid w:val="00300AD6"/>
    <w:rsid w:val="00305746"/>
    <w:rsid w:val="00321EA8"/>
    <w:rsid w:val="00324030"/>
    <w:rsid w:val="00325823"/>
    <w:rsid w:val="00325A07"/>
    <w:rsid w:val="00326E79"/>
    <w:rsid w:val="003367EF"/>
    <w:rsid w:val="00341AE4"/>
    <w:rsid w:val="003431AC"/>
    <w:rsid w:val="00363FB5"/>
    <w:rsid w:val="00371E3E"/>
    <w:rsid w:val="00372C9A"/>
    <w:rsid w:val="003801EE"/>
    <w:rsid w:val="003820EB"/>
    <w:rsid w:val="00385F7F"/>
    <w:rsid w:val="003872CF"/>
    <w:rsid w:val="0039681A"/>
    <w:rsid w:val="0039782C"/>
    <w:rsid w:val="003A5632"/>
    <w:rsid w:val="003A5650"/>
    <w:rsid w:val="003A5B4A"/>
    <w:rsid w:val="003B18DA"/>
    <w:rsid w:val="003B23C5"/>
    <w:rsid w:val="003B2A75"/>
    <w:rsid w:val="003B3002"/>
    <w:rsid w:val="003C429D"/>
    <w:rsid w:val="003D2DAC"/>
    <w:rsid w:val="003D4AC4"/>
    <w:rsid w:val="003D63B7"/>
    <w:rsid w:val="003E468B"/>
    <w:rsid w:val="003E68EF"/>
    <w:rsid w:val="003F0BB0"/>
    <w:rsid w:val="003F5C8C"/>
    <w:rsid w:val="00414B20"/>
    <w:rsid w:val="00414C41"/>
    <w:rsid w:val="00426B1A"/>
    <w:rsid w:val="00436D3D"/>
    <w:rsid w:val="0043772C"/>
    <w:rsid w:val="00443051"/>
    <w:rsid w:val="00444114"/>
    <w:rsid w:val="004443DF"/>
    <w:rsid w:val="004465BD"/>
    <w:rsid w:val="00466ADA"/>
    <w:rsid w:val="00466FF1"/>
    <w:rsid w:val="00476245"/>
    <w:rsid w:val="004800DA"/>
    <w:rsid w:val="00482E03"/>
    <w:rsid w:val="0048458A"/>
    <w:rsid w:val="00485940"/>
    <w:rsid w:val="004A2484"/>
    <w:rsid w:val="004A5A85"/>
    <w:rsid w:val="004A6B96"/>
    <w:rsid w:val="004A6FE4"/>
    <w:rsid w:val="004B5640"/>
    <w:rsid w:val="004C1BD7"/>
    <w:rsid w:val="004C691D"/>
    <w:rsid w:val="004C795C"/>
    <w:rsid w:val="004D2671"/>
    <w:rsid w:val="004E2BBA"/>
    <w:rsid w:val="004E692D"/>
    <w:rsid w:val="00500570"/>
    <w:rsid w:val="00501554"/>
    <w:rsid w:val="00514CD7"/>
    <w:rsid w:val="005204DE"/>
    <w:rsid w:val="005212C4"/>
    <w:rsid w:val="00522B6F"/>
    <w:rsid w:val="00527460"/>
    <w:rsid w:val="005319B2"/>
    <w:rsid w:val="00531FEB"/>
    <w:rsid w:val="00532C74"/>
    <w:rsid w:val="00534E2E"/>
    <w:rsid w:val="00535F20"/>
    <w:rsid w:val="00544552"/>
    <w:rsid w:val="00547D0D"/>
    <w:rsid w:val="00553479"/>
    <w:rsid w:val="00564798"/>
    <w:rsid w:val="005668E4"/>
    <w:rsid w:val="005702D7"/>
    <w:rsid w:val="00581932"/>
    <w:rsid w:val="00581D98"/>
    <w:rsid w:val="005831D7"/>
    <w:rsid w:val="005848CA"/>
    <w:rsid w:val="0058636B"/>
    <w:rsid w:val="005963BB"/>
    <w:rsid w:val="005A3173"/>
    <w:rsid w:val="005A3223"/>
    <w:rsid w:val="005A3DA3"/>
    <w:rsid w:val="005A4A27"/>
    <w:rsid w:val="005A52C4"/>
    <w:rsid w:val="005A6837"/>
    <w:rsid w:val="005B5C00"/>
    <w:rsid w:val="005C0167"/>
    <w:rsid w:val="005C2EF4"/>
    <w:rsid w:val="005D03AB"/>
    <w:rsid w:val="005D5017"/>
    <w:rsid w:val="005E1F6B"/>
    <w:rsid w:val="005E6D8E"/>
    <w:rsid w:val="006013B2"/>
    <w:rsid w:val="00601A91"/>
    <w:rsid w:val="00602BA3"/>
    <w:rsid w:val="00602C7B"/>
    <w:rsid w:val="00614159"/>
    <w:rsid w:val="006154ED"/>
    <w:rsid w:val="00617C00"/>
    <w:rsid w:val="00625A01"/>
    <w:rsid w:val="00625A5E"/>
    <w:rsid w:val="00626008"/>
    <w:rsid w:val="00626340"/>
    <w:rsid w:val="006263BF"/>
    <w:rsid w:val="0062748A"/>
    <w:rsid w:val="00630A2C"/>
    <w:rsid w:val="00640005"/>
    <w:rsid w:val="00651169"/>
    <w:rsid w:val="00653D69"/>
    <w:rsid w:val="00656CBF"/>
    <w:rsid w:val="006601B0"/>
    <w:rsid w:val="00667F17"/>
    <w:rsid w:val="00670A76"/>
    <w:rsid w:val="006711AA"/>
    <w:rsid w:val="00672B57"/>
    <w:rsid w:val="00675622"/>
    <w:rsid w:val="006829EF"/>
    <w:rsid w:val="0068698C"/>
    <w:rsid w:val="006877AD"/>
    <w:rsid w:val="006906DB"/>
    <w:rsid w:val="006A12A5"/>
    <w:rsid w:val="006B0D94"/>
    <w:rsid w:val="006B485D"/>
    <w:rsid w:val="006C708E"/>
    <w:rsid w:val="006D109B"/>
    <w:rsid w:val="006D14AC"/>
    <w:rsid w:val="006D2050"/>
    <w:rsid w:val="006D6EC7"/>
    <w:rsid w:val="006E4454"/>
    <w:rsid w:val="006F5125"/>
    <w:rsid w:val="00711909"/>
    <w:rsid w:val="00713890"/>
    <w:rsid w:val="007174BB"/>
    <w:rsid w:val="00732F09"/>
    <w:rsid w:val="00736AD4"/>
    <w:rsid w:val="007375BB"/>
    <w:rsid w:val="00744418"/>
    <w:rsid w:val="007455B0"/>
    <w:rsid w:val="0075361B"/>
    <w:rsid w:val="00754DB7"/>
    <w:rsid w:val="007556B7"/>
    <w:rsid w:val="00757AC7"/>
    <w:rsid w:val="0076420C"/>
    <w:rsid w:val="00771616"/>
    <w:rsid w:val="007753C2"/>
    <w:rsid w:val="0077640F"/>
    <w:rsid w:val="007838B8"/>
    <w:rsid w:val="0078564F"/>
    <w:rsid w:val="007904DD"/>
    <w:rsid w:val="00793213"/>
    <w:rsid w:val="007B4DFA"/>
    <w:rsid w:val="007C0F57"/>
    <w:rsid w:val="007C3839"/>
    <w:rsid w:val="007C40B6"/>
    <w:rsid w:val="007C729F"/>
    <w:rsid w:val="007E1D28"/>
    <w:rsid w:val="007E49F1"/>
    <w:rsid w:val="007E5BDA"/>
    <w:rsid w:val="007F2641"/>
    <w:rsid w:val="007F7C36"/>
    <w:rsid w:val="00804260"/>
    <w:rsid w:val="00806796"/>
    <w:rsid w:val="00810136"/>
    <w:rsid w:val="008121B4"/>
    <w:rsid w:val="008151D6"/>
    <w:rsid w:val="00817CE5"/>
    <w:rsid w:val="00825488"/>
    <w:rsid w:val="00826F6D"/>
    <w:rsid w:val="00836A5E"/>
    <w:rsid w:val="00844F4A"/>
    <w:rsid w:val="00845B0E"/>
    <w:rsid w:val="00856DDD"/>
    <w:rsid w:val="00857D89"/>
    <w:rsid w:val="00863E68"/>
    <w:rsid w:val="008701CF"/>
    <w:rsid w:val="00870390"/>
    <w:rsid w:val="00872551"/>
    <w:rsid w:val="008758FA"/>
    <w:rsid w:val="00882085"/>
    <w:rsid w:val="00883188"/>
    <w:rsid w:val="0088579F"/>
    <w:rsid w:val="008917FE"/>
    <w:rsid w:val="0089775A"/>
    <w:rsid w:val="00897977"/>
    <w:rsid w:val="00897D58"/>
    <w:rsid w:val="008A1956"/>
    <w:rsid w:val="008A2117"/>
    <w:rsid w:val="008A4937"/>
    <w:rsid w:val="008A50F1"/>
    <w:rsid w:val="008B3855"/>
    <w:rsid w:val="008B6705"/>
    <w:rsid w:val="008C7482"/>
    <w:rsid w:val="008D1B5C"/>
    <w:rsid w:val="008D1F3D"/>
    <w:rsid w:val="008D3C82"/>
    <w:rsid w:val="008D447E"/>
    <w:rsid w:val="008D7A41"/>
    <w:rsid w:val="008E3680"/>
    <w:rsid w:val="008E5870"/>
    <w:rsid w:val="008F1434"/>
    <w:rsid w:val="008F16D1"/>
    <w:rsid w:val="008F7355"/>
    <w:rsid w:val="00902BBE"/>
    <w:rsid w:val="00903E4E"/>
    <w:rsid w:val="009056C2"/>
    <w:rsid w:val="009067B7"/>
    <w:rsid w:val="00910FCF"/>
    <w:rsid w:val="00930937"/>
    <w:rsid w:val="0093284E"/>
    <w:rsid w:val="00933E6C"/>
    <w:rsid w:val="009358C1"/>
    <w:rsid w:val="00942160"/>
    <w:rsid w:val="00943728"/>
    <w:rsid w:val="00946D59"/>
    <w:rsid w:val="0095146F"/>
    <w:rsid w:val="009602C5"/>
    <w:rsid w:val="00960800"/>
    <w:rsid w:val="00962223"/>
    <w:rsid w:val="009638BA"/>
    <w:rsid w:val="009665BE"/>
    <w:rsid w:val="0097046A"/>
    <w:rsid w:val="009743BD"/>
    <w:rsid w:val="00974C21"/>
    <w:rsid w:val="00976F9F"/>
    <w:rsid w:val="009916AB"/>
    <w:rsid w:val="00994A12"/>
    <w:rsid w:val="009B0F67"/>
    <w:rsid w:val="009B3887"/>
    <w:rsid w:val="009C3B3F"/>
    <w:rsid w:val="009C4682"/>
    <w:rsid w:val="009C703C"/>
    <w:rsid w:val="009D3CAA"/>
    <w:rsid w:val="009D5D16"/>
    <w:rsid w:val="009F4E46"/>
    <w:rsid w:val="009F5B65"/>
    <w:rsid w:val="009F5F2E"/>
    <w:rsid w:val="00A0119E"/>
    <w:rsid w:val="00A06225"/>
    <w:rsid w:val="00A06A23"/>
    <w:rsid w:val="00A128E6"/>
    <w:rsid w:val="00A321E9"/>
    <w:rsid w:val="00A37C8D"/>
    <w:rsid w:val="00A5273B"/>
    <w:rsid w:val="00A53A9D"/>
    <w:rsid w:val="00A54CCD"/>
    <w:rsid w:val="00A55FEE"/>
    <w:rsid w:val="00A62C1A"/>
    <w:rsid w:val="00A6426D"/>
    <w:rsid w:val="00A70622"/>
    <w:rsid w:val="00A70858"/>
    <w:rsid w:val="00A70977"/>
    <w:rsid w:val="00A77613"/>
    <w:rsid w:val="00A8090B"/>
    <w:rsid w:val="00A8390C"/>
    <w:rsid w:val="00A928BD"/>
    <w:rsid w:val="00AA4D1C"/>
    <w:rsid w:val="00AA4E23"/>
    <w:rsid w:val="00AB6F97"/>
    <w:rsid w:val="00AC193C"/>
    <w:rsid w:val="00AC5206"/>
    <w:rsid w:val="00AE11A5"/>
    <w:rsid w:val="00AE13E2"/>
    <w:rsid w:val="00AF68CC"/>
    <w:rsid w:val="00B008B3"/>
    <w:rsid w:val="00B02BC5"/>
    <w:rsid w:val="00B1059E"/>
    <w:rsid w:val="00B10BFD"/>
    <w:rsid w:val="00B205AA"/>
    <w:rsid w:val="00B22E84"/>
    <w:rsid w:val="00B25F75"/>
    <w:rsid w:val="00B36D06"/>
    <w:rsid w:val="00B43E90"/>
    <w:rsid w:val="00B467DC"/>
    <w:rsid w:val="00B54FD9"/>
    <w:rsid w:val="00B559F6"/>
    <w:rsid w:val="00B56118"/>
    <w:rsid w:val="00B619EF"/>
    <w:rsid w:val="00B63101"/>
    <w:rsid w:val="00B65C72"/>
    <w:rsid w:val="00B6773F"/>
    <w:rsid w:val="00B72137"/>
    <w:rsid w:val="00B76B42"/>
    <w:rsid w:val="00B801BA"/>
    <w:rsid w:val="00B87716"/>
    <w:rsid w:val="00B95177"/>
    <w:rsid w:val="00B976F3"/>
    <w:rsid w:val="00BB004C"/>
    <w:rsid w:val="00BB192A"/>
    <w:rsid w:val="00BB29DA"/>
    <w:rsid w:val="00BB69F5"/>
    <w:rsid w:val="00BB7EC3"/>
    <w:rsid w:val="00BC26EC"/>
    <w:rsid w:val="00BC4B9A"/>
    <w:rsid w:val="00BD67B2"/>
    <w:rsid w:val="00BD784C"/>
    <w:rsid w:val="00BE3D15"/>
    <w:rsid w:val="00BE47AA"/>
    <w:rsid w:val="00BF4CB6"/>
    <w:rsid w:val="00C00DA7"/>
    <w:rsid w:val="00C12768"/>
    <w:rsid w:val="00C15CF0"/>
    <w:rsid w:val="00C27B58"/>
    <w:rsid w:val="00C35996"/>
    <w:rsid w:val="00C42242"/>
    <w:rsid w:val="00C5342C"/>
    <w:rsid w:val="00C53805"/>
    <w:rsid w:val="00C53B94"/>
    <w:rsid w:val="00C556C2"/>
    <w:rsid w:val="00C603D4"/>
    <w:rsid w:val="00C6256A"/>
    <w:rsid w:val="00C63686"/>
    <w:rsid w:val="00C731C2"/>
    <w:rsid w:val="00C91449"/>
    <w:rsid w:val="00C92D10"/>
    <w:rsid w:val="00C93D37"/>
    <w:rsid w:val="00C94B1E"/>
    <w:rsid w:val="00CA52BE"/>
    <w:rsid w:val="00CA627A"/>
    <w:rsid w:val="00CB0431"/>
    <w:rsid w:val="00CB0958"/>
    <w:rsid w:val="00CB15E2"/>
    <w:rsid w:val="00CB65B6"/>
    <w:rsid w:val="00CC062E"/>
    <w:rsid w:val="00CC1F7B"/>
    <w:rsid w:val="00CC6D8D"/>
    <w:rsid w:val="00CD385C"/>
    <w:rsid w:val="00CD4C4B"/>
    <w:rsid w:val="00CE10C4"/>
    <w:rsid w:val="00CE27B5"/>
    <w:rsid w:val="00CF469D"/>
    <w:rsid w:val="00CF71A6"/>
    <w:rsid w:val="00D0321E"/>
    <w:rsid w:val="00D1016A"/>
    <w:rsid w:val="00D126F6"/>
    <w:rsid w:val="00D1455A"/>
    <w:rsid w:val="00D24BC1"/>
    <w:rsid w:val="00D3138B"/>
    <w:rsid w:val="00D3280C"/>
    <w:rsid w:val="00D3406A"/>
    <w:rsid w:val="00D469B2"/>
    <w:rsid w:val="00D66D22"/>
    <w:rsid w:val="00D741EB"/>
    <w:rsid w:val="00D77B04"/>
    <w:rsid w:val="00D80791"/>
    <w:rsid w:val="00D84934"/>
    <w:rsid w:val="00D84941"/>
    <w:rsid w:val="00D91271"/>
    <w:rsid w:val="00D91BC2"/>
    <w:rsid w:val="00DA2CB5"/>
    <w:rsid w:val="00DA4BAC"/>
    <w:rsid w:val="00DB2E37"/>
    <w:rsid w:val="00DC3AE9"/>
    <w:rsid w:val="00DC707F"/>
    <w:rsid w:val="00DD0219"/>
    <w:rsid w:val="00DE1BD6"/>
    <w:rsid w:val="00DE274F"/>
    <w:rsid w:val="00DE6D27"/>
    <w:rsid w:val="00DF217D"/>
    <w:rsid w:val="00DF26A7"/>
    <w:rsid w:val="00E01B22"/>
    <w:rsid w:val="00E15627"/>
    <w:rsid w:val="00E164B3"/>
    <w:rsid w:val="00E16910"/>
    <w:rsid w:val="00E36B56"/>
    <w:rsid w:val="00E5471A"/>
    <w:rsid w:val="00E5544D"/>
    <w:rsid w:val="00E6376A"/>
    <w:rsid w:val="00E63DDD"/>
    <w:rsid w:val="00E65E54"/>
    <w:rsid w:val="00E73968"/>
    <w:rsid w:val="00E80155"/>
    <w:rsid w:val="00E82F95"/>
    <w:rsid w:val="00E842B0"/>
    <w:rsid w:val="00E843F7"/>
    <w:rsid w:val="00E848C0"/>
    <w:rsid w:val="00E91B96"/>
    <w:rsid w:val="00E92F1A"/>
    <w:rsid w:val="00E941A1"/>
    <w:rsid w:val="00E95CE3"/>
    <w:rsid w:val="00EA2825"/>
    <w:rsid w:val="00EB5088"/>
    <w:rsid w:val="00EB76CF"/>
    <w:rsid w:val="00EC4CF9"/>
    <w:rsid w:val="00EC4D56"/>
    <w:rsid w:val="00EC6EF7"/>
    <w:rsid w:val="00ED1644"/>
    <w:rsid w:val="00ED2593"/>
    <w:rsid w:val="00EF44A0"/>
    <w:rsid w:val="00EF4FED"/>
    <w:rsid w:val="00F050BD"/>
    <w:rsid w:val="00F05657"/>
    <w:rsid w:val="00F0756C"/>
    <w:rsid w:val="00F07EAC"/>
    <w:rsid w:val="00F15866"/>
    <w:rsid w:val="00F25578"/>
    <w:rsid w:val="00F258E5"/>
    <w:rsid w:val="00F300BC"/>
    <w:rsid w:val="00F3334E"/>
    <w:rsid w:val="00F34AEE"/>
    <w:rsid w:val="00F3632B"/>
    <w:rsid w:val="00F50EC4"/>
    <w:rsid w:val="00F53A08"/>
    <w:rsid w:val="00F57A6D"/>
    <w:rsid w:val="00F638CC"/>
    <w:rsid w:val="00F64CC1"/>
    <w:rsid w:val="00F8247A"/>
    <w:rsid w:val="00F9629A"/>
    <w:rsid w:val="00FA1CAB"/>
    <w:rsid w:val="00FA5883"/>
    <w:rsid w:val="00FA6055"/>
    <w:rsid w:val="00FB0005"/>
    <w:rsid w:val="00FB322F"/>
    <w:rsid w:val="00FB442F"/>
    <w:rsid w:val="00FC066A"/>
    <w:rsid w:val="00FC09FD"/>
    <w:rsid w:val="00FC1929"/>
    <w:rsid w:val="00FC5B46"/>
    <w:rsid w:val="00FD22AB"/>
    <w:rsid w:val="00FE0E94"/>
    <w:rsid w:val="00FE4C66"/>
    <w:rsid w:val="00FF00BD"/>
    <w:rsid w:val="00FF1ED4"/>
    <w:rsid w:val="00FF2801"/>
    <w:rsid w:val="00FF6060"/>
    <w:rsid w:val="00FF6160"/>
    <w:rsid w:val="00FF6B53"/>
    <w:rsid w:val="00FF77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paragraph" w:customStyle="1" w:styleId="KMC16-Tablecontent">
    <w:name w:val="KMC16 - Table content"/>
    <w:basedOn w:val="Normal"/>
    <w:link w:val="KMC16-TablecontentChar"/>
    <w:qFormat/>
    <w:rsid w:val="00030FC4"/>
    <w:pPr>
      <w:spacing w:before="40" w:after="40"/>
      <w:jc w:val="center"/>
    </w:pPr>
    <w:rPr>
      <w:rFonts w:ascii="Arial Narrow" w:hAnsi="Arial Narrow" w:cs="Arial"/>
      <w:color w:val="000000"/>
      <w:sz w:val="20"/>
      <w:szCs w:val="22"/>
      <w:lang w:val="en-GB" w:eastAsia="en-US"/>
    </w:rPr>
  </w:style>
  <w:style w:type="character" w:customStyle="1" w:styleId="KMC16-TablecontentChar">
    <w:name w:val="KMC16 - Table content Char"/>
    <w:basedOn w:val="DefaultParagraphFont"/>
    <w:link w:val="KMC16-Tablecontent"/>
    <w:rsid w:val="00030FC4"/>
    <w:rPr>
      <w:rFonts w:ascii="Arial Narrow" w:hAnsi="Arial Narrow" w:cs="Arial"/>
      <w:color w:val="000000"/>
      <w:szCs w:val="22"/>
      <w:lang w:val="en-GB" w:eastAsia="en-US"/>
    </w:rPr>
  </w:style>
  <w:style w:type="paragraph" w:customStyle="1" w:styleId="PBACheading10">
    <w:name w:val="PBAC heading 1"/>
    <w:qFormat/>
    <w:rsid w:val="001F1450"/>
    <w:pPr>
      <w:ind w:left="720" w:hanging="720"/>
      <w:outlineLvl w:val="0"/>
    </w:pPr>
    <w:rPr>
      <w:rFonts w:ascii="Arial" w:eastAsia="SimSun" w:hAnsi="Arial" w:cs="Arial"/>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paragraph" w:customStyle="1" w:styleId="KMC16-Tablecontent">
    <w:name w:val="KMC16 - Table content"/>
    <w:basedOn w:val="Normal"/>
    <w:link w:val="KMC16-TablecontentChar"/>
    <w:qFormat/>
    <w:rsid w:val="00030FC4"/>
    <w:pPr>
      <w:spacing w:before="40" w:after="40"/>
      <w:jc w:val="center"/>
    </w:pPr>
    <w:rPr>
      <w:rFonts w:ascii="Arial Narrow" w:hAnsi="Arial Narrow" w:cs="Arial"/>
      <w:color w:val="000000"/>
      <w:sz w:val="20"/>
      <w:szCs w:val="22"/>
      <w:lang w:val="en-GB" w:eastAsia="en-US"/>
    </w:rPr>
  </w:style>
  <w:style w:type="character" w:customStyle="1" w:styleId="KMC16-TablecontentChar">
    <w:name w:val="KMC16 - Table content Char"/>
    <w:basedOn w:val="DefaultParagraphFont"/>
    <w:link w:val="KMC16-Tablecontent"/>
    <w:rsid w:val="00030FC4"/>
    <w:rPr>
      <w:rFonts w:ascii="Arial Narrow" w:hAnsi="Arial Narrow" w:cs="Arial"/>
      <w:color w:val="000000"/>
      <w:szCs w:val="22"/>
      <w:lang w:val="en-GB" w:eastAsia="en-US"/>
    </w:rPr>
  </w:style>
  <w:style w:type="paragraph" w:customStyle="1" w:styleId="PBACheading10">
    <w:name w:val="PBAC heading 1"/>
    <w:qFormat/>
    <w:rsid w:val="001F1450"/>
    <w:pPr>
      <w:ind w:left="720" w:hanging="720"/>
      <w:outlineLvl w:val="0"/>
    </w:pPr>
    <w:rPr>
      <w:rFonts w:ascii="Arial" w:eastAsia="SimSun"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F6125-B151-4824-8E5A-A0D7483BD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1737</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2017-02-09T02:46:00Z</dcterms:created>
  <dcterms:modified xsi:type="dcterms:W3CDTF">2017-02-16T22:25:00Z</dcterms:modified>
</cp:coreProperties>
</file>