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4" w:rsidRPr="00794CF6" w:rsidRDefault="007772B1" w:rsidP="00794CF6">
      <w:pPr>
        <w:pStyle w:val="Title"/>
        <w:ind w:left="720" w:hanging="720"/>
        <w:rPr>
          <w:szCs w:val="28"/>
        </w:rPr>
      </w:pPr>
      <w:bookmarkStart w:id="0" w:name="_GoBack"/>
      <w:bookmarkEnd w:id="0"/>
      <w:r w:rsidRPr="00826D71">
        <w:rPr>
          <w:szCs w:val="28"/>
        </w:rPr>
        <w:t>7.18</w:t>
      </w:r>
      <w:r w:rsidR="007C0F57" w:rsidRPr="00826D71">
        <w:rPr>
          <w:szCs w:val="28"/>
        </w:rPr>
        <w:tab/>
      </w:r>
      <w:r w:rsidR="001F1E34" w:rsidRPr="00826D71">
        <w:rPr>
          <w:szCs w:val="28"/>
        </w:rPr>
        <w:t>OMALIZUMAB</w:t>
      </w:r>
      <w:r w:rsidR="00794CF6">
        <w:rPr>
          <w:szCs w:val="28"/>
        </w:rPr>
        <w:br/>
      </w:r>
      <w:r w:rsidR="001F1E34" w:rsidRPr="00826D71">
        <w:rPr>
          <w:szCs w:val="28"/>
        </w:rPr>
        <w:t>pre-filled syringe, 150 mg/mL</w:t>
      </w:r>
      <w:r w:rsidR="00794CF6">
        <w:rPr>
          <w:szCs w:val="28"/>
        </w:rPr>
        <w:br/>
      </w:r>
      <w:proofErr w:type="spellStart"/>
      <w:r w:rsidR="00A8058C" w:rsidRPr="00826D71">
        <w:rPr>
          <w:szCs w:val="28"/>
        </w:rPr>
        <w:t>Xolair</w:t>
      </w:r>
      <w:proofErr w:type="spellEnd"/>
      <w:r w:rsidR="00A8058C" w:rsidRPr="00014DF2">
        <w:rPr>
          <w:szCs w:val="28"/>
          <w:vertAlign w:val="superscript"/>
        </w:rPr>
        <w:t>®</w:t>
      </w:r>
      <w:proofErr w:type="gramStart"/>
      <w:r w:rsidR="00CA5CA0">
        <w:rPr>
          <w:szCs w:val="28"/>
        </w:rPr>
        <w:t>,</w:t>
      </w:r>
      <w:proofErr w:type="gramEnd"/>
      <w:r w:rsidR="00014DF2">
        <w:rPr>
          <w:szCs w:val="28"/>
        </w:rPr>
        <w:br/>
      </w:r>
      <w:r w:rsidR="001F1E34" w:rsidRPr="00826D71">
        <w:rPr>
          <w:szCs w:val="28"/>
        </w:rPr>
        <w:t>Novartis Pharmaceuticals Australia Pty Ltd.</w:t>
      </w:r>
    </w:p>
    <w:p w:rsidR="00C27B58" w:rsidRPr="00826D71" w:rsidRDefault="00C27B58" w:rsidP="00C27B58">
      <w:pPr>
        <w:pStyle w:val="NoSpacing"/>
      </w:pPr>
    </w:p>
    <w:p w:rsidR="00E15627" w:rsidRPr="00826D71" w:rsidRDefault="00CE10C4" w:rsidP="00E15627">
      <w:pPr>
        <w:pStyle w:val="PBACHeading1"/>
      </w:pPr>
      <w:r w:rsidRPr="00826D71">
        <w:t xml:space="preserve">Purpose of </w:t>
      </w:r>
      <w:r w:rsidR="0004240E" w:rsidRPr="00826D71">
        <w:t>Application</w:t>
      </w:r>
    </w:p>
    <w:p w:rsidR="008A50F1" w:rsidRPr="00826D71" w:rsidRDefault="008A50F1" w:rsidP="00E15627"/>
    <w:p w:rsidR="00FA472D" w:rsidRPr="00826D71" w:rsidRDefault="00EF44A0" w:rsidP="00E15627">
      <w:pPr>
        <w:pStyle w:val="ListParagraph"/>
        <w:numPr>
          <w:ilvl w:val="1"/>
          <w:numId w:val="5"/>
        </w:numPr>
        <w:rPr>
          <w:szCs w:val="22"/>
        </w:rPr>
      </w:pPr>
      <w:r w:rsidRPr="00826D71">
        <w:rPr>
          <w:szCs w:val="22"/>
        </w:rPr>
        <w:t>The mi</w:t>
      </w:r>
      <w:r w:rsidR="00FF2801" w:rsidRPr="00826D71">
        <w:rPr>
          <w:szCs w:val="22"/>
        </w:rPr>
        <w:t xml:space="preserve">nor </w:t>
      </w:r>
      <w:r w:rsidR="00F84639" w:rsidRPr="00826D71">
        <w:rPr>
          <w:szCs w:val="22"/>
        </w:rPr>
        <w:t>re</w:t>
      </w:r>
      <w:r w:rsidR="00FF2801" w:rsidRPr="00826D71">
        <w:rPr>
          <w:szCs w:val="22"/>
        </w:rPr>
        <w:t xml:space="preserve">submission </w:t>
      </w:r>
      <w:r w:rsidR="001C55F9" w:rsidRPr="00826D71">
        <w:rPr>
          <w:szCs w:val="22"/>
        </w:rPr>
        <w:t xml:space="preserve">requested a reassessment of the </w:t>
      </w:r>
      <w:r w:rsidR="003B1318" w:rsidRPr="00826D71">
        <w:rPr>
          <w:szCs w:val="22"/>
        </w:rPr>
        <w:t xml:space="preserve">PBAC </w:t>
      </w:r>
      <w:r w:rsidR="004565C2" w:rsidRPr="00826D71">
        <w:rPr>
          <w:szCs w:val="22"/>
        </w:rPr>
        <w:t>recommended equi</w:t>
      </w:r>
      <w:r w:rsidR="004565C2" w:rsidRPr="00826D71">
        <w:rPr>
          <w:szCs w:val="22"/>
        </w:rPr>
        <w:noBreakHyphen/>
      </w:r>
      <w:r w:rsidR="001C55F9" w:rsidRPr="00826D71">
        <w:rPr>
          <w:szCs w:val="22"/>
        </w:rPr>
        <w:t>effective dose of omali</w:t>
      </w:r>
      <w:r w:rsidR="0070604E" w:rsidRPr="00826D71">
        <w:rPr>
          <w:szCs w:val="22"/>
        </w:rPr>
        <w:t>zumab compared with cyclosporin</w:t>
      </w:r>
      <w:r w:rsidR="00A26507" w:rsidRPr="00826D71">
        <w:rPr>
          <w:szCs w:val="22"/>
        </w:rPr>
        <w:t xml:space="preserve"> for the treatment of chronic spontaneous </w:t>
      </w:r>
      <w:proofErr w:type="spellStart"/>
      <w:r w:rsidR="00A26507" w:rsidRPr="00826D71">
        <w:rPr>
          <w:szCs w:val="22"/>
        </w:rPr>
        <w:t>urtica</w:t>
      </w:r>
      <w:r w:rsidR="00AB33D3" w:rsidRPr="00826D71">
        <w:rPr>
          <w:szCs w:val="22"/>
        </w:rPr>
        <w:t>ria</w:t>
      </w:r>
      <w:proofErr w:type="spellEnd"/>
      <w:r w:rsidR="00A26507" w:rsidRPr="00826D71">
        <w:rPr>
          <w:szCs w:val="22"/>
        </w:rPr>
        <w:t xml:space="preserve"> (CSU).</w:t>
      </w:r>
    </w:p>
    <w:p w:rsidR="00FA472D" w:rsidRPr="00826D71" w:rsidRDefault="00FA472D" w:rsidP="00FA472D">
      <w:pPr>
        <w:rPr>
          <w:szCs w:val="22"/>
        </w:rPr>
      </w:pPr>
    </w:p>
    <w:tbl>
      <w:tblPr>
        <w:tblStyle w:val="TableGrid"/>
        <w:tblW w:w="0" w:type="auto"/>
        <w:tblInd w:w="817" w:type="dxa"/>
        <w:tblLook w:val="04A0" w:firstRow="1" w:lastRow="0" w:firstColumn="1" w:lastColumn="0" w:noHBand="0" w:noVBand="1"/>
        <w:tblCaption w:val="Summary table of equi-effective doses"/>
        <w:tblDescription w:val="Summary table of equi-effective doses of omalizumab and cyclosporin in previous submissions and resubmission."/>
      </w:tblPr>
      <w:tblGrid>
        <w:gridCol w:w="1418"/>
        <w:gridCol w:w="2409"/>
        <w:gridCol w:w="2126"/>
        <w:gridCol w:w="2410"/>
      </w:tblGrid>
      <w:tr w:rsidR="00FA472D" w:rsidRPr="00826D71" w:rsidTr="00566614">
        <w:trPr>
          <w:trHeight w:val="564"/>
          <w:tblHeader/>
        </w:trPr>
        <w:tc>
          <w:tcPr>
            <w:tcW w:w="1418" w:type="dxa"/>
            <w:vAlign w:val="center"/>
          </w:tcPr>
          <w:p w:rsidR="00FA472D" w:rsidRPr="00826D71" w:rsidRDefault="00FA472D" w:rsidP="00865CF5">
            <w:pPr>
              <w:jc w:val="center"/>
              <w:rPr>
                <w:rFonts w:ascii="Arial Narrow" w:hAnsi="Arial Narrow"/>
                <w:b/>
                <w:sz w:val="20"/>
                <w:szCs w:val="20"/>
              </w:rPr>
            </w:pPr>
            <w:r w:rsidRPr="00826D71">
              <w:rPr>
                <w:rFonts w:ascii="Arial Narrow" w:hAnsi="Arial Narrow"/>
                <w:b/>
                <w:sz w:val="20"/>
                <w:szCs w:val="20"/>
              </w:rPr>
              <w:t>Issue</w:t>
            </w:r>
          </w:p>
        </w:tc>
        <w:tc>
          <w:tcPr>
            <w:tcW w:w="2409" w:type="dxa"/>
            <w:vAlign w:val="center"/>
          </w:tcPr>
          <w:p w:rsidR="00FA472D" w:rsidRPr="00826D71" w:rsidRDefault="00FA472D" w:rsidP="001F1E34">
            <w:pPr>
              <w:ind w:left="-108" w:right="-108"/>
              <w:jc w:val="center"/>
              <w:rPr>
                <w:rFonts w:ascii="Arial Narrow" w:hAnsi="Arial Narrow"/>
                <w:b/>
                <w:sz w:val="20"/>
                <w:szCs w:val="20"/>
              </w:rPr>
            </w:pPr>
            <w:r w:rsidRPr="00826D71">
              <w:rPr>
                <w:rFonts w:ascii="Arial Narrow" w:hAnsi="Arial Narrow"/>
                <w:b/>
                <w:sz w:val="20"/>
                <w:szCs w:val="20"/>
              </w:rPr>
              <w:t>November 2015</w:t>
            </w:r>
          </w:p>
          <w:p w:rsidR="00FA472D" w:rsidRPr="00826D71" w:rsidRDefault="00FA472D" w:rsidP="001F1E34">
            <w:pPr>
              <w:ind w:left="-108" w:right="-108"/>
              <w:jc w:val="center"/>
              <w:rPr>
                <w:rFonts w:ascii="Arial Narrow" w:hAnsi="Arial Narrow"/>
                <w:b/>
                <w:sz w:val="20"/>
                <w:szCs w:val="20"/>
              </w:rPr>
            </w:pPr>
            <w:r w:rsidRPr="00826D71">
              <w:rPr>
                <w:rFonts w:ascii="Arial Narrow" w:hAnsi="Arial Narrow"/>
                <w:b/>
                <w:sz w:val="20"/>
                <w:szCs w:val="20"/>
              </w:rPr>
              <w:t>submission</w:t>
            </w:r>
          </w:p>
        </w:tc>
        <w:tc>
          <w:tcPr>
            <w:tcW w:w="2126" w:type="dxa"/>
            <w:vAlign w:val="center"/>
          </w:tcPr>
          <w:p w:rsidR="00FA472D" w:rsidRPr="00826D71" w:rsidRDefault="00FA472D" w:rsidP="001F1E34">
            <w:pPr>
              <w:jc w:val="center"/>
              <w:rPr>
                <w:rFonts w:ascii="Arial Narrow" w:hAnsi="Arial Narrow"/>
                <w:b/>
                <w:sz w:val="20"/>
                <w:szCs w:val="20"/>
              </w:rPr>
            </w:pPr>
            <w:r w:rsidRPr="00826D71">
              <w:rPr>
                <w:rFonts w:ascii="Arial Narrow" w:hAnsi="Arial Narrow"/>
                <w:b/>
                <w:sz w:val="20"/>
                <w:szCs w:val="20"/>
              </w:rPr>
              <w:t>Nov 2015</w:t>
            </w:r>
          </w:p>
          <w:p w:rsidR="00FA472D" w:rsidRPr="00826D71" w:rsidRDefault="00FA472D" w:rsidP="00F969FE">
            <w:pPr>
              <w:jc w:val="center"/>
              <w:rPr>
                <w:rFonts w:ascii="Arial Narrow" w:hAnsi="Arial Narrow"/>
                <w:b/>
                <w:sz w:val="20"/>
                <w:szCs w:val="20"/>
              </w:rPr>
            </w:pPr>
            <w:r w:rsidRPr="00826D71">
              <w:rPr>
                <w:rFonts w:ascii="Arial Narrow" w:hAnsi="Arial Narrow"/>
                <w:b/>
                <w:sz w:val="20"/>
                <w:szCs w:val="20"/>
              </w:rPr>
              <w:t xml:space="preserve">PBAC </w:t>
            </w:r>
            <w:r w:rsidR="00F969FE">
              <w:rPr>
                <w:rFonts w:ascii="Arial Narrow" w:hAnsi="Arial Narrow"/>
                <w:b/>
                <w:sz w:val="20"/>
                <w:szCs w:val="20"/>
              </w:rPr>
              <w:t>Public Summary Document (PSD)</w:t>
            </w:r>
          </w:p>
        </w:tc>
        <w:tc>
          <w:tcPr>
            <w:tcW w:w="2410" w:type="dxa"/>
            <w:vAlign w:val="center"/>
          </w:tcPr>
          <w:p w:rsidR="00FA472D" w:rsidRPr="00826D71" w:rsidRDefault="00FA472D" w:rsidP="001F1E34">
            <w:pPr>
              <w:jc w:val="center"/>
              <w:rPr>
                <w:rFonts w:ascii="Arial Narrow" w:hAnsi="Arial Narrow"/>
                <w:b/>
                <w:sz w:val="20"/>
                <w:szCs w:val="20"/>
              </w:rPr>
            </w:pPr>
            <w:r w:rsidRPr="00826D71">
              <w:rPr>
                <w:rFonts w:ascii="Arial Narrow" w:hAnsi="Arial Narrow"/>
                <w:b/>
                <w:sz w:val="20"/>
                <w:szCs w:val="20"/>
              </w:rPr>
              <w:t>Current minor submission</w:t>
            </w:r>
          </w:p>
        </w:tc>
      </w:tr>
      <w:tr w:rsidR="00FA472D" w:rsidRPr="00826D71" w:rsidTr="00A8058C">
        <w:trPr>
          <w:trHeight w:val="564"/>
        </w:trPr>
        <w:tc>
          <w:tcPr>
            <w:tcW w:w="1418" w:type="dxa"/>
          </w:tcPr>
          <w:p w:rsidR="00FA472D" w:rsidRPr="00826D71" w:rsidRDefault="00FA472D" w:rsidP="001F1E34">
            <w:pPr>
              <w:rPr>
                <w:rFonts w:ascii="Arial Narrow" w:hAnsi="Arial Narrow"/>
                <w:sz w:val="20"/>
                <w:szCs w:val="20"/>
              </w:rPr>
            </w:pPr>
            <w:r w:rsidRPr="00826D71">
              <w:rPr>
                <w:rFonts w:ascii="Arial Narrow" w:hAnsi="Arial Narrow"/>
                <w:sz w:val="20"/>
                <w:szCs w:val="20"/>
              </w:rPr>
              <w:t xml:space="preserve">Equi-effective dose </w:t>
            </w:r>
          </w:p>
        </w:tc>
        <w:tc>
          <w:tcPr>
            <w:tcW w:w="2409" w:type="dxa"/>
          </w:tcPr>
          <w:p w:rsidR="00FA472D" w:rsidRPr="00826D71" w:rsidRDefault="00FA472D" w:rsidP="001F1E34">
            <w:pPr>
              <w:rPr>
                <w:rFonts w:ascii="Arial Narrow" w:hAnsi="Arial Narrow"/>
                <w:sz w:val="20"/>
                <w:szCs w:val="20"/>
              </w:rPr>
            </w:pPr>
            <w:r w:rsidRPr="00826D71">
              <w:rPr>
                <w:rFonts w:ascii="Arial Narrow" w:hAnsi="Arial Narrow"/>
                <w:sz w:val="20"/>
                <w:szCs w:val="20"/>
              </w:rPr>
              <w:t>Omalizumab 197.22 mg cyclosporin 4 mg/kg.</w:t>
            </w:r>
          </w:p>
        </w:tc>
        <w:tc>
          <w:tcPr>
            <w:tcW w:w="2126" w:type="dxa"/>
          </w:tcPr>
          <w:p w:rsidR="00FA472D" w:rsidRPr="00826D71" w:rsidRDefault="00FA472D" w:rsidP="001F1E34">
            <w:pPr>
              <w:rPr>
                <w:rFonts w:ascii="Arial Narrow" w:hAnsi="Arial Narrow"/>
                <w:sz w:val="20"/>
                <w:szCs w:val="20"/>
              </w:rPr>
            </w:pPr>
            <w:r w:rsidRPr="00826D71">
              <w:rPr>
                <w:rFonts w:ascii="Arial Narrow" w:hAnsi="Arial Narrow"/>
                <w:sz w:val="20"/>
                <w:szCs w:val="20"/>
              </w:rPr>
              <w:t xml:space="preserve">omalizumab 300 mg  cyclosporin 3 mg/kg </w:t>
            </w:r>
          </w:p>
        </w:tc>
        <w:tc>
          <w:tcPr>
            <w:tcW w:w="2410" w:type="dxa"/>
          </w:tcPr>
          <w:p w:rsidR="00FA472D" w:rsidRPr="00826D71" w:rsidRDefault="00FA472D" w:rsidP="001F1E34">
            <w:pPr>
              <w:rPr>
                <w:rFonts w:ascii="Arial Narrow" w:hAnsi="Arial Narrow"/>
                <w:sz w:val="20"/>
                <w:szCs w:val="20"/>
              </w:rPr>
            </w:pPr>
            <w:proofErr w:type="gramStart"/>
            <w:r w:rsidRPr="00826D71">
              <w:rPr>
                <w:rFonts w:ascii="Arial Narrow" w:hAnsi="Arial Narrow"/>
                <w:sz w:val="20"/>
                <w:szCs w:val="20"/>
              </w:rPr>
              <w:t>omalizumab</w:t>
            </w:r>
            <w:proofErr w:type="gramEnd"/>
            <w:r w:rsidRPr="00826D71">
              <w:rPr>
                <w:rFonts w:ascii="Arial Narrow" w:hAnsi="Arial Narrow"/>
                <w:sz w:val="20"/>
                <w:szCs w:val="20"/>
              </w:rPr>
              <w:t xml:space="preserve"> 197.22 mg cyclosporin 3 mg/kg.</w:t>
            </w:r>
          </w:p>
        </w:tc>
      </w:tr>
    </w:tbl>
    <w:p w:rsidR="00FA472D" w:rsidRPr="00826D71" w:rsidRDefault="00FA472D" w:rsidP="00FA472D">
      <w:pPr>
        <w:rPr>
          <w:szCs w:val="22"/>
          <w:highlight w:val="yellow"/>
        </w:rPr>
      </w:pPr>
    </w:p>
    <w:p w:rsidR="006A12A5" w:rsidRPr="00826D71" w:rsidRDefault="00C54499" w:rsidP="00E15627">
      <w:pPr>
        <w:pStyle w:val="ListParagraph"/>
        <w:numPr>
          <w:ilvl w:val="1"/>
          <w:numId w:val="5"/>
        </w:numPr>
        <w:rPr>
          <w:szCs w:val="22"/>
        </w:rPr>
      </w:pPr>
      <w:r w:rsidRPr="00826D71">
        <w:rPr>
          <w:szCs w:val="22"/>
        </w:rPr>
        <w:t>No new clinical trial data w</w:t>
      </w:r>
      <w:r w:rsidR="00B07FDE" w:rsidRPr="00826D71">
        <w:rPr>
          <w:szCs w:val="22"/>
        </w:rPr>
        <w:t>ere</w:t>
      </w:r>
      <w:r w:rsidRPr="00826D71">
        <w:rPr>
          <w:szCs w:val="22"/>
        </w:rPr>
        <w:t xml:space="preserve"> presented in the minor submission.</w:t>
      </w:r>
    </w:p>
    <w:p w:rsidR="00F9629A" w:rsidRPr="00826D71" w:rsidRDefault="00F9629A" w:rsidP="00C27B58">
      <w:pPr>
        <w:pStyle w:val="NoSpacing"/>
      </w:pPr>
    </w:p>
    <w:p w:rsidR="00EF44A0" w:rsidRPr="00826D71" w:rsidRDefault="00EF44A0" w:rsidP="00C27B58">
      <w:pPr>
        <w:pStyle w:val="NoSpacing"/>
      </w:pPr>
    </w:p>
    <w:p w:rsidR="00962223" w:rsidRPr="00826D71" w:rsidRDefault="006A12A5" w:rsidP="008A50F1">
      <w:pPr>
        <w:pStyle w:val="PBACHeading1"/>
      </w:pPr>
      <w:r w:rsidRPr="00826D71">
        <w:t>Requested listing</w:t>
      </w:r>
    </w:p>
    <w:p w:rsidR="009855EF" w:rsidRPr="00826D71" w:rsidRDefault="009855EF" w:rsidP="006A7F9E">
      <w:pPr>
        <w:rPr>
          <w:i/>
        </w:rPr>
      </w:pPr>
    </w:p>
    <w:p w:rsidR="006A7F9E" w:rsidRPr="00826D71" w:rsidRDefault="006A7F9E" w:rsidP="009855EF">
      <w:pPr>
        <w:pStyle w:val="ListParagraph"/>
        <w:numPr>
          <w:ilvl w:val="1"/>
          <w:numId w:val="5"/>
        </w:numPr>
        <w:rPr>
          <w:szCs w:val="22"/>
        </w:rPr>
      </w:pPr>
      <w:r w:rsidRPr="00826D71">
        <w:rPr>
          <w:szCs w:val="22"/>
        </w:rPr>
        <w:t xml:space="preserve">The requested listing in the minor resubmission was unchanged </w:t>
      </w:r>
      <w:r w:rsidR="00FA472D" w:rsidRPr="00826D71">
        <w:rPr>
          <w:szCs w:val="22"/>
        </w:rPr>
        <w:t xml:space="preserve">from the November 2015 </w:t>
      </w:r>
      <w:r w:rsidR="001F1E34" w:rsidRPr="00826D71">
        <w:rPr>
          <w:szCs w:val="22"/>
        </w:rPr>
        <w:t>recommendation</w:t>
      </w:r>
      <w:r w:rsidR="00FA472D" w:rsidRPr="00826D71">
        <w:rPr>
          <w:szCs w:val="22"/>
        </w:rPr>
        <w:t>, except that ‘spontaneous’ replaces ‘idiopathic’ in the condition name.</w:t>
      </w:r>
    </w:p>
    <w:p w:rsidR="00FA472D" w:rsidRPr="00826D71" w:rsidRDefault="00FA472D" w:rsidP="00FA472D">
      <w:pPr>
        <w:pStyle w:val="ListParagraph"/>
        <w:rPr>
          <w:szCs w:val="22"/>
        </w:rPr>
      </w:pPr>
    </w:p>
    <w:p w:rsidR="009855EF" w:rsidRPr="00826D71" w:rsidRDefault="009855EF" w:rsidP="009855EF">
      <w:pPr>
        <w:pStyle w:val="ListParagraph"/>
        <w:numPr>
          <w:ilvl w:val="1"/>
          <w:numId w:val="5"/>
        </w:numPr>
        <w:rPr>
          <w:szCs w:val="22"/>
        </w:rPr>
      </w:pPr>
      <w:r w:rsidRPr="00826D71">
        <w:rPr>
          <w:szCs w:val="22"/>
        </w:rPr>
        <w:t xml:space="preserve">If the </w:t>
      </w:r>
      <w:r w:rsidR="00F84639" w:rsidRPr="00826D71">
        <w:rPr>
          <w:szCs w:val="22"/>
        </w:rPr>
        <w:t>re</w:t>
      </w:r>
      <w:r w:rsidRPr="00826D71">
        <w:rPr>
          <w:szCs w:val="22"/>
        </w:rPr>
        <w:t xml:space="preserve">submission is rejected by the PBAC, it would not meet the criteria for an Independent Review as it is a request to change an existing </w:t>
      </w:r>
      <w:r w:rsidR="00FA472D" w:rsidRPr="00826D71">
        <w:rPr>
          <w:szCs w:val="22"/>
        </w:rPr>
        <w:t xml:space="preserve">recommended </w:t>
      </w:r>
      <w:r w:rsidRPr="00826D71">
        <w:rPr>
          <w:szCs w:val="22"/>
        </w:rPr>
        <w:t>indication.</w:t>
      </w:r>
    </w:p>
    <w:p w:rsidR="00E31C7B" w:rsidRPr="00826D71" w:rsidRDefault="00E31C7B" w:rsidP="00E31C7B">
      <w:pPr>
        <w:rPr>
          <w:szCs w:val="22"/>
        </w:rPr>
      </w:pPr>
    </w:p>
    <w:p w:rsidR="00BB7EC3" w:rsidRPr="00826D71" w:rsidRDefault="00BB7EC3" w:rsidP="00882085">
      <w:pPr>
        <w:jc w:val="both"/>
        <w:rPr>
          <w:rFonts w:ascii="Arial" w:hAnsi="Arial"/>
          <w:b/>
          <w:sz w:val="22"/>
          <w:szCs w:val="22"/>
        </w:rPr>
      </w:pPr>
    </w:p>
    <w:p w:rsidR="00CE10C4" w:rsidRPr="00826D71" w:rsidRDefault="00CE10C4" w:rsidP="008A50F1">
      <w:pPr>
        <w:pStyle w:val="PBACHeading1"/>
      </w:pPr>
      <w:r w:rsidRPr="00826D71">
        <w:t>Background</w:t>
      </w:r>
    </w:p>
    <w:p w:rsidR="00C603D4" w:rsidRPr="00826D71" w:rsidRDefault="00C603D4" w:rsidP="00C603D4">
      <w:pPr>
        <w:pStyle w:val="ListParagraph"/>
        <w:rPr>
          <w:i/>
          <w:szCs w:val="22"/>
        </w:rPr>
      </w:pPr>
    </w:p>
    <w:p w:rsidR="002B1AE6" w:rsidRPr="00826D71" w:rsidRDefault="006A7F9E" w:rsidP="008A50F1">
      <w:pPr>
        <w:pStyle w:val="ListParagraph"/>
        <w:numPr>
          <w:ilvl w:val="1"/>
          <w:numId w:val="5"/>
        </w:numPr>
        <w:rPr>
          <w:i/>
          <w:szCs w:val="22"/>
        </w:rPr>
      </w:pPr>
      <w:r w:rsidRPr="00826D71">
        <w:rPr>
          <w:szCs w:val="22"/>
        </w:rPr>
        <w:t xml:space="preserve">Omalizumab received a positive recommendation at the November 2015 PBAC meeting to extend listing to include patients with severe chronic spontaneous </w:t>
      </w:r>
      <w:proofErr w:type="spellStart"/>
      <w:r w:rsidRPr="00826D71">
        <w:rPr>
          <w:szCs w:val="22"/>
        </w:rPr>
        <w:t>urticaria</w:t>
      </w:r>
      <w:proofErr w:type="spellEnd"/>
      <w:r w:rsidRPr="00826D71">
        <w:rPr>
          <w:szCs w:val="22"/>
        </w:rPr>
        <w:t xml:space="preserve"> (at that time </w:t>
      </w:r>
      <w:r w:rsidR="0061174C" w:rsidRPr="00826D71">
        <w:rPr>
          <w:szCs w:val="22"/>
        </w:rPr>
        <w:t>referred</w:t>
      </w:r>
      <w:r w:rsidRPr="00826D71">
        <w:rPr>
          <w:szCs w:val="22"/>
        </w:rPr>
        <w:t xml:space="preserve"> to as chronic idiopathic urticarial), on the basis of cost minimisation against </w:t>
      </w:r>
      <w:proofErr w:type="spellStart"/>
      <w:r w:rsidRPr="00826D71">
        <w:rPr>
          <w:szCs w:val="22"/>
        </w:rPr>
        <w:t>cyclosporin</w:t>
      </w:r>
      <w:proofErr w:type="spellEnd"/>
      <w:r w:rsidRPr="00826D71">
        <w:rPr>
          <w:szCs w:val="22"/>
        </w:rPr>
        <w:t>.</w:t>
      </w:r>
    </w:p>
    <w:p w:rsidR="00C71C91" w:rsidRPr="00826D71" w:rsidRDefault="00C71C91" w:rsidP="00C71C91">
      <w:pPr>
        <w:rPr>
          <w:szCs w:val="22"/>
        </w:rPr>
      </w:pPr>
    </w:p>
    <w:p w:rsidR="00C71C91" w:rsidRPr="00826D71" w:rsidRDefault="00FA472D" w:rsidP="00C71C91">
      <w:pPr>
        <w:pStyle w:val="ListParagraph"/>
        <w:numPr>
          <w:ilvl w:val="1"/>
          <w:numId w:val="5"/>
        </w:numPr>
        <w:rPr>
          <w:i/>
          <w:iCs/>
          <w:szCs w:val="22"/>
        </w:rPr>
      </w:pPr>
      <w:r w:rsidRPr="00826D71">
        <w:rPr>
          <w:szCs w:val="22"/>
        </w:rPr>
        <w:t>The November 2015 submission presented an indirect comparison between 300 mg omalizumab (GLACIAL, ASTERIA I and II trials) and 4 mg/kg cyclosporin (Grattan et al</w:t>
      </w:r>
      <w:r w:rsidR="007F26B3" w:rsidRPr="00826D71">
        <w:rPr>
          <w:szCs w:val="22"/>
        </w:rPr>
        <w:t>.</w:t>
      </w:r>
      <w:r w:rsidR="00C71C91" w:rsidRPr="00826D71">
        <w:rPr>
          <w:szCs w:val="22"/>
        </w:rPr>
        <w:t xml:space="preserve"> 200</w:t>
      </w:r>
      <w:r w:rsidR="007F26B3" w:rsidRPr="00826D71">
        <w:rPr>
          <w:szCs w:val="22"/>
        </w:rPr>
        <w:t>0</w:t>
      </w:r>
      <w:r w:rsidR="00C71C91" w:rsidRPr="00826D71">
        <w:rPr>
          <w:szCs w:val="22"/>
        </w:rPr>
        <w:t>). The key clinical data, including data for the 150</w:t>
      </w:r>
      <w:r w:rsidR="00FB14FA" w:rsidRPr="00826D71">
        <w:rPr>
          <w:szCs w:val="22"/>
        </w:rPr>
        <w:t xml:space="preserve"> </w:t>
      </w:r>
      <w:r w:rsidR="00C71C91" w:rsidRPr="00826D71">
        <w:rPr>
          <w:szCs w:val="22"/>
        </w:rPr>
        <w:t xml:space="preserve">mg dose of omalizumab, are presented in </w:t>
      </w:r>
      <w:r w:rsidR="0081115B" w:rsidRPr="00826D71">
        <w:rPr>
          <w:szCs w:val="22"/>
        </w:rPr>
        <w:t>T</w:t>
      </w:r>
      <w:r w:rsidR="00C71C91" w:rsidRPr="00826D71">
        <w:rPr>
          <w:szCs w:val="22"/>
        </w:rPr>
        <w:t xml:space="preserve">able </w:t>
      </w:r>
      <w:r w:rsidR="0081115B" w:rsidRPr="00826D71">
        <w:rPr>
          <w:szCs w:val="22"/>
        </w:rPr>
        <w:t>1</w:t>
      </w:r>
      <w:r w:rsidR="00C71C91" w:rsidRPr="00826D71">
        <w:rPr>
          <w:szCs w:val="22"/>
        </w:rPr>
        <w:t xml:space="preserve">. The November 2015 PBAC </w:t>
      </w:r>
      <w:r w:rsidR="00726F0C">
        <w:rPr>
          <w:szCs w:val="22"/>
        </w:rPr>
        <w:t>PSD</w:t>
      </w:r>
      <w:r w:rsidR="00CA5CA0">
        <w:rPr>
          <w:szCs w:val="22"/>
        </w:rPr>
        <w:t xml:space="preserve"> stated:</w:t>
      </w:r>
    </w:p>
    <w:p w:rsidR="00C71C91" w:rsidRPr="00826D71" w:rsidRDefault="00C71C91" w:rsidP="00C71C91">
      <w:pPr>
        <w:pStyle w:val="ListParagraph"/>
        <w:ind w:left="1134"/>
        <w:rPr>
          <w:szCs w:val="22"/>
        </w:rPr>
      </w:pPr>
      <w:r w:rsidRPr="00826D71">
        <w:rPr>
          <w:iCs/>
          <w:szCs w:val="22"/>
        </w:rPr>
        <w:t>“There were statistically significant reductions in the weekly itch severity score from baseline at Week 12 among patients treated with omalizumab 300 mg every four weeks versus those treated with placebo across all three pivotal trials (</w:t>
      </w:r>
      <w:r w:rsidR="00D448D7" w:rsidRPr="00826D71">
        <w:rPr>
          <w:iCs/>
          <w:szCs w:val="22"/>
        </w:rPr>
        <w:t>GLACIAL, ASTERIA I, ASTERIA II)</w:t>
      </w:r>
      <w:r w:rsidRPr="00826D71">
        <w:rPr>
          <w:iCs/>
          <w:szCs w:val="22"/>
        </w:rPr>
        <w:t xml:space="preserve">. Omalizumab 150 mg was also statistically significantly better than placebo in reducing the weekly itch severity score at </w:t>
      </w:r>
      <w:r w:rsidRPr="00826D71">
        <w:rPr>
          <w:iCs/>
          <w:szCs w:val="22"/>
        </w:rPr>
        <w:lastRenderedPageBreak/>
        <w:t>Week 12 (ASTERIA I, ASTERIA II); but the magnitude of the reduction was numerically smaller.”</w:t>
      </w:r>
    </w:p>
    <w:p w:rsidR="00C71C91" w:rsidRPr="00826D71" w:rsidRDefault="00C71C91" w:rsidP="00C71C91">
      <w:pPr>
        <w:pStyle w:val="ListParagraph"/>
        <w:widowControl/>
        <w:rPr>
          <w:szCs w:val="22"/>
        </w:rPr>
      </w:pPr>
    </w:p>
    <w:p w:rsidR="00C71C91" w:rsidRPr="00826D71" w:rsidRDefault="0081115B" w:rsidP="007F26B3">
      <w:pPr>
        <w:ind w:firstLine="720"/>
        <w:rPr>
          <w:rFonts w:ascii="Arial Narrow" w:hAnsi="Arial Narrow"/>
          <w:b/>
          <w:bCs/>
          <w:sz w:val="20"/>
        </w:rPr>
      </w:pPr>
      <w:proofErr w:type="gramStart"/>
      <w:r w:rsidRPr="00826D71">
        <w:rPr>
          <w:rFonts w:ascii="Arial Narrow" w:hAnsi="Arial Narrow"/>
          <w:b/>
          <w:bCs/>
          <w:sz w:val="20"/>
        </w:rPr>
        <w:t>Table 1.</w:t>
      </w:r>
      <w:proofErr w:type="gramEnd"/>
      <w:r w:rsidRPr="00826D71">
        <w:rPr>
          <w:rFonts w:ascii="Arial Narrow" w:hAnsi="Arial Narrow"/>
          <w:b/>
          <w:bCs/>
          <w:sz w:val="20"/>
        </w:rPr>
        <w:t xml:space="preserve"> </w:t>
      </w:r>
      <w:r w:rsidR="00C71C91" w:rsidRPr="00826D71">
        <w:rPr>
          <w:rFonts w:ascii="Arial Narrow" w:hAnsi="Arial Narrow"/>
          <w:b/>
          <w:bCs/>
          <w:sz w:val="20"/>
        </w:rPr>
        <w:t>Change from baseline to Week 12 in UAS7 (range 0-42)</w:t>
      </w:r>
    </w:p>
    <w:tbl>
      <w:tblPr>
        <w:tblStyle w:val="TableGrid"/>
        <w:tblW w:w="8363" w:type="dxa"/>
        <w:tblInd w:w="766" w:type="dxa"/>
        <w:tblLayout w:type="fixed"/>
        <w:tblCellMar>
          <w:left w:w="57" w:type="dxa"/>
          <w:right w:w="57" w:type="dxa"/>
        </w:tblCellMar>
        <w:tblLook w:val="04A0" w:firstRow="1" w:lastRow="0" w:firstColumn="1" w:lastColumn="0" w:noHBand="0" w:noVBand="1"/>
        <w:tblCaption w:val="Table 1: Change in baseline to Week 12 in USA7"/>
        <w:tblDescription w:val="Summary of clinical trial data of omalizumab and placebo in trials presented in the submission."/>
      </w:tblPr>
      <w:tblGrid>
        <w:gridCol w:w="1133"/>
        <w:gridCol w:w="425"/>
        <w:gridCol w:w="1177"/>
        <w:gridCol w:w="1162"/>
        <w:gridCol w:w="420"/>
        <w:gridCol w:w="1175"/>
        <w:gridCol w:w="1170"/>
        <w:gridCol w:w="1701"/>
      </w:tblGrid>
      <w:tr w:rsidR="00C71C91" w:rsidRPr="00826D71" w:rsidTr="002E44D8">
        <w:trPr>
          <w:tblHeader/>
        </w:trPr>
        <w:tc>
          <w:tcPr>
            <w:tcW w:w="1133" w:type="dxa"/>
            <w:vMerge w:val="restart"/>
            <w:vAlign w:val="center"/>
          </w:tcPr>
          <w:p w:rsidR="00C71C91" w:rsidRPr="00826D71" w:rsidRDefault="00C71C91" w:rsidP="002E44D8">
            <w:pPr>
              <w:rPr>
                <w:rFonts w:ascii="Arial Narrow" w:hAnsi="Arial Narrow"/>
                <w:b/>
                <w:bCs/>
                <w:sz w:val="20"/>
              </w:rPr>
            </w:pPr>
            <w:r w:rsidRPr="00826D71">
              <w:rPr>
                <w:rFonts w:ascii="Arial Narrow" w:hAnsi="Arial Narrow"/>
                <w:b/>
                <w:bCs/>
                <w:sz w:val="20"/>
              </w:rPr>
              <w:t>Trial</w:t>
            </w:r>
          </w:p>
        </w:tc>
        <w:tc>
          <w:tcPr>
            <w:tcW w:w="2764" w:type="dxa"/>
            <w:gridSpan w:val="3"/>
            <w:vAlign w:val="center"/>
          </w:tcPr>
          <w:p w:rsidR="00C71C91" w:rsidRPr="00826D71" w:rsidRDefault="00C71C91" w:rsidP="002E44D8">
            <w:pPr>
              <w:jc w:val="center"/>
              <w:rPr>
                <w:rFonts w:ascii="Arial Narrow" w:hAnsi="Arial Narrow"/>
                <w:b/>
                <w:bCs/>
                <w:sz w:val="20"/>
              </w:rPr>
            </w:pPr>
            <w:r w:rsidRPr="00826D71">
              <w:rPr>
                <w:rFonts w:ascii="Arial Narrow" w:hAnsi="Arial Narrow"/>
                <w:b/>
                <w:bCs/>
                <w:sz w:val="20"/>
              </w:rPr>
              <w:t>Omalizumab</w:t>
            </w:r>
          </w:p>
        </w:tc>
        <w:tc>
          <w:tcPr>
            <w:tcW w:w="2765" w:type="dxa"/>
            <w:gridSpan w:val="3"/>
            <w:tcBorders>
              <w:right w:val="double" w:sz="4" w:space="0" w:color="auto"/>
            </w:tcBorders>
            <w:vAlign w:val="center"/>
          </w:tcPr>
          <w:p w:rsidR="00C71C91" w:rsidRPr="00826D71" w:rsidRDefault="00C71C91" w:rsidP="002E44D8">
            <w:pPr>
              <w:jc w:val="center"/>
              <w:rPr>
                <w:rFonts w:ascii="Arial Narrow" w:hAnsi="Arial Narrow"/>
                <w:b/>
                <w:bCs/>
                <w:sz w:val="20"/>
              </w:rPr>
            </w:pPr>
            <w:r w:rsidRPr="00826D71">
              <w:rPr>
                <w:rFonts w:ascii="Arial Narrow" w:hAnsi="Arial Narrow"/>
                <w:b/>
                <w:bCs/>
                <w:sz w:val="20"/>
              </w:rPr>
              <w:t>Placebo</w:t>
            </w:r>
          </w:p>
        </w:tc>
        <w:tc>
          <w:tcPr>
            <w:tcW w:w="1701" w:type="dxa"/>
            <w:vMerge w:val="restart"/>
            <w:tcBorders>
              <w:left w:val="double" w:sz="4" w:space="0" w:color="auto"/>
            </w:tcBorders>
            <w:vAlign w:val="center"/>
          </w:tcPr>
          <w:p w:rsidR="00C71C91" w:rsidRPr="00826D71" w:rsidRDefault="00C71C91" w:rsidP="002E44D8">
            <w:pPr>
              <w:jc w:val="center"/>
              <w:rPr>
                <w:rFonts w:ascii="Arial Narrow" w:hAnsi="Arial Narrow"/>
                <w:b/>
                <w:bCs/>
                <w:sz w:val="20"/>
              </w:rPr>
            </w:pPr>
            <w:r w:rsidRPr="00826D71">
              <w:rPr>
                <w:rFonts w:ascii="Arial Narrow" w:hAnsi="Arial Narrow"/>
                <w:b/>
                <w:bCs/>
                <w:sz w:val="20"/>
              </w:rPr>
              <w:t>LS mean difference in change (95% CI)</w:t>
            </w:r>
          </w:p>
        </w:tc>
      </w:tr>
      <w:tr w:rsidR="00C71C91" w:rsidRPr="00826D71" w:rsidTr="002E44D8">
        <w:trPr>
          <w:tblHeader/>
        </w:trPr>
        <w:tc>
          <w:tcPr>
            <w:tcW w:w="1133" w:type="dxa"/>
            <w:vMerge/>
            <w:vAlign w:val="center"/>
          </w:tcPr>
          <w:p w:rsidR="00C71C91" w:rsidRPr="00826D71" w:rsidRDefault="00C71C91" w:rsidP="002E44D8">
            <w:pPr>
              <w:jc w:val="center"/>
              <w:rPr>
                <w:rFonts w:ascii="Arial Narrow" w:hAnsi="Arial Narrow"/>
                <w:b/>
                <w:bCs/>
                <w:sz w:val="20"/>
              </w:rPr>
            </w:pPr>
          </w:p>
        </w:tc>
        <w:tc>
          <w:tcPr>
            <w:tcW w:w="425" w:type="dxa"/>
            <w:vAlign w:val="center"/>
          </w:tcPr>
          <w:p w:rsidR="00C71C91" w:rsidRPr="00826D71" w:rsidRDefault="00C71C91" w:rsidP="002E44D8">
            <w:pPr>
              <w:jc w:val="center"/>
              <w:rPr>
                <w:rFonts w:ascii="Arial Narrow" w:hAnsi="Arial Narrow"/>
                <w:b/>
                <w:bCs/>
                <w:sz w:val="20"/>
              </w:rPr>
            </w:pPr>
            <w:r w:rsidRPr="00826D71">
              <w:rPr>
                <w:rFonts w:ascii="Arial Narrow" w:hAnsi="Arial Narrow"/>
                <w:b/>
                <w:bCs/>
                <w:sz w:val="20"/>
              </w:rPr>
              <w:t>n</w:t>
            </w:r>
          </w:p>
        </w:tc>
        <w:tc>
          <w:tcPr>
            <w:tcW w:w="1177" w:type="dxa"/>
            <w:vAlign w:val="center"/>
          </w:tcPr>
          <w:p w:rsidR="00C71C91" w:rsidRPr="00826D71" w:rsidRDefault="00C71C91" w:rsidP="002E44D8">
            <w:pPr>
              <w:jc w:val="center"/>
              <w:rPr>
                <w:rFonts w:ascii="Arial Narrow" w:hAnsi="Arial Narrow"/>
                <w:b/>
                <w:bCs/>
                <w:sz w:val="20"/>
              </w:rPr>
            </w:pPr>
            <w:r w:rsidRPr="00826D71">
              <w:rPr>
                <w:rFonts w:ascii="Arial Narrow" w:hAnsi="Arial Narrow"/>
                <w:b/>
                <w:bCs/>
                <w:sz w:val="20"/>
              </w:rPr>
              <w:t>Mean baseline (SD)</w:t>
            </w:r>
          </w:p>
        </w:tc>
        <w:tc>
          <w:tcPr>
            <w:tcW w:w="1162" w:type="dxa"/>
            <w:vAlign w:val="center"/>
          </w:tcPr>
          <w:p w:rsidR="00C71C91" w:rsidRPr="00826D71" w:rsidRDefault="00C71C91" w:rsidP="002E44D8">
            <w:pPr>
              <w:jc w:val="center"/>
              <w:rPr>
                <w:rFonts w:ascii="Arial Narrow" w:hAnsi="Arial Narrow"/>
                <w:b/>
                <w:bCs/>
                <w:sz w:val="20"/>
              </w:rPr>
            </w:pPr>
            <w:r w:rsidRPr="00826D71">
              <w:rPr>
                <w:rFonts w:ascii="Arial Narrow" w:hAnsi="Arial Narrow"/>
                <w:b/>
                <w:bCs/>
                <w:sz w:val="20"/>
              </w:rPr>
              <w:t>Mean change (SD)</w:t>
            </w:r>
          </w:p>
        </w:tc>
        <w:tc>
          <w:tcPr>
            <w:tcW w:w="420" w:type="dxa"/>
            <w:vAlign w:val="center"/>
          </w:tcPr>
          <w:p w:rsidR="00C71C91" w:rsidRPr="00826D71" w:rsidRDefault="00C71C91" w:rsidP="002E44D8">
            <w:pPr>
              <w:jc w:val="center"/>
              <w:rPr>
                <w:rFonts w:ascii="Arial Narrow" w:hAnsi="Arial Narrow"/>
                <w:b/>
                <w:bCs/>
                <w:sz w:val="20"/>
              </w:rPr>
            </w:pPr>
            <w:r w:rsidRPr="00826D71">
              <w:rPr>
                <w:rFonts w:ascii="Arial Narrow" w:hAnsi="Arial Narrow"/>
                <w:b/>
                <w:bCs/>
                <w:sz w:val="20"/>
              </w:rPr>
              <w:t>n</w:t>
            </w:r>
          </w:p>
        </w:tc>
        <w:tc>
          <w:tcPr>
            <w:tcW w:w="1175" w:type="dxa"/>
            <w:vAlign w:val="center"/>
          </w:tcPr>
          <w:p w:rsidR="00C71C91" w:rsidRPr="00826D71" w:rsidRDefault="00C71C91" w:rsidP="002E44D8">
            <w:pPr>
              <w:jc w:val="center"/>
              <w:rPr>
                <w:rFonts w:ascii="Arial Narrow" w:hAnsi="Arial Narrow"/>
                <w:b/>
                <w:bCs/>
                <w:sz w:val="20"/>
              </w:rPr>
            </w:pPr>
            <w:r w:rsidRPr="00826D71">
              <w:rPr>
                <w:rFonts w:ascii="Arial Narrow" w:hAnsi="Arial Narrow"/>
                <w:b/>
                <w:bCs/>
                <w:sz w:val="20"/>
              </w:rPr>
              <w:t>Mean baseline (SD)</w:t>
            </w:r>
          </w:p>
        </w:tc>
        <w:tc>
          <w:tcPr>
            <w:tcW w:w="1170" w:type="dxa"/>
            <w:tcBorders>
              <w:right w:val="double" w:sz="4" w:space="0" w:color="auto"/>
            </w:tcBorders>
            <w:vAlign w:val="center"/>
          </w:tcPr>
          <w:p w:rsidR="00C71C91" w:rsidRPr="00826D71" w:rsidRDefault="00C71C91" w:rsidP="002E44D8">
            <w:pPr>
              <w:jc w:val="center"/>
              <w:rPr>
                <w:rFonts w:ascii="Arial Narrow" w:hAnsi="Arial Narrow"/>
                <w:b/>
                <w:bCs/>
                <w:sz w:val="20"/>
              </w:rPr>
            </w:pPr>
            <w:r w:rsidRPr="00826D71">
              <w:rPr>
                <w:rFonts w:ascii="Arial Narrow" w:hAnsi="Arial Narrow"/>
                <w:b/>
                <w:bCs/>
                <w:sz w:val="20"/>
              </w:rPr>
              <w:t>Mean change (SD)</w:t>
            </w:r>
          </w:p>
        </w:tc>
        <w:tc>
          <w:tcPr>
            <w:tcW w:w="1701" w:type="dxa"/>
            <w:vMerge/>
            <w:tcBorders>
              <w:left w:val="double" w:sz="4" w:space="0" w:color="auto"/>
            </w:tcBorders>
            <w:vAlign w:val="center"/>
          </w:tcPr>
          <w:p w:rsidR="00C71C91" w:rsidRPr="00826D71" w:rsidRDefault="00C71C91" w:rsidP="002E44D8">
            <w:pPr>
              <w:jc w:val="center"/>
              <w:rPr>
                <w:rFonts w:ascii="Arial Narrow" w:hAnsi="Arial Narrow"/>
                <w:b/>
                <w:bCs/>
                <w:sz w:val="20"/>
              </w:rPr>
            </w:pPr>
          </w:p>
        </w:tc>
      </w:tr>
      <w:tr w:rsidR="00C71C91" w:rsidRPr="00826D71" w:rsidTr="002E44D8">
        <w:tc>
          <w:tcPr>
            <w:tcW w:w="8363" w:type="dxa"/>
            <w:gridSpan w:val="8"/>
            <w:tcBorders>
              <w:left w:val="single" w:sz="4" w:space="0" w:color="auto"/>
            </w:tcBorders>
          </w:tcPr>
          <w:p w:rsidR="00C71C91" w:rsidRPr="00826D71" w:rsidRDefault="00C71C91" w:rsidP="002E44D8">
            <w:pPr>
              <w:rPr>
                <w:rFonts w:ascii="Arial Narrow" w:hAnsi="Arial Narrow"/>
                <w:sz w:val="20"/>
              </w:rPr>
            </w:pPr>
            <w:r w:rsidRPr="00826D71">
              <w:rPr>
                <w:rFonts w:ascii="Arial Narrow" w:hAnsi="Arial Narrow"/>
                <w:sz w:val="20"/>
              </w:rPr>
              <w:t>Omalizumab 300 mg</w:t>
            </w:r>
          </w:p>
        </w:tc>
      </w:tr>
      <w:tr w:rsidR="00C71C91" w:rsidRPr="00826D71" w:rsidTr="002E44D8">
        <w:tc>
          <w:tcPr>
            <w:tcW w:w="1133" w:type="dxa"/>
          </w:tcPr>
          <w:p w:rsidR="00C71C91" w:rsidRPr="00826D71" w:rsidRDefault="00C71C91" w:rsidP="002E44D8">
            <w:pPr>
              <w:rPr>
                <w:rFonts w:ascii="Arial Narrow" w:hAnsi="Arial Narrow"/>
                <w:sz w:val="20"/>
                <w:vertAlign w:val="superscript"/>
              </w:rPr>
            </w:pPr>
            <w:proofErr w:type="spellStart"/>
            <w:r w:rsidRPr="00826D71">
              <w:rPr>
                <w:rFonts w:ascii="Arial Narrow" w:hAnsi="Arial Narrow"/>
                <w:sz w:val="20"/>
              </w:rPr>
              <w:t>GLACIAL</w:t>
            </w:r>
            <w:r w:rsidRPr="00826D71">
              <w:rPr>
                <w:rFonts w:ascii="Arial Narrow" w:hAnsi="Arial Narrow"/>
                <w:sz w:val="20"/>
                <w:vertAlign w:val="superscript"/>
              </w:rPr>
              <w:t>a</w:t>
            </w:r>
            <w:proofErr w:type="spellEnd"/>
          </w:p>
        </w:tc>
        <w:tc>
          <w:tcPr>
            <w:tcW w:w="425"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252</w:t>
            </w:r>
          </w:p>
        </w:tc>
        <w:tc>
          <w:tcPr>
            <w:tcW w:w="1177"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31.2 (6.6)</w:t>
            </w:r>
          </w:p>
        </w:tc>
        <w:tc>
          <w:tcPr>
            <w:tcW w:w="1162"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-19.01 (13.15)</w:t>
            </w:r>
          </w:p>
        </w:tc>
        <w:tc>
          <w:tcPr>
            <w:tcW w:w="420"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83</w:t>
            </w:r>
          </w:p>
        </w:tc>
        <w:tc>
          <w:tcPr>
            <w:tcW w:w="1175"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30.2 (6.7)</w:t>
            </w:r>
          </w:p>
        </w:tc>
        <w:tc>
          <w:tcPr>
            <w:tcW w:w="1170" w:type="dxa"/>
            <w:tcBorders>
              <w:right w:val="double" w:sz="4" w:space="0" w:color="auto"/>
            </w:tcBorders>
            <w:vAlign w:val="center"/>
          </w:tcPr>
          <w:p w:rsidR="00C71C91" w:rsidRPr="00826D71" w:rsidRDefault="00C71C91" w:rsidP="002E44D8">
            <w:pPr>
              <w:jc w:val="center"/>
              <w:rPr>
                <w:rFonts w:ascii="Arial Narrow" w:hAnsi="Arial Narrow"/>
                <w:sz w:val="20"/>
              </w:rPr>
            </w:pPr>
            <w:r w:rsidRPr="00826D71">
              <w:rPr>
                <w:rFonts w:ascii="Arial Narrow" w:hAnsi="Arial Narrow"/>
                <w:sz w:val="20"/>
              </w:rPr>
              <w:t>-8.50 (11.71)</w:t>
            </w:r>
          </w:p>
        </w:tc>
        <w:tc>
          <w:tcPr>
            <w:tcW w:w="1701" w:type="dxa"/>
            <w:tcBorders>
              <w:left w:val="double" w:sz="4" w:space="0" w:color="auto"/>
            </w:tcBorders>
            <w:vAlign w:val="center"/>
          </w:tcPr>
          <w:p w:rsidR="00C71C91" w:rsidRPr="00826D71" w:rsidRDefault="00C71C91" w:rsidP="002E44D8">
            <w:pPr>
              <w:jc w:val="center"/>
              <w:rPr>
                <w:rFonts w:ascii="Arial Narrow" w:hAnsi="Arial Narrow"/>
                <w:sz w:val="20"/>
              </w:rPr>
            </w:pPr>
            <w:r w:rsidRPr="00826D71">
              <w:rPr>
                <w:rFonts w:ascii="Arial Narrow" w:hAnsi="Arial Narrow"/>
                <w:b/>
                <w:bCs/>
                <w:sz w:val="20"/>
              </w:rPr>
              <w:t>-10.02 (-13.17, -6.86)</w:t>
            </w:r>
          </w:p>
        </w:tc>
      </w:tr>
      <w:tr w:rsidR="00C71C91" w:rsidRPr="00826D71" w:rsidTr="002E44D8">
        <w:tc>
          <w:tcPr>
            <w:tcW w:w="1133" w:type="dxa"/>
          </w:tcPr>
          <w:p w:rsidR="00C71C91" w:rsidRPr="00826D71" w:rsidRDefault="00C71C91" w:rsidP="002E44D8">
            <w:pPr>
              <w:rPr>
                <w:rFonts w:ascii="Arial Narrow" w:hAnsi="Arial Narrow"/>
                <w:sz w:val="20"/>
                <w:vertAlign w:val="superscript"/>
              </w:rPr>
            </w:pPr>
            <w:r w:rsidRPr="00826D71">
              <w:rPr>
                <w:rFonts w:ascii="Arial Narrow" w:hAnsi="Arial Narrow"/>
                <w:sz w:val="20"/>
              </w:rPr>
              <w:t xml:space="preserve">ASTERIA </w:t>
            </w:r>
            <w:proofErr w:type="spellStart"/>
            <w:r w:rsidRPr="00826D71">
              <w:rPr>
                <w:rFonts w:ascii="Arial Narrow" w:hAnsi="Arial Narrow"/>
                <w:sz w:val="20"/>
              </w:rPr>
              <w:t>I</w:t>
            </w:r>
            <w:r w:rsidRPr="00826D71">
              <w:rPr>
                <w:rFonts w:ascii="Arial Narrow" w:hAnsi="Arial Narrow"/>
                <w:sz w:val="20"/>
                <w:vertAlign w:val="superscript"/>
              </w:rPr>
              <w:t>a</w:t>
            </w:r>
            <w:proofErr w:type="spellEnd"/>
          </w:p>
        </w:tc>
        <w:tc>
          <w:tcPr>
            <w:tcW w:w="425"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81</w:t>
            </w:r>
          </w:p>
        </w:tc>
        <w:tc>
          <w:tcPr>
            <w:tcW w:w="1177"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31.3 (5.8)</w:t>
            </w:r>
          </w:p>
        </w:tc>
        <w:tc>
          <w:tcPr>
            <w:tcW w:w="1162"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-20.75 (12.17)</w:t>
            </w:r>
          </w:p>
        </w:tc>
        <w:tc>
          <w:tcPr>
            <w:tcW w:w="420"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80</w:t>
            </w:r>
          </w:p>
        </w:tc>
        <w:tc>
          <w:tcPr>
            <w:tcW w:w="1175"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31.1 (6.7)</w:t>
            </w:r>
          </w:p>
        </w:tc>
        <w:tc>
          <w:tcPr>
            <w:tcW w:w="1170" w:type="dxa"/>
            <w:tcBorders>
              <w:right w:val="double" w:sz="4" w:space="0" w:color="auto"/>
            </w:tcBorders>
            <w:vAlign w:val="center"/>
          </w:tcPr>
          <w:p w:rsidR="00C71C91" w:rsidRPr="00826D71" w:rsidRDefault="00C71C91" w:rsidP="002E44D8">
            <w:pPr>
              <w:jc w:val="center"/>
              <w:rPr>
                <w:rFonts w:ascii="Arial Narrow" w:hAnsi="Arial Narrow"/>
                <w:sz w:val="20"/>
              </w:rPr>
            </w:pPr>
            <w:r w:rsidRPr="00826D71">
              <w:rPr>
                <w:rFonts w:ascii="Arial Narrow" w:hAnsi="Arial Narrow"/>
                <w:sz w:val="20"/>
              </w:rPr>
              <w:t>-8.01 (11.47)</w:t>
            </w:r>
          </w:p>
        </w:tc>
        <w:tc>
          <w:tcPr>
            <w:tcW w:w="1701" w:type="dxa"/>
            <w:tcBorders>
              <w:left w:val="double" w:sz="4" w:space="0" w:color="auto"/>
            </w:tcBorders>
            <w:vAlign w:val="center"/>
          </w:tcPr>
          <w:p w:rsidR="00C71C91" w:rsidRPr="00826D71" w:rsidRDefault="00C71C91" w:rsidP="002E44D8">
            <w:pPr>
              <w:jc w:val="center"/>
              <w:rPr>
                <w:rFonts w:ascii="Arial Narrow" w:hAnsi="Arial Narrow"/>
                <w:sz w:val="20"/>
              </w:rPr>
            </w:pPr>
            <w:r w:rsidRPr="00826D71">
              <w:rPr>
                <w:rFonts w:ascii="Arial Narrow" w:hAnsi="Arial Narrow"/>
                <w:b/>
                <w:bCs/>
                <w:sz w:val="20"/>
              </w:rPr>
              <w:t>-12.80 (-16.44, -9.16)</w:t>
            </w:r>
          </w:p>
        </w:tc>
      </w:tr>
      <w:tr w:rsidR="00C71C91" w:rsidRPr="00826D71" w:rsidTr="002E44D8">
        <w:tc>
          <w:tcPr>
            <w:tcW w:w="1133" w:type="dxa"/>
          </w:tcPr>
          <w:p w:rsidR="00C71C91" w:rsidRPr="00826D71" w:rsidRDefault="00C71C91" w:rsidP="002E44D8">
            <w:pPr>
              <w:rPr>
                <w:rFonts w:ascii="Arial Narrow" w:hAnsi="Arial Narrow"/>
                <w:sz w:val="20"/>
                <w:vertAlign w:val="superscript"/>
              </w:rPr>
            </w:pPr>
            <w:r w:rsidRPr="00826D71">
              <w:rPr>
                <w:rFonts w:ascii="Arial Narrow" w:hAnsi="Arial Narrow"/>
                <w:sz w:val="20"/>
              </w:rPr>
              <w:t xml:space="preserve">ASTERIA </w:t>
            </w:r>
            <w:proofErr w:type="spellStart"/>
            <w:r w:rsidRPr="00826D71">
              <w:rPr>
                <w:rFonts w:ascii="Arial Narrow" w:hAnsi="Arial Narrow"/>
                <w:sz w:val="20"/>
              </w:rPr>
              <w:t>II</w:t>
            </w:r>
            <w:r w:rsidRPr="00826D71">
              <w:rPr>
                <w:rFonts w:ascii="Arial Narrow" w:hAnsi="Arial Narrow"/>
                <w:sz w:val="20"/>
                <w:vertAlign w:val="superscript"/>
              </w:rPr>
              <w:t>a</w:t>
            </w:r>
            <w:proofErr w:type="spellEnd"/>
          </w:p>
        </w:tc>
        <w:tc>
          <w:tcPr>
            <w:tcW w:w="425"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79</w:t>
            </w:r>
          </w:p>
        </w:tc>
        <w:tc>
          <w:tcPr>
            <w:tcW w:w="1177"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29.5 (6.9)</w:t>
            </w:r>
          </w:p>
        </w:tc>
        <w:tc>
          <w:tcPr>
            <w:tcW w:w="1162"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-21.74 (12.78)</w:t>
            </w:r>
          </w:p>
        </w:tc>
        <w:tc>
          <w:tcPr>
            <w:tcW w:w="420"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79</w:t>
            </w:r>
          </w:p>
        </w:tc>
        <w:tc>
          <w:tcPr>
            <w:tcW w:w="1175"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31.0 (6.6)</w:t>
            </w:r>
          </w:p>
        </w:tc>
        <w:tc>
          <w:tcPr>
            <w:tcW w:w="1170" w:type="dxa"/>
            <w:tcBorders>
              <w:right w:val="double" w:sz="4" w:space="0" w:color="auto"/>
            </w:tcBorders>
            <w:vAlign w:val="center"/>
          </w:tcPr>
          <w:p w:rsidR="00C71C91" w:rsidRPr="00826D71" w:rsidRDefault="00C71C91" w:rsidP="002E44D8">
            <w:pPr>
              <w:jc w:val="center"/>
              <w:rPr>
                <w:rFonts w:ascii="Arial Narrow" w:hAnsi="Arial Narrow"/>
                <w:sz w:val="20"/>
              </w:rPr>
            </w:pPr>
            <w:r w:rsidRPr="00826D71">
              <w:rPr>
                <w:rFonts w:ascii="Arial Narrow" w:hAnsi="Arial Narrow"/>
                <w:sz w:val="20"/>
              </w:rPr>
              <w:t>-10.36 (11.61)</w:t>
            </w:r>
          </w:p>
        </w:tc>
        <w:tc>
          <w:tcPr>
            <w:tcW w:w="1701" w:type="dxa"/>
            <w:tcBorders>
              <w:left w:val="double" w:sz="4" w:space="0" w:color="auto"/>
            </w:tcBorders>
            <w:vAlign w:val="center"/>
          </w:tcPr>
          <w:p w:rsidR="00C71C91" w:rsidRPr="00826D71" w:rsidRDefault="00C71C91" w:rsidP="002E44D8">
            <w:pPr>
              <w:jc w:val="center"/>
              <w:rPr>
                <w:rFonts w:ascii="Arial Narrow" w:hAnsi="Arial Narrow"/>
                <w:sz w:val="20"/>
              </w:rPr>
            </w:pPr>
            <w:r w:rsidRPr="00826D71">
              <w:rPr>
                <w:rFonts w:ascii="Arial Narrow" w:hAnsi="Arial Narrow"/>
                <w:b/>
                <w:bCs/>
                <w:sz w:val="20"/>
              </w:rPr>
              <w:t>-12.40 (-16.13, -8.66)</w:t>
            </w:r>
          </w:p>
        </w:tc>
      </w:tr>
      <w:tr w:rsidR="00C71C91" w:rsidRPr="00826D71" w:rsidTr="002E44D8">
        <w:tc>
          <w:tcPr>
            <w:tcW w:w="1133" w:type="dxa"/>
          </w:tcPr>
          <w:p w:rsidR="00C71C91" w:rsidRPr="00826D71" w:rsidRDefault="00C71C91" w:rsidP="002E44D8">
            <w:pPr>
              <w:rPr>
                <w:rFonts w:ascii="Arial Narrow" w:hAnsi="Arial Narrow"/>
                <w:i/>
                <w:iCs/>
                <w:sz w:val="20"/>
              </w:rPr>
            </w:pPr>
            <w:r w:rsidRPr="00826D71">
              <w:rPr>
                <w:rFonts w:ascii="Arial Narrow" w:hAnsi="Arial Narrow"/>
                <w:i/>
                <w:iCs/>
                <w:sz w:val="20"/>
              </w:rPr>
              <w:t>X-</w:t>
            </w:r>
            <w:proofErr w:type="spellStart"/>
            <w:r w:rsidRPr="00826D71">
              <w:rPr>
                <w:rFonts w:ascii="Arial Narrow" w:hAnsi="Arial Narrow"/>
                <w:i/>
                <w:iCs/>
                <w:sz w:val="20"/>
              </w:rPr>
              <w:t>ACT</w:t>
            </w:r>
            <w:r w:rsidRPr="00826D71">
              <w:rPr>
                <w:rFonts w:ascii="Arial Narrow" w:hAnsi="Arial Narrow"/>
                <w:i/>
                <w:iCs/>
                <w:sz w:val="20"/>
                <w:vertAlign w:val="superscript"/>
              </w:rPr>
              <w:t>b</w:t>
            </w:r>
            <w:proofErr w:type="spellEnd"/>
            <w:r w:rsidRPr="00826D71">
              <w:rPr>
                <w:rFonts w:ascii="Arial Narrow" w:hAnsi="Arial Narrow"/>
                <w:i/>
                <w:iCs/>
                <w:sz w:val="20"/>
              </w:rPr>
              <w:t xml:space="preserve"> (supportive)</w:t>
            </w:r>
          </w:p>
        </w:tc>
        <w:tc>
          <w:tcPr>
            <w:tcW w:w="425" w:type="dxa"/>
            <w:vAlign w:val="center"/>
          </w:tcPr>
          <w:p w:rsidR="00C71C91" w:rsidRPr="00826D71" w:rsidRDefault="00C71C91" w:rsidP="002E44D8">
            <w:pPr>
              <w:jc w:val="center"/>
              <w:rPr>
                <w:rFonts w:ascii="Arial Narrow" w:hAnsi="Arial Narrow"/>
                <w:i/>
                <w:iCs/>
                <w:sz w:val="20"/>
              </w:rPr>
            </w:pPr>
            <w:r w:rsidRPr="00826D71">
              <w:rPr>
                <w:rFonts w:ascii="Arial Narrow" w:hAnsi="Arial Narrow"/>
                <w:i/>
                <w:iCs/>
                <w:sz w:val="20"/>
              </w:rPr>
              <w:t>44</w:t>
            </w:r>
          </w:p>
        </w:tc>
        <w:tc>
          <w:tcPr>
            <w:tcW w:w="1177" w:type="dxa"/>
            <w:vAlign w:val="center"/>
          </w:tcPr>
          <w:p w:rsidR="00C71C91" w:rsidRPr="00826D71" w:rsidRDefault="00C71C91" w:rsidP="002E44D8">
            <w:pPr>
              <w:jc w:val="center"/>
              <w:rPr>
                <w:rFonts w:ascii="Arial Narrow" w:hAnsi="Arial Narrow"/>
                <w:i/>
                <w:iCs/>
                <w:sz w:val="20"/>
              </w:rPr>
            </w:pPr>
            <w:r w:rsidRPr="00826D71">
              <w:rPr>
                <w:rFonts w:ascii="Arial Narrow" w:hAnsi="Arial Narrow"/>
                <w:i/>
                <w:iCs/>
                <w:sz w:val="20"/>
              </w:rPr>
              <w:t>26.5 (8.2)</w:t>
            </w:r>
          </w:p>
        </w:tc>
        <w:tc>
          <w:tcPr>
            <w:tcW w:w="1162" w:type="dxa"/>
            <w:vAlign w:val="center"/>
          </w:tcPr>
          <w:p w:rsidR="00C71C91" w:rsidRPr="00826D71" w:rsidRDefault="00C71C91" w:rsidP="002E44D8">
            <w:pPr>
              <w:jc w:val="center"/>
              <w:rPr>
                <w:rFonts w:ascii="Arial Narrow" w:hAnsi="Arial Narrow"/>
                <w:i/>
                <w:iCs/>
                <w:sz w:val="20"/>
              </w:rPr>
            </w:pPr>
            <w:r w:rsidRPr="00826D71">
              <w:rPr>
                <w:rFonts w:ascii="Arial Narrow" w:hAnsi="Arial Narrow"/>
                <w:i/>
                <w:iCs/>
                <w:sz w:val="20"/>
              </w:rPr>
              <w:t>-16.4 (14.3)</w:t>
            </w:r>
          </w:p>
        </w:tc>
        <w:tc>
          <w:tcPr>
            <w:tcW w:w="420" w:type="dxa"/>
            <w:vAlign w:val="center"/>
          </w:tcPr>
          <w:p w:rsidR="00C71C91" w:rsidRPr="00826D71" w:rsidRDefault="00C71C91" w:rsidP="002E44D8">
            <w:pPr>
              <w:jc w:val="center"/>
              <w:rPr>
                <w:rFonts w:ascii="Arial Narrow" w:hAnsi="Arial Narrow"/>
                <w:i/>
                <w:iCs/>
                <w:sz w:val="20"/>
              </w:rPr>
            </w:pPr>
            <w:r w:rsidRPr="00826D71">
              <w:rPr>
                <w:rFonts w:ascii="Arial Narrow" w:hAnsi="Arial Narrow"/>
                <w:i/>
                <w:iCs/>
                <w:sz w:val="20"/>
              </w:rPr>
              <w:t>47</w:t>
            </w:r>
          </w:p>
        </w:tc>
        <w:tc>
          <w:tcPr>
            <w:tcW w:w="1175" w:type="dxa"/>
            <w:vAlign w:val="center"/>
          </w:tcPr>
          <w:p w:rsidR="00C71C91" w:rsidRPr="00826D71" w:rsidRDefault="00C71C91" w:rsidP="002E44D8">
            <w:pPr>
              <w:jc w:val="center"/>
              <w:rPr>
                <w:rFonts w:ascii="Arial Narrow" w:hAnsi="Arial Narrow"/>
                <w:i/>
                <w:iCs/>
                <w:sz w:val="20"/>
              </w:rPr>
            </w:pPr>
            <w:r w:rsidRPr="00826D71">
              <w:rPr>
                <w:rFonts w:ascii="Arial Narrow" w:hAnsi="Arial Narrow"/>
                <w:i/>
                <w:iCs/>
                <w:sz w:val="20"/>
              </w:rPr>
              <w:t>27.9 (8.7)</w:t>
            </w:r>
          </w:p>
        </w:tc>
        <w:tc>
          <w:tcPr>
            <w:tcW w:w="1170" w:type="dxa"/>
            <w:tcBorders>
              <w:right w:val="double" w:sz="4" w:space="0" w:color="auto"/>
            </w:tcBorders>
            <w:vAlign w:val="center"/>
          </w:tcPr>
          <w:p w:rsidR="00C71C91" w:rsidRPr="00826D71" w:rsidRDefault="00C71C91" w:rsidP="002E44D8">
            <w:pPr>
              <w:jc w:val="center"/>
              <w:rPr>
                <w:rFonts w:ascii="Arial Narrow" w:hAnsi="Arial Narrow"/>
                <w:i/>
                <w:iCs/>
                <w:sz w:val="20"/>
              </w:rPr>
            </w:pPr>
            <w:r w:rsidRPr="00826D71">
              <w:rPr>
                <w:rFonts w:ascii="Arial Narrow" w:hAnsi="Arial Narrow"/>
                <w:i/>
                <w:iCs/>
                <w:sz w:val="20"/>
              </w:rPr>
              <w:t>-4.4 (13.3)</w:t>
            </w:r>
          </w:p>
        </w:tc>
        <w:tc>
          <w:tcPr>
            <w:tcW w:w="1701" w:type="dxa"/>
            <w:tcBorders>
              <w:left w:val="double" w:sz="4" w:space="0" w:color="auto"/>
            </w:tcBorders>
            <w:vAlign w:val="center"/>
          </w:tcPr>
          <w:p w:rsidR="00C71C91" w:rsidRPr="00826D71" w:rsidRDefault="00C71C91" w:rsidP="002E44D8">
            <w:pPr>
              <w:jc w:val="center"/>
              <w:rPr>
                <w:rFonts w:ascii="Arial Narrow" w:hAnsi="Arial Narrow"/>
                <w:b/>
                <w:bCs/>
                <w:i/>
                <w:iCs/>
                <w:sz w:val="20"/>
              </w:rPr>
            </w:pPr>
            <w:r w:rsidRPr="00826D71">
              <w:rPr>
                <w:rFonts w:ascii="Arial Narrow" w:hAnsi="Arial Narrow"/>
                <w:b/>
                <w:bCs/>
                <w:i/>
                <w:iCs/>
                <w:sz w:val="20"/>
              </w:rPr>
              <w:t>-13.2 (-19.3, -7.1)</w:t>
            </w:r>
          </w:p>
        </w:tc>
      </w:tr>
      <w:tr w:rsidR="00C71C91" w:rsidRPr="00826D71" w:rsidTr="002E44D8">
        <w:tc>
          <w:tcPr>
            <w:tcW w:w="8363" w:type="dxa"/>
            <w:gridSpan w:val="8"/>
            <w:tcBorders>
              <w:left w:val="single" w:sz="4" w:space="0" w:color="auto"/>
            </w:tcBorders>
          </w:tcPr>
          <w:p w:rsidR="00C71C91" w:rsidRPr="00826D71" w:rsidRDefault="00C71C91" w:rsidP="002E44D8">
            <w:pPr>
              <w:rPr>
                <w:rFonts w:ascii="Arial Narrow" w:hAnsi="Arial Narrow"/>
                <w:sz w:val="20"/>
              </w:rPr>
            </w:pPr>
            <w:r w:rsidRPr="00826D71">
              <w:rPr>
                <w:rFonts w:ascii="Arial Narrow" w:hAnsi="Arial Narrow"/>
                <w:sz w:val="20"/>
              </w:rPr>
              <w:t>Omalizumab 150 mg</w:t>
            </w:r>
          </w:p>
        </w:tc>
      </w:tr>
      <w:tr w:rsidR="00C71C91" w:rsidRPr="00826D71" w:rsidTr="002E44D8">
        <w:tc>
          <w:tcPr>
            <w:tcW w:w="1133" w:type="dxa"/>
          </w:tcPr>
          <w:p w:rsidR="00C71C91" w:rsidRPr="00826D71" w:rsidRDefault="00C71C91" w:rsidP="002E44D8">
            <w:pPr>
              <w:rPr>
                <w:rFonts w:ascii="Arial Narrow" w:hAnsi="Arial Narrow"/>
                <w:sz w:val="20"/>
              </w:rPr>
            </w:pPr>
            <w:r w:rsidRPr="00826D71">
              <w:rPr>
                <w:rFonts w:ascii="Arial Narrow" w:hAnsi="Arial Narrow"/>
                <w:sz w:val="20"/>
              </w:rPr>
              <w:t xml:space="preserve">ASTERIA </w:t>
            </w:r>
            <w:proofErr w:type="spellStart"/>
            <w:r w:rsidRPr="00826D71">
              <w:rPr>
                <w:rFonts w:ascii="Arial Narrow" w:hAnsi="Arial Narrow"/>
                <w:sz w:val="20"/>
              </w:rPr>
              <w:t>I</w:t>
            </w:r>
            <w:r w:rsidRPr="00826D71">
              <w:rPr>
                <w:rFonts w:ascii="Arial Narrow" w:hAnsi="Arial Narrow"/>
                <w:sz w:val="20"/>
                <w:vertAlign w:val="superscript"/>
              </w:rPr>
              <w:t>a</w:t>
            </w:r>
            <w:proofErr w:type="spellEnd"/>
          </w:p>
        </w:tc>
        <w:tc>
          <w:tcPr>
            <w:tcW w:w="425"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80</w:t>
            </w:r>
          </w:p>
        </w:tc>
        <w:tc>
          <w:tcPr>
            <w:tcW w:w="1177"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30.3 (7.3)</w:t>
            </w:r>
          </w:p>
        </w:tc>
        <w:tc>
          <w:tcPr>
            <w:tcW w:w="1162"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-14.44 (12.95)</w:t>
            </w:r>
          </w:p>
        </w:tc>
        <w:tc>
          <w:tcPr>
            <w:tcW w:w="420"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80</w:t>
            </w:r>
          </w:p>
        </w:tc>
        <w:tc>
          <w:tcPr>
            <w:tcW w:w="1175"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31.1 (6.7)</w:t>
            </w:r>
          </w:p>
        </w:tc>
        <w:tc>
          <w:tcPr>
            <w:tcW w:w="1170" w:type="dxa"/>
            <w:tcBorders>
              <w:right w:val="double" w:sz="4" w:space="0" w:color="auto"/>
            </w:tcBorders>
            <w:vAlign w:val="center"/>
          </w:tcPr>
          <w:p w:rsidR="00C71C91" w:rsidRPr="00826D71" w:rsidRDefault="00C71C91" w:rsidP="002E44D8">
            <w:pPr>
              <w:jc w:val="center"/>
              <w:rPr>
                <w:rFonts w:ascii="Arial Narrow" w:hAnsi="Arial Narrow"/>
                <w:sz w:val="20"/>
              </w:rPr>
            </w:pPr>
            <w:r w:rsidRPr="00826D71">
              <w:rPr>
                <w:rFonts w:ascii="Arial Narrow" w:hAnsi="Arial Narrow"/>
                <w:sz w:val="20"/>
              </w:rPr>
              <w:t>-8.01 (11.47)</w:t>
            </w:r>
          </w:p>
        </w:tc>
        <w:tc>
          <w:tcPr>
            <w:tcW w:w="1701" w:type="dxa"/>
            <w:tcBorders>
              <w:left w:val="double" w:sz="4" w:space="0" w:color="auto"/>
            </w:tcBorders>
            <w:vAlign w:val="center"/>
          </w:tcPr>
          <w:p w:rsidR="00C71C91" w:rsidRPr="00826D71" w:rsidRDefault="00C71C91" w:rsidP="002E44D8">
            <w:pPr>
              <w:jc w:val="center"/>
              <w:rPr>
                <w:rFonts w:ascii="Arial Narrow" w:hAnsi="Arial Narrow"/>
                <w:sz w:val="20"/>
              </w:rPr>
            </w:pPr>
            <w:r w:rsidRPr="00826D71">
              <w:rPr>
                <w:rFonts w:ascii="Arial Narrow" w:hAnsi="Arial Narrow"/>
                <w:b/>
                <w:bCs/>
                <w:sz w:val="20"/>
              </w:rPr>
              <w:t>-6.54 (-10.33, -2.75)</w:t>
            </w:r>
          </w:p>
        </w:tc>
      </w:tr>
      <w:tr w:rsidR="00C71C91" w:rsidRPr="00826D71" w:rsidTr="002E44D8">
        <w:tc>
          <w:tcPr>
            <w:tcW w:w="1133" w:type="dxa"/>
          </w:tcPr>
          <w:p w:rsidR="00C71C91" w:rsidRPr="00826D71" w:rsidRDefault="00C71C91" w:rsidP="002E44D8">
            <w:pPr>
              <w:rPr>
                <w:rFonts w:ascii="Arial Narrow" w:hAnsi="Arial Narrow"/>
                <w:sz w:val="20"/>
              </w:rPr>
            </w:pPr>
            <w:r w:rsidRPr="00826D71">
              <w:rPr>
                <w:rFonts w:ascii="Arial Narrow" w:hAnsi="Arial Narrow"/>
                <w:sz w:val="20"/>
              </w:rPr>
              <w:t xml:space="preserve">ASTERIA </w:t>
            </w:r>
            <w:proofErr w:type="spellStart"/>
            <w:r w:rsidRPr="00826D71">
              <w:rPr>
                <w:rFonts w:ascii="Arial Narrow" w:hAnsi="Arial Narrow"/>
                <w:sz w:val="20"/>
              </w:rPr>
              <w:t>II</w:t>
            </w:r>
            <w:r w:rsidRPr="00826D71">
              <w:rPr>
                <w:rFonts w:ascii="Arial Narrow" w:hAnsi="Arial Narrow"/>
                <w:sz w:val="20"/>
                <w:vertAlign w:val="superscript"/>
              </w:rPr>
              <w:t>a</w:t>
            </w:r>
            <w:proofErr w:type="spellEnd"/>
          </w:p>
        </w:tc>
        <w:tc>
          <w:tcPr>
            <w:tcW w:w="425"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82</w:t>
            </w:r>
          </w:p>
        </w:tc>
        <w:tc>
          <w:tcPr>
            <w:tcW w:w="1177"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31.4 (7.0)</w:t>
            </w:r>
          </w:p>
        </w:tc>
        <w:tc>
          <w:tcPr>
            <w:tcW w:w="1162"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-17.89 (13.23)</w:t>
            </w:r>
          </w:p>
        </w:tc>
        <w:tc>
          <w:tcPr>
            <w:tcW w:w="420"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79</w:t>
            </w:r>
          </w:p>
        </w:tc>
        <w:tc>
          <w:tcPr>
            <w:tcW w:w="1175" w:type="dxa"/>
            <w:vAlign w:val="center"/>
          </w:tcPr>
          <w:p w:rsidR="00C71C91" w:rsidRPr="00826D71" w:rsidRDefault="00C71C91" w:rsidP="002E44D8">
            <w:pPr>
              <w:jc w:val="center"/>
              <w:rPr>
                <w:rFonts w:ascii="Arial Narrow" w:hAnsi="Arial Narrow"/>
                <w:sz w:val="20"/>
              </w:rPr>
            </w:pPr>
            <w:r w:rsidRPr="00826D71">
              <w:rPr>
                <w:rFonts w:ascii="Arial Narrow" w:hAnsi="Arial Narrow"/>
                <w:sz w:val="20"/>
              </w:rPr>
              <w:t>31.0 (6.6)</w:t>
            </w:r>
          </w:p>
        </w:tc>
        <w:tc>
          <w:tcPr>
            <w:tcW w:w="1170" w:type="dxa"/>
            <w:tcBorders>
              <w:right w:val="double" w:sz="4" w:space="0" w:color="auto"/>
            </w:tcBorders>
            <w:vAlign w:val="center"/>
          </w:tcPr>
          <w:p w:rsidR="00C71C91" w:rsidRPr="00826D71" w:rsidRDefault="00C71C91" w:rsidP="002E44D8">
            <w:pPr>
              <w:jc w:val="center"/>
              <w:rPr>
                <w:rFonts w:ascii="Arial Narrow" w:hAnsi="Arial Narrow"/>
                <w:sz w:val="20"/>
              </w:rPr>
            </w:pPr>
            <w:r w:rsidRPr="00826D71">
              <w:rPr>
                <w:rFonts w:ascii="Arial Narrow" w:hAnsi="Arial Narrow"/>
                <w:sz w:val="20"/>
              </w:rPr>
              <w:t>-10.36 (11.61)</w:t>
            </w:r>
          </w:p>
        </w:tc>
        <w:tc>
          <w:tcPr>
            <w:tcW w:w="1701" w:type="dxa"/>
            <w:tcBorders>
              <w:left w:val="double" w:sz="4" w:space="0" w:color="auto"/>
            </w:tcBorders>
            <w:vAlign w:val="center"/>
          </w:tcPr>
          <w:p w:rsidR="00C71C91" w:rsidRPr="00826D71" w:rsidRDefault="00C71C91" w:rsidP="002E44D8">
            <w:pPr>
              <w:jc w:val="center"/>
              <w:rPr>
                <w:rFonts w:ascii="Arial Narrow" w:hAnsi="Arial Narrow"/>
                <w:sz w:val="20"/>
              </w:rPr>
            </w:pPr>
            <w:r w:rsidRPr="00826D71">
              <w:rPr>
                <w:rFonts w:ascii="Arial Narrow" w:hAnsi="Arial Narrow"/>
                <w:b/>
                <w:bCs/>
                <w:sz w:val="20"/>
              </w:rPr>
              <w:t>-7.69 (-11.49, -3.88)</w:t>
            </w:r>
          </w:p>
        </w:tc>
      </w:tr>
    </w:tbl>
    <w:p w:rsidR="00C71C91" w:rsidRPr="00826D71" w:rsidRDefault="00C71C91" w:rsidP="00C71C91">
      <w:pPr>
        <w:ind w:left="720"/>
        <w:rPr>
          <w:rFonts w:ascii="Arial Narrow" w:hAnsi="Arial Narrow"/>
          <w:i/>
          <w:iCs/>
          <w:sz w:val="18"/>
          <w:szCs w:val="18"/>
        </w:rPr>
      </w:pPr>
      <w:r w:rsidRPr="00826D71">
        <w:rPr>
          <w:rFonts w:ascii="Arial Narrow" w:hAnsi="Arial Narrow"/>
          <w:sz w:val="18"/>
          <w:szCs w:val="18"/>
        </w:rPr>
        <w:t>Source: Table 3, p</w:t>
      </w:r>
      <w:r w:rsidR="00865CF5" w:rsidRPr="00826D71">
        <w:rPr>
          <w:rFonts w:ascii="Arial Narrow" w:hAnsi="Arial Narrow"/>
          <w:sz w:val="18"/>
          <w:szCs w:val="18"/>
        </w:rPr>
        <w:t xml:space="preserve">age </w:t>
      </w:r>
      <w:r w:rsidRPr="00826D71">
        <w:rPr>
          <w:rFonts w:ascii="Arial Narrow" w:hAnsi="Arial Narrow"/>
          <w:sz w:val="18"/>
          <w:szCs w:val="18"/>
        </w:rPr>
        <w:t>5 of the minor resubmission</w:t>
      </w:r>
    </w:p>
    <w:p w:rsidR="00C71C91" w:rsidRPr="00826D71" w:rsidRDefault="00C71C91" w:rsidP="00C71C91">
      <w:pPr>
        <w:pStyle w:val="TableFooter"/>
        <w:ind w:left="720"/>
      </w:pPr>
      <w:r w:rsidRPr="00826D71">
        <w:rPr>
          <w:szCs w:val="18"/>
        </w:rPr>
        <w:t xml:space="preserve">Abbreviations: BOCF = baseline observation carried forward; CI = confidence interval; FAS = full analysis set; LOCF = last observation carried forward; LS = least squares; </w:t>
      </w:r>
      <w:proofErr w:type="spellStart"/>
      <w:r w:rsidRPr="00826D71">
        <w:rPr>
          <w:szCs w:val="18"/>
        </w:rPr>
        <w:t>mITT</w:t>
      </w:r>
      <w:proofErr w:type="spellEnd"/>
      <w:r w:rsidRPr="00826D71">
        <w:rPr>
          <w:szCs w:val="18"/>
        </w:rPr>
        <w:t xml:space="preserve"> = modified intention-to-treat; SD = standard deviation; </w:t>
      </w:r>
      <w:r w:rsidRPr="00826D71">
        <w:t xml:space="preserve">UAS7 = </w:t>
      </w:r>
      <w:proofErr w:type="spellStart"/>
      <w:r w:rsidRPr="00826D71">
        <w:t>Urticaria</w:t>
      </w:r>
      <w:proofErr w:type="spellEnd"/>
      <w:r w:rsidRPr="00826D71">
        <w:t xml:space="preserve"> Activity Score over 7 days</w:t>
      </w:r>
    </w:p>
    <w:p w:rsidR="00C71C91" w:rsidRPr="00826D71" w:rsidRDefault="00C71C91" w:rsidP="00C71C91">
      <w:pPr>
        <w:ind w:firstLine="720"/>
        <w:rPr>
          <w:rFonts w:ascii="Arial Narrow" w:hAnsi="Arial Narrow"/>
          <w:sz w:val="18"/>
          <w:szCs w:val="18"/>
        </w:rPr>
      </w:pPr>
      <w:r w:rsidRPr="00826D71">
        <w:rPr>
          <w:rFonts w:ascii="Arial Narrow" w:hAnsi="Arial Narrow"/>
          <w:sz w:val="18"/>
          <w:szCs w:val="18"/>
        </w:rPr>
        <w:t>Note: Treatment group difference (omalizumab minus placebo)</w:t>
      </w:r>
    </w:p>
    <w:p w:rsidR="00C71C91" w:rsidRPr="00826D71" w:rsidRDefault="00C71C91" w:rsidP="00C71C91">
      <w:pPr>
        <w:tabs>
          <w:tab w:val="left" w:pos="709"/>
          <w:tab w:val="left" w:pos="851"/>
        </w:tabs>
        <w:ind w:left="993" w:hanging="993"/>
        <w:rPr>
          <w:rFonts w:ascii="Arial Narrow" w:hAnsi="Arial Narrow"/>
          <w:sz w:val="18"/>
          <w:szCs w:val="18"/>
        </w:rPr>
      </w:pPr>
      <w:r w:rsidRPr="00826D71">
        <w:rPr>
          <w:rFonts w:ascii="Arial Narrow" w:hAnsi="Arial Narrow"/>
          <w:sz w:val="18"/>
          <w:szCs w:val="18"/>
          <w:vertAlign w:val="superscript"/>
        </w:rPr>
        <w:tab/>
      </w:r>
      <w:r w:rsidRPr="00826D71">
        <w:rPr>
          <w:rFonts w:ascii="Arial Narrow" w:hAnsi="Arial Narrow"/>
          <w:sz w:val="18"/>
          <w:szCs w:val="18"/>
          <w:vertAlign w:val="superscript"/>
        </w:rPr>
        <w:tab/>
      </w:r>
      <w:proofErr w:type="gramStart"/>
      <w:r w:rsidRPr="00826D71">
        <w:rPr>
          <w:rFonts w:ascii="Arial Narrow" w:hAnsi="Arial Narrow"/>
          <w:sz w:val="18"/>
          <w:szCs w:val="18"/>
          <w:vertAlign w:val="superscript"/>
        </w:rPr>
        <w:t>a</w:t>
      </w:r>
      <w:proofErr w:type="gramEnd"/>
      <w:r w:rsidRPr="00826D71">
        <w:rPr>
          <w:rFonts w:ascii="Arial Narrow" w:hAnsi="Arial Narrow"/>
          <w:sz w:val="18"/>
          <w:szCs w:val="18"/>
        </w:rPr>
        <w:tab/>
      </w:r>
      <w:proofErr w:type="spellStart"/>
      <w:r w:rsidRPr="00826D71">
        <w:rPr>
          <w:rFonts w:ascii="Arial Narrow" w:hAnsi="Arial Narrow"/>
          <w:sz w:val="18"/>
          <w:szCs w:val="18"/>
        </w:rPr>
        <w:t>mITT</w:t>
      </w:r>
      <w:proofErr w:type="spellEnd"/>
      <w:r w:rsidRPr="00826D71">
        <w:rPr>
          <w:rFonts w:ascii="Arial Narrow" w:hAnsi="Arial Narrow"/>
          <w:sz w:val="18"/>
          <w:szCs w:val="18"/>
        </w:rPr>
        <w:t xml:space="preserve"> population (BOCF)</w:t>
      </w:r>
    </w:p>
    <w:p w:rsidR="00C71C91" w:rsidRPr="00826D71" w:rsidRDefault="00C71C91" w:rsidP="00C71C91">
      <w:pPr>
        <w:tabs>
          <w:tab w:val="left" w:pos="709"/>
          <w:tab w:val="left" w:pos="851"/>
        </w:tabs>
        <w:ind w:left="993" w:hanging="993"/>
        <w:rPr>
          <w:rFonts w:ascii="Arial Narrow" w:hAnsi="Arial Narrow"/>
          <w:i/>
          <w:iCs/>
          <w:sz w:val="18"/>
          <w:szCs w:val="18"/>
        </w:rPr>
      </w:pPr>
      <w:r w:rsidRPr="00826D71">
        <w:rPr>
          <w:rFonts w:ascii="Arial Narrow" w:hAnsi="Arial Narrow"/>
          <w:sz w:val="18"/>
          <w:szCs w:val="18"/>
          <w:vertAlign w:val="superscript"/>
        </w:rPr>
        <w:tab/>
      </w:r>
      <w:r w:rsidRPr="00826D71">
        <w:rPr>
          <w:rFonts w:ascii="Arial Narrow" w:hAnsi="Arial Narrow"/>
          <w:sz w:val="18"/>
          <w:szCs w:val="18"/>
          <w:vertAlign w:val="superscript"/>
        </w:rPr>
        <w:tab/>
      </w:r>
      <w:proofErr w:type="gramStart"/>
      <w:r w:rsidRPr="00826D71">
        <w:rPr>
          <w:rFonts w:ascii="Arial Narrow" w:hAnsi="Arial Narrow"/>
          <w:sz w:val="18"/>
          <w:szCs w:val="18"/>
          <w:vertAlign w:val="superscript"/>
        </w:rPr>
        <w:t>b</w:t>
      </w:r>
      <w:proofErr w:type="gramEnd"/>
      <w:r w:rsidRPr="00826D71">
        <w:rPr>
          <w:rFonts w:ascii="Arial Narrow" w:hAnsi="Arial Narrow"/>
          <w:sz w:val="18"/>
          <w:szCs w:val="18"/>
          <w:vertAlign w:val="superscript"/>
        </w:rPr>
        <w:tab/>
      </w:r>
      <w:r w:rsidRPr="00826D71">
        <w:rPr>
          <w:rFonts w:ascii="Arial Narrow" w:hAnsi="Arial Narrow"/>
          <w:i/>
          <w:iCs/>
          <w:sz w:val="18"/>
          <w:szCs w:val="18"/>
        </w:rPr>
        <w:t>Extracted from the Novartis Clinical Trial Results Database. The main outcome was measured at Week 28, but week 12 data were included in this table to increase comparability with the other trials. Analysis based on the FAS (LOCF).</w:t>
      </w:r>
    </w:p>
    <w:p w:rsidR="008D4BDB" w:rsidRPr="00826D71" w:rsidRDefault="008D4BDB" w:rsidP="0081115B">
      <w:pPr>
        <w:pStyle w:val="ListParagraph"/>
        <w:ind w:left="0"/>
        <w:rPr>
          <w:szCs w:val="22"/>
        </w:rPr>
      </w:pPr>
    </w:p>
    <w:p w:rsidR="00E416FE" w:rsidRPr="00826D71" w:rsidRDefault="00C71C91" w:rsidP="006A7F9E">
      <w:pPr>
        <w:pStyle w:val="ListParagraph"/>
        <w:numPr>
          <w:ilvl w:val="1"/>
          <w:numId w:val="5"/>
        </w:numPr>
        <w:rPr>
          <w:szCs w:val="22"/>
        </w:rPr>
      </w:pPr>
      <w:r w:rsidRPr="00826D71">
        <w:rPr>
          <w:szCs w:val="22"/>
        </w:rPr>
        <w:t>The submission proposed equi-effective doses of o</w:t>
      </w:r>
      <w:r w:rsidRPr="00826D71">
        <w:t>malizumab 197.22 mg and cyclosporin 9,296 mg</w:t>
      </w:r>
      <w:r w:rsidRPr="00826D71">
        <w:rPr>
          <w:szCs w:val="22"/>
        </w:rPr>
        <w:t xml:space="preserve"> (4</w:t>
      </w:r>
      <w:r w:rsidR="00BF734C" w:rsidRPr="00826D71">
        <w:rPr>
          <w:szCs w:val="22"/>
        </w:rPr>
        <w:t xml:space="preserve"> </w:t>
      </w:r>
      <w:r w:rsidRPr="00826D71">
        <w:rPr>
          <w:szCs w:val="22"/>
        </w:rPr>
        <w:t>mg/kg).</w:t>
      </w:r>
      <w:r w:rsidR="00BF734C" w:rsidRPr="00826D71">
        <w:rPr>
          <w:szCs w:val="22"/>
        </w:rPr>
        <w:t xml:space="preserve"> </w:t>
      </w:r>
      <w:r w:rsidR="00D448D7" w:rsidRPr="00826D71">
        <w:rPr>
          <w:szCs w:val="22"/>
        </w:rPr>
        <w:t>At the November 2015 meeting, t</w:t>
      </w:r>
      <w:r w:rsidR="00A36697" w:rsidRPr="00826D71">
        <w:rPr>
          <w:szCs w:val="22"/>
        </w:rPr>
        <w:t xml:space="preserve">he PBAC noted that in determining the equi-effective doses of omalizumab and cyclosporin, the submission </w:t>
      </w:r>
      <w:r w:rsidR="00B07FDE" w:rsidRPr="00826D71">
        <w:rPr>
          <w:szCs w:val="22"/>
        </w:rPr>
        <w:t>allowed down</w:t>
      </w:r>
      <w:r w:rsidR="00484930" w:rsidRPr="00826D71">
        <w:rPr>
          <w:szCs w:val="22"/>
        </w:rPr>
        <w:t>-</w:t>
      </w:r>
      <w:r w:rsidR="00B07FDE" w:rsidRPr="00826D71">
        <w:rPr>
          <w:szCs w:val="22"/>
        </w:rPr>
        <w:t>titration for omalizumab but applied the trial-based dose of cyclosporin without titration.</w:t>
      </w:r>
      <w:r w:rsidR="00A36697" w:rsidRPr="00826D71">
        <w:rPr>
          <w:szCs w:val="22"/>
        </w:rPr>
        <w:t xml:space="preserve"> </w:t>
      </w:r>
      <w:r w:rsidR="006A7F9E" w:rsidRPr="00826D71">
        <w:rPr>
          <w:szCs w:val="22"/>
        </w:rPr>
        <w:t xml:space="preserve">The PBAC considered that the dose of </w:t>
      </w:r>
      <w:r w:rsidR="00BF734C" w:rsidRPr="00826D71">
        <w:rPr>
          <w:szCs w:val="22"/>
        </w:rPr>
        <w:t>cyclosporin</w:t>
      </w:r>
      <w:r w:rsidR="006A7F9E" w:rsidRPr="00826D71">
        <w:rPr>
          <w:szCs w:val="22"/>
        </w:rPr>
        <w:t xml:space="preserve"> proposed in the submission’s calculation of the equi-effective doses was higher than would likely be used in clinical practice. The PBAC advised that the appropriate equi-effective doses were omalizumab 300</w:t>
      </w:r>
      <w:r w:rsidR="00FB14FA" w:rsidRPr="00826D71">
        <w:rPr>
          <w:szCs w:val="22"/>
        </w:rPr>
        <w:t xml:space="preserve"> </w:t>
      </w:r>
      <w:r w:rsidR="006A7F9E" w:rsidRPr="00826D71">
        <w:rPr>
          <w:szCs w:val="22"/>
        </w:rPr>
        <w:t>mg and cyclosporin 3</w:t>
      </w:r>
      <w:r w:rsidR="00FB14FA" w:rsidRPr="00826D71">
        <w:rPr>
          <w:szCs w:val="22"/>
        </w:rPr>
        <w:t xml:space="preserve"> </w:t>
      </w:r>
      <w:r w:rsidR="006A7F9E" w:rsidRPr="00826D71">
        <w:rPr>
          <w:szCs w:val="22"/>
        </w:rPr>
        <w:t>mg/kg.</w:t>
      </w:r>
    </w:p>
    <w:p w:rsidR="00BB7EC3" w:rsidRPr="00826D71" w:rsidRDefault="00BB7EC3" w:rsidP="00882085">
      <w:pPr>
        <w:jc w:val="both"/>
        <w:rPr>
          <w:rFonts w:ascii="Arial" w:hAnsi="Arial"/>
          <w:b/>
          <w:sz w:val="22"/>
          <w:szCs w:val="22"/>
          <w:highlight w:val="yellow"/>
        </w:rPr>
      </w:pPr>
    </w:p>
    <w:p w:rsidR="008A1956" w:rsidRPr="00826D71" w:rsidRDefault="008A1956" w:rsidP="00476245">
      <w:pPr>
        <w:jc w:val="both"/>
        <w:rPr>
          <w:rFonts w:ascii="Arial" w:hAnsi="Arial"/>
          <w:sz w:val="22"/>
          <w:szCs w:val="22"/>
        </w:rPr>
      </w:pPr>
    </w:p>
    <w:p w:rsidR="000B558D" w:rsidRPr="00826D71" w:rsidRDefault="009D43D5" w:rsidP="008A50F1">
      <w:pPr>
        <w:pStyle w:val="PBACHeading1"/>
      </w:pPr>
      <w:r w:rsidRPr="00826D71">
        <w:t>Consideration of evidence</w:t>
      </w:r>
    </w:p>
    <w:p w:rsidR="009D43D5" w:rsidRPr="00826D71" w:rsidRDefault="009D43D5" w:rsidP="009D43D5"/>
    <w:p w:rsidR="009D43D5" w:rsidRPr="00826D71" w:rsidRDefault="009D43D5" w:rsidP="009D43D5">
      <w:pPr>
        <w:pStyle w:val="Heading2"/>
        <w:rPr>
          <w:snapToGrid w:val="0"/>
        </w:rPr>
      </w:pPr>
      <w:r w:rsidRPr="00826D71">
        <w:rPr>
          <w:snapToGrid w:val="0"/>
        </w:rPr>
        <w:t>Sponsor hearing</w:t>
      </w:r>
    </w:p>
    <w:p w:rsidR="009D43D5" w:rsidRPr="00826D71" w:rsidRDefault="009D43D5" w:rsidP="009D43D5"/>
    <w:p w:rsidR="009D43D5" w:rsidRPr="00826D71" w:rsidRDefault="009D43D5" w:rsidP="009D43D5">
      <w:pPr>
        <w:pStyle w:val="ListParagraph"/>
        <w:numPr>
          <w:ilvl w:val="1"/>
          <w:numId w:val="5"/>
        </w:numPr>
        <w:rPr>
          <w:szCs w:val="22"/>
        </w:rPr>
      </w:pPr>
      <w:r w:rsidRPr="00826D71">
        <w:rPr>
          <w:szCs w:val="22"/>
        </w:rPr>
        <w:t>There was no hearing for this ite</w:t>
      </w:r>
      <w:r w:rsidR="00CA5CA0">
        <w:rPr>
          <w:szCs w:val="22"/>
        </w:rPr>
        <w:t>m as it was a minor submission.</w:t>
      </w:r>
    </w:p>
    <w:p w:rsidR="009D43D5" w:rsidRPr="00826D71" w:rsidRDefault="009D43D5" w:rsidP="009D43D5"/>
    <w:p w:rsidR="000D03C5" w:rsidRPr="00826D71" w:rsidRDefault="009D43D5" w:rsidP="009D43D5">
      <w:pPr>
        <w:pStyle w:val="Heading2"/>
        <w:rPr>
          <w:snapToGrid w:val="0"/>
        </w:rPr>
      </w:pPr>
      <w:r w:rsidRPr="00826D71">
        <w:rPr>
          <w:snapToGrid w:val="0"/>
        </w:rPr>
        <w:t>Consumer comments</w:t>
      </w:r>
    </w:p>
    <w:p w:rsidR="004B2650" w:rsidRPr="00826D71" w:rsidRDefault="004B2650" w:rsidP="004B2650"/>
    <w:p w:rsidR="009D43D5" w:rsidRPr="00826D71" w:rsidRDefault="009D43D5" w:rsidP="009D43D5">
      <w:pPr>
        <w:pStyle w:val="ListParagraph"/>
        <w:numPr>
          <w:ilvl w:val="1"/>
          <w:numId w:val="5"/>
        </w:numPr>
        <w:rPr>
          <w:szCs w:val="22"/>
        </w:rPr>
      </w:pPr>
      <w:r w:rsidRPr="00826D71">
        <w:rPr>
          <w:szCs w:val="22"/>
        </w:rPr>
        <w:t>The PBAC noted that no consumer commen</w:t>
      </w:r>
      <w:r w:rsidR="00CA5CA0">
        <w:rPr>
          <w:szCs w:val="22"/>
        </w:rPr>
        <w:t>ts were received for this item.</w:t>
      </w:r>
    </w:p>
    <w:p w:rsidR="009D43D5" w:rsidRPr="00826D71" w:rsidRDefault="009D43D5" w:rsidP="009D43D5"/>
    <w:p w:rsidR="00BB2880" w:rsidRPr="00826D71" w:rsidRDefault="00BB2880" w:rsidP="00BB2880">
      <w:pPr>
        <w:pStyle w:val="Heading2"/>
        <w:rPr>
          <w:snapToGrid w:val="0"/>
        </w:rPr>
      </w:pPr>
      <w:r w:rsidRPr="00826D71">
        <w:rPr>
          <w:snapToGrid w:val="0"/>
        </w:rPr>
        <w:t>Basis</w:t>
      </w:r>
      <w:r w:rsidR="00CA5CA0">
        <w:rPr>
          <w:snapToGrid w:val="0"/>
        </w:rPr>
        <w:t xml:space="preserve"> for claims in the resubmission</w:t>
      </w:r>
    </w:p>
    <w:p w:rsidR="00BB2880" w:rsidRPr="00826D71" w:rsidRDefault="00BB2880" w:rsidP="009D43D5"/>
    <w:p w:rsidR="00BB2880" w:rsidRPr="00826D71" w:rsidRDefault="00BB2880" w:rsidP="00BB2880">
      <w:pPr>
        <w:pStyle w:val="ListParagraph"/>
        <w:numPr>
          <w:ilvl w:val="1"/>
          <w:numId w:val="5"/>
        </w:numPr>
        <w:rPr>
          <w:szCs w:val="22"/>
        </w:rPr>
      </w:pPr>
      <w:r w:rsidRPr="00826D71">
        <w:rPr>
          <w:szCs w:val="22"/>
        </w:rPr>
        <w:t>The minor resubmission noted that an updated search of the literature did not locate any new RCTs for omalizumab or cyclosporin in CSU. The resubmission presented an indirect comparison of omalizumab 150 mg to cyclosporin, based on the same data presented in the November 2015 submission.</w:t>
      </w:r>
    </w:p>
    <w:p w:rsidR="00BB2880" w:rsidRPr="00826D71" w:rsidRDefault="00BB2880" w:rsidP="009D43D5"/>
    <w:p w:rsidR="00BB2880" w:rsidRPr="00826D71" w:rsidRDefault="00BB2880" w:rsidP="009D43D5"/>
    <w:p w:rsidR="00FA472D" w:rsidRPr="00826D71" w:rsidRDefault="00250807" w:rsidP="00FA472D">
      <w:pPr>
        <w:pStyle w:val="ListParagraph"/>
        <w:numPr>
          <w:ilvl w:val="1"/>
          <w:numId w:val="5"/>
        </w:numPr>
        <w:rPr>
          <w:szCs w:val="22"/>
        </w:rPr>
      </w:pPr>
      <w:r w:rsidRPr="00826D71">
        <w:rPr>
          <w:szCs w:val="22"/>
        </w:rPr>
        <w:t>The resubmission stated that the equi-effective dose recommended by the PBAC from the RCT evidence based on a downward titration of cyclosporin (from 4</w:t>
      </w:r>
      <w:r w:rsidR="00FB14FA" w:rsidRPr="00826D71">
        <w:rPr>
          <w:szCs w:val="22"/>
        </w:rPr>
        <w:t xml:space="preserve"> </w:t>
      </w:r>
      <w:r w:rsidRPr="00826D71">
        <w:rPr>
          <w:szCs w:val="22"/>
        </w:rPr>
        <w:t>mg/kg to 3</w:t>
      </w:r>
      <w:r w:rsidR="00FB14FA" w:rsidRPr="00826D71">
        <w:rPr>
          <w:szCs w:val="22"/>
        </w:rPr>
        <w:t xml:space="preserve"> </w:t>
      </w:r>
      <w:r w:rsidRPr="00826D71">
        <w:rPr>
          <w:szCs w:val="22"/>
        </w:rPr>
        <w:t xml:space="preserve">mg/kg) without allowing for downward titration of omalizumab was inconsistent. </w:t>
      </w:r>
      <w:r w:rsidR="00FA472D" w:rsidRPr="00826D71">
        <w:rPr>
          <w:szCs w:val="22"/>
        </w:rPr>
        <w:t xml:space="preserve">The </w:t>
      </w:r>
      <w:r w:rsidR="00F84639" w:rsidRPr="00826D71">
        <w:rPr>
          <w:szCs w:val="22"/>
        </w:rPr>
        <w:t>re</w:t>
      </w:r>
      <w:r w:rsidR="00FA472D" w:rsidRPr="00826D71">
        <w:rPr>
          <w:szCs w:val="22"/>
        </w:rPr>
        <w:t>submission’s justification for allowing down-titration of omalizumab from 300</w:t>
      </w:r>
      <w:r w:rsidR="00FB14FA" w:rsidRPr="00826D71">
        <w:rPr>
          <w:szCs w:val="22"/>
        </w:rPr>
        <w:t> </w:t>
      </w:r>
      <w:r w:rsidR="00FA472D" w:rsidRPr="00826D71">
        <w:rPr>
          <w:szCs w:val="22"/>
        </w:rPr>
        <w:t>mg to 150</w:t>
      </w:r>
      <w:r w:rsidR="00FB14FA" w:rsidRPr="00826D71">
        <w:rPr>
          <w:szCs w:val="22"/>
        </w:rPr>
        <w:t xml:space="preserve"> </w:t>
      </w:r>
      <w:r w:rsidR="00FA472D" w:rsidRPr="00826D71">
        <w:rPr>
          <w:szCs w:val="22"/>
        </w:rPr>
        <w:t xml:space="preserve">mg in some patients, as well as down-titration of </w:t>
      </w:r>
      <w:r w:rsidR="00BF734C" w:rsidRPr="00826D71">
        <w:rPr>
          <w:szCs w:val="22"/>
        </w:rPr>
        <w:t>cyclosporin</w:t>
      </w:r>
      <w:r w:rsidR="00FA472D" w:rsidRPr="00826D71">
        <w:rPr>
          <w:szCs w:val="22"/>
        </w:rPr>
        <w:t xml:space="preserve">, for the estimation of equi-effective does was based </w:t>
      </w:r>
      <w:r w:rsidR="0081115B" w:rsidRPr="00826D71">
        <w:rPr>
          <w:szCs w:val="22"/>
        </w:rPr>
        <w:t>on the justifications as outlined in Table 2.</w:t>
      </w:r>
    </w:p>
    <w:p w:rsidR="00FA472D" w:rsidRPr="00826D71" w:rsidRDefault="00FA472D" w:rsidP="00FA472D">
      <w:pPr>
        <w:pStyle w:val="ListParagraph"/>
        <w:rPr>
          <w:szCs w:val="22"/>
        </w:rPr>
      </w:pPr>
    </w:p>
    <w:p w:rsidR="0081115B" w:rsidRPr="00826D71" w:rsidRDefault="00726F0C" w:rsidP="00687DDF">
      <w:pPr>
        <w:rPr>
          <w:rFonts w:ascii="Arial Narrow" w:hAnsi="Arial Narrow"/>
          <w:b/>
          <w:bCs/>
          <w:sz w:val="20"/>
        </w:rPr>
      </w:pPr>
      <w:r>
        <w:rPr>
          <w:rFonts w:ascii="Arial Narrow" w:hAnsi="Arial Narrow"/>
          <w:b/>
          <w:bCs/>
          <w:sz w:val="20"/>
        </w:rPr>
        <w:tab/>
      </w:r>
      <w:proofErr w:type="gramStart"/>
      <w:r w:rsidR="0081115B" w:rsidRPr="00826D71">
        <w:rPr>
          <w:rFonts w:ascii="Arial Narrow" w:hAnsi="Arial Narrow"/>
          <w:b/>
          <w:bCs/>
          <w:sz w:val="20"/>
        </w:rPr>
        <w:t>Table 2.</w:t>
      </w:r>
      <w:proofErr w:type="gramEnd"/>
      <w:r w:rsidR="0081115B" w:rsidRPr="00826D71">
        <w:rPr>
          <w:rFonts w:ascii="Arial Narrow" w:hAnsi="Arial Narrow"/>
          <w:b/>
          <w:bCs/>
          <w:sz w:val="20"/>
        </w:rPr>
        <w:t xml:space="preserve"> Justification for down-titration</w:t>
      </w:r>
    </w:p>
    <w:tbl>
      <w:tblPr>
        <w:tblStyle w:val="TableGrid"/>
        <w:tblW w:w="8363" w:type="dxa"/>
        <w:tblInd w:w="817" w:type="dxa"/>
        <w:tblLook w:val="04A0" w:firstRow="1" w:lastRow="0" w:firstColumn="1" w:lastColumn="0" w:noHBand="0" w:noVBand="1"/>
        <w:tblCaption w:val="Table 2: Justification for down-titration"/>
        <w:tblDescription w:val="Justifications for down-titration of omalizumab and cyclosporin in practice."/>
      </w:tblPr>
      <w:tblGrid>
        <w:gridCol w:w="3118"/>
        <w:gridCol w:w="5245"/>
      </w:tblGrid>
      <w:tr w:rsidR="00FA472D" w:rsidRPr="00826D71" w:rsidTr="00566614">
        <w:trPr>
          <w:tblHeader/>
        </w:trPr>
        <w:tc>
          <w:tcPr>
            <w:tcW w:w="3118" w:type="dxa"/>
            <w:vAlign w:val="center"/>
          </w:tcPr>
          <w:p w:rsidR="00FA472D" w:rsidRPr="00826D71" w:rsidRDefault="00FA472D" w:rsidP="001F1E34">
            <w:pPr>
              <w:jc w:val="center"/>
              <w:rPr>
                <w:rFonts w:ascii="Arial Narrow" w:hAnsi="Arial Narrow" w:cs="Sabon"/>
                <w:b/>
                <w:sz w:val="20"/>
                <w:szCs w:val="20"/>
              </w:rPr>
            </w:pPr>
            <w:r w:rsidRPr="00826D71">
              <w:rPr>
                <w:rFonts w:ascii="Arial Narrow" w:hAnsi="Arial Narrow" w:cs="Sabon"/>
                <w:b/>
                <w:sz w:val="20"/>
                <w:szCs w:val="20"/>
              </w:rPr>
              <w:t>Justification</w:t>
            </w:r>
          </w:p>
        </w:tc>
        <w:tc>
          <w:tcPr>
            <w:tcW w:w="5245" w:type="dxa"/>
            <w:vAlign w:val="center"/>
          </w:tcPr>
          <w:p w:rsidR="00FA472D" w:rsidRPr="00826D71" w:rsidRDefault="00FA472D" w:rsidP="001F1E34">
            <w:pPr>
              <w:jc w:val="center"/>
              <w:rPr>
                <w:rFonts w:ascii="Arial Narrow" w:hAnsi="Arial Narrow"/>
                <w:b/>
                <w:sz w:val="20"/>
                <w:szCs w:val="20"/>
              </w:rPr>
            </w:pPr>
            <w:r w:rsidRPr="00826D71">
              <w:rPr>
                <w:rFonts w:ascii="Arial Narrow" w:hAnsi="Arial Narrow"/>
                <w:b/>
                <w:sz w:val="20"/>
                <w:szCs w:val="20"/>
              </w:rPr>
              <w:t>Source/Comment</w:t>
            </w:r>
          </w:p>
        </w:tc>
      </w:tr>
      <w:tr w:rsidR="00FA472D" w:rsidRPr="00826D71" w:rsidTr="00726F0C">
        <w:tc>
          <w:tcPr>
            <w:tcW w:w="3118" w:type="dxa"/>
          </w:tcPr>
          <w:p w:rsidR="00FA472D" w:rsidRPr="00826D71" w:rsidRDefault="00FA472D" w:rsidP="001F1E34">
            <w:pPr>
              <w:rPr>
                <w:rFonts w:ascii="Arial Narrow" w:hAnsi="Arial Narrow"/>
                <w:sz w:val="20"/>
                <w:szCs w:val="20"/>
              </w:rPr>
            </w:pPr>
            <w:r w:rsidRPr="00826D71">
              <w:rPr>
                <w:rFonts w:ascii="Arial Narrow" w:hAnsi="Arial Narrow" w:cs="Sabon"/>
                <w:sz w:val="20"/>
                <w:szCs w:val="20"/>
              </w:rPr>
              <w:t>Recommendation to down-titrate in the Australian CSU guidelines</w:t>
            </w:r>
          </w:p>
        </w:tc>
        <w:tc>
          <w:tcPr>
            <w:tcW w:w="5245" w:type="dxa"/>
          </w:tcPr>
          <w:p w:rsidR="00FA472D" w:rsidRPr="00826D71" w:rsidRDefault="00FA472D" w:rsidP="001F1E34">
            <w:pPr>
              <w:rPr>
                <w:rFonts w:ascii="Arial Narrow" w:hAnsi="Arial Narrow"/>
                <w:sz w:val="20"/>
                <w:szCs w:val="20"/>
              </w:rPr>
            </w:pPr>
            <w:r w:rsidRPr="00826D71">
              <w:rPr>
                <w:rFonts w:ascii="Arial Narrow" w:hAnsi="Arial Narrow"/>
                <w:sz w:val="20"/>
                <w:szCs w:val="20"/>
              </w:rPr>
              <w:t>CSU guidelines provided as Attachment 2 to the resubmission</w:t>
            </w:r>
          </w:p>
        </w:tc>
      </w:tr>
      <w:tr w:rsidR="00FA472D" w:rsidRPr="00826D71" w:rsidTr="00726F0C">
        <w:tc>
          <w:tcPr>
            <w:tcW w:w="3118" w:type="dxa"/>
          </w:tcPr>
          <w:p w:rsidR="00FA472D" w:rsidRPr="00826D71" w:rsidRDefault="00FA472D" w:rsidP="001F1E34">
            <w:pPr>
              <w:rPr>
                <w:rFonts w:ascii="Arial Narrow" w:hAnsi="Arial Narrow"/>
                <w:sz w:val="20"/>
                <w:szCs w:val="20"/>
              </w:rPr>
            </w:pPr>
            <w:r w:rsidRPr="00826D71">
              <w:rPr>
                <w:rFonts w:ascii="Arial Narrow" w:hAnsi="Arial Narrow" w:cs="Sabon"/>
                <w:sz w:val="20"/>
                <w:szCs w:val="20"/>
              </w:rPr>
              <w:t>Randomised clinical trial evidence for the 150</w:t>
            </w:r>
            <w:r w:rsidR="00FB14FA" w:rsidRPr="00826D71">
              <w:rPr>
                <w:rFonts w:ascii="Arial Narrow" w:hAnsi="Arial Narrow" w:cs="Sabon"/>
                <w:sz w:val="20"/>
                <w:szCs w:val="20"/>
              </w:rPr>
              <w:t xml:space="preserve"> </w:t>
            </w:r>
            <w:r w:rsidRPr="00826D71">
              <w:rPr>
                <w:rFonts w:ascii="Arial Narrow" w:hAnsi="Arial Narrow" w:cs="Sabon"/>
                <w:sz w:val="20"/>
                <w:szCs w:val="20"/>
              </w:rPr>
              <w:t>mg dose</w:t>
            </w:r>
          </w:p>
        </w:tc>
        <w:tc>
          <w:tcPr>
            <w:tcW w:w="5245" w:type="dxa"/>
          </w:tcPr>
          <w:p w:rsidR="00FA472D" w:rsidRPr="00826D71" w:rsidRDefault="00FA472D" w:rsidP="001F1E34">
            <w:pPr>
              <w:rPr>
                <w:rFonts w:ascii="Arial Narrow" w:hAnsi="Arial Narrow"/>
                <w:sz w:val="20"/>
                <w:szCs w:val="20"/>
              </w:rPr>
            </w:pPr>
            <w:r w:rsidRPr="00826D71">
              <w:rPr>
                <w:rFonts w:ascii="Arial Narrow" w:hAnsi="Arial Narrow"/>
                <w:sz w:val="20"/>
                <w:szCs w:val="20"/>
              </w:rPr>
              <w:t>The resubmission presents an indirect comparison of omalizumab 150</w:t>
            </w:r>
            <w:r w:rsidR="00FB14FA" w:rsidRPr="00826D71">
              <w:rPr>
                <w:rFonts w:ascii="Arial Narrow" w:hAnsi="Arial Narrow"/>
                <w:sz w:val="20"/>
                <w:szCs w:val="20"/>
              </w:rPr>
              <w:t xml:space="preserve"> </w:t>
            </w:r>
            <w:r w:rsidRPr="00826D71">
              <w:rPr>
                <w:rFonts w:ascii="Arial Narrow" w:hAnsi="Arial Narrow"/>
                <w:sz w:val="20"/>
                <w:szCs w:val="20"/>
              </w:rPr>
              <w:t>mg versus cyclosporin is presented (based on clinical data presented in previous submission).</w:t>
            </w:r>
          </w:p>
        </w:tc>
      </w:tr>
      <w:tr w:rsidR="00FA472D" w:rsidRPr="00826D71" w:rsidTr="00726F0C">
        <w:tc>
          <w:tcPr>
            <w:tcW w:w="3118" w:type="dxa"/>
            <w:vAlign w:val="center"/>
          </w:tcPr>
          <w:p w:rsidR="00FA472D" w:rsidRPr="00826D71" w:rsidRDefault="00FA472D" w:rsidP="001F1E34">
            <w:pPr>
              <w:autoSpaceDE w:val="0"/>
              <w:autoSpaceDN w:val="0"/>
              <w:adjustRightInd w:val="0"/>
              <w:rPr>
                <w:rFonts w:ascii="Arial Narrow" w:hAnsi="Arial Narrow"/>
                <w:sz w:val="20"/>
                <w:szCs w:val="20"/>
              </w:rPr>
            </w:pPr>
            <w:r w:rsidRPr="00826D71">
              <w:rPr>
                <w:rFonts w:ascii="Arial Narrow" w:hAnsi="Arial Narrow" w:cs="Sabon"/>
                <w:sz w:val="20"/>
                <w:szCs w:val="20"/>
              </w:rPr>
              <w:t>Published observational</w:t>
            </w:r>
            <w:r w:rsidR="0081115B" w:rsidRPr="00826D71">
              <w:rPr>
                <w:rFonts w:ascii="Arial Narrow" w:hAnsi="Arial Narrow" w:cs="Sabon"/>
                <w:sz w:val="20"/>
                <w:szCs w:val="20"/>
              </w:rPr>
              <w:t xml:space="preserve"> studies in CSU which show down</w:t>
            </w:r>
            <w:r w:rsidR="0081115B" w:rsidRPr="00826D71">
              <w:rPr>
                <w:rFonts w:ascii="Arial Narrow" w:hAnsi="Arial Narrow" w:cs="Sabon"/>
                <w:sz w:val="20"/>
                <w:szCs w:val="20"/>
              </w:rPr>
              <w:noBreakHyphen/>
            </w:r>
            <w:r w:rsidRPr="00826D71">
              <w:rPr>
                <w:rFonts w:ascii="Arial Narrow" w:hAnsi="Arial Narrow" w:cs="Sabon"/>
                <w:sz w:val="20"/>
                <w:szCs w:val="20"/>
              </w:rPr>
              <w:t>titration of omalizumab in clinical practice</w:t>
            </w:r>
          </w:p>
        </w:tc>
        <w:tc>
          <w:tcPr>
            <w:tcW w:w="5245" w:type="dxa"/>
          </w:tcPr>
          <w:p w:rsidR="00FA472D" w:rsidRPr="00826D71" w:rsidRDefault="00FA472D" w:rsidP="001F1E34">
            <w:pPr>
              <w:autoSpaceDE w:val="0"/>
              <w:autoSpaceDN w:val="0"/>
              <w:adjustRightInd w:val="0"/>
              <w:rPr>
                <w:rFonts w:ascii="Arial Narrow" w:hAnsi="Arial Narrow" w:cs="Sabon"/>
                <w:sz w:val="20"/>
                <w:szCs w:val="20"/>
              </w:rPr>
            </w:pPr>
            <w:r w:rsidRPr="00826D71">
              <w:rPr>
                <w:rFonts w:ascii="Arial Narrow" w:hAnsi="Arial Narrow" w:cs="Sabon"/>
                <w:sz w:val="20"/>
                <w:szCs w:val="20"/>
              </w:rPr>
              <w:t>A review of 22 non-randomised studies presented in Section C.3 of the Nov 2015</w:t>
            </w:r>
          </w:p>
          <w:p w:rsidR="00FA472D" w:rsidRPr="00826D71" w:rsidRDefault="00FA472D" w:rsidP="001F1E34">
            <w:pPr>
              <w:rPr>
                <w:rFonts w:ascii="Arial Narrow" w:hAnsi="Arial Narrow"/>
                <w:sz w:val="20"/>
                <w:szCs w:val="20"/>
              </w:rPr>
            </w:pPr>
            <w:r w:rsidRPr="00826D71">
              <w:rPr>
                <w:rFonts w:ascii="Arial Narrow" w:hAnsi="Arial Narrow" w:cs="Sabon"/>
                <w:sz w:val="20"/>
                <w:szCs w:val="20"/>
              </w:rPr>
              <w:t>CSU submission</w:t>
            </w:r>
          </w:p>
        </w:tc>
      </w:tr>
    </w:tbl>
    <w:p w:rsidR="00FA472D" w:rsidRPr="00826D71" w:rsidRDefault="00FA472D" w:rsidP="00FA472D">
      <w:pPr>
        <w:rPr>
          <w:szCs w:val="22"/>
        </w:rPr>
      </w:pPr>
    </w:p>
    <w:p w:rsidR="005F6F13" w:rsidRPr="00826D71" w:rsidRDefault="00FA472D" w:rsidP="005F6F13">
      <w:pPr>
        <w:pStyle w:val="ListParagraph"/>
        <w:numPr>
          <w:ilvl w:val="1"/>
          <w:numId w:val="5"/>
        </w:numPr>
        <w:rPr>
          <w:szCs w:val="22"/>
        </w:rPr>
      </w:pPr>
      <w:r w:rsidRPr="00826D71">
        <w:rPr>
          <w:szCs w:val="22"/>
        </w:rPr>
        <w:t xml:space="preserve">As it </w:t>
      </w:r>
      <w:r w:rsidR="002A15AF" w:rsidRPr="00826D71">
        <w:rPr>
          <w:szCs w:val="22"/>
        </w:rPr>
        <w:t xml:space="preserve">is </w:t>
      </w:r>
      <w:r w:rsidRPr="00826D71">
        <w:rPr>
          <w:szCs w:val="22"/>
        </w:rPr>
        <w:t>a minor</w:t>
      </w:r>
      <w:r w:rsidR="002A15AF" w:rsidRPr="00826D71">
        <w:rPr>
          <w:szCs w:val="22"/>
        </w:rPr>
        <w:t xml:space="preserve"> submission</w:t>
      </w:r>
      <w:r w:rsidRPr="00826D71">
        <w:rPr>
          <w:szCs w:val="22"/>
        </w:rPr>
        <w:t xml:space="preserve">, the current resubmission </w:t>
      </w:r>
      <w:r w:rsidR="007142A9" w:rsidRPr="00826D71">
        <w:rPr>
          <w:szCs w:val="22"/>
        </w:rPr>
        <w:t>was not</w:t>
      </w:r>
      <w:r w:rsidRPr="00826D71">
        <w:rPr>
          <w:szCs w:val="22"/>
        </w:rPr>
        <w:t xml:space="preserve"> evaluated. However the clinical data were evaluated in the previous submission (albeit in the context of an indirect comparison of omalizumab 300</w:t>
      </w:r>
      <w:r w:rsidR="00FB14FA" w:rsidRPr="00826D71">
        <w:rPr>
          <w:szCs w:val="22"/>
        </w:rPr>
        <w:t xml:space="preserve"> </w:t>
      </w:r>
      <w:r w:rsidRPr="00826D71">
        <w:rPr>
          <w:szCs w:val="22"/>
        </w:rPr>
        <w:t>mg, rather than 150</w:t>
      </w:r>
      <w:r w:rsidR="00FB14FA" w:rsidRPr="00826D71">
        <w:rPr>
          <w:szCs w:val="22"/>
        </w:rPr>
        <w:t xml:space="preserve"> </w:t>
      </w:r>
      <w:r w:rsidRPr="00826D71">
        <w:rPr>
          <w:szCs w:val="22"/>
        </w:rPr>
        <w:t>mg)</w:t>
      </w:r>
      <w:r w:rsidR="00BF734C" w:rsidRPr="00826D71">
        <w:rPr>
          <w:szCs w:val="22"/>
        </w:rPr>
        <w:t>.</w:t>
      </w:r>
    </w:p>
    <w:p w:rsidR="00BB7EC3" w:rsidRPr="00826D71" w:rsidRDefault="00BB7EC3" w:rsidP="009B0F67">
      <w:pPr>
        <w:jc w:val="both"/>
        <w:rPr>
          <w:rFonts w:ascii="Arial" w:hAnsi="Arial"/>
          <w:sz w:val="22"/>
          <w:szCs w:val="22"/>
          <w:highlight w:val="yellow"/>
        </w:rPr>
      </w:pPr>
    </w:p>
    <w:p w:rsidR="005A3173" w:rsidRPr="00826D71" w:rsidRDefault="00C71C91" w:rsidP="00B1059E">
      <w:pPr>
        <w:pStyle w:val="Heading2"/>
      </w:pPr>
      <w:r w:rsidRPr="00826D71">
        <w:t xml:space="preserve">Indirect </w:t>
      </w:r>
      <w:r w:rsidR="002A15AF" w:rsidRPr="00826D71">
        <w:t>c</w:t>
      </w:r>
      <w:r w:rsidR="005A3173" w:rsidRPr="00826D71">
        <w:t>ompar</w:t>
      </w:r>
      <w:r w:rsidR="002A15AF" w:rsidRPr="00826D71">
        <w:t>ison of</w:t>
      </w:r>
      <w:r w:rsidR="005A3173" w:rsidRPr="00826D71">
        <w:t xml:space="preserve"> effectiveness</w:t>
      </w:r>
    </w:p>
    <w:p w:rsidR="00EE389C" w:rsidRPr="00826D71" w:rsidRDefault="00EE389C" w:rsidP="00EE389C">
      <w:pPr>
        <w:pStyle w:val="ListParagraph"/>
        <w:ind w:left="709"/>
        <w:rPr>
          <w:color w:val="FF00FF"/>
          <w:szCs w:val="22"/>
        </w:rPr>
      </w:pPr>
    </w:p>
    <w:p w:rsidR="001F1E34" w:rsidRPr="00826D71" w:rsidRDefault="000D03C5" w:rsidP="00C71C91">
      <w:pPr>
        <w:pStyle w:val="ListParagraph"/>
        <w:numPr>
          <w:ilvl w:val="1"/>
          <w:numId w:val="5"/>
        </w:numPr>
        <w:rPr>
          <w:szCs w:val="22"/>
        </w:rPr>
      </w:pPr>
      <w:r w:rsidRPr="00826D71">
        <w:rPr>
          <w:szCs w:val="22"/>
        </w:rPr>
        <w:t xml:space="preserve">The minor resubmission </w:t>
      </w:r>
      <w:r w:rsidR="002A15AF" w:rsidRPr="00826D71">
        <w:rPr>
          <w:szCs w:val="22"/>
        </w:rPr>
        <w:t xml:space="preserve">noted that, consistent with the November 2015 submission, “there are two key outcomes common and indirectly comparable via placebo across one </w:t>
      </w:r>
      <w:r w:rsidR="0061174C" w:rsidRPr="00826D71">
        <w:rPr>
          <w:szCs w:val="22"/>
        </w:rPr>
        <w:t>cyclosporin</w:t>
      </w:r>
      <w:r w:rsidR="002A15AF" w:rsidRPr="00826D71">
        <w:rPr>
          <w:szCs w:val="22"/>
        </w:rPr>
        <w:t xml:space="preserve"> RCT (Grattan et al. 2000) and a meta-analysis of the omalizumab arm from the omalizumab RCTs; the mean reduction in UAS7 from baseline and proportion of patients achieving a clinically meaningful UAS7 after treatment”. </w:t>
      </w:r>
      <w:r w:rsidR="0081115B" w:rsidRPr="00826D71">
        <w:rPr>
          <w:szCs w:val="22"/>
        </w:rPr>
        <w:t>Table 3</w:t>
      </w:r>
      <w:r w:rsidR="002A15AF" w:rsidRPr="00826D71">
        <w:rPr>
          <w:szCs w:val="22"/>
        </w:rPr>
        <w:t xml:space="preserve"> presents the indirect comparison for omalizumab and </w:t>
      </w:r>
      <w:r w:rsidR="00BF734C" w:rsidRPr="00826D71">
        <w:rPr>
          <w:szCs w:val="22"/>
        </w:rPr>
        <w:t>cyclosporin</w:t>
      </w:r>
      <w:r w:rsidR="002A15AF" w:rsidRPr="00826D71">
        <w:rPr>
          <w:szCs w:val="22"/>
        </w:rPr>
        <w:t xml:space="preserve"> </w:t>
      </w:r>
      <w:r w:rsidR="0081115B" w:rsidRPr="00826D71">
        <w:rPr>
          <w:szCs w:val="22"/>
        </w:rPr>
        <w:t xml:space="preserve">from the minor resubmission </w:t>
      </w:r>
      <w:r w:rsidR="002A15AF" w:rsidRPr="00826D71">
        <w:rPr>
          <w:szCs w:val="22"/>
        </w:rPr>
        <w:t>(via placebo).</w:t>
      </w:r>
    </w:p>
    <w:p w:rsidR="00390C84" w:rsidRPr="00826D71" w:rsidRDefault="00390C84" w:rsidP="00390C84">
      <w:pPr>
        <w:pStyle w:val="ListParagraph"/>
        <w:rPr>
          <w:szCs w:val="22"/>
        </w:rPr>
        <w:sectPr w:rsidR="00390C84" w:rsidRPr="00826D71" w:rsidSect="00BE605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pPr>
    </w:p>
    <w:p w:rsidR="00390C84" w:rsidRPr="00826D71" w:rsidRDefault="0081115B" w:rsidP="00390C84">
      <w:pPr>
        <w:pStyle w:val="ListParagraph"/>
        <w:jc w:val="left"/>
        <w:rPr>
          <w:b/>
          <w:sz w:val="20"/>
        </w:rPr>
      </w:pPr>
      <w:proofErr w:type="gramStart"/>
      <w:r w:rsidRPr="00826D71">
        <w:rPr>
          <w:b/>
          <w:sz w:val="20"/>
        </w:rPr>
        <w:lastRenderedPageBreak/>
        <w:t>Table 3.</w:t>
      </w:r>
      <w:proofErr w:type="gramEnd"/>
      <w:r w:rsidRPr="00826D71">
        <w:rPr>
          <w:b/>
          <w:sz w:val="20"/>
        </w:rPr>
        <w:t xml:space="preserve"> </w:t>
      </w:r>
      <w:r w:rsidR="00390C84" w:rsidRPr="00826D71">
        <w:rPr>
          <w:b/>
          <w:sz w:val="20"/>
        </w:rPr>
        <w:t xml:space="preserve">Indirect </w:t>
      </w:r>
      <w:r w:rsidR="00C275B9" w:rsidRPr="00826D71">
        <w:rPr>
          <w:b/>
          <w:sz w:val="20"/>
        </w:rPr>
        <w:t>comparison for omalizumab and cyclosporin (via placebo) on the key efficacy outcomes in CSU</w:t>
      </w:r>
    </w:p>
    <w:tbl>
      <w:tblPr>
        <w:tblStyle w:val="TableGrid"/>
        <w:tblW w:w="0" w:type="auto"/>
        <w:tblInd w:w="720" w:type="dxa"/>
        <w:tblLayout w:type="fixed"/>
        <w:tblLook w:val="04A0" w:firstRow="1" w:lastRow="0" w:firstColumn="1" w:lastColumn="0" w:noHBand="0" w:noVBand="1"/>
        <w:tblCaption w:val="Indirect comparison for omalizumab and cyclosporin"/>
        <w:tblDescription w:val="Outcomes of the indirect comparison of omalizumab and cyclosporin."/>
      </w:tblPr>
      <w:tblGrid>
        <w:gridCol w:w="5484"/>
        <w:gridCol w:w="1134"/>
        <w:gridCol w:w="850"/>
        <w:gridCol w:w="1701"/>
        <w:gridCol w:w="1418"/>
        <w:gridCol w:w="1559"/>
        <w:gridCol w:w="830"/>
        <w:gridCol w:w="478"/>
      </w:tblGrid>
      <w:tr w:rsidR="007E69FC" w:rsidRPr="00726F0C" w:rsidTr="00566614">
        <w:trPr>
          <w:tblHeader/>
        </w:trPr>
        <w:tc>
          <w:tcPr>
            <w:tcW w:w="5484" w:type="dxa"/>
          </w:tcPr>
          <w:p w:rsidR="00390C84" w:rsidRPr="00726F0C" w:rsidRDefault="00390C84" w:rsidP="00390C84">
            <w:pPr>
              <w:pStyle w:val="ListParagraph"/>
              <w:ind w:left="0"/>
              <w:jc w:val="left"/>
              <w:rPr>
                <w:rFonts w:ascii="Arial Narrow" w:hAnsi="Arial Narrow"/>
                <w:sz w:val="20"/>
              </w:rPr>
            </w:pPr>
            <w:r w:rsidRPr="00726F0C">
              <w:rPr>
                <w:rFonts w:ascii="Arial Narrow" w:hAnsi="Arial Narrow"/>
                <w:sz w:val="20"/>
              </w:rPr>
              <w:t>Outcome</w:t>
            </w:r>
          </w:p>
        </w:tc>
        <w:tc>
          <w:tcPr>
            <w:tcW w:w="1134" w:type="dxa"/>
          </w:tcPr>
          <w:p w:rsidR="00390C84" w:rsidRPr="00726F0C" w:rsidRDefault="00390C84" w:rsidP="007E69FC">
            <w:pPr>
              <w:pStyle w:val="ListParagraph"/>
              <w:ind w:left="0"/>
              <w:jc w:val="center"/>
              <w:rPr>
                <w:rFonts w:ascii="Arial Narrow" w:hAnsi="Arial Narrow"/>
                <w:sz w:val="20"/>
              </w:rPr>
            </w:pPr>
            <w:r w:rsidRPr="00726F0C">
              <w:rPr>
                <w:rFonts w:ascii="Arial Narrow" w:hAnsi="Arial Narrow"/>
                <w:sz w:val="20"/>
              </w:rPr>
              <w:t>Time point (weeks)</w:t>
            </w:r>
          </w:p>
        </w:tc>
        <w:tc>
          <w:tcPr>
            <w:tcW w:w="850" w:type="dxa"/>
          </w:tcPr>
          <w:p w:rsidR="00390C84" w:rsidRPr="00726F0C" w:rsidRDefault="00390C84" w:rsidP="007E69FC">
            <w:pPr>
              <w:pStyle w:val="ListParagraph"/>
              <w:ind w:left="0"/>
              <w:jc w:val="center"/>
              <w:rPr>
                <w:rFonts w:ascii="Arial Narrow" w:hAnsi="Arial Narrow"/>
                <w:sz w:val="20"/>
              </w:rPr>
            </w:pPr>
            <w:r w:rsidRPr="00726F0C">
              <w:rPr>
                <w:rFonts w:ascii="Arial Narrow" w:hAnsi="Arial Narrow"/>
                <w:sz w:val="20"/>
              </w:rPr>
              <w:t>Analysis</w:t>
            </w:r>
          </w:p>
        </w:tc>
        <w:tc>
          <w:tcPr>
            <w:tcW w:w="1701" w:type="dxa"/>
          </w:tcPr>
          <w:p w:rsidR="007E69FC" w:rsidRPr="00726F0C" w:rsidRDefault="00390C84" w:rsidP="007E69FC">
            <w:pPr>
              <w:pStyle w:val="ListParagraph"/>
              <w:ind w:left="0"/>
              <w:jc w:val="center"/>
              <w:rPr>
                <w:rFonts w:ascii="Arial Narrow" w:hAnsi="Arial Narrow"/>
                <w:sz w:val="20"/>
              </w:rPr>
            </w:pPr>
            <w:proofErr w:type="spellStart"/>
            <w:r w:rsidRPr="00726F0C">
              <w:rPr>
                <w:rFonts w:ascii="Arial Narrow" w:hAnsi="Arial Narrow"/>
                <w:sz w:val="20"/>
              </w:rPr>
              <w:t>Omalizumab</w:t>
            </w:r>
            <w:proofErr w:type="spellEnd"/>
            <w:r w:rsidRPr="00726F0C">
              <w:rPr>
                <w:rFonts w:ascii="Arial Narrow" w:hAnsi="Arial Narrow"/>
                <w:sz w:val="20"/>
              </w:rPr>
              <w:t xml:space="preserve"> vs PBO </w:t>
            </w:r>
          </w:p>
          <w:p w:rsidR="00390C84" w:rsidRPr="00726F0C" w:rsidRDefault="00390C84" w:rsidP="007E69FC">
            <w:pPr>
              <w:pStyle w:val="ListParagraph"/>
              <w:ind w:left="0"/>
              <w:jc w:val="center"/>
              <w:rPr>
                <w:rFonts w:ascii="Arial Narrow" w:hAnsi="Arial Narrow"/>
                <w:sz w:val="20"/>
              </w:rPr>
            </w:pPr>
            <w:r w:rsidRPr="00726F0C">
              <w:rPr>
                <w:rFonts w:ascii="Arial Narrow" w:hAnsi="Arial Narrow"/>
                <w:sz w:val="20"/>
              </w:rPr>
              <w:t>(95% CI)</w:t>
            </w:r>
          </w:p>
        </w:tc>
        <w:tc>
          <w:tcPr>
            <w:tcW w:w="1418" w:type="dxa"/>
          </w:tcPr>
          <w:p w:rsidR="007E69FC" w:rsidRPr="00726F0C" w:rsidRDefault="008120A1" w:rsidP="007E69FC">
            <w:pPr>
              <w:pStyle w:val="ListParagraph"/>
              <w:ind w:left="0"/>
              <w:jc w:val="center"/>
              <w:rPr>
                <w:rFonts w:ascii="Arial Narrow" w:hAnsi="Arial Narrow"/>
                <w:sz w:val="20"/>
              </w:rPr>
            </w:pPr>
            <w:proofErr w:type="spellStart"/>
            <w:r w:rsidRPr="00726F0C">
              <w:rPr>
                <w:rFonts w:ascii="Arial Narrow" w:hAnsi="Arial Narrow"/>
                <w:sz w:val="20"/>
              </w:rPr>
              <w:t>cyclosporin</w:t>
            </w:r>
            <w:proofErr w:type="spellEnd"/>
            <w:r w:rsidR="00390C84" w:rsidRPr="00726F0C">
              <w:rPr>
                <w:rFonts w:ascii="Arial Narrow" w:hAnsi="Arial Narrow"/>
                <w:sz w:val="20"/>
              </w:rPr>
              <w:t xml:space="preserve"> vs PBO </w:t>
            </w:r>
          </w:p>
          <w:p w:rsidR="00390C84" w:rsidRPr="00726F0C" w:rsidRDefault="00390C84" w:rsidP="007E69FC">
            <w:pPr>
              <w:pStyle w:val="ListParagraph"/>
              <w:ind w:left="0"/>
              <w:jc w:val="center"/>
              <w:rPr>
                <w:rFonts w:ascii="Arial Narrow" w:hAnsi="Arial Narrow"/>
                <w:sz w:val="20"/>
              </w:rPr>
            </w:pPr>
            <w:r w:rsidRPr="00726F0C">
              <w:rPr>
                <w:rFonts w:ascii="Arial Narrow" w:hAnsi="Arial Narrow"/>
                <w:sz w:val="20"/>
              </w:rPr>
              <w:t>(95% CI)</w:t>
            </w:r>
          </w:p>
        </w:tc>
        <w:tc>
          <w:tcPr>
            <w:tcW w:w="1559" w:type="dxa"/>
          </w:tcPr>
          <w:p w:rsidR="007E69FC" w:rsidRPr="00726F0C" w:rsidRDefault="008120A1" w:rsidP="007E69FC">
            <w:pPr>
              <w:pStyle w:val="ListParagraph"/>
              <w:ind w:left="0"/>
              <w:jc w:val="center"/>
              <w:rPr>
                <w:rFonts w:ascii="Arial Narrow" w:hAnsi="Arial Narrow"/>
                <w:sz w:val="20"/>
              </w:rPr>
            </w:pPr>
            <w:proofErr w:type="spellStart"/>
            <w:r w:rsidRPr="00726F0C">
              <w:rPr>
                <w:rFonts w:ascii="Arial Narrow" w:hAnsi="Arial Narrow"/>
                <w:sz w:val="20"/>
              </w:rPr>
              <w:t>Omalizumab</w:t>
            </w:r>
            <w:proofErr w:type="spellEnd"/>
            <w:r w:rsidRPr="00726F0C">
              <w:rPr>
                <w:rFonts w:ascii="Arial Narrow" w:hAnsi="Arial Narrow"/>
                <w:sz w:val="20"/>
              </w:rPr>
              <w:t xml:space="preserve"> vs </w:t>
            </w:r>
            <w:proofErr w:type="spellStart"/>
            <w:r w:rsidRPr="00726F0C">
              <w:rPr>
                <w:rFonts w:ascii="Arial Narrow" w:hAnsi="Arial Narrow"/>
                <w:sz w:val="20"/>
              </w:rPr>
              <w:t>cyclosporin</w:t>
            </w:r>
            <w:proofErr w:type="spellEnd"/>
          </w:p>
          <w:p w:rsidR="00390C84" w:rsidRPr="00726F0C" w:rsidRDefault="008120A1" w:rsidP="007E69FC">
            <w:pPr>
              <w:pStyle w:val="ListParagraph"/>
              <w:ind w:left="0"/>
              <w:jc w:val="center"/>
              <w:rPr>
                <w:rFonts w:ascii="Arial Narrow" w:hAnsi="Arial Narrow"/>
                <w:sz w:val="20"/>
              </w:rPr>
            </w:pPr>
            <w:r w:rsidRPr="00726F0C">
              <w:rPr>
                <w:rFonts w:ascii="Arial Narrow" w:hAnsi="Arial Narrow"/>
                <w:sz w:val="20"/>
              </w:rPr>
              <w:t>(95% CI)</w:t>
            </w:r>
          </w:p>
        </w:tc>
        <w:tc>
          <w:tcPr>
            <w:tcW w:w="830" w:type="dxa"/>
          </w:tcPr>
          <w:p w:rsidR="00390C84" w:rsidRPr="00726F0C" w:rsidRDefault="008120A1" w:rsidP="00390C84">
            <w:pPr>
              <w:pStyle w:val="ListParagraph"/>
              <w:ind w:left="0"/>
              <w:jc w:val="left"/>
              <w:rPr>
                <w:rFonts w:ascii="Arial Narrow" w:hAnsi="Arial Narrow"/>
                <w:sz w:val="20"/>
              </w:rPr>
            </w:pPr>
            <w:r w:rsidRPr="00726F0C">
              <w:rPr>
                <w:rFonts w:ascii="Arial Narrow" w:hAnsi="Arial Narrow"/>
                <w:sz w:val="20"/>
              </w:rPr>
              <w:t>P-value</w:t>
            </w:r>
          </w:p>
        </w:tc>
        <w:tc>
          <w:tcPr>
            <w:tcW w:w="478" w:type="dxa"/>
          </w:tcPr>
          <w:p w:rsidR="00390C84" w:rsidRPr="00726F0C" w:rsidRDefault="008120A1" w:rsidP="00D448D7">
            <w:pPr>
              <w:pStyle w:val="ListParagraph"/>
              <w:ind w:left="-88" w:right="-76"/>
              <w:jc w:val="left"/>
              <w:rPr>
                <w:rFonts w:ascii="Arial Narrow" w:hAnsi="Arial Narrow"/>
                <w:sz w:val="20"/>
              </w:rPr>
            </w:pPr>
            <w:r w:rsidRPr="00726F0C">
              <w:rPr>
                <w:rFonts w:ascii="Arial Narrow" w:hAnsi="Arial Narrow"/>
                <w:sz w:val="20"/>
              </w:rPr>
              <w:t>SS</w:t>
            </w:r>
          </w:p>
        </w:tc>
      </w:tr>
      <w:tr w:rsidR="008120A1" w:rsidRPr="00726F0C" w:rsidTr="00D448D7">
        <w:tc>
          <w:tcPr>
            <w:tcW w:w="7468" w:type="dxa"/>
            <w:gridSpan w:val="3"/>
          </w:tcPr>
          <w:p w:rsidR="008120A1" w:rsidRPr="00726F0C" w:rsidRDefault="008120A1" w:rsidP="00390C84">
            <w:pPr>
              <w:pStyle w:val="ListParagraph"/>
              <w:ind w:left="0"/>
              <w:jc w:val="left"/>
              <w:rPr>
                <w:rFonts w:ascii="Arial Narrow" w:hAnsi="Arial Narrow"/>
                <w:sz w:val="20"/>
              </w:rPr>
            </w:pPr>
            <w:r w:rsidRPr="00726F0C">
              <w:rPr>
                <w:rFonts w:ascii="Arial Narrow" w:hAnsi="Arial Narrow"/>
                <w:b/>
                <w:bCs/>
                <w:sz w:val="20"/>
              </w:rPr>
              <w:t>Continuous outcomes</w:t>
            </w:r>
          </w:p>
        </w:tc>
        <w:tc>
          <w:tcPr>
            <w:tcW w:w="5986" w:type="dxa"/>
            <w:gridSpan w:val="5"/>
          </w:tcPr>
          <w:p w:rsidR="008120A1" w:rsidRPr="00726F0C" w:rsidRDefault="008120A1" w:rsidP="00390C84">
            <w:pPr>
              <w:pStyle w:val="ListParagraph"/>
              <w:ind w:left="0"/>
              <w:jc w:val="left"/>
              <w:rPr>
                <w:rFonts w:ascii="Arial Narrow" w:hAnsi="Arial Narrow"/>
                <w:sz w:val="20"/>
              </w:rPr>
            </w:pPr>
            <w:r w:rsidRPr="00726F0C">
              <w:rPr>
                <w:rFonts w:ascii="Arial Narrow" w:hAnsi="Arial Narrow"/>
                <w:b/>
                <w:bCs/>
                <w:iCs/>
                <w:sz w:val="20"/>
              </w:rPr>
              <w:t>WMD &lt;0 favours omalizumab</w:t>
            </w:r>
          </w:p>
        </w:tc>
      </w:tr>
      <w:tr w:rsidR="007E69FC" w:rsidRPr="00726F0C" w:rsidTr="00D448D7">
        <w:tc>
          <w:tcPr>
            <w:tcW w:w="5484" w:type="dxa"/>
          </w:tcPr>
          <w:p w:rsidR="008120A1" w:rsidRPr="00726F0C" w:rsidRDefault="008120A1" w:rsidP="008120A1">
            <w:pPr>
              <w:autoSpaceDE w:val="0"/>
              <w:autoSpaceDN w:val="0"/>
              <w:adjustRightInd w:val="0"/>
              <w:rPr>
                <w:rFonts w:ascii="Arial Narrow" w:hAnsi="Arial Narrow" w:cs="Arial"/>
                <w:sz w:val="20"/>
                <w:szCs w:val="20"/>
              </w:rPr>
            </w:pPr>
            <w:r w:rsidRPr="00726F0C">
              <w:rPr>
                <w:rFonts w:ascii="Arial Narrow" w:hAnsi="Arial Narrow" w:cs="Arial"/>
                <w:sz w:val="20"/>
                <w:szCs w:val="20"/>
              </w:rPr>
              <w:t>UAS7 - change from baseline (150mg)</w:t>
            </w:r>
          </w:p>
          <w:p w:rsidR="00390C84" w:rsidRPr="00726F0C" w:rsidRDefault="008120A1" w:rsidP="008120A1">
            <w:pPr>
              <w:pStyle w:val="ListParagraph"/>
              <w:ind w:left="0"/>
              <w:jc w:val="left"/>
              <w:rPr>
                <w:rFonts w:ascii="Arial Narrow" w:hAnsi="Arial Narrow"/>
                <w:sz w:val="20"/>
              </w:rPr>
            </w:pPr>
            <w:r w:rsidRPr="00726F0C">
              <w:rPr>
                <w:rFonts w:ascii="Arial Narrow" w:hAnsi="Arial Narrow"/>
                <w:sz w:val="20"/>
              </w:rPr>
              <w:t>Data from ASTERIA I for OM150mg</w:t>
            </w:r>
          </w:p>
        </w:tc>
        <w:tc>
          <w:tcPr>
            <w:tcW w:w="1134" w:type="dxa"/>
          </w:tcPr>
          <w:p w:rsidR="00390C84" w:rsidRPr="00726F0C" w:rsidRDefault="008120A1" w:rsidP="00390C84">
            <w:pPr>
              <w:pStyle w:val="ListParagraph"/>
              <w:ind w:left="0"/>
              <w:jc w:val="left"/>
              <w:rPr>
                <w:rFonts w:ascii="Arial Narrow" w:hAnsi="Arial Narrow"/>
                <w:sz w:val="20"/>
              </w:rPr>
            </w:pPr>
            <w:r w:rsidRPr="00726F0C">
              <w:rPr>
                <w:rFonts w:ascii="Arial Narrow" w:hAnsi="Arial Narrow"/>
                <w:sz w:val="20"/>
              </w:rPr>
              <w:t>4-12</w:t>
            </w:r>
          </w:p>
        </w:tc>
        <w:tc>
          <w:tcPr>
            <w:tcW w:w="850" w:type="dxa"/>
          </w:tcPr>
          <w:p w:rsidR="00390C84" w:rsidRPr="00726F0C" w:rsidRDefault="008120A1" w:rsidP="00390C84">
            <w:pPr>
              <w:pStyle w:val="ListParagraph"/>
              <w:ind w:left="0"/>
              <w:jc w:val="left"/>
              <w:rPr>
                <w:rFonts w:ascii="Arial Narrow" w:hAnsi="Arial Narrow"/>
                <w:sz w:val="20"/>
              </w:rPr>
            </w:pPr>
            <w:r w:rsidRPr="00726F0C">
              <w:rPr>
                <w:rFonts w:ascii="Arial Narrow" w:hAnsi="Arial Narrow"/>
                <w:sz w:val="20"/>
              </w:rPr>
              <w:t>WMD</w:t>
            </w:r>
          </w:p>
        </w:tc>
        <w:tc>
          <w:tcPr>
            <w:tcW w:w="1701" w:type="dxa"/>
          </w:tcPr>
          <w:p w:rsidR="007E69FC" w:rsidRPr="00726F0C" w:rsidRDefault="007E69FC" w:rsidP="007E69FC">
            <w:pPr>
              <w:autoSpaceDE w:val="0"/>
              <w:autoSpaceDN w:val="0"/>
              <w:adjustRightInd w:val="0"/>
              <w:jc w:val="center"/>
              <w:rPr>
                <w:rFonts w:ascii="Arial Narrow" w:hAnsi="Arial Narrow" w:cs="Arial"/>
                <w:sz w:val="20"/>
                <w:szCs w:val="20"/>
              </w:rPr>
            </w:pPr>
            <w:r w:rsidRPr="00726F0C">
              <w:rPr>
                <w:rFonts w:ascii="Arial Narrow" w:hAnsi="Arial Narrow" w:cs="Arial"/>
                <w:sz w:val="20"/>
                <w:szCs w:val="20"/>
              </w:rPr>
              <w:t>-6.54</w:t>
            </w:r>
          </w:p>
          <w:p w:rsidR="00390C84" w:rsidRPr="00726F0C" w:rsidRDefault="007E69FC" w:rsidP="007E69FC">
            <w:pPr>
              <w:pStyle w:val="ListParagraph"/>
              <w:ind w:left="0"/>
              <w:jc w:val="center"/>
              <w:rPr>
                <w:rFonts w:ascii="Arial Narrow" w:hAnsi="Arial Narrow"/>
                <w:sz w:val="20"/>
              </w:rPr>
            </w:pPr>
            <w:r w:rsidRPr="00726F0C">
              <w:rPr>
                <w:rFonts w:ascii="Arial Narrow" w:hAnsi="Arial Narrow"/>
                <w:sz w:val="20"/>
              </w:rPr>
              <w:t>(-10.33, -2.75)</w:t>
            </w:r>
          </w:p>
        </w:tc>
        <w:tc>
          <w:tcPr>
            <w:tcW w:w="1418" w:type="dxa"/>
          </w:tcPr>
          <w:p w:rsidR="007E69FC" w:rsidRPr="00726F0C" w:rsidRDefault="007E69FC" w:rsidP="00D448D7">
            <w:pPr>
              <w:autoSpaceDE w:val="0"/>
              <w:autoSpaceDN w:val="0"/>
              <w:adjustRightInd w:val="0"/>
              <w:ind w:left="-108" w:right="-108"/>
              <w:jc w:val="center"/>
              <w:rPr>
                <w:rFonts w:ascii="Arial Narrow" w:hAnsi="Arial Narrow" w:cs="Arial"/>
                <w:sz w:val="20"/>
                <w:szCs w:val="20"/>
              </w:rPr>
            </w:pPr>
            <w:r w:rsidRPr="00726F0C">
              <w:rPr>
                <w:rFonts w:ascii="Arial Narrow" w:hAnsi="Arial Narrow" w:cs="Arial"/>
                <w:sz w:val="20"/>
                <w:szCs w:val="20"/>
              </w:rPr>
              <w:t>-10.4</w:t>
            </w:r>
          </w:p>
          <w:p w:rsidR="00390C84" w:rsidRPr="00726F0C" w:rsidRDefault="007E69FC" w:rsidP="00D448D7">
            <w:pPr>
              <w:pStyle w:val="ListParagraph"/>
              <w:ind w:left="-108" w:right="-108"/>
              <w:jc w:val="center"/>
              <w:rPr>
                <w:rFonts w:ascii="Arial Narrow" w:hAnsi="Arial Narrow"/>
                <w:sz w:val="20"/>
              </w:rPr>
            </w:pPr>
            <w:r w:rsidRPr="00726F0C">
              <w:rPr>
                <w:rFonts w:ascii="Arial Narrow" w:hAnsi="Arial Narrow"/>
                <w:sz w:val="20"/>
              </w:rPr>
              <w:t>(-16.92, -3.88)</w:t>
            </w:r>
          </w:p>
        </w:tc>
        <w:tc>
          <w:tcPr>
            <w:tcW w:w="1559" w:type="dxa"/>
          </w:tcPr>
          <w:p w:rsidR="007E69FC" w:rsidRPr="00726F0C" w:rsidRDefault="007E69FC" w:rsidP="007E69FC">
            <w:pPr>
              <w:autoSpaceDE w:val="0"/>
              <w:autoSpaceDN w:val="0"/>
              <w:adjustRightInd w:val="0"/>
              <w:jc w:val="center"/>
              <w:rPr>
                <w:rFonts w:ascii="Arial Narrow" w:hAnsi="Arial Narrow" w:cs="Arial"/>
                <w:sz w:val="20"/>
                <w:szCs w:val="20"/>
              </w:rPr>
            </w:pPr>
            <w:r w:rsidRPr="00726F0C">
              <w:rPr>
                <w:rFonts w:ascii="Arial Narrow" w:hAnsi="Arial Narrow" w:cs="Arial"/>
                <w:sz w:val="20"/>
                <w:szCs w:val="20"/>
              </w:rPr>
              <w:t>3.86</w:t>
            </w:r>
          </w:p>
          <w:p w:rsidR="00390C84" w:rsidRPr="00726F0C" w:rsidRDefault="007E69FC" w:rsidP="00D448D7">
            <w:pPr>
              <w:pStyle w:val="ListParagraph"/>
              <w:ind w:left="0" w:right="-108"/>
              <w:jc w:val="center"/>
              <w:rPr>
                <w:rFonts w:ascii="Arial Narrow" w:hAnsi="Arial Narrow"/>
                <w:sz w:val="20"/>
              </w:rPr>
            </w:pPr>
            <w:r w:rsidRPr="00726F0C">
              <w:rPr>
                <w:rFonts w:ascii="Arial Narrow" w:hAnsi="Arial Narrow"/>
                <w:sz w:val="20"/>
              </w:rPr>
              <w:t>(-3.682 11.402)</w:t>
            </w:r>
          </w:p>
        </w:tc>
        <w:tc>
          <w:tcPr>
            <w:tcW w:w="830" w:type="dxa"/>
          </w:tcPr>
          <w:p w:rsidR="00390C84" w:rsidRPr="00726F0C" w:rsidRDefault="007E69FC" w:rsidP="00390C84">
            <w:pPr>
              <w:pStyle w:val="ListParagraph"/>
              <w:ind w:left="0"/>
              <w:jc w:val="left"/>
              <w:rPr>
                <w:rFonts w:ascii="Arial Narrow" w:hAnsi="Arial Narrow"/>
                <w:sz w:val="20"/>
              </w:rPr>
            </w:pPr>
            <w:r w:rsidRPr="00726F0C">
              <w:rPr>
                <w:rFonts w:ascii="Arial Narrow" w:hAnsi="Arial Narrow"/>
                <w:sz w:val="20"/>
              </w:rPr>
              <w:t>0.3158</w:t>
            </w:r>
          </w:p>
        </w:tc>
        <w:tc>
          <w:tcPr>
            <w:tcW w:w="478" w:type="dxa"/>
          </w:tcPr>
          <w:p w:rsidR="00390C84" w:rsidRPr="00726F0C" w:rsidRDefault="008120A1" w:rsidP="00D448D7">
            <w:pPr>
              <w:pStyle w:val="ListParagraph"/>
              <w:ind w:left="-88"/>
              <w:jc w:val="left"/>
              <w:rPr>
                <w:rFonts w:ascii="Arial Narrow" w:hAnsi="Arial Narrow"/>
                <w:sz w:val="20"/>
              </w:rPr>
            </w:pPr>
            <w:r w:rsidRPr="00726F0C">
              <w:rPr>
                <w:rFonts w:ascii="Arial Narrow" w:hAnsi="Arial Narrow"/>
                <w:sz w:val="20"/>
              </w:rPr>
              <w:t>NO</w:t>
            </w:r>
          </w:p>
        </w:tc>
      </w:tr>
      <w:tr w:rsidR="007E69FC" w:rsidRPr="00726F0C" w:rsidTr="00D448D7">
        <w:tc>
          <w:tcPr>
            <w:tcW w:w="5484" w:type="dxa"/>
          </w:tcPr>
          <w:p w:rsidR="008120A1" w:rsidRPr="00726F0C" w:rsidRDefault="008120A1" w:rsidP="008120A1">
            <w:pPr>
              <w:autoSpaceDE w:val="0"/>
              <w:autoSpaceDN w:val="0"/>
              <w:adjustRightInd w:val="0"/>
              <w:rPr>
                <w:rFonts w:ascii="Arial Narrow" w:hAnsi="Arial Narrow" w:cs="Arial"/>
                <w:sz w:val="20"/>
                <w:szCs w:val="20"/>
              </w:rPr>
            </w:pPr>
            <w:r w:rsidRPr="00726F0C">
              <w:rPr>
                <w:rFonts w:ascii="Arial Narrow" w:hAnsi="Arial Narrow" w:cs="Arial"/>
                <w:sz w:val="20"/>
                <w:szCs w:val="20"/>
              </w:rPr>
              <w:t>UAS7 - change from baseline (150mg)</w:t>
            </w:r>
          </w:p>
          <w:p w:rsidR="00390C84" w:rsidRPr="00726F0C" w:rsidRDefault="008120A1" w:rsidP="008120A1">
            <w:pPr>
              <w:pStyle w:val="ListParagraph"/>
              <w:ind w:left="0"/>
              <w:jc w:val="left"/>
              <w:rPr>
                <w:rFonts w:ascii="Arial Narrow" w:hAnsi="Arial Narrow"/>
                <w:sz w:val="20"/>
              </w:rPr>
            </w:pPr>
            <w:r w:rsidRPr="00726F0C">
              <w:rPr>
                <w:rFonts w:ascii="Arial Narrow" w:hAnsi="Arial Narrow"/>
                <w:sz w:val="20"/>
              </w:rPr>
              <w:t>Data from ASTERIA II for OM150mg</w:t>
            </w:r>
          </w:p>
        </w:tc>
        <w:tc>
          <w:tcPr>
            <w:tcW w:w="1134" w:type="dxa"/>
          </w:tcPr>
          <w:p w:rsidR="00390C84" w:rsidRPr="00726F0C" w:rsidRDefault="008120A1" w:rsidP="00390C84">
            <w:pPr>
              <w:pStyle w:val="ListParagraph"/>
              <w:ind w:left="0"/>
              <w:jc w:val="left"/>
              <w:rPr>
                <w:rFonts w:ascii="Arial Narrow" w:hAnsi="Arial Narrow"/>
                <w:sz w:val="20"/>
              </w:rPr>
            </w:pPr>
            <w:r w:rsidRPr="00726F0C">
              <w:rPr>
                <w:rFonts w:ascii="Arial Narrow" w:hAnsi="Arial Narrow"/>
                <w:sz w:val="20"/>
              </w:rPr>
              <w:t>4-12</w:t>
            </w:r>
          </w:p>
        </w:tc>
        <w:tc>
          <w:tcPr>
            <w:tcW w:w="850" w:type="dxa"/>
          </w:tcPr>
          <w:p w:rsidR="00390C84" w:rsidRPr="00726F0C" w:rsidRDefault="008120A1" w:rsidP="00390C84">
            <w:pPr>
              <w:pStyle w:val="ListParagraph"/>
              <w:ind w:left="0"/>
              <w:jc w:val="left"/>
              <w:rPr>
                <w:rFonts w:ascii="Arial Narrow" w:hAnsi="Arial Narrow"/>
                <w:sz w:val="20"/>
              </w:rPr>
            </w:pPr>
            <w:r w:rsidRPr="00726F0C">
              <w:rPr>
                <w:rFonts w:ascii="Arial Narrow" w:hAnsi="Arial Narrow"/>
                <w:sz w:val="20"/>
              </w:rPr>
              <w:t>WMD</w:t>
            </w:r>
          </w:p>
        </w:tc>
        <w:tc>
          <w:tcPr>
            <w:tcW w:w="1701" w:type="dxa"/>
          </w:tcPr>
          <w:p w:rsidR="007E69FC" w:rsidRPr="00726F0C" w:rsidRDefault="007E69FC" w:rsidP="007E69FC">
            <w:pPr>
              <w:autoSpaceDE w:val="0"/>
              <w:autoSpaceDN w:val="0"/>
              <w:adjustRightInd w:val="0"/>
              <w:jc w:val="center"/>
              <w:rPr>
                <w:rFonts w:ascii="Arial Narrow" w:hAnsi="Arial Narrow" w:cs="Arial"/>
                <w:sz w:val="20"/>
                <w:szCs w:val="20"/>
              </w:rPr>
            </w:pPr>
            <w:r w:rsidRPr="00726F0C">
              <w:rPr>
                <w:rFonts w:ascii="Arial Narrow" w:hAnsi="Arial Narrow" w:cs="Arial"/>
                <w:sz w:val="20"/>
                <w:szCs w:val="20"/>
              </w:rPr>
              <w:t>-7.69</w:t>
            </w:r>
          </w:p>
          <w:p w:rsidR="00390C84" w:rsidRPr="00726F0C" w:rsidRDefault="007E69FC" w:rsidP="007E69FC">
            <w:pPr>
              <w:pStyle w:val="ListParagraph"/>
              <w:ind w:left="0"/>
              <w:jc w:val="center"/>
              <w:rPr>
                <w:rFonts w:ascii="Arial Narrow" w:hAnsi="Arial Narrow"/>
                <w:sz w:val="20"/>
              </w:rPr>
            </w:pPr>
            <w:r w:rsidRPr="00726F0C">
              <w:rPr>
                <w:rFonts w:ascii="Arial Narrow" w:hAnsi="Arial Narrow"/>
                <w:sz w:val="20"/>
              </w:rPr>
              <w:t>(-11.49, -3.88)</w:t>
            </w:r>
          </w:p>
        </w:tc>
        <w:tc>
          <w:tcPr>
            <w:tcW w:w="1418" w:type="dxa"/>
          </w:tcPr>
          <w:p w:rsidR="007E69FC" w:rsidRPr="00726F0C" w:rsidRDefault="007E69FC" w:rsidP="00D448D7">
            <w:pPr>
              <w:autoSpaceDE w:val="0"/>
              <w:autoSpaceDN w:val="0"/>
              <w:adjustRightInd w:val="0"/>
              <w:ind w:left="-108" w:right="-108"/>
              <w:jc w:val="center"/>
              <w:rPr>
                <w:rFonts w:ascii="Arial Narrow" w:hAnsi="Arial Narrow" w:cs="Arial"/>
                <w:sz w:val="20"/>
                <w:szCs w:val="20"/>
              </w:rPr>
            </w:pPr>
            <w:r w:rsidRPr="00726F0C">
              <w:rPr>
                <w:rFonts w:ascii="Arial Narrow" w:hAnsi="Arial Narrow" w:cs="Arial"/>
                <w:sz w:val="20"/>
                <w:szCs w:val="20"/>
              </w:rPr>
              <w:t>-10.4</w:t>
            </w:r>
          </w:p>
          <w:p w:rsidR="00390C84" w:rsidRPr="00726F0C" w:rsidRDefault="007E69FC" w:rsidP="00D448D7">
            <w:pPr>
              <w:pStyle w:val="ListParagraph"/>
              <w:ind w:left="-108" w:right="-108"/>
              <w:jc w:val="center"/>
              <w:rPr>
                <w:rFonts w:ascii="Arial Narrow" w:hAnsi="Arial Narrow"/>
                <w:sz w:val="20"/>
              </w:rPr>
            </w:pPr>
            <w:r w:rsidRPr="00726F0C">
              <w:rPr>
                <w:rFonts w:ascii="Arial Narrow" w:hAnsi="Arial Narrow"/>
                <w:sz w:val="20"/>
              </w:rPr>
              <w:t>(-16.92, -3.88)</w:t>
            </w:r>
          </w:p>
        </w:tc>
        <w:tc>
          <w:tcPr>
            <w:tcW w:w="1559" w:type="dxa"/>
          </w:tcPr>
          <w:p w:rsidR="007E69FC" w:rsidRPr="00726F0C" w:rsidRDefault="007E69FC" w:rsidP="007E69FC">
            <w:pPr>
              <w:autoSpaceDE w:val="0"/>
              <w:autoSpaceDN w:val="0"/>
              <w:adjustRightInd w:val="0"/>
              <w:jc w:val="center"/>
              <w:rPr>
                <w:rFonts w:ascii="Arial Narrow" w:hAnsi="Arial Narrow" w:cs="Arial"/>
                <w:sz w:val="20"/>
                <w:szCs w:val="20"/>
              </w:rPr>
            </w:pPr>
            <w:r w:rsidRPr="00726F0C">
              <w:rPr>
                <w:rFonts w:ascii="Arial Narrow" w:hAnsi="Arial Narrow" w:cs="Arial"/>
                <w:sz w:val="20"/>
                <w:szCs w:val="20"/>
              </w:rPr>
              <w:t>2.71</w:t>
            </w:r>
          </w:p>
          <w:p w:rsidR="00390C84" w:rsidRPr="00726F0C" w:rsidRDefault="007E69FC" w:rsidP="00D448D7">
            <w:pPr>
              <w:pStyle w:val="ListParagraph"/>
              <w:ind w:left="0" w:right="-108"/>
              <w:jc w:val="center"/>
              <w:rPr>
                <w:rFonts w:ascii="Arial Narrow" w:hAnsi="Arial Narrow"/>
                <w:sz w:val="20"/>
              </w:rPr>
            </w:pPr>
            <w:r w:rsidRPr="00726F0C">
              <w:rPr>
                <w:rFonts w:ascii="Arial Narrow" w:hAnsi="Arial Narrow"/>
                <w:sz w:val="20"/>
              </w:rPr>
              <w:t>(-4.839, 10.259)</w:t>
            </w:r>
          </w:p>
        </w:tc>
        <w:tc>
          <w:tcPr>
            <w:tcW w:w="830" w:type="dxa"/>
          </w:tcPr>
          <w:p w:rsidR="00390C84" w:rsidRPr="00726F0C" w:rsidRDefault="007E69FC" w:rsidP="00390C84">
            <w:pPr>
              <w:pStyle w:val="ListParagraph"/>
              <w:ind w:left="0"/>
              <w:jc w:val="left"/>
              <w:rPr>
                <w:rFonts w:ascii="Arial Narrow" w:hAnsi="Arial Narrow"/>
                <w:sz w:val="20"/>
              </w:rPr>
            </w:pPr>
            <w:r w:rsidRPr="00726F0C">
              <w:rPr>
                <w:rFonts w:ascii="Arial Narrow" w:hAnsi="Arial Narrow"/>
                <w:sz w:val="20"/>
              </w:rPr>
              <w:t>0.5661</w:t>
            </w:r>
          </w:p>
        </w:tc>
        <w:tc>
          <w:tcPr>
            <w:tcW w:w="478" w:type="dxa"/>
          </w:tcPr>
          <w:p w:rsidR="00390C84" w:rsidRPr="00726F0C" w:rsidRDefault="008120A1" w:rsidP="00D448D7">
            <w:pPr>
              <w:pStyle w:val="ListParagraph"/>
              <w:ind w:left="-88"/>
              <w:jc w:val="left"/>
              <w:rPr>
                <w:rFonts w:ascii="Arial Narrow" w:hAnsi="Arial Narrow"/>
                <w:sz w:val="20"/>
              </w:rPr>
            </w:pPr>
            <w:r w:rsidRPr="00726F0C">
              <w:rPr>
                <w:rFonts w:ascii="Arial Narrow" w:hAnsi="Arial Narrow"/>
                <w:sz w:val="20"/>
              </w:rPr>
              <w:t>NO</w:t>
            </w:r>
          </w:p>
        </w:tc>
      </w:tr>
      <w:tr w:rsidR="008120A1" w:rsidRPr="00726F0C" w:rsidTr="007E69FC">
        <w:tc>
          <w:tcPr>
            <w:tcW w:w="13454" w:type="dxa"/>
            <w:gridSpan w:val="8"/>
          </w:tcPr>
          <w:p w:rsidR="008120A1" w:rsidRPr="00726F0C" w:rsidRDefault="008120A1" w:rsidP="008120A1">
            <w:pPr>
              <w:autoSpaceDE w:val="0"/>
              <w:autoSpaceDN w:val="0"/>
              <w:adjustRightInd w:val="0"/>
              <w:rPr>
                <w:rFonts w:ascii="Arial Narrow" w:hAnsi="Arial Narrow" w:cs="Arial"/>
                <w:sz w:val="20"/>
                <w:szCs w:val="20"/>
              </w:rPr>
            </w:pPr>
            <w:r w:rsidRPr="00726F0C">
              <w:rPr>
                <w:rFonts w:ascii="Arial Narrow" w:hAnsi="Arial Narrow" w:cs="Arial"/>
                <w:iCs/>
                <w:sz w:val="20"/>
                <w:szCs w:val="20"/>
              </w:rPr>
              <w:t>Source: Attachment 6 Indirect comparison. Data for omalizumab 150mg from Section B.6.1 of the July 2015 CSU submission represented in PBAC MINS 11-2015 section 6.9 and 6.21</w:t>
            </w:r>
          </w:p>
        </w:tc>
      </w:tr>
      <w:tr w:rsidR="007E69FC" w:rsidRPr="00726F0C" w:rsidTr="00D448D7">
        <w:tc>
          <w:tcPr>
            <w:tcW w:w="5484" w:type="dxa"/>
          </w:tcPr>
          <w:p w:rsidR="008120A1" w:rsidRPr="00726F0C" w:rsidRDefault="008120A1" w:rsidP="008120A1">
            <w:pPr>
              <w:autoSpaceDE w:val="0"/>
              <w:autoSpaceDN w:val="0"/>
              <w:adjustRightInd w:val="0"/>
              <w:rPr>
                <w:rFonts w:ascii="Arial Narrow" w:hAnsi="Arial Narrow" w:cs="Arial"/>
                <w:iCs/>
                <w:sz w:val="20"/>
                <w:szCs w:val="20"/>
              </w:rPr>
            </w:pPr>
            <w:r w:rsidRPr="00726F0C">
              <w:rPr>
                <w:rFonts w:ascii="Arial Narrow" w:hAnsi="Arial Narrow" w:cs="Arial"/>
                <w:iCs/>
                <w:sz w:val="20"/>
                <w:szCs w:val="20"/>
              </w:rPr>
              <w:t>UAS7 - change from baseline (300mg)</w:t>
            </w:r>
          </w:p>
          <w:p w:rsidR="008120A1" w:rsidRPr="00726F0C" w:rsidRDefault="008120A1" w:rsidP="008120A1">
            <w:pPr>
              <w:autoSpaceDE w:val="0"/>
              <w:autoSpaceDN w:val="0"/>
              <w:adjustRightInd w:val="0"/>
              <w:rPr>
                <w:rFonts w:ascii="Arial Narrow" w:hAnsi="Arial Narrow" w:cs="Arial"/>
                <w:sz w:val="20"/>
                <w:szCs w:val="20"/>
              </w:rPr>
            </w:pPr>
            <w:r w:rsidRPr="00726F0C">
              <w:rPr>
                <w:rFonts w:ascii="Arial Narrow" w:hAnsi="Arial Narrow" w:cs="Arial"/>
                <w:iCs/>
                <w:sz w:val="20"/>
                <w:szCs w:val="20"/>
              </w:rPr>
              <w:t>Presented in July 2015 PBAC submission</w:t>
            </w:r>
          </w:p>
        </w:tc>
        <w:tc>
          <w:tcPr>
            <w:tcW w:w="1134" w:type="dxa"/>
          </w:tcPr>
          <w:p w:rsidR="008120A1" w:rsidRPr="00726F0C" w:rsidRDefault="008120A1" w:rsidP="00390C84">
            <w:pPr>
              <w:pStyle w:val="ListParagraph"/>
              <w:ind w:left="0"/>
              <w:jc w:val="left"/>
              <w:rPr>
                <w:rFonts w:ascii="Arial Narrow" w:hAnsi="Arial Narrow"/>
                <w:sz w:val="20"/>
              </w:rPr>
            </w:pPr>
            <w:r w:rsidRPr="00726F0C">
              <w:rPr>
                <w:rFonts w:ascii="Arial Narrow" w:hAnsi="Arial Narrow"/>
                <w:sz w:val="20"/>
              </w:rPr>
              <w:t>4-12</w:t>
            </w:r>
          </w:p>
        </w:tc>
        <w:tc>
          <w:tcPr>
            <w:tcW w:w="850" w:type="dxa"/>
          </w:tcPr>
          <w:p w:rsidR="008120A1" w:rsidRPr="00726F0C" w:rsidRDefault="008120A1" w:rsidP="00390C84">
            <w:pPr>
              <w:pStyle w:val="ListParagraph"/>
              <w:ind w:left="0"/>
              <w:jc w:val="left"/>
              <w:rPr>
                <w:rFonts w:ascii="Arial Narrow" w:hAnsi="Arial Narrow"/>
                <w:sz w:val="20"/>
              </w:rPr>
            </w:pPr>
            <w:r w:rsidRPr="00726F0C">
              <w:rPr>
                <w:rFonts w:ascii="Arial Narrow" w:hAnsi="Arial Narrow"/>
                <w:sz w:val="20"/>
              </w:rPr>
              <w:t>WMD</w:t>
            </w:r>
          </w:p>
        </w:tc>
        <w:tc>
          <w:tcPr>
            <w:tcW w:w="1701" w:type="dxa"/>
          </w:tcPr>
          <w:p w:rsidR="007E69FC" w:rsidRPr="00726F0C" w:rsidRDefault="007E69FC" w:rsidP="007E69FC">
            <w:pPr>
              <w:autoSpaceDE w:val="0"/>
              <w:autoSpaceDN w:val="0"/>
              <w:adjustRightInd w:val="0"/>
              <w:jc w:val="center"/>
              <w:rPr>
                <w:rFonts w:ascii="Arial Narrow" w:hAnsi="Arial Narrow" w:cs="Arial"/>
                <w:iCs/>
                <w:sz w:val="20"/>
                <w:szCs w:val="20"/>
              </w:rPr>
            </w:pPr>
            <w:r w:rsidRPr="00726F0C">
              <w:rPr>
                <w:rFonts w:ascii="Arial Narrow" w:hAnsi="Arial Narrow" w:cs="Arial"/>
                <w:iCs/>
                <w:sz w:val="20"/>
                <w:szCs w:val="20"/>
              </w:rPr>
              <w:t>-11.43</w:t>
            </w:r>
          </w:p>
          <w:p w:rsidR="008120A1" w:rsidRPr="00726F0C" w:rsidRDefault="007E69FC" w:rsidP="007E69FC">
            <w:pPr>
              <w:pStyle w:val="ListParagraph"/>
              <w:ind w:left="0"/>
              <w:jc w:val="center"/>
              <w:rPr>
                <w:rFonts w:ascii="Arial Narrow" w:hAnsi="Arial Narrow"/>
                <w:sz w:val="20"/>
              </w:rPr>
            </w:pPr>
            <w:r w:rsidRPr="00726F0C">
              <w:rPr>
                <w:rFonts w:ascii="Arial Narrow" w:hAnsi="Arial Narrow"/>
                <w:iCs/>
                <w:sz w:val="20"/>
              </w:rPr>
              <w:t>(-13.42, -9.45)</w:t>
            </w:r>
          </w:p>
        </w:tc>
        <w:tc>
          <w:tcPr>
            <w:tcW w:w="1418" w:type="dxa"/>
          </w:tcPr>
          <w:p w:rsidR="007E69FC" w:rsidRPr="00726F0C" w:rsidRDefault="007E69FC" w:rsidP="007E69FC">
            <w:pPr>
              <w:autoSpaceDE w:val="0"/>
              <w:autoSpaceDN w:val="0"/>
              <w:adjustRightInd w:val="0"/>
              <w:jc w:val="center"/>
              <w:rPr>
                <w:rFonts w:ascii="Arial Narrow" w:hAnsi="Arial Narrow" w:cs="Arial"/>
                <w:iCs/>
                <w:sz w:val="20"/>
                <w:szCs w:val="20"/>
              </w:rPr>
            </w:pPr>
            <w:r w:rsidRPr="00726F0C">
              <w:rPr>
                <w:rFonts w:ascii="Arial Narrow" w:hAnsi="Arial Narrow" w:cs="Arial"/>
                <w:iCs/>
                <w:sz w:val="20"/>
                <w:szCs w:val="20"/>
              </w:rPr>
              <w:t>-10.4</w:t>
            </w:r>
          </w:p>
          <w:p w:rsidR="008120A1" w:rsidRPr="00726F0C" w:rsidRDefault="007E69FC" w:rsidP="00D448D7">
            <w:pPr>
              <w:pStyle w:val="ListParagraph"/>
              <w:ind w:left="0" w:right="-108"/>
              <w:jc w:val="center"/>
              <w:rPr>
                <w:rFonts w:ascii="Arial Narrow" w:hAnsi="Arial Narrow"/>
                <w:sz w:val="20"/>
              </w:rPr>
            </w:pPr>
            <w:r w:rsidRPr="00726F0C">
              <w:rPr>
                <w:rFonts w:ascii="Arial Narrow" w:hAnsi="Arial Narrow"/>
                <w:iCs/>
                <w:sz w:val="20"/>
              </w:rPr>
              <w:t>(-16.92, -3.88)</w:t>
            </w:r>
          </w:p>
        </w:tc>
        <w:tc>
          <w:tcPr>
            <w:tcW w:w="1559" w:type="dxa"/>
          </w:tcPr>
          <w:p w:rsidR="007E69FC" w:rsidRPr="00726F0C" w:rsidRDefault="007E69FC" w:rsidP="007E69FC">
            <w:pPr>
              <w:autoSpaceDE w:val="0"/>
              <w:autoSpaceDN w:val="0"/>
              <w:adjustRightInd w:val="0"/>
              <w:jc w:val="center"/>
              <w:rPr>
                <w:rFonts w:ascii="Arial Narrow" w:hAnsi="Arial Narrow" w:cs="Arial"/>
                <w:iCs/>
                <w:sz w:val="20"/>
                <w:szCs w:val="20"/>
              </w:rPr>
            </w:pPr>
            <w:r w:rsidRPr="00726F0C">
              <w:rPr>
                <w:rFonts w:ascii="Arial Narrow" w:hAnsi="Arial Narrow" w:cs="Arial"/>
                <w:iCs/>
                <w:sz w:val="20"/>
                <w:szCs w:val="20"/>
              </w:rPr>
              <w:t>-1.03</w:t>
            </w:r>
          </w:p>
          <w:p w:rsidR="008120A1" w:rsidRPr="00726F0C" w:rsidRDefault="007E69FC" w:rsidP="007E69FC">
            <w:pPr>
              <w:pStyle w:val="ListParagraph"/>
              <w:ind w:left="0"/>
              <w:jc w:val="center"/>
              <w:rPr>
                <w:rFonts w:ascii="Arial Narrow" w:hAnsi="Arial Narrow"/>
                <w:sz w:val="20"/>
              </w:rPr>
            </w:pPr>
            <w:r w:rsidRPr="00726F0C">
              <w:rPr>
                <w:rFonts w:ascii="Arial Narrow" w:hAnsi="Arial Narrow"/>
                <w:iCs/>
                <w:sz w:val="20"/>
              </w:rPr>
              <w:t>(-7.845, 5.785)</w:t>
            </w:r>
          </w:p>
        </w:tc>
        <w:tc>
          <w:tcPr>
            <w:tcW w:w="830" w:type="dxa"/>
          </w:tcPr>
          <w:p w:rsidR="008120A1" w:rsidRPr="00726F0C" w:rsidRDefault="007E69FC" w:rsidP="00390C84">
            <w:pPr>
              <w:pStyle w:val="ListParagraph"/>
              <w:ind w:left="0"/>
              <w:jc w:val="left"/>
              <w:rPr>
                <w:rFonts w:ascii="Arial Narrow" w:hAnsi="Arial Narrow"/>
                <w:sz w:val="20"/>
              </w:rPr>
            </w:pPr>
            <w:r w:rsidRPr="00726F0C">
              <w:rPr>
                <w:rFonts w:ascii="Arial Narrow" w:hAnsi="Arial Narrow"/>
                <w:iCs/>
                <w:sz w:val="20"/>
              </w:rPr>
              <w:t>0.7671</w:t>
            </w:r>
          </w:p>
        </w:tc>
        <w:tc>
          <w:tcPr>
            <w:tcW w:w="478" w:type="dxa"/>
          </w:tcPr>
          <w:p w:rsidR="008120A1" w:rsidRPr="00726F0C" w:rsidRDefault="008120A1" w:rsidP="00D448D7">
            <w:pPr>
              <w:pStyle w:val="ListParagraph"/>
              <w:ind w:left="-88"/>
              <w:jc w:val="left"/>
              <w:rPr>
                <w:rFonts w:ascii="Arial Narrow" w:hAnsi="Arial Narrow"/>
                <w:sz w:val="20"/>
              </w:rPr>
            </w:pPr>
            <w:r w:rsidRPr="00726F0C">
              <w:rPr>
                <w:rFonts w:ascii="Arial Narrow" w:hAnsi="Arial Narrow"/>
                <w:sz w:val="20"/>
              </w:rPr>
              <w:t>NO</w:t>
            </w:r>
          </w:p>
        </w:tc>
      </w:tr>
      <w:tr w:rsidR="00C275B9" w:rsidRPr="00726F0C" w:rsidTr="002E44D8">
        <w:tc>
          <w:tcPr>
            <w:tcW w:w="13454" w:type="dxa"/>
            <w:gridSpan w:val="8"/>
          </w:tcPr>
          <w:p w:rsidR="00C275B9" w:rsidRPr="00726F0C" w:rsidRDefault="00C275B9" w:rsidP="00C275B9">
            <w:pPr>
              <w:pStyle w:val="ListParagraph"/>
              <w:ind w:left="0"/>
              <w:jc w:val="left"/>
              <w:rPr>
                <w:rFonts w:ascii="Arial Narrow" w:hAnsi="Arial Narrow"/>
                <w:sz w:val="20"/>
              </w:rPr>
            </w:pPr>
            <w:r w:rsidRPr="00726F0C">
              <w:rPr>
                <w:rFonts w:ascii="Arial Narrow" w:hAnsi="Arial Narrow"/>
                <w:sz w:val="20"/>
              </w:rPr>
              <w:t xml:space="preserve">Source: </w:t>
            </w:r>
            <w:r w:rsidRPr="00726F0C">
              <w:rPr>
                <w:rFonts w:ascii="Arial Narrow" w:hAnsi="Arial Narrow"/>
                <w:iCs/>
                <w:sz w:val="20"/>
              </w:rPr>
              <w:t>Section B1 Indirect comparison with cyclosporin from July 2015 CSU submission (attachment 1)</w:t>
            </w:r>
          </w:p>
        </w:tc>
      </w:tr>
      <w:tr w:rsidR="008120A1" w:rsidRPr="00726F0C" w:rsidTr="00D448D7">
        <w:tc>
          <w:tcPr>
            <w:tcW w:w="7468" w:type="dxa"/>
            <w:gridSpan w:val="3"/>
          </w:tcPr>
          <w:p w:rsidR="008120A1" w:rsidRPr="00726F0C" w:rsidRDefault="008120A1" w:rsidP="00390C84">
            <w:pPr>
              <w:pStyle w:val="ListParagraph"/>
              <w:ind w:left="0"/>
              <w:jc w:val="left"/>
              <w:rPr>
                <w:rFonts w:ascii="Arial Narrow" w:hAnsi="Arial Narrow"/>
                <w:sz w:val="20"/>
              </w:rPr>
            </w:pPr>
            <w:r w:rsidRPr="00726F0C">
              <w:rPr>
                <w:rFonts w:ascii="Arial Narrow" w:hAnsi="Arial Narrow"/>
                <w:b/>
                <w:bCs/>
                <w:sz w:val="20"/>
              </w:rPr>
              <w:t>Dichotomous outcomes</w:t>
            </w:r>
          </w:p>
        </w:tc>
        <w:tc>
          <w:tcPr>
            <w:tcW w:w="5986" w:type="dxa"/>
            <w:gridSpan w:val="5"/>
          </w:tcPr>
          <w:p w:rsidR="008120A1" w:rsidRPr="00726F0C" w:rsidRDefault="008120A1" w:rsidP="00390C84">
            <w:pPr>
              <w:pStyle w:val="ListParagraph"/>
              <w:ind w:left="0"/>
              <w:jc w:val="left"/>
              <w:rPr>
                <w:rFonts w:ascii="Arial Narrow" w:hAnsi="Arial Narrow"/>
                <w:sz w:val="20"/>
              </w:rPr>
            </w:pPr>
          </w:p>
        </w:tc>
      </w:tr>
      <w:tr w:rsidR="007E69FC" w:rsidRPr="00726F0C" w:rsidTr="00D448D7">
        <w:tc>
          <w:tcPr>
            <w:tcW w:w="5484" w:type="dxa"/>
          </w:tcPr>
          <w:p w:rsidR="008120A1" w:rsidRPr="00726F0C" w:rsidRDefault="008120A1" w:rsidP="008120A1">
            <w:pPr>
              <w:autoSpaceDE w:val="0"/>
              <w:autoSpaceDN w:val="0"/>
              <w:adjustRightInd w:val="0"/>
              <w:rPr>
                <w:rFonts w:ascii="Arial Narrow" w:hAnsi="Arial Narrow" w:cs="Arial"/>
                <w:sz w:val="20"/>
                <w:szCs w:val="20"/>
              </w:rPr>
            </w:pPr>
            <w:r w:rsidRPr="00726F0C">
              <w:rPr>
                <w:rFonts w:ascii="Arial Narrow" w:hAnsi="Arial Narrow" w:cs="Arial"/>
                <w:sz w:val="20"/>
                <w:szCs w:val="20"/>
              </w:rPr>
              <w:t>UAS response - change to &lt;25 from</w:t>
            </w:r>
            <w:r w:rsidR="007E69FC" w:rsidRPr="00726F0C">
              <w:rPr>
                <w:rFonts w:ascii="Arial Narrow" w:hAnsi="Arial Narrow" w:cs="Arial"/>
                <w:sz w:val="20"/>
                <w:szCs w:val="20"/>
              </w:rPr>
              <w:t xml:space="preserve"> </w:t>
            </w:r>
            <w:r w:rsidRPr="00726F0C">
              <w:rPr>
                <w:rFonts w:ascii="Arial Narrow" w:hAnsi="Arial Narrow" w:cs="Arial"/>
                <w:sz w:val="20"/>
                <w:szCs w:val="20"/>
              </w:rPr>
              <w:t>baseline or UAS7 ≤6</w:t>
            </w:r>
          </w:p>
          <w:p w:rsidR="00390C84" w:rsidRPr="00726F0C" w:rsidRDefault="008120A1" w:rsidP="008120A1">
            <w:pPr>
              <w:pStyle w:val="ListParagraph"/>
              <w:ind w:left="0"/>
              <w:jc w:val="left"/>
              <w:rPr>
                <w:rFonts w:ascii="Arial Narrow" w:hAnsi="Arial Narrow"/>
                <w:sz w:val="20"/>
              </w:rPr>
            </w:pPr>
            <w:r w:rsidRPr="00726F0C">
              <w:rPr>
                <w:rFonts w:ascii="Arial Narrow" w:hAnsi="Arial Narrow"/>
                <w:sz w:val="20"/>
              </w:rPr>
              <w:t>Data from ASTERIA I for OM150mg</w:t>
            </w:r>
          </w:p>
        </w:tc>
        <w:tc>
          <w:tcPr>
            <w:tcW w:w="1134" w:type="dxa"/>
          </w:tcPr>
          <w:p w:rsidR="00390C84" w:rsidRPr="00726F0C" w:rsidRDefault="008120A1" w:rsidP="00390C84">
            <w:pPr>
              <w:pStyle w:val="ListParagraph"/>
              <w:ind w:left="0"/>
              <w:jc w:val="left"/>
              <w:rPr>
                <w:rFonts w:ascii="Arial Narrow" w:hAnsi="Arial Narrow"/>
                <w:sz w:val="20"/>
              </w:rPr>
            </w:pPr>
            <w:r w:rsidRPr="00726F0C">
              <w:rPr>
                <w:rFonts w:ascii="Arial Narrow" w:hAnsi="Arial Narrow"/>
                <w:sz w:val="20"/>
              </w:rPr>
              <w:t>4-12</w:t>
            </w:r>
          </w:p>
        </w:tc>
        <w:tc>
          <w:tcPr>
            <w:tcW w:w="850" w:type="dxa"/>
          </w:tcPr>
          <w:p w:rsidR="00390C84" w:rsidRPr="00726F0C" w:rsidRDefault="008120A1" w:rsidP="00390C84">
            <w:pPr>
              <w:pStyle w:val="ListParagraph"/>
              <w:ind w:left="0"/>
              <w:jc w:val="left"/>
              <w:rPr>
                <w:rFonts w:ascii="Arial Narrow" w:hAnsi="Arial Narrow"/>
                <w:sz w:val="20"/>
              </w:rPr>
            </w:pPr>
            <w:r w:rsidRPr="00726F0C">
              <w:rPr>
                <w:rFonts w:ascii="Arial Narrow" w:hAnsi="Arial Narrow"/>
                <w:sz w:val="20"/>
              </w:rPr>
              <w:t>OR</w:t>
            </w:r>
          </w:p>
        </w:tc>
        <w:tc>
          <w:tcPr>
            <w:tcW w:w="1701" w:type="dxa"/>
          </w:tcPr>
          <w:p w:rsidR="007E69FC" w:rsidRPr="00726F0C" w:rsidRDefault="007E69FC" w:rsidP="007E69FC">
            <w:pPr>
              <w:autoSpaceDE w:val="0"/>
              <w:autoSpaceDN w:val="0"/>
              <w:adjustRightInd w:val="0"/>
              <w:jc w:val="center"/>
              <w:rPr>
                <w:rFonts w:ascii="Arial Narrow" w:hAnsi="Arial Narrow" w:cs="Arial"/>
                <w:sz w:val="20"/>
                <w:szCs w:val="20"/>
              </w:rPr>
            </w:pPr>
            <w:r w:rsidRPr="00726F0C">
              <w:rPr>
                <w:rFonts w:ascii="Arial Narrow" w:hAnsi="Arial Narrow" w:cs="Arial"/>
                <w:sz w:val="20"/>
                <w:szCs w:val="20"/>
              </w:rPr>
              <w:t>5.15</w:t>
            </w:r>
          </w:p>
          <w:p w:rsidR="00390C84" w:rsidRPr="00726F0C" w:rsidRDefault="007E69FC" w:rsidP="007E69FC">
            <w:pPr>
              <w:pStyle w:val="ListParagraph"/>
              <w:ind w:left="0"/>
              <w:jc w:val="center"/>
              <w:rPr>
                <w:rFonts w:ascii="Arial Narrow" w:hAnsi="Arial Narrow"/>
                <w:sz w:val="20"/>
              </w:rPr>
            </w:pPr>
            <w:r w:rsidRPr="00726F0C">
              <w:rPr>
                <w:rFonts w:ascii="Arial Narrow" w:hAnsi="Arial Narrow"/>
                <w:sz w:val="20"/>
              </w:rPr>
              <w:t>(2.60, 11.75)</w:t>
            </w:r>
          </w:p>
        </w:tc>
        <w:tc>
          <w:tcPr>
            <w:tcW w:w="1418" w:type="dxa"/>
          </w:tcPr>
          <w:p w:rsidR="007E69FC" w:rsidRPr="00726F0C" w:rsidRDefault="007E69FC" w:rsidP="00D448D7">
            <w:pPr>
              <w:autoSpaceDE w:val="0"/>
              <w:autoSpaceDN w:val="0"/>
              <w:adjustRightInd w:val="0"/>
              <w:ind w:right="-108"/>
              <w:jc w:val="center"/>
              <w:rPr>
                <w:rFonts w:ascii="Arial Narrow" w:hAnsi="Arial Narrow" w:cs="Arial"/>
                <w:sz w:val="20"/>
                <w:szCs w:val="20"/>
              </w:rPr>
            </w:pPr>
            <w:r w:rsidRPr="00726F0C">
              <w:rPr>
                <w:rFonts w:ascii="Arial Narrow" w:hAnsi="Arial Narrow" w:cs="Arial"/>
                <w:sz w:val="20"/>
                <w:szCs w:val="20"/>
              </w:rPr>
              <w:t>12.67</w:t>
            </w:r>
          </w:p>
          <w:p w:rsidR="00390C84" w:rsidRPr="00726F0C" w:rsidRDefault="007E69FC" w:rsidP="00D448D7">
            <w:pPr>
              <w:pStyle w:val="ListParagraph"/>
              <w:ind w:left="0" w:right="-108"/>
              <w:jc w:val="center"/>
              <w:rPr>
                <w:rFonts w:ascii="Arial Narrow" w:hAnsi="Arial Narrow"/>
                <w:sz w:val="20"/>
              </w:rPr>
            </w:pPr>
            <w:r w:rsidRPr="00726F0C">
              <w:rPr>
                <w:rFonts w:ascii="Arial Narrow" w:hAnsi="Arial Narrow"/>
                <w:sz w:val="20"/>
              </w:rPr>
              <w:t>(0.64, 249.69)</w:t>
            </w:r>
          </w:p>
        </w:tc>
        <w:tc>
          <w:tcPr>
            <w:tcW w:w="1559" w:type="dxa"/>
          </w:tcPr>
          <w:p w:rsidR="007E69FC" w:rsidRPr="00726F0C" w:rsidRDefault="007E69FC" w:rsidP="007E69FC">
            <w:pPr>
              <w:autoSpaceDE w:val="0"/>
              <w:autoSpaceDN w:val="0"/>
              <w:adjustRightInd w:val="0"/>
              <w:jc w:val="center"/>
              <w:rPr>
                <w:rFonts w:ascii="Arial Narrow" w:hAnsi="Arial Narrow" w:cs="Arial"/>
                <w:sz w:val="20"/>
                <w:szCs w:val="20"/>
              </w:rPr>
            </w:pPr>
            <w:r w:rsidRPr="00726F0C">
              <w:rPr>
                <w:rFonts w:ascii="Arial Narrow" w:hAnsi="Arial Narrow" w:cs="Arial"/>
                <w:sz w:val="20"/>
                <w:szCs w:val="20"/>
              </w:rPr>
              <w:t>0.406</w:t>
            </w:r>
          </w:p>
          <w:p w:rsidR="00390C84" w:rsidRPr="00726F0C" w:rsidRDefault="007E69FC" w:rsidP="007E69FC">
            <w:pPr>
              <w:pStyle w:val="ListParagraph"/>
              <w:ind w:left="0"/>
              <w:jc w:val="center"/>
              <w:rPr>
                <w:rFonts w:ascii="Arial Narrow" w:hAnsi="Arial Narrow"/>
                <w:sz w:val="20"/>
              </w:rPr>
            </w:pPr>
            <w:r w:rsidRPr="00726F0C">
              <w:rPr>
                <w:rFonts w:ascii="Arial Narrow" w:hAnsi="Arial Narrow"/>
                <w:sz w:val="20"/>
              </w:rPr>
              <w:t>(0.019, 8.801)</w:t>
            </w:r>
          </w:p>
        </w:tc>
        <w:tc>
          <w:tcPr>
            <w:tcW w:w="830" w:type="dxa"/>
          </w:tcPr>
          <w:p w:rsidR="00390C84" w:rsidRPr="00726F0C" w:rsidRDefault="007E69FC" w:rsidP="00390C84">
            <w:pPr>
              <w:pStyle w:val="ListParagraph"/>
              <w:ind w:left="0"/>
              <w:jc w:val="left"/>
              <w:rPr>
                <w:rFonts w:ascii="Arial Narrow" w:hAnsi="Arial Narrow"/>
                <w:sz w:val="20"/>
              </w:rPr>
            </w:pPr>
            <w:r w:rsidRPr="00726F0C">
              <w:rPr>
                <w:rFonts w:ascii="Arial Narrow" w:hAnsi="Arial Narrow"/>
                <w:sz w:val="20"/>
              </w:rPr>
              <w:t>0.5661</w:t>
            </w:r>
          </w:p>
        </w:tc>
        <w:tc>
          <w:tcPr>
            <w:tcW w:w="478" w:type="dxa"/>
          </w:tcPr>
          <w:p w:rsidR="00390C84" w:rsidRPr="00726F0C" w:rsidRDefault="008120A1" w:rsidP="00D448D7">
            <w:pPr>
              <w:pStyle w:val="ListParagraph"/>
              <w:ind w:left="-88"/>
              <w:jc w:val="left"/>
              <w:rPr>
                <w:rFonts w:ascii="Arial Narrow" w:hAnsi="Arial Narrow"/>
                <w:sz w:val="20"/>
              </w:rPr>
            </w:pPr>
            <w:r w:rsidRPr="00726F0C">
              <w:rPr>
                <w:rFonts w:ascii="Arial Narrow" w:hAnsi="Arial Narrow"/>
                <w:sz w:val="20"/>
              </w:rPr>
              <w:t>NO</w:t>
            </w:r>
          </w:p>
        </w:tc>
      </w:tr>
      <w:tr w:rsidR="007E69FC" w:rsidRPr="00726F0C" w:rsidTr="00D448D7">
        <w:tc>
          <w:tcPr>
            <w:tcW w:w="5484" w:type="dxa"/>
          </w:tcPr>
          <w:p w:rsidR="008120A1" w:rsidRPr="00726F0C" w:rsidRDefault="008120A1" w:rsidP="008120A1">
            <w:pPr>
              <w:autoSpaceDE w:val="0"/>
              <w:autoSpaceDN w:val="0"/>
              <w:adjustRightInd w:val="0"/>
              <w:rPr>
                <w:rFonts w:ascii="Arial Narrow" w:hAnsi="Arial Narrow" w:cs="Arial"/>
                <w:sz w:val="20"/>
                <w:szCs w:val="20"/>
              </w:rPr>
            </w:pPr>
            <w:r w:rsidRPr="00726F0C">
              <w:rPr>
                <w:rFonts w:ascii="Arial Narrow" w:hAnsi="Arial Narrow" w:cs="Arial"/>
                <w:sz w:val="20"/>
                <w:szCs w:val="20"/>
              </w:rPr>
              <w:t>UAS response - change to &lt;25 from</w:t>
            </w:r>
            <w:r w:rsidR="007E69FC" w:rsidRPr="00726F0C">
              <w:rPr>
                <w:rFonts w:ascii="Arial Narrow" w:hAnsi="Arial Narrow" w:cs="Arial"/>
                <w:sz w:val="20"/>
                <w:szCs w:val="20"/>
              </w:rPr>
              <w:t xml:space="preserve"> </w:t>
            </w:r>
            <w:r w:rsidRPr="00726F0C">
              <w:rPr>
                <w:rFonts w:ascii="Arial Narrow" w:hAnsi="Arial Narrow" w:cs="Arial"/>
                <w:sz w:val="20"/>
                <w:szCs w:val="20"/>
              </w:rPr>
              <w:t>baseline or UAS7 ≤6</w:t>
            </w:r>
          </w:p>
          <w:p w:rsidR="00390C84" w:rsidRPr="00726F0C" w:rsidRDefault="008120A1" w:rsidP="008120A1">
            <w:pPr>
              <w:pStyle w:val="ListParagraph"/>
              <w:ind w:left="0"/>
              <w:jc w:val="left"/>
              <w:rPr>
                <w:rFonts w:ascii="Arial Narrow" w:hAnsi="Arial Narrow"/>
                <w:sz w:val="20"/>
              </w:rPr>
            </w:pPr>
            <w:r w:rsidRPr="00726F0C">
              <w:rPr>
                <w:rFonts w:ascii="Arial Narrow" w:hAnsi="Arial Narrow"/>
                <w:sz w:val="20"/>
              </w:rPr>
              <w:t>Data from ASTERIA II for OM150mg</w:t>
            </w:r>
          </w:p>
        </w:tc>
        <w:tc>
          <w:tcPr>
            <w:tcW w:w="1134" w:type="dxa"/>
          </w:tcPr>
          <w:p w:rsidR="00390C84" w:rsidRPr="00726F0C" w:rsidRDefault="008120A1" w:rsidP="00390C84">
            <w:pPr>
              <w:pStyle w:val="ListParagraph"/>
              <w:ind w:left="0"/>
              <w:jc w:val="left"/>
              <w:rPr>
                <w:rFonts w:ascii="Arial Narrow" w:hAnsi="Arial Narrow"/>
                <w:sz w:val="20"/>
              </w:rPr>
            </w:pPr>
            <w:r w:rsidRPr="00726F0C">
              <w:rPr>
                <w:rFonts w:ascii="Arial Narrow" w:hAnsi="Arial Narrow"/>
                <w:sz w:val="20"/>
              </w:rPr>
              <w:t>4-12</w:t>
            </w:r>
          </w:p>
        </w:tc>
        <w:tc>
          <w:tcPr>
            <w:tcW w:w="850" w:type="dxa"/>
          </w:tcPr>
          <w:p w:rsidR="00390C84" w:rsidRPr="00726F0C" w:rsidRDefault="008120A1" w:rsidP="00390C84">
            <w:pPr>
              <w:pStyle w:val="ListParagraph"/>
              <w:ind w:left="0"/>
              <w:jc w:val="left"/>
              <w:rPr>
                <w:rFonts w:ascii="Arial Narrow" w:hAnsi="Arial Narrow"/>
                <w:sz w:val="20"/>
              </w:rPr>
            </w:pPr>
            <w:r w:rsidRPr="00726F0C">
              <w:rPr>
                <w:rFonts w:ascii="Arial Narrow" w:hAnsi="Arial Narrow"/>
                <w:sz w:val="20"/>
              </w:rPr>
              <w:t>OR</w:t>
            </w:r>
          </w:p>
        </w:tc>
        <w:tc>
          <w:tcPr>
            <w:tcW w:w="1701" w:type="dxa"/>
          </w:tcPr>
          <w:p w:rsidR="007E69FC" w:rsidRPr="00726F0C" w:rsidRDefault="007E69FC" w:rsidP="007E69FC">
            <w:pPr>
              <w:autoSpaceDE w:val="0"/>
              <w:autoSpaceDN w:val="0"/>
              <w:adjustRightInd w:val="0"/>
              <w:jc w:val="center"/>
              <w:rPr>
                <w:rFonts w:ascii="Arial Narrow" w:hAnsi="Arial Narrow" w:cs="Arial"/>
                <w:sz w:val="20"/>
                <w:szCs w:val="20"/>
              </w:rPr>
            </w:pPr>
            <w:r w:rsidRPr="00726F0C">
              <w:rPr>
                <w:rFonts w:ascii="Arial Narrow" w:hAnsi="Arial Narrow" w:cs="Arial"/>
                <w:sz w:val="20"/>
                <w:szCs w:val="20"/>
              </w:rPr>
              <w:t>3.18</w:t>
            </w:r>
          </w:p>
          <w:p w:rsidR="00390C84" w:rsidRPr="00726F0C" w:rsidRDefault="007E69FC" w:rsidP="007E69FC">
            <w:pPr>
              <w:pStyle w:val="ListParagraph"/>
              <w:ind w:left="0"/>
              <w:jc w:val="center"/>
              <w:rPr>
                <w:rFonts w:ascii="Arial Narrow" w:hAnsi="Arial Narrow"/>
                <w:sz w:val="20"/>
              </w:rPr>
            </w:pPr>
            <w:r w:rsidRPr="00726F0C">
              <w:rPr>
                <w:rFonts w:ascii="Arial Narrow" w:hAnsi="Arial Narrow"/>
                <w:sz w:val="20"/>
              </w:rPr>
              <w:t>(1.56, 6.48)</w:t>
            </w:r>
          </w:p>
        </w:tc>
        <w:tc>
          <w:tcPr>
            <w:tcW w:w="1418" w:type="dxa"/>
          </w:tcPr>
          <w:p w:rsidR="007E69FC" w:rsidRPr="00726F0C" w:rsidRDefault="007E69FC" w:rsidP="00D448D7">
            <w:pPr>
              <w:autoSpaceDE w:val="0"/>
              <w:autoSpaceDN w:val="0"/>
              <w:adjustRightInd w:val="0"/>
              <w:ind w:right="-108"/>
              <w:jc w:val="center"/>
              <w:rPr>
                <w:rFonts w:ascii="Arial Narrow" w:hAnsi="Arial Narrow" w:cs="Arial"/>
                <w:sz w:val="20"/>
                <w:szCs w:val="20"/>
              </w:rPr>
            </w:pPr>
            <w:r w:rsidRPr="00726F0C">
              <w:rPr>
                <w:rFonts w:ascii="Arial Narrow" w:hAnsi="Arial Narrow" w:cs="Arial"/>
                <w:sz w:val="20"/>
                <w:szCs w:val="20"/>
              </w:rPr>
              <w:t>12.67</w:t>
            </w:r>
          </w:p>
          <w:p w:rsidR="00390C84" w:rsidRPr="00726F0C" w:rsidRDefault="007E69FC" w:rsidP="00D448D7">
            <w:pPr>
              <w:pStyle w:val="ListParagraph"/>
              <w:ind w:left="0" w:right="-108"/>
              <w:jc w:val="center"/>
              <w:rPr>
                <w:rFonts w:ascii="Arial Narrow" w:hAnsi="Arial Narrow"/>
                <w:sz w:val="20"/>
              </w:rPr>
            </w:pPr>
            <w:r w:rsidRPr="00726F0C">
              <w:rPr>
                <w:rFonts w:ascii="Arial Narrow" w:hAnsi="Arial Narrow"/>
                <w:sz w:val="20"/>
              </w:rPr>
              <w:t>(0.64, 249.69)</w:t>
            </w:r>
          </w:p>
        </w:tc>
        <w:tc>
          <w:tcPr>
            <w:tcW w:w="1559" w:type="dxa"/>
          </w:tcPr>
          <w:p w:rsidR="007E69FC" w:rsidRPr="00726F0C" w:rsidRDefault="007E69FC" w:rsidP="007E69FC">
            <w:pPr>
              <w:autoSpaceDE w:val="0"/>
              <w:autoSpaceDN w:val="0"/>
              <w:adjustRightInd w:val="0"/>
              <w:jc w:val="center"/>
              <w:rPr>
                <w:rFonts w:ascii="Arial Narrow" w:hAnsi="Arial Narrow" w:cs="Arial"/>
                <w:sz w:val="20"/>
                <w:szCs w:val="20"/>
              </w:rPr>
            </w:pPr>
            <w:r w:rsidRPr="00726F0C">
              <w:rPr>
                <w:rFonts w:ascii="Arial Narrow" w:hAnsi="Arial Narrow" w:cs="Arial"/>
                <w:sz w:val="20"/>
                <w:szCs w:val="20"/>
              </w:rPr>
              <w:t>0.251</w:t>
            </w:r>
          </w:p>
          <w:p w:rsidR="00390C84" w:rsidRPr="00726F0C" w:rsidRDefault="007E69FC" w:rsidP="007E69FC">
            <w:pPr>
              <w:autoSpaceDE w:val="0"/>
              <w:autoSpaceDN w:val="0"/>
              <w:adjustRightInd w:val="0"/>
              <w:jc w:val="center"/>
              <w:rPr>
                <w:rFonts w:ascii="Arial Narrow" w:hAnsi="Arial Narrow" w:cs="Arial"/>
                <w:sz w:val="20"/>
                <w:szCs w:val="20"/>
              </w:rPr>
            </w:pPr>
            <w:r w:rsidRPr="00726F0C">
              <w:rPr>
                <w:rFonts w:ascii="Arial Narrow" w:hAnsi="Arial Narrow" w:cs="Arial"/>
                <w:sz w:val="20"/>
                <w:szCs w:val="20"/>
              </w:rPr>
              <w:t>(0.012,5.38)</w:t>
            </w:r>
          </w:p>
        </w:tc>
        <w:tc>
          <w:tcPr>
            <w:tcW w:w="830" w:type="dxa"/>
          </w:tcPr>
          <w:p w:rsidR="00390C84" w:rsidRPr="00726F0C" w:rsidRDefault="007E69FC" w:rsidP="00390C84">
            <w:pPr>
              <w:pStyle w:val="ListParagraph"/>
              <w:ind w:left="0"/>
              <w:jc w:val="left"/>
              <w:rPr>
                <w:rFonts w:ascii="Arial Narrow" w:hAnsi="Arial Narrow"/>
                <w:sz w:val="20"/>
              </w:rPr>
            </w:pPr>
            <w:r w:rsidRPr="00726F0C">
              <w:rPr>
                <w:rFonts w:ascii="Arial Narrow" w:hAnsi="Arial Narrow"/>
                <w:sz w:val="20"/>
              </w:rPr>
              <w:t>0.3767</w:t>
            </w:r>
          </w:p>
        </w:tc>
        <w:tc>
          <w:tcPr>
            <w:tcW w:w="478" w:type="dxa"/>
          </w:tcPr>
          <w:p w:rsidR="00390C84" w:rsidRPr="00726F0C" w:rsidRDefault="008120A1" w:rsidP="00D448D7">
            <w:pPr>
              <w:pStyle w:val="ListParagraph"/>
              <w:ind w:left="-88"/>
              <w:jc w:val="left"/>
              <w:rPr>
                <w:rFonts w:ascii="Arial Narrow" w:hAnsi="Arial Narrow"/>
                <w:sz w:val="20"/>
              </w:rPr>
            </w:pPr>
            <w:r w:rsidRPr="00726F0C">
              <w:rPr>
                <w:rFonts w:ascii="Arial Narrow" w:hAnsi="Arial Narrow"/>
                <w:sz w:val="20"/>
              </w:rPr>
              <w:t>NO</w:t>
            </w:r>
          </w:p>
        </w:tc>
      </w:tr>
      <w:tr w:rsidR="008120A1" w:rsidRPr="00726F0C" w:rsidTr="007E69FC">
        <w:tc>
          <w:tcPr>
            <w:tcW w:w="13454" w:type="dxa"/>
            <w:gridSpan w:val="8"/>
          </w:tcPr>
          <w:p w:rsidR="008120A1" w:rsidRPr="00726F0C" w:rsidRDefault="008120A1" w:rsidP="00C275B9">
            <w:pPr>
              <w:rPr>
                <w:rFonts w:ascii="Arial Narrow" w:hAnsi="Arial Narrow" w:cs="Arial"/>
                <w:sz w:val="20"/>
                <w:szCs w:val="20"/>
              </w:rPr>
            </w:pPr>
            <w:r w:rsidRPr="00726F0C">
              <w:rPr>
                <w:rFonts w:ascii="Arial Narrow" w:hAnsi="Arial Narrow" w:cs="Arial"/>
                <w:sz w:val="20"/>
                <w:szCs w:val="20"/>
              </w:rPr>
              <w:t>Source: Attachment 6 Indirect comparison. Data for omalizumab 150mg from Section B.6.1 of the July 2015 CSU submission represented in PBAC</w:t>
            </w:r>
          </w:p>
          <w:p w:rsidR="008120A1" w:rsidRPr="00726F0C" w:rsidRDefault="008120A1" w:rsidP="008120A1">
            <w:pPr>
              <w:pStyle w:val="ListParagraph"/>
              <w:ind w:left="0"/>
              <w:jc w:val="left"/>
              <w:rPr>
                <w:rFonts w:ascii="Arial Narrow" w:hAnsi="Arial Narrow"/>
                <w:sz w:val="20"/>
              </w:rPr>
            </w:pPr>
            <w:r w:rsidRPr="00726F0C">
              <w:rPr>
                <w:rFonts w:ascii="Arial Narrow" w:hAnsi="Arial Narrow"/>
                <w:sz w:val="20"/>
              </w:rPr>
              <w:t>MINS 11-2015 section 6.9 and 6.21</w:t>
            </w:r>
          </w:p>
        </w:tc>
      </w:tr>
      <w:tr w:rsidR="007E69FC" w:rsidRPr="00726F0C" w:rsidTr="00D448D7">
        <w:tc>
          <w:tcPr>
            <w:tcW w:w="5484" w:type="dxa"/>
          </w:tcPr>
          <w:p w:rsidR="008120A1" w:rsidRPr="00726F0C" w:rsidRDefault="008120A1" w:rsidP="007E69FC">
            <w:pPr>
              <w:rPr>
                <w:rFonts w:ascii="Arial Narrow" w:hAnsi="Arial Narrow" w:cs="Arial"/>
                <w:sz w:val="20"/>
                <w:szCs w:val="20"/>
              </w:rPr>
            </w:pPr>
            <w:r w:rsidRPr="00726F0C">
              <w:rPr>
                <w:rFonts w:ascii="Arial Narrow" w:hAnsi="Arial Narrow" w:cs="Arial"/>
                <w:sz w:val="20"/>
                <w:szCs w:val="20"/>
              </w:rPr>
              <w:t>UAS response - change to &lt;25 from</w:t>
            </w:r>
            <w:r w:rsidR="007E69FC" w:rsidRPr="00726F0C">
              <w:rPr>
                <w:rFonts w:ascii="Arial Narrow" w:hAnsi="Arial Narrow" w:cs="Arial"/>
                <w:sz w:val="20"/>
                <w:szCs w:val="20"/>
              </w:rPr>
              <w:t xml:space="preserve"> </w:t>
            </w:r>
            <w:r w:rsidRPr="00726F0C">
              <w:rPr>
                <w:rFonts w:ascii="Arial Narrow" w:hAnsi="Arial Narrow" w:cs="Arial"/>
                <w:sz w:val="20"/>
                <w:szCs w:val="20"/>
              </w:rPr>
              <w:t>baseline or UAS7 ≤6 (300mg)</w:t>
            </w:r>
          </w:p>
          <w:p w:rsidR="00390C84" w:rsidRPr="00726F0C" w:rsidRDefault="008120A1" w:rsidP="007E69FC">
            <w:pPr>
              <w:pStyle w:val="ListParagraph"/>
              <w:ind w:left="0"/>
              <w:rPr>
                <w:rFonts w:ascii="Arial Narrow" w:hAnsi="Arial Narrow"/>
                <w:sz w:val="20"/>
              </w:rPr>
            </w:pPr>
            <w:r w:rsidRPr="00726F0C">
              <w:rPr>
                <w:rFonts w:ascii="Arial Narrow" w:hAnsi="Arial Narrow"/>
                <w:sz w:val="20"/>
              </w:rPr>
              <w:t>Presented in July 2015 PBAC submission</w:t>
            </w:r>
          </w:p>
        </w:tc>
        <w:tc>
          <w:tcPr>
            <w:tcW w:w="1134" w:type="dxa"/>
          </w:tcPr>
          <w:p w:rsidR="00390C84" w:rsidRPr="00726F0C" w:rsidRDefault="008120A1" w:rsidP="00390C84">
            <w:pPr>
              <w:pStyle w:val="ListParagraph"/>
              <w:ind w:left="0"/>
              <w:jc w:val="left"/>
              <w:rPr>
                <w:rFonts w:ascii="Arial Narrow" w:hAnsi="Arial Narrow"/>
                <w:sz w:val="20"/>
              </w:rPr>
            </w:pPr>
            <w:r w:rsidRPr="00726F0C">
              <w:rPr>
                <w:rFonts w:ascii="Arial Narrow" w:hAnsi="Arial Narrow"/>
                <w:sz w:val="20"/>
              </w:rPr>
              <w:t>4-12</w:t>
            </w:r>
          </w:p>
        </w:tc>
        <w:tc>
          <w:tcPr>
            <w:tcW w:w="850" w:type="dxa"/>
          </w:tcPr>
          <w:p w:rsidR="00390C84" w:rsidRPr="00726F0C" w:rsidRDefault="008120A1" w:rsidP="00390C84">
            <w:pPr>
              <w:pStyle w:val="ListParagraph"/>
              <w:ind w:left="0"/>
              <w:jc w:val="left"/>
              <w:rPr>
                <w:rFonts w:ascii="Arial Narrow" w:hAnsi="Arial Narrow"/>
                <w:sz w:val="20"/>
              </w:rPr>
            </w:pPr>
            <w:r w:rsidRPr="00726F0C">
              <w:rPr>
                <w:rFonts w:ascii="Arial Narrow" w:hAnsi="Arial Narrow"/>
                <w:sz w:val="20"/>
              </w:rPr>
              <w:t>OR</w:t>
            </w:r>
          </w:p>
        </w:tc>
        <w:tc>
          <w:tcPr>
            <w:tcW w:w="1701" w:type="dxa"/>
          </w:tcPr>
          <w:p w:rsidR="007E69FC" w:rsidRPr="00726F0C" w:rsidRDefault="007E69FC" w:rsidP="007E69FC">
            <w:pPr>
              <w:autoSpaceDE w:val="0"/>
              <w:autoSpaceDN w:val="0"/>
              <w:adjustRightInd w:val="0"/>
              <w:jc w:val="center"/>
              <w:rPr>
                <w:rFonts w:ascii="Arial Narrow" w:hAnsi="Arial Narrow" w:cs="Arial"/>
                <w:iCs/>
                <w:sz w:val="20"/>
                <w:szCs w:val="20"/>
              </w:rPr>
            </w:pPr>
            <w:r w:rsidRPr="00726F0C">
              <w:rPr>
                <w:rFonts w:ascii="Arial Narrow" w:hAnsi="Arial Narrow" w:cs="Arial"/>
                <w:iCs/>
                <w:sz w:val="20"/>
                <w:szCs w:val="20"/>
              </w:rPr>
              <w:t>8.22</w:t>
            </w:r>
          </w:p>
          <w:p w:rsidR="00390C84" w:rsidRPr="00726F0C" w:rsidRDefault="007E69FC" w:rsidP="007E69FC">
            <w:pPr>
              <w:pStyle w:val="ListParagraph"/>
              <w:ind w:left="0"/>
              <w:jc w:val="center"/>
              <w:rPr>
                <w:rFonts w:ascii="Arial Narrow" w:hAnsi="Arial Narrow"/>
                <w:sz w:val="20"/>
              </w:rPr>
            </w:pPr>
            <w:r w:rsidRPr="00726F0C">
              <w:rPr>
                <w:rFonts w:ascii="Arial Narrow" w:hAnsi="Arial Narrow"/>
                <w:iCs/>
                <w:sz w:val="20"/>
              </w:rPr>
              <w:t>(12.66,5.34)</w:t>
            </w:r>
          </w:p>
        </w:tc>
        <w:tc>
          <w:tcPr>
            <w:tcW w:w="1418" w:type="dxa"/>
          </w:tcPr>
          <w:p w:rsidR="007E69FC" w:rsidRPr="00726F0C" w:rsidRDefault="007E69FC" w:rsidP="007E69FC">
            <w:pPr>
              <w:autoSpaceDE w:val="0"/>
              <w:autoSpaceDN w:val="0"/>
              <w:adjustRightInd w:val="0"/>
              <w:jc w:val="center"/>
              <w:rPr>
                <w:rFonts w:ascii="Arial Narrow" w:hAnsi="Arial Narrow" w:cs="Arial"/>
                <w:iCs/>
                <w:sz w:val="20"/>
                <w:szCs w:val="20"/>
              </w:rPr>
            </w:pPr>
            <w:r w:rsidRPr="00726F0C">
              <w:rPr>
                <w:rFonts w:ascii="Arial Narrow" w:hAnsi="Arial Narrow" w:cs="Arial"/>
                <w:iCs/>
                <w:sz w:val="20"/>
                <w:szCs w:val="20"/>
              </w:rPr>
              <w:t>12.67</w:t>
            </w:r>
          </w:p>
          <w:p w:rsidR="00390C84" w:rsidRPr="00726F0C" w:rsidRDefault="007E69FC" w:rsidP="00D448D7">
            <w:pPr>
              <w:pStyle w:val="ListParagraph"/>
              <w:ind w:left="0" w:right="-108"/>
              <w:jc w:val="center"/>
              <w:rPr>
                <w:rFonts w:ascii="Arial Narrow" w:hAnsi="Arial Narrow"/>
                <w:sz w:val="20"/>
              </w:rPr>
            </w:pPr>
            <w:r w:rsidRPr="00726F0C">
              <w:rPr>
                <w:rFonts w:ascii="Arial Narrow" w:hAnsi="Arial Narrow"/>
                <w:iCs/>
                <w:sz w:val="20"/>
              </w:rPr>
              <w:t>(0.64, 249.69)</w:t>
            </w:r>
          </w:p>
        </w:tc>
        <w:tc>
          <w:tcPr>
            <w:tcW w:w="1559" w:type="dxa"/>
          </w:tcPr>
          <w:p w:rsidR="007E69FC" w:rsidRPr="00726F0C" w:rsidRDefault="007E69FC" w:rsidP="007E69FC">
            <w:pPr>
              <w:autoSpaceDE w:val="0"/>
              <w:autoSpaceDN w:val="0"/>
              <w:adjustRightInd w:val="0"/>
              <w:jc w:val="center"/>
              <w:rPr>
                <w:rFonts w:ascii="Arial Narrow" w:hAnsi="Arial Narrow" w:cs="Arial"/>
                <w:iCs/>
                <w:sz w:val="20"/>
                <w:szCs w:val="20"/>
              </w:rPr>
            </w:pPr>
            <w:r w:rsidRPr="00726F0C">
              <w:rPr>
                <w:rFonts w:ascii="Arial Narrow" w:hAnsi="Arial Narrow" w:cs="Arial"/>
                <w:iCs/>
                <w:sz w:val="20"/>
                <w:szCs w:val="20"/>
              </w:rPr>
              <w:t>0.649</w:t>
            </w:r>
          </w:p>
          <w:p w:rsidR="00390C84" w:rsidRPr="00726F0C" w:rsidRDefault="007E69FC" w:rsidP="00D448D7">
            <w:pPr>
              <w:pStyle w:val="ListParagraph"/>
              <w:ind w:left="0" w:right="-108"/>
              <w:jc w:val="center"/>
              <w:rPr>
                <w:rFonts w:ascii="Arial Narrow" w:hAnsi="Arial Narrow"/>
                <w:sz w:val="20"/>
              </w:rPr>
            </w:pPr>
            <w:r w:rsidRPr="00726F0C">
              <w:rPr>
                <w:rFonts w:ascii="Arial Narrow" w:hAnsi="Arial Narrow"/>
                <w:iCs/>
                <w:sz w:val="20"/>
              </w:rPr>
              <w:t>(0.032, 13.192)</w:t>
            </w:r>
          </w:p>
        </w:tc>
        <w:tc>
          <w:tcPr>
            <w:tcW w:w="830" w:type="dxa"/>
          </w:tcPr>
          <w:p w:rsidR="00390C84" w:rsidRPr="00726F0C" w:rsidRDefault="007E69FC" w:rsidP="00390C84">
            <w:pPr>
              <w:pStyle w:val="ListParagraph"/>
              <w:ind w:left="0"/>
              <w:jc w:val="left"/>
              <w:rPr>
                <w:rFonts w:ascii="Arial Narrow" w:hAnsi="Arial Narrow"/>
                <w:sz w:val="20"/>
              </w:rPr>
            </w:pPr>
            <w:r w:rsidRPr="00726F0C">
              <w:rPr>
                <w:rFonts w:ascii="Arial Narrow" w:hAnsi="Arial Narrow"/>
                <w:iCs/>
                <w:sz w:val="20"/>
              </w:rPr>
              <w:t>0.7783</w:t>
            </w:r>
          </w:p>
        </w:tc>
        <w:tc>
          <w:tcPr>
            <w:tcW w:w="478" w:type="dxa"/>
          </w:tcPr>
          <w:p w:rsidR="00390C84" w:rsidRPr="00726F0C" w:rsidRDefault="008120A1" w:rsidP="00D448D7">
            <w:pPr>
              <w:pStyle w:val="ListParagraph"/>
              <w:ind w:left="-88"/>
              <w:jc w:val="left"/>
              <w:rPr>
                <w:rFonts w:ascii="Arial Narrow" w:hAnsi="Arial Narrow"/>
                <w:sz w:val="20"/>
              </w:rPr>
            </w:pPr>
            <w:r w:rsidRPr="00726F0C">
              <w:rPr>
                <w:rFonts w:ascii="Arial Narrow" w:hAnsi="Arial Narrow"/>
                <w:sz w:val="20"/>
              </w:rPr>
              <w:t>NO</w:t>
            </w:r>
          </w:p>
        </w:tc>
      </w:tr>
      <w:tr w:rsidR="00C275B9" w:rsidRPr="00726F0C" w:rsidTr="002E44D8">
        <w:tc>
          <w:tcPr>
            <w:tcW w:w="13454" w:type="dxa"/>
            <w:gridSpan w:val="8"/>
          </w:tcPr>
          <w:p w:rsidR="00C275B9" w:rsidRPr="00726F0C" w:rsidRDefault="00C275B9" w:rsidP="00390C84">
            <w:pPr>
              <w:pStyle w:val="ListParagraph"/>
              <w:ind w:left="0"/>
              <w:jc w:val="left"/>
              <w:rPr>
                <w:rFonts w:ascii="Arial Narrow" w:hAnsi="Arial Narrow"/>
                <w:sz w:val="20"/>
              </w:rPr>
            </w:pPr>
            <w:r w:rsidRPr="00726F0C">
              <w:rPr>
                <w:rFonts w:ascii="Arial Narrow" w:hAnsi="Arial Narrow"/>
                <w:sz w:val="20"/>
              </w:rPr>
              <w:t>Source: Section B1 Indirect comparison with cyclosporin from July 2015 CSU submission (attachment 1)</w:t>
            </w:r>
          </w:p>
        </w:tc>
      </w:tr>
    </w:tbl>
    <w:p w:rsidR="00390C84" w:rsidRPr="00726F0C" w:rsidRDefault="008120A1" w:rsidP="00390C84">
      <w:pPr>
        <w:pStyle w:val="ListParagraph"/>
        <w:jc w:val="left"/>
        <w:rPr>
          <w:rFonts w:ascii="Arial Narrow" w:hAnsi="Arial Narrow"/>
          <w:sz w:val="18"/>
        </w:rPr>
      </w:pPr>
      <w:r w:rsidRPr="00726F0C">
        <w:rPr>
          <w:rFonts w:ascii="Arial Narrow" w:hAnsi="Arial Narrow"/>
          <w:sz w:val="18"/>
        </w:rPr>
        <w:t>Source: Table 1, p</w:t>
      </w:r>
      <w:r w:rsidR="00865CF5" w:rsidRPr="00726F0C">
        <w:rPr>
          <w:rFonts w:ascii="Arial Narrow" w:hAnsi="Arial Narrow"/>
          <w:sz w:val="18"/>
        </w:rPr>
        <w:t xml:space="preserve">age </w:t>
      </w:r>
      <w:r w:rsidRPr="00726F0C">
        <w:rPr>
          <w:rFonts w:ascii="Arial Narrow" w:hAnsi="Arial Narrow"/>
          <w:sz w:val="18"/>
        </w:rPr>
        <w:t>9 of the</w:t>
      </w:r>
      <w:r w:rsidR="00865CF5" w:rsidRPr="00726F0C">
        <w:rPr>
          <w:rFonts w:ascii="Arial Narrow" w:hAnsi="Arial Narrow"/>
          <w:sz w:val="18"/>
        </w:rPr>
        <w:t xml:space="preserve"> minor</w:t>
      </w:r>
      <w:r w:rsidRPr="00726F0C">
        <w:rPr>
          <w:rFonts w:ascii="Arial Narrow" w:hAnsi="Arial Narrow"/>
          <w:sz w:val="18"/>
        </w:rPr>
        <w:t xml:space="preserve"> resubmission.</w:t>
      </w:r>
    </w:p>
    <w:p w:rsidR="000F71E4" w:rsidRPr="00726F0C" w:rsidRDefault="000F71E4" w:rsidP="00390C84">
      <w:pPr>
        <w:pStyle w:val="ListParagraph"/>
        <w:jc w:val="left"/>
        <w:rPr>
          <w:rFonts w:ascii="Arial Narrow" w:hAnsi="Arial Narrow"/>
          <w:sz w:val="18"/>
        </w:rPr>
        <w:sectPr w:rsidR="000F71E4" w:rsidRPr="00726F0C" w:rsidSect="00390C84">
          <w:pgSz w:w="16838" w:h="11906" w:orient="landscape" w:code="9"/>
          <w:pgMar w:top="1440" w:right="1440" w:bottom="1440" w:left="1440" w:header="1440" w:footer="1440" w:gutter="0"/>
          <w:cols w:space="708"/>
          <w:docGrid w:linePitch="360"/>
        </w:sectPr>
      </w:pPr>
      <w:r w:rsidRPr="00726F0C">
        <w:rPr>
          <w:rFonts w:ascii="Arial Narrow" w:hAnsi="Arial Narrow"/>
          <w:sz w:val="18"/>
        </w:rPr>
        <w:t>SS = statistically significant</w:t>
      </w:r>
    </w:p>
    <w:p w:rsidR="00390C84" w:rsidRPr="00826D71" w:rsidRDefault="00390C84" w:rsidP="00390C84">
      <w:pPr>
        <w:pStyle w:val="ListParagraph"/>
        <w:rPr>
          <w:szCs w:val="22"/>
        </w:rPr>
      </w:pPr>
    </w:p>
    <w:p w:rsidR="00EE389C" w:rsidRPr="00826D71" w:rsidRDefault="00C275B9" w:rsidP="00C275B9">
      <w:pPr>
        <w:pStyle w:val="ListParagraph"/>
        <w:numPr>
          <w:ilvl w:val="1"/>
          <w:numId w:val="5"/>
        </w:numPr>
        <w:rPr>
          <w:szCs w:val="22"/>
        </w:rPr>
      </w:pPr>
      <w:r w:rsidRPr="00826D71">
        <w:rPr>
          <w:szCs w:val="22"/>
        </w:rPr>
        <w:t xml:space="preserve">Based on the indirect comparison presented in the table above, the minor resubmission </w:t>
      </w:r>
      <w:r w:rsidR="00EE389C" w:rsidRPr="00826D71">
        <w:rPr>
          <w:szCs w:val="22"/>
        </w:rPr>
        <w:t>concluded that a mo</w:t>
      </w:r>
      <w:r w:rsidR="001F6F97" w:rsidRPr="00826D71">
        <w:rPr>
          <w:szCs w:val="22"/>
        </w:rPr>
        <w:t>nthly dose of omalizumab 150 mg wa</w:t>
      </w:r>
      <w:r w:rsidR="00EE389C" w:rsidRPr="00826D71">
        <w:rPr>
          <w:szCs w:val="22"/>
        </w:rPr>
        <w:t>s non-inferior in efficacy to cyclosporin 4 mg/kg administered daily based on the following two outcomes:</w:t>
      </w:r>
    </w:p>
    <w:p w:rsidR="00EE389C" w:rsidRPr="00826D71" w:rsidRDefault="00EE389C" w:rsidP="00D448D7">
      <w:pPr>
        <w:pStyle w:val="ListParagraph"/>
        <w:numPr>
          <w:ilvl w:val="0"/>
          <w:numId w:val="18"/>
        </w:numPr>
        <w:rPr>
          <w:szCs w:val="22"/>
        </w:rPr>
      </w:pPr>
      <w:r w:rsidRPr="00826D71">
        <w:rPr>
          <w:szCs w:val="22"/>
        </w:rPr>
        <w:t>Change from baseline UAS7 at 4 and 12 weeks for cyclosporin and omalizumab respectively based on omalizumab outcome from ASTERIA I (mean difference 3.86; 95%CI: [3.682, 11.402]; p=0.3158) and ASTERIA II (mean difference 2.71; 95%CI: [4.839, 10.259]; p=</w:t>
      </w:r>
      <w:r w:rsidR="00D448D7" w:rsidRPr="00826D71">
        <w:rPr>
          <w:i/>
          <w:szCs w:val="22"/>
        </w:rPr>
        <w:t>0.5661</w:t>
      </w:r>
      <w:r w:rsidR="00CA5CA0">
        <w:rPr>
          <w:szCs w:val="22"/>
        </w:rPr>
        <w:t>).</w:t>
      </w:r>
    </w:p>
    <w:p w:rsidR="00EE389C" w:rsidRPr="00826D71" w:rsidRDefault="00EE389C" w:rsidP="00EE389C">
      <w:pPr>
        <w:pStyle w:val="ListParagraph"/>
        <w:numPr>
          <w:ilvl w:val="0"/>
          <w:numId w:val="18"/>
        </w:numPr>
        <w:rPr>
          <w:szCs w:val="22"/>
        </w:rPr>
      </w:pPr>
      <w:r w:rsidRPr="00826D71">
        <w:rPr>
          <w:szCs w:val="22"/>
        </w:rPr>
        <w:t>A reduction to &lt;25% of baseline weekly UAS for cyclosporin and the proportion of patients achieving UAS7≤6 (‘well controlled’ CSU) at week 12 for omalizumab based on the omalizumab outcome from ASTERIA I (0.406; 95%CI: [0.019, 8.801]; p=0.5661) and ASTERIA II (0.251; 95%CI: [0.012, 5.38]; p=0.3767)</w:t>
      </w:r>
      <w:r w:rsidR="00BF734C" w:rsidRPr="00826D71">
        <w:rPr>
          <w:szCs w:val="22"/>
        </w:rPr>
        <w:t>.</w:t>
      </w:r>
    </w:p>
    <w:p w:rsidR="00EE389C" w:rsidRPr="00826D71" w:rsidRDefault="00EE389C" w:rsidP="00EE389C">
      <w:pPr>
        <w:pStyle w:val="ListParagraph"/>
        <w:rPr>
          <w:szCs w:val="22"/>
          <w:highlight w:val="yellow"/>
        </w:rPr>
      </w:pPr>
    </w:p>
    <w:p w:rsidR="00C275B9" w:rsidRPr="00826D71" w:rsidRDefault="00C275B9" w:rsidP="00C275B9">
      <w:pPr>
        <w:pStyle w:val="Heading2"/>
      </w:pPr>
      <w:r w:rsidRPr="00826D71">
        <w:t xml:space="preserve">Indirect comparison of </w:t>
      </w:r>
      <w:r w:rsidR="00DA4905" w:rsidRPr="00826D71">
        <w:t>safety</w:t>
      </w:r>
    </w:p>
    <w:p w:rsidR="005A3173" w:rsidRPr="00826D71" w:rsidRDefault="00C275B9" w:rsidP="009D43D5">
      <w:pPr>
        <w:rPr>
          <w:szCs w:val="22"/>
        </w:rPr>
      </w:pPr>
      <w:r w:rsidRPr="00826D71">
        <w:tab/>
      </w:r>
    </w:p>
    <w:p w:rsidR="00DA4905" w:rsidRPr="00826D71" w:rsidRDefault="00DA4905" w:rsidP="008A50F1">
      <w:pPr>
        <w:pStyle w:val="ListParagraph"/>
        <w:numPr>
          <w:ilvl w:val="1"/>
          <w:numId w:val="5"/>
        </w:numPr>
        <w:rPr>
          <w:szCs w:val="22"/>
        </w:rPr>
      </w:pPr>
      <w:r w:rsidRPr="00826D71">
        <w:rPr>
          <w:szCs w:val="22"/>
        </w:rPr>
        <w:t>The minor resubmission (p10) state</w:t>
      </w:r>
      <w:r w:rsidR="004D50BC" w:rsidRPr="00826D71">
        <w:rPr>
          <w:szCs w:val="22"/>
        </w:rPr>
        <w:t>d</w:t>
      </w:r>
      <w:r w:rsidRPr="00826D71">
        <w:rPr>
          <w:szCs w:val="22"/>
        </w:rPr>
        <w:t xml:space="preserve"> that “the equi</w:t>
      </w:r>
      <w:r w:rsidR="00BF734C" w:rsidRPr="00826D71">
        <w:rPr>
          <w:szCs w:val="22"/>
        </w:rPr>
        <w:t>-</w:t>
      </w:r>
      <w:r w:rsidRPr="00826D71">
        <w:rPr>
          <w:szCs w:val="22"/>
        </w:rPr>
        <w:t>effective dose determined by the PBAC and resulting price difference underestimates the value of omalizumab given the better risk benefit profile offered with omalizumab. Cyclosporin is known to carry risks of minor side-effects and major complications”.</w:t>
      </w:r>
    </w:p>
    <w:p w:rsidR="00DA4905" w:rsidRPr="00826D71" w:rsidRDefault="00DA4905" w:rsidP="00DA4905">
      <w:pPr>
        <w:pStyle w:val="ListParagraph"/>
        <w:rPr>
          <w:szCs w:val="22"/>
        </w:rPr>
      </w:pPr>
    </w:p>
    <w:p w:rsidR="00A52226" w:rsidRPr="00826D71" w:rsidRDefault="00A52226" w:rsidP="008A50F1">
      <w:pPr>
        <w:pStyle w:val="ListParagraph"/>
        <w:numPr>
          <w:ilvl w:val="1"/>
          <w:numId w:val="5"/>
        </w:numPr>
        <w:rPr>
          <w:szCs w:val="22"/>
        </w:rPr>
      </w:pPr>
      <w:r w:rsidRPr="00826D71">
        <w:rPr>
          <w:szCs w:val="22"/>
        </w:rPr>
        <w:t xml:space="preserve">The November 2015 submission referred to two published systematic reviews conducted on adverse events associated with cyclosporin as well as a systematic review of select adverse events associated with cyclosporin in dermatologic use. The PBAC noted that </w:t>
      </w:r>
      <w:r w:rsidR="004D50BC" w:rsidRPr="00826D71">
        <w:rPr>
          <w:szCs w:val="22"/>
        </w:rPr>
        <w:t>“</w:t>
      </w:r>
      <w:r w:rsidRPr="00826D71">
        <w:rPr>
          <w:szCs w:val="22"/>
        </w:rPr>
        <w:t>the comparative safety of omalizumab over cyclosporin was difficult to quantify due to differences in safety profiles</w:t>
      </w:r>
      <w:r w:rsidR="004D50BC" w:rsidRPr="00826D71">
        <w:rPr>
          <w:szCs w:val="22"/>
        </w:rPr>
        <w:t>”</w:t>
      </w:r>
      <w:r w:rsidRPr="00826D71">
        <w:rPr>
          <w:szCs w:val="22"/>
        </w:rPr>
        <w:t>.</w:t>
      </w:r>
    </w:p>
    <w:p w:rsidR="00A52226" w:rsidRPr="00826D71" w:rsidRDefault="00A52226" w:rsidP="00A52226">
      <w:pPr>
        <w:pStyle w:val="ListParagraph"/>
        <w:rPr>
          <w:szCs w:val="22"/>
        </w:rPr>
      </w:pPr>
    </w:p>
    <w:p w:rsidR="0007671F" w:rsidRPr="00826D71" w:rsidRDefault="00342C23" w:rsidP="000F71E4">
      <w:pPr>
        <w:pStyle w:val="ListParagraph"/>
        <w:numPr>
          <w:ilvl w:val="1"/>
          <w:numId w:val="5"/>
        </w:numPr>
        <w:rPr>
          <w:szCs w:val="22"/>
        </w:rPr>
      </w:pPr>
      <w:r w:rsidRPr="00826D71">
        <w:rPr>
          <w:szCs w:val="22"/>
        </w:rPr>
        <w:t xml:space="preserve">The minor </w:t>
      </w:r>
      <w:r w:rsidR="004D50BC" w:rsidRPr="00826D71">
        <w:rPr>
          <w:szCs w:val="22"/>
        </w:rPr>
        <w:t>re</w:t>
      </w:r>
      <w:r w:rsidRPr="00826D71">
        <w:rPr>
          <w:szCs w:val="22"/>
        </w:rPr>
        <w:t xml:space="preserve">submission </w:t>
      </w:r>
      <w:r w:rsidR="004D50BC" w:rsidRPr="00826D71">
        <w:rPr>
          <w:szCs w:val="22"/>
        </w:rPr>
        <w:t xml:space="preserve">acknowledged that it is not possible to quantify the differences in safety profile between omalizumab based on the systematic review of adverse events presented in the November 2015 submission. In order to support the claim of improved safety of omalizumab over cyclosporin, the minor resubmission </w:t>
      </w:r>
      <w:r w:rsidRPr="00826D71">
        <w:rPr>
          <w:szCs w:val="22"/>
        </w:rPr>
        <w:t xml:space="preserve">presented an indirect comparison of </w:t>
      </w:r>
      <w:r w:rsidR="000F71E4" w:rsidRPr="00826D71">
        <w:rPr>
          <w:szCs w:val="22"/>
        </w:rPr>
        <w:t>“</w:t>
      </w:r>
      <w:r w:rsidRPr="00826D71">
        <w:rPr>
          <w:szCs w:val="22"/>
        </w:rPr>
        <w:t xml:space="preserve">the percentage of patients experiencing an adverse event throughout </w:t>
      </w:r>
      <w:r w:rsidR="00101DBD" w:rsidRPr="00826D71">
        <w:rPr>
          <w:szCs w:val="22"/>
        </w:rPr>
        <w:t>the studies</w:t>
      </w:r>
      <w:r w:rsidR="000F71E4" w:rsidRPr="00826D71">
        <w:rPr>
          <w:szCs w:val="22"/>
        </w:rPr>
        <w:t>”</w:t>
      </w:r>
      <w:r w:rsidR="0081115B" w:rsidRPr="00826D71">
        <w:rPr>
          <w:szCs w:val="22"/>
        </w:rPr>
        <w:t xml:space="preserve"> as shown in Table 4</w:t>
      </w:r>
      <w:r w:rsidR="00CA5CA0">
        <w:rPr>
          <w:szCs w:val="22"/>
        </w:rPr>
        <w:t>.</w:t>
      </w:r>
    </w:p>
    <w:p w:rsidR="007660E4" w:rsidRPr="00826D71" w:rsidRDefault="007660E4" w:rsidP="0076194E">
      <w:pPr>
        <w:ind w:firstLine="720"/>
        <w:jc w:val="both"/>
        <w:rPr>
          <w:rFonts w:ascii="Arial" w:hAnsi="Arial"/>
          <w:sz w:val="22"/>
          <w:szCs w:val="22"/>
        </w:rPr>
      </w:pPr>
    </w:p>
    <w:p w:rsidR="00941ED1" w:rsidRPr="00826D71" w:rsidRDefault="0081115B" w:rsidP="000A2A36">
      <w:pPr>
        <w:ind w:firstLine="720"/>
        <w:jc w:val="both"/>
        <w:rPr>
          <w:rFonts w:ascii="Arial Narrow" w:hAnsi="Arial Narrow"/>
          <w:b/>
          <w:sz w:val="20"/>
          <w:szCs w:val="20"/>
        </w:rPr>
      </w:pPr>
      <w:proofErr w:type="gramStart"/>
      <w:r w:rsidRPr="00826D71">
        <w:rPr>
          <w:rFonts w:ascii="Arial Narrow" w:hAnsi="Arial Narrow"/>
          <w:b/>
          <w:sz w:val="20"/>
          <w:szCs w:val="20"/>
        </w:rPr>
        <w:t>Table 4.</w:t>
      </w:r>
      <w:proofErr w:type="gramEnd"/>
      <w:r w:rsidRPr="00826D71">
        <w:rPr>
          <w:rFonts w:ascii="Arial Narrow" w:hAnsi="Arial Narrow"/>
          <w:b/>
          <w:sz w:val="20"/>
          <w:szCs w:val="20"/>
        </w:rPr>
        <w:t xml:space="preserve"> </w:t>
      </w:r>
      <w:r w:rsidR="00A2181C" w:rsidRPr="00826D71">
        <w:rPr>
          <w:rFonts w:ascii="Arial Narrow" w:hAnsi="Arial Narrow"/>
          <w:b/>
          <w:sz w:val="20"/>
          <w:szCs w:val="20"/>
        </w:rPr>
        <w:t>Results</w:t>
      </w:r>
      <w:r w:rsidR="00941ED1" w:rsidRPr="00826D71">
        <w:rPr>
          <w:rFonts w:ascii="Arial Narrow" w:hAnsi="Arial Narrow"/>
          <w:b/>
          <w:sz w:val="20"/>
          <w:szCs w:val="20"/>
        </w:rPr>
        <w:t xml:space="preserve"> of </w:t>
      </w:r>
      <w:r w:rsidR="00AB56ED" w:rsidRPr="00826D71">
        <w:rPr>
          <w:rFonts w:ascii="Arial Narrow" w:hAnsi="Arial Narrow"/>
          <w:b/>
          <w:sz w:val="20"/>
          <w:szCs w:val="20"/>
        </w:rPr>
        <w:t>the indirect comparison of proportion of patients experiencing adverse events</w:t>
      </w:r>
    </w:p>
    <w:tbl>
      <w:tblPr>
        <w:tblStyle w:val="TableGrid"/>
        <w:tblW w:w="0" w:type="auto"/>
        <w:tblInd w:w="817" w:type="dxa"/>
        <w:tblLook w:val="04A0" w:firstRow="1" w:lastRow="0" w:firstColumn="1" w:lastColumn="0" w:noHBand="0" w:noVBand="1"/>
        <w:tblCaption w:val="Summary of safety outcomes from the indirect comparison"/>
        <w:tblDescription w:val="Summary of safety outcomes from the indirect comparison of omalizumab and cyclosporin"/>
      </w:tblPr>
      <w:tblGrid>
        <w:gridCol w:w="2977"/>
        <w:gridCol w:w="850"/>
        <w:gridCol w:w="1276"/>
        <w:gridCol w:w="1276"/>
        <w:gridCol w:w="1276"/>
        <w:gridCol w:w="770"/>
      </w:tblGrid>
      <w:tr w:rsidR="00A47CEB" w:rsidRPr="00826D71" w:rsidTr="00566614">
        <w:trPr>
          <w:tblHeader/>
        </w:trPr>
        <w:tc>
          <w:tcPr>
            <w:tcW w:w="2977" w:type="dxa"/>
          </w:tcPr>
          <w:p w:rsidR="00A47CEB" w:rsidRPr="00826D71" w:rsidRDefault="00A47CEB" w:rsidP="00A47CEB">
            <w:pPr>
              <w:rPr>
                <w:rFonts w:ascii="Arial Narrow" w:hAnsi="Arial Narrow"/>
                <w:sz w:val="20"/>
                <w:szCs w:val="20"/>
              </w:rPr>
            </w:pPr>
            <w:r w:rsidRPr="00826D71">
              <w:rPr>
                <w:rFonts w:ascii="Arial Narrow" w:hAnsi="Arial Narrow"/>
                <w:sz w:val="20"/>
                <w:szCs w:val="20"/>
              </w:rPr>
              <w:t>Outcome</w:t>
            </w:r>
          </w:p>
        </w:tc>
        <w:tc>
          <w:tcPr>
            <w:tcW w:w="850" w:type="dxa"/>
          </w:tcPr>
          <w:p w:rsidR="00A47CEB" w:rsidRPr="00826D71" w:rsidRDefault="00A47CEB" w:rsidP="00B6773F">
            <w:pPr>
              <w:jc w:val="both"/>
              <w:rPr>
                <w:rFonts w:ascii="Arial Narrow" w:hAnsi="Arial Narrow"/>
                <w:sz w:val="20"/>
                <w:szCs w:val="20"/>
              </w:rPr>
            </w:pPr>
            <w:r w:rsidRPr="00826D71">
              <w:rPr>
                <w:rFonts w:ascii="Arial Narrow" w:hAnsi="Arial Narrow"/>
                <w:sz w:val="20"/>
                <w:szCs w:val="20"/>
              </w:rPr>
              <w:t>Analysis</w:t>
            </w:r>
          </w:p>
        </w:tc>
        <w:tc>
          <w:tcPr>
            <w:tcW w:w="1276" w:type="dxa"/>
          </w:tcPr>
          <w:p w:rsidR="00A47CEB" w:rsidRPr="00826D71" w:rsidRDefault="00A47CEB" w:rsidP="000F71E4">
            <w:pPr>
              <w:jc w:val="center"/>
              <w:rPr>
                <w:rFonts w:ascii="Arial Narrow" w:hAnsi="Arial Narrow"/>
                <w:sz w:val="20"/>
                <w:szCs w:val="20"/>
              </w:rPr>
            </w:pPr>
            <w:proofErr w:type="spellStart"/>
            <w:r w:rsidRPr="00826D71">
              <w:rPr>
                <w:rFonts w:ascii="Arial Narrow" w:hAnsi="Arial Narrow"/>
                <w:sz w:val="20"/>
                <w:szCs w:val="20"/>
              </w:rPr>
              <w:t>Omalizumab</w:t>
            </w:r>
            <w:proofErr w:type="spellEnd"/>
            <w:r w:rsidRPr="00826D71">
              <w:rPr>
                <w:rFonts w:ascii="Arial Narrow" w:hAnsi="Arial Narrow"/>
                <w:sz w:val="20"/>
                <w:szCs w:val="20"/>
              </w:rPr>
              <w:t xml:space="preserve"> vs Placebo (95% CI)</w:t>
            </w:r>
          </w:p>
        </w:tc>
        <w:tc>
          <w:tcPr>
            <w:tcW w:w="1276" w:type="dxa"/>
          </w:tcPr>
          <w:p w:rsidR="00A47CEB" w:rsidRPr="00826D71" w:rsidRDefault="00A47CEB" w:rsidP="000F71E4">
            <w:pPr>
              <w:jc w:val="center"/>
              <w:rPr>
                <w:rFonts w:ascii="Arial Narrow" w:hAnsi="Arial Narrow"/>
                <w:sz w:val="20"/>
                <w:szCs w:val="20"/>
              </w:rPr>
            </w:pPr>
            <w:proofErr w:type="spellStart"/>
            <w:r w:rsidRPr="00826D71">
              <w:rPr>
                <w:rFonts w:ascii="Arial Narrow" w:hAnsi="Arial Narrow"/>
                <w:sz w:val="20"/>
                <w:szCs w:val="20"/>
              </w:rPr>
              <w:t>Cyclosporin</w:t>
            </w:r>
            <w:proofErr w:type="spellEnd"/>
            <w:r w:rsidRPr="00826D71">
              <w:rPr>
                <w:rFonts w:ascii="Arial Narrow" w:hAnsi="Arial Narrow"/>
                <w:sz w:val="20"/>
                <w:szCs w:val="20"/>
              </w:rPr>
              <w:t xml:space="preserve"> vs Placebo (95% CI)</w:t>
            </w:r>
          </w:p>
        </w:tc>
        <w:tc>
          <w:tcPr>
            <w:tcW w:w="1276" w:type="dxa"/>
          </w:tcPr>
          <w:p w:rsidR="000F71E4" w:rsidRPr="00826D71" w:rsidRDefault="006B3E9F" w:rsidP="000F71E4">
            <w:pPr>
              <w:ind w:left="-108" w:right="-108"/>
              <w:jc w:val="center"/>
              <w:rPr>
                <w:rFonts w:ascii="Arial Narrow" w:hAnsi="Arial Narrow"/>
                <w:sz w:val="20"/>
                <w:szCs w:val="20"/>
              </w:rPr>
            </w:pPr>
            <w:r w:rsidRPr="00826D71">
              <w:rPr>
                <w:rFonts w:ascii="Arial Narrow" w:hAnsi="Arial Narrow"/>
                <w:sz w:val="20"/>
                <w:szCs w:val="20"/>
              </w:rPr>
              <w:t xml:space="preserve">Omalizumab </w:t>
            </w:r>
          </w:p>
          <w:p w:rsidR="00A47CEB" w:rsidRPr="00826D71" w:rsidRDefault="006B3E9F" w:rsidP="000F71E4">
            <w:pPr>
              <w:ind w:left="-108" w:right="-108"/>
              <w:jc w:val="center"/>
              <w:rPr>
                <w:rFonts w:ascii="Arial Narrow" w:hAnsi="Arial Narrow"/>
                <w:sz w:val="20"/>
                <w:szCs w:val="20"/>
              </w:rPr>
            </w:pPr>
            <w:r w:rsidRPr="00826D71">
              <w:rPr>
                <w:rFonts w:ascii="Arial Narrow" w:hAnsi="Arial Narrow"/>
                <w:sz w:val="20"/>
                <w:szCs w:val="20"/>
              </w:rPr>
              <w:t xml:space="preserve">vs </w:t>
            </w:r>
            <w:proofErr w:type="spellStart"/>
            <w:r w:rsidRPr="00826D71">
              <w:rPr>
                <w:rFonts w:ascii="Arial Narrow" w:hAnsi="Arial Narrow"/>
                <w:sz w:val="20"/>
                <w:szCs w:val="20"/>
              </w:rPr>
              <w:t>Cyclosporin</w:t>
            </w:r>
            <w:proofErr w:type="spellEnd"/>
            <w:r w:rsidRPr="00826D71">
              <w:rPr>
                <w:rFonts w:ascii="Arial Narrow" w:hAnsi="Arial Narrow"/>
                <w:sz w:val="20"/>
                <w:szCs w:val="20"/>
              </w:rPr>
              <w:t xml:space="preserve"> (95% CI)</w:t>
            </w:r>
          </w:p>
        </w:tc>
        <w:tc>
          <w:tcPr>
            <w:tcW w:w="770" w:type="dxa"/>
          </w:tcPr>
          <w:p w:rsidR="00A47CEB" w:rsidRPr="00826D71" w:rsidRDefault="006B3E9F" w:rsidP="000F71E4">
            <w:pPr>
              <w:jc w:val="center"/>
              <w:rPr>
                <w:rFonts w:ascii="Arial Narrow" w:hAnsi="Arial Narrow"/>
                <w:sz w:val="20"/>
                <w:szCs w:val="20"/>
              </w:rPr>
            </w:pPr>
            <w:r w:rsidRPr="00826D71">
              <w:rPr>
                <w:rFonts w:ascii="Arial Narrow" w:hAnsi="Arial Narrow"/>
                <w:sz w:val="20"/>
                <w:szCs w:val="20"/>
              </w:rPr>
              <w:t>P value</w:t>
            </w:r>
          </w:p>
        </w:tc>
      </w:tr>
      <w:tr w:rsidR="00A47CEB" w:rsidRPr="00826D71" w:rsidTr="00726F0C">
        <w:tc>
          <w:tcPr>
            <w:tcW w:w="8425" w:type="dxa"/>
            <w:gridSpan w:val="6"/>
          </w:tcPr>
          <w:p w:rsidR="00A47CEB" w:rsidRPr="00826D71" w:rsidRDefault="00A47CEB" w:rsidP="00A47CEB">
            <w:pPr>
              <w:rPr>
                <w:rFonts w:ascii="Arial Narrow" w:hAnsi="Arial Narrow"/>
                <w:b/>
                <w:sz w:val="20"/>
                <w:szCs w:val="20"/>
              </w:rPr>
            </w:pPr>
            <w:r w:rsidRPr="00826D71">
              <w:rPr>
                <w:rFonts w:ascii="Arial Narrow" w:hAnsi="Arial Narrow"/>
                <w:b/>
                <w:sz w:val="20"/>
                <w:szCs w:val="20"/>
              </w:rPr>
              <w:t>Dichotomous outcomes</w:t>
            </w:r>
          </w:p>
        </w:tc>
      </w:tr>
      <w:tr w:rsidR="00A47CEB" w:rsidRPr="00826D71" w:rsidTr="00726F0C">
        <w:tc>
          <w:tcPr>
            <w:tcW w:w="2977" w:type="dxa"/>
          </w:tcPr>
          <w:p w:rsidR="00A47CEB" w:rsidRPr="00826D71" w:rsidRDefault="00A47CEB" w:rsidP="00A47CEB">
            <w:pPr>
              <w:rPr>
                <w:rFonts w:ascii="Arial Narrow" w:hAnsi="Arial Narrow"/>
                <w:sz w:val="20"/>
                <w:szCs w:val="20"/>
              </w:rPr>
            </w:pPr>
            <w:r w:rsidRPr="00826D71">
              <w:rPr>
                <w:rFonts w:ascii="Arial Narrow" w:hAnsi="Arial Narrow"/>
                <w:sz w:val="20"/>
                <w:szCs w:val="20"/>
              </w:rPr>
              <w:t>Any AE experienced by patients (pooled data from ASTERIA I and II for omalizumab 150 mg)</w:t>
            </w:r>
          </w:p>
        </w:tc>
        <w:tc>
          <w:tcPr>
            <w:tcW w:w="850" w:type="dxa"/>
          </w:tcPr>
          <w:p w:rsidR="00A47CEB" w:rsidRPr="00826D71" w:rsidRDefault="00A47CEB" w:rsidP="00A47CEB">
            <w:pPr>
              <w:jc w:val="center"/>
              <w:rPr>
                <w:rFonts w:ascii="Arial Narrow" w:hAnsi="Arial Narrow"/>
                <w:sz w:val="20"/>
                <w:szCs w:val="20"/>
              </w:rPr>
            </w:pPr>
            <w:r w:rsidRPr="00826D71">
              <w:rPr>
                <w:rFonts w:ascii="Arial Narrow" w:hAnsi="Arial Narrow"/>
                <w:sz w:val="20"/>
                <w:szCs w:val="20"/>
              </w:rPr>
              <w:t>OR</w:t>
            </w:r>
          </w:p>
        </w:tc>
        <w:tc>
          <w:tcPr>
            <w:tcW w:w="1276" w:type="dxa"/>
          </w:tcPr>
          <w:p w:rsidR="006B3E9F" w:rsidRPr="00826D71" w:rsidRDefault="006B3E9F" w:rsidP="000F71E4">
            <w:pPr>
              <w:jc w:val="center"/>
              <w:rPr>
                <w:rFonts w:ascii="Arial Narrow" w:hAnsi="Arial Narrow"/>
                <w:sz w:val="20"/>
                <w:szCs w:val="20"/>
              </w:rPr>
            </w:pPr>
            <w:r w:rsidRPr="00826D71">
              <w:rPr>
                <w:rFonts w:ascii="Arial Narrow" w:hAnsi="Arial Narrow"/>
                <w:sz w:val="20"/>
                <w:szCs w:val="20"/>
              </w:rPr>
              <w:t>1.646</w:t>
            </w:r>
          </w:p>
          <w:p w:rsidR="00A47CEB" w:rsidRPr="00826D71" w:rsidRDefault="006B3E9F" w:rsidP="000F71E4">
            <w:pPr>
              <w:jc w:val="center"/>
              <w:rPr>
                <w:rFonts w:ascii="Arial Narrow" w:hAnsi="Arial Narrow"/>
                <w:sz w:val="20"/>
                <w:szCs w:val="20"/>
              </w:rPr>
            </w:pPr>
            <w:r w:rsidRPr="00826D71">
              <w:rPr>
                <w:rFonts w:ascii="Arial Narrow" w:hAnsi="Arial Narrow"/>
                <w:sz w:val="20"/>
                <w:szCs w:val="20"/>
              </w:rPr>
              <w:t>(1.07,2.54)</w:t>
            </w:r>
          </w:p>
        </w:tc>
        <w:tc>
          <w:tcPr>
            <w:tcW w:w="1276" w:type="dxa"/>
          </w:tcPr>
          <w:p w:rsidR="006B3E9F" w:rsidRPr="00826D71" w:rsidRDefault="006B3E9F" w:rsidP="000F71E4">
            <w:pPr>
              <w:jc w:val="center"/>
              <w:rPr>
                <w:rFonts w:ascii="Arial Narrow" w:hAnsi="Arial Narrow"/>
                <w:sz w:val="20"/>
                <w:szCs w:val="20"/>
              </w:rPr>
            </w:pPr>
            <w:r w:rsidRPr="00826D71">
              <w:rPr>
                <w:rFonts w:ascii="Arial Narrow" w:hAnsi="Arial Narrow"/>
                <w:sz w:val="20"/>
                <w:szCs w:val="20"/>
              </w:rPr>
              <w:t>4.667</w:t>
            </w:r>
          </w:p>
          <w:p w:rsidR="00A47CEB" w:rsidRPr="00826D71" w:rsidRDefault="006B3E9F" w:rsidP="000F71E4">
            <w:pPr>
              <w:jc w:val="center"/>
              <w:rPr>
                <w:rFonts w:ascii="Arial Narrow" w:hAnsi="Arial Narrow"/>
                <w:sz w:val="20"/>
                <w:szCs w:val="20"/>
              </w:rPr>
            </w:pPr>
            <w:r w:rsidRPr="00826D71">
              <w:rPr>
                <w:rFonts w:ascii="Arial Narrow" w:hAnsi="Arial Narrow"/>
                <w:sz w:val="20"/>
                <w:szCs w:val="20"/>
              </w:rPr>
              <w:t>(1.97, 11.04)</w:t>
            </w:r>
          </w:p>
        </w:tc>
        <w:tc>
          <w:tcPr>
            <w:tcW w:w="1276" w:type="dxa"/>
          </w:tcPr>
          <w:p w:rsidR="006B3E9F" w:rsidRPr="00826D71" w:rsidRDefault="006B3E9F" w:rsidP="000F71E4">
            <w:pPr>
              <w:jc w:val="center"/>
              <w:rPr>
                <w:rFonts w:ascii="Arial Narrow" w:hAnsi="Arial Narrow"/>
                <w:sz w:val="20"/>
                <w:szCs w:val="20"/>
                <w:vertAlign w:val="superscript"/>
              </w:rPr>
            </w:pPr>
            <w:r w:rsidRPr="00826D71">
              <w:rPr>
                <w:rFonts w:ascii="Arial Narrow" w:hAnsi="Arial Narrow"/>
                <w:sz w:val="20"/>
                <w:szCs w:val="20"/>
              </w:rPr>
              <w:t>0.353</w:t>
            </w:r>
            <w:r w:rsidRPr="00826D71">
              <w:rPr>
                <w:rFonts w:ascii="Arial Narrow" w:hAnsi="Arial Narrow"/>
                <w:sz w:val="20"/>
                <w:szCs w:val="20"/>
                <w:vertAlign w:val="superscript"/>
              </w:rPr>
              <w:t>a</w:t>
            </w:r>
          </w:p>
          <w:p w:rsidR="00A47CEB" w:rsidRPr="00826D71" w:rsidRDefault="006B3E9F" w:rsidP="000F71E4">
            <w:pPr>
              <w:jc w:val="center"/>
              <w:rPr>
                <w:rFonts w:ascii="Arial Narrow" w:hAnsi="Arial Narrow"/>
                <w:sz w:val="20"/>
                <w:szCs w:val="20"/>
              </w:rPr>
            </w:pPr>
            <w:r w:rsidRPr="00826D71">
              <w:rPr>
                <w:rFonts w:ascii="Arial Narrow" w:hAnsi="Arial Narrow"/>
                <w:sz w:val="20"/>
                <w:szCs w:val="20"/>
              </w:rPr>
              <w:t>(0.135,0.925)</w:t>
            </w:r>
          </w:p>
        </w:tc>
        <w:tc>
          <w:tcPr>
            <w:tcW w:w="770" w:type="dxa"/>
          </w:tcPr>
          <w:p w:rsidR="00A47CEB" w:rsidRPr="00826D71" w:rsidRDefault="006B3E9F" w:rsidP="006B3E9F">
            <w:pPr>
              <w:rPr>
                <w:rFonts w:ascii="Arial Narrow" w:hAnsi="Arial Narrow"/>
                <w:sz w:val="20"/>
                <w:szCs w:val="20"/>
              </w:rPr>
            </w:pPr>
            <w:r w:rsidRPr="00826D71">
              <w:rPr>
                <w:rFonts w:ascii="Arial Narrow" w:hAnsi="Arial Narrow"/>
                <w:sz w:val="20"/>
                <w:szCs w:val="20"/>
              </w:rPr>
              <w:t>0.0341</w:t>
            </w:r>
          </w:p>
        </w:tc>
      </w:tr>
      <w:tr w:rsidR="00A47CEB" w:rsidRPr="00826D71" w:rsidTr="00726F0C">
        <w:tc>
          <w:tcPr>
            <w:tcW w:w="2977" w:type="dxa"/>
          </w:tcPr>
          <w:p w:rsidR="00A47CEB" w:rsidRPr="00826D71" w:rsidRDefault="00A47CEB" w:rsidP="00A47CEB">
            <w:pPr>
              <w:rPr>
                <w:rFonts w:ascii="Arial Narrow" w:hAnsi="Arial Narrow"/>
                <w:sz w:val="20"/>
                <w:szCs w:val="20"/>
              </w:rPr>
            </w:pPr>
            <w:r w:rsidRPr="00826D71">
              <w:rPr>
                <w:rFonts w:ascii="Arial Narrow" w:hAnsi="Arial Narrow"/>
                <w:sz w:val="20"/>
                <w:szCs w:val="20"/>
              </w:rPr>
              <w:t>Any AE experienced by patients (pooled data from ASTERIA I, II and GLACIAL for omalizumab 300 mg)</w:t>
            </w:r>
          </w:p>
        </w:tc>
        <w:tc>
          <w:tcPr>
            <w:tcW w:w="850" w:type="dxa"/>
          </w:tcPr>
          <w:p w:rsidR="00A47CEB" w:rsidRPr="00826D71" w:rsidRDefault="00A47CEB" w:rsidP="00A47CEB">
            <w:pPr>
              <w:jc w:val="center"/>
              <w:rPr>
                <w:rFonts w:ascii="Arial Narrow" w:hAnsi="Arial Narrow"/>
                <w:sz w:val="20"/>
                <w:szCs w:val="20"/>
              </w:rPr>
            </w:pPr>
            <w:r w:rsidRPr="00826D71">
              <w:rPr>
                <w:rFonts w:ascii="Arial Narrow" w:hAnsi="Arial Narrow"/>
                <w:sz w:val="20"/>
                <w:szCs w:val="20"/>
              </w:rPr>
              <w:t>OR</w:t>
            </w:r>
          </w:p>
        </w:tc>
        <w:tc>
          <w:tcPr>
            <w:tcW w:w="1276" w:type="dxa"/>
          </w:tcPr>
          <w:p w:rsidR="006B3E9F" w:rsidRPr="00826D71" w:rsidRDefault="006B3E9F" w:rsidP="000F71E4">
            <w:pPr>
              <w:jc w:val="center"/>
              <w:rPr>
                <w:rFonts w:ascii="Arial Narrow" w:hAnsi="Arial Narrow"/>
                <w:sz w:val="20"/>
                <w:szCs w:val="20"/>
              </w:rPr>
            </w:pPr>
            <w:r w:rsidRPr="00826D71">
              <w:rPr>
                <w:rFonts w:ascii="Arial Narrow" w:hAnsi="Arial Narrow"/>
                <w:sz w:val="20"/>
                <w:szCs w:val="20"/>
              </w:rPr>
              <w:t>1.35</w:t>
            </w:r>
          </w:p>
          <w:p w:rsidR="00A47CEB" w:rsidRPr="00826D71" w:rsidRDefault="006B3E9F" w:rsidP="000F71E4">
            <w:pPr>
              <w:jc w:val="center"/>
              <w:rPr>
                <w:rFonts w:ascii="Arial Narrow" w:hAnsi="Arial Narrow"/>
                <w:sz w:val="20"/>
                <w:szCs w:val="20"/>
              </w:rPr>
            </w:pPr>
            <w:r w:rsidRPr="00826D71">
              <w:rPr>
                <w:rFonts w:ascii="Arial Narrow" w:hAnsi="Arial Narrow"/>
                <w:sz w:val="20"/>
                <w:szCs w:val="20"/>
              </w:rPr>
              <w:t>(0.98, 1.86)</w:t>
            </w:r>
          </w:p>
        </w:tc>
        <w:tc>
          <w:tcPr>
            <w:tcW w:w="1276" w:type="dxa"/>
          </w:tcPr>
          <w:p w:rsidR="006B3E9F" w:rsidRPr="00826D71" w:rsidRDefault="006B3E9F" w:rsidP="000F71E4">
            <w:pPr>
              <w:jc w:val="center"/>
              <w:rPr>
                <w:rFonts w:ascii="Arial Narrow" w:hAnsi="Arial Narrow"/>
                <w:sz w:val="20"/>
                <w:szCs w:val="20"/>
              </w:rPr>
            </w:pPr>
            <w:r w:rsidRPr="00826D71">
              <w:rPr>
                <w:rFonts w:ascii="Arial Narrow" w:hAnsi="Arial Narrow"/>
                <w:sz w:val="20"/>
                <w:szCs w:val="20"/>
              </w:rPr>
              <w:t>4.667</w:t>
            </w:r>
          </w:p>
          <w:p w:rsidR="00A47CEB" w:rsidRPr="00826D71" w:rsidRDefault="006B3E9F" w:rsidP="000F71E4">
            <w:pPr>
              <w:jc w:val="center"/>
              <w:rPr>
                <w:rFonts w:ascii="Arial Narrow" w:hAnsi="Arial Narrow"/>
                <w:sz w:val="20"/>
                <w:szCs w:val="20"/>
              </w:rPr>
            </w:pPr>
            <w:r w:rsidRPr="00826D71">
              <w:rPr>
                <w:rFonts w:ascii="Arial Narrow" w:hAnsi="Arial Narrow"/>
                <w:sz w:val="20"/>
                <w:szCs w:val="20"/>
              </w:rPr>
              <w:t>(1.97, 11.04)</w:t>
            </w:r>
          </w:p>
        </w:tc>
        <w:tc>
          <w:tcPr>
            <w:tcW w:w="1276" w:type="dxa"/>
          </w:tcPr>
          <w:p w:rsidR="006B3E9F" w:rsidRPr="00826D71" w:rsidRDefault="006B3E9F" w:rsidP="000F71E4">
            <w:pPr>
              <w:jc w:val="center"/>
              <w:rPr>
                <w:rFonts w:ascii="Arial Narrow" w:hAnsi="Arial Narrow"/>
                <w:sz w:val="20"/>
                <w:szCs w:val="20"/>
                <w:vertAlign w:val="superscript"/>
              </w:rPr>
            </w:pPr>
            <w:r w:rsidRPr="00826D71">
              <w:rPr>
                <w:rFonts w:ascii="Arial Narrow" w:hAnsi="Arial Narrow"/>
                <w:sz w:val="20"/>
                <w:szCs w:val="20"/>
              </w:rPr>
              <w:t>0.289</w:t>
            </w:r>
            <w:r w:rsidRPr="00826D71">
              <w:rPr>
                <w:rFonts w:ascii="Arial Narrow" w:hAnsi="Arial Narrow"/>
                <w:sz w:val="20"/>
                <w:szCs w:val="20"/>
                <w:vertAlign w:val="superscript"/>
              </w:rPr>
              <w:t>a</w:t>
            </w:r>
          </w:p>
          <w:p w:rsidR="00A47CEB" w:rsidRPr="00826D71" w:rsidRDefault="006B3E9F" w:rsidP="000F71E4">
            <w:pPr>
              <w:jc w:val="center"/>
              <w:rPr>
                <w:rFonts w:ascii="Arial Narrow" w:hAnsi="Arial Narrow"/>
                <w:sz w:val="20"/>
                <w:szCs w:val="20"/>
              </w:rPr>
            </w:pPr>
            <w:r w:rsidRPr="00826D71">
              <w:rPr>
                <w:rFonts w:ascii="Arial Narrow" w:hAnsi="Arial Narrow"/>
                <w:sz w:val="20"/>
                <w:szCs w:val="20"/>
              </w:rPr>
              <w:t>(0.115, 0.725)</w:t>
            </w:r>
          </w:p>
        </w:tc>
        <w:tc>
          <w:tcPr>
            <w:tcW w:w="770" w:type="dxa"/>
          </w:tcPr>
          <w:p w:rsidR="00A47CEB" w:rsidRPr="00826D71" w:rsidRDefault="006B3E9F" w:rsidP="006B3E9F">
            <w:pPr>
              <w:jc w:val="both"/>
              <w:rPr>
                <w:rFonts w:ascii="Arial Narrow" w:hAnsi="Arial Narrow"/>
                <w:sz w:val="20"/>
                <w:szCs w:val="20"/>
              </w:rPr>
            </w:pPr>
            <w:r w:rsidRPr="00826D71">
              <w:rPr>
                <w:rFonts w:ascii="Arial Narrow" w:hAnsi="Arial Narrow"/>
                <w:sz w:val="20"/>
                <w:szCs w:val="20"/>
              </w:rPr>
              <w:t>0.0081</w:t>
            </w:r>
          </w:p>
        </w:tc>
      </w:tr>
    </w:tbl>
    <w:p w:rsidR="00A865FF" w:rsidRPr="00826D71" w:rsidRDefault="006B3E9F" w:rsidP="00B6773F">
      <w:pPr>
        <w:jc w:val="both"/>
        <w:rPr>
          <w:rFonts w:ascii="Arial Narrow" w:hAnsi="Arial Narrow"/>
          <w:sz w:val="20"/>
          <w:szCs w:val="20"/>
        </w:rPr>
      </w:pPr>
      <w:r w:rsidRPr="00826D71">
        <w:rPr>
          <w:rFonts w:ascii="Arial" w:hAnsi="Arial"/>
          <w:sz w:val="20"/>
          <w:szCs w:val="20"/>
        </w:rPr>
        <w:tab/>
      </w:r>
      <w:r w:rsidRPr="00826D71">
        <w:rPr>
          <w:rFonts w:ascii="Arial Narrow" w:hAnsi="Arial Narrow"/>
          <w:sz w:val="20"/>
          <w:szCs w:val="20"/>
        </w:rPr>
        <w:t>Source:</w:t>
      </w:r>
      <w:r w:rsidR="000F71E4" w:rsidRPr="00826D71">
        <w:rPr>
          <w:rFonts w:ascii="Arial Narrow" w:hAnsi="Arial Narrow"/>
          <w:sz w:val="20"/>
          <w:szCs w:val="20"/>
        </w:rPr>
        <w:t xml:space="preserve"> Table 2, p</w:t>
      </w:r>
      <w:r w:rsidRPr="00826D71">
        <w:rPr>
          <w:rFonts w:ascii="Arial Narrow" w:hAnsi="Arial Narrow"/>
          <w:sz w:val="20"/>
          <w:szCs w:val="20"/>
        </w:rPr>
        <w:t xml:space="preserve">age 15 of the minor </w:t>
      </w:r>
      <w:r w:rsidR="000F71E4" w:rsidRPr="00826D71">
        <w:rPr>
          <w:rFonts w:ascii="Arial Narrow" w:hAnsi="Arial Narrow"/>
          <w:sz w:val="20"/>
          <w:szCs w:val="20"/>
        </w:rPr>
        <w:t>re</w:t>
      </w:r>
      <w:r w:rsidRPr="00826D71">
        <w:rPr>
          <w:rFonts w:ascii="Arial Narrow" w:hAnsi="Arial Narrow"/>
          <w:sz w:val="20"/>
          <w:szCs w:val="20"/>
        </w:rPr>
        <w:t xml:space="preserve">submission </w:t>
      </w:r>
    </w:p>
    <w:p w:rsidR="00BC0814" w:rsidRPr="00826D71" w:rsidRDefault="00BC0814" w:rsidP="007660E4">
      <w:pPr>
        <w:ind w:left="720"/>
        <w:jc w:val="both"/>
        <w:rPr>
          <w:rFonts w:ascii="Arial Narrow" w:hAnsi="Arial Narrow"/>
          <w:sz w:val="20"/>
          <w:szCs w:val="20"/>
        </w:rPr>
      </w:pPr>
      <w:proofErr w:type="gramStart"/>
      <w:r w:rsidRPr="00826D71">
        <w:rPr>
          <w:rFonts w:ascii="Arial Narrow" w:hAnsi="Arial Narrow"/>
          <w:sz w:val="20"/>
          <w:szCs w:val="20"/>
        </w:rPr>
        <w:t>a</w:t>
      </w:r>
      <w:proofErr w:type="gramEnd"/>
      <w:r w:rsidRPr="00826D71">
        <w:rPr>
          <w:rFonts w:ascii="Arial Narrow" w:hAnsi="Arial Narrow"/>
          <w:sz w:val="20"/>
          <w:szCs w:val="20"/>
        </w:rPr>
        <w:t xml:space="preserve">: The indirect ORs (1/0.353=2.83 and 1/0.289=3.46) show </w:t>
      </w:r>
      <w:r w:rsidR="007660E4" w:rsidRPr="00826D71">
        <w:rPr>
          <w:rFonts w:ascii="Arial Narrow" w:hAnsi="Arial Narrow"/>
          <w:sz w:val="20"/>
          <w:szCs w:val="20"/>
        </w:rPr>
        <w:t>that patients on cyclosporin are approximately  3 times more likely to experience an adverse event</w:t>
      </w:r>
    </w:p>
    <w:p w:rsidR="00BC0814" w:rsidRPr="00826D71" w:rsidRDefault="00BC0814" w:rsidP="00B6773F">
      <w:pPr>
        <w:jc w:val="both"/>
        <w:rPr>
          <w:rFonts w:ascii="Arial Narrow" w:hAnsi="Arial Narrow"/>
          <w:sz w:val="22"/>
          <w:szCs w:val="22"/>
          <w:highlight w:val="yellow"/>
        </w:rPr>
      </w:pPr>
    </w:p>
    <w:p w:rsidR="00A865FF" w:rsidRPr="00826D71" w:rsidRDefault="00A865FF" w:rsidP="00B6773F">
      <w:pPr>
        <w:jc w:val="both"/>
        <w:rPr>
          <w:rFonts w:ascii="Arial" w:hAnsi="Arial"/>
          <w:sz w:val="22"/>
          <w:szCs w:val="22"/>
          <w:highlight w:val="yellow"/>
        </w:rPr>
      </w:pPr>
    </w:p>
    <w:p w:rsidR="00910AC9" w:rsidRPr="00826D71" w:rsidRDefault="00910AC9" w:rsidP="008A50F1">
      <w:pPr>
        <w:pStyle w:val="ListParagraph"/>
        <w:numPr>
          <w:ilvl w:val="1"/>
          <w:numId w:val="5"/>
        </w:numPr>
        <w:rPr>
          <w:szCs w:val="22"/>
        </w:rPr>
      </w:pPr>
      <w:r w:rsidRPr="00826D71">
        <w:rPr>
          <w:szCs w:val="22"/>
        </w:rPr>
        <w:lastRenderedPageBreak/>
        <w:t>The minor resubmission stated that the indirect comparison shows that omalizumab 150</w:t>
      </w:r>
      <w:r w:rsidR="00BF734C" w:rsidRPr="00826D71">
        <w:rPr>
          <w:szCs w:val="22"/>
        </w:rPr>
        <w:t xml:space="preserve"> </w:t>
      </w:r>
      <w:r w:rsidRPr="00826D71">
        <w:rPr>
          <w:szCs w:val="22"/>
        </w:rPr>
        <w:t>mg and 300</w:t>
      </w:r>
      <w:r w:rsidR="00BF734C" w:rsidRPr="00826D71">
        <w:rPr>
          <w:szCs w:val="22"/>
        </w:rPr>
        <w:t xml:space="preserve"> </w:t>
      </w:r>
      <w:r w:rsidRPr="00826D71">
        <w:rPr>
          <w:szCs w:val="22"/>
        </w:rPr>
        <w:t xml:space="preserve">mg are superior to </w:t>
      </w:r>
      <w:r w:rsidR="00BF734C" w:rsidRPr="00826D71">
        <w:rPr>
          <w:szCs w:val="22"/>
        </w:rPr>
        <w:t>cyclosporin</w:t>
      </w:r>
      <w:r w:rsidRPr="00826D71">
        <w:rPr>
          <w:szCs w:val="22"/>
        </w:rPr>
        <w:t xml:space="preserve"> with respect to proportion of patients</w:t>
      </w:r>
      <w:r w:rsidR="00CA5CA0">
        <w:rPr>
          <w:szCs w:val="22"/>
        </w:rPr>
        <w:t xml:space="preserve"> experiencing an adverse event.</w:t>
      </w:r>
    </w:p>
    <w:p w:rsidR="00DA4905" w:rsidRPr="00826D71" w:rsidRDefault="00DA4905" w:rsidP="00DA4905">
      <w:pPr>
        <w:pStyle w:val="ListParagraph"/>
        <w:rPr>
          <w:szCs w:val="22"/>
          <w:highlight w:val="yellow"/>
        </w:rPr>
      </w:pPr>
    </w:p>
    <w:p w:rsidR="00A94383" w:rsidRPr="00826D71" w:rsidRDefault="00A94383" w:rsidP="00A94383">
      <w:pPr>
        <w:pStyle w:val="ListParagraph"/>
        <w:ind w:left="0"/>
        <w:rPr>
          <w:b/>
          <w:i/>
          <w:szCs w:val="22"/>
        </w:rPr>
      </w:pPr>
      <w:r w:rsidRPr="00826D71">
        <w:rPr>
          <w:b/>
          <w:i/>
          <w:szCs w:val="22"/>
        </w:rPr>
        <w:t>Down titration of omalizumab</w:t>
      </w:r>
    </w:p>
    <w:p w:rsidR="00A94383" w:rsidRPr="00826D71" w:rsidRDefault="00A94383" w:rsidP="00DA4905">
      <w:pPr>
        <w:pStyle w:val="ListParagraph"/>
        <w:rPr>
          <w:szCs w:val="22"/>
        </w:rPr>
      </w:pPr>
    </w:p>
    <w:p w:rsidR="002E44D8" w:rsidRPr="00826D71" w:rsidRDefault="00A94383" w:rsidP="00DA4905">
      <w:pPr>
        <w:pStyle w:val="ListParagraph"/>
        <w:numPr>
          <w:ilvl w:val="1"/>
          <w:numId w:val="5"/>
        </w:numPr>
      </w:pPr>
      <w:r w:rsidRPr="00826D71">
        <w:rPr>
          <w:szCs w:val="22"/>
        </w:rPr>
        <w:t>The minor resubmission state</w:t>
      </w:r>
      <w:r w:rsidR="002E44D8" w:rsidRPr="00826D71">
        <w:rPr>
          <w:szCs w:val="22"/>
        </w:rPr>
        <w:t>d</w:t>
      </w:r>
      <w:r w:rsidRPr="00826D71">
        <w:rPr>
          <w:szCs w:val="22"/>
        </w:rPr>
        <w:t xml:space="preserve"> that the expected proportion of patients who will down-titrate </w:t>
      </w:r>
      <w:r w:rsidR="002E44D8" w:rsidRPr="00826D71">
        <w:rPr>
          <w:szCs w:val="22"/>
        </w:rPr>
        <w:t>wa</w:t>
      </w:r>
      <w:r w:rsidRPr="00826D71">
        <w:rPr>
          <w:szCs w:val="22"/>
        </w:rPr>
        <w:t>s estimated from double blind RCT</w:t>
      </w:r>
      <w:r w:rsidR="00BF734C" w:rsidRPr="00826D71">
        <w:rPr>
          <w:szCs w:val="22"/>
        </w:rPr>
        <w:t>s</w:t>
      </w:r>
      <w:r w:rsidR="002E44D8" w:rsidRPr="00826D71">
        <w:rPr>
          <w:szCs w:val="22"/>
        </w:rPr>
        <w:t xml:space="preserve"> by comparing the rate of response with the 150</w:t>
      </w:r>
      <w:r w:rsidR="00BF734C" w:rsidRPr="00826D71">
        <w:rPr>
          <w:szCs w:val="22"/>
        </w:rPr>
        <w:t xml:space="preserve"> </w:t>
      </w:r>
      <w:r w:rsidR="002E44D8" w:rsidRPr="00826D71">
        <w:rPr>
          <w:szCs w:val="22"/>
        </w:rPr>
        <w:t>mg and 300</w:t>
      </w:r>
      <w:r w:rsidR="00BF734C" w:rsidRPr="00826D71">
        <w:rPr>
          <w:szCs w:val="22"/>
        </w:rPr>
        <w:t xml:space="preserve"> </w:t>
      </w:r>
      <w:r w:rsidR="002E44D8" w:rsidRPr="00826D71">
        <w:rPr>
          <w:szCs w:val="22"/>
        </w:rPr>
        <w:t>mg doses at 12 weeks within the pooled ASTERIA I/II data (GLACIAL only used a 300</w:t>
      </w:r>
      <w:r w:rsidR="00BF734C" w:rsidRPr="00826D71">
        <w:rPr>
          <w:szCs w:val="22"/>
        </w:rPr>
        <w:t xml:space="preserve"> </w:t>
      </w:r>
      <w:r w:rsidR="002E44D8" w:rsidRPr="00826D71">
        <w:rPr>
          <w:szCs w:val="22"/>
        </w:rPr>
        <w:t>mg dose)</w:t>
      </w:r>
      <w:r w:rsidR="0081115B" w:rsidRPr="00826D71">
        <w:rPr>
          <w:szCs w:val="22"/>
        </w:rPr>
        <w:t>.</w:t>
      </w:r>
      <w:r w:rsidR="002E44D8" w:rsidRPr="00826D71">
        <w:rPr>
          <w:szCs w:val="22"/>
        </w:rPr>
        <w:t xml:space="preserve"> According to the resubmission, 68.5% of patients </w:t>
      </w:r>
      <w:r w:rsidR="00BF734C" w:rsidRPr="00826D71">
        <w:rPr>
          <w:szCs w:val="22"/>
        </w:rPr>
        <w:t>responding</w:t>
      </w:r>
      <w:r w:rsidR="002E44D8" w:rsidRPr="00826D71">
        <w:rPr>
          <w:szCs w:val="22"/>
        </w:rPr>
        <w:t xml:space="preserve"> with the 300</w:t>
      </w:r>
      <w:r w:rsidR="00FB14FA" w:rsidRPr="00826D71">
        <w:rPr>
          <w:szCs w:val="22"/>
        </w:rPr>
        <w:t xml:space="preserve"> </w:t>
      </w:r>
      <w:r w:rsidR="002E44D8" w:rsidRPr="00826D71">
        <w:rPr>
          <w:szCs w:val="22"/>
        </w:rPr>
        <w:t>mg dose would have achieved the same response with a 150</w:t>
      </w:r>
      <w:r w:rsidR="00BF734C" w:rsidRPr="00826D71">
        <w:rPr>
          <w:szCs w:val="22"/>
        </w:rPr>
        <w:t xml:space="preserve"> </w:t>
      </w:r>
      <w:r w:rsidR="002E44D8" w:rsidRPr="00826D71">
        <w:rPr>
          <w:szCs w:val="22"/>
        </w:rPr>
        <w:t>mg dose, whereas the remaining 31.5% required the full 300</w:t>
      </w:r>
      <w:r w:rsidR="00FB14FA" w:rsidRPr="00826D71">
        <w:rPr>
          <w:szCs w:val="22"/>
        </w:rPr>
        <w:t xml:space="preserve"> </w:t>
      </w:r>
      <w:r w:rsidR="002E44D8" w:rsidRPr="00826D71">
        <w:rPr>
          <w:szCs w:val="22"/>
        </w:rPr>
        <w:t>mg dose in order to achieve that response</w:t>
      </w:r>
      <w:r w:rsidR="0081115B" w:rsidRPr="00826D71">
        <w:rPr>
          <w:szCs w:val="22"/>
        </w:rPr>
        <w:t>, as outlined in Table 5</w:t>
      </w:r>
      <w:r w:rsidR="002E44D8" w:rsidRPr="00826D71">
        <w:rPr>
          <w:szCs w:val="22"/>
        </w:rPr>
        <w:t>.</w:t>
      </w:r>
    </w:p>
    <w:p w:rsidR="002E44D8" w:rsidRPr="00826D71" w:rsidRDefault="002E44D8" w:rsidP="002E44D8">
      <w:pPr>
        <w:pStyle w:val="ListParagraph"/>
        <w:rPr>
          <w:szCs w:val="22"/>
        </w:rPr>
      </w:pPr>
    </w:p>
    <w:p w:rsidR="002E44D8" w:rsidRPr="00826D71" w:rsidRDefault="0081115B" w:rsidP="0081115B">
      <w:pPr>
        <w:ind w:firstLine="720"/>
        <w:jc w:val="both"/>
        <w:rPr>
          <w:b/>
          <w:sz w:val="20"/>
        </w:rPr>
      </w:pPr>
      <w:proofErr w:type="gramStart"/>
      <w:r w:rsidRPr="00826D71">
        <w:rPr>
          <w:rFonts w:ascii="Arial Narrow" w:hAnsi="Arial Narrow"/>
          <w:b/>
          <w:sz w:val="20"/>
          <w:szCs w:val="20"/>
        </w:rPr>
        <w:t>Table 5.</w:t>
      </w:r>
      <w:proofErr w:type="gramEnd"/>
      <w:r w:rsidRPr="00826D71">
        <w:rPr>
          <w:rFonts w:ascii="Arial Narrow" w:hAnsi="Arial Narrow"/>
          <w:b/>
          <w:sz w:val="20"/>
          <w:szCs w:val="20"/>
        </w:rPr>
        <w:t xml:space="preserve"> </w:t>
      </w:r>
      <w:r w:rsidR="002E44D8" w:rsidRPr="00826D71">
        <w:rPr>
          <w:rFonts w:ascii="Arial Narrow" w:hAnsi="Arial Narrow"/>
          <w:b/>
          <w:sz w:val="20"/>
          <w:szCs w:val="20"/>
        </w:rPr>
        <w:t>Long term dose intensity</w:t>
      </w:r>
    </w:p>
    <w:tbl>
      <w:tblPr>
        <w:tblStyle w:val="TableGrid"/>
        <w:tblW w:w="0" w:type="auto"/>
        <w:tblInd w:w="817" w:type="dxa"/>
        <w:tblLook w:val="04A0" w:firstRow="1" w:lastRow="0" w:firstColumn="1" w:lastColumn="0" w:noHBand="0" w:noVBand="1"/>
        <w:tblCaption w:val="Summary of long term dose intensity and response"/>
        <w:tblDescription w:val="Summary of long term dose intensity and response from the submission"/>
      </w:tblPr>
      <w:tblGrid>
        <w:gridCol w:w="508"/>
        <w:gridCol w:w="5311"/>
        <w:gridCol w:w="848"/>
        <w:gridCol w:w="1758"/>
      </w:tblGrid>
      <w:tr w:rsidR="002E44D8" w:rsidRPr="00726F0C" w:rsidTr="00566614">
        <w:trPr>
          <w:tblHeader/>
        </w:trPr>
        <w:tc>
          <w:tcPr>
            <w:tcW w:w="475" w:type="dxa"/>
          </w:tcPr>
          <w:p w:rsidR="002E44D8" w:rsidRPr="00726F0C" w:rsidRDefault="002E44D8" w:rsidP="002E44D8">
            <w:pPr>
              <w:pStyle w:val="ListParagraph"/>
              <w:ind w:left="0"/>
              <w:rPr>
                <w:rFonts w:ascii="Arial Narrow" w:hAnsi="Arial Narrow"/>
                <w:b/>
                <w:sz w:val="20"/>
              </w:rPr>
            </w:pPr>
            <w:r w:rsidRPr="00726F0C">
              <w:rPr>
                <w:rFonts w:ascii="Arial Narrow" w:hAnsi="Arial Narrow"/>
                <w:b/>
                <w:sz w:val="20"/>
              </w:rPr>
              <w:t>row</w:t>
            </w:r>
          </w:p>
        </w:tc>
        <w:tc>
          <w:tcPr>
            <w:tcW w:w="5337" w:type="dxa"/>
          </w:tcPr>
          <w:p w:rsidR="002E44D8" w:rsidRPr="00726F0C" w:rsidRDefault="002E44D8" w:rsidP="002E44D8">
            <w:pPr>
              <w:pStyle w:val="ListParagraph"/>
              <w:ind w:left="0"/>
              <w:rPr>
                <w:rFonts w:ascii="Arial Narrow" w:hAnsi="Arial Narrow"/>
                <w:b/>
                <w:sz w:val="20"/>
              </w:rPr>
            </w:pPr>
            <w:r w:rsidRPr="00726F0C">
              <w:rPr>
                <w:rFonts w:ascii="Arial Narrow" w:hAnsi="Arial Narrow"/>
                <w:b/>
                <w:sz w:val="20"/>
              </w:rPr>
              <w:t>parameter</w:t>
            </w:r>
          </w:p>
        </w:tc>
        <w:tc>
          <w:tcPr>
            <w:tcW w:w="850" w:type="dxa"/>
          </w:tcPr>
          <w:p w:rsidR="002E44D8" w:rsidRPr="00726F0C" w:rsidRDefault="002E44D8" w:rsidP="00E35737">
            <w:pPr>
              <w:pStyle w:val="ListParagraph"/>
              <w:ind w:left="-108" w:right="-108"/>
              <w:jc w:val="center"/>
              <w:rPr>
                <w:rFonts w:ascii="Arial Narrow" w:hAnsi="Arial Narrow"/>
                <w:b/>
                <w:sz w:val="20"/>
              </w:rPr>
            </w:pPr>
            <w:r w:rsidRPr="00726F0C">
              <w:rPr>
                <w:rFonts w:ascii="Arial Narrow" w:hAnsi="Arial Narrow"/>
                <w:b/>
                <w:sz w:val="20"/>
              </w:rPr>
              <w:t>value</w:t>
            </w:r>
          </w:p>
        </w:tc>
        <w:tc>
          <w:tcPr>
            <w:tcW w:w="1763" w:type="dxa"/>
          </w:tcPr>
          <w:p w:rsidR="002E44D8" w:rsidRPr="00726F0C" w:rsidRDefault="002E44D8" w:rsidP="00E35737">
            <w:pPr>
              <w:pStyle w:val="ListParagraph"/>
              <w:ind w:left="0"/>
              <w:jc w:val="center"/>
              <w:rPr>
                <w:rFonts w:ascii="Arial Narrow" w:hAnsi="Arial Narrow"/>
                <w:b/>
                <w:sz w:val="20"/>
              </w:rPr>
            </w:pPr>
            <w:r w:rsidRPr="00726F0C">
              <w:rPr>
                <w:rFonts w:ascii="Arial Narrow" w:hAnsi="Arial Narrow"/>
                <w:b/>
                <w:sz w:val="20"/>
              </w:rPr>
              <w:t>reference</w:t>
            </w:r>
          </w:p>
        </w:tc>
      </w:tr>
      <w:tr w:rsidR="002E44D8" w:rsidRPr="00726F0C" w:rsidTr="00726F0C">
        <w:tc>
          <w:tcPr>
            <w:tcW w:w="475" w:type="dxa"/>
          </w:tcPr>
          <w:p w:rsidR="002E44D8" w:rsidRPr="00726F0C" w:rsidRDefault="002E44D8" w:rsidP="002E44D8">
            <w:pPr>
              <w:pStyle w:val="ListParagraph"/>
              <w:ind w:left="0"/>
              <w:rPr>
                <w:rFonts w:ascii="Arial Narrow" w:hAnsi="Arial Narrow"/>
                <w:sz w:val="20"/>
              </w:rPr>
            </w:pPr>
            <w:r w:rsidRPr="00726F0C">
              <w:rPr>
                <w:rFonts w:ascii="Arial Narrow" w:hAnsi="Arial Narrow"/>
                <w:sz w:val="20"/>
              </w:rPr>
              <w:t>A</w:t>
            </w:r>
          </w:p>
        </w:tc>
        <w:tc>
          <w:tcPr>
            <w:tcW w:w="5337" w:type="dxa"/>
          </w:tcPr>
          <w:p w:rsidR="002E44D8" w:rsidRPr="00726F0C" w:rsidRDefault="002E44D8" w:rsidP="00E35737">
            <w:pPr>
              <w:pStyle w:val="ListParagraph"/>
              <w:ind w:left="0"/>
              <w:rPr>
                <w:rFonts w:ascii="Arial Narrow" w:hAnsi="Arial Narrow"/>
                <w:sz w:val="20"/>
              </w:rPr>
            </w:pPr>
            <w:r w:rsidRPr="00726F0C">
              <w:rPr>
                <w:rFonts w:ascii="Arial Narrow" w:hAnsi="Arial Narrow"/>
                <w:sz w:val="20"/>
              </w:rPr>
              <w:t>Response (UAS7 ≤ 6) at 12 weeks – 150 mg</w:t>
            </w:r>
          </w:p>
        </w:tc>
        <w:tc>
          <w:tcPr>
            <w:tcW w:w="850" w:type="dxa"/>
          </w:tcPr>
          <w:p w:rsidR="002E44D8" w:rsidRPr="00726F0C" w:rsidRDefault="002E44D8" w:rsidP="00E35737">
            <w:pPr>
              <w:pStyle w:val="ListParagraph"/>
              <w:ind w:left="-108" w:right="-108"/>
              <w:jc w:val="center"/>
              <w:rPr>
                <w:rFonts w:ascii="Arial Narrow" w:hAnsi="Arial Narrow"/>
                <w:sz w:val="20"/>
              </w:rPr>
            </w:pPr>
            <w:r w:rsidRPr="00726F0C">
              <w:rPr>
                <w:rFonts w:ascii="Arial Narrow" w:hAnsi="Arial Narrow"/>
                <w:sz w:val="20"/>
              </w:rPr>
              <w:t>0.4301</w:t>
            </w:r>
          </w:p>
        </w:tc>
        <w:tc>
          <w:tcPr>
            <w:tcW w:w="1763" w:type="dxa"/>
            <w:vMerge w:val="restart"/>
          </w:tcPr>
          <w:p w:rsidR="002E44D8" w:rsidRPr="00726F0C" w:rsidRDefault="002E44D8" w:rsidP="00E35737">
            <w:pPr>
              <w:autoSpaceDE w:val="0"/>
              <w:autoSpaceDN w:val="0"/>
              <w:adjustRightInd w:val="0"/>
              <w:jc w:val="center"/>
              <w:rPr>
                <w:rFonts w:ascii="Arial Narrow" w:hAnsi="Arial Narrow" w:cs="Arial"/>
                <w:sz w:val="20"/>
                <w:szCs w:val="20"/>
              </w:rPr>
            </w:pPr>
            <w:r w:rsidRPr="00726F0C">
              <w:rPr>
                <w:rFonts w:ascii="Arial Narrow" w:hAnsi="Arial Narrow" w:cs="Arial"/>
                <w:sz w:val="20"/>
                <w:szCs w:val="20"/>
              </w:rPr>
              <w:t>Pooled</w:t>
            </w:r>
            <w:r w:rsidR="00E35737" w:rsidRPr="00726F0C">
              <w:rPr>
                <w:rFonts w:ascii="Arial Narrow" w:hAnsi="Arial Narrow" w:cs="Arial"/>
                <w:sz w:val="20"/>
                <w:szCs w:val="20"/>
              </w:rPr>
              <w:t xml:space="preserve"> </w:t>
            </w:r>
            <w:r w:rsidRPr="00726F0C">
              <w:rPr>
                <w:rFonts w:ascii="Arial Narrow" w:hAnsi="Arial Narrow" w:cs="Arial"/>
                <w:sz w:val="20"/>
                <w:szCs w:val="20"/>
              </w:rPr>
              <w:t>ASTERIA</w:t>
            </w:r>
            <w:r w:rsidR="00E35737" w:rsidRPr="00726F0C">
              <w:rPr>
                <w:rFonts w:ascii="Arial Narrow" w:hAnsi="Arial Narrow" w:cs="Arial"/>
                <w:sz w:val="20"/>
                <w:szCs w:val="20"/>
              </w:rPr>
              <w:t xml:space="preserve"> </w:t>
            </w:r>
            <w:r w:rsidRPr="00726F0C">
              <w:rPr>
                <w:rFonts w:ascii="Arial Narrow" w:hAnsi="Arial Narrow" w:cs="Arial"/>
                <w:sz w:val="20"/>
                <w:szCs w:val="20"/>
              </w:rPr>
              <w:t>I/II</w:t>
            </w:r>
            <w:r w:rsidR="00E35737" w:rsidRPr="00726F0C">
              <w:rPr>
                <w:rFonts w:ascii="Arial Narrow" w:hAnsi="Arial Narrow" w:cs="Arial"/>
                <w:sz w:val="20"/>
                <w:szCs w:val="20"/>
              </w:rPr>
              <w:t xml:space="preserve"> </w:t>
            </w:r>
            <w:r w:rsidRPr="00726F0C">
              <w:rPr>
                <w:rFonts w:ascii="Arial Narrow" w:hAnsi="Arial Narrow" w:cs="Arial"/>
                <w:sz w:val="20"/>
                <w:szCs w:val="20"/>
              </w:rPr>
              <w:t>observed</w:t>
            </w:r>
            <w:r w:rsidR="00E35737" w:rsidRPr="00726F0C">
              <w:rPr>
                <w:rFonts w:ascii="Arial Narrow" w:hAnsi="Arial Narrow" w:cs="Arial"/>
                <w:sz w:val="20"/>
                <w:szCs w:val="20"/>
              </w:rPr>
              <w:t xml:space="preserve"> </w:t>
            </w:r>
            <w:r w:rsidRPr="00726F0C">
              <w:rPr>
                <w:rFonts w:ascii="Arial Narrow" w:hAnsi="Arial Narrow" w:cs="Arial"/>
                <w:sz w:val="20"/>
              </w:rPr>
              <w:t>data</w:t>
            </w:r>
          </w:p>
        </w:tc>
      </w:tr>
      <w:tr w:rsidR="002E44D8" w:rsidRPr="00726F0C" w:rsidTr="00726F0C">
        <w:tc>
          <w:tcPr>
            <w:tcW w:w="475" w:type="dxa"/>
          </w:tcPr>
          <w:p w:rsidR="002E44D8" w:rsidRPr="00726F0C" w:rsidRDefault="002E44D8" w:rsidP="002E44D8">
            <w:pPr>
              <w:pStyle w:val="ListParagraph"/>
              <w:ind w:left="0"/>
              <w:rPr>
                <w:rFonts w:ascii="Arial Narrow" w:hAnsi="Arial Narrow"/>
                <w:sz w:val="20"/>
              </w:rPr>
            </w:pPr>
            <w:r w:rsidRPr="00726F0C">
              <w:rPr>
                <w:rFonts w:ascii="Arial Narrow" w:hAnsi="Arial Narrow"/>
                <w:sz w:val="20"/>
              </w:rPr>
              <w:t>B</w:t>
            </w:r>
          </w:p>
        </w:tc>
        <w:tc>
          <w:tcPr>
            <w:tcW w:w="5337" w:type="dxa"/>
          </w:tcPr>
          <w:p w:rsidR="002E44D8" w:rsidRPr="00726F0C" w:rsidRDefault="002E44D8" w:rsidP="002E44D8">
            <w:pPr>
              <w:pStyle w:val="ListParagraph"/>
              <w:ind w:left="0"/>
              <w:rPr>
                <w:rFonts w:ascii="Arial Narrow" w:hAnsi="Arial Narrow"/>
                <w:sz w:val="20"/>
              </w:rPr>
            </w:pPr>
            <w:r w:rsidRPr="00726F0C">
              <w:rPr>
                <w:rFonts w:ascii="Arial Narrow" w:hAnsi="Arial Narrow"/>
                <w:sz w:val="20"/>
              </w:rPr>
              <w:t>Response (UAS7 ≤ 6) at 12 weeks – 300 mg</w:t>
            </w:r>
          </w:p>
        </w:tc>
        <w:tc>
          <w:tcPr>
            <w:tcW w:w="850" w:type="dxa"/>
          </w:tcPr>
          <w:p w:rsidR="002E44D8" w:rsidRPr="00726F0C" w:rsidRDefault="002E44D8" w:rsidP="00E35737">
            <w:pPr>
              <w:pStyle w:val="ListParagraph"/>
              <w:ind w:left="-108" w:right="-108"/>
              <w:jc w:val="center"/>
              <w:rPr>
                <w:rFonts w:ascii="Arial Narrow" w:hAnsi="Arial Narrow"/>
                <w:sz w:val="20"/>
              </w:rPr>
            </w:pPr>
            <w:r w:rsidRPr="00726F0C">
              <w:rPr>
                <w:rFonts w:ascii="Arial Narrow" w:hAnsi="Arial Narrow"/>
                <w:sz w:val="20"/>
              </w:rPr>
              <w:t>0.6277</w:t>
            </w:r>
          </w:p>
        </w:tc>
        <w:tc>
          <w:tcPr>
            <w:tcW w:w="1763" w:type="dxa"/>
            <w:vMerge/>
          </w:tcPr>
          <w:p w:rsidR="002E44D8" w:rsidRPr="00726F0C" w:rsidRDefault="002E44D8" w:rsidP="00E35737">
            <w:pPr>
              <w:pStyle w:val="ListParagraph"/>
              <w:ind w:left="0"/>
              <w:jc w:val="center"/>
              <w:rPr>
                <w:rFonts w:ascii="Arial Narrow" w:hAnsi="Arial Narrow"/>
                <w:sz w:val="20"/>
              </w:rPr>
            </w:pPr>
          </w:p>
        </w:tc>
      </w:tr>
      <w:tr w:rsidR="002E44D8" w:rsidRPr="00726F0C" w:rsidTr="00726F0C">
        <w:tc>
          <w:tcPr>
            <w:tcW w:w="475" w:type="dxa"/>
          </w:tcPr>
          <w:p w:rsidR="002E44D8" w:rsidRPr="00726F0C" w:rsidRDefault="002E44D8" w:rsidP="002E44D8">
            <w:pPr>
              <w:pStyle w:val="ListParagraph"/>
              <w:ind w:left="0"/>
              <w:rPr>
                <w:rFonts w:ascii="Arial Narrow" w:hAnsi="Arial Narrow"/>
                <w:sz w:val="20"/>
              </w:rPr>
            </w:pPr>
            <w:r w:rsidRPr="00726F0C">
              <w:rPr>
                <w:rFonts w:ascii="Arial Narrow" w:hAnsi="Arial Narrow"/>
                <w:sz w:val="20"/>
              </w:rPr>
              <w:t>C</w:t>
            </w:r>
          </w:p>
        </w:tc>
        <w:tc>
          <w:tcPr>
            <w:tcW w:w="5337" w:type="dxa"/>
          </w:tcPr>
          <w:p w:rsidR="002E44D8" w:rsidRPr="00726F0C" w:rsidRDefault="002E44D8" w:rsidP="00E35737">
            <w:pPr>
              <w:autoSpaceDE w:val="0"/>
              <w:autoSpaceDN w:val="0"/>
              <w:adjustRightInd w:val="0"/>
              <w:ind w:right="-108"/>
              <w:rPr>
                <w:rFonts w:ascii="Arial Narrow" w:hAnsi="Arial Narrow"/>
                <w:sz w:val="20"/>
              </w:rPr>
            </w:pPr>
            <w:r w:rsidRPr="00726F0C">
              <w:rPr>
                <w:rFonts w:ascii="Arial Narrow" w:hAnsi="Arial Narrow" w:cs="Arial"/>
                <w:sz w:val="20"/>
                <w:szCs w:val="20"/>
              </w:rPr>
              <w:t>Proportion of 300 mg response achieved with 150</w:t>
            </w:r>
            <w:r w:rsidR="00BF734C" w:rsidRPr="00726F0C">
              <w:rPr>
                <w:rFonts w:ascii="Arial Narrow" w:hAnsi="Arial Narrow" w:cs="Arial"/>
                <w:sz w:val="20"/>
                <w:szCs w:val="20"/>
              </w:rPr>
              <w:t xml:space="preserve"> </w:t>
            </w:r>
            <w:r w:rsidRPr="00726F0C">
              <w:rPr>
                <w:rFonts w:ascii="Arial Narrow" w:hAnsi="Arial Narrow" w:cs="Arial"/>
                <w:sz w:val="20"/>
                <w:szCs w:val="20"/>
              </w:rPr>
              <w:t>mg</w:t>
            </w:r>
            <w:r w:rsidR="00E35737" w:rsidRPr="00726F0C">
              <w:rPr>
                <w:rFonts w:ascii="Arial Narrow" w:hAnsi="Arial Narrow" w:cs="Arial"/>
                <w:sz w:val="20"/>
                <w:szCs w:val="20"/>
              </w:rPr>
              <w:t xml:space="preserve"> </w:t>
            </w:r>
            <w:r w:rsidRPr="00726F0C">
              <w:rPr>
                <w:rFonts w:ascii="Arial Narrow" w:hAnsi="Arial Narrow" w:cs="Arial"/>
                <w:sz w:val="20"/>
              </w:rPr>
              <w:t>dose</w:t>
            </w:r>
          </w:p>
        </w:tc>
        <w:tc>
          <w:tcPr>
            <w:tcW w:w="850" w:type="dxa"/>
          </w:tcPr>
          <w:p w:rsidR="002E44D8" w:rsidRPr="00726F0C" w:rsidRDefault="002E44D8" w:rsidP="00E35737">
            <w:pPr>
              <w:pStyle w:val="ListParagraph"/>
              <w:ind w:left="-108" w:right="-108"/>
              <w:jc w:val="center"/>
              <w:rPr>
                <w:rFonts w:ascii="Arial Narrow" w:hAnsi="Arial Narrow"/>
                <w:sz w:val="20"/>
              </w:rPr>
            </w:pPr>
            <w:r w:rsidRPr="00726F0C">
              <w:rPr>
                <w:rFonts w:ascii="Arial Narrow" w:hAnsi="Arial Narrow"/>
                <w:sz w:val="20"/>
              </w:rPr>
              <w:t>0.6852</w:t>
            </w:r>
          </w:p>
        </w:tc>
        <w:tc>
          <w:tcPr>
            <w:tcW w:w="1763" w:type="dxa"/>
          </w:tcPr>
          <w:p w:rsidR="002E44D8" w:rsidRPr="00726F0C" w:rsidRDefault="002E44D8" w:rsidP="00E35737">
            <w:pPr>
              <w:pStyle w:val="ListParagraph"/>
              <w:ind w:left="-108"/>
              <w:jc w:val="center"/>
              <w:rPr>
                <w:rFonts w:ascii="Arial Narrow" w:hAnsi="Arial Narrow"/>
                <w:sz w:val="20"/>
              </w:rPr>
            </w:pPr>
            <w:r w:rsidRPr="00726F0C">
              <w:rPr>
                <w:rFonts w:ascii="Arial Narrow" w:hAnsi="Arial Narrow"/>
                <w:sz w:val="20"/>
              </w:rPr>
              <w:t>A/B</w:t>
            </w:r>
          </w:p>
        </w:tc>
      </w:tr>
      <w:tr w:rsidR="002E44D8" w:rsidRPr="00726F0C" w:rsidTr="00726F0C">
        <w:tc>
          <w:tcPr>
            <w:tcW w:w="475" w:type="dxa"/>
          </w:tcPr>
          <w:p w:rsidR="002E44D8" w:rsidRPr="00726F0C" w:rsidRDefault="002E44D8" w:rsidP="002E44D8">
            <w:pPr>
              <w:pStyle w:val="ListParagraph"/>
              <w:ind w:left="0"/>
              <w:rPr>
                <w:rFonts w:ascii="Arial Narrow" w:hAnsi="Arial Narrow"/>
                <w:sz w:val="20"/>
              </w:rPr>
            </w:pPr>
            <w:r w:rsidRPr="00726F0C">
              <w:rPr>
                <w:rFonts w:ascii="Arial Narrow" w:hAnsi="Arial Narrow"/>
                <w:sz w:val="20"/>
              </w:rPr>
              <w:t>D</w:t>
            </w:r>
          </w:p>
        </w:tc>
        <w:tc>
          <w:tcPr>
            <w:tcW w:w="5337" w:type="dxa"/>
          </w:tcPr>
          <w:p w:rsidR="002E44D8" w:rsidRPr="00726F0C" w:rsidRDefault="002E44D8" w:rsidP="002E44D8">
            <w:pPr>
              <w:pStyle w:val="ListParagraph"/>
              <w:ind w:left="0"/>
              <w:rPr>
                <w:rFonts w:ascii="Arial Narrow" w:hAnsi="Arial Narrow"/>
                <w:sz w:val="20"/>
              </w:rPr>
            </w:pPr>
            <w:r w:rsidRPr="00726F0C">
              <w:rPr>
                <w:rFonts w:ascii="Arial Narrow" w:hAnsi="Arial Narrow"/>
                <w:sz w:val="20"/>
              </w:rPr>
              <w:t>Proportion of cohort requiring 300 mg dose</w:t>
            </w:r>
          </w:p>
        </w:tc>
        <w:tc>
          <w:tcPr>
            <w:tcW w:w="850" w:type="dxa"/>
          </w:tcPr>
          <w:p w:rsidR="002E44D8" w:rsidRPr="00726F0C" w:rsidRDefault="00E35737" w:rsidP="00E35737">
            <w:pPr>
              <w:pStyle w:val="ListParagraph"/>
              <w:ind w:left="-108" w:right="-108"/>
              <w:jc w:val="center"/>
              <w:rPr>
                <w:rFonts w:ascii="Arial Narrow" w:hAnsi="Arial Narrow"/>
                <w:sz w:val="20"/>
              </w:rPr>
            </w:pPr>
            <w:r w:rsidRPr="00726F0C">
              <w:rPr>
                <w:rFonts w:ascii="Arial Narrow" w:hAnsi="Arial Narrow"/>
                <w:sz w:val="20"/>
              </w:rPr>
              <w:t>0</w:t>
            </w:r>
            <w:r w:rsidR="002E44D8" w:rsidRPr="00726F0C">
              <w:rPr>
                <w:rFonts w:ascii="Arial Narrow" w:hAnsi="Arial Narrow"/>
                <w:sz w:val="20"/>
              </w:rPr>
              <w:t>.3148</w:t>
            </w:r>
          </w:p>
        </w:tc>
        <w:tc>
          <w:tcPr>
            <w:tcW w:w="1763" w:type="dxa"/>
          </w:tcPr>
          <w:p w:rsidR="002E44D8" w:rsidRPr="00726F0C" w:rsidRDefault="002E44D8" w:rsidP="00E35737">
            <w:pPr>
              <w:pStyle w:val="ListParagraph"/>
              <w:ind w:left="0"/>
              <w:jc w:val="center"/>
              <w:rPr>
                <w:rFonts w:ascii="Arial Narrow" w:hAnsi="Arial Narrow"/>
                <w:sz w:val="20"/>
              </w:rPr>
            </w:pPr>
            <w:r w:rsidRPr="00726F0C">
              <w:rPr>
                <w:rFonts w:ascii="Arial Narrow" w:hAnsi="Arial Narrow"/>
                <w:sz w:val="20"/>
              </w:rPr>
              <w:t>1-C</w:t>
            </w:r>
          </w:p>
        </w:tc>
      </w:tr>
    </w:tbl>
    <w:p w:rsidR="002E44D8" w:rsidRPr="00726F0C" w:rsidRDefault="002E44D8" w:rsidP="002E44D8">
      <w:pPr>
        <w:pStyle w:val="ListParagraph"/>
        <w:rPr>
          <w:rFonts w:ascii="Arial Narrow" w:hAnsi="Arial Narrow"/>
          <w:sz w:val="18"/>
        </w:rPr>
      </w:pPr>
      <w:r w:rsidRPr="00726F0C">
        <w:rPr>
          <w:rFonts w:ascii="Arial Narrow" w:hAnsi="Arial Narrow"/>
          <w:sz w:val="18"/>
        </w:rPr>
        <w:t>Source: p</w:t>
      </w:r>
      <w:r w:rsidR="00865CF5" w:rsidRPr="00726F0C">
        <w:rPr>
          <w:rFonts w:ascii="Arial Narrow" w:hAnsi="Arial Narrow"/>
          <w:sz w:val="18"/>
        </w:rPr>
        <w:t xml:space="preserve">age </w:t>
      </w:r>
      <w:r w:rsidRPr="00726F0C">
        <w:rPr>
          <w:rFonts w:ascii="Arial Narrow" w:hAnsi="Arial Narrow"/>
          <w:sz w:val="18"/>
        </w:rPr>
        <w:t>16 of the minor resubmission</w:t>
      </w:r>
    </w:p>
    <w:p w:rsidR="002E44D8" w:rsidRPr="00826D71" w:rsidRDefault="002E44D8" w:rsidP="002E44D8">
      <w:pPr>
        <w:pStyle w:val="ListParagraph"/>
        <w:rPr>
          <w:sz w:val="20"/>
        </w:rPr>
      </w:pPr>
    </w:p>
    <w:p w:rsidR="00DA4905" w:rsidRPr="00826D71" w:rsidRDefault="00E35737" w:rsidP="00E35737">
      <w:pPr>
        <w:pStyle w:val="ListParagraph"/>
        <w:numPr>
          <w:ilvl w:val="1"/>
          <w:numId w:val="5"/>
        </w:numPr>
      </w:pPr>
      <w:r w:rsidRPr="00826D71">
        <w:rPr>
          <w:szCs w:val="22"/>
        </w:rPr>
        <w:t>The minor resubmission noted that in addition to the 22 non-randomised studies of omalizumab in clinical practice presented in the November 2015 submission, a</w:t>
      </w:r>
      <w:r w:rsidR="00DA4905" w:rsidRPr="00826D71">
        <w:rPr>
          <w:szCs w:val="22"/>
        </w:rPr>
        <w:t xml:space="preserve"> further nine non-randomised studies were identified</w:t>
      </w:r>
      <w:r w:rsidRPr="00826D71">
        <w:rPr>
          <w:szCs w:val="22"/>
        </w:rPr>
        <w:t xml:space="preserve">.  </w:t>
      </w:r>
      <w:r w:rsidRPr="00826D71">
        <w:t xml:space="preserve">Based on the </w:t>
      </w:r>
      <w:r w:rsidR="00DA4905" w:rsidRPr="00826D71">
        <w:t>31 non-randomised studies</w:t>
      </w:r>
      <w:r w:rsidRPr="00826D71">
        <w:t xml:space="preserve">, the </w:t>
      </w:r>
      <w:r w:rsidR="00DA4905" w:rsidRPr="00826D71">
        <w:t>mi</w:t>
      </w:r>
      <w:r w:rsidRPr="00826D71">
        <w:t>nor submission claimed</w:t>
      </w:r>
      <w:r w:rsidR="00DA4905" w:rsidRPr="00826D71">
        <w:t>:</w:t>
      </w:r>
    </w:p>
    <w:p w:rsidR="00DA4905" w:rsidRPr="00826D71" w:rsidRDefault="00DA4905" w:rsidP="00DA4905">
      <w:pPr>
        <w:pStyle w:val="ListParagraph"/>
        <w:numPr>
          <w:ilvl w:val="0"/>
          <w:numId w:val="20"/>
        </w:numPr>
      </w:pPr>
      <w:r w:rsidRPr="00826D71">
        <w:t>Approximately 40% of patients across the trials were administered 300 mg omalizumab per month while the remainder of patients maintained response with 150 mg omalizumab per month or at longer intervals.</w:t>
      </w:r>
    </w:p>
    <w:p w:rsidR="00DA4905" w:rsidRPr="00826D71" w:rsidRDefault="00DA4905" w:rsidP="00DA4905">
      <w:pPr>
        <w:pStyle w:val="ListParagraph"/>
        <w:numPr>
          <w:ilvl w:val="0"/>
          <w:numId w:val="20"/>
        </w:numPr>
      </w:pPr>
      <w:r w:rsidRPr="00826D71">
        <w:t>Approximately 70% of patients across the tr</w:t>
      </w:r>
      <w:r w:rsidR="00BF734C" w:rsidRPr="00826D71">
        <w:t>i</w:t>
      </w:r>
      <w:r w:rsidRPr="00826D71">
        <w:t>als were administered omalizumab monthly with a proportion maintaining response on treatment eve</w:t>
      </w:r>
      <w:r w:rsidR="00D448D7" w:rsidRPr="00826D71">
        <w:t xml:space="preserve">ry 6 weeks while the remaining were dosed according to </w:t>
      </w:r>
      <w:r w:rsidRPr="00826D71">
        <w:t>a patient-driven approach.</w:t>
      </w:r>
    </w:p>
    <w:p w:rsidR="00DA4905" w:rsidRPr="00826D71" w:rsidRDefault="00DA4905" w:rsidP="00DA4905">
      <w:pPr>
        <w:pStyle w:val="ListParagraph"/>
        <w:rPr>
          <w:szCs w:val="22"/>
          <w:highlight w:val="yellow"/>
        </w:rPr>
      </w:pPr>
    </w:p>
    <w:p w:rsidR="00A94383" w:rsidRPr="00826D71" w:rsidRDefault="00A94383" w:rsidP="00A94383">
      <w:pPr>
        <w:pStyle w:val="Heading2"/>
      </w:pPr>
      <w:r w:rsidRPr="00826D71">
        <w:t>Economic analysis</w:t>
      </w:r>
    </w:p>
    <w:p w:rsidR="00A94383" w:rsidRPr="00826D71" w:rsidRDefault="00A94383" w:rsidP="00DA4905">
      <w:pPr>
        <w:pStyle w:val="ListParagraph"/>
        <w:rPr>
          <w:szCs w:val="22"/>
        </w:rPr>
      </w:pPr>
    </w:p>
    <w:p w:rsidR="001943FC" w:rsidRPr="00826D71" w:rsidRDefault="001943FC" w:rsidP="001943FC">
      <w:pPr>
        <w:pStyle w:val="ListParagraph"/>
        <w:numPr>
          <w:ilvl w:val="1"/>
          <w:numId w:val="5"/>
        </w:numPr>
        <w:rPr>
          <w:szCs w:val="22"/>
        </w:rPr>
      </w:pPr>
      <w:r w:rsidRPr="00826D71">
        <w:rPr>
          <w:szCs w:val="22"/>
        </w:rPr>
        <w:t xml:space="preserve">The minor </w:t>
      </w:r>
      <w:r w:rsidR="00E35737" w:rsidRPr="00826D71">
        <w:rPr>
          <w:szCs w:val="22"/>
        </w:rPr>
        <w:t>re</w:t>
      </w:r>
      <w:r w:rsidRPr="00826D71">
        <w:rPr>
          <w:szCs w:val="22"/>
        </w:rPr>
        <w:t>submission presented the same cost minimisation analysis from the November 2015 submission</w:t>
      </w:r>
      <w:r w:rsidR="00AD49A0" w:rsidRPr="00826D71">
        <w:rPr>
          <w:szCs w:val="22"/>
        </w:rPr>
        <w:t>,</w:t>
      </w:r>
      <w:r w:rsidRPr="00826D71">
        <w:rPr>
          <w:szCs w:val="22"/>
        </w:rPr>
        <w:t xml:space="preserve"> with the incorporation of cyclosporin at 3</w:t>
      </w:r>
      <w:r w:rsidR="00FB14FA" w:rsidRPr="00826D71">
        <w:rPr>
          <w:szCs w:val="22"/>
        </w:rPr>
        <w:t xml:space="preserve"> </w:t>
      </w:r>
      <w:r w:rsidRPr="00826D71">
        <w:rPr>
          <w:szCs w:val="22"/>
        </w:rPr>
        <w:t>mg/kg (as recommended by PBAC in November 2015) and at the AEMP expected after the 1 October 2016 price disclosure.</w:t>
      </w:r>
    </w:p>
    <w:p w:rsidR="00FD0909" w:rsidRPr="00826D71" w:rsidRDefault="00FD0909" w:rsidP="001943FC">
      <w:pPr>
        <w:pStyle w:val="ListParagraph"/>
        <w:rPr>
          <w:szCs w:val="22"/>
          <w:highlight w:val="yellow"/>
        </w:rPr>
      </w:pPr>
    </w:p>
    <w:p w:rsidR="00AD49A0" w:rsidRPr="00826D71" w:rsidRDefault="00AA113A" w:rsidP="00631ED2">
      <w:pPr>
        <w:pStyle w:val="ListParagraph"/>
        <w:numPr>
          <w:ilvl w:val="1"/>
          <w:numId w:val="5"/>
        </w:numPr>
        <w:rPr>
          <w:szCs w:val="22"/>
        </w:rPr>
      </w:pPr>
      <w:r w:rsidRPr="00826D71">
        <w:rPr>
          <w:szCs w:val="22"/>
        </w:rPr>
        <w:t>Consistent with the November 2015 submission, the minor resubmission assumed an average dose for omalizumab of 197</w:t>
      </w:r>
      <w:r w:rsidR="00FB14FA" w:rsidRPr="00826D71">
        <w:rPr>
          <w:szCs w:val="22"/>
        </w:rPr>
        <w:t xml:space="preserve"> </w:t>
      </w:r>
      <w:r w:rsidRPr="00826D71">
        <w:rPr>
          <w:szCs w:val="22"/>
        </w:rPr>
        <w:t>mg</w:t>
      </w:r>
      <w:r w:rsidR="00AD49A0" w:rsidRPr="00826D71">
        <w:rPr>
          <w:szCs w:val="22"/>
        </w:rPr>
        <w:t>, based on the assumption that 68.52% of patients would down-titrate to 150</w:t>
      </w:r>
      <w:r w:rsidR="00FB14FA" w:rsidRPr="00826D71">
        <w:rPr>
          <w:szCs w:val="22"/>
        </w:rPr>
        <w:t xml:space="preserve"> </w:t>
      </w:r>
      <w:r w:rsidR="00AD49A0" w:rsidRPr="00826D71">
        <w:rPr>
          <w:szCs w:val="22"/>
        </w:rPr>
        <w:t>mg</w:t>
      </w:r>
      <w:r w:rsidR="00173A94" w:rsidRPr="00826D71">
        <w:rPr>
          <w:szCs w:val="22"/>
        </w:rPr>
        <w:t>.</w:t>
      </w:r>
    </w:p>
    <w:p w:rsidR="00AD49A0" w:rsidRPr="00826D71" w:rsidRDefault="00AD49A0" w:rsidP="00AD49A0">
      <w:pPr>
        <w:pStyle w:val="ListParagraph"/>
        <w:rPr>
          <w:szCs w:val="22"/>
        </w:rPr>
      </w:pPr>
    </w:p>
    <w:p w:rsidR="00D14477" w:rsidRPr="00826D71" w:rsidRDefault="00D14477" w:rsidP="00D14477">
      <w:pPr>
        <w:pStyle w:val="ListParagraph"/>
        <w:numPr>
          <w:ilvl w:val="1"/>
          <w:numId w:val="5"/>
        </w:numPr>
        <w:rPr>
          <w:szCs w:val="22"/>
        </w:rPr>
      </w:pPr>
      <w:r w:rsidRPr="00826D71">
        <w:rPr>
          <w:szCs w:val="22"/>
        </w:rPr>
        <w:t>The equi-effective doses proposed in the minor resubmission were:</w:t>
      </w:r>
    </w:p>
    <w:p w:rsidR="00D14477" w:rsidRPr="00F219A5" w:rsidRDefault="00D14477" w:rsidP="00F219A5">
      <w:pPr>
        <w:ind w:firstLine="720"/>
        <w:rPr>
          <w:rFonts w:ascii="Arial" w:hAnsi="Arial" w:cs="Arial"/>
          <w:snapToGrid w:val="0"/>
          <w:sz w:val="22"/>
          <w:szCs w:val="22"/>
          <w:lang w:eastAsia="en-US"/>
        </w:rPr>
      </w:pPr>
      <w:r w:rsidRPr="00F219A5">
        <w:rPr>
          <w:rFonts w:ascii="Arial" w:hAnsi="Arial" w:cs="Arial"/>
          <w:snapToGrid w:val="0"/>
          <w:sz w:val="22"/>
          <w:szCs w:val="22"/>
          <w:lang w:eastAsia="en-US"/>
        </w:rPr>
        <w:t xml:space="preserve">Omalizumab 197.22 mg = </w:t>
      </w:r>
      <w:r w:rsidR="00BF734C" w:rsidRPr="00F219A5">
        <w:rPr>
          <w:rFonts w:ascii="Arial" w:hAnsi="Arial" w:cs="Arial"/>
          <w:snapToGrid w:val="0"/>
          <w:sz w:val="22"/>
          <w:szCs w:val="22"/>
          <w:lang w:eastAsia="en-US"/>
        </w:rPr>
        <w:t>cyclosporin</w:t>
      </w:r>
      <w:r w:rsidRPr="00F219A5">
        <w:rPr>
          <w:rFonts w:ascii="Arial" w:hAnsi="Arial" w:cs="Arial"/>
          <w:snapToGrid w:val="0"/>
          <w:sz w:val="22"/>
          <w:szCs w:val="22"/>
          <w:lang w:eastAsia="en-US"/>
        </w:rPr>
        <w:t xml:space="preserve"> 3</w:t>
      </w:r>
      <w:r w:rsidR="00FB14FA" w:rsidRPr="00F219A5">
        <w:rPr>
          <w:rFonts w:ascii="Arial" w:hAnsi="Arial" w:cs="Arial"/>
          <w:snapToGrid w:val="0"/>
          <w:sz w:val="22"/>
          <w:szCs w:val="22"/>
          <w:lang w:eastAsia="en-US"/>
        </w:rPr>
        <w:t xml:space="preserve"> </w:t>
      </w:r>
      <w:r w:rsidRPr="00F219A5">
        <w:rPr>
          <w:rFonts w:ascii="Arial" w:hAnsi="Arial" w:cs="Arial"/>
          <w:snapToGrid w:val="0"/>
          <w:sz w:val="22"/>
          <w:szCs w:val="22"/>
          <w:lang w:eastAsia="en-US"/>
        </w:rPr>
        <w:t>mg/kg</w:t>
      </w:r>
    </w:p>
    <w:p w:rsidR="00D14477" w:rsidRPr="00CA5CA0" w:rsidRDefault="00D14477" w:rsidP="00CA5CA0">
      <w:pPr>
        <w:rPr>
          <w:szCs w:val="22"/>
        </w:rPr>
      </w:pPr>
    </w:p>
    <w:p w:rsidR="00D14477" w:rsidRPr="00826D71" w:rsidRDefault="00D14477" w:rsidP="00631ED2">
      <w:pPr>
        <w:pStyle w:val="ListParagraph"/>
        <w:numPr>
          <w:ilvl w:val="1"/>
          <w:numId w:val="5"/>
        </w:numPr>
        <w:rPr>
          <w:szCs w:val="22"/>
        </w:rPr>
      </w:pPr>
      <w:r w:rsidRPr="00826D71">
        <w:rPr>
          <w:szCs w:val="22"/>
        </w:rPr>
        <w:t>The minor resubmission noted that based on the proposed equi-effective doses and the requested effective DPMQ ($</w:t>
      </w:r>
      <w:r w:rsidR="00455976">
        <w:rPr>
          <w:noProof/>
          <w:color w:val="000000"/>
          <w:szCs w:val="22"/>
          <w:highlight w:val="black"/>
        </w:rPr>
        <w:t>''''''''''</w:t>
      </w:r>
      <w:r w:rsidRPr="00826D71">
        <w:rPr>
          <w:szCs w:val="22"/>
        </w:rPr>
        <w:t xml:space="preserve"> for 150</w:t>
      </w:r>
      <w:r w:rsidR="00FB14FA" w:rsidRPr="00826D71">
        <w:rPr>
          <w:szCs w:val="22"/>
        </w:rPr>
        <w:t xml:space="preserve"> </w:t>
      </w:r>
      <w:r w:rsidRPr="00826D71">
        <w:rPr>
          <w:szCs w:val="22"/>
        </w:rPr>
        <w:t>mg omalizumab) there was an additional cost to the Commonwealth of $</w:t>
      </w:r>
      <w:r w:rsidR="00455976">
        <w:rPr>
          <w:noProof/>
          <w:color w:val="000000"/>
          <w:szCs w:val="22"/>
          <w:highlight w:val="black"/>
        </w:rPr>
        <w:t>''''''</w:t>
      </w:r>
      <w:r w:rsidRPr="00826D71">
        <w:rPr>
          <w:szCs w:val="22"/>
        </w:rPr>
        <w:t xml:space="preserve"> per patient per month compared to </w:t>
      </w:r>
      <w:r w:rsidR="00BF734C" w:rsidRPr="00826D71">
        <w:rPr>
          <w:szCs w:val="22"/>
        </w:rPr>
        <w:lastRenderedPageBreak/>
        <w:t>cyclosporin</w:t>
      </w:r>
      <w:r w:rsidRPr="00826D71">
        <w:rPr>
          <w:szCs w:val="22"/>
        </w:rPr>
        <w:t>. The resubmission claimed that the additional cost per month “should be viewed in the context that is does not include the cost offsets from lower side effects experienced with omalizumab”.</w:t>
      </w:r>
    </w:p>
    <w:p w:rsidR="005963BB" w:rsidRPr="00826D71" w:rsidRDefault="005963BB" w:rsidP="00C00DA7">
      <w:pPr>
        <w:jc w:val="both"/>
        <w:rPr>
          <w:rFonts w:ascii="Arial" w:hAnsi="Arial"/>
          <w:sz w:val="22"/>
          <w:szCs w:val="22"/>
          <w:highlight w:val="yellow"/>
        </w:rPr>
      </w:pPr>
    </w:p>
    <w:p w:rsidR="00A55FEE" w:rsidRPr="00826D71" w:rsidRDefault="00A55FEE" w:rsidP="00B1059E">
      <w:pPr>
        <w:pStyle w:val="Heading2"/>
      </w:pPr>
      <w:r w:rsidRPr="00826D71">
        <w:t>Drug cost/</w:t>
      </w:r>
      <w:r w:rsidR="0079162A" w:rsidRPr="00826D71">
        <w:t>patient/course</w:t>
      </w:r>
      <w:r w:rsidRPr="00826D71">
        <w:t>:</w:t>
      </w:r>
      <w:r w:rsidR="0079162A" w:rsidRPr="00826D71">
        <w:t xml:space="preserve"> $</w:t>
      </w:r>
      <w:r w:rsidR="00455976">
        <w:rPr>
          <w:noProof/>
          <w:color w:val="000000"/>
          <w:highlight w:val="black"/>
        </w:rPr>
        <w:t>''''''''''''</w:t>
      </w:r>
      <w:r w:rsidRPr="00826D71">
        <w:t>.</w:t>
      </w:r>
    </w:p>
    <w:p w:rsidR="00A55FEE" w:rsidRPr="00826D71" w:rsidRDefault="00A55FEE" w:rsidP="00A55FEE">
      <w:pPr>
        <w:ind w:left="720" w:hanging="720"/>
        <w:jc w:val="both"/>
        <w:rPr>
          <w:rFonts w:ascii="Arial" w:hAnsi="Arial"/>
          <w:b/>
          <w:i/>
          <w:sz w:val="22"/>
          <w:szCs w:val="22"/>
        </w:rPr>
      </w:pPr>
    </w:p>
    <w:p w:rsidR="001051F9" w:rsidRPr="00826D71" w:rsidRDefault="001051F9" w:rsidP="008A50F1">
      <w:pPr>
        <w:pStyle w:val="ListParagraph"/>
        <w:numPr>
          <w:ilvl w:val="1"/>
          <w:numId w:val="5"/>
        </w:numPr>
        <w:rPr>
          <w:szCs w:val="22"/>
        </w:rPr>
      </w:pPr>
      <w:r w:rsidRPr="00826D71">
        <w:rPr>
          <w:szCs w:val="22"/>
        </w:rPr>
        <w:t xml:space="preserve">The minor submission </w:t>
      </w:r>
      <w:r w:rsidR="00D14477" w:rsidRPr="00826D71">
        <w:rPr>
          <w:szCs w:val="22"/>
        </w:rPr>
        <w:t>presented</w:t>
      </w:r>
      <w:r w:rsidRPr="00826D71">
        <w:rPr>
          <w:szCs w:val="22"/>
        </w:rPr>
        <w:t xml:space="preserve"> </w:t>
      </w:r>
      <w:r w:rsidR="00D14477" w:rsidRPr="00826D71">
        <w:rPr>
          <w:szCs w:val="22"/>
        </w:rPr>
        <w:t xml:space="preserve">a </w:t>
      </w:r>
      <w:r w:rsidR="00921996" w:rsidRPr="00826D71">
        <w:rPr>
          <w:szCs w:val="22"/>
        </w:rPr>
        <w:t>drug cost per pat</w:t>
      </w:r>
      <w:r w:rsidRPr="00826D71">
        <w:rPr>
          <w:szCs w:val="22"/>
        </w:rPr>
        <w:t xml:space="preserve">ient </w:t>
      </w:r>
      <w:r w:rsidR="00661651" w:rsidRPr="00826D71">
        <w:rPr>
          <w:szCs w:val="22"/>
        </w:rPr>
        <w:t>per course (</w:t>
      </w:r>
      <w:r w:rsidRPr="00826D71">
        <w:rPr>
          <w:szCs w:val="22"/>
        </w:rPr>
        <w:t>4 weeks</w:t>
      </w:r>
      <w:r w:rsidR="00661651" w:rsidRPr="00826D71">
        <w:rPr>
          <w:szCs w:val="22"/>
        </w:rPr>
        <w:t>)</w:t>
      </w:r>
      <w:r w:rsidRPr="00826D71">
        <w:rPr>
          <w:szCs w:val="22"/>
        </w:rPr>
        <w:t xml:space="preserve"> </w:t>
      </w:r>
      <w:r w:rsidR="00D14477" w:rsidRPr="00826D71">
        <w:rPr>
          <w:szCs w:val="22"/>
        </w:rPr>
        <w:t>of</w:t>
      </w:r>
      <w:r w:rsidRPr="00826D71">
        <w:rPr>
          <w:szCs w:val="22"/>
        </w:rPr>
        <w:t xml:space="preserve"> $</w:t>
      </w:r>
      <w:r w:rsidR="00455976">
        <w:rPr>
          <w:noProof/>
          <w:color w:val="000000"/>
          <w:szCs w:val="22"/>
          <w:highlight w:val="black"/>
        </w:rPr>
        <w:t>''''''''''''''''''</w:t>
      </w:r>
      <w:r w:rsidR="00324A03" w:rsidRPr="00826D71">
        <w:rPr>
          <w:szCs w:val="22"/>
        </w:rPr>
        <w:t xml:space="preserve"> </w:t>
      </w:r>
      <w:r w:rsidR="00384FF1" w:rsidRPr="00826D71">
        <w:rPr>
          <w:szCs w:val="22"/>
        </w:rPr>
        <w:t>based on the</w:t>
      </w:r>
      <w:r w:rsidR="009A38B3" w:rsidRPr="00826D71">
        <w:rPr>
          <w:szCs w:val="22"/>
        </w:rPr>
        <w:t xml:space="preserve"> average dose of omalizumab 197 </w:t>
      </w:r>
      <w:r w:rsidR="00384FF1" w:rsidRPr="00826D71">
        <w:rPr>
          <w:szCs w:val="22"/>
        </w:rPr>
        <w:t>mg</w:t>
      </w:r>
      <w:r w:rsidR="00AD49A0" w:rsidRPr="00826D71">
        <w:rPr>
          <w:szCs w:val="22"/>
        </w:rPr>
        <w:t>.</w:t>
      </w:r>
      <w:r w:rsidR="00384FF1" w:rsidRPr="00826D71">
        <w:rPr>
          <w:szCs w:val="22"/>
        </w:rPr>
        <w:t xml:space="preserve"> </w:t>
      </w:r>
      <w:r w:rsidR="00661651" w:rsidRPr="00826D71">
        <w:rPr>
          <w:szCs w:val="22"/>
        </w:rPr>
        <w:t>Th</w:t>
      </w:r>
      <w:r w:rsidR="00D14477" w:rsidRPr="00826D71">
        <w:rPr>
          <w:szCs w:val="22"/>
        </w:rPr>
        <w:t>is was</w:t>
      </w:r>
      <w:r w:rsidR="00661651" w:rsidRPr="00826D71">
        <w:rPr>
          <w:szCs w:val="22"/>
        </w:rPr>
        <w:t xml:space="preserve"> derived from the </w:t>
      </w:r>
      <w:r w:rsidR="00D14477" w:rsidRPr="00826D71">
        <w:rPr>
          <w:szCs w:val="22"/>
        </w:rPr>
        <w:t>requested</w:t>
      </w:r>
      <w:r w:rsidR="00661651" w:rsidRPr="00826D71">
        <w:rPr>
          <w:szCs w:val="22"/>
        </w:rPr>
        <w:t xml:space="preserve"> effective</w:t>
      </w:r>
      <w:r w:rsidR="003B6B71" w:rsidRPr="00826D71">
        <w:rPr>
          <w:szCs w:val="22"/>
        </w:rPr>
        <w:t xml:space="preserve"> DPMQ</w:t>
      </w:r>
      <w:r w:rsidR="00661651" w:rsidRPr="00826D71">
        <w:rPr>
          <w:szCs w:val="22"/>
        </w:rPr>
        <w:t xml:space="preserve"> </w:t>
      </w:r>
      <w:r w:rsidR="003B6B71" w:rsidRPr="00826D71">
        <w:rPr>
          <w:szCs w:val="22"/>
        </w:rPr>
        <w:t>of $</w:t>
      </w:r>
      <w:r w:rsidR="00455976">
        <w:rPr>
          <w:noProof/>
          <w:color w:val="000000"/>
          <w:szCs w:val="22"/>
          <w:highlight w:val="black"/>
        </w:rPr>
        <w:t>''''''''</w:t>
      </w:r>
      <w:r w:rsidR="006C1098" w:rsidRPr="00826D71">
        <w:rPr>
          <w:szCs w:val="22"/>
        </w:rPr>
        <w:t xml:space="preserve"> </w:t>
      </w:r>
      <w:r w:rsidR="003B6B71" w:rsidRPr="00826D71">
        <w:rPr>
          <w:szCs w:val="22"/>
        </w:rPr>
        <w:t>for omalizumab 150 mg</w:t>
      </w:r>
      <w:r w:rsidR="00D14477" w:rsidRPr="00826D71">
        <w:rPr>
          <w:szCs w:val="22"/>
        </w:rPr>
        <w:t xml:space="preserve"> (the effective DPMQ was $</w:t>
      </w:r>
      <w:r w:rsidR="00455976">
        <w:rPr>
          <w:noProof/>
          <w:color w:val="000000"/>
          <w:szCs w:val="22"/>
          <w:highlight w:val="black"/>
        </w:rPr>
        <w:t>'''''''''''''''''</w:t>
      </w:r>
      <w:r w:rsidR="00D14477" w:rsidRPr="00826D71">
        <w:rPr>
          <w:szCs w:val="22"/>
        </w:rPr>
        <w:t xml:space="preserve"> in the November 2015 submission)</w:t>
      </w:r>
      <w:r w:rsidR="003B6B71" w:rsidRPr="00826D71">
        <w:rPr>
          <w:szCs w:val="22"/>
        </w:rPr>
        <w:t>.</w:t>
      </w:r>
    </w:p>
    <w:p w:rsidR="001051F9" w:rsidRPr="00826D71" w:rsidRDefault="001051F9" w:rsidP="00D14477">
      <w:pPr>
        <w:rPr>
          <w:szCs w:val="22"/>
          <w:highlight w:val="yellow"/>
        </w:rPr>
      </w:pPr>
    </w:p>
    <w:p w:rsidR="005A3173" w:rsidRPr="00826D71" w:rsidRDefault="005A3173" w:rsidP="00B1059E">
      <w:pPr>
        <w:pStyle w:val="Heading2"/>
      </w:pPr>
      <w:r w:rsidRPr="00826D71">
        <w:t>Estimated PBS usage &amp; financial implications</w:t>
      </w:r>
    </w:p>
    <w:p w:rsidR="005A3173" w:rsidRPr="00826D71" w:rsidRDefault="005A3173" w:rsidP="00882085">
      <w:pPr>
        <w:ind w:left="720" w:hanging="720"/>
        <w:jc w:val="both"/>
        <w:rPr>
          <w:rFonts w:ascii="Arial" w:hAnsi="Arial"/>
          <w:b/>
          <w:i/>
          <w:sz w:val="22"/>
          <w:szCs w:val="22"/>
        </w:rPr>
      </w:pPr>
    </w:p>
    <w:p w:rsidR="00CD492A" w:rsidRPr="00826D71" w:rsidRDefault="00D14477" w:rsidP="00CD492A">
      <w:pPr>
        <w:pStyle w:val="ListParagraph"/>
        <w:numPr>
          <w:ilvl w:val="1"/>
          <w:numId w:val="5"/>
        </w:numPr>
        <w:rPr>
          <w:szCs w:val="22"/>
        </w:rPr>
      </w:pPr>
      <w:r w:rsidRPr="00826D71">
        <w:rPr>
          <w:szCs w:val="22"/>
        </w:rPr>
        <w:t>According to the minor resubmission (p18), the same financial model was provided as in the November 2015 submission, with the follo</w:t>
      </w:r>
      <w:r w:rsidR="00CA5CA0">
        <w:rPr>
          <w:szCs w:val="22"/>
        </w:rPr>
        <w:t>wing updates:</w:t>
      </w:r>
    </w:p>
    <w:p w:rsidR="00433551" w:rsidRPr="00826D71" w:rsidRDefault="00D14477" w:rsidP="00D14477">
      <w:pPr>
        <w:pStyle w:val="ListParagraph"/>
        <w:numPr>
          <w:ilvl w:val="0"/>
          <w:numId w:val="16"/>
        </w:numPr>
        <w:rPr>
          <w:szCs w:val="22"/>
        </w:rPr>
      </w:pPr>
      <w:r w:rsidRPr="00826D71">
        <w:rPr>
          <w:szCs w:val="22"/>
        </w:rPr>
        <w:t>Update from the DUSC analysis to reflect the correct number of scripts used by continuation patients (a full year, rather than the “balance of first year” number referenced in the DUSC analysis)</w:t>
      </w:r>
      <w:r w:rsidR="00CA5CA0">
        <w:rPr>
          <w:szCs w:val="22"/>
        </w:rPr>
        <w:t>.</w:t>
      </w:r>
    </w:p>
    <w:p w:rsidR="00CD492A" w:rsidRPr="00826D71" w:rsidRDefault="00D14477" w:rsidP="00D14477">
      <w:pPr>
        <w:pStyle w:val="ListParagraph"/>
        <w:numPr>
          <w:ilvl w:val="0"/>
          <w:numId w:val="16"/>
        </w:numPr>
        <w:rPr>
          <w:szCs w:val="22"/>
        </w:rPr>
      </w:pPr>
      <w:r w:rsidRPr="00826D71">
        <w:rPr>
          <w:szCs w:val="22"/>
        </w:rPr>
        <w:t>Increase in the proportion of patients expected to continue treatment in recognition of the PBAC’s acknowledgement that some patients with severe CSU will achieve a meaningful improvement without necessarily reaching the criteria required in the trials to be classified as “well controlled”.</w:t>
      </w:r>
    </w:p>
    <w:p w:rsidR="00622609" w:rsidRPr="00826D71" w:rsidRDefault="00622609" w:rsidP="00433551">
      <w:pPr>
        <w:pStyle w:val="ListParagraph"/>
        <w:numPr>
          <w:ilvl w:val="0"/>
          <w:numId w:val="16"/>
        </w:numPr>
        <w:rPr>
          <w:szCs w:val="22"/>
        </w:rPr>
      </w:pPr>
      <w:r w:rsidRPr="00826D71">
        <w:rPr>
          <w:szCs w:val="22"/>
        </w:rPr>
        <w:t xml:space="preserve">Increases in pharmacy fees and mark ups from 1 July 2016 and price </w:t>
      </w:r>
      <w:r w:rsidR="00D14477" w:rsidRPr="00826D71">
        <w:rPr>
          <w:szCs w:val="22"/>
        </w:rPr>
        <w:t xml:space="preserve">reduction for </w:t>
      </w:r>
      <w:r w:rsidR="00BF734C" w:rsidRPr="00826D71">
        <w:rPr>
          <w:szCs w:val="22"/>
        </w:rPr>
        <w:t>cyclosporin</w:t>
      </w:r>
      <w:r w:rsidR="00D14477" w:rsidRPr="00826D71">
        <w:rPr>
          <w:szCs w:val="22"/>
        </w:rPr>
        <w:t xml:space="preserve"> (due to Price Disclosure from 1 October 2016)</w:t>
      </w:r>
      <w:r w:rsidRPr="00826D71">
        <w:rPr>
          <w:szCs w:val="22"/>
        </w:rPr>
        <w:t>.</w:t>
      </w:r>
    </w:p>
    <w:p w:rsidR="00860F2F" w:rsidRPr="00826D71" w:rsidRDefault="00860F2F" w:rsidP="00860F2F">
      <w:pPr>
        <w:pStyle w:val="ListParagraph"/>
        <w:ind w:left="1440"/>
        <w:rPr>
          <w:szCs w:val="22"/>
          <w:highlight w:val="yellow"/>
        </w:rPr>
      </w:pPr>
    </w:p>
    <w:p w:rsidR="00D14477" w:rsidRPr="00826D71" w:rsidRDefault="00D14477" w:rsidP="00D14477">
      <w:pPr>
        <w:pStyle w:val="ListParagraph"/>
        <w:numPr>
          <w:ilvl w:val="1"/>
          <w:numId w:val="5"/>
        </w:numPr>
        <w:rPr>
          <w:szCs w:val="22"/>
        </w:rPr>
      </w:pPr>
      <w:r w:rsidRPr="00826D71">
        <w:rPr>
          <w:szCs w:val="22"/>
        </w:rPr>
        <w:t xml:space="preserve">The resubmission’s estimated financial impact to Government of the proposed listing </w:t>
      </w:r>
      <w:r w:rsidR="0081115B" w:rsidRPr="00826D71">
        <w:rPr>
          <w:szCs w:val="22"/>
        </w:rPr>
        <w:t>of omalizumab is presented in Table 6</w:t>
      </w:r>
      <w:r w:rsidRPr="00826D71">
        <w:rPr>
          <w:szCs w:val="22"/>
        </w:rPr>
        <w:t>.</w:t>
      </w:r>
      <w:r w:rsidR="00F219A5">
        <w:rPr>
          <w:szCs w:val="22"/>
        </w:rPr>
        <w:t xml:space="preserve"> The redacted table below shows that at year 5, the estimated number of patients was less than 10,000 and the net cost to Government would be less than $10 million.</w:t>
      </w:r>
    </w:p>
    <w:p w:rsidR="00CD492A" w:rsidRPr="00826D71" w:rsidRDefault="00CD492A" w:rsidP="00CD492A">
      <w:pPr>
        <w:pStyle w:val="ListParagraph"/>
        <w:ind w:left="1440"/>
        <w:rPr>
          <w:szCs w:val="22"/>
          <w:highlight w:val="yellow"/>
        </w:rPr>
      </w:pPr>
    </w:p>
    <w:p w:rsidR="00E56510" w:rsidRPr="00826D71" w:rsidRDefault="0081115B" w:rsidP="00726F0C">
      <w:pPr>
        <w:ind w:firstLine="709"/>
        <w:rPr>
          <w:rFonts w:ascii="Arial Narrow" w:hAnsi="Arial Narrow"/>
          <w:b/>
          <w:sz w:val="20"/>
          <w:szCs w:val="22"/>
        </w:rPr>
      </w:pPr>
      <w:proofErr w:type="gramStart"/>
      <w:r w:rsidRPr="00826D71">
        <w:rPr>
          <w:rFonts w:ascii="Arial Narrow" w:hAnsi="Arial Narrow"/>
          <w:b/>
          <w:sz w:val="20"/>
          <w:szCs w:val="22"/>
        </w:rPr>
        <w:t>Table 6.</w:t>
      </w:r>
      <w:proofErr w:type="gramEnd"/>
      <w:r w:rsidRPr="00826D71">
        <w:rPr>
          <w:rFonts w:ascii="Arial Narrow" w:hAnsi="Arial Narrow"/>
          <w:b/>
          <w:sz w:val="20"/>
          <w:szCs w:val="22"/>
        </w:rPr>
        <w:t xml:space="preserve"> </w:t>
      </w:r>
      <w:r w:rsidR="001A035A" w:rsidRPr="00826D71">
        <w:rPr>
          <w:rFonts w:ascii="Arial Narrow" w:hAnsi="Arial Narrow"/>
          <w:b/>
          <w:sz w:val="20"/>
          <w:szCs w:val="22"/>
        </w:rPr>
        <w:t>Cost to Government</w:t>
      </w:r>
      <w:r w:rsidR="00E504CB" w:rsidRPr="00826D71">
        <w:rPr>
          <w:rFonts w:ascii="Arial Narrow" w:hAnsi="Arial Narrow"/>
          <w:b/>
          <w:sz w:val="20"/>
          <w:szCs w:val="22"/>
        </w:rPr>
        <w:t xml:space="preserve"> of omalizumab and reduction in cost of </w:t>
      </w:r>
      <w:r w:rsidR="00F219A5">
        <w:rPr>
          <w:rFonts w:ascii="Arial Narrow" w:hAnsi="Arial Narrow"/>
          <w:b/>
          <w:sz w:val="20"/>
          <w:szCs w:val="22"/>
        </w:rPr>
        <w:t xml:space="preserve">other drugs (based on effective </w:t>
      </w:r>
      <w:r w:rsidR="00E504CB" w:rsidRPr="00826D71">
        <w:rPr>
          <w:rFonts w:ascii="Arial Narrow" w:hAnsi="Arial Narrow"/>
          <w:b/>
          <w:sz w:val="20"/>
          <w:szCs w:val="22"/>
        </w:rPr>
        <w:t>price)</w:t>
      </w:r>
    </w:p>
    <w:tbl>
      <w:tblPr>
        <w:tblStyle w:val="TableGrid"/>
        <w:tblW w:w="0" w:type="auto"/>
        <w:tblInd w:w="817" w:type="dxa"/>
        <w:tblLayout w:type="fixed"/>
        <w:tblLook w:val="04A0" w:firstRow="1" w:lastRow="0" w:firstColumn="1" w:lastColumn="0" w:noHBand="0" w:noVBand="1"/>
        <w:tblCaption w:val="Utilisation and financial estimates"/>
      </w:tblPr>
      <w:tblGrid>
        <w:gridCol w:w="2126"/>
        <w:gridCol w:w="1217"/>
        <w:gridCol w:w="1218"/>
        <w:gridCol w:w="1288"/>
        <w:gridCol w:w="1288"/>
        <w:gridCol w:w="1226"/>
      </w:tblGrid>
      <w:tr w:rsidR="00F00F40" w:rsidRPr="00826D71" w:rsidTr="00566614">
        <w:trPr>
          <w:trHeight w:val="296"/>
          <w:tblHeader/>
        </w:trPr>
        <w:tc>
          <w:tcPr>
            <w:tcW w:w="2126" w:type="dxa"/>
          </w:tcPr>
          <w:p w:rsidR="00F00F40" w:rsidRPr="00826D71" w:rsidRDefault="00F00F40" w:rsidP="00433551">
            <w:pPr>
              <w:pStyle w:val="ListParagraph"/>
              <w:ind w:left="0"/>
              <w:rPr>
                <w:rFonts w:ascii="Arial Narrow" w:hAnsi="Arial Narrow"/>
                <w:snapToGrid/>
                <w:sz w:val="20"/>
                <w:lang w:eastAsia="en-AU"/>
              </w:rPr>
            </w:pPr>
          </w:p>
        </w:tc>
        <w:tc>
          <w:tcPr>
            <w:tcW w:w="1217" w:type="dxa"/>
            <w:vAlign w:val="center"/>
          </w:tcPr>
          <w:p w:rsidR="00F00F40" w:rsidRPr="00826D71" w:rsidRDefault="00F00F40" w:rsidP="0084372B">
            <w:pPr>
              <w:pStyle w:val="ListParagraph"/>
              <w:ind w:left="0"/>
              <w:jc w:val="center"/>
              <w:rPr>
                <w:rFonts w:ascii="Arial Narrow" w:hAnsi="Arial Narrow"/>
                <w:b/>
                <w:snapToGrid/>
                <w:sz w:val="20"/>
                <w:lang w:eastAsia="en-AU"/>
              </w:rPr>
            </w:pPr>
            <w:r w:rsidRPr="00826D71">
              <w:rPr>
                <w:rFonts w:ascii="Arial Narrow" w:hAnsi="Arial Narrow"/>
                <w:b/>
                <w:snapToGrid/>
                <w:sz w:val="20"/>
                <w:lang w:eastAsia="en-AU"/>
              </w:rPr>
              <w:t>Year 1</w:t>
            </w:r>
          </w:p>
        </w:tc>
        <w:tc>
          <w:tcPr>
            <w:tcW w:w="1218" w:type="dxa"/>
            <w:vAlign w:val="center"/>
          </w:tcPr>
          <w:p w:rsidR="00F00F40" w:rsidRPr="00826D71" w:rsidRDefault="00F00F40" w:rsidP="0084372B">
            <w:pPr>
              <w:pStyle w:val="ListParagraph"/>
              <w:ind w:left="0"/>
              <w:jc w:val="center"/>
              <w:rPr>
                <w:rFonts w:ascii="Arial Narrow" w:hAnsi="Arial Narrow"/>
                <w:b/>
                <w:snapToGrid/>
                <w:sz w:val="20"/>
                <w:lang w:eastAsia="en-AU"/>
              </w:rPr>
            </w:pPr>
            <w:r w:rsidRPr="00826D71">
              <w:rPr>
                <w:rFonts w:ascii="Arial Narrow" w:hAnsi="Arial Narrow"/>
                <w:b/>
                <w:snapToGrid/>
                <w:sz w:val="20"/>
                <w:lang w:eastAsia="en-AU"/>
              </w:rPr>
              <w:t>Year 2</w:t>
            </w:r>
          </w:p>
        </w:tc>
        <w:tc>
          <w:tcPr>
            <w:tcW w:w="1288" w:type="dxa"/>
            <w:vAlign w:val="center"/>
          </w:tcPr>
          <w:p w:rsidR="00F00F40" w:rsidRPr="00826D71" w:rsidRDefault="00F00F40" w:rsidP="0084372B">
            <w:pPr>
              <w:pStyle w:val="ListParagraph"/>
              <w:ind w:left="0"/>
              <w:jc w:val="center"/>
              <w:rPr>
                <w:rFonts w:ascii="Arial Narrow" w:hAnsi="Arial Narrow"/>
                <w:b/>
                <w:snapToGrid/>
                <w:sz w:val="20"/>
                <w:lang w:eastAsia="en-AU"/>
              </w:rPr>
            </w:pPr>
            <w:r w:rsidRPr="00826D71">
              <w:rPr>
                <w:rFonts w:ascii="Arial Narrow" w:hAnsi="Arial Narrow"/>
                <w:b/>
                <w:snapToGrid/>
                <w:sz w:val="20"/>
                <w:lang w:eastAsia="en-AU"/>
              </w:rPr>
              <w:t>Year 3</w:t>
            </w:r>
          </w:p>
        </w:tc>
        <w:tc>
          <w:tcPr>
            <w:tcW w:w="1288" w:type="dxa"/>
            <w:vAlign w:val="center"/>
          </w:tcPr>
          <w:p w:rsidR="00F00F40" w:rsidRPr="00826D71" w:rsidRDefault="00F00F40" w:rsidP="0084372B">
            <w:pPr>
              <w:pStyle w:val="ListParagraph"/>
              <w:ind w:left="0"/>
              <w:jc w:val="center"/>
              <w:rPr>
                <w:rFonts w:ascii="Arial Narrow" w:hAnsi="Arial Narrow"/>
                <w:b/>
                <w:snapToGrid/>
                <w:sz w:val="20"/>
                <w:lang w:eastAsia="en-AU"/>
              </w:rPr>
            </w:pPr>
            <w:r w:rsidRPr="00826D71">
              <w:rPr>
                <w:rFonts w:ascii="Arial Narrow" w:hAnsi="Arial Narrow"/>
                <w:b/>
                <w:snapToGrid/>
                <w:sz w:val="20"/>
                <w:lang w:eastAsia="en-AU"/>
              </w:rPr>
              <w:t>Year 4</w:t>
            </w:r>
          </w:p>
        </w:tc>
        <w:tc>
          <w:tcPr>
            <w:tcW w:w="1226" w:type="dxa"/>
            <w:vAlign w:val="center"/>
          </w:tcPr>
          <w:p w:rsidR="00F00F40" w:rsidRPr="00826D71" w:rsidRDefault="00F00F40" w:rsidP="0084372B">
            <w:pPr>
              <w:pStyle w:val="ListParagraph"/>
              <w:ind w:left="0"/>
              <w:jc w:val="center"/>
              <w:rPr>
                <w:rFonts w:ascii="Arial Narrow" w:hAnsi="Arial Narrow"/>
                <w:b/>
                <w:snapToGrid/>
                <w:sz w:val="20"/>
                <w:lang w:eastAsia="en-AU"/>
              </w:rPr>
            </w:pPr>
            <w:r w:rsidRPr="00826D71">
              <w:rPr>
                <w:rFonts w:ascii="Arial Narrow" w:hAnsi="Arial Narrow"/>
                <w:b/>
                <w:snapToGrid/>
                <w:sz w:val="20"/>
                <w:lang w:eastAsia="en-AU"/>
              </w:rPr>
              <w:t>Year 5</w:t>
            </w:r>
          </w:p>
        </w:tc>
      </w:tr>
      <w:tr w:rsidR="0060058E" w:rsidRPr="00826D71" w:rsidTr="00726F0C">
        <w:tc>
          <w:tcPr>
            <w:tcW w:w="2126" w:type="dxa"/>
          </w:tcPr>
          <w:p w:rsidR="0060058E" w:rsidRPr="00826D71" w:rsidRDefault="00E504CB" w:rsidP="005A2818">
            <w:pPr>
              <w:pStyle w:val="ListParagraph"/>
              <w:ind w:left="0"/>
              <w:jc w:val="left"/>
              <w:rPr>
                <w:rFonts w:ascii="Arial Narrow" w:hAnsi="Arial Narrow"/>
                <w:snapToGrid/>
                <w:sz w:val="20"/>
                <w:lang w:eastAsia="en-AU"/>
              </w:rPr>
            </w:pPr>
            <w:r w:rsidRPr="00826D71">
              <w:rPr>
                <w:rFonts w:ascii="Arial Narrow" w:hAnsi="Arial Narrow"/>
                <w:snapToGrid/>
                <w:sz w:val="20"/>
                <w:lang w:eastAsia="en-AU"/>
              </w:rPr>
              <w:t>Patients treated with omalizumab</w:t>
            </w:r>
          </w:p>
        </w:tc>
        <w:tc>
          <w:tcPr>
            <w:tcW w:w="1217" w:type="dxa"/>
            <w:vAlign w:val="center"/>
          </w:tcPr>
          <w:p w:rsidR="0060058E" w:rsidRPr="00455976" w:rsidRDefault="00455976" w:rsidP="0084372B">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18" w:type="dxa"/>
            <w:vAlign w:val="center"/>
          </w:tcPr>
          <w:p w:rsidR="0060058E" w:rsidRPr="00455976" w:rsidRDefault="00455976" w:rsidP="0084372B">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88" w:type="dxa"/>
            <w:vAlign w:val="center"/>
          </w:tcPr>
          <w:p w:rsidR="0060058E" w:rsidRPr="00455976" w:rsidRDefault="00455976" w:rsidP="0084372B">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88" w:type="dxa"/>
            <w:vAlign w:val="center"/>
          </w:tcPr>
          <w:p w:rsidR="0060058E" w:rsidRPr="00455976" w:rsidRDefault="00455976" w:rsidP="0084372B">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6" w:type="dxa"/>
            <w:vAlign w:val="center"/>
          </w:tcPr>
          <w:p w:rsidR="0060058E" w:rsidRPr="00455976" w:rsidRDefault="00455976" w:rsidP="0084372B">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1195E" w:rsidRPr="00826D71" w:rsidTr="00726F0C">
        <w:tc>
          <w:tcPr>
            <w:tcW w:w="2126" w:type="dxa"/>
          </w:tcPr>
          <w:p w:rsidR="0001195E" w:rsidRPr="00826D71" w:rsidRDefault="0001195E" w:rsidP="00E504CB">
            <w:pPr>
              <w:pStyle w:val="ListParagraph"/>
              <w:ind w:left="0"/>
              <w:jc w:val="left"/>
              <w:rPr>
                <w:rFonts w:ascii="Arial Narrow" w:hAnsi="Arial Narrow"/>
                <w:snapToGrid/>
                <w:sz w:val="20"/>
                <w:lang w:eastAsia="en-AU"/>
              </w:rPr>
            </w:pPr>
            <w:r w:rsidRPr="00826D71">
              <w:rPr>
                <w:rFonts w:ascii="Arial Narrow" w:hAnsi="Arial Narrow"/>
                <w:snapToGrid/>
                <w:sz w:val="20"/>
                <w:lang w:eastAsia="en-AU"/>
              </w:rPr>
              <w:t xml:space="preserve">Total </w:t>
            </w:r>
            <w:r w:rsidR="00E504CB" w:rsidRPr="00826D71">
              <w:rPr>
                <w:rFonts w:ascii="Arial Narrow" w:hAnsi="Arial Narrow"/>
                <w:snapToGrid/>
                <w:sz w:val="20"/>
                <w:lang w:eastAsia="en-AU"/>
              </w:rPr>
              <w:t>packs</w:t>
            </w:r>
            <w:r w:rsidRPr="00826D71">
              <w:rPr>
                <w:rFonts w:ascii="Arial Narrow" w:hAnsi="Arial Narrow"/>
                <w:snapToGrid/>
                <w:sz w:val="20"/>
                <w:lang w:eastAsia="en-AU"/>
              </w:rPr>
              <w:t xml:space="preserve"> </w:t>
            </w:r>
          </w:p>
        </w:tc>
        <w:tc>
          <w:tcPr>
            <w:tcW w:w="1217" w:type="dxa"/>
            <w:vAlign w:val="center"/>
          </w:tcPr>
          <w:p w:rsidR="0001195E" w:rsidRPr="00455976" w:rsidRDefault="00455976" w:rsidP="0084372B">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18" w:type="dxa"/>
            <w:vAlign w:val="center"/>
          </w:tcPr>
          <w:p w:rsidR="0001195E" w:rsidRPr="00455976" w:rsidRDefault="00455976" w:rsidP="0084372B">
            <w:pPr>
              <w:tabs>
                <w:tab w:val="left" w:pos="900"/>
              </w:tab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88" w:type="dxa"/>
            <w:vAlign w:val="center"/>
          </w:tcPr>
          <w:p w:rsidR="0001195E" w:rsidRPr="00455976" w:rsidRDefault="00455976" w:rsidP="0084372B">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88" w:type="dxa"/>
            <w:vAlign w:val="center"/>
          </w:tcPr>
          <w:p w:rsidR="0001195E" w:rsidRPr="00455976" w:rsidRDefault="00455976" w:rsidP="0084372B">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6" w:type="dxa"/>
            <w:vAlign w:val="center"/>
          </w:tcPr>
          <w:p w:rsidR="0001195E" w:rsidRPr="00455976" w:rsidRDefault="00455976" w:rsidP="0084372B">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1195E" w:rsidRPr="00826D71" w:rsidTr="00726F0C">
        <w:tc>
          <w:tcPr>
            <w:tcW w:w="2126" w:type="dxa"/>
          </w:tcPr>
          <w:p w:rsidR="0001195E" w:rsidRPr="00826D71" w:rsidRDefault="00E504CB" w:rsidP="005A2818">
            <w:pPr>
              <w:pStyle w:val="ListParagraph"/>
              <w:ind w:left="0"/>
              <w:jc w:val="left"/>
              <w:rPr>
                <w:rFonts w:ascii="Arial Narrow" w:hAnsi="Arial Narrow"/>
                <w:snapToGrid/>
                <w:sz w:val="20"/>
                <w:lang w:eastAsia="en-AU"/>
              </w:rPr>
            </w:pPr>
            <w:r w:rsidRPr="00826D71">
              <w:rPr>
                <w:rFonts w:ascii="Arial Narrow" w:hAnsi="Arial Narrow"/>
                <w:snapToGrid/>
                <w:sz w:val="20"/>
                <w:lang w:eastAsia="en-AU"/>
              </w:rPr>
              <w:t xml:space="preserve">Total cost to </w:t>
            </w:r>
            <w:proofErr w:type="spellStart"/>
            <w:r w:rsidRPr="00826D71">
              <w:rPr>
                <w:rFonts w:ascii="Arial Narrow" w:hAnsi="Arial Narrow"/>
                <w:snapToGrid/>
                <w:sz w:val="20"/>
                <w:lang w:eastAsia="en-AU"/>
              </w:rPr>
              <w:t>Govt</w:t>
            </w:r>
            <w:proofErr w:type="spellEnd"/>
          </w:p>
          <w:p w:rsidR="00E504CB" w:rsidRPr="00826D71" w:rsidRDefault="00E504CB" w:rsidP="00E504CB">
            <w:pPr>
              <w:pStyle w:val="ListParagraph"/>
              <w:ind w:left="0" w:right="-108"/>
              <w:jc w:val="left"/>
              <w:rPr>
                <w:rFonts w:ascii="Arial Narrow" w:hAnsi="Arial Narrow"/>
                <w:snapToGrid/>
                <w:sz w:val="20"/>
                <w:lang w:eastAsia="en-AU"/>
              </w:rPr>
            </w:pPr>
            <w:r w:rsidRPr="00826D71">
              <w:rPr>
                <w:rFonts w:ascii="Arial Narrow" w:hAnsi="Arial Narrow"/>
                <w:snapToGrid/>
                <w:sz w:val="20"/>
                <w:lang w:eastAsia="en-AU"/>
              </w:rPr>
              <w:t xml:space="preserve">(net </w:t>
            </w:r>
            <w:r w:rsidRPr="00826D71">
              <w:rPr>
                <w:rFonts w:ascii="Arial Narrow" w:hAnsi="Arial Narrow"/>
                <w:snapToGrid/>
                <w:sz w:val="20"/>
                <w:u w:val="single"/>
                <w:lang w:eastAsia="en-AU"/>
              </w:rPr>
              <w:t xml:space="preserve">effective </w:t>
            </w:r>
            <w:r w:rsidRPr="00826D71">
              <w:rPr>
                <w:rFonts w:ascii="Arial Narrow" w:hAnsi="Arial Narrow"/>
                <w:snapToGrid/>
                <w:sz w:val="20"/>
                <w:lang w:eastAsia="en-AU"/>
              </w:rPr>
              <w:t>DPMQ)</w:t>
            </w:r>
          </w:p>
        </w:tc>
        <w:tc>
          <w:tcPr>
            <w:tcW w:w="1217" w:type="dxa"/>
            <w:vAlign w:val="center"/>
          </w:tcPr>
          <w:p w:rsidR="0001195E"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18" w:type="dxa"/>
            <w:vAlign w:val="center"/>
          </w:tcPr>
          <w:p w:rsidR="0001195E"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88" w:type="dxa"/>
            <w:vAlign w:val="center"/>
          </w:tcPr>
          <w:p w:rsidR="0001195E"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88" w:type="dxa"/>
            <w:vAlign w:val="center"/>
          </w:tcPr>
          <w:p w:rsidR="0001195E"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26" w:type="dxa"/>
            <w:vAlign w:val="center"/>
          </w:tcPr>
          <w:p w:rsidR="0001195E"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r>
      <w:tr w:rsidR="0055069C" w:rsidRPr="00826D71" w:rsidTr="00726F0C">
        <w:trPr>
          <w:trHeight w:val="70"/>
        </w:trPr>
        <w:tc>
          <w:tcPr>
            <w:tcW w:w="2126" w:type="dxa"/>
          </w:tcPr>
          <w:p w:rsidR="0055069C" w:rsidRPr="00826D71" w:rsidRDefault="00E504CB" w:rsidP="00E504CB">
            <w:pPr>
              <w:autoSpaceDE w:val="0"/>
              <w:autoSpaceDN w:val="0"/>
              <w:adjustRightInd w:val="0"/>
              <w:rPr>
                <w:rFonts w:ascii="Arial Narrow" w:hAnsi="Arial Narrow" w:cs="Arial"/>
                <w:sz w:val="20"/>
                <w:szCs w:val="20"/>
              </w:rPr>
            </w:pPr>
            <w:r w:rsidRPr="00826D71">
              <w:rPr>
                <w:rFonts w:ascii="Arial Narrow" w:hAnsi="Arial Narrow" w:cs="Arial"/>
                <w:sz w:val="20"/>
                <w:szCs w:val="20"/>
              </w:rPr>
              <w:t>Reduction in cost of SOC drugs</w:t>
            </w:r>
          </w:p>
        </w:tc>
        <w:tc>
          <w:tcPr>
            <w:tcW w:w="1217" w:type="dxa"/>
            <w:vAlign w:val="center"/>
          </w:tcPr>
          <w:p w:rsidR="0055069C"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18" w:type="dxa"/>
            <w:vAlign w:val="center"/>
          </w:tcPr>
          <w:p w:rsidR="0055069C"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88" w:type="dxa"/>
            <w:vAlign w:val="center"/>
          </w:tcPr>
          <w:p w:rsidR="0055069C"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88" w:type="dxa"/>
            <w:vAlign w:val="center"/>
          </w:tcPr>
          <w:p w:rsidR="0055069C"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26" w:type="dxa"/>
            <w:vAlign w:val="center"/>
          </w:tcPr>
          <w:p w:rsidR="0055069C"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r>
      <w:tr w:rsidR="00097275" w:rsidRPr="00826D71" w:rsidTr="00726F0C">
        <w:tc>
          <w:tcPr>
            <w:tcW w:w="2126" w:type="dxa"/>
          </w:tcPr>
          <w:p w:rsidR="00097275" w:rsidRPr="00826D71" w:rsidRDefault="00E504CB" w:rsidP="00E504CB">
            <w:pPr>
              <w:autoSpaceDE w:val="0"/>
              <w:autoSpaceDN w:val="0"/>
              <w:adjustRightInd w:val="0"/>
              <w:rPr>
                <w:rFonts w:ascii="Arial Narrow" w:hAnsi="Arial Narrow" w:cs="Arial"/>
                <w:b/>
                <w:sz w:val="20"/>
                <w:szCs w:val="20"/>
              </w:rPr>
            </w:pPr>
            <w:r w:rsidRPr="00826D71">
              <w:rPr>
                <w:rFonts w:ascii="Arial Narrow" w:hAnsi="Arial Narrow" w:cs="Arial"/>
                <w:sz w:val="20"/>
                <w:szCs w:val="20"/>
              </w:rPr>
              <w:t xml:space="preserve">Reduction in cost of </w:t>
            </w:r>
            <w:r w:rsidR="00BF734C" w:rsidRPr="00826D71">
              <w:rPr>
                <w:rFonts w:ascii="Arial Narrow" w:hAnsi="Arial Narrow" w:cs="Arial"/>
                <w:sz w:val="20"/>
                <w:szCs w:val="20"/>
              </w:rPr>
              <w:t>cyclosporin</w:t>
            </w:r>
          </w:p>
        </w:tc>
        <w:tc>
          <w:tcPr>
            <w:tcW w:w="1217" w:type="dxa"/>
            <w:vAlign w:val="center"/>
          </w:tcPr>
          <w:p w:rsidR="00097275"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18" w:type="dxa"/>
            <w:vAlign w:val="center"/>
          </w:tcPr>
          <w:p w:rsidR="00097275"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88" w:type="dxa"/>
            <w:vAlign w:val="center"/>
          </w:tcPr>
          <w:p w:rsidR="00097275"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88" w:type="dxa"/>
            <w:vAlign w:val="center"/>
          </w:tcPr>
          <w:p w:rsidR="00097275"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26" w:type="dxa"/>
            <w:vAlign w:val="center"/>
          </w:tcPr>
          <w:p w:rsidR="00097275"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r>
      <w:tr w:rsidR="00CD04CC" w:rsidRPr="00826D71" w:rsidTr="00726F0C">
        <w:tc>
          <w:tcPr>
            <w:tcW w:w="2126" w:type="dxa"/>
          </w:tcPr>
          <w:p w:rsidR="00CD04CC" w:rsidRPr="00826D71" w:rsidRDefault="00E504CB" w:rsidP="00E504CB">
            <w:pPr>
              <w:autoSpaceDE w:val="0"/>
              <w:autoSpaceDN w:val="0"/>
              <w:adjustRightInd w:val="0"/>
              <w:rPr>
                <w:rFonts w:ascii="Arial Narrow" w:hAnsi="Arial Narrow" w:cs="Arial"/>
                <w:sz w:val="20"/>
                <w:szCs w:val="20"/>
              </w:rPr>
            </w:pPr>
            <w:r w:rsidRPr="00826D71">
              <w:rPr>
                <w:rFonts w:ascii="Arial Narrow" w:hAnsi="Arial Narrow" w:cs="Arial"/>
                <w:sz w:val="20"/>
                <w:szCs w:val="20"/>
              </w:rPr>
              <w:t>Total reduction in other drugs</w:t>
            </w:r>
          </w:p>
        </w:tc>
        <w:tc>
          <w:tcPr>
            <w:tcW w:w="1217" w:type="dxa"/>
            <w:vAlign w:val="center"/>
          </w:tcPr>
          <w:p w:rsidR="00CD04CC"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18" w:type="dxa"/>
            <w:vAlign w:val="center"/>
          </w:tcPr>
          <w:p w:rsidR="00CD04CC"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88" w:type="dxa"/>
            <w:vAlign w:val="center"/>
          </w:tcPr>
          <w:p w:rsidR="00CD04CC"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88" w:type="dxa"/>
            <w:vAlign w:val="center"/>
          </w:tcPr>
          <w:p w:rsidR="00CD04CC"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26" w:type="dxa"/>
            <w:vAlign w:val="center"/>
          </w:tcPr>
          <w:p w:rsidR="00CD04CC"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r>
      <w:tr w:rsidR="001F32F2" w:rsidRPr="00826D71" w:rsidTr="00726F0C">
        <w:tc>
          <w:tcPr>
            <w:tcW w:w="2126" w:type="dxa"/>
          </w:tcPr>
          <w:p w:rsidR="00E504CB" w:rsidRPr="00826D71" w:rsidRDefault="00E504CB" w:rsidP="00E504CB">
            <w:pPr>
              <w:autoSpaceDE w:val="0"/>
              <w:autoSpaceDN w:val="0"/>
              <w:adjustRightInd w:val="0"/>
              <w:rPr>
                <w:rFonts w:ascii="Arial Narrow" w:hAnsi="Arial Narrow" w:cs="Arial"/>
                <w:sz w:val="20"/>
                <w:szCs w:val="20"/>
              </w:rPr>
            </w:pPr>
            <w:r w:rsidRPr="00826D71">
              <w:rPr>
                <w:rFonts w:ascii="Arial Narrow" w:hAnsi="Arial Narrow" w:cs="Arial"/>
                <w:sz w:val="20"/>
                <w:szCs w:val="20"/>
              </w:rPr>
              <w:t>Reduction in monitoring costs</w:t>
            </w:r>
          </w:p>
          <w:p w:rsidR="001F32F2" w:rsidRPr="00826D71" w:rsidRDefault="00E504CB" w:rsidP="00E504CB">
            <w:pPr>
              <w:pStyle w:val="ListParagraph"/>
              <w:ind w:left="0"/>
              <w:jc w:val="left"/>
              <w:rPr>
                <w:rFonts w:ascii="Arial Narrow" w:hAnsi="Arial Narrow"/>
                <w:b/>
                <w:snapToGrid/>
                <w:sz w:val="20"/>
                <w:lang w:eastAsia="en-AU"/>
              </w:rPr>
            </w:pPr>
            <w:r w:rsidRPr="00826D71">
              <w:rPr>
                <w:rFonts w:ascii="Arial Narrow" w:hAnsi="Arial Narrow"/>
                <w:sz w:val="20"/>
              </w:rPr>
              <w:t>(cyclosporin patients)</w:t>
            </w:r>
          </w:p>
        </w:tc>
        <w:tc>
          <w:tcPr>
            <w:tcW w:w="1217" w:type="dxa"/>
            <w:vAlign w:val="center"/>
          </w:tcPr>
          <w:p w:rsidR="001F32F2"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18" w:type="dxa"/>
            <w:vAlign w:val="center"/>
          </w:tcPr>
          <w:p w:rsidR="001F32F2"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88" w:type="dxa"/>
            <w:vAlign w:val="center"/>
          </w:tcPr>
          <w:p w:rsidR="001F32F2"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88" w:type="dxa"/>
            <w:vAlign w:val="center"/>
          </w:tcPr>
          <w:p w:rsidR="001F32F2"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c>
          <w:tcPr>
            <w:tcW w:w="1226" w:type="dxa"/>
            <w:vAlign w:val="center"/>
          </w:tcPr>
          <w:p w:rsidR="001F32F2" w:rsidRPr="00826D71" w:rsidRDefault="00E504CB" w:rsidP="0084372B">
            <w:pPr>
              <w:jc w:val="center"/>
              <w:rPr>
                <w:rFonts w:ascii="Arial Narrow" w:hAnsi="Arial Narrow" w:cs="Arial"/>
                <w:sz w:val="20"/>
                <w:szCs w:val="20"/>
              </w:rPr>
            </w:pPr>
            <w:r w:rsidRPr="00826D71">
              <w:rPr>
                <w:rFonts w:ascii="Arial Narrow" w:hAnsi="Arial Narrow" w:cs="Arial"/>
                <w:sz w:val="20"/>
                <w:szCs w:val="20"/>
              </w:rPr>
              <w:t>$</w:t>
            </w:r>
            <w:r w:rsidR="00455976">
              <w:rPr>
                <w:rFonts w:ascii="Arial Narrow" w:hAnsi="Arial Narrow" w:cs="Arial"/>
                <w:noProof/>
                <w:color w:val="000000"/>
                <w:sz w:val="20"/>
                <w:szCs w:val="20"/>
                <w:highlight w:val="black"/>
              </w:rPr>
              <w:t>''''''''''''''''''''</w:t>
            </w:r>
          </w:p>
        </w:tc>
      </w:tr>
      <w:tr w:rsidR="00F00F40" w:rsidRPr="00826D71" w:rsidTr="00726F0C">
        <w:tc>
          <w:tcPr>
            <w:tcW w:w="2126" w:type="dxa"/>
          </w:tcPr>
          <w:p w:rsidR="00F00F40" w:rsidRPr="00826D71" w:rsidRDefault="00E504CB" w:rsidP="005A2818">
            <w:pPr>
              <w:pStyle w:val="ListParagraph"/>
              <w:ind w:left="0"/>
              <w:jc w:val="left"/>
              <w:rPr>
                <w:rFonts w:ascii="Arial Narrow" w:hAnsi="Arial Narrow"/>
                <w:b/>
                <w:snapToGrid/>
                <w:sz w:val="20"/>
                <w:u w:val="single"/>
                <w:lang w:eastAsia="en-AU"/>
              </w:rPr>
            </w:pPr>
            <w:r w:rsidRPr="00826D71">
              <w:rPr>
                <w:rFonts w:ascii="Arial Narrow" w:hAnsi="Arial Narrow"/>
                <w:b/>
                <w:bCs/>
                <w:sz w:val="20"/>
              </w:rPr>
              <w:t xml:space="preserve">Net cost to </w:t>
            </w:r>
            <w:proofErr w:type="spellStart"/>
            <w:r w:rsidRPr="00826D71">
              <w:rPr>
                <w:rFonts w:ascii="Arial Narrow" w:hAnsi="Arial Narrow"/>
                <w:b/>
                <w:bCs/>
                <w:sz w:val="20"/>
              </w:rPr>
              <w:t>Govt</w:t>
            </w:r>
            <w:proofErr w:type="spellEnd"/>
          </w:p>
        </w:tc>
        <w:tc>
          <w:tcPr>
            <w:tcW w:w="1217" w:type="dxa"/>
            <w:vAlign w:val="center"/>
          </w:tcPr>
          <w:p w:rsidR="00F00F40" w:rsidRPr="00826D71" w:rsidRDefault="00E504CB" w:rsidP="0084372B">
            <w:pPr>
              <w:pStyle w:val="ListParagraph"/>
              <w:ind w:left="0"/>
              <w:jc w:val="center"/>
              <w:rPr>
                <w:rFonts w:ascii="Arial Narrow" w:hAnsi="Arial Narrow"/>
                <w:snapToGrid/>
                <w:sz w:val="20"/>
                <w:lang w:eastAsia="en-AU"/>
              </w:rPr>
            </w:pPr>
            <w:r w:rsidRPr="00826D71">
              <w:rPr>
                <w:rFonts w:ascii="Arial Narrow" w:hAnsi="Arial Narrow"/>
                <w:b/>
                <w:bCs/>
                <w:sz w:val="20"/>
              </w:rPr>
              <w:t>$</w:t>
            </w:r>
            <w:r w:rsidR="00455976">
              <w:rPr>
                <w:rFonts w:ascii="Arial Narrow" w:hAnsi="Arial Narrow"/>
                <w:b/>
                <w:bCs/>
                <w:noProof/>
                <w:color w:val="000000"/>
                <w:sz w:val="20"/>
                <w:highlight w:val="black"/>
              </w:rPr>
              <w:t>'''''''''''''''''</w:t>
            </w:r>
          </w:p>
        </w:tc>
        <w:tc>
          <w:tcPr>
            <w:tcW w:w="1218" w:type="dxa"/>
            <w:vAlign w:val="center"/>
          </w:tcPr>
          <w:p w:rsidR="00F00F40" w:rsidRPr="00826D71" w:rsidRDefault="00E504CB" w:rsidP="0084372B">
            <w:pPr>
              <w:pStyle w:val="ListParagraph"/>
              <w:ind w:left="0"/>
              <w:jc w:val="center"/>
              <w:rPr>
                <w:rFonts w:ascii="Arial Narrow" w:hAnsi="Arial Narrow"/>
                <w:snapToGrid/>
                <w:sz w:val="20"/>
                <w:lang w:eastAsia="en-AU"/>
              </w:rPr>
            </w:pPr>
            <w:r w:rsidRPr="00826D71">
              <w:rPr>
                <w:rFonts w:ascii="Arial Narrow" w:hAnsi="Arial Narrow"/>
                <w:b/>
                <w:bCs/>
                <w:sz w:val="20"/>
              </w:rPr>
              <w:t>$</w:t>
            </w:r>
            <w:r w:rsidR="00455976">
              <w:rPr>
                <w:rFonts w:ascii="Arial Narrow" w:hAnsi="Arial Narrow"/>
                <w:b/>
                <w:bCs/>
                <w:noProof/>
                <w:color w:val="000000"/>
                <w:sz w:val="20"/>
                <w:highlight w:val="black"/>
              </w:rPr>
              <w:t>''''''''''''''''</w:t>
            </w:r>
          </w:p>
        </w:tc>
        <w:tc>
          <w:tcPr>
            <w:tcW w:w="1288" w:type="dxa"/>
            <w:vAlign w:val="center"/>
          </w:tcPr>
          <w:p w:rsidR="00F00F40" w:rsidRPr="00826D71" w:rsidRDefault="00E504CB" w:rsidP="0084372B">
            <w:pPr>
              <w:pStyle w:val="ListParagraph"/>
              <w:ind w:left="0"/>
              <w:jc w:val="center"/>
              <w:rPr>
                <w:rFonts w:ascii="Arial Narrow" w:hAnsi="Arial Narrow"/>
                <w:snapToGrid/>
                <w:sz w:val="20"/>
                <w:lang w:eastAsia="en-AU"/>
              </w:rPr>
            </w:pPr>
            <w:r w:rsidRPr="00826D71">
              <w:rPr>
                <w:rFonts w:ascii="Arial Narrow" w:hAnsi="Arial Narrow"/>
                <w:b/>
                <w:bCs/>
                <w:sz w:val="20"/>
              </w:rPr>
              <w:t>$</w:t>
            </w:r>
            <w:r w:rsidR="00455976">
              <w:rPr>
                <w:rFonts w:ascii="Arial Narrow" w:hAnsi="Arial Narrow"/>
                <w:b/>
                <w:bCs/>
                <w:noProof/>
                <w:color w:val="000000"/>
                <w:sz w:val="20"/>
                <w:highlight w:val="black"/>
              </w:rPr>
              <w:t>''''''''''''''''</w:t>
            </w:r>
          </w:p>
        </w:tc>
        <w:tc>
          <w:tcPr>
            <w:tcW w:w="1288" w:type="dxa"/>
            <w:vAlign w:val="center"/>
          </w:tcPr>
          <w:p w:rsidR="00F00F40" w:rsidRPr="00826D71" w:rsidRDefault="00E504CB" w:rsidP="0084372B">
            <w:pPr>
              <w:pStyle w:val="ListParagraph"/>
              <w:ind w:left="0"/>
              <w:jc w:val="center"/>
              <w:rPr>
                <w:rFonts w:ascii="Arial Narrow" w:hAnsi="Arial Narrow"/>
                <w:snapToGrid/>
                <w:sz w:val="20"/>
                <w:lang w:eastAsia="en-AU"/>
              </w:rPr>
            </w:pPr>
            <w:r w:rsidRPr="00826D71">
              <w:rPr>
                <w:rFonts w:ascii="Arial Narrow" w:hAnsi="Arial Narrow"/>
                <w:b/>
                <w:bCs/>
                <w:sz w:val="20"/>
              </w:rPr>
              <w:t>$</w:t>
            </w:r>
            <w:r w:rsidR="00455976">
              <w:rPr>
                <w:rFonts w:ascii="Arial Narrow" w:hAnsi="Arial Narrow"/>
                <w:b/>
                <w:bCs/>
                <w:noProof/>
                <w:color w:val="000000"/>
                <w:sz w:val="20"/>
                <w:highlight w:val="black"/>
              </w:rPr>
              <w:t>''''''''''''''''''</w:t>
            </w:r>
          </w:p>
        </w:tc>
        <w:tc>
          <w:tcPr>
            <w:tcW w:w="1226" w:type="dxa"/>
            <w:vAlign w:val="center"/>
          </w:tcPr>
          <w:p w:rsidR="00F00F40" w:rsidRPr="00826D71" w:rsidRDefault="00E504CB" w:rsidP="0084372B">
            <w:pPr>
              <w:pStyle w:val="ListParagraph"/>
              <w:ind w:left="0"/>
              <w:jc w:val="center"/>
              <w:rPr>
                <w:rFonts w:ascii="Arial Narrow" w:hAnsi="Arial Narrow"/>
                <w:snapToGrid/>
                <w:sz w:val="20"/>
                <w:lang w:eastAsia="en-AU"/>
              </w:rPr>
            </w:pPr>
            <w:r w:rsidRPr="00826D71">
              <w:rPr>
                <w:rFonts w:ascii="Arial Narrow" w:hAnsi="Arial Narrow"/>
                <w:b/>
                <w:bCs/>
                <w:sz w:val="20"/>
              </w:rPr>
              <w:t>$</w:t>
            </w:r>
            <w:r w:rsidR="00455976">
              <w:rPr>
                <w:rFonts w:ascii="Arial Narrow" w:hAnsi="Arial Narrow"/>
                <w:b/>
                <w:bCs/>
                <w:noProof/>
                <w:color w:val="000000"/>
                <w:sz w:val="20"/>
                <w:highlight w:val="black"/>
              </w:rPr>
              <w:t>'''''''''''''''''''''</w:t>
            </w:r>
          </w:p>
        </w:tc>
      </w:tr>
    </w:tbl>
    <w:p w:rsidR="003D0963" w:rsidRPr="00826D71" w:rsidRDefault="007E70AA" w:rsidP="00433551">
      <w:pPr>
        <w:pStyle w:val="ListParagraph"/>
        <w:rPr>
          <w:rFonts w:ascii="Arial Narrow" w:hAnsi="Arial Narrow" w:cs="Times New Roman"/>
          <w:snapToGrid/>
          <w:sz w:val="18"/>
          <w:lang w:eastAsia="en-AU"/>
        </w:rPr>
      </w:pPr>
      <w:r w:rsidRPr="00826D71">
        <w:rPr>
          <w:rFonts w:ascii="Arial Narrow" w:hAnsi="Arial Narrow" w:cs="Times New Roman"/>
          <w:snapToGrid/>
          <w:sz w:val="18"/>
          <w:lang w:eastAsia="en-AU"/>
        </w:rPr>
        <w:t xml:space="preserve">Source: </w:t>
      </w:r>
      <w:r w:rsidR="007F26B3" w:rsidRPr="00826D71">
        <w:rPr>
          <w:rFonts w:ascii="Arial Narrow" w:hAnsi="Arial Narrow" w:cs="Times New Roman"/>
          <w:snapToGrid/>
          <w:sz w:val="18"/>
          <w:lang w:eastAsia="en-AU"/>
        </w:rPr>
        <w:t>Table 4, p</w:t>
      </w:r>
      <w:r w:rsidR="00865CF5" w:rsidRPr="00826D71">
        <w:rPr>
          <w:rFonts w:ascii="Arial Narrow" w:hAnsi="Arial Narrow" w:cs="Times New Roman"/>
          <w:snapToGrid/>
          <w:sz w:val="18"/>
          <w:lang w:eastAsia="en-AU"/>
        </w:rPr>
        <w:t xml:space="preserve">age </w:t>
      </w:r>
      <w:r w:rsidR="00E504CB" w:rsidRPr="00826D71">
        <w:rPr>
          <w:rFonts w:ascii="Arial Narrow" w:hAnsi="Arial Narrow" w:cs="Times New Roman"/>
          <w:snapToGrid/>
          <w:sz w:val="18"/>
          <w:lang w:eastAsia="en-AU"/>
        </w:rPr>
        <w:t xml:space="preserve">20 of the minor resubmission </w:t>
      </w:r>
    </w:p>
    <w:p w:rsidR="00BB7EC3" w:rsidRPr="00826D71" w:rsidRDefault="00BB7EC3" w:rsidP="00C00DA7">
      <w:pPr>
        <w:jc w:val="both"/>
        <w:rPr>
          <w:rFonts w:ascii="Arial" w:hAnsi="Arial"/>
          <w:sz w:val="22"/>
          <w:szCs w:val="22"/>
          <w:highlight w:val="yellow"/>
        </w:rPr>
      </w:pPr>
    </w:p>
    <w:p w:rsidR="00726F0C" w:rsidRDefault="00726F0C">
      <w:pPr>
        <w:rPr>
          <w:rFonts w:ascii="Arial" w:hAnsi="Arial" w:cs="Arial"/>
          <w:b/>
          <w:i/>
          <w:snapToGrid w:val="0"/>
          <w:sz w:val="22"/>
          <w:szCs w:val="20"/>
          <w:lang w:eastAsia="en-US"/>
        </w:rPr>
      </w:pPr>
      <w:bookmarkStart w:id="1" w:name="_Toc392858203"/>
      <w:r>
        <w:rPr>
          <w:rFonts w:ascii="Arial" w:hAnsi="Arial" w:cs="Arial"/>
          <w:b/>
          <w:i/>
          <w:snapToGrid w:val="0"/>
          <w:sz w:val="22"/>
          <w:szCs w:val="20"/>
          <w:lang w:eastAsia="en-US"/>
        </w:rPr>
        <w:br w:type="page"/>
      </w:r>
    </w:p>
    <w:p w:rsidR="006D2090" w:rsidRPr="00826D71" w:rsidRDefault="006D2090" w:rsidP="006D2090">
      <w:pPr>
        <w:keepNext/>
        <w:keepLines/>
        <w:widowControl w:val="0"/>
        <w:jc w:val="both"/>
        <w:outlineLvl w:val="1"/>
        <w:rPr>
          <w:rFonts w:ascii="Arial" w:hAnsi="Arial" w:cs="Arial"/>
          <w:b/>
          <w:snapToGrid w:val="0"/>
          <w:sz w:val="22"/>
          <w:szCs w:val="22"/>
          <w:lang w:eastAsia="en-US"/>
        </w:rPr>
      </w:pPr>
      <w:r w:rsidRPr="00826D71">
        <w:rPr>
          <w:rFonts w:ascii="Arial" w:hAnsi="Arial" w:cs="Arial"/>
          <w:b/>
          <w:i/>
          <w:snapToGrid w:val="0"/>
          <w:sz w:val="22"/>
          <w:szCs w:val="20"/>
          <w:lang w:eastAsia="en-US"/>
        </w:rPr>
        <w:lastRenderedPageBreak/>
        <w:t>Financial Management – Risk Sharing Arrangements</w:t>
      </w:r>
      <w:bookmarkEnd w:id="1"/>
    </w:p>
    <w:p w:rsidR="006D2090" w:rsidRPr="00826D71" w:rsidRDefault="006D2090">
      <w:pPr>
        <w:rPr>
          <w:rFonts w:ascii="Arial" w:hAnsi="Arial"/>
          <w:sz w:val="22"/>
          <w:szCs w:val="22"/>
        </w:rPr>
      </w:pPr>
    </w:p>
    <w:p w:rsidR="00A26507" w:rsidRPr="00826D71" w:rsidRDefault="006D2090" w:rsidP="006D2090">
      <w:pPr>
        <w:pStyle w:val="ListParagraph"/>
        <w:numPr>
          <w:ilvl w:val="1"/>
          <w:numId w:val="5"/>
        </w:numPr>
        <w:rPr>
          <w:szCs w:val="22"/>
        </w:rPr>
      </w:pPr>
      <w:r w:rsidRPr="00826D71">
        <w:rPr>
          <w:szCs w:val="22"/>
        </w:rPr>
        <w:t>At the November 2015 meeting, the PBAC considered that there was a risk of use outside the requested restriction (particularly in milder disease and earlier line treatment)</w:t>
      </w:r>
      <w:r w:rsidR="00A26507" w:rsidRPr="00826D71">
        <w:rPr>
          <w:szCs w:val="22"/>
        </w:rPr>
        <w:t>.</w:t>
      </w:r>
      <w:r w:rsidR="00427C31" w:rsidRPr="00826D71">
        <w:rPr>
          <w:szCs w:val="22"/>
        </w:rPr>
        <w:t xml:space="preserve"> </w:t>
      </w:r>
      <w:r w:rsidR="00A26507" w:rsidRPr="00826D71">
        <w:rPr>
          <w:szCs w:val="22"/>
        </w:rPr>
        <w:t>The PBAC considered</w:t>
      </w:r>
      <w:r w:rsidRPr="00826D71">
        <w:rPr>
          <w:szCs w:val="22"/>
        </w:rPr>
        <w:t xml:space="preserve"> that a </w:t>
      </w:r>
      <w:r w:rsidR="00826D71">
        <w:rPr>
          <w:szCs w:val="22"/>
        </w:rPr>
        <w:t>R</w:t>
      </w:r>
      <w:r w:rsidR="00826D71" w:rsidRPr="00826D71">
        <w:rPr>
          <w:szCs w:val="22"/>
        </w:rPr>
        <w:t xml:space="preserve">isk </w:t>
      </w:r>
      <w:r w:rsidR="00826D71">
        <w:rPr>
          <w:szCs w:val="22"/>
        </w:rPr>
        <w:t>S</w:t>
      </w:r>
      <w:r w:rsidR="00826D71" w:rsidRPr="00826D71">
        <w:rPr>
          <w:szCs w:val="22"/>
        </w:rPr>
        <w:t xml:space="preserve">hare </w:t>
      </w:r>
      <w:r w:rsidR="00826D71">
        <w:rPr>
          <w:szCs w:val="22"/>
        </w:rPr>
        <w:t>A</w:t>
      </w:r>
      <w:r w:rsidR="00826D71" w:rsidRPr="00826D71">
        <w:rPr>
          <w:szCs w:val="22"/>
        </w:rPr>
        <w:t xml:space="preserve">rrangement </w:t>
      </w:r>
      <w:r w:rsidRPr="00826D71">
        <w:rPr>
          <w:szCs w:val="22"/>
        </w:rPr>
        <w:t>would be appropriate</w:t>
      </w:r>
      <w:r w:rsidR="00A26507" w:rsidRPr="00826D71">
        <w:rPr>
          <w:szCs w:val="22"/>
        </w:rPr>
        <w:t xml:space="preserve"> based on the revised DUSC estimates to address any potential leakage and manage financial implications </w:t>
      </w:r>
      <w:r w:rsidR="00CA5CA0">
        <w:rPr>
          <w:szCs w:val="22"/>
        </w:rPr>
        <w:t>for use beyond the restriction.</w:t>
      </w:r>
    </w:p>
    <w:p w:rsidR="00A26507" w:rsidRPr="00826D71" w:rsidRDefault="00A26507" w:rsidP="00A26507">
      <w:pPr>
        <w:pStyle w:val="ListParagraph"/>
        <w:rPr>
          <w:szCs w:val="22"/>
        </w:rPr>
      </w:pPr>
    </w:p>
    <w:p w:rsidR="00A26507" w:rsidRPr="00826D71" w:rsidRDefault="00A26507" w:rsidP="002A4303">
      <w:pPr>
        <w:pStyle w:val="ListParagraph"/>
        <w:numPr>
          <w:ilvl w:val="1"/>
          <w:numId w:val="5"/>
        </w:numPr>
        <w:rPr>
          <w:szCs w:val="22"/>
        </w:rPr>
      </w:pPr>
      <w:r w:rsidRPr="00826D71">
        <w:rPr>
          <w:szCs w:val="22"/>
        </w:rPr>
        <w:t>The minor submission stated that the sponsor will work with the Department to ensure that these recommendations are implemented in a timely and effective manner.</w:t>
      </w:r>
    </w:p>
    <w:p w:rsidR="009E13A1" w:rsidRDefault="009E13A1" w:rsidP="009E13A1"/>
    <w:p w:rsidR="00726F0C" w:rsidRPr="00826D71" w:rsidRDefault="00726F0C" w:rsidP="009E13A1"/>
    <w:p w:rsidR="009E13A1" w:rsidRPr="00826D71" w:rsidRDefault="009E13A1" w:rsidP="009E13A1">
      <w:pPr>
        <w:pStyle w:val="PBACHeading1"/>
      </w:pPr>
      <w:r w:rsidRPr="00826D71">
        <w:t xml:space="preserve">PBAC Outcome </w:t>
      </w:r>
    </w:p>
    <w:p w:rsidR="00577249" w:rsidRPr="00826D71" w:rsidRDefault="00577249" w:rsidP="00577249">
      <w:pPr>
        <w:widowControl w:val="0"/>
        <w:ind w:left="720"/>
        <w:contextualSpacing/>
        <w:jc w:val="both"/>
        <w:rPr>
          <w:rFonts w:ascii="Arial" w:hAnsi="Arial" w:cs="Arial"/>
          <w:bCs/>
          <w:snapToGrid w:val="0"/>
          <w:sz w:val="22"/>
          <w:szCs w:val="22"/>
          <w:highlight w:val="yellow"/>
          <w:lang w:eastAsia="en-US"/>
        </w:rPr>
      </w:pPr>
    </w:p>
    <w:p w:rsidR="00BD0806" w:rsidRPr="00826D71" w:rsidRDefault="00577249" w:rsidP="00BD0806">
      <w:pPr>
        <w:widowControl w:val="0"/>
        <w:numPr>
          <w:ilvl w:val="1"/>
          <w:numId w:val="5"/>
        </w:numPr>
        <w:spacing w:after="120"/>
        <w:contextualSpacing/>
        <w:jc w:val="both"/>
        <w:rPr>
          <w:rFonts w:ascii="Arial" w:hAnsi="Arial" w:cs="Arial"/>
          <w:bCs/>
          <w:snapToGrid w:val="0"/>
          <w:sz w:val="22"/>
          <w:szCs w:val="22"/>
          <w:lang w:eastAsia="en-US"/>
        </w:rPr>
      </w:pPr>
      <w:r w:rsidRPr="00826D71">
        <w:rPr>
          <w:rFonts w:ascii="Arial" w:hAnsi="Arial" w:cs="Arial"/>
          <w:bCs/>
          <w:snapToGrid w:val="0"/>
          <w:sz w:val="22"/>
          <w:szCs w:val="22"/>
          <w:lang w:eastAsia="en-US"/>
        </w:rPr>
        <w:t>The PBAC recommended</w:t>
      </w:r>
      <w:r w:rsidR="001D64B1" w:rsidRPr="00826D71">
        <w:rPr>
          <w:rFonts w:ascii="Arial" w:hAnsi="Arial" w:cs="Arial"/>
          <w:bCs/>
          <w:snapToGrid w:val="0"/>
          <w:sz w:val="22"/>
          <w:szCs w:val="22"/>
          <w:lang w:eastAsia="en-US"/>
        </w:rPr>
        <w:t xml:space="preserve"> </w:t>
      </w:r>
      <w:r w:rsidR="00EB0383" w:rsidRPr="00826D71">
        <w:rPr>
          <w:rFonts w:ascii="Arial" w:hAnsi="Arial" w:cs="Arial"/>
          <w:bCs/>
          <w:snapToGrid w:val="0"/>
          <w:sz w:val="22"/>
          <w:szCs w:val="22"/>
          <w:lang w:eastAsia="en-US"/>
        </w:rPr>
        <w:t xml:space="preserve">that </w:t>
      </w:r>
      <w:r w:rsidR="001D64B1" w:rsidRPr="00826D71">
        <w:rPr>
          <w:rFonts w:ascii="Arial" w:hAnsi="Arial" w:cs="Arial"/>
          <w:bCs/>
          <w:snapToGrid w:val="0"/>
          <w:sz w:val="22"/>
          <w:szCs w:val="22"/>
          <w:lang w:eastAsia="en-US"/>
        </w:rPr>
        <w:t xml:space="preserve">the equi-effective doses </w:t>
      </w:r>
      <w:r w:rsidR="00EB0383" w:rsidRPr="00826D71">
        <w:rPr>
          <w:rFonts w:ascii="Arial" w:hAnsi="Arial" w:cs="Arial"/>
          <w:bCs/>
          <w:snapToGrid w:val="0"/>
          <w:sz w:val="22"/>
          <w:szCs w:val="22"/>
          <w:lang w:eastAsia="en-US"/>
        </w:rPr>
        <w:t>are</w:t>
      </w:r>
      <w:r w:rsidR="001D64B1" w:rsidRPr="00826D71">
        <w:rPr>
          <w:rFonts w:ascii="Arial" w:hAnsi="Arial" w:cs="Arial"/>
          <w:bCs/>
          <w:snapToGrid w:val="0"/>
          <w:sz w:val="22"/>
          <w:szCs w:val="22"/>
          <w:lang w:eastAsia="en-US"/>
        </w:rPr>
        <w:t xml:space="preserve"> omalizumab 300 mg and cyclosporin 4 mg/kg</w:t>
      </w:r>
      <w:r w:rsidR="00EB0383" w:rsidRPr="00826D71">
        <w:rPr>
          <w:rFonts w:ascii="Arial" w:hAnsi="Arial" w:cs="Arial"/>
          <w:bCs/>
          <w:snapToGrid w:val="0"/>
          <w:sz w:val="22"/>
          <w:szCs w:val="22"/>
          <w:lang w:eastAsia="en-US"/>
        </w:rPr>
        <w:t>,</w:t>
      </w:r>
      <w:r w:rsidR="00896C90" w:rsidRPr="00826D71">
        <w:rPr>
          <w:rFonts w:ascii="Arial" w:hAnsi="Arial" w:cs="Arial"/>
          <w:bCs/>
          <w:snapToGrid w:val="0"/>
          <w:sz w:val="22"/>
          <w:szCs w:val="22"/>
          <w:lang w:eastAsia="en-US"/>
        </w:rPr>
        <w:t xml:space="preserve"> based on the un</w:t>
      </w:r>
      <w:r w:rsidR="00364347" w:rsidRPr="00826D71">
        <w:rPr>
          <w:rFonts w:ascii="Arial" w:hAnsi="Arial" w:cs="Arial"/>
          <w:bCs/>
          <w:snapToGrid w:val="0"/>
          <w:sz w:val="22"/>
          <w:szCs w:val="22"/>
          <w:lang w:eastAsia="en-US"/>
        </w:rPr>
        <w:t>-</w:t>
      </w:r>
      <w:r w:rsidR="00896C90" w:rsidRPr="00826D71">
        <w:rPr>
          <w:rFonts w:ascii="Arial" w:hAnsi="Arial" w:cs="Arial"/>
          <w:bCs/>
          <w:snapToGrid w:val="0"/>
          <w:sz w:val="22"/>
          <w:szCs w:val="22"/>
          <w:lang w:eastAsia="en-US"/>
        </w:rPr>
        <w:t>titrated trial doses for both drugs</w:t>
      </w:r>
      <w:r w:rsidR="00EB0383" w:rsidRPr="00826D71">
        <w:rPr>
          <w:rFonts w:ascii="Arial" w:hAnsi="Arial" w:cs="Arial"/>
          <w:bCs/>
          <w:snapToGrid w:val="0"/>
          <w:sz w:val="22"/>
          <w:szCs w:val="22"/>
          <w:lang w:eastAsia="en-US"/>
        </w:rPr>
        <w:t>.</w:t>
      </w:r>
    </w:p>
    <w:p w:rsidR="00935EF0" w:rsidRPr="00826D71" w:rsidRDefault="00935EF0" w:rsidP="00EB0383">
      <w:pPr>
        <w:widowControl w:val="0"/>
        <w:spacing w:after="120"/>
        <w:ind w:left="720"/>
        <w:contextualSpacing/>
        <w:jc w:val="both"/>
        <w:rPr>
          <w:rFonts w:ascii="Arial" w:hAnsi="Arial" w:cs="Arial"/>
          <w:bCs/>
          <w:snapToGrid w:val="0"/>
          <w:sz w:val="22"/>
          <w:szCs w:val="22"/>
          <w:lang w:eastAsia="en-US"/>
        </w:rPr>
      </w:pPr>
    </w:p>
    <w:p w:rsidR="00501958" w:rsidRPr="00826D71" w:rsidRDefault="00501958" w:rsidP="00501958">
      <w:pPr>
        <w:widowControl w:val="0"/>
        <w:numPr>
          <w:ilvl w:val="1"/>
          <w:numId w:val="5"/>
        </w:numPr>
        <w:spacing w:after="120"/>
        <w:contextualSpacing/>
        <w:jc w:val="both"/>
        <w:rPr>
          <w:rFonts w:ascii="Arial" w:hAnsi="Arial" w:cs="Arial"/>
          <w:bCs/>
          <w:snapToGrid w:val="0"/>
          <w:sz w:val="22"/>
          <w:szCs w:val="22"/>
          <w:lang w:eastAsia="en-US"/>
        </w:rPr>
      </w:pPr>
      <w:r w:rsidRPr="00826D71">
        <w:rPr>
          <w:rFonts w:ascii="Arial" w:hAnsi="Arial" w:cs="Arial"/>
          <w:bCs/>
          <w:snapToGrid w:val="0"/>
          <w:sz w:val="22"/>
          <w:szCs w:val="22"/>
          <w:lang w:eastAsia="en-US"/>
        </w:rPr>
        <w:t xml:space="preserve">The PBAC recalled from the November 2015 </w:t>
      </w:r>
      <w:r w:rsidR="00726F0C">
        <w:rPr>
          <w:rFonts w:ascii="Arial" w:hAnsi="Arial" w:cs="Arial"/>
          <w:bCs/>
          <w:snapToGrid w:val="0"/>
          <w:sz w:val="22"/>
          <w:szCs w:val="22"/>
          <w:lang w:eastAsia="en-US"/>
        </w:rPr>
        <w:t>PSD</w:t>
      </w:r>
      <w:r w:rsidRPr="00826D71">
        <w:rPr>
          <w:rFonts w:ascii="Arial" w:hAnsi="Arial" w:cs="Arial"/>
          <w:bCs/>
          <w:snapToGrid w:val="0"/>
          <w:sz w:val="22"/>
          <w:szCs w:val="22"/>
          <w:lang w:eastAsia="en-US"/>
        </w:rPr>
        <w:t xml:space="preserve"> that </w:t>
      </w:r>
      <w:r w:rsidR="00144F67" w:rsidRPr="00826D71">
        <w:rPr>
          <w:rFonts w:ascii="Arial" w:hAnsi="Arial" w:cs="Arial"/>
          <w:bCs/>
          <w:snapToGrid w:val="0"/>
          <w:sz w:val="22"/>
          <w:szCs w:val="22"/>
          <w:lang w:eastAsia="en-US"/>
        </w:rPr>
        <w:t>they had accepted that omalizumab was non-inferior to cyclosporin in terms of clinical effectiveness, but had noted that</w:t>
      </w:r>
      <w:r w:rsidR="00144F67" w:rsidRPr="00826D71">
        <w:rPr>
          <w:rFonts w:ascii="Arial" w:hAnsi="Arial" w:cs="Arial"/>
          <w:snapToGrid w:val="0"/>
          <w:sz w:val="22"/>
          <w:szCs w:val="20"/>
          <w:lang w:eastAsia="en-US"/>
        </w:rPr>
        <w:t xml:space="preserve"> </w:t>
      </w:r>
      <w:r w:rsidR="00144F67" w:rsidRPr="00826D71">
        <w:rPr>
          <w:rFonts w:ascii="Arial" w:hAnsi="Arial" w:cs="Arial"/>
          <w:bCs/>
          <w:snapToGrid w:val="0"/>
          <w:sz w:val="22"/>
          <w:szCs w:val="22"/>
          <w:lang w:eastAsia="en-US"/>
        </w:rPr>
        <w:t>the small patient numbers in the available studies made the indirect comparison difficult to interpret. The PBAC considered that the comparison provided a reasonable basis for decision making in the context of a rare conditi</w:t>
      </w:r>
      <w:r w:rsidR="00CA5CA0">
        <w:rPr>
          <w:rFonts w:ascii="Arial" w:hAnsi="Arial" w:cs="Arial"/>
          <w:bCs/>
          <w:snapToGrid w:val="0"/>
          <w:sz w:val="22"/>
          <w:szCs w:val="22"/>
          <w:lang w:eastAsia="en-US"/>
        </w:rPr>
        <w:t>on with limited data available.</w:t>
      </w:r>
    </w:p>
    <w:p w:rsidR="00501958" w:rsidRPr="00826D71" w:rsidRDefault="00501958" w:rsidP="00501958">
      <w:pPr>
        <w:pStyle w:val="ListParagraph"/>
        <w:rPr>
          <w:bCs/>
          <w:szCs w:val="22"/>
        </w:rPr>
      </w:pPr>
    </w:p>
    <w:p w:rsidR="00935EF0" w:rsidRPr="00826D71" w:rsidRDefault="00B07363" w:rsidP="00935EF0">
      <w:pPr>
        <w:widowControl w:val="0"/>
        <w:numPr>
          <w:ilvl w:val="1"/>
          <w:numId w:val="5"/>
        </w:numPr>
        <w:spacing w:after="120"/>
        <w:contextualSpacing/>
        <w:jc w:val="both"/>
        <w:rPr>
          <w:rFonts w:ascii="Arial" w:hAnsi="Arial" w:cs="Arial"/>
          <w:bCs/>
          <w:snapToGrid w:val="0"/>
          <w:sz w:val="22"/>
          <w:szCs w:val="22"/>
          <w:lang w:eastAsia="en-US"/>
        </w:rPr>
      </w:pPr>
      <w:r w:rsidRPr="00826D71">
        <w:rPr>
          <w:rFonts w:ascii="Arial" w:hAnsi="Arial" w:cs="Arial"/>
          <w:bCs/>
          <w:snapToGrid w:val="0"/>
          <w:sz w:val="22"/>
          <w:szCs w:val="22"/>
          <w:lang w:eastAsia="en-US"/>
        </w:rPr>
        <w:t xml:space="preserve">The PBAC </w:t>
      </w:r>
      <w:r w:rsidR="00EB0383" w:rsidRPr="00826D71">
        <w:rPr>
          <w:rFonts w:ascii="Arial" w:hAnsi="Arial" w:cs="Arial"/>
          <w:bCs/>
          <w:snapToGrid w:val="0"/>
          <w:sz w:val="22"/>
          <w:szCs w:val="22"/>
          <w:lang w:eastAsia="en-US"/>
        </w:rPr>
        <w:t xml:space="preserve">noted that both products </w:t>
      </w:r>
      <w:r w:rsidR="00364347" w:rsidRPr="00826D71">
        <w:rPr>
          <w:rFonts w:ascii="Arial" w:hAnsi="Arial" w:cs="Arial"/>
          <w:bCs/>
          <w:snapToGrid w:val="0"/>
          <w:sz w:val="22"/>
          <w:szCs w:val="22"/>
          <w:lang w:eastAsia="en-US"/>
        </w:rPr>
        <w:t xml:space="preserve">were likely to be down-titrated in </w:t>
      </w:r>
      <w:r w:rsidR="00EB0383" w:rsidRPr="00826D71">
        <w:rPr>
          <w:rFonts w:ascii="Arial" w:hAnsi="Arial" w:cs="Arial"/>
          <w:bCs/>
          <w:snapToGrid w:val="0"/>
          <w:sz w:val="22"/>
          <w:szCs w:val="22"/>
          <w:lang w:eastAsia="en-US"/>
        </w:rPr>
        <w:t>clinical practice</w:t>
      </w:r>
      <w:r w:rsidR="00364347" w:rsidRPr="00826D71">
        <w:rPr>
          <w:rFonts w:ascii="Arial" w:hAnsi="Arial" w:cs="Arial"/>
          <w:bCs/>
          <w:snapToGrid w:val="0"/>
          <w:sz w:val="22"/>
          <w:szCs w:val="22"/>
          <w:lang w:eastAsia="en-US"/>
        </w:rPr>
        <w:t xml:space="preserve">, and noted the information provided in </w:t>
      </w:r>
      <w:r w:rsidR="00501958" w:rsidRPr="00826D71">
        <w:rPr>
          <w:rFonts w:ascii="Arial" w:hAnsi="Arial" w:cs="Arial"/>
          <w:bCs/>
          <w:snapToGrid w:val="0"/>
          <w:sz w:val="22"/>
          <w:szCs w:val="22"/>
          <w:lang w:eastAsia="en-US"/>
        </w:rPr>
        <w:t>the submission to support the proposed rate of down</w:t>
      </w:r>
      <w:r w:rsidR="00AB761B" w:rsidRPr="00826D71">
        <w:rPr>
          <w:rFonts w:ascii="Arial" w:hAnsi="Arial" w:cs="Arial"/>
          <w:bCs/>
          <w:snapToGrid w:val="0"/>
          <w:sz w:val="22"/>
          <w:szCs w:val="22"/>
          <w:lang w:eastAsia="en-US"/>
        </w:rPr>
        <w:t>-</w:t>
      </w:r>
      <w:r w:rsidR="00501958" w:rsidRPr="00826D71">
        <w:rPr>
          <w:rFonts w:ascii="Arial" w:hAnsi="Arial" w:cs="Arial"/>
          <w:bCs/>
          <w:snapToGrid w:val="0"/>
          <w:sz w:val="22"/>
          <w:szCs w:val="22"/>
          <w:lang w:eastAsia="en-US"/>
        </w:rPr>
        <w:t>titration, but considered that the actual proportion of patients who would down titrate remained uncertain.</w:t>
      </w:r>
    </w:p>
    <w:p w:rsidR="00BD0806" w:rsidRPr="00826D71" w:rsidRDefault="00BD0806" w:rsidP="00BD0806">
      <w:pPr>
        <w:widowControl w:val="0"/>
        <w:spacing w:after="120"/>
        <w:ind w:left="720"/>
        <w:contextualSpacing/>
        <w:jc w:val="both"/>
        <w:rPr>
          <w:rFonts w:ascii="Arial" w:hAnsi="Arial" w:cs="Arial"/>
          <w:bCs/>
          <w:snapToGrid w:val="0"/>
          <w:sz w:val="22"/>
          <w:szCs w:val="22"/>
          <w:lang w:eastAsia="en-US"/>
        </w:rPr>
      </w:pPr>
    </w:p>
    <w:p w:rsidR="00364347" w:rsidRPr="00D71EEF" w:rsidRDefault="00364347" w:rsidP="00364347">
      <w:pPr>
        <w:widowControl w:val="0"/>
        <w:numPr>
          <w:ilvl w:val="1"/>
          <w:numId w:val="5"/>
        </w:numPr>
        <w:spacing w:after="120"/>
        <w:contextualSpacing/>
        <w:jc w:val="both"/>
        <w:rPr>
          <w:rFonts w:ascii="Arial" w:hAnsi="Arial" w:cs="Arial"/>
          <w:bCs/>
          <w:sz w:val="22"/>
          <w:szCs w:val="22"/>
        </w:rPr>
      </w:pPr>
      <w:r w:rsidRPr="00826D71">
        <w:rPr>
          <w:rFonts w:ascii="Arial" w:hAnsi="Arial" w:cs="Arial"/>
          <w:bCs/>
          <w:snapToGrid w:val="0"/>
          <w:sz w:val="22"/>
          <w:szCs w:val="22"/>
          <w:lang w:eastAsia="en-US"/>
        </w:rPr>
        <w:t xml:space="preserve">In the absence of </w:t>
      </w:r>
      <w:r w:rsidR="00501958" w:rsidRPr="00826D71">
        <w:rPr>
          <w:rFonts w:ascii="Arial" w:hAnsi="Arial" w:cs="Arial"/>
          <w:bCs/>
          <w:snapToGrid w:val="0"/>
          <w:sz w:val="22"/>
          <w:szCs w:val="22"/>
          <w:lang w:eastAsia="en-US"/>
        </w:rPr>
        <w:t>more certainty around the proportion of patients in whom treatment would be down-titrated in clinical practice, the PBAC considered that the m</w:t>
      </w:r>
      <w:r w:rsidR="00AB761B" w:rsidRPr="00826D71">
        <w:rPr>
          <w:rFonts w:ascii="Arial" w:hAnsi="Arial" w:cs="Arial"/>
          <w:bCs/>
          <w:snapToGrid w:val="0"/>
          <w:sz w:val="22"/>
          <w:szCs w:val="22"/>
          <w:lang w:eastAsia="en-US"/>
        </w:rPr>
        <w:t>o</w:t>
      </w:r>
      <w:r w:rsidR="00501958" w:rsidRPr="00826D71">
        <w:rPr>
          <w:rFonts w:ascii="Arial" w:hAnsi="Arial" w:cs="Arial"/>
          <w:bCs/>
          <w:snapToGrid w:val="0"/>
          <w:sz w:val="22"/>
          <w:szCs w:val="22"/>
          <w:lang w:eastAsia="en-US"/>
        </w:rPr>
        <w:t xml:space="preserve">st appropriate approach was to base the equi-effective doses on the un-titrated trial doses for </w:t>
      </w:r>
      <w:r w:rsidR="005F69BC" w:rsidRPr="00826D71">
        <w:rPr>
          <w:rFonts w:ascii="Arial" w:hAnsi="Arial" w:cs="Arial"/>
          <w:bCs/>
          <w:snapToGrid w:val="0"/>
          <w:sz w:val="22"/>
          <w:szCs w:val="22"/>
          <w:lang w:eastAsia="en-US"/>
        </w:rPr>
        <w:t>both omalizumab and cyclosporin</w:t>
      </w:r>
      <w:r w:rsidR="00CA5CA0">
        <w:rPr>
          <w:rFonts w:ascii="Arial" w:hAnsi="Arial" w:cs="Arial"/>
          <w:bCs/>
          <w:snapToGrid w:val="0"/>
          <w:sz w:val="22"/>
          <w:szCs w:val="22"/>
          <w:lang w:eastAsia="en-US"/>
        </w:rPr>
        <w:t>.</w:t>
      </w:r>
    </w:p>
    <w:p w:rsidR="00577249" w:rsidRPr="00D71EEF" w:rsidRDefault="00577249" w:rsidP="00E16B2F">
      <w:pPr>
        <w:widowControl w:val="0"/>
        <w:contextualSpacing/>
        <w:jc w:val="both"/>
        <w:rPr>
          <w:rFonts w:ascii="Arial" w:hAnsi="Arial" w:cs="Arial"/>
          <w:bCs/>
          <w:snapToGrid w:val="0"/>
          <w:sz w:val="22"/>
          <w:szCs w:val="22"/>
          <w:highlight w:val="yellow"/>
          <w:lang w:eastAsia="en-US"/>
        </w:rPr>
      </w:pPr>
    </w:p>
    <w:p w:rsidR="00577249" w:rsidRPr="00D71EEF" w:rsidRDefault="00D9260B" w:rsidP="00D9260B">
      <w:pPr>
        <w:widowControl w:val="0"/>
        <w:numPr>
          <w:ilvl w:val="1"/>
          <w:numId w:val="5"/>
        </w:numPr>
        <w:spacing w:after="120"/>
        <w:contextualSpacing/>
        <w:jc w:val="both"/>
        <w:rPr>
          <w:rFonts w:ascii="Arial" w:hAnsi="Arial" w:cs="Arial"/>
          <w:b/>
          <w:bCs/>
          <w:snapToGrid w:val="0"/>
          <w:sz w:val="22"/>
          <w:szCs w:val="22"/>
          <w:lang w:eastAsia="en-US"/>
        </w:rPr>
      </w:pPr>
      <w:r w:rsidRPr="00D71EEF">
        <w:rPr>
          <w:rFonts w:ascii="Arial" w:hAnsi="Arial" w:cs="Arial"/>
          <w:bCs/>
          <w:snapToGrid w:val="0"/>
          <w:sz w:val="22"/>
          <w:szCs w:val="22"/>
          <w:lang w:eastAsia="en-US"/>
        </w:rPr>
        <w:t>Th</w:t>
      </w:r>
      <w:r w:rsidR="006E06BC" w:rsidRPr="00D71EEF">
        <w:rPr>
          <w:rFonts w:ascii="Arial" w:hAnsi="Arial" w:cs="Arial"/>
          <w:bCs/>
          <w:snapToGrid w:val="0"/>
          <w:sz w:val="22"/>
          <w:szCs w:val="22"/>
          <w:lang w:eastAsia="en-US"/>
        </w:rPr>
        <w:t>e</w:t>
      </w:r>
      <w:r w:rsidR="00577249" w:rsidRPr="00D71EEF">
        <w:rPr>
          <w:rFonts w:ascii="Arial" w:hAnsi="Arial" w:cs="Arial"/>
          <w:bCs/>
          <w:snapToGrid w:val="0"/>
          <w:sz w:val="22"/>
          <w:szCs w:val="22"/>
          <w:lang w:eastAsia="en-US"/>
        </w:rPr>
        <w:t xml:space="preserve"> </w:t>
      </w:r>
      <w:r w:rsidR="00C61C95" w:rsidRPr="00D71EEF">
        <w:rPr>
          <w:rFonts w:ascii="Arial" w:hAnsi="Arial" w:cs="Arial"/>
          <w:bCs/>
          <w:snapToGrid w:val="0"/>
          <w:sz w:val="22"/>
          <w:szCs w:val="22"/>
          <w:lang w:eastAsia="en-US"/>
        </w:rPr>
        <w:t xml:space="preserve">PBAC </w:t>
      </w:r>
      <w:r w:rsidR="001D64EA" w:rsidRPr="00D71EEF">
        <w:rPr>
          <w:rFonts w:ascii="Arial" w:hAnsi="Arial" w:cs="Arial"/>
          <w:bCs/>
          <w:snapToGrid w:val="0"/>
          <w:sz w:val="22"/>
          <w:szCs w:val="22"/>
          <w:lang w:eastAsia="en-US"/>
        </w:rPr>
        <w:t>noted that the submission is</w:t>
      </w:r>
      <w:r w:rsidR="00577249" w:rsidRPr="00D71EEF">
        <w:rPr>
          <w:rFonts w:ascii="Arial" w:hAnsi="Arial" w:cs="Arial"/>
          <w:bCs/>
          <w:snapToGrid w:val="0"/>
          <w:sz w:val="22"/>
          <w:szCs w:val="22"/>
          <w:lang w:eastAsia="en-US"/>
        </w:rPr>
        <w:t xml:space="preserve"> not eligible for an Independent Review</w:t>
      </w:r>
      <w:r w:rsidRPr="00D71EEF">
        <w:rPr>
          <w:rFonts w:ascii="Arial" w:hAnsi="Arial" w:cs="Arial"/>
          <w:bCs/>
          <w:snapToGrid w:val="0"/>
          <w:sz w:val="22"/>
          <w:szCs w:val="22"/>
          <w:lang w:eastAsia="en-US"/>
        </w:rPr>
        <w:t xml:space="preserve"> as </w:t>
      </w:r>
      <w:r w:rsidR="001D64EA" w:rsidRPr="00D71EEF">
        <w:rPr>
          <w:rFonts w:ascii="Arial" w:hAnsi="Arial" w:cs="Arial"/>
          <w:bCs/>
          <w:snapToGrid w:val="0"/>
          <w:sz w:val="22"/>
          <w:szCs w:val="22"/>
          <w:lang w:eastAsia="en-US"/>
        </w:rPr>
        <w:t>it was a request to change an existing recommended indication.</w:t>
      </w:r>
    </w:p>
    <w:p w:rsidR="00577249" w:rsidRPr="00D71EEF" w:rsidRDefault="00577249" w:rsidP="00577249">
      <w:pPr>
        <w:rPr>
          <w:rFonts w:ascii="Arial" w:hAnsi="Arial" w:cs="Arial"/>
          <w:b/>
          <w:snapToGrid w:val="0"/>
          <w:sz w:val="22"/>
          <w:szCs w:val="22"/>
          <w:highlight w:val="yellow"/>
          <w:lang w:eastAsia="en-US"/>
        </w:rPr>
      </w:pPr>
    </w:p>
    <w:p w:rsidR="00577249" w:rsidRPr="00D71EEF" w:rsidRDefault="00577249" w:rsidP="00577249">
      <w:pPr>
        <w:jc w:val="both"/>
        <w:rPr>
          <w:rFonts w:ascii="Arial" w:hAnsi="Arial" w:cs="Arial"/>
          <w:b/>
          <w:bCs/>
          <w:snapToGrid w:val="0"/>
          <w:sz w:val="22"/>
          <w:szCs w:val="22"/>
          <w:lang w:eastAsia="en-US"/>
        </w:rPr>
      </w:pPr>
      <w:r w:rsidRPr="00D71EEF">
        <w:rPr>
          <w:rFonts w:ascii="Arial" w:hAnsi="Arial" w:cs="Arial"/>
          <w:b/>
          <w:bCs/>
          <w:snapToGrid w:val="0"/>
          <w:sz w:val="22"/>
          <w:szCs w:val="22"/>
          <w:lang w:eastAsia="en-US"/>
        </w:rPr>
        <w:t>Outcome:</w:t>
      </w:r>
    </w:p>
    <w:p w:rsidR="00577249" w:rsidRPr="00D71EEF" w:rsidRDefault="00577249" w:rsidP="00577249">
      <w:pPr>
        <w:jc w:val="both"/>
        <w:rPr>
          <w:rFonts w:ascii="Arial" w:hAnsi="Arial" w:cs="Arial"/>
          <w:bCs/>
          <w:snapToGrid w:val="0"/>
          <w:sz w:val="22"/>
          <w:szCs w:val="22"/>
          <w:lang w:eastAsia="en-US"/>
        </w:rPr>
      </w:pPr>
      <w:r w:rsidRPr="00D71EEF">
        <w:rPr>
          <w:rFonts w:ascii="Arial" w:hAnsi="Arial" w:cs="Arial"/>
          <w:bCs/>
          <w:snapToGrid w:val="0"/>
          <w:sz w:val="22"/>
          <w:szCs w:val="22"/>
          <w:lang w:eastAsia="en-US"/>
        </w:rPr>
        <w:t>Recommended</w:t>
      </w:r>
    </w:p>
    <w:p w:rsidR="00577249" w:rsidRPr="00D505BD" w:rsidRDefault="00577249" w:rsidP="00D505BD">
      <w:pPr>
        <w:widowControl w:val="0"/>
        <w:contextualSpacing/>
        <w:jc w:val="both"/>
        <w:rPr>
          <w:rFonts w:ascii="Arial" w:hAnsi="Arial" w:cs="Arial"/>
          <w:bCs/>
          <w:snapToGrid w:val="0"/>
          <w:sz w:val="22"/>
          <w:szCs w:val="22"/>
          <w:highlight w:val="yellow"/>
          <w:lang w:eastAsia="en-US"/>
        </w:rPr>
      </w:pPr>
    </w:p>
    <w:p w:rsidR="00577249" w:rsidRPr="00D505BD" w:rsidRDefault="00577249" w:rsidP="0042460B">
      <w:pPr>
        <w:widowControl w:val="0"/>
        <w:contextualSpacing/>
        <w:jc w:val="both"/>
        <w:rPr>
          <w:rFonts w:ascii="Arial" w:hAnsi="Arial" w:cs="Arial"/>
          <w:bCs/>
          <w:snapToGrid w:val="0"/>
          <w:sz w:val="22"/>
          <w:szCs w:val="22"/>
          <w:highlight w:val="yellow"/>
          <w:lang w:eastAsia="en-US"/>
        </w:rPr>
      </w:pPr>
    </w:p>
    <w:p w:rsidR="0042460B" w:rsidRPr="00570D4E" w:rsidRDefault="0042460B" w:rsidP="0042460B">
      <w:pPr>
        <w:pStyle w:val="PBACHeading1"/>
      </w:pPr>
      <w:r w:rsidRPr="005F633D">
        <w:rPr>
          <w:bCs/>
        </w:rPr>
        <w:t>Context for Decision</w:t>
      </w:r>
    </w:p>
    <w:p w:rsidR="0042460B" w:rsidRDefault="0042460B" w:rsidP="0042460B">
      <w:pPr>
        <w:ind w:left="426"/>
        <w:jc w:val="both"/>
      </w:pPr>
    </w:p>
    <w:p w:rsidR="0042460B" w:rsidRPr="0042460B" w:rsidRDefault="0042460B" w:rsidP="0042460B">
      <w:pPr>
        <w:ind w:left="709"/>
        <w:jc w:val="both"/>
        <w:rPr>
          <w:rFonts w:ascii="Arial" w:hAnsi="Arial" w:cs="Arial"/>
          <w:bCs/>
          <w:snapToGrid w:val="0"/>
          <w:sz w:val="22"/>
          <w:szCs w:val="22"/>
          <w:lang w:eastAsia="en-US"/>
        </w:rPr>
      </w:pPr>
      <w:r w:rsidRPr="0042460B">
        <w:rPr>
          <w:rFonts w:ascii="Arial" w:hAnsi="Arial" w:cs="Arial"/>
          <w:bCs/>
          <w:snapToGrid w:val="0"/>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2460B" w:rsidRDefault="0042460B" w:rsidP="0042460B">
      <w:pPr>
        <w:ind w:left="426"/>
        <w:jc w:val="both"/>
      </w:pPr>
    </w:p>
    <w:p w:rsidR="0042460B" w:rsidRPr="005F633D" w:rsidRDefault="0042460B" w:rsidP="0042460B">
      <w:pPr>
        <w:pStyle w:val="PBACHeading1"/>
        <w:rPr>
          <w:bCs/>
        </w:rPr>
      </w:pPr>
      <w:r w:rsidRPr="0042460B">
        <w:lastRenderedPageBreak/>
        <w:t>Sponsor’s</w:t>
      </w:r>
      <w:r w:rsidRPr="005F633D">
        <w:rPr>
          <w:bCs/>
        </w:rPr>
        <w:t xml:space="preserve"> Comment</w:t>
      </w:r>
    </w:p>
    <w:p w:rsidR="0042460B" w:rsidRDefault="0042460B" w:rsidP="0042460B">
      <w:pPr>
        <w:ind w:left="426"/>
        <w:jc w:val="both"/>
        <w:rPr>
          <w:bCs/>
          <w:highlight w:val="yellow"/>
          <w:lang w:val="en-GB"/>
        </w:rPr>
      </w:pPr>
    </w:p>
    <w:p w:rsidR="0042460B" w:rsidRPr="0042460B" w:rsidRDefault="0042460B" w:rsidP="0042460B">
      <w:pPr>
        <w:spacing w:after="120"/>
        <w:ind w:left="709"/>
        <w:jc w:val="both"/>
        <w:rPr>
          <w:rFonts w:ascii="Arial" w:hAnsi="Arial" w:cs="Arial"/>
          <w:bCs/>
          <w:snapToGrid w:val="0"/>
          <w:sz w:val="22"/>
          <w:szCs w:val="22"/>
          <w:lang w:eastAsia="en-US"/>
        </w:rPr>
      </w:pPr>
      <w:r w:rsidRPr="0042460B">
        <w:rPr>
          <w:rFonts w:ascii="Arial" w:hAnsi="Arial" w:cs="Arial"/>
          <w:bCs/>
          <w:snapToGrid w:val="0"/>
          <w:sz w:val="22"/>
          <w:szCs w:val="22"/>
          <w:lang w:eastAsia="en-US"/>
        </w:rPr>
        <w:t>The sponsor had no comment.</w:t>
      </w:r>
    </w:p>
    <w:p w:rsidR="003872CF" w:rsidRPr="00F01907" w:rsidRDefault="003872CF" w:rsidP="00D505BD">
      <w:pPr>
        <w:widowControl w:val="0"/>
        <w:contextualSpacing/>
        <w:jc w:val="both"/>
        <w:rPr>
          <w:rFonts w:ascii="Arial" w:hAnsi="Arial"/>
          <w:sz w:val="22"/>
          <w:szCs w:val="22"/>
        </w:rPr>
      </w:pPr>
    </w:p>
    <w:sectPr w:rsidR="003872CF" w:rsidRPr="00F01907" w:rsidSect="00390C84">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976" w:rsidRDefault="00455976">
      <w:r>
        <w:separator/>
      </w:r>
    </w:p>
    <w:p w:rsidR="00455976" w:rsidRDefault="00455976"/>
  </w:endnote>
  <w:endnote w:type="continuationSeparator" w:id="0">
    <w:p w:rsidR="00455976" w:rsidRDefault="00455976">
      <w:r>
        <w:continuationSeparator/>
      </w:r>
    </w:p>
    <w:p w:rsidR="00455976" w:rsidRDefault="00455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Sabon">
    <w:altName w:val="Constantia"/>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64347" w:rsidTr="005A3173">
      <w:trPr>
        <w:trHeight w:val="151"/>
      </w:trPr>
      <w:tc>
        <w:tcPr>
          <w:tcW w:w="2250" w:type="pct"/>
          <w:tcBorders>
            <w:top w:val="nil"/>
            <w:left w:val="nil"/>
            <w:bottom w:val="single" w:sz="4" w:space="0" w:color="4F81BD"/>
            <w:right w:val="nil"/>
          </w:tcBorders>
        </w:tcPr>
        <w:p w:rsidR="00364347" w:rsidRPr="005A3173" w:rsidRDefault="0036434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64347" w:rsidRPr="005A3173" w:rsidRDefault="0036434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64347" w:rsidRPr="005A3173" w:rsidRDefault="00364347" w:rsidP="005A3173">
          <w:pPr>
            <w:pStyle w:val="Header"/>
            <w:spacing w:line="276" w:lineRule="auto"/>
            <w:rPr>
              <w:rFonts w:ascii="Calibri" w:eastAsia="MS Gothic" w:hAnsi="Calibri"/>
              <w:b/>
              <w:bCs/>
              <w:color w:val="4F81BD"/>
            </w:rPr>
          </w:pPr>
        </w:p>
      </w:tc>
    </w:tr>
    <w:tr w:rsidR="00364347" w:rsidTr="005A3173">
      <w:trPr>
        <w:trHeight w:val="150"/>
      </w:trPr>
      <w:tc>
        <w:tcPr>
          <w:tcW w:w="2250" w:type="pct"/>
          <w:tcBorders>
            <w:top w:val="single" w:sz="4" w:space="0" w:color="4F81BD"/>
            <w:left w:val="nil"/>
            <w:bottom w:val="nil"/>
            <w:right w:val="nil"/>
          </w:tcBorders>
        </w:tcPr>
        <w:p w:rsidR="00364347" w:rsidRPr="005A3173" w:rsidRDefault="00364347" w:rsidP="005A3173">
          <w:pPr>
            <w:pStyle w:val="Header"/>
            <w:spacing w:line="276" w:lineRule="auto"/>
            <w:rPr>
              <w:rFonts w:ascii="Calibri" w:eastAsia="MS Gothic" w:hAnsi="Calibri"/>
              <w:b/>
              <w:bCs/>
              <w:color w:val="4F81BD"/>
            </w:rPr>
          </w:pPr>
        </w:p>
      </w:tc>
      <w:tc>
        <w:tcPr>
          <w:tcW w:w="0" w:type="auto"/>
          <w:vMerge/>
          <w:vAlign w:val="center"/>
          <w:hideMark/>
        </w:tcPr>
        <w:p w:rsidR="00364347" w:rsidRPr="005A3173" w:rsidRDefault="00364347" w:rsidP="005A3173">
          <w:pPr>
            <w:rPr>
              <w:rFonts w:ascii="Calibri" w:hAnsi="Calibri"/>
              <w:color w:val="365F91"/>
              <w:sz w:val="22"/>
              <w:szCs w:val="22"/>
            </w:rPr>
          </w:pPr>
        </w:p>
      </w:tc>
      <w:tc>
        <w:tcPr>
          <w:tcW w:w="2250" w:type="pct"/>
          <w:tcBorders>
            <w:top w:val="single" w:sz="4" w:space="0" w:color="4F81BD"/>
            <w:left w:val="nil"/>
            <w:bottom w:val="nil"/>
            <w:right w:val="nil"/>
          </w:tcBorders>
        </w:tcPr>
        <w:p w:rsidR="00364347" w:rsidRPr="005A3173" w:rsidRDefault="00364347" w:rsidP="005A3173">
          <w:pPr>
            <w:pStyle w:val="Header"/>
            <w:spacing w:line="276" w:lineRule="auto"/>
            <w:rPr>
              <w:rFonts w:ascii="Calibri" w:eastAsia="MS Gothic" w:hAnsi="Calibri"/>
              <w:b/>
              <w:bCs/>
              <w:color w:val="4F81BD"/>
            </w:rPr>
          </w:pPr>
        </w:p>
      </w:tc>
    </w:tr>
  </w:tbl>
  <w:p w:rsidR="00364347" w:rsidRDefault="0036434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4347" w:rsidRDefault="00364347">
    <w:pPr>
      <w:pStyle w:val="Footer"/>
    </w:pPr>
  </w:p>
  <w:p w:rsidR="00364347" w:rsidRDefault="003643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47" w:rsidRDefault="00364347" w:rsidP="00EF44A0">
    <w:pPr>
      <w:pStyle w:val="Footer"/>
      <w:jc w:val="center"/>
      <w:rPr>
        <w:rFonts w:ascii="Arial" w:hAnsi="Arial" w:cs="Arial"/>
        <w:b/>
        <w:sz w:val="20"/>
        <w:szCs w:val="20"/>
      </w:rPr>
    </w:pPr>
  </w:p>
  <w:p w:rsidR="00364347" w:rsidRDefault="00364347" w:rsidP="007F26B3">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EF51A2">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64347" w:rsidTr="005A3173">
      <w:trPr>
        <w:trHeight w:val="151"/>
      </w:trPr>
      <w:tc>
        <w:tcPr>
          <w:tcW w:w="2250" w:type="pct"/>
          <w:tcBorders>
            <w:top w:val="nil"/>
            <w:left w:val="nil"/>
            <w:bottom w:val="single" w:sz="4" w:space="0" w:color="4F81BD"/>
            <w:right w:val="nil"/>
          </w:tcBorders>
        </w:tcPr>
        <w:p w:rsidR="00364347" w:rsidRPr="005A3173" w:rsidRDefault="0036434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64347" w:rsidRPr="005A3173" w:rsidRDefault="0036434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64347" w:rsidRPr="005A3173" w:rsidRDefault="00364347" w:rsidP="005A3173">
          <w:pPr>
            <w:pStyle w:val="Header"/>
            <w:spacing w:line="276" w:lineRule="auto"/>
            <w:rPr>
              <w:rFonts w:ascii="Calibri" w:eastAsia="MS Gothic" w:hAnsi="Calibri"/>
              <w:b/>
              <w:bCs/>
              <w:color w:val="4F81BD"/>
            </w:rPr>
          </w:pPr>
        </w:p>
      </w:tc>
    </w:tr>
    <w:tr w:rsidR="00364347" w:rsidTr="005A3173">
      <w:trPr>
        <w:trHeight w:val="150"/>
      </w:trPr>
      <w:tc>
        <w:tcPr>
          <w:tcW w:w="2250" w:type="pct"/>
          <w:tcBorders>
            <w:top w:val="single" w:sz="4" w:space="0" w:color="4F81BD"/>
            <w:left w:val="nil"/>
            <w:bottom w:val="nil"/>
            <w:right w:val="nil"/>
          </w:tcBorders>
        </w:tcPr>
        <w:p w:rsidR="00364347" w:rsidRPr="005A3173" w:rsidRDefault="00364347" w:rsidP="005A3173">
          <w:pPr>
            <w:pStyle w:val="Header"/>
            <w:spacing w:line="276" w:lineRule="auto"/>
            <w:rPr>
              <w:rFonts w:ascii="Calibri" w:eastAsia="MS Gothic" w:hAnsi="Calibri"/>
              <w:b/>
              <w:bCs/>
              <w:color w:val="4F81BD"/>
            </w:rPr>
          </w:pPr>
        </w:p>
      </w:tc>
      <w:tc>
        <w:tcPr>
          <w:tcW w:w="0" w:type="auto"/>
          <w:vMerge/>
          <w:vAlign w:val="center"/>
          <w:hideMark/>
        </w:tcPr>
        <w:p w:rsidR="00364347" w:rsidRPr="005A3173" w:rsidRDefault="00364347" w:rsidP="005A3173">
          <w:pPr>
            <w:rPr>
              <w:rFonts w:ascii="Calibri" w:hAnsi="Calibri"/>
              <w:color w:val="365F91"/>
              <w:sz w:val="22"/>
              <w:szCs w:val="22"/>
            </w:rPr>
          </w:pPr>
        </w:p>
      </w:tc>
      <w:tc>
        <w:tcPr>
          <w:tcW w:w="2250" w:type="pct"/>
          <w:tcBorders>
            <w:top w:val="single" w:sz="4" w:space="0" w:color="4F81BD"/>
            <w:left w:val="nil"/>
            <w:bottom w:val="nil"/>
            <w:right w:val="nil"/>
          </w:tcBorders>
        </w:tcPr>
        <w:p w:rsidR="00364347" w:rsidRPr="005A3173" w:rsidRDefault="0036434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64347" w:rsidTr="005A3173">
      <w:trPr>
        <w:trHeight w:val="151"/>
      </w:trPr>
      <w:tc>
        <w:tcPr>
          <w:tcW w:w="2250" w:type="pct"/>
          <w:tcBorders>
            <w:top w:val="nil"/>
            <w:left w:val="nil"/>
            <w:bottom w:val="single" w:sz="4" w:space="0" w:color="4F81BD"/>
            <w:right w:val="nil"/>
          </w:tcBorders>
        </w:tcPr>
        <w:p w:rsidR="00364347" w:rsidRPr="005A3173" w:rsidRDefault="0036434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64347" w:rsidRPr="005A3173" w:rsidRDefault="0036434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64347" w:rsidRPr="005A3173" w:rsidRDefault="00364347" w:rsidP="005A3173">
          <w:pPr>
            <w:pStyle w:val="Header"/>
            <w:spacing w:line="276" w:lineRule="auto"/>
            <w:rPr>
              <w:rFonts w:ascii="Calibri" w:eastAsia="MS Gothic" w:hAnsi="Calibri"/>
              <w:b/>
              <w:bCs/>
              <w:color w:val="4F81BD"/>
            </w:rPr>
          </w:pPr>
        </w:p>
      </w:tc>
    </w:tr>
    <w:tr w:rsidR="00364347" w:rsidTr="005A3173">
      <w:trPr>
        <w:trHeight w:val="150"/>
      </w:trPr>
      <w:tc>
        <w:tcPr>
          <w:tcW w:w="2250" w:type="pct"/>
          <w:tcBorders>
            <w:top w:val="single" w:sz="4" w:space="0" w:color="4F81BD"/>
            <w:left w:val="nil"/>
            <w:bottom w:val="nil"/>
            <w:right w:val="nil"/>
          </w:tcBorders>
        </w:tcPr>
        <w:p w:rsidR="00364347" w:rsidRPr="005A3173" w:rsidRDefault="00364347" w:rsidP="005A3173">
          <w:pPr>
            <w:pStyle w:val="Header"/>
            <w:spacing w:line="276" w:lineRule="auto"/>
            <w:rPr>
              <w:rFonts w:ascii="Calibri" w:eastAsia="MS Gothic" w:hAnsi="Calibri"/>
              <w:b/>
              <w:bCs/>
              <w:color w:val="4F81BD"/>
            </w:rPr>
          </w:pPr>
        </w:p>
      </w:tc>
      <w:tc>
        <w:tcPr>
          <w:tcW w:w="0" w:type="auto"/>
          <w:vMerge/>
          <w:vAlign w:val="center"/>
          <w:hideMark/>
        </w:tcPr>
        <w:p w:rsidR="00364347" w:rsidRPr="005A3173" w:rsidRDefault="00364347" w:rsidP="005A3173">
          <w:pPr>
            <w:rPr>
              <w:rFonts w:ascii="Calibri" w:hAnsi="Calibri"/>
              <w:color w:val="365F91"/>
              <w:sz w:val="22"/>
              <w:szCs w:val="22"/>
            </w:rPr>
          </w:pPr>
        </w:p>
      </w:tc>
      <w:tc>
        <w:tcPr>
          <w:tcW w:w="2250" w:type="pct"/>
          <w:tcBorders>
            <w:top w:val="single" w:sz="4" w:space="0" w:color="4F81BD"/>
            <w:left w:val="nil"/>
            <w:bottom w:val="nil"/>
            <w:right w:val="nil"/>
          </w:tcBorders>
        </w:tcPr>
        <w:p w:rsidR="00364347" w:rsidRPr="005A3173" w:rsidRDefault="00364347" w:rsidP="005A3173">
          <w:pPr>
            <w:pStyle w:val="Header"/>
            <w:spacing w:line="276" w:lineRule="auto"/>
            <w:rPr>
              <w:rFonts w:ascii="Calibri" w:eastAsia="MS Gothic" w:hAnsi="Calibri"/>
              <w:b/>
              <w:bCs/>
              <w:color w:val="4F81BD"/>
            </w:rPr>
          </w:pPr>
        </w:p>
      </w:tc>
    </w:tr>
  </w:tbl>
  <w:p w:rsidR="00364347" w:rsidRPr="007C0F57" w:rsidRDefault="0036434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64347" w:rsidRPr="007C0F57" w:rsidRDefault="00364347" w:rsidP="007C0F57">
    <w:pPr>
      <w:pStyle w:val="Footer"/>
      <w:jc w:val="center"/>
      <w:rPr>
        <w:b/>
        <w:i/>
        <w:sz w:val="20"/>
        <w:szCs w:val="20"/>
      </w:rPr>
    </w:pPr>
    <w:r w:rsidRPr="007C0F57">
      <w:rPr>
        <w:b/>
        <w:i/>
        <w:sz w:val="20"/>
        <w:szCs w:val="20"/>
      </w:rPr>
      <w:t>Commercial-in-Confidence</w:t>
    </w:r>
  </w:p>
  <w:p w:rsidR="00364347" w:rsidRDefault="003643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976" w:rsidRDefault="00455976">
      <w:r>
        <w:separator/>
      </w:r>
    </w:p>
    <w:p w:rsidR="00455976" w:rsidRDefault="00455976"/>
  </w:footnote>
  <w:footnote w:type="continuationSeparator" w:id="0">
    <w:p w:rsidR="00455976" w:rsidRDefault="00455976">
      <w:r>
        <w:continuationSeparator/>
      </w:r>
    </w:p>
    <w:p w:rsidR="00455976" w:rsidRDefault="004559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64347" w:rsidRPr="008E0D90" w:rsidTr="00A06225">
      <w:trPr>
        <w:trHeight w:val="151"/>
      </w:trPr>
      <w:tc>
        <w:tcPr>
          <w:tcW w:w="2389" w:type="pct"/>
          <w:tcBorders>
            <w:top w:val="nil"/>
            <w:left w:val="nil"/>
            <w:bottom w:val="single" w:sz="4" w:space="0" w:color="4F81BD"/>
            <w:right w:val="nil"/>
          </w:tcBorders>
        </w:tcPr>
        <w:p w:rsidR="00364347" w:rsidRPr="00A06225" w:rsidRDefault="00364347">
          <w:pPr>
            <w:pStyle w:val="Header"/>
            <w:spacing w:line="276" w:lineRule="auto"/>
            <w:rPr>
              <w:rFonts w:ascii="Cambria" w:eastAsia="MS Gothic" w:hAnsi="Cambria"/>
              <w:b/>
              <w:bCs/>
              <w:color w:val="4F81BD"/>
            </w:rPr>
          </w:pPr>
        </w:p>
      </w:tc>
      <w:tc>
        <w:tcPr>
          <w:tcW w:w="333" w:type="pct"/>
          <w:vMerge w:val="restart"/>
          <w:noWrap/>
          <w:vAlign w:val="center"/>
          <w:hideMark/>
        </w:tcPr>
        <w:p w:rsidR="00364347" w:rsidRPr="00A06225" w:rsidRDefault="0036434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64347" w:rsidRPr="00A06225" w:rsidRDefault="00364347">
          <w:pPr>
            <w:pStyle w:val="Header"/>
            <w:spacing w:line="276" w:lineRule="auto"/>
            <w:rPr>
              <w:rFonts w:ascii="Cambria" w:eastAsia="MS Gothic" w:hAnsi="Cambria"/>
              <w:b/>
              <w:bCs/>
              <w:color w:val="4F81BD"/>
            </w:rPr>
          </w:pPr>
        </w:p>
      </w:tc>
    </w:tr>
    <w:tr w:rsidR="00364347" w:rsidRPr="008E0D90" w:rsidTr="00A06225">
      <w:trPr>
        <w:trHeight w:val="150"/>
      </w:trPr>
      <w:tc>
        <w:tcPr>
          <w:tcW w:w="2389" w:type="pct"/>
          <w:tcBorders>
            <w:top w:val="single" w:sz="4" w:space="0" w:color="4F81BD"/>
            <w:left w:val="nil"/>
            <w:bottom w:val="nil"/>
            <w:right w:val="nil"/>
          </w:tcBorders>
        </w:tcPr>
        <w:p w:rsidR="00364347" w:rsidRPr="00A06225" w:rsidRDefault="00364347">
          <w:pPr>
            <w:pStyle w:val="Header"/>
            <w:spacing w:line="276" w:lineRule="auto"/>
            <w:rPr>
              <w:rFonts w:ascii="Cambria" w:eastAsia="MS Gothic" w:hAnsi="Cambria"/>
              <w:b/>
              <w:bCs/>
              <w:color w:val="4F81BD"/>
            </w:rPr>
          </w:pPr>
        </w:p>
      </w:tc>
      <w:tc>
        <w:tcPr>
          <w:tcW w:w="0" w:type="auto"/>
          <w:vMerge/>
          <w:vAlign w:val="center"/>
          <w:hideMark/>
        </w:tcPr>
        <w:p w:rsidR="00364347" w:rsidRPr="00A06225" w:rsidRDefault="00364347">
          <w:pPr>
            <w:rPr>
              <w:rFonts w:ascii="Cambria" w:hAnsi="Cambria"/>
              <w:color w:val="4F81BD"/>
              <w:sz w:val="22"/>
              <w:szCs w:val="22"/>
            </w:rPr>
          </w:pPr>
        </w:p>
      </w:tc>
      <w:tc>
        <w:tcPr>
          <w:tcW w:w="2278" w:type="pct"/>
          <w:tcBorders>
            <w:top w:val="single" w:sz="4" w:space="0" w:color="4F81BD"/>
            <w:left w:val="nil"/>
            <w:bottom w:val="nil"/>
            <w:right w:val="nil"/>
          </w:tcBorders>
        </w:tcPr>
        <w:p w:rsidR="00364347" w:rsidRPr="00A06225" w:rsidRDefault="00364347">
          <w:pPr>
            <w:pStyle w:val="Header"/>
            <w:spacing w:line="276" w:lineRule="auto"/>
            <w:rPr>
              <w:rFonts w:ascii="Cambria" w:eastAsia="MS Gothic" w:hAnsi="Cambria"/>
              <w:b/>
              <w:bCs/>
              <w:color w:val="4F81BD"/>
            </w:rPr>
          </w:pPr>
        </w:p>
      </w:tc>
    </w:tr>
  </w:tbl>
  <w:p w:rsidR="00364347" w:rsidRDefault="00364347">
    <w:pPr>
      <w:pStyle w:val="Header"/>
    </w:pPr>
  </w:p>
  <w:p w:rsidR="00364347" w:rsidRDefault="003643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47" w:rsidRPr="007F26B3" w:rsidRDefault="00014DF2" w:rsidP="00014DF2">
    <w:pPr>
      <w:tabs>
        <w:tab w:val="center" w:pos="4153"/>
        <w:tab w:val="right" w:pos="8306"/>
      </w:tabs>
      <w:spacing w:after="120"/>
      <w:ind w:left="360"/>
      <w:jc w:val="center"/>
      <w:rPr>
        <w:rFonts w:ascii="Arial" w:hAnsi="Arial" w:cs="Arial"/>
        <w:i/>
        <w:color w:val="808080"/>
        <w:sz w:val="22"/>
        <w:lang w:eastAsia="en-US"/>
      </w:rPr>
    </w:pPr>
    <w:r>
      <w:rPr>
        <w:rFonts w:ascii="Arial" w:hAnsi="Arial" w:cs="Arial"/>
        <w:i/>
        <w:color w:val="808080"/>
        <w:sz w:val="22"/>
        <w:lang w:eastAsia="en-US"/>
      </w:rPr>
      <w:t xml:space="preserve">Public Summary Document </w:t>
    </w:r>
    <w:r w:rsidR="00364347" w:rsidRPr="007F26B3">
      <w:rPr>
        <w:rFonts w:ascii="Arial" w:hAnsi="Arial" w:cs="Arial"/>
        <w:i/>
        <w:color w:val="808080"/>
        <w:sz w:val="22"/>
        <w:lang w:eastAsia="en-US"/>
      </w:rPr>
      <w:t>– November 2016 PBAC Meeting</w:t>
    </w:r>
  </w:p>
  <w:p w:rsidR="00364347" w:rsidRDefault="00364347"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D37" w:rsidRDefault="009E5D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80435DE"/>
    <w:multiLevelType w:val="hybridMultilevel"/>
    <w:tmpl w:val="8E4C7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8A0B0C"/>
    <w:multiLevelType w:val="hybridMultilevel"/>
    <w:tmpl w:val="9DD45AA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470C40"/>
    <w:multiLevelType w:val="hybridMultilevel"/>
    <w:tmpl w:val="612C489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7">
    <w:nsid w:val="402175F8"/>
    <w:multiLevelType w:val="hybridMultilevel"/>
    <w:tmpl w:val="E1EA57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2F1693D"/>
    <w:multiLevelType w:val="hybridMultilevel"/>
    <w:tmpl w:val="31C6FB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BBA6697"/>
    <w:multiLevelType w:val="hybridMultilevel"/>
    <w:tmpl w:val="13F02D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7B1C4B9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9"/>
  </w:num>
  <w:num w:numId="5">
    <w:abstractNumId w:val="22"/>
  </w:num>
  <w:num w:numId="6">
    <w:abstractNumId w:val="8"/>
  </w:num>
  <w:num w:numId="7">
    <w:abstractNumId w:val="15"/>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2"/>
  </w:num>
  <w:num w:numId="15">
    <w:abstractNumId w:val="11"/>
  </w:num>
  <w:num w:numId="16">
    <w:abstractNumId w:val="18"/>
  </w:num>
  <w:num w:numId="17">
    <w:abstractNumId w:val="17"/>
  </w:num>
  <w:num w:numId="18">
    <w:abstractNumId w:val="16"/>
  </w:num>
  <w:num w:numId="19">
    <w:abstractNumId w:val="5"/>
  </w:num>
  <w:num w:numId="20">
    <w:abstractNumId w:val="20"/>
  </w:num>
  <w:num w:numId="21">
    <w:abstractNumId w:val="21"/>
  </w:num>
  <w:num w:numId="22">
    <w:abstractNumId w:val="6"/>
  </w:num>
  <w:num w:numId="23">
    <w:abstractNumId w:val="2"/>
  </w:num>
  <w:num w:numId="24">
    <w:abstractNumId w:val="10"/>
  </w:num>
  <w:num w:numId="25">
    <w:abstractNumId w:val="22"/>
  </w:num>
  <w:num w:numId="2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195E"/>
    <w:rsid w:val="00014DF2"/>
    <w:rsid w:val="000206AE"/>
    <w:rsid w:val="0002464A"/>
    <w:rsid w:val="0002649D"/>
    <w:rsid w:val="0003106B"/>
    <w:rsid w:val="000421A1"/>
    <w:rsid w:val="0004240E"/>
    <w:rsid w:val="00045E26"/>
    <w:rsid w:val="000514B5"/>
    <w:rsid w:val="00055D6E"/>
    <w:rsid w:val="00060E64"/>
    <w:rsid w:val="000633E4"/>
    <w:rsid w:val="00064149"/>
    <w:rsid w:val="00066755"/>
    <w:rsid w:val="0007671F"/>
    <w:rsid w:val="00077143"/>
    <w:rsid w:val="0008349D"/>
    <w:rsid w:val="00083BBD"/>
    <w:rsid w:val="000873E9"/>
    <w:rsid w:val="000969AD"/>
    <w:rsid w:val="00097275"/>
    <w:rsid w:val="000A2A36"/>
    <w:rsid w:val="000B4D20"/>
    <w:rsid w:val="000B558D"/>
    <w:rsid w:val="000C1CCB"/>
    <w:rsid w:val="000C6996"/>
    <w:rsid w:val="000D03C5"/>
    <w:rsid w:val="000D2395"/>
    <w:rsid w:val="000D23BA"/>
    <w:rsid w:val="000D4C80"/>
    <w:rsid w:val="000E5F99"/>
    <w:rsid w:val="000E681E"/>
    <w:rsid w:val="000F4120"/>
    <w:rsid w:val="000F4E6A"/>
    <w:rsid w:val="000F71E4"/>
    <w:rsid w:val="00101DBD"/>
    <w:rsid w:val="001051F9"/>
    <w:rsid w:val="001107BF"/>
    <w:rsid w:val="00122478"/>
    <w:rsid w:val="0012417C"/>
    <w:rsid w:val="00126A8C"/>
    <w:rsid w:val="00142395"/>
    <w:rsid w:val="00142714"/>
    <w:rsid w:val="00144F67"/>
    <w:rsid w:val="001452ED"/>
    <w:rsid w:val="00151F77"/>
    <w:rsid w:val="00173A94"/>
    <w:rsid w:val="001830CE"/>
    <w:rsid w:val="0018643B"/>
    <w:rsid w:val="001943FC"/>
    <w:rsid w:val="00196307"/>
    <w:rsid w:val="001A035A"/>
    <w:rsid w:val="001A3D7E"/>
    <w:rsid w:val="001A7457"/>
    <w:rsid w:val="001B017F"/>
    <w:rsid w:val="001B1296"/>
    <w:rsid w:val="001B5129"/>
    <w:rsid w:val="001C1195"/>
    <w:rsid w:val="001C55F9"/>
    <w:rsid w:val="001D64B1"/>
    <w:rsid w:val="001D64EA"/>
    <w:rsid w:val="001E1A41"/>
    <w:rsid w:val="001F1E34"/>
    <w:rsid w:val="001F32F2"/>
    <w:rsid w:val="001F6F97"/>
    <w:rsid w:val="00207E7A"/>
    <w:rsid w:val="00213CFB"/>
    <w:rsid w:val="00236231"/>
    <w:rsid w:val="00250807"/>
    <w:rsid w:val="00271BA1"/>
    <w:rsid w:val="00276F35"/>
    <w:rsid w:val="00277505"/>
    <w:rsid w:val="0029458F"/>
    <w:rsid w:val="002A104C"/>
    <w:rsid w:val="002A15AF"/>
    <w:rsid w:val="002A18D6"/>
    <w:rsid w:val="002A2F90"/>
    <w:rsid w:val="002A4303"/>
    <w:rsid w:val="002A4960"/>
    <w:rsid w:val="002B1AE6"/>
    <w:rsid w:val="002B30F8"/>
    <w:rsid w:val="002C212F"/>
    <w:rsid w:val="002C2CDB"/>
    <w:rsid w:val="002D2988"/>
    <w:rsid w:val="002E3153"/>
    <w:rsid w:val="002E44D8"/>
    <w:rsid w:val="002E72CA"/>
    <w:rsid w:val="00300AD6"/>
    <w:rsid w:val="003044CA"/>
    <w:rsid w:val="00305B7C"/>
    <w:rsid w:val="00313134"/>
    <w:rsid w:val="00324A03"/>
    <w:rsid w:val="00326E79"/>
    <w:rsid w:val="00335D20"/>
    <w:rsid w:val="003367EF"/>
    <w:rsid w:val="00341AE4"/>
    <w:rsid w:val="00342C23"/>
    <w:rsid w:val="00364347"/>
    <w:rsid w:val="00377838"/>
    <w:rsid w:val="00384FF1"/>
    <w:rsid w:val="003872CF"/>
    <w:rsid w:val="00390C84"/>
    <w:rsid w:val="003915BB"/>
    <w:rsid w:val="0039782C"/>
    <w:rsid w:val="003A5B4A"/>
    <w:rsid w:val="003B017F"/>
    <w:rsid w:val="003B1318"/>
    <w:rsid w:val="003B23C5"/>
    <w:rsid w:val="003B2A75"/>
    <w:rsid w:val="003B6B71"/>
    <w:rsid w:val="003C3BCD"/>
    <w:rsid w:val="003D0963"/>
    <w:rsid w:val="003D4AC4"/>
    <w:rsid w:val="003D63B7"/>
    <w:rsid w:val="003D7182"/>
    <w:rsid w:val="003E468B"/>
    <w:rsid w:val="003F5C8C"/>
    <w:rsid w:val="00414D2C"/>
    <w:rsid w:val="0042460B"/>
    <w:rsid w:val="00427C31"/>
    <w:rsid w:val="00433551"/>
    <w:rsid w:val="00436EEB"/>
    <w:rsid w:val="004465BD"/>
    <w:rsid w:val="00455976"/>
    <w:rsid w:val="004565C2"/>
    <w:rsid w:val="004649E3"/>
    <w:rsid w:val="00466ADA"/>
    <w:rsid w:val="00476245"/>
    <w:rsid w:val="00484930"/>
    <w:rsid w:val="00485461"/>
    <w:rsid w:val="00485940"/>
    <w:rsid w:val="00490E3E"/>
    <w:rsid w:val="004A2484"/>
    <w:rsid w:val="004A5A85"/>
    <w:rsid w:val="004B2650"/>
    <w:rsid w:val="004B3C8C"/>
    <w:rsid w:val="004B5640"/>
    <w:rsid w:val="004C16F8"/>
    <w:rsid w:val="004C1BD7"/>
    <w:rsid w:val="004C3235"/>
    <w:rsid w:val="004C691D"/>
    <w:rsid w:val="004D50BC"/>
    <w:rsid w:val="004E3711"/>
    <w:rsid w:val="004E54A3"/>
    <w:rsid w:val="004E692D"/>
    <w:rsid w:val="00500FD5"/>
    <w:rsid w:val="00501554"/>
    <w:rsid w:val="00501958"/>
    <w:rsid w:val="00506274"/>
    <w:rsid w:val="00514452"/>
    <w:rsid w:val="00514CD7"/>
    <w:rsid w:val="00521B32"/>
    <w:rsid w:val="005319B2"/>
    <w:rsid w:val="00532C74"/>
    <w:rsid w:val="00534E2E"/>
    <w:rsid w:val="00544552"/>
    <w:rsid w:val="0055069C"/>
    <w:rsid w:val="00566614"/>
    <w:rsid w:val="0057119F"/>
    <w:rsid w:val="00577249"/>
    <w:rsid w:val="00581932"/>
    <w:rsid w:val="005963BB"/>
    <w:rsid w:val="005A2818"/>
    <w:rsid w:val="005A3173"/>
    <w:rsid w:val="005A3223"/>
    <w:rsid w:val="005A3DA3"/>
    <w:rsid w:val="005A52C4"/>
    <w:rsid w:val="005C5370"/>
    <w:rsid w:val="005C7C02"/>
    <w:rsid w:val="005D03AB"/>
    <w:rsid w:val="005D5017"/>
    <w:rsid w:val="005E7F88"/>
    <w:rsid w:val="005F69BC"/>
    <w:rsid w:val="005F6CBB"/>
    <w:rsid w:val="005F6F13"/>
    <w:rsid w:val="0060058E"/>
    <w:rsid w:val="00601A91"/>
    <w:rsid w:val="00602BA3"/>
    <w:rsid w:val="006062F3"/>
    <w:rsid w:val="0061174C"/>
    <w:rsid w:val="00614159"/>
    <w:rsid w:val="00616AAA"/>
    <w:rsid w:val="00617C00"/>
    <w:rsid w:val="00622609"/>
    <w:rsid w:val="006263BF"/>
    <w:rsid w:val="00627033"/>
    <w:rsid w:val="0062748A"/>
    <w:rsid w:val="00630A2C"/>
    <w:rsid w:val="00631ED2"/>
    <w:rsid w:val="00651169"/>
    <w:rsid w:val="00653D69"/>
    <w:rsid w:val="00657173"/>
    <w:rsid w:val="00661651"/>
    <w:rsid w:val="00670A76"/>
    <w:rsid w:val="006711AA"/>
    <w:rsid w:val="00672B57"/>
    <w:rsid w:val="00675622"/>
    <w:rsid w:val="00681FAA"/>
    <w:rsid w:val="00687DDF"/>
    <w:rsid w:val="006906DB"/>
    <w:rsid w:val="006907E7"/>
    <w:rsid w:val="0069700F"/>
    <w:rsid w:val="006A0F05"/>
    <w:rsid w:val="006A12A5"/>
    <w:rsid w:val="006A5DE0"/>
    <w:rsid w:val="006A7F9E"/>
    <w:rsid w:val="006B0D94"/>
    <w:rsid w:val="006B3E9F"/>
    <w:rsid w:val="006B485D"/>
    <w:rsid w:val="006C1098"/>
    <w:rsid w:val="006C11B0"/>
    <w:rsid w:val="006C6A9F"/>
    <w:rsid w:val="006C708E"/>
    <w:rsid w:val="006D2090"/>
    <w:rsid w:val="006D6EC7"/>
    <w:rsid w:val="006E06BC"/>
    <w:rsid w:val="006F5125"/>
    <w:rsid w:val="00703F45"/>
    <w:rsid w:val="0070604E"/>
    <w:rsid w:val="007142A9"/>
    <w:rsid w:val="007174BB"/>
    <w:rsid w:val="00726F0C"/>
    <w:rsid w:val="007427DF"/>
    <w:rsid w:val="00750CE3"/>
    <w:rsid w:val="00753875"/>
    <w:rsid w:val="00754699"/>
    <w:rsid w:val="0076194E"/>
    <w:rsid w:val="0076420C"/>
    <w:rsid w:val="007660E4"/>
    <w:rsid w:val="00774AA5"/>
    <w:rsid w:val="007753C2"/>
    <w:rsid w:val="007772B1"/>
    <w:rsid w:val="007838B8"/>
    <w:rsid w:val="00786F97"/>
    <w:rsid w:val="0079162A"/>
    <w:rsid w:val="00794CF6"/>
    <w:rsid w:val="007A197C"/>
    <w:rsid w:val="007C0F57"/>
    <w:rsid w:val="007C1F28"/>
    <w:rsid w:val="007C3409"/>
    <w:rsid w:val="007C40B6"/>
    <w:rsid w:val="007C42FD"/>
    <w:rsid w:val="007C729F"/>
    <w:rsid w:val="007E1D28"/>
    <w:rsid w:val="007E69FC"/>
    <w:rsid w:val="007E70AA"/>
    <w:rsid w:val="007F2641"/>
    <w:rsid w:val="007F26B3"/>
    <w:rsid w:val="007F7C36"/>
    <w:rsid w:val="008005AF"/>
    <w:rsid w:val="00806796"/>
    <w:rsid w:val="0081115B"/>
    <w:rsid w:val="0081171D"/>
    <w:rsid w:val="008120A1"/>
    <w:rsid w:val="008151D6"/>
    <w:rsid w:val="00826D71"/>
    <w:rsid w:val="00826F6D"/>
    <w:rsid w:val="0084372B"/>
    <w:rsid w:val="00850C74"/>
    <w:rsid w:val="00856DDD"/>
    <w:rsid w:val="00860F2F"/>
    <w:rsid w:val="00863E68"/>
    <w:rsid w:val="00865CF5"/>
    <w:rsid w:val="00871118"/>
    <w:rsid w:val="00871D3A"/>
    <w:rsid w:val="0087458B"/>
    <w:rsid w:val="00882085"/>
    <w:rsid w:val="00883188"/>
    <w:rsid w:val="00883A0C"/>
    <w:rsid w:val="00896C90"/>
    <w:rsid w:val="00897D58"/>
    <w:rsid w:val="008A1956"/>
    <w:rsid w:val="008A1E91"/>
    <w:rsid w:val="008A4937"/>
    <w:rsid w:val="008A50F1"/>
    <w:rsid w:val="008C0727"/>
    <w:rsid w:val="008C1CF5"/>
    <w:rsid w:val="008C3EBC"/>
    <w:rsid w:val="008C5FFD"/>
    <w:rsid w:val="008D1B5C"/>
    <w:rsid w:val="008D3C82"/>
    <w:rsid w:val="008D447E"/>
    <w:rsid w:val="008D4BDB"/>
    <w:rsid w:val="008D7A41"/>
    <w:rsid w:val="008E0F70"/>
    <w:rsid w:val="008E3680"/>
    <w:rsid w:val="008E5870"/>
    <w:rsid w:val="008F1434"/>
    <w:rsid w:val="008F196C"/>
    <w:rsid w:val="008F7355"/>
    <w:rsid w:val="009067B7"/>
    <w:rsid w:val="00910AC9"/>
    <w:rsid w:val="00921996"/>
    <w:rsid w:val="00930937"/>
    <w:rsid w:val="00933E6C"/>
    <w:rsid w:val="00935EF0"/>
    <w:rsid w:val="00940917"/>
    <w:rsid w:val="00941ED1"/>
    <w:rsid w:val="00942160"/>
    <w:rsid w:val="0095146F"/>
    <w:rsid w:val="009602C5"/>
    <w:rsid w:val="00962223"/>
    <w:rsid w:val="00963CED"/>
    <w:rsid w:val="00973E4D"/>
    <w:rsid w:val="00974C21"/>
    <w:rsid w:val="009802B2"/>
    <w:rsid w:val="009855EF"/>
    <w:rsid w:val="009A38B3"/>
    <w:rsid w:val="009B0F67"/>
    <w:rsid w:val="009B6D88"/>
    <w:rsid w:val="009C01BE"/>
    <w:rsid w:val="009C1753"/>
    <w:rsid w:val="009C2E31"/>
    <w:rsid w:val="009C703C"/>
    <w:rsid w:val="009D3CAA"/>
    <w:rsid w:val="009D43D5"/>
    <w:rsid w:val="009E0C42"/>
    <w:rsid w:val="009E13A1"/>
    <w:rsid w:val="009E5D37"/>
    <w:rsid w:val="009F4E46"/>
    <w:rsid w:val="009F5B65"/>
    <w:rsid w:val="009F5F2E"/>
    <w:rsid w:val="009F7E95"/>
    <w:rsid w:val="00A06225"/>
    <w:rsid w:val="00A128E6"/>
    <w:rsid w:val="00A2181C"/>
    <w:rsid w:val="00A2298D"/>
    <w:rsid w:val="00A26507"/>
    <w:rsid w:val="00A30528"/>
    <w:rsid w:val="00A36697"/>
    <w:rsid w:val="00A37C8D"/>
    <w:rsid w:val="00A47CEB"/>
    <w:rsid w:val="00A52226"/>
    <w:rsid w:val="00A5273B"/>
    <w:rsid w:val="00A53A9D"/>
    <w:rsid w:val="00A55FEE"/>
    <w:rsid w:val="00A62C1A"/>
    <w:rsid w:val="00A6426D"/>
    <w:rsid w:val="00A70622"/>
    <w:rsid w:val="00A70977"/>
    <w:rsid w:val="00A74AF8"/>
    <w:rsid w:val="00A77613"/>
    <w:rsid w:val="00A8058C"/>
    <w:rsid w:val="00A8390C"/>
    <w:rsid w:val="00A852DD"/>
    <w:rsid w:val="00A865FF"/>
    <w:rsid w:val="00A873A3"/>
    <w:rsid w:val="00A928BD"/>
    <w:rsid w:val="00A94383"/>
    <w:rsid w:val="00A97AB2"/>
    <w:rsid w:val="00AA113A"/>
    <w:rsid w:val="00AA120B"/>
    <w:rsid w:val="00AA4D1C"/>
    <w:rsid w:val="00AA4E30"/>
    <w:rsid w:val="00AB33D3"/>
    <w:rsid w:val="00AB56ED"/>
    <w:rsid w:val="00AB761B"/>
    <w:rsid w:val="00AC193C"/>
    <w:rsid w:val="00AC5206"/>
    <w:rsid w:val="00AD07EB"/>
    <w:rsid w:val="00AD49A0"/>
    <w:rsid w:val="00AD675B"/>
    <w:rsid w:val="00AE11A5"/>
    <w:rsid w:val="00AE13E2"/>
    <w:rsid w:val="00AE7134"/>
    <w:rsid w:val="00AF68CC"/>
    <w:rsid w:val="00B07363"/>
    <w:rsid w:val="00B07FDE"/>
    <w:rsid w:val="00B1059E"/>
    <w:rsid w:val="00B205AA"/>
    <w:rsid w:val="00B22E84"/>
    <w:rsid w:val="00B25F75"/>
    <w:rsid w:val="00B33012"/>
    <w:rsid w:val="00B43E90"/>
    <w:rsid w:val="00B467DC"/>
    <w:rsid w:val="00B46C86"/>
    <w:rsid w:val="00B55B30"/>
    <w:rsid w:val="00B56118"/>
    <w:rsid w:val="00B6137A"/>
    <w:rsid w:val="00B6773F"/>
    <w:rsid w:val="00B71BD0"/>
    <w:rsid w:val="00B801BA"/>
    <w:rsid w:val="00B829B8"/>
    <w:rsid w:val="00B93804"/>
    <w:rsid w:val="00BB2880"/>
    <w:rsid w:val="00BB510E"/>
    <w:rsid w:val="00BB69F5"/>
    <w:rsid w:val="00BB7EC3"/>
    <w:rsid w:val="00BC0814"/>
    <w:rsid w:val="00BC4B9A"/>
    <w:rsid w:val="00BD0806"/>
    <w:rsid w:val="00BD784C"/>
    <w:rsid w:val="00BE605E"/>
    <w:rsid w:val="00BF3E40"/>
    <w:rsid w:val="00BF4CB6"/>
    <w:rsid w:val="00BF734C"/>
    <w:rsid w:val="00C00DA7"/>
    <w:rsid w:val="00C12768"/>
    <w:rsid w:val="00C275B9"/>
    <w:rsid w:val="00C27B58"/>
    <w:rsid w:val="00C3120D"/>
    <w:rsid w:val="00C35996"/>
    <w:rsid w:val="00C5342C"/>
    <w:rsid w:val="00C53AC8"/>
    <w:rsid w:val="00C54499"/>
    <w:rsid w:val="00C603D4"/>
    <w:rsid w:val="00C61C95"/>
    <w:rsid w:val="00C6256A"/>
    <w:rsid w:val="00C65AB5"/>
    <w:rsid w:val="00C71C91"/>
    <w:rsid w:val="00C7433E"/>
    <w:rsid w:val="00C74419"/>
    <w:rsid w:val="00C75322"/>
    <w:rsid w:val="00C91449"/>
    <w:rsid w:val="00C92D10"/>
    <w:rsid w:val="00C94B93"/>
    <w:rsid w:val="00CA5CA0"/>
    <w:rsid w:val="00CB27A5"/>
    <w:rsid w:val="00CB47FE"/>
    <w:rsid w:val="00CD04CC"/>
    <w:rsid w:val="00CD492A"/>
    <w:rsid w:val="00CE10C4"/>
    <w:rsid w:val="00CE27B5"/>
    <w:rsid w:val="00CE3E95"/>
    <w:rsid w:val="00D0321E"/>
    <w:rsid w:val="00D05F6D"/>
    <w:rsid w:val="00D104E9"/>
    <w:rsid w:val="00D13E99"/>
    <w:rsid w:val="00D14477"/>
    <w:rsid w:val="00D1455A"/>
    <w:rsid w:val="00D200D9"/>
    <w:rsid w:val="00D2022A"/>
    <w:rsid w:val="00D3138B"/>
    <w:rsid w:val="00D3280C"/>
    <w:rsid w:val="00D3406A"/>
    <w:rsid w:val="00D447C5"/>
    <w:rsid w:val="00D448D7"/>
    <w:rsid w:val="00D469B2"/>
    <w:rsid w:val="00D505BD"/>
    <w:rsid w:val="00D71EEF"/>
    <w:rsid w:val="00D741EB"/>
    <w:rsid w:val="00D84934"/>
    <w:rsid w:val="00D91271"/>
    <w:rsid w:val="00D9260B"/>
    <w:rsid w:val="00D92ADD"/>
    <w:rsid w:val="00DA2CB5"/>
    <w:rsid w:val="00DA4905"/>
    <w:rsid w:val="00DA4BAC"/>
    <w:rsid w:val="00DB435D"/>
    <w:rsid w:val="00DE2033"/>
    <w:rsid w:val="00DE6D27"/>
    <w:rsid w:val="00DF217D"/>
    <w:rsid w:val="00DF26A7"/>
    <w:rsid w:val="00DF2B92"/>
    <w:rsid w:val="00E12C68"/>
    <w:rsid w:val="00E15627"/>
    <w:rsid w:val="00E164B3"/>
    <w:rsid w:val="00E16910"/>
    <w:rsid w:val="00E16B2F"/>
    <w:rsid w:val="00E31C7B"/>
    <w:rsid w:val="00E35737"/>
    <w:rsid w:val="00E416FE"/>
    <w:rsid w:val="00E504CB"/>
    <w:rsid w:val="00E56510"/>
    <w:rsid w:val="00E57CC6"/>
    <w:rsid w:val="00E63ED5"/>
    <w:rsid w:val="00E65E54"/>
    <w:rsid w:val="00E72FD6"/>
    <w:rsid w:val="00E762EA"/>
    <w:rsid w:val="00E80155"/>
    <w:rsid w:val="00E848C0"/>
    <w:rsid w:val="00E91400"/>
    <w:rsid w:val="00E91B96"/>
    <w:rsid w:val="00E941A1"/>
    <w:rsid w:val="00E95CE3"/>
    <w:rsid w:val="00E97BE6"/>
    <w:rsid w:val="00EA2825"/>
    <w:rsid w:val="00EB0383"/>
    <w:rsid w:val="00EB4F06"/>
    <w:rsid w:val="00EB5088"/>
    <w:rsid w:val="00EB7649"/>
    <w:rsid w:val="00ED1644"/>
    <w:rsid w:val="00ED2593"/>
    <w:rsid w:val="00ED363C"/>
    <w:rsid w:val="00EE389C"/>
    <w:rsid w:val="00EF44A0"/>
    <w:rsid w:val="00EF4FED"/>
    <w:rsid w:val="00EF51A2"/>
    <w:rsid w:val="00F00F40"/>
    <w:rsid w:val="00F01907"/>
    <w:rsid w:val="00F02790"/>
    <w:rsid w:val="00F050BD"/>
    <w:rsid w:val="00F05657"/>
    <w:rsid w:val="00F1102B"/>
    <w:rsid w:val="00F11DEA"/>
    <w:rsid w:val="00F14C0C"/>
    <w:rsid w:val="00F1735F"/>
    <w:rsid w:val="00F219A5"/>
    <w:rsid w:val="00F25578"/>
    <w:rsid w:val="00F258E5"/>
    <w:rsid w:val="00F300BC"/>
    <w:rsid w:val="00F3334E"/>
    <w:rsid w:val="00F46682"/>
    <w:rsid w:val="00F50EC4"/>
    <w:rsid w:val="00F57A6D"/>
    <w:rsid w:val="00F638CC"/>
    <w:rsid w:val="00F64CC1"/>
    <w:rsid w:val="00F8247A"/>
    <w:rsid w:val="00F84639"/>
    <w:rsid w:val="00F9629A"/>
    <w:rsid w:val="00F969FE"/>
    <w:rsid w:val="00FA472D"/>
    <w:rsid w:val="00FA5883"/>
    <w:rsid w:val="00FA6055"/>
    <w:rsid w:val="00FB14FA"/>
    <w:rsid w:val="00FB322F"/>
    <w:rsid w:val="00FB442F"/>
    <w:rsid w:val="00FC1929"/>
    <w:rsid w:val="00FC5B46"/>
    <w:rsid w:val="00FD0909"/>
    <w:rsid w:val="00FE0E94"/>
    <w:rsid w:val="00FE2D81"/>
    <w:rsid w:val="00FE58B0"/>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41ED1"/>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customStyle="1" w:styleId="TableFooter">
    <w:name w:val="Table Footer"/>
    <w:basedOn w:val="Normal"/>
    <w:qFormat/>
    <w:rsid w:val="001F1E34"/>
    <w:pPr>
      <w:widowControl w:val="0"/>
      <w:jc w:val="both"/>
    </w:pPr>
    <w:rPr>
      <w:rFonts w:ascii="Arial Narrow" w:hAnsi="Arial Narrow" w:cs="Arial"/>
      <w:snapToGrid w:val="0"/>
      <w:sz w:val="18"/>
      <w:szCs w:val="20"/>
      <w:lang w:eastAsia="en-US"/>
    </w:rPr>
  </w:style>
  <w:style w:type="character" w:customStyle="1" w:styleId="Heading2Char">
    <w:name w:val="Heading 2 Char"/>
    <w:basedOn w:val="DefaultParagraphFont"/>
    <w:link w:val="Heading2"/>
    <w:rsid w:val="00BB2880"/>
    <w:rPr>
      <w:rFonts w:ascii="Arial" w:hAnsi="Arial"/>
      <w:b/>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41ED1"/>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customStyle="1" w:styleId="TableFooter">
    <w:name w:val="Table Footer"/>
    <w:basedOn w:val="Normal"/>
    <w:qFormat/>
    <w:rsid w:val="001F1E34"/>
    <w:pPr>
      <w:widowControl w:val="0"/>
      <w:jc w:val="both"/>
    </w:pPr>
    <w:rPr>
      <w:rFonts w:ascii="Arial Narrow" w:hAnsi="Arial Narrow" w:cs="Arial"/>
      <w:snapToGrid w:val="0"/>
      <w:sz w:val="18"/>
      <w:szCs w:val="20"/>
      <w:lang w:eastAsia="en-US"/>
    </w:rPr>
  </w:style>
  <w:style w:type="character" w:customStyle="1" w:styleId="Heading2Char">
    <w:name w:val="Heading 2 Char"/>
    <w:basedOn w:val="DefaultParagraphFont"/>
    <w:link w:val="Heading2"/>
    <w:rsid w:val="00BB2880"/>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1980371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76844871">
      <w:bodyDiv w:val="1"/>
      <w:marLeft w:val="0"/>
      <w:marRight w:val="0"/>
      <w:marTop w:val="0"/>
      <w:marBottom w:val="0"/>
      <w:divBdr>
        <w:top w:val="none" w:sz="0" w:space="0" w:color="auto"/>
        <w:left w:val="none" w:sz="0" w:space="0" w:color="auto"/>
        <w:bottom w:val="none" w:sz="0" w:space="0" w:color="auto"/>
        <w:right w:val="none" w:sz="0" w:space="0" w:color="auto"/>
      </w:divBdr>
    </w:div>
    <w:div w:id="128399601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6095E-A385-41AD-B388-BFC21002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2908</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2017-02-06T00:02:00Z</dcterms:created>
  <dcterms:modified xsi:type="dcterms:W3CDTF">2017-02-17T04:30:00Z</dcterms:modified>
</cp:coreProperties>
</file>