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8A0437" w:rsidRDefault="00F8530D" w:rsidP="00915C99">
      <w:pPr>
        <w:pStyle w:val="Heading1"/>
        <w:widowControl/>
        <w:jc w:val="left"/>
        <w:rPr>
          <w:sz w:val="28"/>
        </w:rPr>
      </w:pPr>
      <w:bookmarkStart w:id="0" w:name="_Toc459120711"/>
      <w:bookmarkStart w:id="1" w:name="_GoBack"/>
      <w:bookmarkEnd w:id="1"/>
      <w:r w:rsidRPr="008A0437">
        <w:rPr>
          <w:sz w:val="28"/>
        </w:rPr>
        <w:t>4.02</w:t>
      </w:r>
      <w:r w:rsidR="00B60939" w:rsidRPr="008A0437">
        <w:rPr>
          <w:sz w:val="28"/>
        </w:rPr>
        <w:tab/>
      </w:r>
      <w:r w:rsidR="002A13F5" w:rsidRPr="008A0437">
        <w:rPr>
          <w:sz w:val="28"/>
        </w:rPr>
        <w:t>NINTEDANIB</w:t>
      </w:r>
      <w:r w:rsidR="00B60939" w:rsidRPr="008A0437">
        <w:rPr>
          <w:sz w:val="28"/>
        </w:rPr>
        <w:t xml:space="preserve">, </w:t>
      </w:r>
      <w:r w:rsidR="00ED31FA" w:rsidRPr="008A0437">
        <w:rPr>
          <w:sz w:val="28"/>
        </w:rPr>
        <w:br/>
      </w:r>
      <w:r w:rsidR="002A13F5" w:rsidRPr="00E21627">
        <w:rPr>
          <w:caps w:val="0"/>
          <w:sz w:val="28"/>
        </w:rPr>
        <w:t xml:space="preserve">100 </w:t>
      </w:r>
      <w:r w:rsidR="00E21627">
        <w:rPr>
          <w:caps w:val="0"/>
          <w:sz w:val="28"/>
        </w:rPr>
        <w:t>mg capsule,</w:t>
      </w:r>
      <w:r w:rsidR="00B60939" w:rsidRPr="00E21627">
        <w:rPr>
          <w:caps w:val="0"/>
          <w:sz w:val="28"/>
        </w:rPr>
        <w:t xml:space="preserve"> </w:t>
      </w:r>
      <w:r w:rsidR="002A13F5" w:rsidRPr="00E21627">
        <w:rPr>
          <w:caps w:val="0"/>
          <w:sz w:val="28"/>
        </w:rPr>
        <w:t>60</w:t>
      </w:r>
      <w:r w:rsidR="00B60939" w:rsidRPr="00E21627">
        <w:rPr>
          <w:caps w:val="0"/>
          <w:sz w:val="28"/>
        </w:rPr>
        <w:t>,</w:t>
      </w:r>
      <w:r w:rsidR="002A13F5" w:rsidRPr="00E21627">
        <w:rPr>
          <w:caps w:val="0"/>
          <w:sz w:val="28"/>
        </w:rPr>
        <w:t xml:space="preserve"> 150</w:t>
      </w:r>
      <w:r w:rsidR="002A78FC" w:rsidRPr="00E21627">
        <w:rPr>
          <w:rFonts w:hint="eastAsia"/>
          <w:caps w:val="0"/>
          <w:sz w:val="28"/>
        </w:rPr>
        <w:t> </w:t>
      </w:r>
      <w:r w:rsidR="00E21627">
        <w:rPr>
          <w:caps w:val="0"/>
          <w:sz w:val="28"/>
        </w:rPr>
        <w:t>mg</w:t>
      </w:r>
      <w:r w:rsidR="002A13F5" w:rsidRPr="00E21627">
        <w:rPr>
          <w:caps w:val="0"/>
          <w:sz w:val="28"/>
        </w:rPr>
        <w:t xml:space="preserve"> </w:t>
      </w:r>
      <w:r w:rsidR="00E21627">
        <w:rPr>
          <w:caps w:val="0"/>
          <w:sz w:val="28"/>
        </w:rPr>
        <w:t>capsule</w:t>
      </w:r>
      <w:r w:rsidR="002A13F5" w:rsidRPr="00E21627">
        <w:rPr>
          <w:caps w:val="0"/>
          <w:sz w:val="28"/>
        </w:rPr>
        <w:t>, 60,</w:t>
      </w:r>
      <w:r w:rsidR="00B60939" w:rsidRPr="00E21627">
        <w:rPr>
          <w:caps w:val="0"/>
          <w:sz w:val="28"/>
        </w:rPr>
        <w:t xml:space="preserve"> </w:t>
      </w:r>
      <w:r w:rsidR="00ED31FA" w:rsidRPr="00E21627">
        <w:rPr>
          <w:caps w:val="0"/>
          <w:sz w:val="28"/>
        </w:rPr>
        <w:br/>
      </w:r>
      <w:r w:rsidR="00E21627">
        <w:rPr>
          <w:caps w:val="0"/>
          <w:sz w:val="28"/>
        </w:rPr>
        <w:t>Ofev</w:t>
      </w:r>
      <w:r w:rsidR="00B60939" w:rsidRPr="00E21627">
        <w:rPr>
          <w:caps w:val="0"/>
          <w:sz w:val="28"/>
        </w:rPr>
        <w:t xml:space="preserve">®, </w:t>
      </w:r>
      <w:r w:rsidR="00ED31FA" w:rsidRPr="00E21627">
        <w:rPr>
          <w:caps w:val="0"/>
          <w:sz w:val="28"/>
        </w:rPr>
        <w:br/>
      </w:r>
      <w:r w:rsidR="00C46416" w:rsidRPr="00E21627">
        <w:rPr>
          <w:caps w:val="0"/>
          <w:sz w:val="28"/>
        </w:rPr>
        <w:t>B</w:t>
      </w:r>
      <w:r w:rsidR="00E21627">
        <w:rPr>
          <w:caps w:val="0"/>
          <w:sz w:val="28"/>
        </w:rPr>
        <w:t xml:space="preserve">oehringer Ingelheim Pty </w:t>
      </w:r>
      <w:r w:rsidR="002F4158">
        <w:rPr>
          <w:caps w:val="0"/>
          <w:sz w:val="28"/>
        </w:rPr>
        <w:t>Limited</w:t>
      </w:r>
      <w:r w:rsidR="00B60939" w:rsidRPr="00E21627">
        <w:rPr>
          <w:caps w:val="0"/>
          <w:sz w:val="28"/>
        </w:rPr>
        <w:t>.</w:t>
      </w:r>
      <w:bookmarkEnd w:id="0"/>
    </w:p>
    <w:p w:rsidR="00F338FF" w:rsidRPr="008A0437" w:rsidRDefault="00F338FF" w:rsidP="00915C99">
      <w:pPr>
        <w:widowControl/>
      </w:pPr>
    </w:p>
    <w:p w:rsidR="00E83BBF" w:rsidRPr="008A0437" w:rsidRDefault="00E83BBF" w:rsidP="00915C99">
      <w:pPr>
        <w:widowControl/>
      </w:pPr>
    </w:p>
    <w:p w:rsidR="00F338FF" w:rsidRPr="008A0437" w:rsidRDefault="00F338FF" w:rsidP="00915C99">
      <w:pPr>
        <w:pStyle w:val="PBACheading1"/>
        <w:rPr>
          <w:b/>
        </w:rPr>
      </w:pPr>
      <w:bookmarkStart w:id="2" w:name="_Toc459120713"/>
      <w:r w:rsidRPr="008A0437">
        <w:rPr>
          <w:b/>
        </w:rPr>
        <w:t>Purpose of Application</w:t>
      </w:r>
      <w:bookmarkEnd w:id="2"/>
    </w:p>
    <w:p w:rsidR="00B60939" w:rsidRPr="008A0437" w:rsidRDefault="00B60939" w:rsidP="00915C99">
      <w:pPr>
        <w:widowControl/>
        <w:rPr>
          <w:szCs w:val="22"/>
        </w:rPr>
      </w:pPr>
    </w:p>
    <w:p w:rsidR="00B14963" w:rsidRPr="008A0437" w:rsidRDefault="00A833FF" w:rsidP="00915C99">
      <w:pPr>
        <w:pStyle w:val="ListParagraph"/>
        <w:widowControl/>
        <w:numPr>
          <w:ilvl w:val="1"/>
          <w:numId w:val="1"/>
        </w:numPr>
        <w:rPr>
          <w:szCs w:val="22"/>
        </w:rPr>
      </w:pPr>
      <w:r w:rsidRPr="008A0437">
        <w:t>Resubmission t</w:t>
      </w:r>
      <w:r w:rsidR="003A7AF2" w:rsidRPr="008A0437">
        <w:t>o request A</w:t>
      </w:r>
      <w:r w:rsidR="00280F18" w:rsidRPr="008A0437">
        <w:t xml:space="preserve">uthority </w:t>
      </w:r>
      <w:r w:rsidR="003A7AF2" w:rsidRPr="008A0437">
        <w:t>R</w:t>
      </w:r>
      <w:r w:rsidR="00280F18" w:rsidRPr="008A0437">
        <w:t xml:space="preserve">equired listing for nintedanib for </w:t>
      </w:r>
      <w:r w:rsidR="00D91365" w:rsidRPr="008A0437">
        <w:t xml:space="preserve">the </w:t>
      </w:r>
      <w:r w:rsidR="00280F18" w:rsidRPr="008A0437">
        <w:t xml:space="preserve">treatment of </w:t>
      </w:r>
      <w:r w:rsidR="00D91365" w:rsidRPr="008A0437">
        <w:t xml:space="preserve">patients with </w:t>
      </w:r>
      <w:r w:rsidR="00280F18" w:rsidRPr="008A0437">
        <w:t>idiopathic pulmonary fibrosis (IPF).</w:t>
      </w:r>
    </w:p>
    <w:p w:rsidR="00280F18" w:rsidRDefault="00280F18" w:rsidP="00915C99">
      <w:pPr>
        <w:widowControl/>
        <w:rPr>
          <w:szCs w:val="22"/>
        </w:rPr>
      </w:pPr>
    </w:p>
    <w:p w:rsidR="00D841E6" w:rsidRPr="008A0437" w:rsidRDefault="00D841E6" w:rsidP="00915C99">
      <w:pPr>
        <w:widowControl/>
        <w:rPr>
          <w:szCs w:val="22"/>
        </w:rPr>
      </w:pPr>
    </w:p>
    <w:p w:rsidR="0010388A" w:rsidRPr="008A0437" w:rsidRDefault="0010388A" w:rsidP="00915C99">
      <w:pPr>
        <w:pStyle w:val="PBACheading1"/>
        <w:rPr>
          <w:b/>
        </w:rPr>
      </w:pPr>
      <w:r w:rsidRPr="008A0437">
        <w:rPr>
          <w:b/>
        </w:rPr>
        <w:t>Requested listing</w:t>
      </w:r>
    </w:p>
    <w:p w:rsidR="0010388A" w:rsidRPr="008A0437" w:rsidRDefault="0010388A" w:rsidP="00915C99">
      <w:pPr>
        <w:widowControl/>
      </w:pPr>
    </w:p>
    <w:p w:rsidR="0010388A" w:rsidRPr="008A0437" w:rsidRDefault="0010388A" w:rsidP="00915C99">
      <w:pPr>
        <w:pStyle w:val="ListParagraph"/>
        <w:widowControl/>
        <w:numPr>
          <w:ilvl w:val="1"/>
          <w:numId w:val="1"/>
        </w:numPr>
      </w:pPr>
      <w:r w:rsidRPr="008A0437">
        <w:t>An abbreviated version of the requested restriction is below. Suggestions and additions proposed by the Secretariat to the requested listing are added in italics and suggested deletions are crossed out with strikethrough.</w:t>
      </w:r>
    </w:p>
    <w:p w:rsidR="0010388A" w:rsidRPr="008A0437" w:rsidRDefault="0010388A" w:rsidP="00915C99">
      <w:pPr>
        <w:widowControl/>
        <w:rPr>
          <w:szCs w:val="22"/>
        </w:rPr>
      </w:pPr>
    </w:p>
    <w:tbl>
      <w:tblPr>
        <w:tblW w:w="8363" w:type="dxa"/>
        <w:tblInd w:w="817" w:type="dxa"/>
        <w:tblLayout w:type="fixed"/>
        <w:tblLook w:val="0000" w:firstRow="0" w:lastRow="0" w:firstColumn="0" w:lastColumn="0" w:noHBand="0" w:noVBand="0"/>
      </w:tblPr>
      <w:tblGrid>
        <w:gridCol w:w="2126"/>
        <w:gridCol w:w="426"/>
        <w:gridCol w:w="567"/>
        <w:gridCol w:w="708"/>
        <w:gridCol w:w="1985"/>
        <w:gridCol w:w="1417"/>
        <w:gridCol w:w="1134"/>
      </w:tblGrid>
      <w:tr w:rsidR="00624399" w:rsidRPr="008A0437" w:rsidTr="00652BBF">
        <w:trPr>
          <w:cantSplit/>
          <w:trHeight w:val="471"/>
        </w:trPr>
        <w:tc>
          <w:tcPr>
            <w:tcW w:w="2552" w:type="dxa"/>
            <w:gridSpan w:val="2"/>
            <w:tcBorders>
              <w:bottom w:val="single" w:sz="4" w:space="0" w:color="auto"/>
            </w:tcBorders>
          </w:tcPr>
          <w:p w:rsidR="00624399" w:rsidRPr="008A0437" w:rsidRDefault="00624399" w:rsidP="00915C99">
            <w:pPr>
              <w:keepNext/>
              <w:widowControl/>
              <w:ind w:left="-108"/>
              <w:rPr>
                <w:rFonts w:ascii="Arial Narrow" w:hAnsi="Arial Narrow"/>
                <w:sz w:val="20"/>
              </w:rPr>
            </w:pPr>
            <w:r w:rsidRPr="008A0437">
              <w:rPr>
                <w:rFonts w:ascii="Arial Narrow" w:hAnsi="Arial Narrow"/>
                <w:sz w:val="20"/>
              </w:rPr>
              <w:t>Name, Restriction,</w:t>
            </w:r>
          </w:p>
          <w:p w:rsidR="00624399" w:rsidRPr="008A0437" w:rsidRDefault="00624399" w:rsidP="00915C99">
            <w:pPr>
              <w:keepNext/>
              <w:widowControl/>
              <w:ind w:left="-108"/>
              <w:rPr>
                <w:rFonts w:ascii="Arial Narrow" w:hAnsi="Arial Narrow"/>
                <w:sz w:val="20"/>
              </w:rPr>
            </w:pPr>
            <w:r w:rsidRPr="008A0437">
              <w:rPr>
                <w:rFonts w:ascii="Arial Narrow" w:hAnsi="Arial Narrow"/>
                <w:sz w:val="20"/>
              </w:rPr>
              <w:t>Manner of administration and form</w:t>
            </w:r>
          </w:p>
        </w:tc>
        <w:tc>
          <w:tcPr>
            <w:tcW w:w="567" w:type="dxa"/>
            <w:tcBorders>
              <w:bottom w:val="single" w:sz="4" w:space="0" w:color="auto"/>
            </w:tcBorders>
          </w:tcPr>
          <w:p w:rsidR="00624399" w:rsidRPr="008A0437" w:rsidRDefault="00624399" w:rsidP="00915C99">
            <w:pPr>
              <w:keepNext/>
              <w:widowControl/>
              <w:ind w:left="-108"/>
              <w:rPr>
                <w:rFonts w:ascii="Arial Narrow" w:hAnsi="Arial Narrow"/>
                <w:sz w:val="20"/>
              </w:rPr>
            </w:pPr>
            <w:r w:rsidRPr="008A0437">
              <w:rPr>
                <w:rFonts w:ascii="Arial Narrow" w:hAnsi="Arial Narrow"/>
                <w:sz w:val="20"/>
              </w:rPr>
              <w:t>Max.</w:t>
            </w:r>
          </w:p>
          <w:p w:rsidR="00624399" w:rsidRPr="008A0437" w:rsidRDefault="00624399" w:rsidP="00915C99">
            <w:pPr>
              <w:keepNext/>
              <w:widowControl/>
              <w:ind w:left="-108"/>
              <w:rPr>
                <w:rFonts w:ascii="Arial Narrow" w:hAnsi="Arial Narrow"/>
                <w:sz w:val="20"/>
              </w:rPr>
            </w:pPr>
            <w:r w:rsidRPr="008A0437">
              <w:rPr>
                <w:rFonts w:ascii="Arial Narrow" w:hAnsi="Arial Narrow"/>
                <w:sz w:val="20"/>
              </w:rPr>
              <w:t>Qty</w:t>
            </w:r>
          </w:p>
        </w:tc>
        <w:tc>
          <w:tcPr>
            <w:tcW w:w="708" w:type="dxa"/>
            <w:tcBorders>
              <w:bottom w:val="single" w:sz="4" w:space="0" w:color="auto"/>
            </w:tcBorders>
          </w:tcPr>
          <w:p w:rsidR="00624399" w:rsidRPr="008A0437" w:rsidRDefault="00624399" w:rsidP="00915C99">
            <w:pPr>
              <w:keepNext/>
              <w:widowControl/>
              <w:ind w:left="-108"/>
              <w:rPr>
                <w:rFonts w:ascii="Arial Narrow" w:hAnsi="Arial Narrow"/>
                <w:sz w:val="20"/>
              </w:rPr>
            </w:pPr>
            <w:r w:rsidRPr="008A0437">
              <w:rPr>
                <w:rFonts w:ascii="Arial Narrow" w:hAnsi="Arial Narrow"/>
                <w:sz w:val="20"/>
              </w:rPr>
              <w:t>№.of</w:t>
            </w:r>
          </w:p>
          <w:p w:rsidR="00624399" w:rsidRPr="008A0437" w:rsidRDefault="00624399" w:rsidP="00915C99">
            <w:pPr>
              <w:keepNext/>
              <w:widowControl/>
              <w:ind w:left="-108"/>
              <w:rPr>
                <w:rFonts w:ascii="Arial Narrow" w:hAnsi="Arial Narrow"/>
                <w:sz w:val="20"/>
              </w:rPr>
            </w:pPr>
            <w:r w:rsidRPr="008A0437">
              <w:rPr>
                <w:rFonts w:ascii="Arial Narrow" w:hAnsi="Arial Narrow"/>
                <w:sz w:val="20"/>
              </w:rPr>
              <w:t>Rpts</w:t>
            </w:r>
          </w:p>
        </w:tc>
        <w:tc>
          <w:tcPr>
            <w:tcW w:w="1985" w:type="dxa"/>
            <w:tcBorders>
              <w:bottom w:val="single" w:sz="4" w:space="0" w:color="auto"/>
            </w:tcBorders>
          </w:tcPr>
          <w:p w:rsidR="00624399" w:rsidRPr="008A0437" w:rsidRDefault="00624399" w:rsidP="00915C99">
            <w:pPr>
              <w:keepNext/>
              <w:widowControl/>
              <w:ind w:left="-108"/>
              <w:rPr>
                <w:rFonts w:ascii="Arial Narrow" w:hAnsi="Arial Narrow"/>
                <w:sz w:val="20"/>
              </w:rPr>
            </w:pPr>
            <w:r w:rsidRPr="008A0437">
              <w:rPr>
                <w:rFonts w:ascii="Arial Narrow" w:hAnsi="Arial Narrow"/>
                <w:sz w:val="20"/>
              </w:rPr>
              <w:t>Dispensed Price for Max. Qty</w:t>
            </w:r>
          </w:p>
        </w:tc>
        <w:tc>
          <w:tcPr>
            <w:tcW w:w="2551" w:type="dxa"/>
            <w:gridSpan w:val="2"/>
            <w:tcBorders>
              <w:bottom w:val="single" w:sz="4" w:space="0" w:color="auto"/>
            </w:tcBorders>
          </w:tcPr>
          <w:p w:rsidR="00624399" w:rsidRPr="008A0437" w:rsidRDefault="00624399" w:rsidP="00915C99">
            <w:pPr>
              <w:keepNext/>
              <w:widowControl/>
              <w:rPr>
                <w:rFonts w:ascii="Arial Narrow" w:hAnsi="Arial Narrow"/>
                <w:sz w:val="20"/>
              </w:rPr>
            </w:pPr>
            <w:r w:rsidRPr="008A0437">
              <w:rPr>
                <w:rFonts w:ascii="Arial Narrow" w:hAnsi="Arial Narrow"/>
                <w:sz w:val="20"/>
              </w:rPr>
              <w:t>Proprietary Name and Manufacturer</w:t>
            </w:r>
          </w:p>
        </w:tc>
      </w:tr>
      <w:tr w:rsidR="00624399" w:rsidRPr="008A0437" w:rsidTr="00652BBF">
        <w:trPr>
          <w:cantSplit/>
          <w:trHeight w:val="577"/>
        </w:trPr>
        <w:tc>
          <w:tcPr>
            <w:tcW w:w="2552" w:type="dxa"/>
            <w:gridSpan w:val="2"/>
          </w:tcPr>
          <w:p w:rsidR="00624399" w:rsidRPr="008A0437" w:rsidRDefault="00624399" w:rsidP="00915C99">
            <w:pPr>
              <w:keepNext/>
              <w:widowControl/>
              <w:ind w:left="-108"/>
              <w:rPr>
                <w:rFonts w:ascii="Arial Narrow" w:hAnsi="Arial Narrow"/>
                <w:sz w:val="20"/>
              </w:rPr>
            </w:pPr>
            <w:r w:rsidRPr="008A0437">
              <w:rPr>
                <w:rFonts w:ascii="Arial Narrow" w:hAnsi="Arial Narrow"/>
                <w:smallCaps/>
                <w:sz w:val="20"/>
              </w:rPr>
              <w:t>nintedanib</w:t>
            </w:r>
          </w:p>
          <w:p w:rsidR="00624399" w:rsidRPr="008A0437" w:rsidRDefault="002A78FC" w:rsidP="00915C99">
            <w:pPr>
              <w:keepNext/>
              <w:widowControl/>
              <w:ind w:left="-108"/>
              <w:rPr>
                <w:rFonts w:ascii="Arial Narrow" w:hAnsi="Arial Narrow"/>
                <w:smallCaps/>
                <w:sz w:val="20"/>
              </w:rPr>
            </w:pPr>
            <w:r>
              <w:rPr>
                <w:rFonts w:ascii="Arial Narrow" w:hAnsi="Arial Narrow"/>
                <w:smallCaps/>
                <w:sz w:val="20"/>
              </w:rPr>
              <w:t>Capsule, oral, 100 </w:t>
            </w:r>
            <w:r w:rsidR="00624399" w:rsidRPr="008A0437">
              <w:rPr>
                <w:rFonts w:ascii="Arial Narrow" w:hAnsi="Arial Narrow"/>
                <w:smallCaps/>
                <w:sz w:val="20"/>
              </w:rPr>
              <w:t>mg, 60</w:t>
            </w:r>
          </w:p>
          <w:p w:rsidR="00624399" w:rsidRPr="008A0437" w:rsidRDefault="00624399" w:rsidP="00915C99">
            <w:pPr>
              <w:keepNext/>
              <w:widowControl/>
              <w:ind w:left="-108"/>
              <w:rPr>
                <w:rFonts w:ascii="Arial Narrow" w:hAnsi="Arial Narrow"/>
                <w:smallCaps/>
                <w:sz w:val="20"/>
              </w:rPr>
            </w:pPr>
          </w:p>
          <w:p w:rsidR="00624399" w:rsidRPr="008A0437" w:rsidRDefault="002A78FC" w:rsidP="00915C99">
            <w:pPr>
              <w:keepNext/>
              <w:widowControl/>
              <w:ind w:left="-108"/>
              <w:rPr>
                <w:rFonts w:ascii="Arial Narrow" w:hAnsi="Arial Narrow"/>
                <w:sz w:val="20"/>
              </w:rPr>
            </w:pPr>
            <w:r>
              <w:rPr>
                <w:rFonts w:ascii="Arial Narrow" w:hAnsi="Arial Narrow"/>
                <w:smallCaps/>
                <w:sz w:val="20"/>
              </w:rPr>
              <w:t>Capsule, oral, 150 </w:t>
            </w:r>
            <w:r w:rsidR="00624399" w:rsidRPr="008A0437">
              <w:rPr>
                <w:rFonts w:ascii="Arial Narrow" w:hAnsi="Arial Narrow"/>
                <w:smallCaps/>
                <w:sz w:val="20"/>
              </w:rPr>
              <w:t>mg, 60</w:t>
            </w:r>
          </w:p>
        </w:tc>
        <w:tc>
          <w:tcPr>
            <w:tcW w:w="567" w:type="dxa"/>
          </w:tcPr>
          <w:p w:rsidR="00624399" w:rsidRPr="008A0437" w:rsidRDefault="00624399" w:rsidP="00915C99">
            <w:pPr>
              <w:keepNext/>
              <w:widowControl/>
              <w:ind w:left="-108"/>
              <w:rPr>
                <w:rFonts w:ascii="Arial Narrow" w:hAnsi="Arial Narrow"/>
                <w:sz w:val="20"/>
              </w:rPr>
            </w:pPr>
          </w:p>
          <w:p w:rsidR="00624399" w:rsidRPr="008A0437" w:rsidRDefault="00624399" w:rsidP="00915C99">
            <w:pPr>
              <w:keepNext/>
              <w:widowControl/>
              <w:ind w:left="-108"/>
              <w:rPr>
                <w:rFonts w:ascii="Arial Narrow" w:hAnsi="Arial Narrow"/>
                <w:sz w:val="20"/>
              </w:rPr>
            </w:pPr>
            <w:r w:rsidRPr="008A0437">
              <w:rPr>
                <w:rFonts w:ascii="Arial Narrow" w:hAnsi="Arial Narrow"/>
                <w:sz w:val="20"/>
              </w:rPr>
              <w:t>1</w:t>
            </w:r>
          </w:p>
          <w:p w:rsidR="00624399" w:rsidRPr="008A0437" w:rsidRDefault="00624399" w:rsidP="00915C99">
            <w:pPr>
              <w:keepNext/>
              <w:widowControl/>
              <w:ind w:left="-108"/>
              <w:rPr>
                <w:rFonts w:ascii="Arial Narrow" w:hAnsi="Arial Narrow"/>
                <w:sz w:val="20"/>
              </w:rPr>
            </w:pPr>
          </w:p>
          <w:p w:rsidR="00624399" w:rsidRPr="008A0437" w:rsidRDefault="00624399" w:rsidP="00915C99">
            <w:pPr>
              <w:keepNext/>
              <w:widowControl/>
              <w:ind w:left="-108"/>
              <w:rPr>
                <w:rFonts w:ascii="Arial Narrow" w:hAnsi="Arial Narrow"/>
                <w:sz w:val="20"/>
              </w:rPr>
            </w:pPr>
            <w:r w:rsidRPr="008A0437">
              <w:rPr>
                <w:rFonts w:ascii="Arial Narrow" w:hAnsi="Arial Narrow"/>
                <w:sz w:val="20"/>
              </w:rPr>
              <w:t>1</w:t>
            </w:r>
          </w:p>
        </w:tc>
        <w:tc>
          <w:tcPr>
            <w:tcW w:w="708" w:type="dxa"/>
          </w:tcPr>
          <w:p w:rsidR="00624399" w:rsidRPr="008A0437" w:rsidRDefault="00624399" w:rsidP="00652BBF">
            <w:pPr>
              <w:keepNext/>
              <w:widowControl/>
              <w:ind w:left="-108"/>
              <w:jc w:val="left"/>
              <w:rPr>
                <w:rFonts w:ascii="Arial Narrow" w:hAnsi="Arial Narrow"/>
                <w:sz w:val="20"/>
              </w:rPr>
            </w:pPr>
          </w:p>
          <w:p w:rsidR="00624399" w:rsidRPr="008A0437" w:rsidRDefault="00624399" w:rsidP="00652BBF">
            <w:pPr>
              <w:keepNext/>
              <w:widowControl/>
              <w:ind w:left="-108"/>
              <w:jc w:val="left"/>
              <w:rPr>
                <w:rFonts w:ascii="Arial Narrow" w:hAnsi="Arial Narrow"/>
                <w:sz w:val="20"/>
              </w:rPr>
            </w:pPr>
            <w:r w:rsidRPr="008A0437">
              <w:rPr>
                <w:rFonts w:ascii="Arial Narrow" w:hAnsi="Arial Narrow"/>
                <w:sz w:val="20"/>
              </w:rPr>
              <w:t>5</w:t>
            </w:r>
          </w:p>
          <w:p w:rsidR="00624399" w:rsidRPr="008A0437" w:rsidRDefault="00624399" w:rsidP="00652BBF">
            <w:pPr>
              <w:keepNext/>
              <w:widowControl/>
              <w:ind w:left="-108"/>
              <w:jc w:val="left"/>
              <w:rPr>
                <w:rFonts w:ascii="Arial Narrow" w:hAnsi="Arial Narrow"/>
                <w:sz w:val="20"/>
              </w:rPr>
            </w:pPr>
          </w:p>
          <w:p w:rsidR="00624399" w:rsidRPr="008A0437" w:rsidRDefault="00624399" w:rsidP="00652BBF">
            <w:pPr>
              <w:keepNext/>
              <w:widowControl/>
              <w:ind w:left="-108"/>
              <w:jc w:val="left"/>
              <w:rPr>
                <w:rFonts w:ascii="Arial Narrow" w:hAnsi="Arial Narrow"/>
                <w:sz w:val="20"/>
              </w:rPr>
            </w:pPr>
            <w:r w:rsidRPr="008A0437">
              <w:rPr>
                <w:rFonts w:ascii="Arial Narrow" w:hAnsi="Arial Narrow"/>
                <w:sz w:val="20"/>
              </w:rPr>
              <w:t>5</w:t>
            </w:r>
          </w:p>
        </w:tc>
        <w:tc>
          <w:tcPr>
            <w:tcW w:w="1985" w:type="dxa"/>
          </w:tcPr>
          <w:p w:rsidR="00624399" w:rsidRPr="008A0437" w:rsidRDefault="00624399" w:rsidP="00652BBF">
            <w:pPr>
              <w:keepNext/>
              <w:widowControl/>
              <w:ind w:left="-108"/>
              <w:jc w:val="left"/>
              <w:rPr>
                <w:rFonts w:ascii="Arial Narrow" w:hAnsi="Arial Narrow"/>
                <w:sz w:val="20"/>
              </w:rPr>
            </w:pPr>
          </w:p>
          <w:p w:rsidR="00624399" w:rsidRPr="008A0437" w:rsidRDefault="00624399" w:rsidP="00652BBF">
            <w:pPr>
              <w:keepNext/>
              <w:widowControl/>
              <w:ind w:left="-108"/>
              <w:jc w:val="left"/>
              <w:rPr>
                <w:rFonts w:ascii="Arial Narrow" w:hAnsi="Arial Narrow"/>
                <w:sz w:val="20"/>
              </w:rPr>
            </w:pPr>
            <w:r w:rsidRPr="008A0437">
              <w:rPr>
                <w:rFonts w:ascii="Arial Narrow" w:hAnsi="Arial Narrow"/>
                <w:sz w:val="20"/>
              </w:rPr>
              <w:t>$</w:t>
            </w:r>
            <w:r w:rsidR="003B3717">
              <w:rPr>
                <w:rFonts w:ascii="Arial Narrow" w:hAnsi="Arial Narrow"/>
                <w:noProof/>
                <w:color w:val="000000"/>
                <w:sz w:val="20"/>
                <w:highlight w:val="black"/>
              </w:rPr>
              <w:t>''''''''''''''''''''</w:t>
            </w:r>
            <w:r w:rsidRPr="008A0437">
              <w:rPr>
                <w:rFonts w:ascii="Arial Narrow" w:hAnsi="Arial Narrow"/>
                <w:sz w:val="20"/>
              </w:rPr>
              <w:t xml:space="preserve"> </w:t>
            </w:r>
            <w:r w:rsidR="00652BBF">
              <w:rPr>
                <w:rFonts w:ascii="Arial Narrow" w:hAnsi="Arial Narrow"/>
                <w:sz w:val="20"/>
              </w:rPr>
              <w:br/>
            </w:r>
            <w:r w:rsidRPr="008A0437">
              <w:rPr>
                <w:rFonts w:ascii="Arial Narrow" w:hAnsi="Arial Narrow"/>
                <w:sz w:val="20"/>
              </w:rPr>
              <w:t>(effective price: $</w:t>
            </w:r>
            <w:r w:rsidR="003B3717">
              <w:rPr>
                <w:rFonts w:ascii="Arial Narrow" w:hAnsi="Arial Narrow"/>
                <w:noProof/>
                <w:color w:val="000000"/>
                <w:sz w:val="20"/>
                <w:highlight w:val="black"/>
              </w:rPr>
              <w:t>''''''''''''''''''</w:t>
            </w:r>
            <w:r w:rsidRPr="008A0437">
              <w:rPr>
                <w:rFonts w:ascii="Arial Narrow" w:hAnsi="Arial Narrow"/>
                <w:sz w:val="20"/>
              </w:rPr>
              <w:t>)</w:t>
            </w:r>
          </w:p>
          <w:p w:rsidR="00624399" w:rsidRPr="008A0437" w:rsidRDefault="00624399" w:rsidP="00652BBF">
            <w:pPr>
              <w:keepNext/>
              <w:widowControl/>
              <w:ind w:left="-108"/>
              <w:jc w:val="left"/>
              <w:rPr>
                <w:rFonts w:ascii="Arial Narrow" w:hAnsi="Arial Narrow"/>
                <w:sz w:val="20"/>
              </w:rPr>
            </w:pPr>
            <w:r w:rsidRPr="008A0437">
              <w:rPr>
                <w:rFonts w:ascii="Arial Narrow" w:hAnsi="Arial Narrow"/>
                <w:sz w:val="20"/>
              </w:rPr>
              <w:t>$</w:t>
            </w:r>
            <w:r w:rsidR="003B3717">
              <w:rPr>
                <w:rFonts w:ascii="Arial Narrow" w:hAnsi="Arial Narrow"/>
                <w:noProof/>
                <w:color w:val="000000"/>
                <w:sz w:val="20"/>
                <w:highlight w:val="black"/>
              </w:rPr>
              <w:t>'''''''''''''''''''</w:t>
            </w:r>
            <w:r w:rsidRPr="008A0437">
              <w:rPr>
                <w:rFonts w:ascii="Arial Narrow" w:hAnsi="Arial Narrow"/>
                <w:sz w:val="20"/>
              </w:rPr>
              <w:t xml:space="preserve"> </w:t>
            </w:r>
            <w:r w:rsidR="00652BBF">
              <w:rPr>
                <w:rFonts w:ascii="Arial Narrow" w:hAnsi="Arial Narrow"/>
                <w:sz w:val="20"/>
              </w:rPr>
              <w:br/>
            </w:r>
            <w:r w:rsidRPr="008A0437">
              <w:rPr>
                <w:rFonts w:ascii="Arial Narrow" w:hAnsi="Arial Narrow"/>
                <w:sz w:val="20"/>
              </w:rPr>
              <w:t>(effective price: $</w:t>
            </w:r>
            <w:r w:rsidR="003B3717">
              <w:rPr>
                <w:rFonts w:ascii="Arial Narrow" w:hAnsi="Arial Narrow"/>
                <w:noProof/>
                <w:color w:val="000000"/>
                <w:sz w:val="20"/>
                <w:highlight w:val="black"/>
              </w:rPr>
              <w:t>'''''''''''''''''</w:t>
            </w:r>
            <w:r w:rsidRPr="008A0437">
              <w:rPr>
                <w:rFonts w:ascii="Arial Narrow" w:hAnsi="Arial Narrow"/>
                <w:sz w:val="20"/>
              </w:rPr>
              <w:t>)</w:t>
            </w:r>
          </w:p>
          <w:p w:rsidR="00624399" w:rsidRPr="008A0437" w:rsidRDefault="00624399" w:rsidP="00652BBF">
            <w:pPr>
              <w:keepNext/>
              <w:widowControl/>
              <w:jc w:val="left"/>
              <w:rPr>
                <w:rFonts w:ascii="Arial Narrow" w:hAnsi="Arial Narrow"/>
                <w:sz w:val="20"/>
              </w:rPr>
            </w:pPr>
          </w:p>
        </w:tc>
        <w:tc>
          <w:tcPr>
            <w:tcW w:w="1417" w:type="dxa"/>
          </w:tcPr>
          <w:p w:rsidR="00624399" w:rsidRPr="008A0437" w:rsidRDefault="00624399" w:rsidP="00915C99">
            <w:pPr>
              <w:keepNext/>
              <w:widowControl/>
              <w:rPr>
                <w:rFonts w:ascii="Arial Narrow" w:hAnsi="Arial Narrow"/>
                <w:sz w:val="20"/>
              </w:rPr>
            </w:pPr>
            <w:r w:rsidRPr="008A0437">
              <w:rPr>
                <w:rFonts w:ascii="Arial Narrow" w:hAnsi="Arial Narrow"/>
                <w:sz w:val="20"/>
              </w:rPr>
              <w:t>Ofev®</w:t>
            </w:r>
          </w:p>
        </w:tc>
        <w:tc>
          <w:tcPr>
            <w:tcW w:w="1134" w:type="dxa"/>
          </w:tcPr>
          <w:p w:rsidR="00624399" w:rsidRPr="008A0437" w:rsidRDefault="00624399" w:rsidP="00915C99">
            <w:pPr>
              <w:keepNext/>
              <w:widowControl/>
              <w:rPr>
                <w:rFonts w:ascii="Arial Narrow" w:hAnsi="Arial Narrow"/>
                <w:sz w:val="20"/>
              </w:rPr>
            </w:pPr>
            <w:r w:rsidRPr="008A0437">
              <w:rPr>
                <w:rFonts w:ascii="Arial Narrow" w:hAnsi="Arial Narrow"/>
                <w:sz w:val="20"/>
              </w:rPr>
              <w:t>Boehringer</w:t>
            </w:r>
          </w:p>
          <w:p w:rsidR="00624399" w:rsidRPr="008A0437" w:rsidRDefault="00624399" w:rsidP="00915C99">
            <w:pPr>
              <w:keepNext/>
              <w:widowControl/>
              <w:rPr>
                <w:rFonts w:ascii="Arial Narrow" w:hAnsi="Arial Narrow"/>
                <w:sz w:val="20"/>
              </w:rPr>
            </w:pPr>
            <w:r w:rsidRPr="008A0437">
              <w:rPr>
                <w:rFonts w:ascii="Arial Narrow" w:hAnsi="Arial Narrow"/>
                <w:sz w:val="20"/>
              </w:rPr>
              <w:t xml:space="preserve">Ingelheim Pty </w:t>
            </w:r>
          </w:p>
          <w:p w:rsidR="00624399" w:rsidRPr="008A0437" w:rsidRDefault="00624399" w:rsidP="00915C99">
            <w:pPr>
              <w:keepNext/>
              <w:widowControl/>
              <w:rPr>
                <w:rFonts w:ascii="Arial Narrow" w:hAnsi="Arial Narrow"/>
                <w:sz w:val="20"/>
              </w:rPr>
            </w:pPr>
            <w:r w:rsidRPr="008A0437">
              <w:rPr>
                <w:rFonts w:ascii="Arial Narrow" w:hAnsi="Arial Narrow"/>
                <w:sz w:val="20"/>
              </w:rPr>
              <w:t>Ltd</w:t>
            </w:r>
          </w:p>
          <w:p w:rsidR="00624399" w:rsidRPr="008A0437" w:rsidRDefault="00624399" w:rsidP="00915C99">
            <w:pPr>
              <w:keepNext/>
              <w:widowControl/>
              <w:rPr>
                <w:rFonts w:ascii="Arial Narrow" w:hAnsi="Arial Narrow"/>
                <w:sz w:val="20"/>
              </w:rPr>
            </w:pP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2A78FC">
            <w:pPr>
              <w:widowControl/>
              <w:rPr>
                <w:rFonts w:ascii="Arial Narrow" w:hAnsi="Arial Narrow"/>
                <w:b/>
                <w:sz w:val="20"/>
              </w:rPr>
            </w:pPr>
            <w:r w:rsidRPr="008A0437">
              <w:rPr>
                <w:rFonts w:ascii="Arial Narrow" w:hAnsi="Arial Narrow"/>
                <w:b/>
                <w:sz w:val="20"/>
              </w:rPr>
              <w:t>Category / Program</w:t>
            </w:r>
          </w:p>
        </w:tc>
        <w:tc>
          <w:tcPr>
            <w:tcW w:w="6237" w:type="dxa"/>
            <w:gridSpan w:val="6"/>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GENERAL – General Schedule (Code GE)</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Prescriber type:</w:t>
            </w:r>
          </w:p>
        </w:tc>
        <w:tc>
          <w:tcPr>
            <w:tcW w:w="6237" w:type="dxa"/>
            <w:gridSpan w:val="6"/>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Dental  </w:t>
            </w: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Medical Practitioners  </w:t>
            </w:r>
            <w:r w:rsidRPr="008A0437">
              <w:rPr>
                <w:rFonts w:ascii="Arial Narrow" w:hAnsi="Arial Narrow"/>
                <w:sz w:val="20"/>
              </w:rPr>
              <w:fldChar w:fldCharType="begin">
                <w:ffData>
                  <w:name w:val="Check3"/>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Nurse practitioners  </w:t>
            </w: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Optometrists</w:t>
            </w:r>
          </w:p>
          <w:p w:rsidR="00624399" w:rsidRPr="008A0437" w:rsidRDefault="00624399" w:rsidP="00915C99">
            <w:pPr>
              <w:widowControl/>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Midwives</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Severity:</w:t>
            </w:r>
          </w:p>
        </w:tc>
        <w:tc>
          <w:tcPr>
            <w:tcW w:w="6237" w:type="dxa"/>
            <w:gridSpan w:val="6"/>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Mild to moderate</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Condition:</w:t>
            </w:r>
          </w:p>
        </w:tc>
        <w:tc>
          <w:tcPr>
            <w:tcW w:w="6237" w:type="dxa"/>
            <w:gridSpan w:val="6"/>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Idiopathic pulmonary fibrosis</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PBS Indication:</w:t>
            </w:r>
          </w:p>
        </w:tc>
        <w:tc>
          <w:tcPr>
            <w:tcW w:w="6237" w:type="dxa"/>
            <w:gridSpan w:val="6"/>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Mild to moderate idiopathic pulmonary fibrosis</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jc w:val="left"/>
              <w:rPr>
                <w:rFonts w:ascii="Arial Narrow" w:hAnsi="Arial Narrow"/>
                <w:b/>
                <w:sz w:val="20"/>
              </w:rPr>
            </w:pPr>
            <w:r w:rsidRPr="008A0437">
              <w:rPr>
                <w:rFonts w:ascii="Arial Narrow" w:hAnsi="Arial Narrow"/>
                <w:b/>
                <w:sz w:val="20"/>
              </w:rPr>
              <w:t>Restriction Level / Method:</w:t>
            </w:r>
          </w:p>
        </w:tc>
        <w:tc>
          <w:tcPr>
            <w:tcW w:w="6237" w:type="dxa"/>
            <w:gridSpan w:val="6"/>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In Writing</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Treatment phase:</w:t>
            </w:r>
          </w:p>
        </w:tc>
        <w:tc>
          <w:tcPr>
            <w:tcW w:w="6237" w:type="dxa"/>
            <w:gridSpan w:val="6"/>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Initial treatment</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Treatment criteria:</w:t>
            </w:r>
          </w:p>
        </w:tc>
        <w:tc>
          <w:tcPr>
            <w:tcW w:w="6237" w:type="dxa"/>
            <w:gridSpan w:val="6"/>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 xml:space="preserve">Must be treated by a respiratory physician </w:t>
            </w:r>
            <w:r w:rsidRPr="008A0437">
              <w:rPr>
                <w:rFonts w:ascii="Arial Narrow" w:hAnsi="Arial Narrow"/>
                <w:i/>
                <w:sz w:val="20"/>
              </w:rPr>
              <w:t>with expertise</w:t>
            </w:r>
            <w:r w:rsidRPr="008A0437">
              <w:rPr>
                <w:rFonts w:ascii="Arial Narrow" w:hAnsi="Arial Narrow"/>
                <w:sz w:val="20"/>
              </w:rPr>
              <w:t xml:space="preserve"> </w:t>
            </w:r>
            <w:r w:rsidR="00934FEC" w:rsidRPr="008A0437">
              <w:rPr>
                <w:rFonts w:ascii="Arial Narrow" w:hAnsi="Arial Narrow"/>
                <w:sz w:val="20"/>
              </w:rPr>
              <w:t xml:space="preserve">in </w:t>
            </w:r>
            <w:r w:rsidRPr="008A0437">
              <w:rPr>
                <w:rFonts w:ascii="Arial Narrow" w:hAnsi="Arial Narrow"/>
                <w:sz w:val="20"/>
              </w:rPr>
              <w:t xml:space="preserve">the management of idiopathic pulmonary fibrosis, </w:t>
            </w:r>
            <w:r w:rsidRPr="008A0437">
              <w:rPr>
                <w:rFonts w:ascii="Arial Narrow" w:hAnsi="Arial Narrow"/>
                <w:i/>
                <w:sz w:val="20"/>
              </w:rPr>
              <w:t>OR</w:t>
            </w:r>
          </w:p>
          <w:p w:rsidR="00624399" w:rsidRPr="008A0437" w:rsidRDefault="00624399" w:rsidP="00915C99">
            <w:pPr>
              <w:widowControl/>
              <w:rPr>
                <w:rFonts w:ascii="Arial Narrow" w:hAnsi="Arial Narrow"/>
                <w:i/>
                <w:sz w:val="20"/>
              </w:rPr>
            </w:pPr>
            <w:r w:rsidRPr="008A0437">
              <w:rPr>
                <w:rFonts w:ascii="Arial Narrow" w:hAnsi="Arial Narrow"/>
                <w:i/>
                <w:sz w:val="20"/>
              </w:rPr>
              <w:t>Must be treated by a specialist physician with expertise in the management of idiopathic pulmonary fibrosis</w:t>
            </w:r>
          </w:p>
          <w:p w:rsidR="00624399" w:rsidRPr="008A0437" w:rsidRDefault="00624399" w:rsidP="00915C99">
            <w:pPr>
              <w:widowControl/>
              <w:rPr>
                <w:rFonts w:ascii="Arial Narrow" w:hAnsi="Arial Narrow"/>
                <w:i/>
                <w:sz w:val="20"/>
              </w:rPr>
            </w:pPr>
            <w:r w:rsidRPr="008A0437">
              <w:rPr>
                <w:rFonts w:ascii="Arial Narrow" w:hAnsi="Arial Narrow"/>
                <w:i/>
                <w:sz w:val="20"/>
              </w:rPr>
              <w:t>AND</w:t>
            </w:r>
          </w:p>
          <w:p w:rsidR="00624399" w:rsidRPr="008A0437" w:rsidRDefault="00624399" w:rsidP="00915C99">
            <w:pPr>
              <w:widowControl/>
              <w:rPr>
                <w:rFonts w:ascii="Arial Narrow" w:hAnsi="Arial Narrow"/>
                <w:i/>
                <w:sz w:val="20"/>
              </w:rPr>
            </w:pPr>
            <w:r w:rsidRPr="008A0437">
              <w:rPr>
                <w:rFonts w:ascii="Arial Narrow" w:hAnsi="Arial Narrow"/>
                <w:i/>
                <w:sz w:val="20"/>
              </w:rPr>
              <w:t>Must be treated in a centre with expertise in idiopathic pulmonary fibrosis, OR</w:t>
            </w:r>
          </w:p>
          <w:p w:rsidR="00624399" w:rsidRPr="008A0437" w:rsidRDefault="00624399" w:rsidP="00915C99">
            <w:pPr>
              <w:widowControl/>
              <w:rPr>
                <w:rFonts w:ascii="Arial Narrow" w:hAnsi="Arial Narrow"/>
                <w:sz w:val="20"/>
              </w:rPr>
            </w:pPr>
            <w:r w:rsidRPr="008A0437">
              <w:rPr>
                <w:rFonts w:ascii="Arial Narrow" w:hAnsi="Arial Narrow"/>
                <w:i/>
                <w:sz w:val="20"/>
              </w:rPr>
              <w:t>Must be treated in consultation with a centre with expertise in idiopathic pulmonary fibrosis if attendance is not possible due to geographic isolation</w:t>
            </w:r>
          </w:p>
        </w:tc>
      </w:tr>
      <w:tr w:rsidR="00624399" w:rsidRPr="008A0437" w:rsidTr="00376159">
        <w:trPr>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Clinical criteria:</w:t>
            </w:r>
          </w:p>
        </w:tc>
        <w:tc>
          <w:tcPr>
            <w:tcW w:w="6237" w:type="dxa"/>
            <w:gridSpan w:val="6"/>
            <w:tcBorders>
              <w:top w:val="single" w:sz="4" w:space="0" w:color="auto"/>
              <w:left w:val="single" w:sz="4" w:space="0" w:color="auto"/>
              <w:bottom w:val="single" w:sz="4" w:space="0" w:color="auto"/>
              <w:right w:val="single" w:sz="4" w:space="0" w:color="auto"/>
            </w:tcBorders>
          </w:tcPr>
          <w:p w:rsidR="00934FEC" w:rsidRPr="00EC76C1" w:rsidRDefault="00934FEC" w:rsidP="00934FEC">
            <w:pPr>
              <w:rPr>
                <w:rFonts w:ascii="Arial Narrow" w:hAnsi="Arial Narrow"/>
                <w:strike/>
                <w:sz w:val="20"/>
              </w:rPr>
            </w:pPr>
            <w:r w:rsidRPr="00EC76C1">
              <w:rPr>
                <w:rFonts w:ascii="Arial Narrow" w:hAnsi="Arial Narrow"/>
                <w:strike/>
                <w:sz w:val="20"/>
              </w:rPr>
              <w:t>Patient must have a confirmed and documented diagnosis of idiopathic pulmonary fibrosis through a multidisciplinary team.</w:t>
            </w:r>
          </w:p>
          <w:p w:rsidR="00934FEC" w:rsidRPr="00EC76C1" w:rsidRDefault="00934FEC" w:rsidP="00934FEC">
            <w:pPr>
              <w:rPr>
                <w:rFonts w:ascii="Arial Narrow" w:hAnsi="Arial Narrow"/>
                <w:strike/>
                <w:sz w:val="20"/>
              </w:rPr>
            </w:pPr>
            <w:r w:rsidRPr="00EC76C1">
              <w:rPr>
                <w:rFonts w:ascii="Arial Narrow" w:hAnsi="Arial Narrow"/>
                <w:strike/>
                <w:sz w:val="20"/>
              </w:rPr>
              <w:t>AND</w:t>
            </w:r>
          </w:p>
          <w:p w:rsidR="00624399" w:rsidRPr="008A0437" w:rsidRDefault="00624399" w:rsidP="00915C99">
            <w:pPr>
              <w:widowControl/>
              <w:rPr>
                <w:rFonts w:ascii="Arial Narrow" w:hAnsi="Arial Narrow"/>
                <w:sz w:val="20"/>
              </w:rPr>
            </w:pPr>
            <w:r w:rsidRPr="008A0437">
              <w:rPr>
                <w:rFonts w:ascii="Arial Narrow" w:hAnsi="Arial Narrow"/>
                <w:sz w:val="20"/>
              </w:rPr>
              <w:t>Patient must have a chest high resolution computed tomography (HRCT) consistent with diagnosis of idiopathic pulmonary fibrosis within the previous 12 months,</w:t>
            </w:r>
          </w:p>
          <w:p w:rsidR="00624399" w:rsidRPr="008A0437" w:rsidRDefault="00624399" w:rsidP="00915C99">
            <w:pPr>
              <w:widowControl/>
              <w:rPr>
                <w:rFonts w:ascii="Arial Narrow" w:hAnsi="Arial Narrow"/>
                <w:sz w:val="20"/>
              </w:rPr>
            </w:pPr>
            <w:r w:rsidRPr="008A0437">
              <w:rPr>
                <w:rFonts w:ascii="Arial Narrow" w:hAnsi="Arial Narrow"/>
                <w:sz w:val="20"/>
              </w:rPr>
              <w:lastRenderedPageBreak/>
              <w:t>AND</w:t>
            </w:r>
          </w:p>
          <w:p w:rsidR="00624399" w:rsidRPr="008A0437" w:rsidRDefault="00624399" w:rsidP="00915C99">
            <w:pPr>
              <w:widowControl/>
              <w:rPr>
                <w:rFonts w:ascii="Arial Narrow" w:hAnsi="Arial Narrow"/>
                <w:sz w:val="20"/>
              </w:rPr>
            </w:pPr>
            <w:r w:rsidRPr="008A0437">
              <w:rPr>
                <w:rFonts w:ascii="Arial Narrow" w:hAnsi="Arial Narrow"/>
                <w:sz w:val="20"/>
              </w:rPr>
              <w:t xml:space="preserve">Patient must have forced vital capacity (FVC) equal to or greater than 50% predicted for age, gender and </w:t>
            </w:r>
            <w:r w:rsidRPr="008A0437">
              <w:rPr>
                <w:rFonts w:ascii="Arial Narrow" w:hAnsi="Arial Narrow"/>
                <w:i/>
                <w:sz w:val="20"/>
              </w:rPr>
              <w:t>height</w:t>
            </w:r>
            <w:r w:rsidRPr="008A0437">
              <w:rPr>
                <w:rFonts w:ascii="Arial Narrow" w:hAnsi="Arial Narrow"/>
                <w:sz w:val="20"/>
              </w:rPr>
              <w:t>, and forced expiratory volume in 1 second (FEV1)/FVC ratio greater than 0.7,</w:t>
            </w:r>
          </w:p>
          <w:p w:rsidR="00624399" w:rsidRPr="008A0437" w:rsidRDefault="00624399" w:rsidP="00915C99">
            <w:pPr>
              <w:widowControl/>
              <w:rPr>
                <w:rFonts w:ascii="Arial Narrow" w:hAnsi="Arial Narrow"/>
                <w:sz w:val="20"/>
              </w:rPr>
            </w:pPr>
            <w:r w:rsidRPr="008A0437">
              <w:rPr>
                <w:rFonts w:ascii="Arial Narrow" w:hAnsi="Arial Narrow"/>
                <w:sz w:val="20"/>
              </w:rPr>
              <w:t>AND</w:t>
            </w:r>
          </w:p>
          <w:p w:rsidR="00624399" w:rsidRPr="008A0437" w:rsidRDefault="00624399" w:rsidP="00915C99">
            <w:pPr>
              <w:widowControl/>
              <w:rPr>
                <w:rFonts w:ascii="Arial Narrow" w:hAnsi="Arial Narrow"/>
                <w:sz w:val="20"/>
              </w:rPr>
            </w:pPr>
            <w:r w:rsidRPr="008A0437">
              <w:rPr>
                <w:rFonts w:ascii="Arial Narrow" w:hAnsi="Arial Narrow"/>
                <w:sz w:val="20"/>
              </w:rPr>
              <w:t>Patient must have diffusing capacity of the lungs for carbon monoxide (DLCO) corrected for haemoglobin equal to or greater than 30%,</w:t>
            </w:r>
          </w:p>
          <w:p w:rsidR="00624399" w:rsidRPr="008A0437" w:rsidRDefault="00624399" w:rsidP="00915C99">
            <w:pPr>
              <w:widowControl/>
              <w:rPr>
                <w:rFonts w:ascii="Arial Narrow" w:hAnsi="Arial Narrow"/>
                <w:sz w:val="20"/>
              </w:rPr>
            </w:pPr>
            <w:r w:rsidRPr="008A0437">
              <w:rPr>
                <w:rFonts w:ascii="Arial Narrow" w:hAnsi="Arial Narrow"/>
                <w:sz w:val="20"/>
              </w:rPr>
              <w:t>AND</w:t>
            </w:r>
          </w:p>
          <w:p w:rsidR="00624399" w:rsidRPr="008A0437" w:rsidRDefault="00624399" w:rsidP="00915C99">
            <w:pPr>
              <w:widowControl/>
              <w:rPr>
                <w:rFonts w:ascii="Arial Narrow" w:hAnsi="Arial Narrow"/>
                <w:sz w:val="20"/>
              </w:rPr>
            </w:pPr>
            <w:r w:rsidRPr="008A0437">
              <w:rPr>
                <w:rFonts w:ascii="Arial Narrow" w:hAnsi="Arial Narrow"/>
                <w:sz w:val="20"/>
              </w:rPr>
              <w:t>Patient must not have interstitial lung disease due to other known causes including domestic and occupational environmental exposures, connective tissue disease, and drug toxicity.</w:t>
            </w:r>
          </w:p>
          <w:p w:rsidR="00624399" w:rsidRPr="008A0437" w:rsidRDefault="00624399" w:rsidP="00915C99">
            <w:pPr>
              <w:widowControl/>
              <w:rPr>
                <w:rFonts w:ascii="Arial Narrow" w:hAnsi="Arial Narrow"/>
                <w:i/>
                <w:sz w:val="20"/>
              </w:rPr>
            </w:pPr>
            <w:r w:rsidRPr="008A0437">
              <w:rPr>
                <w:rFonts w:ascii="Arial Narrow" w:hAnsi="Arial Narrow"/>
                <w:i/>
                <w:sz w:val="20"/>
              </w:rPr>
              <w:t>AND</w:t>
            </w:r>
          </w:p>
          <w:p w:rsidR="00624399" w:rsidRPr="008A0437" w:rsidRDefault="00624399" w:rsidP="00915C99">
            <w:pPr>
              <w:widowControl/>
              <w:rPr>
                <w:rFonts w:ascii="Arial Narrow" w:hAnsi="Arial Narrow"/>
                <w:sz w:val="20"/>
              </w:rPr>
            </w:pPr>
            <w:r w:rsidRPr="008A0437">
              <w:rPr>
                <w:rFonts w:ascii="Arial Narrow" w:hAnsi="Arial Narrow"/>
                <w:i/>
                <w:sz w:val="20"/>
              </w:rPr>
              <w:t xml:space="preserve">The treatment must not be in combination with </w:t>
            </w:r>
            <w:r w:rsidR="00615B39">
              <w:rPr>
                <w:rFonts w:ascii="Arial Narrow" w:hAnsi="Arial Narrow"/>
                <w:i/>
                <w:sz w:val="20"/>
              </w:rPr>
              <w:t xml:space="preserve">PBS-subsidised </w:t>
            </w:r>
            <w:r w:rsidRPr="008A0437">
              <w:rPr>
                <w:rFonts w:ascii="Arial Narrow" w:hAnsi="Arial Narrow"/>
                <w:i/>
                <w:sz w:val="20"/>
              </w:rPr>
              <w:t>pirfenidone.</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b/>
                <w:sz w:val="20"/>
              </w:rPr>
              <w:lastRenderedPageBreak/>
              <w:t>Population criteria:</w:t>
            </w:r>
          </w:p>
        </w:tc>
        <w:tc>
          <w:tcPr>
            <w:tcW w:w="6237" w:type="dxa"/>
            <w:gridSpan w:val="6"/>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Patient must be aged 40 years or older.</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Prescriber Instructions</w:t>
            </w:r>
          </w:p>
        </w:tc>
        <w:tc>
          <w:tcPr>
            <w:tcW w:w="6237" w:type="dxa"/>
            <w:gridSpan w:val="6"/>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Applications for authorisation must be in writing and must include:</w:t>
            </w:r>
          </w:p>
          <w:p w:rsidR="00624399" w:rsidRPr="008A0437" w:rsidRDefault="00624399" w:rsidP="00915C99">
            <w:pPr>
              <w:pStyle w:val="ListParagraph"/>
              <w:widowControl/>
              <w:numPr>
                <w:ilvl w:val="0"/>
                <w:numId w:val="3"/>
              </w:numPr>
              <w:ind w:left="318" w:hanging="318"/>
              <w:rPr>
                <w:rFonts w:ascii="Arial Narrow" w:hAnsi="Arial Narrow"/>
                <w:sz w:val="20"/>
              </w:rPr>
            </w:pPr>
            <w:r w:rsidRPr="008A0437">
              <w:rPr>
                <w:rFonts w:ascii="Arial Narrow" w:hAnsi="Arial Narrow"/>
                <w:sz w:val="20"/>
              </w:rPr>
              <w:t xml:space="preserve">A completed authority prescription form; </w:t>
            </w:r>
          </w:p>
          <w:p w:rsidR="00624399" w:rsidRPr="008A0437" w:rsidRDefault="00624399" w:rsidP="00915C99">
            <w:pPr>
              <w:pStyle w:val="ListParagraph"/>
              <w:widowControl/>
              <w:numPr>
                <w:ilvl w:val="0"/>
                <w:numId w:val="3"/>
              </w:numPr>
              <w:ind w:left="318" w:hanging="318"/>
              <w:rPr>
                <w:rFonts w:ascii="Arial Narrow" w:hAnsi="Arial Narrow"/>
                <w:sz w:val="20"/>
              </w:rPr>
            </w:pPr>
            <w:r w:rsidRPr="008A0437">
              <w:rPr>
                <w:rFonts w:ascii="Arial Narrow" w:hAnsi="Arial Narrow"/>
                <w:sz w:val="20"/>
              </w:rPr>
              <w:t xml:space="preserve">A completed IPF </w:t>
            </w:r>
            <w:r w:rsidRPr="008A0437">
              <w:rPr>
                <w:rFonts w:ascii="Arial Narrow" w:hAnsi="Arial Narrow"/>
                <w:strike/>
                <w:sz w:val="20"/>
              </w:rPr>
              <w:t>Nintedanib</w:t>
            </w:r>
            <w:r w:rsidRPr="008A0437">
              <w:rPr>
                <w:rFonts w:ascii="Arial Narrow" w:hAnsi="Arial Narrow"/>
                <w:sz w:val="20"/>
              </w:rPr>
              <w:t xml:space="preserve"> Authority Application Supporting Information Form;</w:t>
            </w:r>
          </w:p>
          <w:p w:rsidR="00624399" w:rsidRPr="008A0437" w:rsidRDefault="00624399" w:rsidP="00915C99">
            <w:pPr>
              <w:pStyle w:val="ListParagraph"/>
              <w:widowControl/>
              <w:numPr>
                <w:ilvl w:val="0"/>
                <w:numId w:val="3"/>
              </w:numPr>
              <w:ind w:left="318" w:hanging="318"/>
              <w:rPr>
                <w:rFonts w:ascii="Arial Narrow" w:hAnsi="Arial Narrow"/>
                <w:sz w:val="20"/>
              </w:rPr>
            </w:pPr>
            <w:r w:rsidRPr="008A0437">
              <w:rPr>
                <w:rFonts w:ascii="Arial Narrow" w:hAnsi="Arial Narrow"/>
                <w:sz w:val="20"/>
              </w:rPr>
              <w:t>A copy for the result for HRCT;</w:t>
            </w:r>
          </w:p>
          <w:p w:rsidR="00624399" w:rsidRPr="008A0437" w:rsidRDefault="00624399" w:rsidP="00915C99">
            <w:pPr>
              <w:pStyle w:val="ListParagraph"/>
              <w:widowControl/>
              <w:numPr>
                <w:ilvl w:val="0"/>
                <w:numId w:val="3"/>
              </w:numPr>
              <w:ind w:left="318" w:hanging="318"/>
              <w:rPr>
                <w:rFonts w:ascii="Arial Narrow" w:hAnsi="Arial Narrow"/>
                <w:sz w:val="20"/>
              </w:rPr>
            </w:pPr>
            <w:r w:rsidRPr="008A0437">
              <w:rPr>
                <w:rFonts w:ascii="Arial Narrow" w:hAnsi="Arial Narrow"/>
                <w:sz w:val="20"/>
              </w:rPr>
              <w:t xml:space="preserve">The result for the baseline </w:t>
            </w:r>
            <w:r w:rsidRPr="008A0437">
              <w:rPr>
                <w:rFonts w:ascii="Arial Narrow" w:hAnsi="Arial Narrow"/>
                <w:strike/>
                <w:sz w:val="20"/>
              </w:rPr>
              <w:t>%</w:t>
            </w:r>
            <w:r w:rsidRPr="008A0437">
              <w:rPr>
                <w:rFonts w:ascii="Arial Narrow" w:hAnsi="Arial Narrow"/>
                <w:i/>
                <w:sz w:val="20"/>
              </w:rPr>
              <w:t>per cent</w:t>
            </w:r>
            <w:r w:rsidRPr="008A0437">
              <w:rPr>
                <w:rFonts w:ascii="Arial Narrow" w:hAnsi="Arial Narrow"/>
                <w:sz w:val="20"/>
              </w:rPr>
              <w:t xml:space="preserve"> predicted FVC;</w:t>
            </w:r>
          </w:p>
          <w:p w:rsidR="00624399" w:rsidRPr="008A0437" w:rsidRDefault="00624399" w:rsidP="00915C99">
            <w:pPr>
              <w:pStyle w:val="ListParagraph"/>
              <w:widowControl/>
              <w:numPr>
                <w:ilvl w:val="0"/>
                <w:numId w:val="3"/>
              </w:numPr>
              <w:ind w:left="318" w:hanging="318"/>
              <w:rPr>
                <w:rFonts w:ascii="Arial Narrow" w:hAnsi="Arial Narrow"/>
                <w:sz w:val="20"/>
              </w:rPr>
            </w:pPr>
            <w:r w:rsidRPr="008A0437">
              <w:rPr>
                <w:rFonts w:ascii="Arial Narrow" w:hAnsi="Arial Narrow"/>
                <w:sz w:val="20"/>
              </w:rPr>
              <w:t>The result for FEV1/FVC ratio;</w:t>
            </w:r>
          </w:p>
          <w:p w:rsidR="00624399" w:rsidRPr="008A0437" w:rsidRDefault="00624399" w:rsidP="00915C99">
            <w:pPr>
              <w:pStyle w:val="ListParagraph"/>
              <w:widowControl/>
              <w:numPr>
                <w:ilvl w:val="0"/>
                <w:numId w:val="3"/>
              </w:numPr>
              <w:ind w:left="318" w:hanging="318"/>
              <w:rPr>
                <w:rFonts w:ascii="Arial Narrow" w:hAnsi="Arial Narrow"/>
                <w:sz w:val="20"/>
              </w:rPr>
            </w:pPr>
            <w:r w:rsidRPr="008A0437">
              <w:rPr>
                <w:rFonts w:ascii="Arial Narrow" w:hAnsi="Arial Narrow"/>
                <w:sz w:val="20"/>
              </w:rPr>
              <w:t>The result for DLCO corrected for haemoglobin</w:t>
            </w:r>
          </w:p>
          <w:p w:rsidR="00624399" w:rsidRPr="008A0437" w:rsidRDefault="00624399" w:rsidP="00915C99">
            <w:pPr>
              <w:pStyle w:val="ListParagraph"/>
              <w:widowControl/>
              <w:numPr>
                <w:ilvl w:val="0"/>
                <w:numId w:val="3"/>
              </w:numPr>
              <w:ind w:left="318" w:hanging="318"/>
              <w:rPr>
                <w:rFonts w:ascii="Arial Narrow" w:hAnsi="Arial Narrow"/>
                <w:i/>
                <w:sz w:val="20"/>
              </w:rPr>
            </w:pPr>
            <w:r w:rsidRPr="008A0437">
              <w:rPr>
                <w:rFonts w:ascii="Arial Narrow" w:hAnsi="Arial Narrow"/>
                <w:i/>
                <w:sz w:val="20"/>
              </w:rPr>
              <w:t>A signed patient acknowledgement</w:t>
            </w:r>
          </w:p>
          <w:p w:rsidR="00624399" w:rsidRPr="008A0437" w:rsidRDefault="00624399" w:rsidP="00915C99">
            <w:pPr>
              <w:widowControl/>
              <w:rPr>
                <w:rFonts w:ascii="Arial Narrow" w:hAnsi="Arial Narrow"/>
                <w:sz w:val="20"/>
              </w:rPr>
            </w:pPr>
          </w:p>
          <w:p w:rsidR="00624399" w:rsidRPr="008A0437" w:rsidRDefault="00624399" w:rsidP="00915C99">
            <w:pPr>
              <w:widowControl/>
              <w:rPr>
                <w:rFonts w:ascii="Arial Narrow" w:hAnsi="Arial Narrow"/>
                <w:sz w:val="20"/>
              </w:rPr>
            </w:pPr>
            <w:r w:rsidRPr="008A0437">
              <w:rPr>
                <w:rFonts w:ascii="Arial Narrow" w:hAnsi="Arial Narrow"/>
                <w:sz w:val="20"/>
              </w:rPr>
              <w:t xml:space="preserve">A baseline measurement of </w:t>
            </w:r>
            <w:r w:rsidRPr="008A0437">
              <w:rPr>
                <w:rFonts w:ascii="Arial Narrow" w:hAnsi="Arial Narrow"/>
                <w:i/>
                <w:sz w:val="20"/>
              </w:rPr>
              <w:t>per cent</w:t>
            </w:r>
            <w:r w:rsidRPr="008A0437">
              <w:rPr>
                <w:rFonts w:ascii="Arial Narrow" w:hAnsi="Arial Narrow"/>
                <w:strike/>
                <w:sz w:val="20"/>
              </w:rPr>
              <w:t>%</w:t>
            </w:r>
            <w:r w:rsidRPr="008A0437">
              <w:rPr>
                <w:rFonts w:ascii="Arial Narrow" w:hAnsi="Arial Narrow"/>
                <w:sz w:val="20"/>
              </w:rPr>
              <w:t xml:space="preserve"> predicted FVC must be</w:t>
            </w:r>
            <w:r w:rsidR="00E46F7B" w:rsidRPr="008A0437">
              <w:rPr>
                <w:rFonts w:ascii="Arial Narrow" w:hAnsi="Arial Narrow"/>
                <w:strike/>
                <w:sz w:val="20"/>
              </w:rPr>
              <w:t xml:space="preserve"> </w:t>
            </w:r>
            <w:r w:rsidRPr="008A0437">
              <w:rPr>
                <w:rFonts w:ascii="Arial Narrow" w:hAnsi="Arial Narrow"/>
                <w:sz w:val="20"/>
              </w:rPr>
              <w:t xml:space="preserve">documented </w:t>
            </w:r>
            <w:r w:rsidRPr="008A0437">
              <w:rPr>
                <w:rFonts w:ascii="Arial Narrow" w:hAnsi="Arial Narrow"/>
                <w:i/>
                <w:sz w:val="20"/>
              </w:rPr>
              <w:t>prior to commencement of treatment</w:t>
            </w:r>
            <w:r w:rsidRPr="008A0437">
              <w:rPr>
                <w:rFonts w:ascii="Arial Narrow" w:hAnsi="Arial Narrow"/>
                <w:sz w:val="20"/>
              </w:rPr>
              <w:t xml:space="preserve">. </w:t>
            </w:r>
          </w:p>
          <w:p w:rsidR="00624399" w:rsidRPr="008A0437" w:rsidRDefault="00624399" w:rsidP="00915C99">
            <w:pPr>
              <w:widowControl/>
              <w:rPr>
                <w:rFonts w:ascii="Arial Narrow" w:hAnsi="Arial Narrow"/>
                <w:sz w:val="20"/>
              </w:rPr>
            </w:pPr>
          </w:p>
          <w:p w:rsidR="00624399" w:rsidRPr="008A0437" w:rsidRDefault="00624399" w:rsidP="00915C99">
            <w:pPr>
              <w:widowControl/>
              <w:rPr>
                <w:rFonts w:ascii="Arial Narrow" w:hAnsi="Arial Narrow"/>
                <w:sz w:val="20"/>
              </w:rPr>
            </w:pPr>
            <w:r w:rsidRPr="008A0437">
              <w:rPr>
                <w:rFonts w:ascii="Arial Narrow" w:hAnsi="Arial Narrow"/>
                <w:sz w:val="20"/>
              </w:rPr>
              <w:t>FVC must be measured, where possible, in an accredited pulmonary function laboratory. Patient must have no acute respiratory infection at the time of FVC testing.</w:t>
            </w:r>
          </w:p>
          <w:p w:rsidR="00624399" w:rsidRPr="008A0437" w:rsidRDefault="00624399" w:rsidP="00915C99">
            <w:pPr>
              <w:widowControl/>
              <w:rPr>
                <w:rFonts w:ascii="Arial Narrow" w:hAnsi="Arial Narrow"/>
                <w:sz w:val="20"/>
              </w:rPr>
            </w:pPr>
          </w:p>
          <w:p w:rsidR="00624399" w:rsidRPr="008A0437" w:rsidRDefault="00624399" w:rsidP="00915C99">
            <w:pPr>
              <w:widowControl/>
              <w:rPr>
                <w:rFonts w:ascii="Arial Narrow" w:hAnsi="Arial Narrow"/>
                <w:sz w:val="20"/>
              </w:rPr>
            </w:pPr>
            <w:r w:rsidRPr="008A0437">
              <w:rPr>
                <w:rFonts w:ascii="Arial Narrow" w:hAnsi="Arial Narrow"/>
                <w:sz w:val="20"/>
              </w:rPr>
              <w:t xml:space="preserve">PBS treatment with nintedanib </w:t>
            </w:r>
            <w:r w:rsidRPr="008A0437">
              <w:rPr>
                <w:rFonts w:ascii="Arial Narrow" w:hAnsi="Arial Narrow"/>
                <w:i/>
                <w:sz w:val="20"/>
              </w:rPr>
              <w:t>must</w:t>
            </w:r>
            <w:r w:rsidRPr="008A0437">
              <w:rPr>
                <w:rFonts w:ascii="Arial Narrow" w:hAnsi="Arial Narrow"/>
                <w:sz w:val="20"/>
              </w:rPr>
              <w:t xml:space="preserve"> be discontinued if disease progresses (a confirmed absolute decline in </w:t>
            </w:r>
            <w:r w:rsidRPr="008A0437">
              <w:rPr>
                <w:rFonts w:ascii="Arial Narrow" w:hAnsi="Arial Narrow"/>
                <w:strike/>
                <w:sz w:val="20"/>
              </w:rPr>
              <w:t>%</w:t>
            </w:r>
            <w:r w:rsidRPr="008A0437">
              <w:rPr>
                <w:rFonts w:ascii="Arial Narrow" w:hAnsi="Arial Narrow"/>
                <w:i/>
                <w:sz w:val="20"/>
              </w:rPr>
              <w:t>per cent</w:t>
            </w:r>
            <w:r w:rsidRPr="008A0437">
              <w:rPr>
                <w:rFonts w:ascii="Arial Narrow" w:hAnsi="Arial Narrow"/>
                <w:sz w:val="20"/>
              </w:rPr>
              <w:t xml:space="preserve"> predicted FVC of 10% or more within any 12-month period while receiving treatment).</w:t>
            </w:r>
          </w:p>
        </w:tc>
      </w:tr>
    </w:tbl>
    <w:p w:rsidR="00B16D9F" w:rsidRDefault="00B16D9F" w:rsidP="00915C99">
      <w:pPr>
        <w:widowControl/>
        <w:rPr>
          <w:szCs w:val="22"/>
        </w:rPr>
      </w:pPr>
    </w:p>
    <w:p w:rsidR="00B16D9F" w:rsidRDefault="00B16D9F">
      <w:pPr>
        <w:widowControl/>
        <w:jc w:val="left"/>
        <w:rPr>
          <w:szCs w:val="22"/>
        </w:rPr>
      </w:pPr>
      <w:r>
        <w:rPr>
          <w:szCs w:val="22"/>
        </w:rPr>
        <w:br w:type="page"/>
      </w:r>
    </w:p>
    <w:tbl>
      <w:tblPr>
        <w:tblW w:w="8363" w:type="dxa"/>
        <w:tblInd w:w="817" w:type="dxa"/>
        <w:tblLayout w:type="fixed"/>
        <w:tblLook w:val="0000" w:firstRow="0" w:lastRow="0" w:firstColumn="0" w:lastColumn="0" w:noHBand="0" w:noVBand="0"/>
      </w:tblPr>
      <w:tblGrid>
        <w:gridCol w:w="2126"/>
        <w:gridCol w:w="6237"/>
      </w:tblGrid>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lastRenderedPageBreak/>
              <w:t>Treatment phase:</w:t>
            </w:r>
          </w:p>
        </w:tc>
        <w:tc>
          <w:tcPr>
            <w:tcW w:w="6237"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Continuing treatment</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Treatment criteria:</w:t>
            </w:r>
          </w:p>
        </w:tc>
        <w:tc>
          <w:tcPr>
            <w:tcW w:w="6237"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i/>
                <w:sz w:val="20"/>
              </w:rPr>
            </w:pPr>
            <w:r w:rsidRPr="008A0437">
              <w:rPr>
                <w:rFonts w:ascii="Arial Narrow" w:hAnsi="Arial Narrow"/>
                <w:i/>
                <w:sz w:val="20"/>
              </w:rPr>
              <w:t>&lt;As per initial treatment&gt;</w:t>
            </w:r>
          </w:p>
        </w:tc>
      </w:tr>
      <w:tr w:rsidR="00624399" w:rsidRPr="008A0437" w:rsidTr="00376159">
        <w:trPr>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Clinical criteria:</w:t>
            </w:r>
          </w:p>
        </w:tc>
        <w:tc>
          <w:tcPr>
            <w:tcW w:w="6237"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 xml:space="preserve">Patient must have previously received PBS-subsidised treatment with </w:t>
            </w:r>
            <w:r w:rsidRPr="008A0437">
              <w:rPr>
                <w:rFonts w:ascii="Arial Narrow" w:hAnsi="Arial Narrow"/>
                <w:i/>
                <w:sz w:val="20"/>
              </w:rPr>
              <w:t>this drug</w:t>
            </w:r>
            <w:r w:rsidRPr="008A0437">
              <w:rPr>
                <w:rFonts w:ascii="Arial Narrow" w:hAnsi="Arial Narrow"/>
                <w:sz w:val="20"/>
              </w:rPr>
              <w:t xml:space="preserve"> for this condition.</w:t>
            </w:r>
          </w:p>
          <w:p w:rsidR="00624399" w:rsidRPr="008A0437" w:rsidRDefault="00624399" w:rsidP="00915C99">
            <w:pPr>
              <w:widowControl/>
              <w:rPr>
                <w:rFonts w:ascii="Arial Narrow" w:hAnsi="Arial Narrow"/>
                <w:sz w:val="20"/>
              </w:rPr>
            </w:pPr>
            <w:r w:rsidRPr="008A0437">
              <w:rPr>
                <w:rFonts w:ascii="Arial Narrow" w:hAnsi="Arial Narrow"/>
                <w:sz w:val="20"/>
              </w:rPr>
              <w:t>AND</w:t>
            </w:r>
          </w:p>
          <w:p w:rsidR="00624399" w:rsidRPr="008A0437" w:rsidRDefault="00624399" w:rsidP="00915C99">
            <w:pPr>
              <w:widowControl/>
              <w:rPr>
                <w:rFonts w:ascii="Arial Narrow" w:hAnsi="Arial Narrow"/>
                <w:i/>
                <w:sz w:val="20"/>
              </w:rPr>
            </w:pPr>
            <w:r w:rsidRPr="008A0437">
              <w:rPr>
                <w:rFonts w:ascii="Arial Narrow" w:hAnsi="Arial Narrow"/>
                <w:i/>
                <w:sz w:val="20"/>
              </w:rPr>
              <w:t>Patient must not have had an absolute decline in per cent predicted FVC of 10% or more within any 12-month period while receiving treatment.</w:t>
            </w:r>
          </w:p>
          <w:p w:rsidR="00624399" w:rsidRPr="008A0437" w:rsidRDefault="00624399" w:rsidP="00915C99">
            <w:pPr>
              <w:widowControl/>
              <w:rPr>
                <w:rFonts w:ascii="Arial Narrow" w:hAnsi="Arial Narrow"/>
                <w:i/>
                <w:sz w:val="20"/>
              </w:rPr>
            </w:pPr>
            <w:r w:rsidRPr="008A0437">
              <w:rPr>
                <w:rFonts w:ascii="Arial Narrow" w:hAnsi="Arial Narrow"/>
                <w:i/>
                <w:sz w:val="20"/>
              </w:rPr>
              <w:t>AND</w:t>
            </w:r>
          </w:p>
          <w:p w:rsidR="00624399" w:rsidRPr="008A0437" w:rsidRDefault="00624399" w:rsidP="00915C99">
            <w:pPr>
              <w:widowControl/>
              <w:rPr>
                <w:rFonts w:ascii="Arial Narrow" w:hAnsi="Arial Narrow"/>
                <w:sz w:val="20"/>
              </w:rPr>
            </w:pPr>
            <w:r w:rsidRPr="008A0437">
              <w:rPr>
                <w:rFonts w:ascii="Arial Narrow" w:hAnsi="Arial Narrow"/>
                <w:i/>
                <w:sz w:val="20"/>
              </w:rPr>
              <w:t xml:space="preserve">The treatment must not be in combination with </w:t>
            </w:r>
            <w:r w:rsidR="00615B39">
              <w:rPr>
                <w:rFonts w:ascii="Arial Narrow" w:hAnsi="Arial Narrow"/>
                <w:i/>
                <w:sz w:val="20"/>
              </w:rPr>
              <w:t xml:space="preserve">PBS-subsidised </w:t>
            </w:r>
            <w:r w:rsidRPr="008A0437">
              <w:rPr>
                <w:rFonts w:ascii="Arial Narrow" w:hAnsi="Arial Narrow"/>
                <w:i/>
                <w:sz w:val="20"/>
              </w:rPr>
              <w:t>pirfenidone</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Population criteria:</w:t>
            </w:r>
          </w:p>
        </w:tc>
        <w:tc>
          <w:tcPr>
            <w:tcW w:w="6237"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Patient must be aged 40 years or older.</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Prescriber instructions:</w:t>
            </w:r>
          </w:p>
        </w:tc>
        <w:tc>
          <w:tcPr>
            <w:tcW w:w="6237"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i/>
                <w:sz w:val="20"/>
              </w:rPr>
            </w:pPr>
            <w:r w:rsidRPr="008A0437">
              <w:rPr>
                <w:rFonts w:ascii="Arial Narrow" w:hAnsi="Arial Narrow"/>
                <w:i/>
                <w:sz w:val="20"/>
              </w:rPr>
              <w:t>Applications for authorisation must be in writing and must include:</w:t>
            </w:r>
          </w:p>
          <w:p w:rsidR="00624399" w:rsidRPr="008A0437" w:rsidRDefault="00624399" w:rsidP="00915C99">
            <w:pPr>
              <w:pStyle w:val="ListParagraph"/>
              <w:widowControl/>
              <w:numPr>
                <w:ilvl w:val="0"/>
                <w:numId w:val="6"/>
              </w:numPr>
              <w:rPr>
                <w:rFonts w:ascii="Arial Narrow" w:hAnsi="Arial Narrow"/>
                <w:i/>
                <w:sz w:val="20"/>
              </w:rPr>
            </w:pPr>
            <w:r w:rsidRPr="008A0437">
              <w:rPr>
                <w:rFonts w:ascii="Arial Narrow" w:hAnsi="Arial Narrow"/>
                <w:i/>
                <w:sz w:val="20"/>
              </w:rPr>
              <w:t xml:space="preserve">A completed authority prescription form; </w:t>
            </w:r>
          </w:p>
          <w:p w:rsidR="00624399" w:rsidRPr="008A0437" w:rsidRDefault="00624399" w:rsidP="00915C99">
            <w:pPr>
              <w:pStyle w:val="ListParagraph"/>
              <w:widowControl/>
              <w:numPr>
                <w:ilvl w:val="0"/>
                <w:numId w:val="6"/>
              </w:numPr>
              <w:ind w:left="318" w:hanging="318"/>
              <w:rPr>
                <w:rFonts w:ascii="Arial Narrow" w:hAnsi="Arial Narrow"/>
                <w:i/>
                <w:sz w:val="20"/>
              </w:rPr>
            </w:pPr>
            <w:r w:rsidRPr="008A0437">
              <w:rPr>
                <w:rFonts w:ascii="Arial Narrow" w:hAnsi="Arial Narrow"/>
                <w:i/>
                <w:sz w:val="20"/>
              </w:rPr>
              <w:t>A completed IPF Authority Application Supporting Information Form</w:t>
            </w:r>
          </w:p>
          <w:p w:rsidR="00624399" w:rsidRPr="008A0437" w:rsidRDefault="00624399" w:rsidP="00915C99">
            <w:pPr>
              <w:pStyle w:val="ListParagraph"/>
              <w:widowControl/>
              <w:numPr>
                <w:ilvl w:val="0"/>
                <w:numId w:val="6"/>
              </w:numPr>
              <w:ind w:left="318" w:hanging="318"/>
              <w:rPr>
                <w:rFonts w:ascii="Arial Narrow" w:hAnsi="Arial Narrow"/>
                <w:i/>
                <w:sz w:val="20"/>
              </w:rPr>
            </w:pPr>
            <w:r w:rsidRPr="008A0437">
              <w:rPr>
                <w:rFonts w:ascii="Arial Narrow" w:hAnsi="Arial Narrow"/>
                <w:i/>
                <w:sz w:val="20"/>
              </w:rPr>
              <w:t>The result for the percent predicted FVC;</w:t>
            </w:r>
          </w:p>
          <w:p w:rsidR="00624399" w:rsidRPr="008A0437" w:rsidRDefault="00624399" w:rsidP="00915C99">
            <w:pPr>
              <w:widowControl/>
              <w:rPr>
                <w:rFonts w:ascii="Arial Narrow" w:hAnsi="Arial Narrow"/>
                <w:i/>
                <w:sz w:val="20"/>
              </w:rPr>
            </w:pPr>
          </w:p>
          <w:p w:rsidR="00624399" w:rsidRPr="008A0437" w:rsidRDefault="00624399" w:rsidP="00915C99">
            <w:pPr>
              <w:widowControl/>
              <w:rPr>
                <w:rFonts w:ascii="Arial Narrow" w:hAnsi="Arial Narrow"/>
                <w:i/>
                <w:sz w:val="20"/>
              </w:rPr>
            </w:pPr>
            <w:r w:rsidRPr="008A0437">
              <w:rPr>
                <w:rFonts w:ascii="Arial Narrow" w:hAnsi="Arial Narrow"/>
                <w:i/>
                <w:sz w:val="20"/>
              </w:rPr>
              <w:t>FVC must be measured, where possible, in an accredited pulmonary function laboratory. Patient must have no acute respiratory infection at the time of FVC testing.</w:t>
            </w:r>
          </w:p>
          <w:p w:rsidR="00624399" w:rsidRPr="008A0437" w:rsidRDefault="00624399" w:rsidP="00915C99">
            <w:pPr>
              <w:widowControl/>
              <w:rPr>
                <w:rFonts w:ascii="Arial Narrow" w:hAnsi="Arial Narrow"/>
                <w:i/>
                <w:sz w:val="20"/>
              </w:rPr>
            </w:pPr>
          </w:p>
          <w:p w:rsidR="00624399" w:rsidRPr="008A0437" w:rsidRDefault="00624399" w:rsidP="00915C99">
            <w:pPr>
              <w:widowControl/>
              <w:rPr>
                <w:rFonts w:ascii="Arial Narrow" w:hAnsi="Arial Narrow"/>
                <w:i/>
                <w:sz w:val="20"/>
              </w:rPr>
            </w:pPr>
            <w:r w:rsidRPr="008A0437">
              <w:rPr>
                <w:rFonts w:ascii="Arial Narrow" w:hAnsi="Arial Narrow"/>
                <w:i/>
                <w:sz w:val="20"/>
              </w:rPr>
              <w:t>The absolute decline in per cent predicted FVC is determined by subtracting the most recent % predicted FVC value from the per cent predicted FVC value measured 12 months ago.</w:t>
            </w:r>
          </w:p>
          <w:p w:rsidR="00624399" w:rsidRPr="008A0437" w:rsidRDefault="00624399" w:rsidP="00915C99">
            <w:pPr>
              <w:widowControl/>
              <w:rPr>
                <w:rFonts w:ascii="Arial Narrow" w:hAnsi="Arial Narrow"/>
                <w:i/>
                <w:sz w:val="20"/>
              </w:rPr>
            </w:pPr>
          </w:p>
          <w:p w:rsidR="00624399" w:rsidRPr="008A0437" w:rsidRDefault="00624399" w:rsidP="00915C99">
            <w:pPr>
              <w:widowControl/>
              <w:rPr>
                <w:rFonts w:ascii="Arial Narrow" w:hAnsi="Arial Narrow"/>
                <w:i/>
                <w:sz w:val="20"/>
              </w:rPr>
            </w:pPr>
            <w:r w:rsidRPr="008A0437">
              <w:rPr>
                <w:rFonts w:ascii="Arial Narrow" w:hAnsi="Arial Narrow"/>
                <w:i/>
                <w:sz w:val="20"/>
              </w:rPr>
              <w:t>PBS treatment with nintedanib must be discontinued if disease progresses (a confirmed absolute decline in percent predicted FVC of 10% or more within any 12-month period while receiving treatment).</w:t>
            </w:r>
          </w:p>
        </w:tc>
      </w:tr>
    </w:tbl>
    <w:p w:rsidR="00E46F7B" w:rsidRPr="008A0437" w:rsidRDefault="00E46F7B" w:rsidP="00915C99">
      <w:pPr>
        <w:widowControl/>
        <w:rPr>
          <w:szCs w:val="22"/>
        </w:rPr>
      </w:pPr>
    </w:p>
    <w:tbl>
      <w:tblPr>
        <w:tblW w:w="8363" w:type="dxa"/>
        <w:tblInd w:w="817" w:type="dxa"/>
        <w:tblLayout w:type="fixed"/>
        <w:tblLook w:val="0000" w:firstRow="0" w:lastRow="0" w:firstColumn="0" w:lastColumn="0" w:noHBand="0" w:noVBand="0"/>
      </w:tblPr>
      <w:tblGrid>
        <w:gridCol w:w="2126"/>
        <w:gridCol w:w="6237"/>
      </w:tblGrid>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Treatment phase:</w:t>
            </w:r>
          </w:p>
        </w:tc>
        <w:tc>
          <w:tcPr>
            <w:tcW w:w="6237"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i/>
                <w:sz w:val="20"/>
              </w:rPr>
            </w:pPr>
            <w:r w:rsidRPr="008A0437">
              <w:rPr>
                <w:rFonts w:ascii="Arial Narrow" w:hAnsi="Arial Narrow"/>
                <w:i/>
                <w:sz w:val="20"/>
              </w:rPr>
              <w:t>Grandfathering treatment</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Treatment criteria:</w:t>
            </w:r>
          </w:p>
        </w:tc>
        <w:tc>
          <w:tcPr>
            <w:tcW w:w="6237"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i/>
                <w:sz w:val="20"/>
              </w:rPr>
              <w:t>&lt;As per initial treatment&gt;</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Clinical criteria:</w:t>
            </w:r>
          </w:p>
          <w:p w:rsidR="00624399" w:rsidRPr="008A0437" w:rsidRDefault="00624399" w:rsidP="00915C99">
            <w:pPr>
              <w:widowControl/>
              <w:rPr>
                <w:rFonts w:ascii="Arial Narrow" w:hAnsi="Arial Narrow"/>
                <w:sz w:val="20"/>
              </w:rPr>
            </w:pPr>
          </w:p>
        </w:tc>
        <w:tc>
          <w:tcPr>
            <w:tcW w:w="6237"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 xml:space="preserve">Patient must have previously received non-PBS subsidised treatment with </w:t>
            </w:r>
            <w:r w:rsidRPr="008A0437">
              <w:rPr>
                <w:rFonts w:ascii="Arial Narrow" w:hAnsi="Arial Narrow"/>
                <w:i/>
                <w:sz w:val="20"/>
              </w:rPr>
              <w:t>this drug for this condition</w:t>
            </w:r>
            <w:r w:rsidR="00E46F7B" w:rsidRPr="008A0437">
              <w:rPr>
                <w:rFonts w:ascii="Arial Narrow" w:hAnsi="Arial Narrow"/>
                <w:sz w:val="20"/>
              </w:rPr>
              <w:t xml:space="preserve"> </w:t>
            </w:r>
            <w:r w:rsidRPr="008A0437">
              <w:rPr>
                <w:rFonts w:ascii="Arial Narrow" w:hAnsi="Arial Narrow"/>
                <w:sz w:val="20"/>
              </w:rPr>
              <w:t>prior to [listing date]</w:t>
            </w:r>
          </w:p>
          <w:p w:rsidR="00624399" w:rsidRPr="008A0437" w:rsidRDefault="00624399" w:rsidP="00915C99">
            <w:pPr>
              <w:widowControl/>
              <w:rPr>
                <w:rFonts w:ascii="Arial Narrow" w:hAnsi="Arial Narrow"/>
                <w:sz w:val="20"/>
              </w:rPr>
            </w:pPr>
            <w:r w:rsidRPr="008A0437">
              <w:rPr>
                <w:rFonts w:ascii="Arial Narrow" w:hAnsi="Arial Narrow"/>
                <w:sz w:val="20"/>
              </w:rPr>
              <w:t>AND</w:t>
            </w:r>
          </w:p>
          <w:p w:rsidR="00624399" w:rsidRPr="008A0437" w:rsidRDefault="00624399" w:rsidP="00915C99">
            <w:pPr>
              <w:widowControl/>
              <w:rPr>
                <w:rFonts w:ascii="Arial Narrow" w:hAnsi="Arial Narrow"/>
                <w:sz w:val="20"/>
              </w:rPr>
            </w:pPr>
            <w:r w:rsidRPr="008A0437">
              <w:rPr>
                <w:rFonts w:ascii="Arial Narrow" w:hAnsi="Arial Narrow"/>
                <w:i/>
                <w:sz w:val="20"/>
              </w:rPr>
              <w:t xml:space="preserve">The treatment must not be in combination with </w:t>
            </w:r>
            <w:r w:rsidR="00615B39">
              <w:rPr>
                <w:rFonts w:ascii="Arial Narrow" w:hAnsi="Arial Narrow"/>
                <w:i/>
                <w:sz w:val="20"/>
              </w:rPr>
              <w:t xml:space="preserve">PBS-subsidised </w:t>
            </w:r>
            <w:r w:rsidRPr="008A0437">
              <w:rPr>
                <w:rFonts w:ascii="Arial Narrow" w:hAnsi="Arial Narrow"/>
                <w:i/>
                <w:sz w:val="20"/>
              </w:rPr>
              <w:t>pirfenidone</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Population criteria:</w:t>
            </w:r>
          </w:p>
        </w:tc>
        <w:tc>
          <w:tcPr>
            <w:tcW w:w="6237"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sz w:val="20"/>
              </w:rPr>
            </w:pPr>
            <w:r w:rsidRPr="008A0437">
              <w:rPr>
                <w:rFonts w:ascii="Arial Narrow" w:hAnsi="Arial Narrow"/>
                <w:sz w:val="20"/>
              </w:rPr>
              <w:t>Patient must be aged 40 years or older.</w:t>
            </w:r>
          </w:p>
        </w:tc>
      </w:tr>
      <w:tr w:rsidR="00624399" w:rsidRPr="008A0437" w:rsidTr="00376159">
        <w:trPr>
          <w:cantSplit/>
          <w:trHeight w:val="360"/>
        </w:trPr>
        <w:tc>
          <w:tcPr>
            <w:tcW w:w="2126"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b/>
                <w:sz w:val="20"/>
              </w:rPr>
            </w:pPr>
            <w:r w:rsidRPr="008A0437">
              <w:rPr>
                <w:rFonts w:ascii="Arial Narrow" w:hAnsi="Arial Narrow"/>
                <w:b/>
                <w:sz w:val="20"/>
              </w:rPr>
              <w:t>Prescriber instructions:</w:t>
            </w:r>
          </w:p>
        </w:tc>
        <w:tc>
          <w:tcPr>
            <w:tcW w:w="6237" w:type="dxa"/>
            <w:tcBorders>
              <w:top w:val="single" w:sz="4" w:space="0" w:color="auto"/>
              <w:left w:val="single" w:sz="4" w:space="0" w:color="auto"/>
              <w:bottom w:val="single" w:sz="4" w:space="0" w:color="auto"/>
              <w:right w:val="single" w:sz="4" w:space="0" w:color="auto"/>
            </w:tcBorders>
          </w:tcPr>
          <w:p w:rsidR="00624399" w:rsidRPr="008A0437" w:rsidRDefault="00624399" w:rsidP="00915C99">
            <w:pPr>
              <w:widowControl/>
              <w:rPr>
                <w:rFonts w:ascii="Arial Narrow" w:hAnsi="Arial Narrow"/>
                <w:i/>
                <w:sz w:val="20"/>
              </w:rPr>
            </w:pPr>
            <w:r w:rsidRPr="008A0437">
              <w:rPr>
                <w:rFonts w:ascii="Arial Narrow" w:hAnsi="Arial Narrow"/>
                <w:i/>
                <w:sz w:val="20"/>
              </w:rPr>
              <w:t>&lt;As per initial treatment&gt;</w:t>
            </w:r>
          </w:p>
        </w:tc>
      </w:tr>
    </w:tbl>
    <w:p w:rsidR="0010388A" w:rsidRPr="008A0437" w:rsidRDefault="0010388A" w:rsidP="00915C99">
      <w:pPr>
        <w:widowControl/>
        <w:rPr>
          <w:szCs w:val="22"/>
        </w:rPr>
      </w:pPr>
    </w:p>
    <w:p w:rsidR="00393F75" w:rsidRPr="008A0437" w:rsidRDefault="00280F18" w:rsidP="003B2E67">
      <w:pPr>
        <w:pStyle w:val="ListParagraph"/>
        <w:widowControl/>
        <w:numPr>
          <w:ilvl w:val="1"/>
          <w:numId w:val="2"/>
        </w:numPr>
        <w:rPr>
          <w:szCs w:val="22"/>
        </w:rPr>
      </w:pPr>
      <w:r w:rsidRPr="008A0437">
        <w:t xml:space="preserve">The current </w:t>
      </w:r>
      <w:r w:rsidR="00E91B50" w:rsidRPr="008A0437">
        <w:t>resubmission</w:t>
      </w:r>
      <w:r w:rsidRPr="008A0437">
        <w:t xml:space="preserve"> sought listing on the basis of a cost utility analysis (CUA) comparing nintedanib </w:t>
      </w:r>
      <w:r w:rsidR="00934FEC" w:rsidRPr="008A0437">
        <w:t>with</w:t>
      </w:r>
      <w:r w:rsidRPr="008A0437">
        <w:t xml:space="preserve"> best supportive care (BSC).</w:t>
      </w:r>
      <w:r w:rsidR="003B2E67" w:rsidRPr="008A0437">
        <w:t xml:space="preserve"> </w:t>
      </w:r>
      <w:r w:rsidR="003B2E67" w:rsidRPr="008A0437">
        <w:rPr>
          <w:szCs w:val="22"/>
        </w:rPr>
        <w:t xml:space="preserve">As in the </w:t>
      </w:r>
      <w:r w:rsidR="003A7171" w:rsidRPr="008A0437">
        <w:rPr>
          <w:szCs w:val="22"/>
        </w:rPr>
        <w:t>previous submissions</w:t>
      </w:r>
      <w:r w:rsidR="003B2E67" w:rsidRPr="008A0437">
        <w:rPr>
          <w:szCs w:val="22"/>
        </w:rPr>
        <w:t xml:space="preserve">, the current resubmission proposed a </w:t>
      </w:r>
      <w:r w:rsidR="008A0437">
        <w:rPr>
          <w:szCs w:val="22"/>
        </w:rPr>
        <w:t>S</w:t>
      </w:r>
      <w:r w:rsidR="008A0437" w:rsidRPr="008A0437">
        <w:rPr>
          <w:szCs w:val="22"/>
        </w:rPr>
        <w:t xml:space="preserve">pecial </w:t>
      </w:r>
      <w:r w:rsidR="008A0437">
        <w:rPr>
          <w:szCs w:val="22"/>
        </w:rPr>
        <w:t>P</w:t>
      </w:r>
      <w:r w:rsidR="008A0437" w:rsidRPr="008A0437">
        <w:rPr>
          <w:szCs w:val="22"/>
        </w:rPr>
        <w:t xml:space="preserve">ricing </w:t>
      </w:r>
      <w:r w:rsidR="008A0437">
        <w:rPr>
          <w:szCs w:val="22"/>
        </w:rPr>
        <w:t>A</w:t>
      </w:r>
      <w:r w:rsidR="008A0437" w:rsidRPr="008A0437">
        <w:rPr>
          <w:szCs w:val="22"/>
        </w:rPr>
        <w:t xml:space="preserve">rrangement </w:t>
      </w:r>
      <w:r w:rsidR="003B2E67" w:rsidRPr="008A0437">
        <w:rPr>
          <w:szCs w:val="22"/>
        </w:rPr>
        <w:t>(SPA)</w:t>
      </w:r>
      <w:r w:rsidR="003A7171" w:rsidRPr="008A0437">
        <w:rPr>
          <w:szCs w:val="22"/>
        </w:rPr>
        <w:t xml:space="preserve"> such that the effective DPMQ of nintedanib is $</w:t>
      </w:r>
      <w:r w:rsidR="003B3717">
        <w:rPr>
          <w:noProof/>
          <w:color w:val="000000"/>
          <w:szCs w:val="22"/>
          <w:highlight w:val="black"/>
        </w:rPr>
        <w:t>'''''''''''''''</w:t>
      </w:r>
      <w:r w:rsidR="003A7171" w:rsidRPr="008A0437">
        <w:rPr>
          <w:szCs w:val="22"/>
        </w:rPr>
        <w:t xml:space="preserve"> and $</w:t>
      </w:r>
      <w:r w:rsidR="003B3717">
        <w:rPr>
          <w:noProof/>
          <w:color w:val="000000"/>
          <w:szCs w:val="22"/>
          <w:highlight w:val="black"/>
        </w:rPr>
        <w:t>''''''''''''''''</w:t>
      </w:r>
      <w:r w:rsidR="003A7171" w:rsidRPr="008A0437">
        <w:rPr>
          <w:szCs w:val="22"/>
        </w:rPr>
        <w:t xml:space="preserve"> for one pack of 100 mg and 150 mg capsules, respectively.</w:t>
      </w:r>
    </w:p>
    <w:p w:rsidR="00393F75" w:rsidRPr="008A0437" w:rsidRDefault="00393F75" w:rsidP="00915C99">
      <w:pPr>
        <w:widowControl/>
      </w:pPr>
    </w:p>
    <w:p w:rsidR="000C7651" w:rsidRPr="008A0437" w:rsidRDefault="00280F18" w:rsidP="00915C99">
      <w:pPr>
        <w:pStyle w:val="ListParagraph"/>
        <w:widowControl/>
        <w:numPr>
          <w:ilvl w:val="1"/>
          <w:numId w:val="2"/>
        </w:numPr>
        <w:rPr>
          <w:i/>
        </w:rPr>
      </w:pPr>
      <w:r w:rsidRPr="008A0437">
        <w:t xml:space="preserve">The current </w:t>
      </w:r>
      <w:r w:rsidR="00E91B50" w:rsidRPr="008A0437">
        <w:t>resubmission</w:t>
      </w:r>
      <w:r w:rsidRPr="008A0437">
        <w:t xml:space="preserve"> included a continuation rule </w:t>
      </w:r>
      <w:r w:rsidR="00472FE4" w:rsidRPr="008A0437">
        <w:t>that</w:t>
      </w:r>
      <w:r w:rsidRPr="008A0437">
        <w:t>: “treatment with nintedanib should be discontinued if disease p</w:t>
      </w:r>
      <w:r w:rsidR="00771EF5" w:rsidRPr="008A0437">
        <w:t xml:space="preserve">rogresses (a confirmed absolute decline </w:t>
      </w:r>
      <w:r w:rsidRPr="008A0437">
        <w:t xml:space="preserve">in % predicted </w:t>
      </w:r>
      <w:r w:rsidR="00320A65" w:rsidRPr="008A0437">
        <w:t>forced vital capacity (</w:t>
      </w:r>
      <w:r w:rsidRPr="008A0437">
        <w:t>FVC</w:t>
      </w:r>
      <w:r w:rsidR="00320A65" w:rsidRPr="008A0437">
        <w:t>)</w:t>
      </w:r>
      <w:r w:rsidRPr="008A0437">
        <w:t xml:space="preserve"> of 10% or more within any 12</w:t>
      </w:r>
      <w:r w:rsidR="001118CE" w:rsidRPr="008A0437">
        <w:noBreakHyphen/>
      </w:r>
      <w:r w:rsidRPr="008A0437">
        <w:t xml:space="preserve">month period while receiving treatment).” The proposed continuation rule differed from the one proposed in the </w:t>
      </w:r>
      <w:r w:rsidR="000C7651" w:rsidRPr="008A0437">
        <w:t xml:space="preserve">November 2015 </w:t>
      </w:r>
      <w:r w:rsidRPr="008A0437">
        <w:t xml:space="preserve">pre-PBAC response </w:t>
      </w:r>
      <w:r w:rsidR="000C7651" w:rsidRPr="008A0437">
        <w:t xml:space="preserve">with </w:t>
      </w:r>
      <w:r w:rsidRPr="008A0437">
        <w:t>the addition of the word “absolute” in defining disease progression.</w:t>
      </w:r>
      <w:r w:rsidR="00472FE4" w:rsidRPr="008A0437">
        <w:t xml:space="preserve"> </w:t>
      </w:r>
      <w:r w:rsidR="000C7651" w:rsidRPr="008A0437">
        <w:t xml:space="preserve">The </w:t>
      </w:r>
      <w:r w:rsidR="00FC1A73" w:rsidRPr="008A0437">
        <w:t xml:space="preserve">Pre-Sub-Committee Response (PSCR, </w:t>
      </w:r>
      <w:r w:rsidR="000C7651" w:rsidRPr="008A0437">
        <w:t xml:space="preserve">p1) proposed that the following wording be added after the presentation of the continuation rule: ‘The absolute decline in % predicted FVC is determined by </w:t>
      </w:r>
      <w:r w:rsidR="000C7651" w:rsidRPr="008A0437">
        <w:lastRenderedPageBreak/>
        <w:t>subtracting the most recent % predicted FVC value from the % predicted FVC value measured 12 months ago’.</w:t>
      </w:r>
    </w:p>
    <w:p w:rsidR="000C7651" w:rsidRPr="008A0437" w:rsidRDefault="000C7651" w:rsidP="00915C99">
      <w:pPr>
        <w:widowControl/>
      </w:pPr>
    </w:p>
    <w:p w:rsidR="00CE506B" w:rsidRPr="008A0437" w:rsidRDefault="00CE506B" w:rsidP="00915C99">
      <w:pPr>
        <w:pStyle w:val="ListParagraph"/>
        <w:widowControl/>
        <w:numPr>
          <w:ilvl w:val="1"/>
          <w:numId w:val="2"/>
        </w:numPr>
      </w:pPr>
      <w:r w:rsidRPr="008A0437">
        <w:t xml:space="preserve">The ESC noted that for those patients </w:t>
      </w:r>
      <w:r w:rsidR="00472FE4" w:rsidRPr="008A0437">
        <w:t>who</w:t>
      </w:r>
      <w:r w:rsidRPr="008A0437">
        <w:t xml:space="preserve"> breach the proposed continuation rule, the sponsor proposed to </w:t>
      </w:r>
      <w:r w:rsidR="00472FE4" w:rsidRPr="008A0437">
        <w:t>fund</w:t>
      </w:r>
      <w:r w:rsidRPr="008A0437">
        <w:t xml:space="preserve"> nintedanib, where deemed appropriate, under the direction of </w:t>
      </w:r>
      <w:r w:rsidR="00B60A19" w:rsidRPr="008A0437">
        <w:t xml:space="preserve">a </w:t>
      </w:r>
      <w:r w:rsidRPr="008A0437">
        <w:t xml:space="preserve">specialist physician. </w:t>
      </w:r>
      <w:r w:rsidR="00FD5BAA" w:rsidRPr="008A0437">
        <w:t>T</w:t>
      </w:r>
      <w:r w:rsidR="00472FE4" w:rsidRPr="008A0437">
        <w:t xml:space="preserve">he ESC noted that in its consideration of pirfenidone in March 2016, the PBAC considered </w:t>
      </w:r>
      <w:r w:rsidR="00472FE4" w:rsidRPr="008A0437">
        <w:rPr>
          <w:szCs w:val="22"/>
        </w:rPr>
        <w:t>that implementing a stopping rule would be difficult in clinical practice (March 2016 pirfenidone PSD, paragraph 5.2).</w:t>
      </w:r>
      <w:r w:rsidR="00FD5BAA" w:rsidRPr="008A0437">
        <w:rPr>
          <w:szCs w:val="22"/>
        </w:rPr>
        <w:t xml:space="preserve"> In this regard, </w:t>
      </w:r>
      <w:r w:rsidR="00FD5BAA" w:rsidRPr="008A0437">
        <w:t xml:space="preserve">the ESC considered that it may be preferable to manage the risk of continuing treatment with nintedanib in patients who have experienced a significant decline in lung function through other methods (e.g. </w:t>
      </w:r>
      <w:r w:rsidR="00B60A19" w:rsidRPr="008A0437">
        <w:t xml:space="preserve">a </w:t>
      </w:r>
      <w:r w:rsidR="00FD5BAA" w:rsidRPr="008A0437">
        <w:t xml:space="preserve">risk sharing </w:t>
      </w:r>
      <w:r w:rsidR="00B60A19" w:rsidRPr="008A0437">
        <w:t>arrangement</w:t>
      </w:r>
      <w:r w:rsidR="00FC3050" w:rsidRPr="008A0437">
        <w:t xml:space="preserve"> (RSA)</w:t>
      </w:r>
      <w:r w:rsidR="00FD5BAA" w:rsidRPr="008A0437">
        <w:t>).</w:t>
      </w:r>
    </w:p>
    <w:p w:rsidR="00CE506B" w:rsidRPr="008A0437" w:rsidRDefault="00CE506B" w:rsidP="00915C99">
      <w:pPr>
        <w:widowControl/>
        <w:rPr>
          <w:szCs w:val="22"/>
        </w:rPr>
      </w:pPr>
    </w:p>
    <w:p w:rsidR="004975DD" w:rsidRPr="008A0437" w:rsidRDefault="002D7603" w:rsidP="00CD287C">
      <w:pPr>
        <w:pStyle w:val="ListParagraph"/>
        <w:widowControl/>
        <w:numPr>
          <w:ilvl w:val="1"/>
          <w:numId w:val="2"/>
        </w:numPr>
        <w:rPr>
          <w:szCs w:val="22"/>
        </w:rPr>
      </w:pPr>
      <w:r w:rsidRPr="008A0437">
        <w:rPr>
          <w:szCs w:val="22"/>
        </w:rPr>
        <w:t xml:space="preserve">The </w:t>
      </w:r>
      <w:r w:rsidR="00B3201A" w:rsidRPr="008A0437">
        <w:rPr>
          <w:szCs w:val="22"/>
        </w:rPr>
        <w:t xml:space="preserve">pre-PBAC response </w:t>
      </w:r>
      <w:r w:rsidRPr="008A0437">
        <w:rPr>
          <w:szCs w:val="22"/>
        </w:rPr>
        <w:t xml:space="preserve">(p2) acknowledged and accepted </w:t>
      </w:r>
      <w:r w:rsidR="00A00A9D" w:rsidRPr="008A0437">
        <w:rPr>
          <w:szCs w:val="22"/>
        </w:rPr>
        <w:t xml:space="preserve">the </w:t>
      </w:r>
      <w:r w:rsidR="00B3201A" w:rsidRPr="008A0437">
        <w:rPr>
          <w:szCs w:val="22"/>
        </w:rPr>
        <w:t xml:space="preserve">majority of the </w:t>
      </w:r>
      <w:r w:rsidR="00A00A9D" w:rsidRPr="008A0437">
        <w:rPr>
          <w:szCs w:val="22"/>
        </w:rPr>
        <w:t>Secretariat’s proposed changes to the restriction wording</w:t>
      </w:r>
      <w:r w:rsidR="00320521" w:rsidRPr="008A0437">
        <w:rPr>
          <w:szCs w:val="22"/>
        </w:rPr>
        <w:t xml:space="preserve"> for nintedanib</w:t>
      </w:r>
      <w:r w:rsidR="00A00A9D" w:rsidRPr="008A0437">
        <w:rPr>
          <w:szCs w:val="22"/>
        </w:rPr>
        <w:t>, subject to approval by the PBAC.</w:t>
      </w:r>
    </w:p>
    <w:p w:rsidR="004975DD" w:rsidRPr="002A78FC" w:rsidRDefault="004975DD" w:rsidP="004975DD">
      <w:pPr>
        <w:rPr>
          <w:szCs w:val="22"/>
        </w:rPr>
      </w:pPr>
    </w:p>
    <w:p w:rsidR="00DF3451" w:rsidRPr="008A0437" w:rsidRDefault="004975DD" w:rsidP="00CD287C">
      <w:pPr>
        <w:pStyle w:val="ListParagraph"/>
        <w:widowControl/>
        <w:numPr>
          <w:ilvl w:val="1"/>
          <w:numId w:val="2"/>
        </w:numPr>
        <w:rPr>
          <w:szCs w:val="22"/>
        </w:rPr>
      </w:pPr>
      <w:r w:rsidRPr="008A0437">
        <w:rPr>
          <w:szCs w:val="22"/>
        </w:rPr>
        <w:t>T</w:t>
      </w:r>
      <w:r w:rsidR="00DF3451" w:rsidRPr="008A0437">
        <w:rPr>
          <w:szCs w:val="22"/>
        </w:rPr>
        <w:t>he pre-PBAC response</w:t>
      </w:r>
      <w:r w:rsidR="00154017" w:rsidRPr="008A0437">
        <w:rPr>
          <w:szCs w:val="22"/>
        </w:rPr>
        <w:t xml:space="preserve"> (p2)</w:t>
      </w:r>
      <w:r w:rsidR="00DF3451" w:rsidRPr="008A0437">
        <w:rPr>
          <w:szCs w:val="22"/>
        </w:rPr>
        <w:t xml:space="preserve">, Australian Pulmonary Fibrosis Consortium and the </w:t>
      </w:r>
      <w:r w:rsidR="002D7F2C" w:rsidRPr="008A0437">
        <w:rPr>
          <w:szCs w:val="22"/>
        </w:rPr>
        <w:t xml:space="preserve">Australian </w:t>
      </w:r>
      <w:r w:rsidR="00DF3451" w:rsidRPr="008A0437">
        <w:rPr>
          <w:szCs w:val="22"/>
        </w:rPr>
        <w:t xml:space="preserve">IPF Registry </w:t>
      </w:r>
      <w:r w:rsidR="00101EF9" w:rsidRPr="008A0437">
        <w:rPr>
          <w:szCs w:val="22"/>
        </w:rPr>
        <w:t>S</w:t>
      </w:r>
      <w:r w:rsidR="00DF3451" w:rsidRPr="008A0437">
        <w:rPr>
          <w:szCs w:val="22"/>
        </w:rPr>
        <w:t xml:space="preserve">teering </w:t>
      </w:r>
      <w:r w:rsidR="00101EF9" w:rsidRPr="008A0437">
        <w:rPr>
          <w:szCs w:val="22"/>
        </w:rPr>
        <w:t>C</w:t>
      </w:r>
      <w:r w:rsidR="00DF3451" w:rsidRPr="008A0437">
        <w:rPr>
          <w:szCs w:val="22"/>
        </w:rPr>
        <w:t>ommittee noted the importance of a clear diagnosis of IPF within the setting of an established specialist multidisciplinary</w:t>
      </w:r>
      <w:r w:rsidR="00AF072D" w:rsidRPr="008A0437">
        <w:rPr>
          <w:szCs w:val="22"/>
        </w:rPr>
        <w:t xml:space="preserve"> team</w:t>
      </w:r>
      <w:r w:rsidR="00DF3451" w:rsidRPr="008A0437">
        <w:rPr>
          <w:szCs w:val="22"/>
        </w:rPr>
        <w:t xml:space="preserve"> meeting for increased accuracy in diagnosis.</w:t>
      </w:r>
      <w:r w:rsidR="00AF072D" w:rsidRPr="008A0437">
        <w:rPr>
          <w:szCs w:val="22"/>
        </w:rPr>
        <w:t xml:space="preserve"> The Australian IPF Registry </w:t>
      </w:r>
      <w:r w:rsidR="002D7F2C" w:rsidRPr="008A0437">
        <w:rPr>
          <w:szCs w:val="22"/>
        </w:rPr>
        <w:t xml:space="preserve">further </w:t>
      </w:r>
      <w:r w:rsidR="00AF072D" w:rsidRPr="008A0437">
        <w:rPr>
          <w:szCs w:val="22"/>
        </w:rPr>
        <w:t>advised that the multidisciplinary team should be defined as a respiratory physician, radiologist and, where histological material is considered, a pathologist.</w:t>
      </w:r>
    </w:p>
    <w:p w:rsidR="00AF072D" w:rsidRPr="002A78FC" w:rsidRDefault="00AF072D" w:rsidP="00915C99">
      <w:pPr>
        <w:widowControl/>
        <w:rPr>
          <w:szCs w:val="22"/>
        </w:rPr>
      </w:pPr>
    </w:p>
    <w:p w:rsidR="002D7F2C" w:rsidRPr="008A0437" w:rsidRDefault="00AF072D" w:rsidP="00915C99">
      <w:pPr>
        <w:pStyle w:val="ListParagraph"/>
        <w:widowControl/>
        <w:numPr>
          <w:ilvl w:val="1"/>
          <w:numId w:val="2"/>
        </w:numPr>
        <w:rPr>
          <w:szCs w:val="22"/>
        </w:rPr>
      </w:pPr>
      <w:r w:rsidRPr="008A0437">
        <w:rPr>
          <w:szCs w:val="22"/>
        </w:rPr>
        <w:t xml:space="preserve">The Australian IPF Registry </w:t>
      </w:r>
      <w:r w:rsidR="00101EF9" w:rsidRPr="008A0437">
        <w:rPr>
          <w:szCs w:val="22"/>
        </w:rPr>
        <w:t>S</w:t>
      </w:r>
      <w:r w:rsidR="002D7F2C" w:rsidRPr="008A0437">
        <w:rPr>
          <w:szCs w:val="22"/>
        </w:rPr>
        <w:t xml:space="preserve">teering </w:t>
      </w:r>
      <w:r w:rsidR="00101EF9" w:rsidRPr="008A0437">
        <w:rPr>
          <w:szCs w:val="22"/>
        </w:rPr>
        <w:t>C</w:t>
      </w:r>
      <w:r w:rsidR="002D7F2C" w:rsidRPr="008A0437">
        <w:rPr>
          <w:szCs w:val="22"/>
        </w:rPr>
        <w:t>ommittee also advised that:</w:t>
      </w:r>
    </w:p>
    <w:p w:rsidR="002D7F2C" w:rsidRPr="008A0437" w:rsidRDefault="002D7F2C" w:rsidP="00915C99">
      <w:pPr>
        <w:pStyle w:val="ListParagraph"/>
        <w:widowControl/>
        <w:numPr>
          <w:ilvl w:val="2"/>
          <w:numId w:val="2"/>
        </w:numPr>
        <w:ind w:left="993" w:hanging="284"/>
        <w:rPr>
          <w:szCs w:val="22"/>
        </w:rPr>
      </w:pPr>
      <w:r w:rsidRPr="008A0437">
        <w:rPr>
          <w:szCs w:val="22"/>
        </w:rPr>
        <w:t xml:space="preserve">the criterion specifying that the patient must be treated by a respiratory/specialist physician with expertise in the management of </w:t>
      </w:r>
      <w:r w:rsidR="00964F84" w:rsidRPr="008A0437">
        <w:rPr>
          <w:szCs w:val="22"/>
        </w:rPr>
        <w:t>IPF</w:t>
      </w:r>
      <w:r w:rsidRPr="008A0437">
        <w:rPr>
          <w:szCs w:val="22"/>
        </w:rPr>
        <w:t xml:space="preserve"> be removed, given the absence of a definition of expertise; and</w:t>
      </w:r>
    </w:p>
    <w:p w:rsidR="002D7F2C" w:rsidRPr="008A0437" w:rsidRDefault="00AF072D" w:rsidP="00915C99">
      <w:pPr>
        <w:pStyle w:val="ListParagraph"/>
        <w:widowControl/>
        <w:numPr>
          <w:ilvl w:val="2"/>
          <w:numId w:val="2"/>
        </w:numPr>
        <w:ind w:left="993" w:hanging="284"/>
        <w:rPr>
          <w:szCs w:val="22"/>
        </w:rPr>
      </w:pPr>
      <w:r w:rsidRPr="008A0437">
        <w:rPr>
          <w:szCs w:val="22"/>
        </w:rPr>
        <w:t>the requirement for HRCT scan results confirming diagnosis of IPF be removed</w:t>
      </w:r>
      <w:r w:rsidR="002A5724" w:rsidRPr="008A0437">
        <w:rPr>
          <w:szCs w:val="22"/>
        </w:rPr>
        <w:t xml:space="preserve"> and replaced with a requirement for </w:t>
      </w:r>
      <w:r w:rsidRPr="008A0437">
        <w:rPr>
          <w:szCs w:val="22"/>
        </w:rPr>
        <w:t xml:space="preserve">evidence </w:t>
      </w:r>
      <w:r w:rsidR="002A69A2" w:rsidRPr="008A0437">
        <w:rPr>
          <w:szCs w:val="22"/>
        </w:rPr>
        <w:t xml:space="preserve">that a </w:t>
      </w:r>
      <w:r w:rsidRPr="008A0437">
        <w:rPr>
          <w:szCs w:val="22"/>
        </w:rPr>
        <w:t>HRCT scan has been performed</w:t>
      </w:r>
      <w:r w:rsidR="002D7F2C" w:rsidRPr="008A0437">
        <w:rPr>
          <w:szCs w:val="22"/>
        </w:rPr>
        <w:t>.</w:t>
      </w:r>
    </w:p>
    <w:p w:rsidR="00DF51A6" w:rsidRPr="008A0437" w:rsidRDefault="00DF51A6" w:rsidP="002A78FC">
      <w:pPr>
        <w:widowControl/>
        <w:rPr>
          <w:szCs w:val="22"/>
        </w:rPr>
      </w:pPr>
    </w:p>
    <w:p w:rsidR="00C82E65" w:rsidRPr="008A0437" w:rsidRDefault="00C82E65" w:rsidP="00915C99">
      <w:pPr>
        <w:widowControl/>
        <w:ind w:left="709"/>
        <w:contextualSpacing/>
        <w:rPr>
          <w:rFonts w:cs="Times New Roman"/>
          <w:i/>
          <w:snapToGrid/>
          <w:szCs w:val="22"/>
          <w:lang w:eastAsia="en-AU"/>
        </w:rPr>
      </w:pPr>
      <w:r w:rsidRPr="008A0437">
        <w:rPr>
          <w:rFonts w:cs="Times New Roman"/>
          <w:i/>
          <w:snapToGrid/>
          <w:szCs w:val="22"/>
          <w:lang w:eastAsia="en-AU"/>
        </w:rPr>
        <w:t>For more detail on PBAC’s view, see section 7 “PBAC outcome”</w:t>
      </w:r>
      <w:r w:rsidR="002A78FC">
        <w:rPr>
          <w:rFonts w:cs="Times New Roman"/>
          <w:i/>
          <w:snapToGrid/>
          <w:szCs w:val="22"/>
          <w:lang w:eastAsia="en-AU"/>
        </w:rPr>
        <w:t>.</w:t>
      </w:r>
    </w:p>
    <w:p w:rsidR="00094452" w:rsidRPr="008A0437" w:rsidRDefault="00094452" w:rsidP="00915C99">
      <w:pPr>
        <w:widowControl/>
      </w:pPr>
    </w:p>
    <w:p w:rsidR="002A1D22" w:rsidRPr="008A0437" w:rsidRDefault="002A1D22" w:rsidP="00915C99">
      <w:pPr>
        <w:widowControl/>
      </w:pPr>
    </w:p>
    <w:p w:rsidR="00F338FF" w:rsidRPr="008A0437" w:rsidRDefault="00F338FF" w:rsidP="00915C99">
      <w:pPr>
        <w:pStyle w:val="PBACheading1"/>
        <w:keepNext/>
      </w:pPr>
      <w:bookmarkStart w:id="3" w:name="_Toc459120715"/>
      <w:r w:rsidRPr="008A0437">
        <w:rPr>
          <w:b/>
        </w:rPr>
        <w:t>Background</w:t>
      </w:r>
      <w:bookmarkEnd w:id="3"/>
    </w:p>
    <w:p w:rsidR="00B60939" w:rsidRPr="008A0437" w:rsidRDefault="00B60939" w:rsidP="00915C99">
      <w:pPr>
        <w:keepNext/>
        <w:widowControl/>
        <w:rPr>
          <w:szCs w:val="22"/>
        </w:rPr>
      </w:pPr>
    </w:p>
    <w:p w:rsidR="00B60939" w:rsidRPr="008A0437" w:rsidRDefault="00E60D0C" w:rsidP="00915C99">
      <w:pPr>
        <w:pStyle w:val="ListParagraph"/>
        <w:widowControl/>
        <w:numPr>
          <w:ilvl w:val="1"/>
          <w:numId w:val="1"/>
        </w:numPr>
      </w:pPr>
      <w:r w:rsidRPr="008A0437">
        <w:rPr>
          <w:b/>
          <w:szCs w:val="22"/>
        </w:rPr>
        <w:t>TGA status at time</w:t>
      </w:r>
      <w:r w:rsidR="005A55EA" w:rsidRPr="008A0437">
        <w:rPr>
          <w:b/>
          <w:szCs w:val="22"/>
        </w:rPr>
        <w:t xml:space="preserve"> of PBAC consideration</w:t>
      </w:r>
      <w:r w:rsidRPr="008A0437">
        <w:rPr>
          <w:b/>
          <w:szCs w:val="22"/>
        </w:rPr>
        <w:t>:</w:t>
      </w:r>
      <w:r w:rsidR="005A55EA" w:rsidRPr="008A0437">
        <w:rPr>
          <w:szCs w:val="22"/>
        </w:rPr>
        <w:t xml:space="preserve"> </w:t>
      </w:r>
      <w:r w:rsidRPr="008A0437">
        <w:rPr>
          <w:szCs w:val="22"/>
        </w:rPr>
        <w:t>N</w:t>
      </w:r>
      <w:r w:rsidR="0018568D" w:rsidRPr="008A0437">
        <w:rPr>
          <w:szCs w:val="22"/>
        </w:rPr>
        <w:t xml:space="preserve">intedanib was registered on the ARTG for the treatment of </w:t>
      </w:r>
      <w:r w:rsidR="00280F18" w:rsidRPr="008A0437">
        <w:rPr>
          <w:szCs w:val="22"/>
        </w:rPr>
        <w:t xml:space="preserve">IPF on </w:t>
      </w:r>
      <w:r w:rsidR="0018568D" w:rsidRPr="008A0437">
        <w:rPr>
          <w:szCs w:val="22"/>
        </w:rPr>
        <w:t xml:space="preserve">1 September </w:t>
      </w:r>
      <w:r w:rsidR="00280F18" w:rsidRPr="008A0437">
        <w:rPr>
          <w:szCs w:val="22"/>
        </w:rPr>
        <w:t>2015</w:t>
      </w:r>
      <w:r w:rsidR="00EA5CAF" w:rsidRPr="008A0437">
        <w:rPr>
          <w:szCs w:val="22"/>
        </w:rPr>
        <w:t>.</w:t>
      </w:r>
    </w:p>
    <w:p w:rsidR="00280F18" w:rsidRPr="008A0437" w:rsidRDefault="00280F18" w:rsidP="00915C99">
      <w:pPr>
        <w:widowControl/>
      </w:pPr>
    </w:p>
    <w:p w:rsidR="00BB78BD" w:rsidRPr="008A0437" w:rsidRDefault="00BB78BD" w:rsidP="00915C99">
      <w:pPr>
        <w:pStyle w:val="ListParagraph"/>
        <w:widowControl/>
        <w:numPr>
          <w:ilvl w:val="1"/>
          <w:numId w:val="1"/>
        </w:numPr>
        <w:rPr>
          <w:szCs w:val="22"/>
        </w:rPr>
      </w:pPr>
      <w:r w:rsidRPr="008A0437">
        <w:rPr>
          <w:szCs w:val="22"/>
        </w:rPr>
        <w:t xml:space="preserve">The PBAC previously considered major submissions for nintedanib for </w:t>
      </w:r>
      <w:r w:rsidR="0018568D" w:rsidRPr="008A0437">
        <w:rPr>
          <w:szCs w:val="22"/>
        </w:rPr>
        <w:t xml:space="preserve">IPF </w:t>
      </w:r>
      <w:r w:rsidRPr="008A0437">
        <w:rPr>
          <w:szCs w:val="22"/>
        </w:rPr>
        <w:t xml:space="preserve">in </w:t>
      </w:r>
      <w:r w:rsidR="008C0867" w:rsidRPr="008A0437">
        <w:rPr>
          <w:szCs w:val="22"/>
        </w:rPr>
        <w:t xml:space="preserve">March 2015 and </w:t>
      </w:r>
      <w:r w:rsidR="0018568D" w:rsidRPr="008A0437">
        <w:rPr>
          <w:szCs w:val="22"/>
        </w:rPr>
        <w:t xml:space="preserve">November 2015. </w:t>
      </w:r>
      <w:r w:rsidRPr="008A0437">
        <w:rPr>
          <w:szCs w:val="22"/>
        </w:rPr>
        <w:t xml:space="preserve">Table 1 provides a detailed summary of the </w:t>
      </w:r>
      <w:r w:rsidR="00385FDF" w:rsidRPr="008A0437">
        <w:rPr>
          <w:szCs w:val="22"/>
        </w:rPr>
        <w:t>November 2015 resubmission</w:t>
      </w:r>
      <w:r w:rsidRPr="008A0437">
        <w:rPr>
          <w:szCs w:val="22"/>
        </w:rPr>
        <w:t>, relevant PBAC comments and chang</w:t>
      </w:r>
      <w:r w:rsidR="000F1043" w:rsidRPr="008A0437">
        <w:rPr>
          <w:szCs w:val="22"/>
        </w:rPr>
        <w:t>es in the current resubmission.</w:t>
      </w:r>
    </w:p>
    <w:p w:rsidR="00503055" w:rsidRPr="002A78FC" w:rsidRDefault="00503055" w:rsidP="00915C99">
      <w:pPr>
        <w:widowControl/>
        <w:rPr>
          <w:szCs w:val="22"/>
        </w:rPr>
      </w:pPr>
    </w:p>
    <w:p w:rsidR="00503055" w:rsidRPr="008A0437" w:rsidRDefault="00503055" w:rsidP="00915C99">
      <w:pPr>
        <w:pStyle w:val="ListParagraph"/>
        <w:widowControl/>
        <w:numPr>
          <w:ilvl w:val="1"/>
          <w:numId w:val="1"/>
        </w:numPr>
        <w:rPr>
          <w:szCs w:val="22"/>
        </w:rPr>
      </w:pPr>
      <w:r w:rsidRPr="008A0437">
        <w:rPr>
          <w:szCs w:val="22"/>
        </w:rPr>
        <w:t xml:space="preserve">The PBAC also previously considered </w:t>
      </w:r>
      <w:r w:rsidR="00385FDF" w:rsidRPr="008A0437">
        <w:rPr>
          <w:szCs w:val="22"/>
        </w:rPr>
        <w:t>(</w:t>
      </w:r>
      <w:r w:rsidRPr="008A0437">
        <w:rPr>
          <w:szCs w:val="22"/>
        </w:rPr>
        <w:t>but did not recommend</w:t>
      </w:r>
      <w:r w:rsidR="00385FDF" w:rsidRPr="008A0437">
        <w:rPr>
          <w:szCs w:val="22"/>
        </w:rPr>
        <w:t>)</w:t>
      </w:r>
      <w:r w:rsidRPr="008A0437">
        <w:rPr>
          <w:szCs w:val="22"/>
        </w:rPr>
        <w:t xml:space="preserve"> submissions for pirfenidone for the treatment of patients with IPF at the November 2015 and March 2016 meetings.</w:t>
      </w:r>
    </w:p>
    <w:p w:rsidR="00BB78BD" w:rsidRPr="008A0437" w:rsidRDefault="00BB78BD" w:rsidP="00915C99">
      <w:pPr>
        <w:keepNext/>
        <w:widowControl/>
        <w:ind w:left="709"/>
        <w:rPr>
          <w:rStyle w:val="CommentReference"/>
        </w:rPr>
      </w:pPr>
      <w:r w:rsidRPr="008A0437">
        <w:rPr>
          <w:rStyle w:val="CommentReference"/>
        </w:rPr>
        <w:lastRenderedPageBreak/>
        <w:t>Table 1: Summary of the November 2015 submission and current resubmission</w:t>
      </w:r>
    </w:p>
    <w:tbl>
      <w:tblPr>
        <w:tblW w:w="461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7"/>
        <w:gridCol w:w="4405"/>
        <w:gridCol w:w="2693"/>
      </w:tblGrid>
      <w:tr w:rsidR="00BB78BD" w:rsidRPr="008A0437" w:rsidTr="00BB78BD">
        <w:trPr>
          <w:trHeight w:val="220"/>
          <w:tblHeader/>
        </w:trPr>
        <w:tc>
          <w:tcPr>
            <w:tcW w:w="762" w:type="pct"/>
          </w:tcPr>
          <w:p w:rsidR="00BB78BD" w:rsidRPr="008A0437" w:rsidRDefault="00263651" w:rsidP="00915C99">
            <w:pPr>
              <w:keepNext/>
              <w:widowControl/>
              <w:jc w:val="left"/>
              <w:rPr>
                <w:rFonts w:ascii="Arial Narrow" w:hAnsi="Arial Narrow"/>
                <w:b/>
                <w:sz w:val="20"/>
              </w:rPr>
            </w:pPr>
            <w:r w:rsidRPr="008A0437">
              <w:rPr>
                <w:rFonts w:ascii="Arial Narrow" w:hAnsi="Arial Narrow"/>
                <w:b/>
                <w:sz w:val="20"/>
              </w:rPr>
              <w:t>Component</w:t>
            </w:r>
          </w:p>
        </w:tc>
        <w:tc>
          <w:tcPr>
            <w:tcW w:w="2630" w:type="pct"/>
          </w:tcPr>
          <w:p w:rsidR="00BB78BD" w:rsidRPr="008A0437" w:rsidRDefault="00BB78BD" w:rsidP="00915C99">
            <w:pPr>
              <w:keepNext/>
              <w:widowControl/>
              <w:jc w:val="center"/>
              <w:rPr>
                <w:rFonts w:ascii="Arial Narrow" w:hAnsi="Arial Narrow"/>
                <w:b/>
                <w:sz w:val="20"/>
              </w:rPr>
            </w:pPr>
            <w:r w:rsidRPr="008A0437">
              <w:rPr>
                <w:rFonts w:ascii="Arial Narrow" w:hAnsi="Arial Narrow"/>
                <w:b/>
                <w:sz w:val="20"/>
              </w:rPr>
              <w:t>November 2015 resubmission</w:t>
            </w:r>
          </w:p>
        </w:tc>
        <w:tc>
          <w:tcPr>
            <w:tcW w:w="1608" w:type="pct"/>
            <w:vAlign w:val="center"/>
          </w:tcPr>
          <w:p w:rsidR="00BB78BD" w:rsidRPr="008A0437" w:rsidRDefault="00BB78BD" w:rsidP="00915C99">
            <w:pPr>
              <w:keepNext/>
              <w:widowControl/>
              <w:jc w:val="center"/>
              <w:rPr>
                <w:rFonts w:ascii="Arial Narrow" w:hAnsi="Arial Narrow"/>
                <w:b/>
                <w:sz w:val="20"/>
              </w:rPr>
            </w:pPr>
            <w:r w:rsidRPr="008A0437">
              <w:rPr>
                <w:rFonts w:ascii="Arial Narrow" w:hAnsi="Arial Narrow"/>
                <w:b/>
                <w:sz w:val="20"/>
              </w:rPr>
              <w:t>Current resubmission</w:t>
            </w:r>
          </w:p>
        </w:tc>
      </w:tr>
      <w:tr w:rsidR="00BB78BD" w:rsidRPr="008A0437" w:rsidTr="00BB78BD">
        <w:trPr>
          <w:trHeight w:val="794"/>
        </w:trPr>
        <w:tc>
          <w:tcPr>
            <w:tcW w:w="762" w:type="pct"/>
          </w:tcPr>
          <w:p w:rsidR="00BB78BD" w:rsidRPr="008A0437" w:rsidRDefault="00BB78BD" w:rsidP="00915C99">
            <w:pPr>
              <w:keepNext/>
              <w:widowControl/>
              <w:jc w:val="left"/>
              <w:rPr>
                <w:rFonts w:ascii="Arial Narrow" w:hAnsi="Arial Narrow"/>
                <w:sz w:val="20"/>
              </w:rPr>
            </w:pPr>
            <w:r w:rsidRPr="008A0437">
              <w:rPr>
                <w:rFonts w:ascii="Arial Narrow" w:hAnsi="Arial Narrow"/>
                <w:sz w:val="20"/>
              </w:rPr>
              <w:t>Requested PBS listing</w:t>
            </w:r>
          </w:p>
        </w:tc>
        <w:tc>
          <w:tcPr>
            <w:tcW w:w="2630" w:type="pct"/>
          </w:tcPr>
          <w:p w:rsidR="00BB78BD" w:rsidRPr="008A0437" w:rsidRDefault="00BB78BD" w:rsidP="00915C99">
            <w:pPr>
              <w:keepNext/>
              <w:widowControl/>
              <w:jc w:val="left"/>
              <w:rPr>
                <w:rFonts w:ascii="Arial Narrow" w:hAnsi="Arial Narrow"/>
                <w:sz w:val="20"/>
              </w:rPr>
            </w:pPr>
            <w:r w:rsidRPr="008A0437">
              <w:rPr>
                <w:rFonts w:ascii="Arial Narrow" w:hAnsi="Arial Narrow"/>
                <w:sz w:val="20"/>
              </w:rPr>
              <w:t>•Mild to moderate IPF where the patient must have a predict</w:t>
            </w:r>
            <w:r w:rsidR="000F1043" w:rsidRPr="008A0437">
              <w:rPr>
                <w:rFonts w:ascii="Arial Narrow" w:hAnsi="Arial Narrow"/>
                <w:sz w:val="20"/>
              </w:rPr>
              <w:t xml:space="preserve">ed forced vital capacity (FVC) </w:t>
            </w:r>
            <w:r w:rsidRPr="008A0437">
              <w:rPr>
                <w:rFonts w:ascii="Arial Narrow" w:hAnsi="Arial Narrow"/>
                <w:sz w:val="20"/>
              </w:rPr>
              <w:t>≥50%, and a predicted carbon monoxide diffusing capacity (DLCO) ≥ 30%.</w:t>
            </w:r>
          </w:p>
          <w:p w:rsidR="00BB78BD" w:rsidRPr="008A0437" w:rsidRDefault="00BB78BD" w:rsidP="00915C99">
            <w:pPr>
              <w:keepNext/>
              <w:widowControl/>
              <w:jc w:val="left"/>
              <w:rPr>
                <w:rFonts w:ascii="Arial Narrow" w:hAnsi="Arial Narrow"/>
                <w:sz w:val="20"/>
              </w:rPr>
            </w:pPr>
            <w:r w:rsidRPr="008A0437">
              <w:rPr>
                <w:rFonts w:ascii="Arial Narrow" w:hAnsi="Arial Narrow"/>
                <w:sz w:val="20"/>
              </w:rPr>
              <w:t>•The resubmission provided further details of the multidisciplinary team (comprising at least respiratory, radiology and where required, pathology) and extenuating circumstances where consultation may be necessary (geographical isolation).</w:t>
            </w:r>
          </w:p>
          <w:p w:rsidR="00BB78BD" w:rsidRPr="008A0437" w:rsidRDefault="00BB78BD" w:rsidP="00915C99">
            <w:pPr>
              <w:keepNext/>
              <w:widowControl/>
              <w:jc w:val="left"/>
              <w:rPr>
                <w:rFonts w:ascii="Arial Narrow" w:hAnsi="Arial Narrow"/>
                <w:sz w:val="20"/>
              </w:rPr>
            </w:pPr>
            <w:r w:rsidRPr="008A0437">
              <w:rPr>
                <w:rFonts w:ascii="Arial Narrow" w:hAnsi="Arial Narrow"/>
                <w:sz w:val="20"/>
              </w:rPr>
              <w:t>•The resubmission added an additional clinical criteria required eligible patients to have a FEV1/FVC&gt;0.7</w:t>
            </w:r>
          </w:p>
        </w:tc>
        <w:tc>
          <w:tcPr>
            <w:tcW w:w="1608" w:type="pct"/>
          </w:tcPr>
          <w:p w:rsidR="00BB78BD" w:rsidRPr="008A0437" w:rsidRDefault="00BB78BD" w:rsidP="00915C99">
            <w:pPr>
              <w:keepNext/>
              <w:widowControl/>
              <w:jc w:val="left"/>
              <w:rPr>
                <w:rFonts w:ascii="Arial Narrow" w:hAnsi="Arial Narrow"/>
                <w:sz w:val="20"/>
              </w:rPr>
            </w:pPr>
            <w:r w:rsidRPr="008A0437">
              <w:rPr>
                <w:rFonts w:ascii="Arial Narrow" w:hAnsi="Arial Narrow"/>
                <w:sz w:val="20"/>
              </w:rPr>
              <w:t>•The resubmission included a continuation rule as follows: treatment with nintedanib should be discontinued if disease progresses (a confirmed absolute decline in % predicted forced vital capacity (FVC) of 10% or more within any 12 month period while receiving treatment).</w:t>
            </w:r>
          </w:p>
          <w:p w:rsidR="00BB78BD" w:rsidRPr="008A0437" w:rsidRDefault="00BB78BD" w:rsidP="00915C99">
            <w:pPr>
              <w:keepNext/>
              <w:widowControl/>
              <w:jc w:val="left"/>
              <w:rPr>
                <w:rFonts w:ascii="Arial Narrow" w:hAnsi="Arial Narrow"/>
                <w:sz w:val="20"/>
              </w:rPr>
            </w:pPr>
          </w:p>
        </w:tc>
      </w:tr>
      <w:tr w:rsidR="00BB78BD" w:rsidRPr="008A0437" w:rsidTr="00BB78BD">
        <w:trPr>
          <w:trHeight w:val="422"/>
        </w:trPr>
        <w:tc>
          <w:tcPr>
            <w:tcW w:w="762" w:type="pct"/>
          </w:tcPr>
          <w:p w:rsidR="00BB78BD" w:rsidRPr="008A0437" w:rsidRDefault="00BB78BD" w:rsidP="00915C99">
            <w:pPr>
              <w:keepNext/>
              <w:widowControl/>
              <w:jc w:val="left"/>
              <w:rPr>
                <w:rFonts w:ascii="Arial Narrow" w:hAnsi="Arial Narrow"/>
                <w:sz w:val="20"/>
              </w:rPr>
            </w:pPr>
            <w:r w:rsidRPr="008A0437">
              <w:rPr>
                <w:rFonts w:ascii="Arial Narrow" w:hAnsi="Arial Narrow"/>
                <w:sz w:val="20"/>
              </w:rPr>
              <w:t>Requested price</w:t>
            </w:r>
          </w:p>
        </w:tc>
        <w:tc>
          <w:tcPr>
            <w:tcW w:w="2630" w:type="pct"/>
          </w:tcPr>
          <w:p w:rsidR="00BB78BD" w:rsidRPr="008A0437" w:rsidRDefault="00BB78BD" w:rsidP="00915C99">
            <w:pPr>
              <w:keepNext/>
              <w:widowControl/>
              <w:jc w:val="left"/>
              <w:rPr>
                <w:rFonts w:ascii="Arial Narrow" w:hAnsi="Arial Narrow"/>
                <w:sz w:val="20"/>
              </w:rPr>
            </w:pPr>
            <w:r w:rsidRPr="008A0437">
              <w:rPr>
                <w:rFonts w:ascii="Arial Narrow" w:hAnsi="Arial Narrow"/>
                <w:sz w:val="20"/>
              </w:rPr>
              <w:t>100mg, $</w:t>
            </w:r>
            <w:r w:rsidR="003B3717">
              <w:rPr>
                <w:rFonts w:ascii="Arial Narrow" w:hAnsi="Arial Narrow"/>
                <w:noProof/>
                <w:color w:val="000000"/>
                <w:sz w:val="20"/>
                <w:highlight w:val="black"/>
              </w:rPr>
              <w:t>'''''''''''''''''</w:t>
            </w:r>
            <w:r w:rsidRPr="008A0437">
              <w:rPr>
                <w:rFonts w:ascii="Arial Narrow" w:hAnsi="Arial Narrow"/>
                <w:sz w:val="20"/>
              </w:rPr>
              <w:t xml:space="preserve"> (effective)</w:t>
            </w:r>
          </w:p>
          <w:p w:rsidR="00BB78BD" w:rsidRPr="008A0437" w:rsidRDefault="00BB78BD" w:rsidP="00915C99">
            <w:pPr>
              <w:keepNext/>
              <w:widowControl/>
              <w:jc w:val="left"/>
              <w:rPr>
                <w:rFonts w:ascii="Arial Narrow" w:hAnsi="Arial Narrow"/>
                <w:sz w:val="20"/>
              </w:rPr>
            </w:pPr>
            <w:r w:rsidRPr="008A0437">
              <w:rPr>
                <w:rFonts w:ascii="Arial Narrow" w:hAnsi="Arial Narrow"/>
                <w:sz w:val="20"/>
              </w:rPr>
              <w:t>150mg, $</w:t>
            </w:r>
            <w:r w:rsidR="003B3717">
              <w:rPr>
                <w:rFonts w:ascii="Arial Narrow" w:hAnsi="Arial Narrow"/>
                <w:noProof/>
                <w:color w:val="000000"/>
                <w:sz w:val="20"/>
                <w:highlight w:val="black"/>
              </w:rPr>
              <w:t>'''''''''''''''''</w:t>
            </w:r>
            <w:r w:rsidRPr="008A0437">
              <w:rPr>
                <w:rFonts w:ascii="Arial Narrow" w:hAnsi="Arial Narrow"/>
                <w:sz w:val="20"/>
              </w:rPr>
              <w:t xml:space="preserve"> (effective)</w:t>
            </w:r>
          </w:p>
        </w:tc>
        <w:tc>
          <w:tcPr>
            <w:tcW w:w="1608" w:type="pct"/>
          </w:tcPr>
          <w:p w:rsidR="00BB78BD" w:rsidRPr="008A0437" w:rsidRDefault="00BB78BD" w:rsidP="00915C99">
            <w:pPr>
              <w:keepNext/>
              <w:widowControl/>
              <w:jc w:val="left"/>
              <w:rPr>
                <w:rFonts w:ascii="Arial Narrow" w:hAnsi="Arial Narrow"/>
                <w:sz w:val="20"/>
              </w:rPr>
            </w:pPr>
            <w:r w:rsidRPr="008A0437">
              <w:rPr>
                <w:rFonts w:ascii="Arial Narrow" w:hAnsi="Arial Narrow"/>
                <w:sz w:val="20"/>
              </w:rPr>
              <w:t>100mg, $</w:t>
            </w:r>
            <w:r w:rsidR="003B3717">
              <w:rPr>
                <w:rFonts w:ascii="Arial Narrow" w:hAnsi="Arial Narrow"/>
                <w:noProof/>
                <w:color w:val="000000"/>
                <w:sz w:val="20"/>
                <w:highlight w:val="black"/>
              </w:rPr>
              <w:t>''''''''''''''''</w:t>
            </w:r>
            <w:r w:rsidRPr="008A0437">
              <w:rPr>
                <w:rFonts w:ascii="Arial Narrow" w:hAnsi="Arial Narrow"/>
                <w:sz w:val="20"/>
              </w:rPr>
              <w:t xml:space="preserve"> (effective)</w:t>
            </w:r>
          </w:p>
          <w:p w:rsidR="00BB78BD" w:rsidRPr="008A0437" w:rsidRDefault="00BB78BD" w:rsidP="00915C99">
            <w:pPr>
              <w:keepNext/>
              <w:widowControl/>
              <w:jc w:val="left"/>
              <w:rPr>
                <w:rFonts w:ascii="Arial Narrow" w:hAnsi="Arial Narrow"/>
                <w:sz w:val="20"/>
              </w:rPr>
            </w:pPr>
            <w:r w:rsidRPr="008A0437">
              <w:rPr>
                <w:rFonts w:ascii="Arial Narrow" w:hAnsi="Arial Narrow"/>
                <w:sz w:val="20"/>
              </w:rPr>
              <w:t>150mg, $</w:t>
            </w:r>
            <w:r w:rsidR="003B3717">
              <w:rPr>
                <w:rFonts w:ascii="Arial Narrow" w:hAnsi="Arial Narrow"/>
                <w:noProof/>
                <w:color w:val="000000"/>
                <w:sz w:val="20"/>
                <w:highlight w:val="black"/>
              </w:rPr>
              <w:t>''''''''''''''''</w:t>
            </w:r>
            <w:r w:rsidRPr="008A0437">
              <w:rPr>
                <w:rFonts w:ascii="Arial Narrow" w:hAnsi="Arial Narrow"/>
                <w:sz w:val="20"/>
              </w:rPr>
              <w:t xml:space="preserve"> (effective)</w:t>
            </w:r>
          </w:p>
        </w:tc>
      </w:tr>
      <w:tr w:rsidR="00BB78BD" w:rsidRPr="008A0437" w:rsidTr="00BB78BD">
        <w:trPr>
          <w:trHeight w:val="642"/>
        </w:trPr>
        <w:tc>
          <w:tcPr>
            <w:tcW w:w="762"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Main comparator</w:t>
            </w:r>
          </w:p>
        </w:tc>
        <w:tc>
          <w:tcPr>
            <w:tcW w:w="2630"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 Best supportive care. Same as March 2015 submission; indirect comparison with nintedanib also presented.</w:t>
            </w:r>
          </w:p>
          <w:p w:rsidR="00BB78BD" w:rsidRPr="008A0437" w:rsidRDefault="00BB78BD" w:rsidP="00915C99">
            <w:pPr>
              <w:widowControl/>
              <w:jc w:val="left"/>
              <w:rPr>
                <w:rFonts w:ascii="Arial Narrow" w:hAnsi="Arial Narrow"/>
                <w:sz w:val="20"/>
              </w:rPr>
            </w:pPr>
          </w:p>
          <w:p w:rsidR="00BB78BD" w:rsidRPr="008A0437" w:rsidRDefault="00BB78BD" w:rsidP="00506C64">
            <w:pPr>
              <w:widowControl/>
              <w:jc w:val="left"/>
              <w:rPr>
                <w:rFonts w:ascii="Arial Narrow" w:hAnsi="Arial Narrow"/>
                <w:sz w:val="20"/>
              </w:rPr>
            </w:pPr>
            <w:r w:rsidRPr="008A0437">
              <w:rPr>
                <w:rFonts w:ascii="Arial Narrow" w:hAnsi="Arial Narrow"/>
                <w:b/>
                <w:sz w:val="20"/>
              </w:rPr>
              <w:t xml:space="preserve">PBAC Comment: </w:t>
            </w:r>
            <w:r w:rsidRPr="008A0437">
              <w:rPr>
                <w:rFonts w:ascii="Arial Narrow" w:hAnsi="Arial Narrow"/>
                <w:sz w:val="20"/>
              </w:rPr>
              <w:t>The PBAC reaffirmed that best supportive care was the appropriate main comparator for nintedanib for IPF (paragraph 7.5, November 2015 PBAC</w:t>
            </w:r>
            <w:r w:rsidR="003D4F1C">
              <w:rPr>
                <w:rFonts w:ascii="Arial Narrow" w:hAnsi="Arial Narrow"/>
                <w:sz w:val="20"/>
              </w:rPr>
              <w:t xml:space="preserve"> </w:t>
            </w:r>
            <w:r w:rsidR="00506C64">
              <w:rPr>
                <w:rFonts w:ascii="Arial Narrow" w:hAnsi="Arial Narrow"/>
                <w:sz w:val="20"/>
              </w:rPr>
              <w:t>P</w:t>
            </w:r>
            <w:r w:rsidR="003D4F1C">
              <w:rPr>
                <w:rFonts w:ascii="Arial Narrow" w:hAnsi="Arial Narrow"/>
                <w:sz w:val="20"/>
              </w:rPr>
              <w:t>ublic Summary Document (PSD)</w:t>
            </w:r>
            <w:r w:rsidRPr="008A0437">
              <w:rPr>
                <w:rFonts w:ascii="Arial Narrow" w:hAnsi="Arial Narrow"/>
                <w:sz w:val="20"/>
              </w:rPr>
              <w:t>)</w:t>
            </w:r>
          </w:p>
        </w:tc>
        <w:tc>
          <w:tcPr>
            <w:tcW w:w="1608"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•Same as previous submission</w:t>
            </w:r>
          </w:p>
        </w:tc>
      </w:tr>
      <w:tr w:rsidR="00BB78BD" w:rsidRPr="008A0437" w:rsidTr="00BB78BD">
        <w:trPr>
          <w:trHeight w:val="860"/>
        </w:trPr>
        <w:tc>
          <w:tcPr>
            <w:tcW w:w="762"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Clinical evidence</w:t>
            </w:r>
          </w:p>
        </w:tc>
        <w:tc>
          <w:tcPr>
            <w:tcW w:w="2630"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w:t>
            </w:r>
            <w:r w:rsidRPr="008A0437">
              <w:rPr>
                <w:sz w:val="20"/>
              </w:rPr>
              <w:t xml:space="preserve"> </w:t>
            </w:r>
            <w:r w:rsidRPr="008A0437">
              <w:rPr>
                <w:rFonts w:ascii="Arial Narrow" w:hAnsi="Arial Narrow"/>
                <w:sz w:val="20"/>
              </w:rPr>
              <w:t>Trial 30 (n=432), Trial 32 (n=515) and Trial 34 (n=551 Same as March 2015 submission with additional information provided regarding: handling of missing data in Trial 30; consideration of methods used to derive the minimally clinically important difference (MCID) and a trial based analysis of MCID for FVC%Pred; long term efficacy data from Trial 30 for up to 80 weeks of treatment with nintedanib; and the development safety uptake report (DSUR)</w:t>
            </w:r>
          </w:p>
        </w:tc>
        <w:tc>
          <w:tcPr>
            <w:tcW w:w="1608" w:type="pct"/>
          </w:tcPr>
          <w:p w:rsidR="00BB78BD" w:rsidRPr="008A0437" w:rsidRDefault="00BB78BD" w:rsidP="00915C99">
            <w:pPr>
              <w:widowControl/>
              <w:jc w:val="left"/>
              <w:rPr>
                <w:rFonts w:ascii="Arial Narrow" w:hAnsi="Arial Narrow"/>
                <w:color w:val="0000FF"/>
                <w:sz w:val="20"/>
              </w:rPr>
            </w:pPr>
            <w:r w:rsidRPr="008A0437">
              <w:rPr>
                <w:rFonts w:ascii="Arial Narrow" w:hAnsi="Arial Narrow"/>
                <w:sz w:val="20"/>
              </w:rPr>
              <w:t>•Same as previous submission with additional  long-term efficacy analyses for INPULSIS ON (Trial 33), the extension study of Trials 32 and 34, that had not been previously available</w:t>
            </w:r>
          </w:p>
        </w:tc>
      </w:tr>
      <w:tr w:rsidR="00BB78BD" w:rsidRPr="008A0437" w:rsidTr="00503055">
        <w:trPr>
          <w:trHeight w:val="250"/>
        </w:trPr>
        <w:tc>
          <w:tcPr>
            <w:tcW w:w="762"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Key effectiveness data</w:t>
            </w:r>
          </w:p>
        </w:tc>
        <w:tc>
          <w:tcPr>
            <w:tcW w:w="2630"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•The resubmission presented additional evidence indicating a linear trend between FVC and survival benefit across the nintedanib (Trial 30, 32 and 34) and pirfenidone trials (A</w:t>
            </w:r>
            <w:r w:rsidR="00E779BC" w:rsidRPr="008A0437">
              <w:rPr>
                <w:rFonts w:ascii="Arial Narrow" w:hAnsi="Arial Narrow"/>
                <w:sz w:val="20"/>
              </w:rPr>
              <w:t>SCEND, CAPACITY-1, CAPACITY-2).</w:t>
            </w:r>
            <w:r w:rsidRPr="008A0437">
              <w:rPr>
                <w:rFonts w:ascii="Arial Narrow" w:hAnsi="Arial Narrow"/>
                <w:sz w:val="20"/>
              </w:rPr>
              <w:t xml:space="preserve"> While there was a high degree of correlation was observed in the analysis (R2 = </w:t>
            </w:r>
            <w:r w:rsidR="003B3717">
              <w:rPr>
                <w:rFonts w:ascii="Arial Narrow" w:hAnsi="Arial Narrow"/>
                <w:noProof/>
                <w:color w:val="000000"/>
                <w:sz w:val="20"/>
                <w:highlight w:val="black"/>
              </w:rPr>
              <w:t>''''''''''''''''</w:t>
            </w:r>
            <w:r w:rsidRPr="008A0437">
              <w:rPr>
                <w:rFonts w:ascii="Arial Narrow" w:hAnsi="Arial Narrow"/>
                <w:sz w:val="20"/>
              </w:rPr>
              <w:t>), the hazard ratios for time to death across the trials were not statistically significant.</w:t>
            </w:r>
          </w:p>
          <w:p w:rsidR="00BB78BD" w:rsidRPr="008A0437" w:rsidRDefault="00BB78BD" w:rsidP="00915C99">
            <w:pPr>
              <w:widowControl/>
              <w:jc w:val="left"/>
              <w:rPr>
                <w:rFonts w:ascii="Arial Narrow" w:hAnsi="Arial Narrow"/>
                <w:sz w:val="20"/>
              </w:rPr>
            </w:pPr>
            <w:r w:rsidRPr="008A0437">
              <w:rPr>
                <w:rFonts w:ascii="Arial Narrow" w:hAnsi="Arial Narrow"/>
                <w:sz w:val="20"/>
              </w:rPr>
              <w:t xml:space="preserve">•During the evaluation, results from a network meta-analyses published by Loveman et al 2015 were located  While pirfenidone and </w:t>
            </w:r>
            <w:r w:rsidR="00C46416" w:rsidRPr="008A0437">
              <w:rPr>
                <w:rFonts w:ascii="Arial Narrow" w:hAnsi="Arial Narrow"/>
                <w:sz w:val="20"/>
              </w:rPr>
              <w:t>nintedanib</w:t>
            </w:r>
            <w:r w:rsidRPr="008A0437">
              <w:rPr>
                <w:rFonts w:ascii="Arial Narrow" w:hAnsi="Arial Narrow"/>
                <w:sz w:val="20"/>
              </w:rPr>
              <w:t xml:space="preserve"> both demonstrated beneficial effects, the authors concluded that nintedanib appeared to have a superior benefit for slowing decline in FVC (OR = 0.67, 95% CI: 0.51, 0.88).</w:t>
            </w:r>
          </w:p>
        </w:tc>
        <w:tc>
          <w:tcPr>
            <w:tcW w:w="1608"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•Same as previous submission</w:t>
            </w:r>
            <w:r w:rsidR="00263C37" w:rsidRPr="008A0437">
              <w:rPr>
                <w:rFonts w:ascii="Arial Narrow" w:hAnsi="Arial Narrow"/>
                <w:sz w:val="20"/>
              </w:rPr>
              <w:t xml:space="preserve"> (with additional interim data from an extension study).</w:t>
            </w:r>
          </w:p>
          <w:p w:rsidR="00263C37" w:rsidRPr="008A0437" w:rsidRDefault="00263C37" w:rsidP="00915C99">
            <w:pPr>
              <w:widowControl/>
              <w:jc w:val="left"/>
              <w:rPr>
                <w:rFonts w:ascii="Arial Narrow" w:hAnsi="Arial Narrow"/>
                <w:sz w:val="20"/>
              </w:rPr>
            </w:pPr>
            <w:r w:rsidRPr="008A0437">
              <w:rPr>
                <w:rFonts w:ascii="Arial Narrow" w:hAnsi="Arial Narrow"/>
                <w:sz w:val="20"/>
              </w:rPr>
              <w:t xml:space="preserve">•The PSCR identified an additional meta-analysis by Rogliani et al 2016 – the results were consistent with the conclusions in Loveman et al 2015. </w:t>
            </w:r>
          </w:p>
        </w:tc>
      </w:tr>
      <w:tr w:rsidR="00BB78BD" w:rsidRPr="008A0437" w:rsidTr="00BB78BD">
        <w:trPr>
          <w:trHeight w:val="860"/>
        </w:trPr>
        <w:tc>
          <w:tcPr>
            <w:tcW w:w="762"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Key safety data</w:t>
            </w:r>
          </w:p>
        </w:tc>
        <w:tc>
          <w:tcPr>
            <w:tcW w:w="2630"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•Same as March 2015 submission. Nintedanib was associated with statistically significantly higher instances of drug related adverse events and gastrointestinal adverse events including diarrhoea, nausea and vomiting.  A statistically significant difference was also observed for arterial thromboembolic events (RR = 3.54, 95% CI: 1.04, 12.06) in the pooled analysis of the phase 3 trials.</w:t>
            </w:r>
          </w:p>
        </w:tc>
        <w:tc>
          <w:tcPr>
            <w:tcW w:w="1608"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•Same as previous submission</w:t>
            </w:r>
          </w:p>
        </w:tc>
      </w:tr>
      <w:tr w:rsidR="00BB78BD" w:rsidRPr="008A0437" w:rsidTr="00BB78BD">
        <w:trPr>
          <w:trHeight w:val="860"/>
        </w:trPr>
        <w:tc>
          <w:tcPr>
            <w:tcW w:w="762"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Clinical claim</w:t>
            </w:r>
          </w:p>
        </w:tc>
        <w:tc>
          <w:tcPr>
            <w:tcW w:w="2630"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•As in the March 2015 submission, the resubmission described nintedanib as superior to placebo for the treatment of patients with IPF but associated with a slightly higher incidence of drug related adverse events.</w:t>
            </w:r>
          </w:p>
          <w:p w:rsidR="00BB78BD" w:rsidRPr="008A0437" w:rsidRDefault="00BB78BD" w:rsidP="00915C99">
            <w:pPr>
              <w:widowControl/>
              <w:jc w:val="left"/>
              <w:rPr>
                <w:rFonts w:ascii="Arial Narrow" w:hAnsi="Arial Narrow"/>
                <w:sz w:val="20"/>
              </w:rPr>
            </w:pPr>
            <w:r w:rsidRPr="008A0437">
              <w:rPr>
                <w:rFonts w:ascii="Arial Narrow" w:hAnsi="Arial Narrow"/>
                <w:sz w:val="20"/>
              </w:rPr>
              <w:t xml:space="preserve">•The resubmission altered the context surrounding the </w:t>
            </w:r>
            <w:r w:rsidRPr="008A0437">
              <w:rPr>
                <w:rFonts w:ascii="Arial Narrow" w:hAnsi="Arial Narrow"/>
                <w:sz w:val="20"/>
              </w:rPr>
              <w:lastRenderedPageBreak/>
              <w:t>claim of a higher occurrence of drug-related adverse events, emphasising ‘slightly higher’ incidence as opposed to ‘insignificance in discontinuations and adequacy of the management of adverse events’</w:t>
            </w:r>
          </w:p>
          <w:p w:rsidR="00BB78BD" w:rsidRPr="008A0437" w:rsidRDefault="00BB78BD" w:rsidP="00915C99">
            <w:pPr>
              <w:widowControl/>
              <w:jc w:val="left"/>
              <w:rPr>
                <w:rFonts w:ascii="Arial Narrow" w:hAnsi="Arial Narrow"/>
                <w:sz w:val="20"/>
              </w:rPr>
            </w:pPr>
          </w:p>
          <w:p w:rsidR="00BB78BD" w:rsidRPr="00902745" w:rsidRDefault="00BB78BD" w:rsidP="00915C99">
            <w:pPr>
              <w:widowControl/>
              <w:jc w:val="left"/>
              <w:rPr>
                <w:rFonts w:ascii="Arial Narrow" w:hAnsi="Arial Narrow"/>
                <w:sz w:val="20"/>
              </w:rPr>
            </w:pPr>
            <w:r w:rsidRPr="008A0437">
              <w:rPr>
                <w:rFonts w:ascii="Arial Narrow" w:hAnsi="Arial Narrow"/>
                <w:b/>
                <w:sz w:val="20"/>
              </w:rPr>
              <w:t xml:space="preserve">PBAC Comment: </w:t>
            </w:r>
            <w:r w:rsidRPr="008A0437">
              <w:rPr>
                <w:rFonts w:ascii="Arial Narrow" w:hAnsi="Arial Narrow"/>
                <w:sz w:val="20"/>
              </w:rPr>
              <w:t xml:space="preserve">The description of ‘slightly higher’ incidence is questionable considering that nintedanib treated patients had over double the frequency of drug related adverse </w:t>
            </w:r>
            <w:r w:rsidRPr="00902745">
              <w:rPr>
                <w:rFonts w:ascii="Arial Narrow" w:hAnsi="Arial Narrow"/>
                <w:sz w:val="20"/>
              </w:rPr>
              <w:t xml:space="preserve">events in comparison to placebo. (paragraph 6.24, November 2015 PBAC </w:t>
            </w:r>
            <w:r w:rsidR="00506C64" w:rsidRPr="00902745">
              <w:rPr>
                <w:rFonts w:ascii="Arial Narrow" w:hAnsi="Arial Narrow"/>
                <w:sz w:val="20"/>
              </w:rPr>
              <w:t>PSD</w:t>
            </w:r>
            <w:r w:rsidRPr="00902745">
              <w:rPr>
                <w:rFonts w:ascii="Arial Narrow" w:hAnsi="Arial Narrow"/>
                <w:sz w:val="20"/>
              </w:rPr>
              <w:t>)</w:t>
            </w:r>
          </w:p>
          <w:p w:rsidR="00BB78BD" w:rsidRPr="00902745" w:rsidRDefault="00BB78BD" w:rsidP="00915C99">
            <w:pPr>
              <w:widowControl/>
              <w:jc w:val="left"/>
              <w:rPr>
                <w:rFonts w:ascii="Arial Narrow" w:hAnsi="Arial Narrow"/>
                <w:sz w:val="20"/>
              </w:rPr>
            </w:pPr>
            <w:r w:rsidRPr="00902745">
              <w:rPr>
                <w:rFonts w:ascii="Arial Narrow" w:hAnsi="Arial Narrow"/>
                <w:sz w:val="20"/>
              </w:rPr>
              <w:t>The PBAC agreed with the clinical claim of</w:t>
            </w:r>
            <w:r w:rsidR="00263C37" w:rsidRPr="00902745">
              <w:rPr>
                <w:rFonts w:ascii="Arial Narrow" w:hAnsi="Arial Narrow"/>
                <w:sz w:val="20"/>
              </w:rPr>
              <w:t xml:space="preserve"> superior</w:t>
            </w:r>
            <w:r w:rsidRPr="00902745">
              <w:rPr>
                <w:rFonts w:ascii="Arial Narrow" w:hAnsi="Arial Narrow"/>
                <w:sz w:val="20"/>
              </w:rPr>
              <w:t xml:space="preserve"> effectiveness and </w:t>
            </w:r>
            <w:r w:rsidR="00263C37" w:rsidRPr="00902745">
              <w:rPr>
                <w:rFonts w:ascii="Arial Narrow" w:hAnsi="Arial Narrow"/>
                <w:sz w:val="20"/>
              </w:rPr>
              <w:t xml:space="preserve">inferior </w:t>
            </w:r>
            <w:r w:rsidRPr="00902745">
              <w:rPr>
                <w:rFonts w:ascii="Arial Narrow" w:hAnsi="Arial Narrow"/>
                <w:sz w:val="20"/>
              </w:rPr>
              <w:t xml:space="preserve">safety, noting the FDA review of pirfenidone and nintedanib studies suggests that FVC is a valid surrogate for mortality in IPF. (paragraph 6.25, November 2015 PBAC </w:t>
            </w:r>
            <w:r w:rsidR="00506C64" w:rsidRPr="00902745">
              <w:rPr>
                <w:rFonts w:ascii="Arial Narrow" w:hAnsi="Arial Narrow"/>
                <w:sz w:val="20"/>
              </w:rPr>
              <w:t>PSD</w:t>
            </w:r>
            <w:r w:rsidRPr="00902745">
              <w:rPr>
                <w:rFonts w:ascii="Arial Narrow" w:hAnsi="Arial Narrow"/>
                <w:sz w:val="20"/>
              </w:rPr>
              <w:t>)</w:t>
            </w:r>
          </w:p>
          <w:p w:rsidR="00263C37" w:rsidRPr="008A0437" w:rsidRDefault="00263C37" w:rsidP="00902745">
            <w:pPr>
              <w:widowControl/>
              <w:jc w:val="left"/>
              <w:rPr>
                <w:rFonts w:ascii="Arial Narrow" w:hAnsi="Arial Narrow"/>
                <w:sz w:val="20"/>
              </w:rPr>
            </w:pPr>
            <w:r w:rsidRPr="00902745">
              <w:rPr>
                <w:rFonts w:ascii="Arial Narrow" w:hAnsi="Arial Narrow"/>
                <w:sz w:val="20"/>
              </w:rPr>
              <w:t xml:space="preserve">The PBAC considered nintedanib and pirfenidone to likely be similarly clinically effective. (paragraph 7.11, November 2015 PBAC </w:t>
            </w:r>
            <w:r w:rsidR="00902745" w:rsidRPr="00902745">
              <w:rPr>
                <w:rFonts w:ascii="Arial Narrow" w:hAnsi="Arial Narrow"/>
                <w:sz w:val="20"/>
              </w:rPr>
              <w:t>PSD</w:t>
            </w:r>
            <w:r w:rsidRPr="00902745">
              <w:rPr>
                <w:rFonts w:ascii="Arial Narrow" w:hAnsi="Arial Narrow"/>
                <w:sz w:val="20"/>
              </w:rPr>
              <w:t>)</w:t>
            </w:r>
          </w:p>
        </w:tc>
        <w:tc>
          <w:tcPr>
            <w:tcW w:w="1608" w:type="pct"/>
          </w:tcPr>
          <w:p w:rsidR="00BB78BD" w:rsidRPr="008A0437" w:rsidRDefault="00BB78BD" w:rsidP="00915C99">
            <w:pPr>
              <w:widowControl/>
              <w:jc w:val="left"/>
              <w:rPr>
                <w:rFonts w:ascii="Arial Narrow" w:hAnsi="Arial Narrow"/>
                <w:color w:val="0000FF"/>
                <w:sz w:val="20"/>
              </w:rPr>
            </w:pPr>
            <w:r w:rsidRPr="008A0437">
              <w:rPr>
                <w:rFonts w:ascii="Arial Narrow" w:hAnsi="Arial Narrow"/>
                <w:sz w:val="20"/>
              </w:rPr>
              <w:lastRenderedPageBreak/>
              <w:t>•Same as previous submission</w:t>
            </w:r>
          </w:p>
        </w:tc>
      </w:tr>
      <w:tr w:rsidR="00BB78BD" w:rsidRPr="008A0437" w:rsidTr="00BB78BD">
        <w:trPr>
          <w:trHeight w:val="1298"/>
        </w:trPr>
        <w:tc>
          <w:tcPr>
            <w:tcW w:w="762"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lastRenderedPageBreak/>
              <w:t>Economic evaluation</w:t>
            </w:r>
          </w:p>
        </w:tc>
        <w:tc>
          <w:tcPr>
            <w:tcW w:w="2630"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 xml:space="preserve">•Cost-utility model with cost/QALY </w:t>
            </w:r>
            <w:r w:rsidR="00263C37" w:rsidRPr="008A0437">
              <w:rPr>
                <w:rFonts w:ascii="Arial Narrow" w:hAnsi="Arial Narrow"/>
                <w:sz w:val="20"/>
              </w:rPr>
              <w:t>of</w:t>
            </w:r>
            <w:r w:rsidR="00500671">
              <w:rPr>
                <w:rFonts w:ascii="Arial Narrow" w:hAnsi="Arial Narrow"/>
                <w:sz w:val="20"/>
              </w:rPr>
              <w:t xml:space="preserve"> $75,000 - $105,000</w:t>
            </w:r>
            <w:r w:rsidR="00263C37" w:rsidRPr="008A0437">
              <w:rPr>
                <w:rFonts w:ascii="Arial Narrow" w:hAnsi="Arial Narrow"/>
                <w:sz w:val="20"/>
              </w:rPr>
              <w:t>.</w:t>
            </w:r>
            <w:r w:rsidRPr="008A0437">
              <w:rPr>
                <w:rFonts w:ascii="Arial Narrow" w:hAnsi="Arial Narrow"/>
                <w:sz w:val="20"/>
              </w:rPr>
              <w:t xml:space="preserve"> There were no substantive changes to the design and structure of the economic model in the resubmission  </w:t>
            </w:r>
          </w:p>
          <w:p w:rsidR="00BB78BD" w:rsidRPr="008A0437" w:rsidRDefault="00BB78BD" w:rsidP="00915C99">
            <w:pPr>
              <w:widowControl/>
              <w:jc w:val="left"/>
              <w:rPr>
                <w:rFonts w:ascii="Arial Narrow" w:hAnsi="Arial Narrow"/>
                <w:sz w:val="20"/>
              </w:rPr>
            </w:pPr>
            <w:r w:rsidRPr="008A0437">
              <w:rPr>
                <w:rFonts w:ascii="Arial Narrow" w:hAnsi="Arial Narrow"/>
                <w:sz w:val="20"/>
              </w:rPr>
              <w:t>•Mortality risk from Weibull extrapolations were applied beyond the trial based period (21 months to 10 years) and were responsible for the majority of survival gains estimated in the economic model.</w:t>
            </w:r>
          </w:p>
          <w:p w:rsidR="00BB78BD" w:rsidRPr="00902745" w:rsidRDefault="00BB78BD" w:rsidP="00915C99">
            <w:pPr>
              <w:widowControl/>
              <w:jc w:val="left"/>
              <w:rPr>
                <w:rFonts w:ascii="Arial Narrow" w:hAnsi="Arial Narrow"/>
                <w:sz w:val="20"/>
              </w:rPr>
            </w:pPr>
            <w:r w:rsidRPr="008A0437">
              <w:rPr>
                <w:rFonts w:ascii="Arial Narrow" w:hAnsi="Arial Narrow"/>
                <w:sz w:val="20"/>
              </w:rPr>
              <w:t xml:space="preserve">•The effective price </w:t>
            </w:r>
            <w:r w:rsidRPr="00902745">
              <w:rPr>
                <w:rFonts w:ascii="Arial Narrow" w:hAnsi="Arial Narrow"/>
                <w:sz w:val="20"/>
              </w:rPr>
              <w:t>used in the model was based on the RSA proposal to cap expenditure</w:t>
            </w:r>
          </w:p>
          <w:p w:rsidR="00BB78BD" w:rsidRPr="00902745" w:rsidRDefault="00BB78BD" w:rsidP="00915C99">
            <w:pPr>
              <w:widowControl/>
              <w:jc w:val="left"/>
              <w:rPr>
                <w:rFonts w:ascii="Arial Narrow" w:hAnsi="Arial Narrow"/>
                <w:sz w:val="20"/>
              </w:rPr>
            </w:pPr>
          </w:p>
          <w:p w:rsidR="00BB78BD" w:rsidRPr="00902745" w:rsidRDefault="00BB78BD" w:rsidP="00915C99">
            <w:pPr>
              <w:widowControl/>
              <w:jc w:val="left"/>
              <w:rPr>
                <w:rFonts w:ascii="Arial Narrow" w:hAnsi="Arial Narrow"/>
                <w:sz w:val="20"/>
              </w:rPr>
            </w:pPr>
            <w:r w:rsidRPr="00902745">
              <w:rPr>
                <w:rFonts w:ascii="Arial Narrow" w:hAnsi="Arial Narrow"/>
                <w:b/>
                <w:sz w:val="20"/>
              </w:rPr>
              <w:t>PBAC Comment:</w:t>
            </w:r>
            <w:r w:rsidRPr="00902745">
              <w:rPr>
                <w:rFonts w:ascii="Arial Narrow" w:hAnsi="Arial Narrow"/>
                <w:sz w:val="20"/>
              </w:rPr>
              <w:t xml:space="preserve"> Overall, the resubmission presented limited adjustments to predicted survival and it is likely that the economic model continues to overestimate the incremental benefits associated with nintedanib (paragraph 6.30, November 2015 PBAC </w:t>
            </w:r>
            <w:r w:rsidR="00902745" w:rsidRPr="00902745">
              <w:rPr>
                <w:rFonts w:ascii="Arial Narrow" w:hAnsi="Arial Narrow"/>
                <w:sz w:val="20"/>
              </w:rPr>
              <w:t>PSD</w:t>
            </w:r>
            <w:r w:rsidRPr="00902745">
              <w:rPr>
                <w:rFonts w:ascii="Arial Narrow" w:hAnsi="Arial Narrow"/>
                <w:sz w:val="20"/>
              </w:rPr>
              <w:t>)</w:t>
            </w:r>
          </w:p>
          <w:p w:rsidR="00BB78BD" w:rsidRPr="00902745" w:rsidRDefault="00BB78BD" w:rsidP="00915C99">
            <w:pPr>
              <w:widowControl/>
              <w:jc w:val="left"/>
              <w:rPr>
                <w:rFonts w:ascii="Arial Narrow" w:hAnsi="Arial Narrow"/>
                <w:sz w:val="20"/>
              </w:rPr>
            </w:pPr>
            <w:r w:rsidRPr="00902745">
              <w:rPr>
                <w:rFonts w:ascii="Arial Narrow" w:hAnsi="Arial Narrow"/>
                <w:sz w:val="20"/>
              </w:rPr>
              <w:t xml:space="preserve">The PBAC proposed that the sponsor consider how the use of the continuation rule may impact on the ICER. (paragraph 7.15, November 2015 PBAC </w:t>
            </w:r>
            <w:r w:rsidR="00902745" w:rsidRPr="00902745">
              <w:rPr>
                <w:rFonts w:ascii="Arial Narrow" w:hAnsi="Arial Narrow"/>
                <w:sz w:val="20"/>
              </w:rPr>
              <w:t>PSD</w:t>
            </w:r>
            <w:r w:rsidRPr="00902745">
              <w:rPr>
                <w:rFonts w:ascii="Arial Narrow" w:hAnsi="Arial Narrow"/>
                <w:sz w:val="20"/>
              </w:rPr>
              <w:t>)</w:t>
            </w:r>
          </w:p>
          <w:p w:rsidR="00BB78BD" w:rsidRPr="008A0437" w:rsidRDefault="00BB78BD" w:rsidP="00902745">
            <w:pPr>
              <w:widowControl/>
              <w:jc w:val="left"/>
              <w:rPr>
                <w:rFonts w:ascii="Arial Narrow" w:hAnsi="Arial Narrow"/>
                <w:sz w:val="20"/>
              </w:rPr>
            </w:pPr>
            <w:r w:rsidRPr="00902745">
              <w:rPr>
                <w:rFonts w:ascii="Arial Narrow" w:hAnsi="Arial Narrow"/>
                <w:sz w:val="20"/>
              </w:rPr>
              <w:t xml:space="preserve">The PBAC considered any effective price used in the model cannot be based on the RSA proposal to cap expenditure. (paragraph 7.13, November 2015 PBAC </w:t>
            </w:r>
            <w:r w:rsidR="00902745" w:rsidRPr="00902745">
              <w:rPr>
                <w:rFonts w:ascii="Arial Narrow" w:hAnsi="Arial Narrow"/>
                <w:sz w:val="20"/>
              </w:rPr>
              <w:t>PSD</w:t>
            </w:r>
            <w:r w:rsidRPr="00902745">
              <w:rPr>
                <w:rFonts w:ascii="Arial Narrow" w:hAnsi="Arial Narrow"/>
                <w:sz w:val="20"/>
              </w:rPr>
              <w:t>)</w:t>
            </w:r>
          </w:p>
        </w:tc>
        <w:tc>
          <w:tcPr>
            <w:tcW w:w="1608" w:type="pct"/>
          </w:tcPr>
          <w:p w:rsidR="00BB78BD" w:rsidRPr="008A0437" w:rsidRDefault="00BB78BD" w:rsidP="00915C99">
            <w:pPr>
              <w:widowControl/>
              <w:jc w:val="left"/>
              <w:rPr>
                <w:rFonts w:ascii="Arial Narrow" w:hAnsi="Arial Narrow"/>
                <w:b/>
                <w:sz w:val="20"/>
              </w:rPr>
            </w:pPr>
            <w:r w:rsidRPr="008A0437">
              <w:rPr>
                <w:rFonts w:ascii="Arial Narrow" w:hAnsi="Arial Narrow"/>
                <w:sz w:val="20"/>
              </w:rPr>
              <w:t xml:space="preserve">•Cost-utility model with cost/QALY </w:t>
            </w:r>
            <w:r w:rsidR="00500671" w:rsidRPr="008A0437">
              <w:rPr>
                <w:rFonts w:ascii="Arial Narrow" w:hAnsi="Arial Narrow"/>
                <w:sz w:val="20"/>
              </w:rPr>
              <w:t>of</w:t>
            </w:r>
            <w:r w:rsidR="00500671">
              <w:rPr>
                <w:rFonts w:ascii="Arial Narrow" w:hAnsi="Arial Narrow"/>
                <w:sz w:val="20"/>
              </w:rPr>
              <w:t xml:space="preserve"> $75,000 - $105,000</w:t>
            </w:r>
            <w:r w:rsidRPr="008A0437">
              <w:rPr>
                <w:rFonts w:ascii="Arial Narrow" w:hAnsi="Arial Narrow"/>
                <w:sz w:val="20"/>
              </w:rPr>
              <w:t>.</w:t>
            </w:r>
            <w:r w:rsidRPr="008A0437">
              <w:rPr>
                <w:rFonts w:ascii="Arial Narrow" w:hAnsi="Arial Narrow"/>
                <w:b/>
                <w:sz w:val="20"/>
              </w:rPr>
              <w:t xml:space="preserve"> </w:t>
            </w:r>
          </w:p>
          <w:p w:rsidR="00BB78BD" w:rsidRPr="008A0437" w:rsidRDefault="00BB78BD" w:rsidP="00915C99">
            <w:pPr>
              <w:widowControl/>
              <w:jc w:val="left"/>
              <w:rPr>
                <w:rFonts w:ascii="Arial Narrow" w:hAnsi="Arial Narrow"/>
                <w:sz w:val="20"/>
              </w:rPr>
            </w:pPr>
            <w:r w:rsidRPr="008A0437">
              <w:rPr>
                <w:rFonts w:ascii="Arial Narrow" w:hAnsi="Arial Narrow"/>
                <w:sz w:val="20"/>
              </w:rPr>
              <w:t>•RSA pricing removed from the effective price used in the model.</w:t>
            </w:r>
          </w:p>
          <w:p w:rsidR="00BB78BD" w:rsidRPr="008A0437" w:rsidRDefault="00BB78BD" w:rsidP="00915C99">
            <w:pPr>
              <w:widowControl/>
              <w:jc w:val="left"/>
              <w:rPr>
                <w:rFonts w:ascii="Arial Narrow" w:hAnsi="Arial Narrow"/>
                <w:sz w:val="20"/>
              </w:rPr>
            </w:pPr>
            <w:r w:rsidRPr="008A0437">
              <w:rPr>
                <w:rFonts w:ascii="Arial Narrow" w:hAnsi="Arial Narrow"/>
                <w:sz w:val="20"/>
              </w:rPr>
              <w:t>•Continuation rule included into the model</w:t>
            </w:r>
          </w:p>
          <w:p w:rsidR="00BB78BD" w:rsidRPr="008A0437" w:rsidRDefault="00BB78BD" w:rsidP="00915C99">
            <w:pPr>
              <w:widowControl/>
              <w:jc w:val="left"/>
              <w:rPr>
                <w:rFonts w:ascii="Arial Narrow" w:hAnsi="Arial Narrow"/>
                <w:color w:val="0000FF"/>
                <w:sz w:val="20"/>
              </w:rPr>
            </w:pPr>
          </w:p>
        </w:tc>
      </w:tr>
      <w:tr w:rsidR="00BB78BD" w:rsidRPr="008A0437" w:rsidTr="00BB78BD">
        <w:trPr>
          <w:trHeight w:val="79"/>
        </w:trPr>
        <w:tc>
          <w:tcPr>
            <w:tcW w:w="762"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Number of patients</w:t>
            </w:r>
          </w:p>
        </w:tc>
        <w:tc>
          <w:tcPr>
            <w:tcW w:w="2630" w:type="pct"/>
          </w:tcPr>
          <w:p w:rsidR="00BB78BD" w:rsidRPr="008A0437" w:rsidRDefault="00EE66DE" w:rsidP="00915C99">
            <w:pPr>
              <w:widowControl/>
              <w:jc w:val="left"/>
              <w:rPr>
                <w:rFonts w:ascii="Arial Narrow" w:hAnsi="Arial Narrow"/>
                <w:sz w:val="20"/>
              </w:rPr>
            </w:pPr>
            <w:r>
              <w:rPr>
                <w:rFonts w:ascii="Arial Narrow" w:hAnsi="Arial Narrow"/>
                <w:sz w:val="20"/>
              </w:rPr>
              <w:t xml:space="preserve">Less than 10,000 in </w:t>
            </w:r>
            <w:r w:rsidR="00BB78BD" w:rsidRPr="008A0437">
              <w:rPr>
                <w:rFonts w:ascii="Arial Narrow" w:hAnsi="Arial Narrow"/>
                <w:sz w:val="20"/>
              </w:rPr>
              <w:t xml:space="preserve">Year 1 increasing to </w:t>
            </w:r>
            <w:r>
              <w:rPr>
                <w:rFonts w:ascii="Arial Narrow" w:hAnsi="Arial Narrow"/>
                <w:sz w:val="20"/>
              </w:rPr>
              <w:t xml:space="preserve">less than 10,000 </w:t>
            </w:r>
            <w:r w:rsidR="00BB78BD" w:rsidRPr="008A0437">
              <w:rPr>
                <w:rFonts w:ascii="Arial Narrow" w:hAnsi="Arial Narrow"/>
                <w:sz w:val="20"/>
              </w:rPr>
              <w:t>in Year 5.</w:t>
            </w:r>
          </w:p>
        </w:tc>
        <w:tc>
          <w:tcPr>
            <w:tcW w:w="1608" w:type="pct"/>
          </w:tcPr>
          <w:p w:rsidR="00BB78BD" w:rsidRPr="008A0437" w:rsidRDefault="00EE66DE" w:rsidP="00915C99">
            <w:pPr>
              <w:widowControl/>
              <w:jc w:val="left"/>
              <w:rPr>
                <w:rFonts w:ascii="Arial Narrow" w:hAnsi="Arial Narrow"/>
                <w:color w:val="0000FF"/>
                <w:sz w:val="20"/>
              </w:rPr>
            </w:pPr>
            <w:r>
              <w:rPr>
                <w:rFonts w:ascii="Arial Narrow" w:hAnsi="Arial Narrow"/>
                <w:sz w:val="20"/>
              </w:rPr>
              <w:t xml:space="preserve">Less than 10,000 </w:t>
            </w:r>
            <w:r w:rsidR="00BB78BD" w:rsidRPr="008A0437">
              <w:rPr>
                <w:rFonts w:ascii="Arial Narrow" w:hAnsi="Arial Narrow"/>
                <w:sz w:val="20"/>
              </w:rPr>
              <w:t xml:space="preserve">in Year 1 increasing to </w:t>
            </w:r>
            <w:r>
              <w:rPr>
                <w:rFonts w:ascii="Arial Narrow" w:hAnsi="Arial Narrow"/>
                <w:sz w:val="20"/>
              </w:rPr>
              <w:t xml:space="preserve">less than 10,000 </w:t>
            </w:r>
            <w:r w:rsidR="00BB78BD" w:rsidRPr="008A0437">
              <w:rPr>
                <w:rFonts w:ascii="Arial Narrow" w:hAnsi="Arial Narrow"/>
                <w:sz w:val="20"/>
              </w:rPr>
              <w:t>in Year 5.</w:t>
            </w:r>
          </w:p>
        </w:tc>
      </w:tr>
      <w:tr w:rsidR="00BB78BD" w:rsidRPr="008A0437" w:rsidTr="008D4409">
        <w:trPr>
          <w:trHeight w:val="228"/>
        </w:trPr>
        <w:tc>
          <w:tcPr>
            <w:tcW w:w="762"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Estimated cost to PBS</w:t>
            </w:r>
          </w:p>
        </w:tc>
        <w:tc>
          <w:tcPr>
            <w:tcW w:w="2630"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 xml:space="preserve">•RSA: </w:t>
            </w:r>
            <w:r w:rsidR="00EE66DE">
              <w:rPr>
                <w:rFonts w:ascii="Arial Narrow" w:hAnsi="Arial Narrow"/>
                <w:sz w:val="20"/>
              </w:rPr>
              <w:t>Less than $10 million</w:t>
            </w:r>
            <w:r w:rsidRPr="008A0437">
              <w:rPr>
                <w:rFonts w:ascii="Arial Narrow" w:hAnsi="Arial Narrow"/>
                <w:sz w:val="20"/>
              </w:rPr>
              <w:t xml:space="preserve"> in Year 1 increasing to </w:t>
            </w:r>
            <w:r w:rsidR="00EE66DE">
              <w:rPr>
                <w:rFonts w:ascii="Arial Narrow" w:hAnsi="Arial Narrow"/>
                <w:sz w:val="20"/>
              </w:rPr>
              <w:t>$20 - $30 million</w:t>
            </w:r>
            <w:r w:rsidRPr="008A0437">
              <w:rPr>
                <w:rFonts w:ascii="Arial Narrow" w:hAnsi="Arial Narrow"/>
                <w:sz w:val="20"/>
              </w:rPr>
              <w:t xml:space="preserve"> in Year 5 for a total of $</w:t>
            </w:r>
            <w:r w:rsidR="00EE66DE">
              <w:rPr>
                <w:rFonts w:ascii="Arial Narrow" w:hAnsi="Arial Narrow"/>
                <w:sz w:val="20"/>
              </w:rPr>
              <w:t>60 - $100 million</w:t>
            </w:r>
            <w:r w:rsidRPr="008A0437">
              <w:rPr>
                <w:rFonts w:ascii="Arial Narrow" w:hAnsi="Arial Narrow"/>
                <w:sz w:val="20"/>
              </w:rPr>
              <w:t xml:space="preserve"> over the first 5 years of listing.</w:t>
            </w:r>
          </w:p>
          <w:p w:rsidR="00BB78BD" w:rsidRPr="008A0437" w:rsidRDefault="00BB78BD" w:rsidP="00915C99">
            <w:pPr>
              <w:widowControl/>
              <w:jc w:val="left"/>
              <w:rPr>
                <w:rFonts w:ascii="Arial Narrow" w:hAnsi="Arial Narrow"/>
                <w:sz w:val="20"/>
              </w:rPr>
            </w:pPr>
            <w:r w:rsidRPr="008A0437">
              <w:rPr>
                <w:rFonts w:ascii="Arial Narrow" w:hAnsi="Arial Narrow"/>
                <w:sz w:val="20"/>
              </w:rPr>
              <w:t xml:space="preserve">•DUSC utilisation: </w:t>
            </w:r>
            <w:r w:rsidR="00EE66DE">
              <w:rPr>
                <w:rFonts w:ascii="Arial Narrow" w:hAnsi="Arial Narrow"/>
                <w:sz w:val="20"/>
              </w:rPr>
              <w:t>$10 - $20 million</w:t>
            </w:r>
            <w:r w:rsidR="00EE66DE" w:rsidRPr="008A0437">
              <w:rPr>
                <w:rFonts w:ascii="Arial Narrow" w:hAnsi="Arial Narrow"/>
                <w:sz w:val="20"/>
              </w:rPr>
              <w:t xml:space="preserve"> </w:t>
            </w:r>
            <w:r w:rsidRPr="008A0437">
              <w:rPr>
                <w:rFonts w:ascii="Arial Narrow" w:hAnsi="Arial Narrow"/>
                <w:sz w:val="20"/>
              </w:rPr>
              <w:t xml:space="preserve">in Year 1 increasing to </w:t>
            </w:r>
            <w:r w:rsidR="00EE66DE">
              <w:rPr>
                <w:rFonts w:ascii="Arial Narrow" w:hAnsi="Arial Narrow"/>
                <w:sz w:val="20"/>
              </w:rPr>
              <w:t>$30 - $60 million</w:t>
            </w:r>
            <w:r w:rsidR="00EE66DE" w:rsidRPr="008A0437">
              <w:rPr>
                <w:rFonts w:ascii="Arial Narrow" w:hAnsi="Arial Narrow"/>
                <w:sz w:val="20"/>
              </w:rPr>
              <w:t xml:space="preserve"> </w:t>
            </w:r>
            <w:r w:rsidRPr="008A0437">
              <w:rPr>
                <w:rFonts w:ascii="Arial Narrow" w:hAnsi="Arial Narrow"/>
                <w:sz w:val="20"/>
              </w:rPr>
              <w:t xml:space="preserve">in Year 5 for a total of </w:t>
            </w:r>
            <w:r w:rsidR="00EE66DE">
              <w:rPr>
                <w:rFonts w:ascii="Arial Narrow" w:hAnsi="Arial Narrow"/>
                <w:sz w:val="20"/>
              </w:rPr>
              <w:t>more than $100 million</w:t>
            </w:r>
            <w:r w:rsidRPr="008A0437">
              <w:rPr>
                <w:rFonts w:ascii="Arial Narrow" w:hAnsi="Arial Narrow"/>
                <w:sz w:val="20"/>
              </w:rPr>
              <w:t xml:space="preserve"> over the first 5 years of listing.</w:t>
            </w:r>
          </w:p>
          <w:p w:rsidR="00BB78BD" w:rsidRPr="008A0437" w:rsidRDefault="00BB78BD" w:rsidP="00915C99">
            <w:pPr>
              <w:widowControl/>
              <w:jc w:val="left"/>
              <w:rPr>
                <w:rFonts w:ascii="Arial Narrow" w:hAnsi="Arial Narrow"/>
                <w:sz w:val="20"/>
              </w:rPr>
            </w:pPr>
          </w:p>
          <w:p w:rsidR="00BB78BD" w:rsidRPr="008A0437" w:rsidRDefault="00BB78BD" w:rsidP="00915C99">
            <w:pPr>
              <w:widowControl/>
              <w:jc w:val="left"/>
              <w:rPr>
                <w:rFonts w:ascii="Arial Narrow" w:hAnsi="Arial Narrow"/>
                <w:sz w:val="20"/>
              </w:rPr>
            </w:pPr>
            <w:r w:rsidRPr="008A0437">
              <w:rPr>
                <w:rFonts w:ascii="Arial Narrow" w:hAnsi="Arial Narrow"/>
                <w:b/>
                <w:sz w:val="20"/>
              </w:rPr>
              <w:t>PBAC Comment:</w:t>
            </w:r>
            <w:r w:rsidRPr="008A0437">
              <w:rPr>
                <w:rFonts w:ascii="Arial Narrow" w:hAnsi="Arial Narrow"/>
                <w:sz w:val="20"/>
              </w:rPr>
              <w:t xml:space="preserve"> Overall, the resubmission applied a highly conservative approach to the RSA, given that the IPF prevalence and nintedanib uptake rates were considered by DUSC to be potential underestimates.  If prevalence in the PBS population is towards the higher estimates as reported in Raghu 2014 (145.7/100,000 in patients aged ≥65 years </w:t>
            </w:r>
            <w:r w:rsidRPr="008A0437">
              <w:rPr>
                <w:rFonts w:ascii="Arial Narrow" w:hAnsi="Arial Narrow"/>
                <w:sz w:val="20"/>
              </w:rPr>
              <w:lastRenderedPageBreak/>
              <w:t>in 2011), the proposed RSA may limit the potential risk associated with the estimation of the eligible patient pool.</w:t>
            </w:r>
          </w:p>
        </w:tc>
        <w:tc>
          <w:tcPr>
            <w:tcW w:w="1608"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lastRenderedPageBreak/>
              <w:t xml:space="preserve">•RSA: </w:t>
            </w:r>
            <w:r w:rsidR="00EE66DE">
              <w:rPr>
                <w:rFonts w:ascii="Arial Narrow" w:hAnsi="Arial Narrow"/>
                <w:sz w:val="20"/>
              </w:rPr>
              <w:t>Less than $10 million</w:t>
            </w:r>
            <w:r w:rsidR="00EE66DE" w:rsidRPr="008A0437">
              <w:rPr>
                <w:rFonts w:ascii="Arial Narrow" w:hAnsi="Arial Narrow"/>
                <w:sz w:val="20"/>
              </w:rPr>
              <w:t xml:space="preserve"> </w:t>
            </w:r>
            <w:r w:rsidRPr="008A0437">
              <w:rPr>
                <w:rFonts w:ascii="Arial Narrow" w:hAnsi="Arial Narrow"/>
                <w:sz w:val="20"/>
              </w:rPr>
              <w:t xml:space="preserve">in Year 1 increasing to </w:t>
            </w:r>
            <w:r w:rsidR="00EE66DE">
              <w:rPr>
                <w:rFonts w:ascii="Arial Narrow" w:hAnsi="Arial Narrow"/>
                <w:sz w:val="20"/>
              </w:rPr>
              <w:t>$10 - $20 million</w:t>
            </w:r>
            <w:r w:rsidR="00EE66DE" w:rsidRPr="008A0437">
              <w:rPr>
                <w:rFonts w:ascii="Arial Narrow" w:hAnsi="Arial Narrow"/>
                <w:sz w:val="20"/>
              </w:rPr>
              <w:t xml:space="preserve"> </w:t>
            </w:r>
            <w:r w:rsidRPr="008A0437">
              <w:rPr>
                <w:rFonts w:ascii="Arial Narrow" w:hAnsi="Arial Narrow"/>
                <w:sz w:val="20"/>
              </w:rPr>
              <w:t xml:space="preserve">in Year 5 for a total of </w:t>
            </w:r>
            <w:r w:rsidR="00EE66DE">
              <w:rPr>
                <w:rFonts w:ascii="Arial Narrow" w:hAnsi="Arial Narrow"/>
                <w:sz w:val="20"/>
              </w:rPr>
              <w:t>$60 - $100 million</w:t>
            </w:r>
            <w:r w:rsidR="00EE66DE" w:rsidRPr="008A0437">
              <w:rPr>
                <w:rFonts w:ascii="Arial Narrow" w:hAnsi="Arial Narrow"/>
                <w:sz w:val="20"/>
              </w:rPr>
              <w:t xml:space="preserve"> </w:t>
            </w:r>
            <w:r w:rsidRPr="008A0437">
              <w:rPr>
                <w:rFonts w:ascii="Arial Narrow" w:hAnsi="Arial Narrow"/>
                <w:sz w:val="20"/>
              </w:rPr>
              <w:t>over the first 5 years of listing.</w:t>
            </w:r>
          </w:p>
          <w:p w:rsidR="00BB78BD" w:rsidRPr="008A0437" w:rsidRDefault="00BB78BD" w:rsidP="00915C99">
            <w:pPr>
              <w:widowControl/>
              <w:jc w:val="left"/>
              <w:rPr>
                <w:rFonts w:ascii="Arial Narrow" w:hAnsi="Arial Narrow"/>
                <w:color w:val="0000FF"/>
                <w:sz w:val="20"/>
              </w:rPr>
            </w:pPr>
          </w:p>
          <w:p w:rsidR="00BB78BD" w:rsidRPr="008A0437" w:rsidRDefault="00BB78BD" w:rsidP="00915C99">
            <w:pPr>
              <w:widowControl/>
              <w:jc w:val="left"/>
              <w:rPr>
                <w:rFonts w:ascii="Arial Narrow" w:hAnsi="Arial Narrow"/>
                <w:sz w:val="20"/>
              </w:rPr>
            </w:pPr>
            <w:r w:rsidRPr="008A0437">
              <w:rPr>
                <w:rFonts w:ascii="Arial Narrow" w:hAnsi="Arial Narrow"/>
                <w:sz w:val="20"/>
              </w:rPr>
              <w:t xml:space="preserve">DUSC utilisation: </w:t>
            </w:r>
            <w:r w:rsidR="00EE66DE">
              <w:rPr>
                <w:rFonts w:ascii="Arial Narrow" w:hAnsi="Arial Narrow"/>
                <w:sz w:val="20"/>
              </w:rPr>
              <w:t>$10 - $20 million</w:t>
            </w:r>
            <w:r w:rsidR="00EE66DE" w:rsidRPr="008A0437">
              <w:rPr>
                <w:rFonts w:ascii="Arial Narrow" w:hAnsi="Arial Narrow"/>
                <w:sz w:val="20"/>
              </w:rPr>
              <w:t xml:space="preserve"> </w:t>
            </w:r>
            <w:r w:rsidRPr="008A0437">
              <w:rPr>
                <w:rFonts w:ascii="Arial Narrow" w:hAnsi="Arial Narrow"/>
                <w:sz w:val="20"/>
              </w:rPr>
              <w:t xml:space="preserve">in Year 1 increasing to </w:t>
            </w:r>
            <w:r w:rsidR="00EE66DE">
              <w:rPr>
                <w:rFonts w:ascii="Arial Narrow" w:hAnsi="Arial Narrow"/>
                <w:sz w:val="20"/>
              </w:rPr>
              <w:t>$20 - $30 million</w:t>
            </w:r>
            <w:r w:rsidR="00EE66DE" w:rsidRPr="008A0437">
              <w:rPr>
                <w:rFonts w:ascii="Arial Narrow" w:hAnsi="Arial Narrow"/>
                <w:sz w:val="20"/>
              </w:rPr>
              <w:t xml:space="preserve"> </w:t>
            </w:r>
            <w:r w:rsidRPr="008A0437">
              <w:rPr>
                <w:rFonts w:ascii="Arial Narrow" w:hAnsi="Arial Narrow"/>
                <w:sz w:val="20"/>
              </w:rPr>
              <w:t xml:space="preserve">in Year 5 for a total of </w:t>
            </w:r>
            <w:r w:rsidR="00EE66DE">
              <w:rPr>
                <w:rFonts w:ascii="Arial Narrow" w:hAnsi="Arial Narrow"/>
                <w:sz w:val="20"/>
              </w:rPr>
              <w:t>more than $100 million</w:t>
            </w:r>
            <w:r w:rsidR="00EE66DE" w:rsidRPr="008A0437">
              <w:rPr>
                <w:rFonts w:ascii="Arial Narrow" w:hAnsi="Arial Narrow"/>
                <w:sz w:val="20"/>
              </w:rPr>
              <w:t xml:space="preserve"> </w:t>
            </w:r>
            <w:r w:rsidRPr="008A0437">
              <w:rPr>
                <w:rFonts w:ascii="Arial Narrow" w:hAnsi="Arial Narrow"/>
                <w:sz w:val="20"/>
              </w:rPr>
              <w:t>over the first 5 years of listing</w:t>
            </w:r>
          </w:p>
          <w:p w:rsidR="00BB78BD" w:rsidRPr="008A0437" w:rsidRDefault="00BB78BD" w:rsidP="00915C99">
            <w:pPr>
              <w:widowControl/>
              <w:jc w:val="left"/>
              <w:rPr>
                <w:rFonts w:ascii="Arial Narrow" w:hAnsi="Arial Narrow"/>
                <w:color w:val="0000FF"/>
                <w:sz w:val="20"/>
              </w:rPr>
            </w:pPr>
          </w:p>
        </w:tc>
      </w:tr>
      <w:tr w:rsidR="00BB78BD" w:rsidRPr="008A0437" w:rsidTr="00BB78BD">
        <w:trPr>
          <w:trHeight w:val="438"/>
        </w:trPr>
        <w:tc>
          <w:tcPr>
            <w:tcW w:w="762"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lastRenderedPageBreak/>
              <w:br w:type="page"/>
              <w:t>PBAC decision</w:t>
            </w:r>
          </w:p>
        </w:tc>
        <w:tc>
          <w:tcPr>
            <w:tcW w:w="2630" w:type="pct"/>
          </w:tcPr>
          <w:p w:rsidR="00BB78BD" w:rsidRPr="008A0437" w:rsidRDefault="00BB78BD" w:rsidP="00915C99">
            <w:pPr>
              <w:widowControl/>
              <w:jc w:val="left"/>
              <w:rPr>
                <w:rFonts w:ascii="Arial Narrow" w:hAnsi="Arial Narrow"/>
                <w:sz w:val="20"/>
              </w:rPr>
            </w:pPr>
            <w:r w:rsidRPr="008A0437">
              <w:rPr>
                <w:rFonts w:ascii="Arial Narrow" w:hAnsi="Arial Narrow"/>
                <w:sz w:val="20"/>
              </w:rPr>
              <w:t>•Deferred</w:t>
            </w:r>
          </w:p>
          <w:p w:rsidR="00BB78BD" w:rsidRPr="008A0437" w:rsidRDefault="00BB78BD" w:rsidP="00915C99">
            <w:pPr>
              <w:widowControl/>
              <w:jc w:val="left"/>
              <w:rPr>
                <w:rFonts w:ascii="Arial Narrow" w:hAnsi="Arial Narrow"/>
                <w:sz w:val="20"/>
              </w:rPr>
            </w:pPr>
          </w:p>
          <w:p w:rsidR="00BB78BD" w:rsidRPr="008A0437" w:rsidRDefault="00BB78BD" w:rsidP="00915C99">
            <w:pPr>
              <w:widowControl/>
              <w:jc w:val="left"/>
              <w:rPr>
                <w:sz w:val="20"/>
              </w:rPr>
            </w:pPr>
            <w:r w:rsidRPr="008A0437">
              <w:rPr>
                <w:rFonts w:ascii="Arial Narrow" w:hAnsi="Arial Narrow"/>
                <w:b/>
                <w:sz w:val="20"/>
              </w:rPr>
              <w:t xml:space="preserve">PBAC Comment: </w:t>
            </w:r>
            <w:r w:rsidRPr="008A0437">
              <w:rPr>
                <w:rFonts w:ascii="Arial Narrow" w:hAnsi="Arial Narrow"/>
                <w:sz w:val="20"/>
              </w:rPr>
              <w:t>The</w:t>
            </w:r>
            <w:r w:rsidRPr="008A0437">
              <w:rPr>
                <w:rFonts w:ascii="Arial Narrow" w:hAnsi="Arial Narrow"/>
                <w:bCs/>
                <w:sz w:val="20"/>
              </w:rPr>
              <w:t xml:space="preserve"> PBAC deferred the decision to recommend nintedanib for PBS listing for IPF </w:t>
            </w:r>
            <w:r w:rsidRPr="008A0437">
              <w:rPr>
                <w:rFonts w:ascii="Arial Narrow" w:hAnsi="Arial Narrow"/>
                <w:sz w:val="20"/>
              </w:rPr>
              <w:t xml:space="preserve">subject to a revised base case ICER of </w:t>
            </w:r>
            <w:r w:rsidRPr="002E435F">
              <w:rPr>
                <w:rFonts w:ascii="Arial Narrow" w:hAnsi="Arial Narrow"/>
                <w:sz w:val="20"/>
              </w:rPr>
              <w:t>approximately $60,000/QALY</w:t>
            </w:r>
            <w:r w:rsidRPr="008A0437">
              <w:rPr>
                <w:rFonts w:ascii="Arial Narrow" w:hAnsi="Arial Narrow"/>
                <w:sz w:val="20"/>
              </w:rPr>
              <w:t>, re-specified to incorporate a continuation rule and a price reduction which does not take into account any co</w:t>
            </w:r>
            <w:r w:rsidR="00E779BC" w:rsidRPr="008A0437">
              <w:rPr>
                <w:rFonts w:ascii="Arial Narrow" w:hAnsi="Arial Narrow"/>
                <w:sz w:val="20"/>
              </w:rPr>
              <w:t xml:space="preserve">nsequence of the proposed RSA. </w:t>
            </w:r>
            <w:r w:rsidRPr="008A0437">
              <w:rPr>
                <w:rFonts w:ascii="Arial Narrow" w:hAnsi="Arial Narrow"/>
                <w:sz w:val="20"/>
              </w:rPr>
              <w:t>The sponsor is also asked to consider a managed access program to compare the proportion of PBS patients who discontinue against the proportion established by the clinical trials and agree a basis to vary the price to maintain cost-effectiveness reflecting the extent that the PBS observed proportion might differ from the proportion established by the clinical trials and/or the model</w:t>
            </w:r>
            <w:r w:rsidRPr="008A3576">
              <w:rPr>
                <w:rFonts w:ascii="Arial Narrow" w:hAnsi="Arial Narrow"/>
                <w:sz w:val="20"/>
              </w:rPr>
              <w:t>. (November 2015</w:t>
            </w:r>
            <w:r w:rsidR="008A3576" w:rsidRPr="008A3576">
              <w:rPr>
                <w:rFonts w:ascii="Arial Narrow" w:hAnsi="Arial Narrow"/>
                <w:sz w:val="20"/>
              </w:rPr>
              <w:t xml:space="preserve"> PSD</w:t>
            </w:r>
            <w:r w:rsidRPr="008A3576">
              <w:rPr>
                <w:rFonts w:ascii="Arial Narrow" w:hAnsi="Arial Narrow"/>
                <w:sz w:val="20"/>
              </w:rPr>
              <w:t>, paragraph 7.1)</w:t>
            </w:r>
          </w:p>
        </w:tc>
        <w:tc>
          <w:tcPr>
            <w:tcW w:w="1608" w:type="pct"/>
          </w:tcPr>
          <w:p w:rsidR="00BB78BD" w:rsidRPr="008A0437" w:rsidRDefault="00BB78BD" w:rsidP="00915C99">
            <w:pPr>
              <w:widowControl/>
              <w:jc w:val="left"/>
              <w:rPr>
                <w:rFonts w:ascii="Arial Narrow" w:hAnsi="Arial Narrow"/>
                <w:color w:val="0000FF"/>
                <w:sz w:val="20"/>
              </w:rPr>
            </w:pPr>
            <w:r w:rsidRPr="008A0437">
              <w:rPr>
                <w:rFonts w:ascii="Arial Narrow" w:hAnsi="Arial Narrow"/>
                <w:sz w:val="20"/>
              </w:rPr>
              <w:t>-</w:t>
            </w:r>
          </w:p>
        </w:tc>
      </w:tr>
    </w:tbl>
    <w:p w:rsidR="00EA5CAF" w:rsidRPr="008A0437" w:rsidRDefault="00EA5CAF" w:rsidP="002A78FC">
      <w:pPr>
        <w:widowControl/>
      </w:pPr>
    </w:p>
    <w:p w:rsidR="00C82E65" w:rsidRPr="008A0437" w:rsidRDefault="00C82E65" w:rsidP="00915C99">
      <w:pPr>
        <w:widowControl/>
        <w:ind w:left="709"/>
        <w:contextualSpacing/>
        <w:rPr>
          <w:rFonts w:cs="Times New Roman"/>
          <w:i/>
          <w:snapToGrid/>
          <w:szCs w:val="22"/>
          <w:lang w:eastAsia="en-AU"/>
        </w:rPr>
      </w:pPr>
      <w:r w:rsidRPr="008A0437">
        <w:rPr>
          <w:rFonts w:cs="Times New Roman"/>
          <w:i/>
          <w:snapToGrid/>
          <w:szCs w:val="22"/>
          <w:lang w:eastAsia="en-AU"/>
        </w:rPr>
        <w:t>For more detail on PBAC’s view, see section 7 “PBAC outcome”</w:t>
      </w:r>
      <w:r w:rsidR="002A78FC">
        <w:rPr>
          <w:rFonts w:cs="Times New Roman"/>
          <w:i/>
          <w:snapToGrid/>
          <w:szCs w:val="22"/>
          <w:lang w:eastAsia="en-AU"/>
        </w:rPr>
        <w:t>.</w:t>
      </w:r>
    </w:p>
    <w:p w:rsidR="001B6188" w:rsidRPr="008A0437" w:rsidRDefault="001B6188" w:rsidP="00915C99">
      <w:pPr>
        <w:widowControl/>
      </w:pPr>
    </w:p>
    <w:p w:rsidR="005529DC" w:rsidRPr="008A0437" w:rsidRDefault="005529DC" w:rsidP="00915C99">
      <w:pPr>
        <w:widowControl/>
      </w:pPr>
    </w:p>
    <w:p w:rsidR="00F338FF" w:rsidRPr="008A0437" w:rsidRDefault="00F338FF" w:rsidP="00915C99">
      <w:pPr>
        <w:pStyle w:val="PBACheading1"/>
        <w:rPr>
          <w:b/>
        </w:rPr>
      </w:pPr>
      <w:bookmarkStart w:id="4" w:name="_Toc459120716"/>
      <w:r w:rsidRPr="008A0437">
        <w:rPr>
          <w:b/>
        </w:rPr>
        <w:t>Clinical place for the proposed therapy</w:t>
      </w:r>
      <w:bookmarkEnd w:id="4"/>
    </w:p>
    <w:p w:rsidR="00B60939" w:rsidRPr="008A0437" w:rsidRDefault="00B60939" w:rsidP="00915C99">
      <w:pPr>
        <w:widowControl/>
        <w:rPr>
          <w:szCs w:val="22"/>
        </w:rPr>
      </w:pPr>
    </w:p>
    <w:p w:rsidR="008222C4" w:rsidRPr="008A0437" w:rsidRDefault="00DC09BB" w:rsidP="00915C99">
      <w:pPr>
        <w:pStyle w:val="ListParagraph"/>
        <w:widowControl/>
        <w:numPr>
          <w:ilvl w:val="1"/>
          <w:numId w:val="1"/>
        </w:numPr>
        <w:rPr>
          <w:szCs w:val="22"/>
        </w:rPr>
      </w:pPr>
      <w:r w:rsidRPr="008A0437">
        <w:t xml:space="preserve">IPF is a specific form of chronic, progressive, fibrosing, idiopathic interstitial pneumonia (IIP).  It is the most common IIP and the most severe and frequently occurring of the broader category of all interstitial lung diseases (ILD). IPF is an irreversible and fatal disease </w:t>
      </w:r>
      <w:r w:rsidR="009375ED" w:rsidRPr="008A0437">
        <w:t xml:space="preserve">with considerable variability in disease progression </w:t>
      </w:r>
      <w:r w:rsidR="00E84F7F" w:rsidRPr="008A0437">
        <w:t xml:space="preserve">and </w:t>
      </w:r>
      <w:r w:rsidRPr="008A0437">
        <w:t>median survival</w:t>
      </w:r>
      <w:r w:rsidR="00E84F7F" w:rsidRPr="008A0437">
        <w:t xml:space="preserve"> ranging from</w:t>
      </w:r>
      <w:r w:rsidRPr="008A0437">
        <w:t xml:space="preserve"> 3 to 5 years</w:t>
      </w:r>
      <w:r w:rsidR="009375ED" w:rsidRPr="008A0437">
        <w:t>.</w:t>
      </w:r>
      <w:r w:rsidRPr="008A0437">
        <w:t xml:space="preserve"> </w:t>
      </w:r>
      <w:r w:rsidR="009375ED" w:rsidRPr="008A0437">
        <w:t xml:space="preserve">IPF </w:t>
      </w:r>
      <w:r w:rsidRPr="008A0437">
        <w:t>caus</w:t>
      </w:r>
      <w:r w:rsidR="009375ED" w:rsidRPr="008A0437">
        <w:t>es</w:t>
      </w:r>
      <w:r w:rsidRPr="008A0437">
        <w:t xml:space="preserve"> a progressive decline in lung function, which increasingly restricts routine physical activity due to breathlessness from disrupted alveolar-capillary barrier architecture, leading to impaired gas exchange</w:t>
      </w:r>
      <w:r w:rsidR="009375ED" w:rsidRPr="008A0437">
        <w:t xml:space="preserve"> and increased work of breathing due to reduced compliance of the lungs</w:t>
      </w:r>
      <w:r w:rsidRPr="008A0437">
        <w:t>. Lung transplant is the only potentially curative intervention for IPF.</w:t>
      </w:r>
    </w:p>
    <w:p w:rsidR="000D165D" w:rsidRPr="002A78FC" w:rsidRDefault="000D165D" w:rsidP="00915C99">
      <w:pPr>
        <w:widowControl/>
        <w:rPr>
          <w:szCs w:val="22"/>
        </w:rPr>
      </w:pPr>
    </w:p>
    <w:p w:rsidR="001610AA" w:rsidRPr="008A0437" w:rsidRDefault="001610AA" w:rsidP="00915C99">
      <w:pPr>
        <w:pStyle w:val="ListParagraph"/>
        <w:widowControl/>
        <w:numPr>
          <w:ilvl w:val="1"/>
          <w:numId w:val="1"/>
        </w:numPr>
        <w:rPr>
          <w:szCs w:val="22"/>
        </w:rPr>
      </w:pPr>
      <w:r w:rsidRPr="008A0437">
        <w:rPr>
          <w:szCs w:val="22"/>
        </w:rPr>
        <w:t>No other medications are</w:t>
      </w:r>
      <w:r w:rsidR="00E419DB" w:rsidRPr="008A0437">
        <w:rPr>
          <w:szCs w:val="22"/>
        </w:rPr>
        <w:t xml:space="preserve"> currently</w:t>
      </w:r>
      <w:r w:rsidRPr="008A0437">
        <w:rPr>
          <w:szCs w:val="22"/>
        </w:rPr>
        <w:t xml:space="preserve"> listed on the PBS specifically for the treatment of IPF</w:t>
      </w:r>
      <w:r w:rsidR="00680A2F" w:rsidRPr="008A0437">
        <w:rPr>
          <w:szCs w:val="22"/>
        </w:rPr>
        <w:t xml:space="preserve">. </w:t>
      </w:r>
      <w:r w:rsidR="00680A2F" w:rsidRPr="008A0437">
        <w:t xml:space="preserve">A resubmission for pirfenidone for the treatment of IPF </w:t>
      </w:r>
      <w:r w:rsidR="00263651" w:rsidRPr="008A0437">
        <w:t xml:space="preserve">was </w:t>
      </w:r>
      <w:r w:rsidR="00680A2F" w:rsidRPr="008A0437">
        <w:t xml:space="preserve">also considered by the PBAC at the November 2016 </w:t>
      </w:r>
      <w:r w:rsidR="00940A24" w:rsidRPr="008A0437">
        <w:t>meeting.</w:t>
      </w:r>
    </w:p>
    <w:p w:rsidR="000D165D" w:rsidRPr="002A78FC" w:rsidRDefault="000D165D" w:rsidP="00915C99">
      <w:pPr>
        <w:widowControl/>
        <w:rPr>
          <w:szCs w:val="22"/>
        </w:rPr>
      </w:pPr>
    </w:p>
    <w:p w:rsidR="000D165D" w:rsidRPr="008A0437" w:rsidRDefault="00940A24" w:rsidP="00915C99">
      <w:pPr>
        <w:pStyle w:val="ListParagraph"/>
        <w:widowControl/>
        <w:numPr>
          <w:ilvl w:val="1"/>
          <w:numId w:val="1"/>
        </w:numPr>
        <w:rPr>
          <w:szCs w:val="22"/>
        </w:rPr>
      </w:pPr>
      <w:r w:rsidRPr="008A0437">
        <w:rPr>
          <w:szCs w:val="22"/>
        </w:rPr>
        <w:t>N</w:t>
      </w:r>
      <w:r w:rsidR="000D165D" w:rsidRPr="008A0437">
        <w:rPr>
          <w:szCs w:val="22"/>
        </w:rPr>
        <w:t>intedanib is a small molecule tyrosine kinase inhibitor which blocks intracellular signalling associated with the proliferation, migration and transformation of fibroblasts, which are mechanisms of IPF pathology. By comparison, the complete mechanism of action of pirfenidone</w:t>
      </w:r>
      <w:r w:rsidR="00075AF6" w:rsidRPr="008A0437">
        <w:rPr>
          <w:szCs w:val="22"/>
        </w:rPr>
        <w:t xml:space="preserve"> is yet to be fully established;</w:t>
      </w:r>
      <w:r w:rsidR="000D165D" w:rsidRPr="008A0437">
        <w:rPr>
          <w:szCs w:val="22"/>
        </w:rPr>
        <w:t xml:space="preserve"> however, existing data indicates anti-fibrotic, anti-inflammatory and anti-oxidant properties in a variety of in vitro systems and animal models of pulmonary fibrosis. </w:t>
      </w:r>
    </w:p>
    <w:p w:rsidR="001610AA" w:rsidRPr="008A0437" w:rsidRDefault="001610AA" w:rsidP="00915C99">
      <w:pPr>
        <w:widowControl/>
        <w:rPr>
          <w:szCs w:val="22"/>
        </w:rPr>
      </w:pPr>
    </w:p>
    <w:p w:rsidR="004A1689" w:rsidRPr="008A0437" w:rsidRDefault="001610AA" w:rsidP="00915C99">
      <w:pPr>
        <w:pStyle w:val="ListParagraph"/>
        <w:widowControl/>
        <w:numPr>
          <w:ilvl w:val="1"/>
          <w:numId w:val="1"/>
        </w:numPr>
        <w:rPr>
          <w:szCs w:val="22"/>
        </w:rPr>
      </w:pPr>
      <w:r w:rsidRPr="008A0437">
        <w:rPr>
          <w:szCs w:val="22"/>
        </w:rPr>
        <w:t xml:space="preserve">As in the March and November 2015 submissions, the current </w:t>
      </w:r>
      <w:r w:rsidR="00E91B50" w:rsidRPr="008A0437">
        <w:rPr>
          <w:szCs w:val="22"/>
        </w:rPr>
        <w:t>resubmission</w:t>
      </w:r>
      <w:r w:rsidRPr="008A0437">
        <w:rPr>
          <w:szCs w:val="22"/>
        </w:rPr>
        <w:t xml:space="preserve"> proposed nintedanib </w:t>
      </w:r>
      <w:r w:rsidR="00940A24" w:rsidRPr="008A0437">
        <w:rPr>
          <w:szCs w:val="22"/>
        </w:rPr>
        <w:t xml:space="preserve">to </w:t>
      </w:r>
      <w:r w:rsidRPr="008A0437">
        <w:rPr>
          <w:szCs w:val="22"/>
        </w:rPr>
        <w:t xml:space="preserve">be used in combination with BSC </w:t>
      </w:r>
      <w:r w:rsidR="00E419DB" w:rsidRPr="008A0437">
        <w:rPr>
          <w:szCs w:val="22"/>
        </w:rPr>
        <w:t xml:space="preserve">for the treatment of </w:t>
      </w:r>
      <w:r w:rsidRPr="008A0437">
        <w:rPr>
          <w:szCs w:val="22"/>
        </w:rPr>
        <w:t>IPF.</w:t>
      </w:r>
    </w:p>
    <w:p w:rsidR="001B6188" w:rsidRPr="008A0437" w:rsidRDefault="001B6188" w:rsidP="00915C99">
      <w:pPr>
        <w:pStyle w:val="ListParagraph"/>
        <w:widowControl/>
        <w:ind w:left="0"/>
        <w:rPr>
          <w:szCs w:val="22"/>
        </w:rPr>
      </w:pPr>
    </w:p>
    <w:p w:rsidR="00C82E65" w:rsidRDefault="00C82E65" w:rsidP="00915C99">
      <w:pPr>
        <w:widowControl/>
        <w:ind w:left="709"/>
        <w:contextualSpacing/>
        <w:rPr>
          <w:rFonts w:cs="Times New Roman"/>
          <w:i/>
          <w:snapToGrid/>
          <w:szCs w:val="22"/>
          <w:lang w:eastAsia="en-AU"/>
        </w:rPr>
      </w:pPr>
      <w:r w:rsidRPr="008A0437">
        <w:rPr>
          <w:rFonts w:cs="Times New Roman"/>
          <w:i/>
          <w:snapToGrid/>
          <w:szCs w:val="22"/>
          <w:lang w:eastAsia="en-AU"/>
        </w:rPr>
        <w:t>For more detail on PBAC’s view, see section 7 “PBAC outcome”</w:t>
      </w:r>
      <w:r w:rsidR="002A78FC">
        <w:rPr>
          <w:rFonts w:cs="Times New Roman"/>
          <w:i/>
          <w:snapToGrid/>
          <w:szCs w:val="22"/>
          <w:lang w:eastAsia="en-AU"/>
        </w:rPr>
        <w:t>.</w:t>
      </w:r>
    </w:p>
    <w:p w:rsidR="008D4409" w:rsidRPr="008A0437" w:rsidRDefault="008D4409" w:rsidP="00915C99">
      <w:pPr>
        <w:widowControl/>
        <w:ind w:left="709"/>
        <w:contextualSpacing/>
        <w:rPr>
          <w:rFonts w:cs="Times New Roman"/>
          <w:i/>
          <w:snapToGrid/>
          <w:szCs w:val="22"/>
          <w:lang w:eastAsia="en-AU"/>
        </w:rPr>
      </w:pPr>
    </w:p>
    <w:p w:rsidR="00F338FF" w:rsidRPr="008A0437" w:rsidRDefault="00E91B50" w:rsidP="00915C99">
      <w:pPr>
        <w:pStyle w:val="PBACheading1"/>
        <w:keepNext/>
        <w:rPr>
          <w:b/>
        </w:rPr>
      </w:pPr>
      <w:r w:rsidRPr="008A0437">
        <w:rPr>
          <w:b/>
        </w:rPr>
        <w:lastRenderedPageBreak/>
        <w:t>Comparator</w:t>
      </w:r>
    </w:p>
    <w:p w:rsidR="00497F10" w:rsidRPr="008A0437" w:rsidRDefault="00497F10" w:rsidP="00915C99">
      <w:pPr>
        <w:keepNext/>
        <w:widowControl/>
      </w:pPr>
    </w:p>
    <w:p w:rsidR="00B60939" w:rsidRPr="008A0437" w:rsidRDefault="001610AA" w:rsidP="00915C99">
      <w:pPr>
        <w:pStyle w:val="ListParagraph"/>
        <w:widowControl/>
        <w:numPr>
          <w:ilvl w:val="1"/>
          <w:numId w:val="1"/>
        </w:numPr>
      </w:pPr>
      <w:r w:rsidRPr="008A0437">
        <w:t xml:space="preserve">As in the March and November 2015 submissions, the current </w:t>
      </w:r>
      <w:r w:rsidR="00E91B50" w:rsidRPr="008A0437">
        <w:t>resubmission</w:t>
      </w:r>
      <w:r w:rsidRPr="008A0437">
        <w:t xml:space="preserve"> nominated BSC as the main comparator. </w:t>
      </w:r>
      <w:r w:rsidR="00527C30" w:rsidRPr="008A0437">
        <w:t>In November 2015, the PBAC reaffirmed</w:t>
      </w:r>
      <w:r w:rsidR="00F72BB3" w:rsidRPr="008A0437">
        <w:t xml:space="preserve"> </w:t>
      </w:r>
      <w:r w:rsidR="00527C30" w:rsidRPr="008A0437">
        <w:t xml:space="preserve">that </w:t>
      </w:r>
      <w:r w:rsidR="00DC09BB" w:rsidRPr="008A0437">
        <w:t xml:space="preserve">BSC </w:t>
      </w:r>
      <w:r w:rsidR="00527C30" w:rsidRPr="008A0437">
        <w:t xml:space="preserve">was the appropriate main comparator for nintedanib for IPF, and noted that pirfenidone was </w:t>
      </w:r>
      <w:r w:rsidR="007532EB" w:rsidRPr="008A0437">
        <w:t xml:space="preserve">also </w:t>
      </w:r>
      <w:r w:rsidR="00527C30" w:rsidRPr="008A0437">
        <w:t>a relevant comparator (November 2015</w:t>
      </w:r>
      <w:r w:rsidR="00F72BB3" w:rsidRPr="008A0437">
        <w:t xml:space="preserve"> </w:t>
      </w:r>
      <w:r w:rsidR="006D2F94" w:rsidRPr="008A0437">
        <w:t xml:space="preserve">nintedanib </w:t>
      </w:r>
      <w:r w:rsidR="00E419DB" w:rsidRPr="008A0437">
        <w:t>PSD</w:t>
      </w:r>
      <w:r w:rsidR="00F72BB3" w:rsidRPr="008A0437">
        <w:t>, paragraph 7.5).</w:t>
      </w:r>
    </w:p>
    <w:p w:rsidR="00581CA1" w:rsidRPr="008A0437" w:rsidRDefault="00581CA1" w:rsidP="00915C99">
      <w:pPr>
        <w:widowControl/>
      </w:pPr>
    </w:p>
    <w:p w:rsidR="00C82E65" w:rsidRPr="008A0437" w:rsidRDefault="00C82E65" w:rsidP="00915C99">
      <w:pPr>
        <w:widowControl/>
        <w:ind w:left="709"/>
        <w:contextualSpacing/>
        <w:rPr>
          <w:rFonts w:cs="Times New Roman"/>
          <w:i/>
          <w:snapToGrid/>
          <w:szCs w:val="22"/>
          <w:lang w:eastAsia="en-AU"/>
        </w:rPr>
      </w:pPr>
      <w:r w:rsidRPr="008A0437">
        <w:rPr>
          <w:rFonts w:cs="Times New Roman"/>
          <w:i/>
          <w:snapToGrid/>
          <w:szCs w:val="22"/>
          <w:lang w:eastAsia="en-AU"/>
        </w:rPr>
        <w:t>For more detail on PBAC’s view, see section 7 “PBAC outcome”</w:t>
      </w:r>
      <w:r w:rsidR="002A78FC">
        <w:rPr>
          <w:rFonts w:cs="Times New Roman"/>
          <w:i/>
          <w:snapToGrid/>
          <w:szCs w:val="22"/>
          <w:lang w:eastAsia="en-AU"/>
        </w:rPr>
        <w:t>.</w:t>
      </w:r>
    </w:p>
    <w:p w:rsidR="001977FB" w:rsidRPr="008A0437" w:rsidRDefault="001977FB" w:rsidP="00915C99">
      <w:pPr>
        <w:widowControl/>
      </w:pPr>
    </w:p>
    <w:p w:rsidR="00263651" w:rsidRPr="008A0437" w:rsidRDefault="00263651" w:rsidP="00915C99">
      <w:pPr>
        <w:widowControl/>
      </w:pPr>
    </w:p>
    <w:p w:rsidR="00D06FD4" w:rsidRPr="008A0437" w:rsidRDefault="00472359" w:rsidP="00915C99">
      <w:pPr>
        <w:pStyle w:val="PBACheading1"/>
        <w:keepNext/>
        <w:rPr>
          <w:b/>
        </w:rPr>
      </w:pPr>
      <w:bookmarkStart w:id="5" w:name="_Toc459120718"/>
      <w:r w:rsidRPr="008A0437">
        <w:rPr>
          <w:b/>
        </w:rPr>
        <w:t>C</w:t>
      </w:r>
      <w:r w:rsidR="00D06FD4" w:rsidRPr="008A0437">
        <w:rPr>
          <w:b/>
        </w:rPr>
        <w:t>onsideration of the evidence</w:t>
      </w:r>
      <w:bookmarkEnd w:id="5"/>
    </w:p>
    <w:p w:rsidR="00B60939" w:rsidRPr="008A0437" w:rsidRDefault="00B60939" w:rsidP="00915C99">
      <w:pPr>
        <w:keepNext/>
        <w:widowControl/>
        <w:rPr>
          <w:b/>
          <w:szCs w:val="22"/>
        </w:rPr>
      </w:pPr>
    </w:p>
    <w:p w:rsidR="00717BB1" w:rsidRPr="008A0437" w:rsidRDefault="00717BB1" w:rsidP="00915C99">
      <w:pPr>
        <w:pStyle w:val="Heading2"/>
        <w:keepNext/>
        <w:widowControl/>
        <w:rPr>
          <w:i/>
        </w:rPr>
      </w:pPr>
      <w:r w:rsidRPr="008A0437">
        <w:rPr>
          <w:i/>
        </w:rPr>
        <w:t>Sponsor hearing</w:t>
      </w:r>
    </w:p>
    <w:p w:rsidR="00547FB0" w:rsidRPr="008A0437" w:rsidRDefault="00547FB0" w:rsidP="00915C99">
      <w:pPr>
        <w:widowControl/>
      </w:pPr>
    </w:p>
    <w:p w:rsidR="00717BB1" w:rsidRPr="008A0437" w:rsidRDefault="00301988" w:rsidP="00915C99">
      <w:pPr>
        <w:widowControl/>
        <w:numPr>
          <w:ilvl w:val="1"/>
          <w:numId w:val="1"/>
        </w:numPr>
        <w:contextualSpacing/>
        <w:rPr>
          <w:bCs/>
          <w:szCs w:val="22"/>
        </w:rPr>
      </w:pPr>
      <w:r w:rsidRPr="008A0437">
        <w:rPr>
          <w:bCs/>
          <w:szCs w:val="22"/>
        </w:rPr>
        <w:t>The sponsor requested a hearing for this item</w:t>
      </w:r>
      <w:r w:rsidR="007559D4" w:rsidRPr="008A0437">
        <w:rPr>
          <w:bCs/>
          <w:szCs w:val="22"/>
        </w:rPr>
        <w:t>. The sponsor</w:t>
      </w:r>
      <w:r w:rsidRPr="008A0437">
        <w:rPr>
          <w:bCs/>
          <w:szCs w:val="22"/>
        </w:rPr>
        <w:t xml:space="preserve"> </w:t>
      </w:r>
      <w:r w:rsidR="00B67D0A" w:rsidRPr="008A0437">
        <w:rPr>
          <w:bCs/>
          <w:szCs w:val="22"/>
        </w:rPr>
        <w:t xml:space="preserve">made </w:t>
      </w:r>
      <w:r w:rsidR="007559D4" w:rsidRPr="008A0437">
        <w:rPr>
          <w:bCs/>
          <w:szCs w:val="22"/>
        </w:rPr>
        <w:t>arguments in su</w:t>
      </w:r>
      <w:r w:rsidR="00940A24" w:rsidRPr="008A0437">
        <w:rPr>
          <w:bCs/>
          <w:szCs w:val="22"/>
        </w:rPr>
        <w:t>pport of the submission including</w:t>
      </w:r>
      <w:r w:rsidR="007559D4" w:rsidRPr="008A0437">
        <w:rPr>
          <w:bCs/>
          <w:szCs w:val="22"/>
        </w:rPr>
        <w:t xml:space="preserve"> the high clinical need for a PBS-subsidised drug for IPF, the impact of the disease on quality of life and survival, and the </w:t>
      </w:r>
      <w:r w:rsidR="00940A24" w:rsidRPr="008A0437">
        <w:rPr>
          <w:bCs/>
          <w:szCs w:val="22"/>
        </w:rPr>
        <w:t>impact of the drug on outcomes such as exacerbations and decline in lung function</w:t>
      </w:r>
      <w:r w:rsidR="007559D4" w:rsidRPr="008A0437">
        <w:rPr>
          <w:bCs/>
          <w:szCs w:val="22"/>
        </w:rPr>
        <w:t>.</w:t>
      </w:r>
      <w:r w:rsidR="00940A24" w:rsidRPr="008A0437">
        <w:rPr>
          <w:bCs/>
          <w:szCs w:val="22"/>
        </w:rPr>
        <w:t xml:space="preserve"> The sponsor reiterated its proposed continuation rule and </w:t>
      </w:r>
      <w:r w:rsidR="00FC3050" w:rsidRPr="008A0437">
        <w:rPr>
          <w:bCs/>
          <w:szCs w:val="22"/>
        </w:rPr>
        <w:t>RSA</w:t>
      </w:r>
      <w:r w:rsidR="00940A24" w:rsidRPr="008A0437">
        <w:rPr>
          <w:bCs/>
          <w:szCs w:val="22"/>
        </w:rPr>
        <w:t>.</w:t>
      </w:r>
      <w:r w:rsidR="009715F5">
        <w:rPr>
          <w:bCs/>
          <w:szCs w:val="22"/>
        </w:rPr>
        <w:t xml:space="preserve"> In response to a question from the PBAC, the sponsor stated t</w:t>
      </w:r>
      <w:r w:rsidR="009715F5" w:rsidRPr="005003D6">
        <w:rPr>
          <w:bCs/>
          <w:szCs w:val="22"/>
        </w:rPr>
        <w:t xml:space="preserve">hat it believed the uptake rates in the submission (of </w:t>
      </w:r>
      <w:r w:rsidR="003B3717">
        <w:rPr>
          <w:bCs/>
          <w:noProof/>
          <w:color w:val="000000"/>
          <w:szCs w:val="22"/>
          <w:highlight w:val="black"/>
        </w:rPr>
        <w:t>''''''</w:t>
      </w:r>
      <w:r w:rsidR="000625C5" w:rsidRPr="005003D6">
        <w:rPr>
          <w:bCs/>
          <w:szCs w:val="22"/>
        </w:rPr>
        <w:t>%</w:t>
      </w:r>
      <w:r w:rsidR="00A248A8" w:rsidRPr="005003D6">
        <w:rPr>
          <w:bCs/>
          <w:szCs w:val="22"/>
        </w:rPr>
        <w:t xml:space="preserve"> in Year 1 to </w:t>
      </w:r>
      <w:r w:rsidR="003B3717">
        <w:rPr>
          <w:bCs/>
          <w:noProof/>
          <w:color w:val="000000"/>
          <w:szCs w:val="22"/>
          <w:highlight w:val="black"/>
        </w:rPr>
        <w:t>'''''''</w:t>
      </w:r>
      <w:r w:rsidR="009715F5" w:rsidRPr="005003D6">
        <w:rPr>
          <w:bCs/>
          <w:szCs w:val="22"/>
        </w:rPr>
        <w:t>%</w:t>
      </w:r>
      <w:r w:rsidR="00A248A8" w:rsidRPr="005003D6">
        <w:rPr>
          <w:bCs/>
          <w:szCs w:val="22"/>
        </w:rPr>
        <w:t xml:space="preserve"> in Year 5</w:t>
      </w:r>
      <w:r w:rsidR="009715F5" w:rsidRPr="005003D6">
        <w:rPr>
          <w:bCs/>
          <w:szCs w:val="22"/>
        </w:rPr>
        <w:t>)</w:t>
      </w:r>
      <w:r w:rsidR="009715F5">
        <w:rPr>
          <w:bCs/>
          <w:szCs w:val="22"/>
        </w:rPr>
        <w:t xml:space="preserve"> were reasonable despite advice from DUSC that these rates were underestimated, and noted that the proposed RSA will provide financi</w:t>
      </w:r>
      <w:r w:rsidR="002A78FC">
        <w:rPr>
          <w:bCs/>
          <w:szCs w:val="22"/>
        </w:rPr>
        <w:t>al certainty to government.</w:t>
      </w:r>
    </w:p>
    <w:p w:rsidR="003B6EAB" w:rsidRPr="008A0437" w:rsidRDefault="003B6EAB" w:rsidP="00915C99">
      <w:pPr>
        <w:widowControl/>
        <w:rPr>
          <w:bCs/>
          <w:szCs w:val="22"/>
          <w:highlight w:val="yellow"/>
        </w:rPr>
      </w:pPr>
    </w:p>
    <w:p w:rsidR="00717BB1" w:rsidRPr="008A0437" w:rsidRDefault="00717BB1" w:rsidP="00915C99">
      <w:pPr>
        <w:pStyle w:val="Heading2"/>
        <w:keepNext/>
        <w:widowControl/>
        <w:rPr>
          <w:i/>
        </w:rPr>
      </w:pPr>
      <w:r w:rsidRPr="008A0437">
        <w:rPr>
          <w:i/>
        </w:rPr>
        <w:t>Consumer comments</w:t>
      </w:r>
    </w:p>
    <w:p w:rsidR="00547FB0" w:rsidRPr="008A0437" w:rsidRDefault="00547FB0" w:rsidP="00915C99">
      <w:pPr>
        <w:widowControl/>
      </w:pPr>
    </w:p>
    <w:p w:rsidR="0058698F" w:rsidRPr="008A0437" w:rsidRDefault="0058698F" w:rsidP="00915C99">
      <w:pPr>
        <w:widowControl/>
        <w:numPr>
          <w:ilvl w:val="1"/>
          <w:numId w:val="1"/>
        </w:numPr>
        <w:contextualSpacing/>
        <w:rPr>
          <w:bCs/>
          <w:szCs w:val="22"/>
        </w:rPr>
      </w:pPr>
      <w:r w:rsidRPr="008A0437">
        <w:rPr>
          <w:bCs/>
          <w:szCs w:val="22"/>
        </w:rPr>
        <w:t xml:space="preserve">The PBAC noted and welcomed the input from individuals (33), health care professionals (5) and organisations (2) via the Consumer Comments facility on the PBS website. The comments described a range of </w:t>
      </w:r>
      <w:r w:rsidR="00940A24" w:rsidRPr="008A0437">
        <w:rPr>
          <w:bCs/>
          <w:szCs w:val="22"/>
        </w:rPr>
        <w:t xml:space="preserve">potential </w:t>
      </w:r>
      <w:r w:rsidRPr="008A0437">
        <w:rPr>
          <w:bCs/>
          <w:szCs w:val="22"/>
        </w:rPr>
        <w:t>benefits of treatment with nintedanib including the ability to slow disease prog</w:t>
      </w:r>
      <w:r w:rsidR="00940A24" w:rsidRPr="008A0437">
        <w:rPr>
          <w:bCs/>
          <w:szCs w:val="22"/>
        </w:rPr>
        <w:t>ression and</w:t>
      </w:r>
      <w:r w:rsidRPr="008A0437">
        <w:rPr>
          <w:bCs/>
          <w:szCs w:val="22"/>
        </w:rPr>
        <w:t xml:space="preserve"> improve quality of life. The comments also described the</w:t>
      </w:r>
      <w:r w:rsidR="00A248A8">
        <w:rPr>
          <w:bCs/>
          <w:szCs w:val="22"/>
        </w:rPr>
        <w:t xml:space="preserve"> unmet need for a</w:t>
      </w:r>
      <w:r w:rsidR="000101D7">
        <w:rPr>
          <w:bCs/>
          <w:szCs w:val="22"/>
        </w:rPr>
        <w:t>n</w:t>
      </w:r>
      <w:r w:rsidR="00A248A8">
        <w:rPr>
          <w:bCs/>
          <w:szCs w:val="22"/>
        </w:rPr>
        <w:t xml:space="preserve"> effective </w:t>
      </w:r>
      <w:r w:rsidR="000101D7">
        <w:rPr>
          <w:bCs/>
          <w:szCs w:val="22"/>
        </w:rPr>
        <w:t xml:space="preserve">and PBS-subsidised </w:t>
      </w:r>
      <w:r w:rsidR="00A248A8">
        <w:rPr>
          <w:bCs/>
          <w:szCs w:val="22"/>
        </w:rPr>
        <w:t>treatment for IPF, the</w:t>
      </w:r>
      <w:r w:rsidRPr="008A0437">
        <w:rPr>
          <w:bCs/>
          <w:szCs w:val="22"/>
        </w:rPr>
        <w:t xml:space="preserve"> financial burden associated with </w:t>
      </w:r>
      <w:r w:rsidR="005B2B8B" w:rsidRPr="008A0437">
        <w:rPr>
          <w:bCs/>
          <w:szCs w:val="22"/>
        </w:rPr>
        <w:t>purchasing non</w:t>
      </w:r>
      <w:r w:rsidR="00E86F32" w:rsidRPr="008A0437">
        <w:rPr>
          <w:bCs/>
          <w:szCs w:val="22"/>
        </w:rPr>
        <w:noBreakHyphen/>
      </w:r>
      <w:r w:rsidR="005B2B8B" w:rsidRPr="008A0437">
        <w:rPr>
          <w:bCs/>
          <w:szCs w:val="22"/>
        </w:rPr>
        <w:t>PBS subsidised nintedanib and the risk of</w:t>
      </w:r>
      <w:r w:rsidRPr="008A0437">
        <w:rPr>
          <w:bCs/>
          <w:szCs w:val="22"/>
        </w:rPr>
        <w:t xml:space="preserve"> patients acquiring cheaper versions of nintedanib</w:t>
      </w:r>
      <w:r w:rsidR="00323E9A">
        <w:rPr>
          <w:bCs/>
          <w:szCs w:val="22"/>
        </w:rPr>
        <w:t xml:space="preserve"> </w:t>
      </w:r>
      <w:r w:rsidR="00323E9A" w:rsidRPr="008A0437">
        <w:rPr>
          <w:bCs/>
          <w:szCs w:val="22"/>
        </w:rPr>
        <w:t>online</w:t>
      </w:r>
      <w:r w:rsidR="00490AE6" w:rsidRPr="008A0437">
        <w:rPr>
          <w:bCs/>
          <w:szCs w:val="22"/>
        </w:rPr>
        <w:t xml:space="preserve"> </w:t>
      </w:r>
      <w:r w:rsidR="00323E9A">
        <w:rPr>
          <w:bCs/>
          <w:szCs w:val="22"/>
        </w:rPr>
        <w:t>for</w:t>
      </w:r>
      <w:r w:rsidRPr="008A0437">
        <w:rPr>
          <w:bCs/>
          <w:szCs w:val="22"/>
        </w:rPr>
        <w:t xml:space="preserve"> </w:t>
      </w:r>
      <w:r w:rsidR="005B2B8B" w:rsidRPr="008A0437">
        <w:rPr>
          <w:bCs/>
          <w:szCs w:val="22"/>
        </w:rPr>
        <w:t>which</w:t>
      </w:r>
      <w:r w:rsidRPr="008A0437">
        <w:rPr>
          <w:bCs/>
          <w:szCs w:val="22"/>
        </w:rPr>
        <w:t xml:space="preserve"> the safety and efficacy are uncertain.</w:t>
      </w:r>
    </w:p>
    <w:p w:rsidR="00717BB1" w:rsidRPr="008A0437" w:rsidRDefault="00717BB1" w:rsidP="00915C99">
      <w:pPr>
        <w:widowControl/>
        <w:contextualSpacing/>
        <w:rPr>
          <w:bCs/>
          <w:szCs w:val="22"/>
        </w:rPr>
      </w:pPr>
    </w:p>
    <w:p w:rsidR="0058698F" w:rsidRPr="008A0437" w:rsidRDefault="0058698F" w:rsidP="00915C99">
      <w:pPr>
        <w:widowControl/>
        <w:numPr>
          <w:ilvl w:val="1"/>
          <w:numId w:val="1"/>
        </w:numPr>
        <w:contextualSpacing/>
        <w:rPr>
          <w:bCs/>
          <w:szCs w:val="22"/>
        </w:rPr>
      </w:pPr>
      <w:r w:rsidRPr="008A0437">
        <w:rPr>
          <w:bCs/>
          <w:szCs w:val="22"/>
        </w:rPr>
        <w:t xml:space="preserve">The PBAC noted the advice received from </w:t>
      </w:r>
      <w:r w:rsidR="00490AE6" w:rsidRPr="008A0437">
        <w:rPr>
          <w:bCs/>
          <w:szCs w:val="22"/>
        </w:rPr>
        <w:t xml:space="preserve">the </w:t>
      </w:r>
      <w:r w:rsidRPr="008A0437">
        <w:rPr>
          <w:bCs/>
          <w:szCs w:val="22"/>
        </w:rPr>
        <w:t xml:space="preserve">Lung Foundation Australia and </w:t>
      </w:r>
      <w:r w:rsidR="00E86F32" w:rsidRPr="008A0437">
        <w:rPr>
          <w:bCs/>
          <w:szCs w:val="22"/>
        </w:rPr>
        <w:t xml:space="preserve">the </w:t>
      </w:r>
      <w:r w:rsidRPr="008A0437">
        <w:rPr>
          <w:bCs/>
          <w:szCs w:val="22"/>
        </w:rPr>
        <w:t xml:space="preserve">Australian Pulmonary Fibrosis Consortium that </w:t>
      </w:r>
      <w:r w:rsidR="003264F6" w:rsidRPr="008A0437">
        <w:rPr>
          <w:bCs/>
          <w:szCs w:val="22"/>
        </w:rPr>
        <w:t xml:space="preserve">treatment with </w:t>
      </w:r>
      <w:r w:rsidRPr="008A0437">
        <w:rPr>
          <w:bCs/>
          <w:szCs w:val="22"/>
        </w:rPr>
        <w:t xml:space="preserve">nintedanib may slow disease </w:t>
      </w:r>
      <w:r w:rsidR="005B2B8B" w:rsidRPr="008A0437">
        <w:rPr>
          <w:bCs/>
          <w:szCs w:val="22"/>
        </w:rPr>
        <w:t>progression</w:t>
      </w:r>
      <w:r w:rsidR="00C57E43" w:rsidRPr="008A0437">
        <w:rPr>
          <w:bCs/>
          <w:szCs w:val="22"/>
        </w:rPr>
        <w:t xml:space="preserve"> and </w:t>
      </w:r>
      <w:r w:rsidR="003264F6" w:rsidRPr="008A0437">
        <w:rPr>
          <w:bCs/>
          <w:szCs w:val="22"/>
        </w:rPr>
        <w:t>improve quality of life</w:t>
      </w:r>
      <w:r w:rsidRPr="008A0437">
        <w:rPr>
          <w:bCs/>
          <w:szCs w:val="22"/>
        </w:rPr>
        <w:t xml:space="preserve">. The </w:t>
      </w:r>
      <w:r w:rsidR="003264F6" w:rsidRPr="008A0437">
        <w:rPr>
          <w:bCs/>
          <w:szCs w:val="22"/>
        </w:rPr>
        <w:t xml:space="preserve">PBAC specifically noted the advice that the only access to relatively affordable </w:t>
      </w:r>
      <w:r w:rsidR="00C57E43" w:rsidRPr="008A0437">
        <w:rPr>
          <w:bCs/>
          <w:szCs w:val="22"/>
        </w:rPr>
        <w:t>medication</w:t>
      </w:r>
      <w:r w:rsidR="00323E9A">
        <w:rPr>
          <w:bCs/>
          <w:szCs w:val="22"/>
        </w:rPr>
        <w:t xml:space="preserve"> for IPF</w:t>
      </w:r>
      <w:r w:rsidR="00C57E43" w:rsidRPr="008A0437">
        <w:rPr>
          <w:bCs/>
          <w:szCs w:val="22"/>
        </w:rPr>
        <w:t xml:space="preserve"> (i.e. nintedanib or pirfenidone) </w:t>
      </w:r>
      <w:r w:rsidR="003264F6" w:rsidRPr="008A0437">
        <w:rPr>
          <w:bCs/>
          <w:szCs w:val="22"/>
        </w:rPr>
        <w:t xml:space="preserve">is through importation. The advice noted that alternative </w:t>
      </w:r>
      <w:r w:rsidRPr="008A0437">
        <w:rPr>
          <w:bCs/>
          <w:szCs w:val="22"/>
        </w:rPr>
        <w:t xml:space="preserve">treatment </w:t>
      </w:r>
      <w:r w:rsidR="003264F6" w:rsidRPr="008A0437">
        <w:rPr>
          <w:bCs/>
          <w:szCs w:val="22"/>
        </w:rPr>
        <w:t xml:space="preserve">consists of non-pharmacological interventions, such as </w:t>
      </w:r>
      <w:r w:rsidRPr="008A0437">
        <w:rPr>
          <w:bCs/>
          <w:szCs w:val="22"/>
        </w:rPr>
        <w:t>pulmonary rehabilitation</w:t>
      </w:r>
      <w:r w:rsidR="003264F6" w:rsidRPr="008A0437">
        <w:rPr>
          <w:bCs/>
          <w:szCs w:val="22"/>
        </w:rPr>
        <w:t xml:space="preserve"> and oxygen therapy and, in a small proportion of patients</w:t>
      </w:r>
      <w:r w:rsidRPr="008A0437">
        <w:rPr>
          <w:bCs/>
          <w:szCs w:val="22"/>
        </w:rPr>
        <w:t>, lung transplantation. The PBAC noted that this advice was supportive of the evidence provided in the submission.</w:t>
      </w:r>
    </w:p>
    <w:p w:rsidR="00175621" w:rsidRPr="008A0437" w:rsidRDefault="00175621" w:rsidP="00915C99">
      <w:pPr>
        <w:widowControl/>
        <w:contextualSpacing/>
        <w:rPr>
          <w:bCs/>
          <w:szCs w:val="22"/>
          <w:highlight w:val="yellow"/>
        </w:rPr>
      </w:pPr>
    </w:p>
    <w:p w:rsidR="00B60939" w:rsidRPr="008A0437" w:rsidRDefault="00B60939" w:rsidP="00915C99">
      <w:pPr>
        <w:pStyle w:val="Heading2"/>
        <w:keepNext/>
        <w:widowControl/>
        <w:rPr>
          <w:i/>
        </w:rPr>
      </w:pPr>
      <w:bookmarkStart w:id="6" w:name="_Toc459120719"/>
      <w:r w:rsidRPr="008A0437">
        <w:rPr>
          <w:i/>
        </w:rPr>
        <w:t>Clinical trials</w:t>
      </w:r>
      <w:bookmarkEnd w:id="6"/>
    </w:p>
    <w:p w:rsidR="00B60939" w:rsidRPr="008A0437" w:rsidRDefault="00B60939" w:rsidP="00915C99">
      <w:pPr>
        <w:keepNext/>
        <w:widowControl/>
        <w:rPr>
          <w:szCs w:val="22"/>
        </w:rPr>
      </w:pPr>
    </w:p>
    <w:p w:rsidR="007F1017" w:rsidRPr="008A0437" w:rsidRDefault="001610AA" w:rsidP="00915C99">
      <w:pPr>
        <w:pStyle w:val="ListParagraph"/>
        <w:widowControl/>
        <w:numPr>
          <w:ilvl w:val="1"/>
          <w:numId w:val="1"/>
        </w:numPr>
        <w:rPr>
          <w:szCs w:val="22"/>
        </w:rPr>
      </w:pPr>
      <w:r w:rsidRPr="008A0437">
        <w:t xml:space="preserve">As </w:t>
      </w:r>
      <w:r w:rsidR="00BF493A" w:rsidRPr="008A0437">
        <w:t xml:space="preserve">in </w:t>
      </w:r>
      <w:r w:rsidRPr="008A0437">
        <w:t xml:space="preserve">the November 2015 </w:t>
      </w:r>
      <w:r w:rsidR="00E91B50" w:rsidRPr="008A0437">
        <w:t>resubmission</w:t>
      </w:r>
      <w:r w:rsidRPr="008A0437">
        <w:t xml:space="preserve">, the current </w:t>
      </w:r>
      <w:r w:rsidR="00E91B50" w:rsidRPr="008A0437">
        <w:t>resubmission</w:t>
      </w:r>
      <w:r w:rsidRPr="008A0437">
        <w:t xml:space="preserve"> was based on three head-to-head trial randomised trials comparing nintedanib </w:t>
      </w:r>
      <w:r w:rsidR="00BF493A" w:rsidRPr="008A0437">
        <w:t xml:space="preserve">with </w:t>
      </w:r>
      <w:r w:rsidRPr="008A0437">
        <w:t>placebo: Trial</w:t>
      </w:r>
      <w:r w:rsidR="00335E50" w:rsidRPr="008A0437">
        <w:t> </w:t>
      </w:r>
      <w:r w:rsidRPr="008A0437">
        <w:t xml:space="preserve">30 (n=432), Trial 32 (n=515) and Trial 34 (n=551). An indirect comparison of </w:t>
      </w:r>
      <w:r w:rsidRPr="008A0437">
        <w:lastRenderedPageBreak/>
        <w:t xml:space="preserve">nintedanib and pirfenidone </w:t>
      </w:r>
      <w:r w:rsidR="00BF493A" w:rsidRPr="008A0437">
        <w:t>(</w:t>
      </w:r>
      <w:r w:rsidRPr="008A0437">
        <w:t xml:space="preserve">as </w:t>
      </w:r>
      <w:r w:rsidR="00BF493A" w:rsidRPr="008A0437">
        <w:t xml:space="preserve">per </w:t>
      </w:r>
      <w:r w:rsidRPr="008A0437">
        <w:t xml:space="preserve">the November 2015 </w:t>
      </w:r>
      <w:r w:rsidR="00E91B50" w:rsidRPr="008A0437">
        <w:t>resubmission</w:t>
      </w:r>
      <w:r w:rsidR="00BF493A" w:rsidRPr="008A0437">
        <w:t>)</w:t>
      </w:r>
      <w:r w:rsidRPr="008A0437">
        <w:t xml:space="preserve"> was presented in an attachment to the current </w:t>
      </w:r>
      <w:r w:rsidR="00E91B50" w:rsidRPr="008A0437">
        <w:t>resubmission</w:t>
      </w:r>
      <w:r w:rsidR="002A78FC">
        <w:t>.</w:t>
      </w:r>
    </w:p>
    <w:p w:rsidR="002865E4" w:rsidRPr="002A78FC" w:rsidRDefault="002865E4" w:rsidP="00915C99">
      <w:pPr>
        <w:widowControl/>
        <w:rPr>
          <w:szCs w:val="22"/>
        </w:rPr>
      </w:pPr>
    </w:p>
    <w:p w:rsidR="001C0E77" w:rsidRPr="008A0437" w:rsidRDefault="001B6188" w:rsidP="00915C99">
      <w:pPr>
        <w:pStyle w:val="ListParagraph"/>
        <w:widowControl/>
        <w:numPr>
          <w:ilvl w:val="1"/>
          <w:numId w:val="1"/>
        </w:numPr>
        <w:rPr>
          <w:szCs w:val="22"/>
        </w:rPr>
      </w:pPr>
      <w:r w:rsidRPr="008A0437">
        <w:rPr>
          <w:szCs w:val="22"/>
        </w:rPr>
        <w:t xml:space="preserve">Details of the trials presented in the </w:t>
      </w:r>
      <w:r w:rsidR="00E91B50" w:rsidRPr="008A0437">
        <w:rPr>
          <w:szCs w:val="22"/>
        </w:rPr>
        <w:t>resubmission</w:t>
      </w:r>
      <w:r w:rsidRPr="008A0437">
        <w:rPr>
          <w:szCs w:val="22"/>
        </w:rPr>
        <w:t xml:space="preserve"> are provided in </w:t>
      </w:r>
      <w:r w:rsidR="001118CE" w:rsidRPr="008A0437">
        <w:rPr>
          <w:szCs w:val="22"/>
        </w:rPr>
        <w:t>T</w:t>
      </w:r>
      <w:r w:rsidRPr="008A0437">
        <w:rPr>
          <w:szCs w:val="22"/>
        </w:rPr>
        <w:t xml:space="preserve">able </w:t>
      </w:r>
      <w:r w:rsidR="00BF493A" w:rsidRPr="008A0437">
        <w:rPr>
          <w:szCs w:val="22"/>
        </w:rPr>
        <w:t>2</w:t>
      </w:r>
      <w:r w:rsidR="002A78FC">
        <w:rPr>
          <w:szCs w:val="22"/>
        </w:rPr>
        <w:t>.</w:t>
      </w:r>
    </w:p>
    <w:p w:rsidR="00B16D9F" w:rsidRDefault="00B16D9F" w:rsidP="00915C99">
      <w:pPr>
        <w:keepNext/>
        <w:widowControl/>
        <w:ind w:firstLine="709"/>
        <w:rPr>
          <w:rStyle w:val="CommentReference"/>
        </w:rPr>
      </w:pPr>
    </w:p>
    <w:p w:rsidR="00527C30" w:rsidRPr="008A0437" w:rsidRDefault="00527C30" w:rsidP="00915C99">
      <w:pPr>
        <w:keepNext/>
        <w:widowControl/>
        <w:ind w:firstLine="709"/>
        <w:rPr>
          <w:rStyle w:val="CommentReference"/>
          <w:rFonts w:ascii="Arial" w:hAnsi="Arial"/>
          <w:b w:val="0"/>
          <w:sz w:val="22"/>
          <w:szCs w:val="22"/>
        </w:rPr>
      </w:pPr>
      <w:r w:rsidRPr="008A0437">
        <w:rPr>
          <w:rStyle w:val="CommentReference"/>
        </w:rPr>
        <w:t xml:space="preserve">Table </w:t>
      </w:r>
      <w:r w:rsidR="00BF493A" w:rsidRPr="008A0437">
        <w:rPr>
          <w:rStyle w:val="CommentReference"/>
        </w:rPr>
        <w:t>2</w:t>
      </w:r>
      <w:r w:rsidRPr="008A0437">
        <w:rPr>
          <w:rStyle w:val="CommentReference"/>
        </w:rPr>
        <w:t>: Trials and associated reports presented in the submission</w:t>
      </w:r>
    </w:p>
    <w:tbl>
      <w:tblPr>
        <w:tblW w:w="4589"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0"/>
        <w:gridCol w:w="5376"/>
        <w:gridCol w:w="1969"/>
      </w:tblGrid>
      <w:tr w:rsidR="00527C30" w:rsidRPr="008A0437" w:rsidTr="00527C30">
        <w:tc>
          <w:tcPr>
            <w:tcW w:w="594" w:type="pct"/>
          </w:tcPr>
          <w:p w:rsidR="00527C30" w:rsidRPr="008A0437" w:rsidRDefault="00527C30" w:rsidP="00915C99">
            <w:pPr>
              <w:keepNext/>
              <w:widowControl/>
              <w:jc w:val="left"/>
              <w:rPr>
                <w:rFonts w:ascii="Arial Narrow" w:hAnsi="Arial Narrow"/>
                <w:b/>
                <w:sz w:val="20"/>
              </w:rPr>
            </w:pPr>
            <w:r w:rsidRPr="008A0437">
              <w:rPr>
                <w:rFonts w:ascii="Arial Narrow" w:hAnsi="Arial Narrow"/>
                <w:b/>
                <w:sz w:val="20"/>
              </w:rPr>
              <w:t>Trial ID</w:t>
            </w:r>
          </w:p>
        </w:tc>
        <w:tc>
          <w:tcPr>
            <w:tcW w:w="3225" w:type="pct"/>
          </w:tcPr>
          <w:p w:rsidR="00527C30" w:rsidRPr="008A0437" w:rsidRDefault="00527C30" w:rsidP="00915C99">
            <w:pPr>
              <w:keepNext/>
              <w:widowControl/>
              <w:jc w:val="center"/>
              <w:rPr>
                <w:rFonts w:ascii="Arial Narrow" w:hAnsi="Arial Narrow"/>
                <w:b/>
                <w:sz w:val="20"/>
              </w:rPr>
            </w:pPr>
            <w:r w:rsidRPr="008A0437">
              <w:rPr>
                <w:rFonts w:ascii="Arial Narrow" w:hAnsi="Arial Narrow"/>
                <w:b/>
                <w:sz w:val="20"/>
              </w:rPr>
              <w:t>Protocol title/ Publication title</w:t>
            </w:r>
          </w:p>
        </w:tc>
        <w:tc>
          <w:tcPr>
            <w:tcW w:w="1181" w:type="pct"/>
          </w:tcPr>
          <w:p w:rsidR="00527C30" w:rsidRPr="008A0437" w:rsidRDefault="00527C30" w:rsidP="00915C99">
            <w:pPr>
              <w:keepNext/>
              <w:widowControl/>
              <w:jc w:val="center"/>
              <w:rPr>
                <w:rFonts w:ascii="Arial Narrow" w:hAnsi="Arial Narrow"/>
                <w:b/>
                <w:sz w:val="20"/>
              </w:rPr>
            </w:pPr>
            <w:r w:rsidRPr="008A0437">
              <w:rPr>
                <w:rFonts w:ascii="Arial Narrow" w:hAnsi="Arial Narrow"/>
                <w:b/>
                <w:sz w:val="20"/>
              </w:rPr>
              <w:t>Publication citation</w:t>
            </w:r>
          </w:p>
        </w:tc>
      </w:tr>
      <w:tr w:rsidR="00527C30" w:rsidRPr="008A0437" w:rsidTr="00527C30">
        <w:tc>
          <w:tcPr>
            <w:tcW w:w="5000" w:type="pct"/>
            <w:gridSpan w:val="3"/>
          </w:tcPr>
          <w:p w:rsidR="00527C30" w:rsidRPr="008A0437" w:rsidRDefault="00527C30" w:rsidP="00915C99">
            <w:pPr>
              <w:keepNext/>
              <w:widowControl/>
              <w:jc w:val="left"/>
              <w:rPr>
                <w:rFonts w:ascii="Arial Narrow" w:hAnsi="Arial Narrow"/>
                <w:b/>
                <w:sz w:val="20"/>
              </w:rPr>
            </w:pPr>
            <w:r w:rsidRPr="008A0437">
              <w:rPr>
                <w:rFonts w:ascii="Arial Narrow" w:hAnsi="Arial Narrow"/>
                <w:b/>
                <w:sz w:val="20"/>
              </w:rPr>
              <w:t>Nintedanib trials</w:t>
            </w:r>
          </w:p>
        </w:tc>
      </w:tr>
      <w:tr w:rsidR="00527C30" w:rsidRPr="008A0437" w:rsidTr="00527C30">
        <w:trPr>
          <w:trHeight w:val="167"/>
        </w:trPr>
        <w:tc>
          <w:tcPr>
            <w:tcW w:w="594" w:type="pct"/>
            <w:vMerge w:val="restart"/>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Trial 30</w:t>
            </w:r>
          </w:p>
        </w:tc>
        <w:tc>
          <w:tcPr>
            <w:tcW w:w="3225" w:type="pct"/>
            <w:tcBorders>
              <w:bottom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 xml:space="preserve">A 52 week, double blind, randomized, placebo-controlled trial evaluating the effect of BIBF 1120 administered at oral doses of 50mg qd, 50mg bid, 100mg bid and 150mg bid on Forced Vital Capacity decline during one year, in patients with Idiopathic Pulmonary Fibrosis, with optional active treatment extension until last patient out.  </w:t>
            </w:r>
          </w:p>
          <w:p w:rsidR="00527C30" w:rsidRPr="008A0437" w:rsidRDefault="00527C30" w:rsidP="00915C99">
            <w:pPr>
              <w:keepNext/>
              <w:widowControl/>
              <w:jc w:val="left"/>
              <w:rPr>
                <w:rFonts w:ascii="Arial Narrow" w:hAnsi="Arial Narrow"/>
                <w:sz w:val="20"/>
              </w:rPr>
            </w:pPr>
          </w:p>
        </w:tc>
        <w:tc>
          <w:tcPr>
            <w:tcW w:w="1181" w:type="pct"/>
            <w:tcBorders>
              <w:bottom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25 February 2011</w:t>
            </w:r>
          </w:p>
        </w:tc>
      </w:tr>
      <w:tr w:rsidR="00527C30" w:rsidRPr="008A0437" w:rsidTr="00527C30">
        <w:trPr>
          <w:trHeight w:val="450"/>
        </w:trPr>
        <w:tc>
          <w:tcPr>
            <w:tcW w:w="594" w:type="pct"/>
            <w:vMerge/>
          </w:tcPr>
          <w:p w:rsidR="00527C30" w:rsidRPr="008A0437" w:rsidRDefault="00527C30" w:rsidP="00915C99">
            <w:pPr>
              <w:keepNext/>
              <w:widowControl/>
              <w:jc w:val="left"/>
              <w:rPr>
                <w:rFonts w:ascii="Arial Narrow" w:hAnsi="Arial Narrow"/>
                <w:sz w:val="20"/>
              </w:rPr>
            </w:pPr>
          </w:p>
        </w:tc>
        <w:tc>
          <w:tcPr>
            <w:tcW w:w="3225" w:type="pct"/>
            <w:tcBorders>
              <w:top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Richeldi L, Costabel U, Selman M, Kim DS, Hansell DM, Nicholson AG, Brown KK, Flaherty KR, Noble PW, Raghu G, Brun M, Gupta A, Juhel N, Klüglich M, du Bois RM.  Efficacy of a tyrosine Kinase Inhibitor in Idiopathic Pulmonary Fibrosis</w:t>
            </w:r>
          </w:p>
        </w:tc>
        <w:tc>
          <w:tcPr>
            <w:tcW w:w="1181" w:type="pct"/>
            <w:tcBorders>
              <w:top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i/>
                <w:sz w:val="20"/>
              </w:rPr>
              <w:t xml:space="preserve">The New England Journal of Medicine. </w:t>
            </w:r>
            <w:r w:rsidRPr="008A0437">
              <w:rPr>
                <w:rFonts w:ascii="Arial Narrow" w:hAnsi="Arial Narrow"/>
                <w:sz w:val="20"/>
              </w:rPr>
              <w:t>2011; 365 (12): 1079-1087</w:t>
            </w:r>
          </w:p>
        </w:tc>
      </w:tr>
      <w:tr w:rsidR="00527C30" w:rsidRPr="008A0437" w:rsidTr="00527C30">
        <w:trPr>
          <w:trHeight w:val="70"/>
        </w:trPr>
        <w:tc>
          <w:tcPr>
            <w:tcW w:w="594" w:type="pct"/>
            <w:vMerge w:val="restart"/>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Trial 32</w:t>
            </w:r>
          </w:p>
        </w:tc>
        <w:tc>
          <w:tcPr>
            <w:tcW w:w="3225" w:type="pct"/>
            <w:tcBorders>
              <w:bottom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A 52 weeks, double blind, randomized, placebo-controlled trial evaluating the effect of oral BIBF 1120, 150mg twice daily, on annual Forced Vital Capacity decline, in patients with Idiopathic Pulmonary Fibrosis (IPF)</w:t>
            </w:r>
          </w:p>
          <w:p w:rsidR="00527C30" w:rsidRPr="008A0437" w:rsidRDefault="00527C30" w:rsidP="00915C99">
            <w:pPr>
              <w:keepNext/>
              <w:widowControl/>
              <w:jc w:val="left"/>
              <w:rPr>
                <w:rFonts w:ascii="Arial Narrow" w:hAnsi="Arial Narrow"/>
                <w:sz w:val="20"/>
              </w:rPr>
            </w:pPr>
          </w:p>
        </w:tc>
        <w:tc>
          <w:tcPr>
            <w:tcW w:w="1181" w:type="pct"/>
            <w:tcBorders>
              <w:bottom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08 April 2014</w:t>
            </w:r>
          </w:p>
        </w:tc>
      </w:tr>
      <w:tr w:rsidR="00527C30" w:rsidRPr="008A0437" w:rsidTr="00527C30">
        <w:trPr>
          <w:trHeight w:val="349"/>
        </w:trPr>
        <w:tc>
          <w:tcPr>
            <w:tcW w:w="594" w:type="pct"/>
            <w:vMerge/>
          </w:tcPr>
          <w:p w:rsidR="00527C30" w:rsidRPr="008A0437" w:rsidRDefault="00527C30" w:rsidP="00915C99">
            <w:pPr>
              <w:keepNext/>
              <w:widowControl/>
              <w:jc w:val="left"/>
              <w:rPr>
                <w:rFonts w:ascii="Arial Narrow" w:hAnsi="Arial Narrow"/>
                <w:sz w:val="20"/>
              </w:rPr>
            </w:pPr>
          </w:p>
        </w:tc>
        <w:tc>
          <w:tcPr>
            <w:tcW w:w="3225" w:type="pct"/>
            <w:tcBorders>
              <w:top w:val="nil"/>
              <w:bottom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Richeldi L, Cottin V, Flaherty KR, Kolb M, Inoue Y, Raghu G, Taniguchi H, Hansell DM, Nicholson AG, Le Maulf F, Stowasser S, Collard HR.  Design of the INPULSIS™ trials: two phase 3 trials of nintedanib in patients with idiopathic pulmonary fibrosis.</w:t>
            </w:r>
          </w:p>
          <w:p w:rsidR="00527C30" w:rsidRPr="008A0437" w:rsidRDefault="00527C30" w:rsidP="00915C99">
            <w:pPr>
              <w:keepNext/>
              <w:widowControl/>
              <w:jc w:val="left"/>
              <w:rPr>
                <w:rFonts w:ascii="Arial Narrow" w:hAnsi="Arial Narrow"/>
                <w:sz w:val="20"/>
              </w:rPr>
            </w:pPr>
          </w:p>
        </w:tc>
        <w:tc>
          <w:tcPr>
            <w:tcW w:w="1181" w:type="pct"/>
            <w:tcBorders>
              <w:top w:val="nil"/>
              <w:bottom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i/>
                <w:sz w:val="20"/>
              </w:rPr>
              <w:t>Respiratory Medicine</w:t>
            </w:r>
            <w:r w:rsidRPr="008A0437">
              <w:rPr>
                <w:rFonts w:ascii="Arial Narrow" w:hAnsi="Arial Narrow"/>
                <w:sz w:val="20"/>
              </w:rPr>
              <w:t>. 2014; 108(7): 1023-1030</w:t>
            </w:r>
          </w:p>
        </w:tc>
      </w:tr>
      <w:tr w:rsidR="00527C30" w:rsidRPr="008A0437" w:rsidTr="00527C30">
        <w:tc>
          <w:tcPr>
            <w:tcW w:w="594" w:type="pct"/>
            <w:vMerge/>
          </w:tcPr>
          <w:p w:rsidR="00527C30" w:rsidRPr="008A0437" w:rsidRDefault="00527C30" w:rsidP="00915C99">
            <w:pPr>
              <w:keepNext/>
              <w:widowControl/>
              <w:jc w:val="left"/>
              <w:rPr>
                <w:rFonts w:ascii="Arial Narrow" w:hAnsi="Arial Narrow"/>
                <w:sz w:val="20"/>
              </w:rPr>
            </w:pPr>
          </w:p>
        </w:tc>
        <w:tc>
          <w:tcPr>
            <w:tcW w:w="3225" w:type="pct"/>
            <w:tcBorders>
              <w:top w:val="nil"/>
              <w:bottom w:val="single" w:sz="4" w:space="0" w:color="auto"/>
            </w:tcBorders>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Richeldi L, du Bois RM, Raghu G, Azuma A, Brown KK, Costabel U, Cottin V, Flaherty KR, Hansell DM, Inoue Y, Kim DS, Kolb M, Nicholson AG, Noble PW, Selman M, Taniguchi H, Brun M, Le Maulf F, Girard M, Stowasser S, Schlenker-Herceg R, Disse B, Collard HR; INPULSIS Trial Investigators.  Efficacy and safety of nintedanib in idiopathic pulmonary fibrosis</w:t>
            </w:r>
          </w:p>
        </w:tc>
        <w:tc>
          <w:tcPr>
            <w:tcW w:w="1181" w:type="pct"/>
            <w:tcBorders>
              <w:top w:val="nil"/>
              <w:bottom w:val="single" w:sz="4" w:space="0" w:color="auto"/>
            </w:tcBorders>
          </w:tcPr>
          <w:p w:rsidR="00527C30" w:rsidRPr="008A0437" w:rsidRDefault="00527C30" w:rsidP="00915C99">
            <w:pPr>
              <w:keepNext/>
              <w:widowControl/>
              <w:jc w:val="left"/>
              <w:rPr>
                <w:rFonts w:ascii="Arial Narrow" w:hAnsi="Arial Narrow"/>
                <w:sz w:val="20"/>
              </w:rPr>
            </w:pPr>
            <w:r w:rsidRPr="008A0437">
              <w:rPr>
                <w:rFonts w:ascii="Arial Narrow" w:hAnsi="Arial Narrow"/>
                <w:i/>
                <w:sz w:val="20"/>
              </w:rPr>
              <w:t xml:space="preserve">The New England Journal of Medicine. </w:t>
            </w:r>
            <w:r w:rsidRPr="008A0437">
              <w:rPr>
                <w:rFonts w:ascii="Arial Narrow" w:hAnsi="Arial Narrow"/>
                <w:sz w:val="20"/>
              </w:rPr>
              <w:t>2014; 370(22): 2071-2082</w:t>
            </w:r>
          </w:p>
        </w:tc>
      </w:tr>
      <w:tr w:rsidR="00527C30" w:rsidRPr="008A0437" w:rsidTr="00527C30">
        <w:tc>
          <w:tcPr>
            <w:tcW w:w="594" w:type="pct"/>
            <w:vMerge w:val="restart"/>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Trial 34</w:t>
            </w:r>
          </w:p>
        </w:tc>
        <w:tc>
          <w:tcPr>
            <w:tcW w:w="3225" w:type="pct"/>
            <w:tcBorders>
              <w:bottom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A 52 weeks, double blind, randomized, placebo-controlled trial evaluating the effect of oral BIBF 1120, 150mg twice daily, on annual Forced Vital Capacity decline, in patients with Idiopathic Pulmonary Fibrosis (IPF)</w:t>
            </w:r>
          </w:p>
          <w:p w:rsidR="00527C30" w:rsidRPr="008A0437" w:rsidRDefault="00527C30" w:rsidP="00915C99">
            <w:pPr>
              <w:keepNext/>
              <w:widowControl/>
              <w:jc w:val="left"/>
              <w:rPr>
                <w:rFonts w:ascii="Arial Narrow" w:hAnsi="Arial Narrow"/>
                <w:sz w:val="20"/>
              </w:rPr>
            </w:pPr>
          </w:p>
        </w:tc>
        <w:tc>
          <w:tcPr>
            <w:tcW w:w="1181" w:type="pct"/>
            <w:tcBorders>
              <w:bottom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08 April 2014</w:t>
            </w:r>
          </w:p>
        </w:tc>
      </w:tr>
      <w:tr w:rsidR="00527C30" w:rsidRPr="008A0437" w:rsidTr="00527C30">
        <w:tc>
          <w:tcPr>
            <w:tcW w:w="594" w:type="pct"/>
            <w:vMerge/>
          </w:tcPr>
          <w:p w:rsidR="00527C30" w:rsidRPr="008A0437" w:rsidRDefault="00527C30" w:rsidP="00915C99">
            <w:pPr>
              <w:keepNext/>
              <w:widowControl/>
              <w:jc w:val="left"/>
              <w:rPr>
                <w:rFonts w:ascii="Arial Narrow" w:hAnsi="Arial Narrow"/>
                <w:sz w:val="20"/>
              </w:rPr>
            </w:pPr>
          </w:p>
        </w:tc>
        <w:tc>
          <w:tcPr>
            <w:tcW w:w="3225" w:type="pct"/>
            <w:tcBorders>
              <w:top w:val="nil"/>
              <w:bottom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Richeldi L, Cottin V, Flaherty KR, Kolb M, Inoue Y, Raghu G, Taniguchi H, Hansell DM, Nicholson AG, Le Maulf F, Stowasser S, Collard HR.  Design of the INPULSIS™ trials: two phase 3 trials of nintedanib in patients with idiopathic pulmonary fibrosis.</w:t>
            </w:r>
          </w:p>
          <w:p w:rsidR="00527C30" w:rsidRPr="008A0437" w:rsidRDefault="00527C30" w:rsidP="00915C99">
            <w:pPr>
              <w:keepNext/>
              <w:widowControl/>
              <w:jc w:val="left"/>
              <w:rPr>
                <w:rFonts w:ascii="Arial Narrow" w:hAnsi="Arial Narrow"/>
                <w:sz w:val="20"/>
              </w:rPr>
            </w:pPr>
          </w:p>
        </w:tc>
        <w:tc>
          <w:tcPr>
            <w:tcW w:w="1181" w:type="pct"/>
            <w:tcBorders>
              <w:top w:val="nil"/>
              <w:bottom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i/>
                <w:sz w:val="20"/>
              </w:rPr>
              <w:t>Respiratory Medicine</w:t>
            </w:r>
            <w:r w:rsidRPr="008A0437">
              <w:rPr>
                <w:rFonts w:ascii="Arial Narrow" w:hAnsi="Arial Narrow"/>
                <w:sz w:val="20"/>
              </w:rPr>
              <w:t>. 2014; 108(7): 1023-1030</w:t>
            </w:r>
          </w:p>
        </w:tc>
      </w:tr>
      <w:tr w:rsidR="00527C30" w:rsidRPr="008A0437" w:rsidTr="00527C30">
        <w:tc>
          <w:tcPr>
            <w:tcW w:w="594" w:type="pct"/>
            <w:vMerge/>
          </w:tcPr>
          <w:p w:rsidR="00527C30" w:rsidRPr="008A0437" w:rsidRDefault="00527C30" w:rsidP="00915C99">
            <w:pPr>
              <w:keepNext/>
              <w:widowControl/>
              <w:jc w:val="left"/>
              <w:rPr>
                <w:rFonts w:ascii="Arial Narrow" w:hAnsi="Arial Narrow"/>
                <w:sz w:val="20"/>
              </w:rPr>
            </w:pPr>
          </w:p>
        </w:tc>
        <w:tc>
          <w:tcPr>
            <w:tcW w:w="3225" w:type="pct"/>
            <w:tcBorders>
              <w:top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sz w:val="20"/>
              </w:rPr>
              <w:t>Richeldi L, du Bois RM, Raghu G, Azuma A, Brown KK, Costabel U, Cottin V, Flaherty KR, Hansell DM, Inoue Y, Kim DS, Kolb M, Nicholson AG, Noble PW, Selman M, Taniguchi H, Brun M, Le Maulf F, Girard M, Stowasser S, Schlenker-Herceg R, Disse B, Collard HR; INPULSIS Trial Investigators.  Efficacy and safety of nintedanib in idiopathic pulmonary fibrosis</w:t>
            </w:r>
          </w:p>
        </w:tc>
        <w:tc>
          <w:tcPr>
            <w:tcW w:w="1181" w:type="pct"/>
            <w:tcBorders>
              <w:top w:val="nil"/>
            </w:tcBorders>
          </w:tcPr>
          <w:p w:rsidR="00527C30" w:rsidRPr="008A0437" w:rsidRDefault="00527C30" w:rsidP="00915C99">
            <w:pPr>
              <w:keepNext/>
              <w:widowControl/>
              <w:jc w:val="left"/>
              <w:rPr>
                <w:rFonts w:ascii="Arial Narrow" w:hAnsi="Arial Narrow"/>
                <w:sz w:val="20"/>
              </w:rPr>
            </w:pPr>
            <w:r w:rsidRPr="008A0437">
              <w:rPr>
                <w:rFonts w:ascii="Arial Narrow" w:hAnsi="Arial Narrow"/>
                <w:i/>
                <w:sz w:val="20"/>
              </w:rPr>
              <w:t xml:space="preserve">The New England Journal of Medicine. </w:t>
            </w:r>
            <w:r w:rsidRPr="008A0437">
              <w:rPr>
                <w:rFonts w:ascii="Arial Narrow" w:hAnsi="Arial Narrow"/>
                <w:sz w:val="20"/>
              </w:rPr>
              <w:t>2014; 370(22): 2071-2082</w:t>
            </w:r>
          </w:p>
        </w:tc>
      </w:tr>
    </w:tbl>
    <w:p w:rsidR="00527C30" w:rsidRPr="008A0437" w:rsidRDefault="00527C30" w:rsidP="00915C99">
      <w:pPr>
        <w:pStyle w:val="TableFooter"/>
        <w:widowControl/>
        <w:ind w:left="720"/>
      </w:pPr>
      <w:r w:rsidRPr="008A0437">
        <w:t xml:space="preserve">Source: Table B.2-2, p38-39 of the current </w:t>
      </w:r>
      <w:r w:rsidR="00E91B50" w:rsidRPr="008A0437">
        <w:t>resubmission</w:t>
      </w:r>
    </w:p>
    <w:p w:rsidR="001B6188" w:rsidRPr="008A0437" w:rsidRDefault="001A3EAB" w:rsidP="00915C99">
      <w:pPr>
        <w:pStyle w:val="ListParagraph"/>
        <w:widowControl/>
        <w:numPr>
          <w:ilvl w:val="1"/>
          <w:numId w:val="1"/>
        </w:numPr>
        <w:rPr>
          <w:szCs w:val="22"/>
        </w:rPr>
      </w:pPr>
      <w:r w:rsidRPr="008A0437">
        <w:rPr>
          <w:szCs w:val="22"/>
        </w:rPr>
        <w:br w:type="page"/>
      </w:r>
      <w:r w:rsidR="00961AF9" w:rsidRPr="008A0437">
        <w:rPr>
          <w:szCs w:val="22"/>
        </w:rPr>
        <w:lastRenderedPageBreak/>
        <w:t>The key features</w:t>
      </w:r>
      <w:r w:rsidR="00F72BB3" w:rsidRPr="008A0437">
        <w:rPr>
          <w:szCs w:val="22"/>
        </w:rPr>
        <w:t xml:space="preserve"> of the direct randomised trials</w:t>
      </w:r>
      <w:r w:rsidR="00961AF9" w:rsidRPr="008A0437">
        <w:rPr>
          <w:szCs w:val="22"/>
        </w:rPr>
        <w:t xml:space="preserve"> are summarised in </w:t>
      </w:r>
      <w:r w:rsidR="00D64ACB" w:rsidRPr="008A0437">
        <w:rPr>
          <w:szCs w:val="22"/>
        </w:rPr>
        <w:t xml:space="preserve">Table </w:t>
      </w:r>
      <w:r w:rsidR="00BF493A" w:rsidRPr="008A0437">
        <w:rPr>
          <w:szCs w:val="22"/>
        </w:rPr>
        <w:t>3</w:t>
      </w:r>
      <w:r w:rsidR="002A78FC">
        <w:rPr>
          <w:szCs w:val="22"/>
        </w:rPr>
        <w:t>.</w:t>
      </w:r>
    </w:p>
    <w:p w:rsidR="007F1017" w:rsidRPr="008A0437" w:rsidRDefault="007F1017" w:rsidP="00915C99">
      <w:pPr>
        <w:widowControl/>
        <w:rPr>
          <w:szCs w:val="22"/>
        </w:rPr>
      </w:pPr>
    </w:p>
    <w:p w:rsidR="001610AA" w:rsidRPr="008A0437" w:rsidRDefault="001610AA" w:rsidP="00915C99">
      <w:pPr>
        <w:keepNext/>
        <w:widowControl/>
        <w:ind w:firstLine="720"/>
        <w:rPr>
          <w:rStyle w:val="CommentReference"/>
        </w:rPr>
      </w:pPr>
      <w:r w:rsidRPr="008A0437">
        <w:rPr>
          <w:rStyle w:val="CommentReference"/>
        </w:rPr>
        <w:t xml:space="preserve">Table </w:t>
      </w:r>
      <w:r w:rsidR="00BF493A" w:rsidRPr="008A0437">
        <w:rPr>
          <w:rStyle w:val="CommentReference"/>
        </w:rPr>
        <w:t>3</w:t>
      </w:r>
      <w:r w:rsidRPr="008A0437">
        <w:rPr>
          <w:rStyle w:val="CommentReference"/>
        </w:rPr>
        <w:t>: Key features of the included evidence</w:t>
      </w:r>
    </w:p>
    <w:tbl>
      <w:tblPr>
        <w:tblW w:w="460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2"/>
        <w:gridCol w:w="428"/>
        <w:gridCol w:w="1694"/>
        <w:gridCol w:w="707"/>
        <w:gridCol w:w="991"/>
        <w:gridCol w:w="1275"/>
        <w:gridCol w:w="2548"/>
      </w:tblGrid>
      <w:tr w:rsidR="001610AA" w:rsidRPr="008A0437" w:rsidTr="001610AA">
        <w:trPr>
          <w:tblHeader/>
        </w:trPr>
        <w:tc>
          <w:tcPr>
            <w:tcW w:w="426"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left"/>
            </w:pPr>
            <w:r w:rsidRPr="008A0437">
              <w:rPr>
                <w:rFonts w:ascii="Arial Narrow" w:hAnsi="Arial Narrow"/>
                <w:b/>
                <w:sz w:val="20"/>
              </w:rPr>
              <w:t>Trial</w:t>
            </w:r>
          </w:p>
        </w:tc>
        <w:tc>
          <w:tcPr>
            <w:tcW w:w="256"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b/>
                <w:sz w:val="20"/>
              </w:rPr>
            </w:pPr>
            <w:r w:rsidRPr="008A0437">
              <w:rPr>
                <w:rFonts w:ascii="Arial Narrow" w:hAnsi="Arial Narrow"/>
                <w:b/>
                <w:sz w:val="20"/>
              </w:rPr>
              <w:t>N</w:t>
            </w:r>
          </w:p>
        </w:tc>
        <w:tc>
          <w:tcPr>
            <w:tcW w:w="1014"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b/>
                <w:sz w:val="20"/>
              </w:rPr>
            </w:pPr>
            <w:r w:rsidRPr="008A0437">
              <w:rPr>
                <w:rFonts w:ascii="Arial Narrow" w:hAnsi="Arial Narrow"/>
                <w:b/>
                <w:sz w:val="20"/>
              </w:rPr>
              <w:t>Design/ duration</w:t>
            </w:r>
          </w:p>
        </w:tc>
        <w:tc>
          <w:tcPr>
            <w:tcW w:w="423"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b/>
                <w:sz w:val="20"/>
              </w:rPr>
            </w:pPr>
            <w:r w:rsidRPr="008A0437">
              <w:rPr>
                <w:rFonts w:ascii="Arial Narrow" w:hAnsi="Arial Narrow"/>
                <w:b/>
                <w:sz w:val="20"/>
              </w:rPr>
              <w:t>Risk of bias</w:t>
            </w:r>
          </w:p>
        </w:tc>
        <w:tc>
          <w:tcPr>
            <w:tcW w:w="593"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b/>
                <w:sz w:val="20"/>
              </w:rPr>
            </w:pPr>
            <w:r w:rsidRPr="008A0437">
              <w:rPr>
                <w:rFonts w:ascii="Arial Narrow" w:hAnsi="Arial Narrow"/>
                <w:b/>
                <w:sz w:val="20"/>
              </w:rPr>
              <w:t>Patient population</w:t>
            </w:r>
          </w:p>
        </w:tc>
        <w:tc>
          <w:tcPr>
            <w:tcW w:w="763"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b/>
                <w:sz w:val="20"/>
              </w:rPr>
            </w:pPr>
            <w:r w:rsidRPr="008A0437">
              <w:rPr>
                <w:rFonts w:ascii="Arial Narrow" w:hAnsi="Arial Narrow"/>
                <w:b/>
                <w:sz w:val="20"/>
              </w:rPr>
              <w:t>Outcomes</w:t>
            </w:r>
          </w:p>
        </w:tc>
        <w:tc>
          <w:tcPr>
            <w:tcW w:w="1525"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b/>
                <w:sz w:val="20"/>
              </w:rPr>
            </w:pPr>
            <w:r w:rsidRPr="008A0437">
              <w:rPr>
                <w:rFonts w:ascii="Arial Narrow" w:hAnsi="Arial Narrow"/>
                <w:b/>
                <w:sz w:val="20"/>
              </w:rPr>
              <w:t xml:space="preserve">Use in </w:t>
            </w:r>
            <w:r w:rsidR="00BF493A" w:rsidRPr="008A0437">
              <w:rPr>
                <w:rFonts w:ascii="Arial Narrow" w:hAnsi="Arial Narrow"/>
                <w:b/>
                <w:sz w:val="20"/>
              </w:rPr>
              <w:t xml:space="preserve">the economic </w:t>
            </w:r>
            <w:r w:rsidRPr="008A0437">
              <w:rPr>
                <w:rFonts w:ascii="Arial Narrow" w:hAnsi="Arial Narrow"/>
                <w:b/>
                <w:sz w:val="20"/>
              </w:rPr>
              <w:t>evaluation</w:t>
            </w:r>
          </w:p>
        </w:tc>
      </w:tr>
      <w:tr w:rsidR="001610AA" w:rsidRPr="008A0437" w:rsidTr="001610AA">
        <w:tc>
          <w:tcPr>
            <w:tcW w:w="426"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left"/>
              <w:rPr>
                <w:rFonts w:ascii="Arial Narrow" w:hAnsi="Arial Narrow"/>
                <w:sz w:val="20"/>
              </w:rPr>
            </w:pPr>
            <w:r w:rsidRPr="008A0437">
              <w:rPr>
                <w:rFonts w:ascii="Arial Narrow" w:hAnsi="Arial Narrow"/>
                <w:sz w:val="20"/>
              </w:rPr>
              <w:t>Trial 30</w:t>
            </w:r>
          </w:p>
        </w:tc>
        <w:tc>
          <w:tcPr>
            <w:tcW w:w="256"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sz w:val="20"/>
              </w:rPr>
            </w:pPr>
            <w:r w:rsidRPr="008A0437">
              <w:rPr>
                <w:rFonts w:ascii="Arial Narrow" w:hAnsi="Arial Narrow"/>
                <w:sz w:val="20"/>
              </w:rPr>
              <w:t>432</w:t>
            </w:r>
          </w:p>
        </w:tc>
        <w:tc>
          <w:tcPr>
            <w:tcW w:w="1014"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sz w:val="20"/>
              </w:rPr>
            </w:pPr>
            <w:r w:rsidRPr="008A0437">
              <w:rPr>
                <w:rFonts w:ascii="Arial Narrow" w:hAnsi="Arial Narrow"/>
                <w:sz w:val="20"/>
              </w:rPr>
              <w:t>R, DB, MC, MN, phase 2 dose finding trial; 52 weeks</w:t>
            </w:r>
          </w:p>
        </w:tc>
        <w:tc>
          <w:tcPr>
            <w:tcW w:w="423"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i/>
                <w:sz w:val="20"/>
              </w:rPr>
            </w:pPr>
            <w:r w:rsidRPr="008A0437">
              <w:rPr>
                <w:rFonts w:ascii="Arial Narrow" w:hAnsi="Arial Narrow"/>
                <w:sz w:val="20"/>
              </w:rPr>
              <w:t>High^</w:t>
            </w:r>
          </w:p>
        </w:tc>
        <w:tc>
          <w:tcPr>
            <w:tcW w:w="593"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sz w:val="20"/>
              </w:rPr>
            </w:pPr>
            <w:r w:rsidRPr="008A0437">
              <w:rPr>
                <w:rFonts w:ascii="Arial Narrow" w:hAnsi="Arial Narrow"/>
                <w:sz w:val="20"/>
              </w:rPr>
              <w:t>IPF</w:t>
            </w:r>
          </w:p>
        </w:tc>
        <w:tc>
          <w:tcPr>
            <w:tcW w:w="763" w:type="pct"/>
            <w:vMerge w:val="restar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sz w:val="20"/>
              </w:rPr>
            </w:pPr>
            <w:r w:rsidRPr="008A0437">
              <w:rPr>
                <w:rFonts w:ascii="Arial Narrow" w:hAnsi="Arial Narrow"/>
                <w:sz w:val="20"/>
              </w:rPr>
              <w:t xml:space="preserve">FVC: annual rate of decline, absolute change from baseline; FVC responder; Acute IPF exacerbation; Survival; SGRQ </w:t>
            </w:r>
          </w:p>
        </w:tc>
        <w:tc>
          <w:tcPr>
            <w:tcW w:w="1525"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sz w:val="20"/>
              </w:rPr>
            </w:pPr>
            <w:r w:rsidRPr="008A0437">
              <w:rPr>
                <w:rFonts w:ascii="Arial Narrow" w:hAnsi="Arial Narrow"/>
                <w:sz w:val="20"/>
              </w:rPr>
              <w:t>Kaplan Meier survival analysis: parametric extrapolation</w:t>
            </w:r>
          </w:p>
        </w:tc>
      </w:tr>
      <w:tr w:rsidR="001610AA" w:rsidRPr="008A0437" w:rsidTr="001610AA">
        <w:trPr>
          <w:trHeight w:val="562"/>
        </w:trPr>
        <w:tc>
          <w:tcPr>
            <w:tcW w:w="426"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left"/>
              <w:rPr>
                <w:rFonts w:ascii="Arial Narrow" w:hAnsi="Arial Narrow"/>
                <w:sz w:val="20"/>
              </w:rPr>
            </w:pPr>
            <w:r w:rsidRPr="008A0437">
              <w:rPr>
                <w:rFonts w:ascii="Arial Narrow" w:hAnsi="Arial Narrow"/>
                <w:sz w:val="20"/>
              </w:rPr>
              <w:t>Trial 32</w:t>
            </w:r>
          </w:p>
        </w:tc>
        <w:tc>
          <w:tcPr>
            <w:tcW w:w="256"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sz w:val="20"/>
              </w:rPr>
            </w:pPr>
            <w:r w:rsidRPr="008A0437">
              <w:rPr>
                <w:rFonts w:ascii="Arial Narrow" w:hAnsi="Arial Narrow"/>
                <w:sz w:val="20"/>
              </w:rPr>
              <w:t>515</w:t>
            </w:r>
          </w:p>
        </w:tc>
        <w:tc>
          <w:tcPr>
            <w:tcW w:w="1014" w:type="pct"/>
            <w:vMerge w:val="restar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sz w:val="20"/>
              </w:rPr>
            </w:pPr>
            <w:r w:rsidRPr="008A0437">
              <w:rPr>
                <w:rFonts w:ascii="Arial Narrow" w:hAnsi="Arial Narrow"/>
                <w:sz w:val="20"/>
              </w:rPr>
              <w:t>R, DB, MC, MN, phase 3</w:t>
            </w:r>
          </w:p>
        </w:tc>
        <w:tc>
          <w:tcPr>
            <w:tcW w:w="423" w:type="pct"/>
            <w:vMerge w:val="restar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sz w:val="20"/>
              </w:rPr>
            </w:pPr>
            <w:r w:rsidRPr="008A0437">
              <w:rPr>
                <w:rFonts w:ascii="Arial Narrow" w:hAnsi="Arial Narrow"/>
                <w:sz w:val="20"/>
              </w:rPr>
              <w:t>Low</w:t>
            </w:r>
          </w:p>
        </w:tc>
        <w:tc>
          <w:tcPr>
            <w:tcW w:w="593" w:type="pct"/>
            <w:vMerge w:val="restar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sz w:val="20"/>
              </w:rPr>
            </w:pPr>
            <w:r w:rsidRPr="008A0437">
              <w:rPr>
                <w:rFonts w:ascii="Arial Narrow" w:hAnsi="Arial Narrow"/>
                <w:sz w:val="20"/>
              </w:rPr>
              <w:t>IPF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widowControl/>
              <w:jc w:val="left"/>
              <w:rPr>
                <w:rFonts w:ascii="Arial Narrow" w:hAnsi="Arial Narrow"/>
                <w:sz w:val="20"/>
              </w:rPr>
            </w:pPr>
          </w:p>
        </w:tc>
        <w:tc>
          <w:tcPr>
            <w:tcW w:w="1525" w:type="pct"/>
            <w:vMerge w:val="restar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sz w:val="20"/>
              </w:rPr>
            </w:pPr>
            <w:r w:rsidRPr="008A0437">
              <w:rPr>
                <w:rFonts w:ascii="Arial Narrow" w:hAnsi="Arial Narrow"/>
                <w:sz w:val="20"/>
              </w:rPr>
              <w:t>Kaplan Meier survival analysis: parametric extrapolation; transition probabilities, cycle probabilities of adverse events; utilities: EQ-5D</w:t>
            </w:r>
          </w:p>
        </w:tc>
      </w:tr>
      <w:tr w:rsidR="001610AA" w:rsidRPr="008A0437" w:rsidTr="001610AA">
        <w:tc>
          <w:tcPr>
            <w:tcW w:w="426"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left"/>
              <w:rPr>
                <w:rFonts w:ascii="Arial Narrow" w:hAnsi="Arial Narrow"/>
                <w:sz w:val="20"/>
              </w:rPr>
            </w:pPr>
            <w:r w:rsidRPr="008A0437">
              <w:rPr>
                <w:rFonts w:ascii="Arial Narrow" w:hAnsi="Arial Narrow"/>
                <w:sz w:val="20"/>
              </w:rPr>
              <w:t>Trial 34</w:t>
            </w:r>
          </w:p>
        </w:tc>
        <w:tc>
          <w:tcPr>
            <w:tcW w:w="256" w:type="pct"/>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keepNext/>
              <w:widowControl/>
              <w:jc w:val="center"/>
              <w:rPr>
                <w:rFonts w:ascii="Arial Narrow" w:hAnsi="Arial Narrow"/>
                <w:sz w:val="20"/>
              </w:rPr>
            </w:pPr>
            <w:r w:rsidRPr="008A0437">
              <w:rPr>
                <w:rFonts w:ascii="Arial Narrow" w:hAnsi="Arial Narrow"/>
                <w:sz w:val="20"/>
              </w:rPr>
              <w:t>551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widowControl/>
              <w:jc w:val="left"/>
              <w:rPr>
                <w:rFonts w:ascii="Arial Narrow" w:hAnsi="Arial Narrow"/>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widowControl/>
              <w:jc w:val="left"/>
              <w:rPr>
                <w:rFonts w:ascii="Arial Narrow" w:hAnsi="Arial Narrow"/>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widowControl/>
              <w:jc w:val="left"/>
              <w:rPr>
                <w:rFonts w:ascii="Arial Narrow" w:hAnsi="Arial Narrow"/>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widowControl/>
              <w:jc w:val="left"/>
              <w:rPr>
                <w:rFonts w:ascii="Arial Narrow" w:hAnsi="Arial Narrow"/>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10AA" w:rsidRPr="008A0437" w:rsidRDefault="001610AA" w:rsidP="00915C99">
            <w:pPr>
              <w:widowControl/>
              <w:jc w:val="left"/>
              <w:rPr>
                <w:rFonts w:ascii="Arial Narrow" w:hAnsi="Arial Narrow"/>
                <w:sz w:val="20"/>
              </w:rPr>
            </w:pPr>
          </w:p>
        </w:tc>
      </w:tr>
    </w:tbl>
    <w:p w:rsidR="001610AA" w:rsidRPr="008A0437" w:rsidRDefault="001610AA" w:rsidP="00915C99">
      <w:pPr>
        <w:pStyle w:val="TableFooter"/>
        <w:widowControl/>
        <w:ind w:left="720"/>
      </w:pPr>
      <w:r w:rsidRPr="008A0437">
        <w:t>^</w:t>
      </w:r>
      <w:r w:rsidRPr="008A0437">
        <w:rPr>
          <w:i/>
        </w:rPr>
        <w:t xml:space="preserve"> </w:t>
      </w:r>
      <w:r w:rsidRPr="008A0437">
        <w:t>High risk of bias associated with the analyses of FVC change from baseline</w:t>
      </w:r>
      <w:r w:rsidRPr="008A0437">
        <w:rPr>
          <w:i/>
        </w:rPr>
        <w:t xml:space="preserve">.  </w:t>
      </w:r>
      <w:r w:rsidRPr="008A0437">
        <w:t>Abbreviations: DB=double blind; FVC=forced vital capacity; IPF=idiopathic pulmonary fibrosis.  MC=multi-centre; MN=multinational; R=randomised; SGRQ=St George’s Respiratory Questionnaire. Source: compiled during the evaluation</w:t>
      </w:r>
      <w:r w:rsidR="00AA110B" w:rsidRPr="008A0437">
        <w:t>.</w:t>
      </w:r>
    </w:p>
    <w:p w:rsidR="00B60939" w:rsidRPr="008A0437" w:rsidRDefault="00B60939" w:rsidP="00915C99">
      <w:pPr>
        <w:widowControl/>
        <w:rPr>
          <w:szCs w:val="22"/>
        </w:rPr>
      </w:pPr>
    </w:p>
    <w:p w:rsidR="00B60939" w:rsidRPr="008A0437" w:rsidRDefault="00B60939" w:rsidP="00915C99">
      <w:pPr>
        <w:pStyle w:val="Heading2"/>
        <w:widowControl/>
        <w:rPr>
          <w:i/>
        </w:rPr>
      </w:pPr>
      <w:bookmarkStart w:id="7" w:name="_Toc459120720"/>
      <w:r w:rsidRPr="008A0437">
        <w:rPr>
          <w:i/>
        </w:rPr>
        <w:t>Comparative effectiveness</w:t>
      </w:r>
      <w:bookmarkEnd w:id="7"/>
    </w:p>
    <w:p w:rsidR="00B60939" w:rsidRPr="008A0437" w:rsidRDefault="00B60939" w:rsidP="00915C99">
      <w:pPr>
        <w:widowControl/>
        <w:rPr>
          <w:szCs w:val="22"/>
        </w:rPr>
      </w:pPr>
    </w:p>
    <w:p w:rsidR="00B60939" w:rsidRPr="008A0437" w:rsidRDefault="00915311" w:rsidP="00915C99">
      <w:pPr>
        <w:pStyle w:val="ListParagraph"/>
        <w:widowControl/>
        <w:numPr>
          <w:ilvl w:val="1"/>
          <w:numId w:val="1"/>
        </w:numPr>
        <w:rPr>
          <w:szCs w:val="22"/>
        </w:rPr>
      </w:pPr>
      <w:r w:rsidRPr="008A0437">
        <w:rPr>
          <w:szCs w:val="22"/>
          <w:u w:val="single"/>
        </w:rPr>
        <w:t>Direct comparison with placebo</w:t>
      </w:r>
      <w:r w:rsidRPr="008A0437">
        <w:rPr>
          <w:szCs w:val="22"/>
        </w:rPr>
        <w:t xml:space="preserve">: </w:t>
      </w:r>
      <w:r w:rsidR="00E32357" w:rsidRPr="008A0437">
        <w:rPr>
          <w:szCs w:val="22"/>
        </w:rPr>
        <w:t>Key results from the meta-analyses are presented in the table below</w:t>
      </w:r>
      <w:r w:rsidR="00BF493A" w:rsidRPr="008A0437">
        <w:rPr>
          <w:szCs w:val="22"/>
        </w:rPr>
        <w:t>; t</w:t>
      </w:r>
      <w:r w:rsidR="00BF0303" w:rsidRPr="008A0437">
        <w:rPr>
          <w:szCs w:val="22"/>
        </w:rPr>
        <w:t xml:space="preserve">hese have not changed since the </w:t>
      </w:r>
      <w:r w:rsidR="00931BC6" w:rsidRPr="008A0437">
        <w:rPr>
          <w:szCs w:val="22"/>
        </w:rPr>
        <w:t>March</w:t>
      </w:r>
      <w:r w:rsidR="00BF0303" w:rsidRPr="008A0437">
        <w:rPr>
          <w:szCs w:val="22"/>
        </w:rPr>
        <w:t xml:space="preserve"> 2015 submission.</w:t>
      </w:r>
    </w:p>
    <w:p w:rsidR="00E32357" w:rsidRPr="008A0437" w:rsidRDefault="00E32357" w:rsidP="00915C99">
      <w:pPr>
        <w:widowControl/>
        <w:rPr>
          <w:szCs w:val="22"/>
        </w:rPr>
      </w:pPr>
    </w:p>
    <w:p w:rsidR="00E32357" w:rsidRPr="008A0437" w:rsidRDefault="00E32357" w:rsidP="00915C99">
      <w:pPr>
        <w:widowControl/>
        <w:snapToGrid w:val="0"/>
        <w:ind w:firstLine="720"/>
        <w:rPr>
          <w:rFonts w:ascii="Arial Narrow" w:hAnsi="Arial Narrow"/>
          <w:b/>
          <w:snapToGrid/>
          <w:sz w:val="20"/>
          <w:szCs w:val="16"/>
        </w:rPr>
      </w:pPr>
      <w:r w:rsidRPr="008A0437">
        <w:rPr>
          <w:rFonts w:ascii="Arial Narrow" w:hAnsi="Arial Narrow"/>
          <w:b/>
          <w:snapToGrid/>
          <w:sz w:val="20"/>
          <w:szCs w:val="16"/>
        </w:rPr>
        <w:t xml:space="preserve">Table </w:t>
      </w:r>
      <w:r w:rsidR="00BF493A" w:rsidRPr="008A0437">
        <w:rPr>
          <w:rFonts w:ascii="Arial Narrow" w:hAnsi="Arial Narrow"/>
          <w:b/>
          <w:snapToGrid/>
          <w:sz w:val="20"/>
          <w:szCs w:val="16"/>
        </w:rPr>
        <w:t>4</w:t>
      </w:r>
      <w:r w:rsidRPr="008A0437">
        <w:rPr>
          <w:rFonts w:ascii="Arial Narrow" w:hAnsi="Arial Narrow"/>
          <w:b/>
          <w:snapToGrid/>
          <w:sz w:val="20"/>
          <w:szCs w:val="16"/>
        </w:rPr>
        <w:t xml:space="preserve">: Summary of the meta-analyses of key efficacy outcomes from the nintedanib trials  </w:t>
      </w:r>
    </w:p>
    <w:tbl>
      <w:tblPr>
        <w:tblStyle w:val="TableGrid"/>
        <w:tblW w:w="8363" w:type="dxa"/>
        <w:tblInd w:w="737" w:type="dxa"/>
        <w:tblCellMar>
          <w:left w:w="28" w:type="dxa"/>
          <w:right w:w="28" w:type="dxa"/>
        </w:tblCellMar>
        <w:tblLook w:val="04A0" w:firstRow="1" w:lastRow="0" w:firstColumn="1" w:lastColumn="0" w:noHBand="0" w:noVBand="1"/>
        <w:tblCaption w:val="Summary of meta-analyses of key efficacy outcomes for nintedanib"/>
      </w:tblPr>
      <w:tblGrid>
        <w:gridCol w:w="1418"/>
        <w:gridCol w:w="3827"/>
        <w:gridCol w:w="3118"/>
      </w:tblGrid>
      <w:tr w:rsidR="00E32357" w:rsidRPr="008A0437" w:rsidTr="00F1714F">
        <w:trPr>
          <w:tblHeader/>
        </w:trPr>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left"/>
              <w:rPr>
                <w:rFonts w:ascii="Arial Narrow" w:hAnsi="Arial Narrow"/>
                <w:b/>
                <w:snapToGrid/>
                <w:sz w:val="20"/>
                <w:szCs w:val="16"/>
              </w:rPr>
            </w:pPr>
            <w:r w:rsidRPr="008A0437">
              <w:rPr>
                <w:rFonts w:ascii="Arial Narrow" w:hAnsi="Arial Narrow"/>
                <w:b/>
                <w:snapToGrid/>
                <w:sz w:val="20"/>
                <w:szCs w:val="16"/>
              </w:rPr>
              <w:t>Outcome</w:t>
            </w:r>
          </w:p>
        </w:tc>
        <w:tc>
          <w:tcPr>
            <w:tcW w:w="3118" w:type="dxa"/>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center"/>
              <w:rPr>
                <w:rFonts w:ascii="Arial Narrow" w:hAnsi="Arial Narrow"/>
                <w:b/>
                <w:snapToGrid/>
                <w:sz w:val="20"/>
                <w:szCs w:val="16"/>
              </w:rPr>
            </w:pPr>
            <w:r w:rsidRPr="008A0437">
              <w:rPr>
                <w:rFonts w:ascii="Arial Narrow" w:hAnsi="Arial Narrow"/>
                <w:b/>
                <w:snapToGrid/>
                <w:sz w:val="20"/>
                <w:szCs w:val="16"/>
              </w:rPr>
              <w:t>Meta analyses (Trial 30, 32 &amp; 34)</w:t>
            </w:r>
          </w:p>
        </w:tc>
      </w:tr>
      <w:tr w:rsidR="00E32357" w:rsidRPr="008A0437" w:rsidTr="00E32357">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left"/>
              <w:rPr>
                <w:rFonts w:ascii="Arial Narrow" w:hAnsi="Arial Narrow"/>
                <w:snapToGrid/>
                <w:sz w:val="20"/>
                <w:szCs w:val="16"/>
              </w:rPr>
            </w:pPr>
            <w:r w:rsidRPr="008A0437">
              <w:rPr>
                <w:rFonts w:ascii="Arial Narrow" w:hAnsi="Arial Narrow"/>
                <w:snapToGrid/>
                <w:sz w:val="20"/>
                <w:szCs w:val="16"/>
              </w:rPr>
              <w:t>Annual rate of decline in FVC (ml/year)</w:t>
            </w:r>
          </w:p>
        </w:tc>
        <w:tc>
          <w:tcPr>
            <w:tcW w:w="3118" w:type="dxa"/>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center"/>
              <w:rPr>
                <w:rFonts w:ascii="Arial Narrow" w:hAnsi="Arial Narrow"/>
                <w:snapToGrid/>
                <w:sz w:val="20"/>
                <w:szCs w:val="16"/>
              </w:rPr>
            </w:pPr>
            <w:r w:rsidRPr="008A0437">
              <w:rPr>
                <w:rFonts w:ascii="Arial Narrow" w:hAnsi="Arial Narrow"/>
                <w:snapToGrid/>
                <w:sz w:val="20"/>
                <w:szCs w:val="16"/>
              </w:rPr>
              <w:t>MD (95% CI) = 118.89 (79.57, 144.21)</w:t>
            </w:r>
          </w:p>
        </w:tc>
      </w:tr>
      <w:tr w:rsidR="00E32357" w:rsidRPr="008A0437" w:rsidTr="00E32357">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E32357" w:rsidRPr="008A0437" w:rsidRDefault="00E50D1A" w:rsidP="00915C99">
            <w:pPr>
              <w:widowControl/>
              <w:snapToGrid w:val="0"/>
              <w:jc w:val="left"/>
              <w:rPr>
                <w:rFonts w:ascii="Arial Narrow" w:hAnsi="Arial Narrow"/>
                <w:snapToGrid/>
                <w:sz w:val="20"/>
                <w:szCs w:val="16"/>
              </w:rPr>
            </w:pPr>
            <w:r>
              <w:rPr>
                <w:rFonts w:ascii="Arial Narrow" w:hAnsi="Arial Narrow"/>
                <w:snapToGrid/>
                <w:sz w:val="20"/>
                <w:szCs w:val="16"/>
              </w:rPr>
              <w:t>Absolute change in FVC%p</w:t>
            </w:r>
            <w:r w:rsidR="00E32357" w:rsidRPr="008A0437">
              <w:rPr>
                <w:rFonts w:ascii="Arial Narrow" w:hAnsi="Arial Narrow"/>
                <w:snapToGrid/>
                <w:sz w:val="20"/>
                <w:szCs w:val="16"/>
              </w:rPr>
              <w:t>red from baseline to week 52</w:t>
            </w:r>
          </w:p>
        </w:tc>
        <w:tc>
          <w:tcPr>
            <w:tcW w:w="3118" w:type="dxa"/>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center"/>
              <w:rPr>
                <w:rFonts w:ascii="Arial Narrow" w:hAnsi="Arial Narrow"/>
                <w:snapToGrid/>
                <w:sz w:val="20"/>
                <w:szCs w:val="16"/>
              </w:rPr>
            </w:pPr>
            <w:r w:rsidRPr="008A0437">
              <w:rPr>
                <w:rFonts w:ascii="Arial Narrow" w:hAnsi="Arial Narrow"/>
                <w:snapToGrid/>
                <w:sz w:val="20"/>
                <w:szCs w:val="16"/>
              </w:rPr>
              <w:t>MD (95% CI) = 3.31 (2.46, 4.16)</w:t>
            </w:r>
          </w:p>
        </w:tc>
      </w:tr>
      <w:tr w:rsidR="00E32357" w:rsidRPr="008A0437" w:rsidTr="00E32357">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left"/>
              <w:rPr>
                <w:rFonts w:ascii="Arial Narrow" w:hAnsi="Arial Narrow"/>
                <w:snapToGrid/>
                <w:sz w:val="20"/>
                <w:szCs w:val="16"/>
              </w:rPr>
            </w:pPr>
            <w:r w:rsidRPr="008A0437">
              <w:rPr>
                <w:rFonts w:ascii="Arial Narrow" w:hAnsi="Arial Narrow"/>
                <w:snapToGrid/>
                <w:sz w:val="20"/>
                <w:szCs w:val="16"/>
              </w:rPr>
              <w:t xml:space="preserve">Proportion of </w:t>
            </w:r>
            <w:r w:rsidR="00E50D1A">
              <w:rPr>
                <w:rFonts w:ascii="Arial Narrow" w:hAnsi="Arial Narrow"/>
                <w:snapToGrid/>
                <w:sz w:val="20"/>
                <w:szCs w:val="16"/>
              </w:rPr>
              <w:t>patients with a decline in FVC%p</w:t>
            </w:r>
            <w:r w:rsidRPr="008A0437">
              <w:rPr>
                <w:rFonts w:ascii="Arial Narrow" w:hAnsi="Arial Narrow"/>
                <w:snapToGrid/>
                <w:sz w:val="20"/>
                <w:szCs w:val="16"/>
              </w:rPr>
              <w:t>red &lt;5% over 52 weeks</w:t>
            </w:r>
          </w:p>
        </w:tc>
        <w:tc>
          <w:tcPr>
            <w:tcW w:w="3118" w:type="dxa"/>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center"/>
              <w:rPr>
                <w:rFonts w:ascii="Arial Narrow" w:hAnsi="Arial Narrow"/>
                <w:snapToGrid/>
                <w:sz w:val="20"/>
                <w:szCs w:val="16"/>
              </w:rPr>
            </w:pPr>
            <w:r w:rsidRPr="008A0437">
              <w:rPr>
                <w:rFonts w:ascii="Arial Narrow" w:hAnsi="Arial Narrow"/>
                <w:snapToGrid/>
                <w:sz w:val="20"/>
                <w:szCs w:val="16"/>
              </w:rPr>
              <w:t>RR (95% CI) = 1.39 (1.23, 1.57)</w:t>
            </w:r>
          </w:p>
        </w:tc>
      </w:tr>
      <w:tr w:rsidR="00E32357" w:rsidRPr="008A0437" w:rsidTr="00E3235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left"/>
              <w:rPr>
                <w:rFonts w:ascii="Arial Narrow" w:hAnsi="Arial Narrow"/>
                <w:snapToGrid/>
                <w:sz w:val="20"/>
                <w:szCs w:val="16"/>
              </w:rPr>
            </w:pPr>
            <w:r w:rsidRPr="008A0437">
              <w:rPr>
                <w:rFonts w:ascii="Arial Narrow" w:hAnsi="Arial Narrow"/>
                <w:snapToGrid/>
                <w:sz w:val="20"/>
                <w:szCs w:val="16"/>
              </w:rPr>
              <w:t>Incidence of acute IPF exacerbation</w:t>
            </w:r>
          </w:p>
        </w:tc>
        <w:tc>
          <w:tcPr>
            <w:tcW w:w="3827" w:type="dxa"/>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left"/>
              <w:rPr>
                <w:rFonts w:ascii="Arial Narrow" w:hAnsi="Arial Narrow"/>
                <w:snapToGrid/>
                <w:sz w:val="20"/>
                <w:szCs w:val="16"/>
              </w:rPr>
            </w:pPr>
            <w:r w:rsidRPr="008A0437">
              <w:rPr>
                <w:rFonts w:ascii="Arial Narrow" w:hAnsi="Arial Narrow"/>
                <w:snapToGrid/>
                <w:sz w:val="20"/>
                <w:szCs w:val="16"/>
              </w:rPr>
              <w:t>Investigator reported</w:t>
            </w:r>
          </w:p>
        </w:tc>
        <w:tc>
          <w:tcPr>
            <w:tcW w:w="3118" w:type="dxa"/>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center"/>
              <w:rPr>
                <w:rFonts w:ascii="Arial Narrow" w:hAnsi="Arial Narrow"/>
                <w:snapToGrid/>
                <w:sz w:val="20"/>
                <w:szCs w:val="16"/>
              </w:rPr>
            </w:pPr>
            <w:r w:rsidRPr="008A0437">
              <w:rPr>
                <w:rFonts w:ascii="Arial Narrow" w:hAnsi="Arial Narrow"/>
                <w:snapToGrid/>
                <w:sz w:val="20"/>
                <w:szCs w:val="16"/>
              </w:rPr>
              <w:t>RR (95% CI) = 0.48 (0.18, 1.30)</w:t>
            </w:r>
          </w:p>
        </w:tc>
      </w:tr>
      <w:tr w:rsidR="00E32357" w:rsidRPr="008A0437" w:rsidTr="00E32357">
        <w:tc>
          <w:tcPr>
            <w:tcW w:w="0" w:type="auto"/>
            <w:vMerge/>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jc w:val="left"/>
              <w:rPr>
                <w:rFonts w:ascii="Arial Narrow" w:hAnsi="Arial Narrow"/>
                <w:snapToGrid/>
                <w:sz w:val="20"/>
                <w:szCs w:val="16"/>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left"/>
              <w:rPr>
                <w:rFonts w:ascii="Arial Narrow" w:hAnsi="Arial Narrow"/>
                <w:snapToGrid/>
                <w:sz w:val="20"/>
                <w:szCs w:val="16"/>
              </w:rPr>
            </w:pPr>
            <w:r w:rsidRPr="008A0437">
              <w:rPr>
                <w:rFonts w:ascii="Arial Narrow" w:hAnsi="Arial Narrow"/>
                <w:snapToGrid/>
                <w:sz w:val="20"/>
                <w:szCs w:val="16"/>
              </w:rPr>
              <w:t>Independent adjudication (Trial 32 &amp; 34)</w:t>
            </w:r>
          </w:p>
        </w:tc>
        <w:tc>
          <w:tcPr>
            <w:tcW w:w="3118" w:type="dxa"/>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center"/>
              <w:rPr>
                <w:rFonts w:ascii="Arial Narrow" w:hAnsi="Arial Narrow"/>
                <w:snapToGrid/>
                <w:sz w:val="20"/>
                <w:szCs w:val="16"/>
              </w:rPr>
            </w:pPr>
            <w:r w:rsidRPr="008A0437">
              <w:rPr>
                <w:rFonts w:ascii="Arial Narrow" w:hAnsi="Arial Narrow"/>
                <w:snapToGrid/>
                <w:sz w:val="20"/>
                <w:szCs w:val="16"/>
              </w:rPr>
              <w:t>RR (95% CI) = 0.35 (0.13, 0.94)</w:t>
            </w:r>
          </w:p>
        </w:tc>
      </w:tr>
      <w:tr w:rsidR="00E32357" w:rsidRPr="008A0437" w:rsidTr="00E32357">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left"/>
              <w:rPr>
                <w:rFonts w:ascii="Arial Narrow" w:hAnsi="Arial Narrow"/>
                <w:snapToGrid/>
                <w:sz w:val="20"/>
                <w:szCs w:val="16"/>
              </w:rPr>
            </w:pPr>
            <w:r w:rsidRPr="008A0437">
              <w:rPr>
                <w:rFonts w:ascii="Arial Narrow" w:hAnsi="Arial Narrow"/>
                <w:snapToGrid/>
                <w:sz w:val="20"/>
                <w:szCs w:val="16"/>
              </w:rPr>
              <w:t>Survival: all-cause mortality over 52 weeks</w:t>
            </w:r>
          </w:p>
        </w:tc>
        <w:tc>
          <w:tcPr>
            <w:tcW w:w="3118" w:type="dxa"/>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center"/>
              <w:rPr>
                <w:rFonts w:ascii="Arial Narrow" w:hAnsi="Arial Narrow"/>
                <w:snapToGrid/>
                <w:sz w:val="20"/>
                <w:szCs w:val="16"/>
              </w:rPr>
            </w:pPr>
            <w:r w:rsidRPr="008A0437">
              <w:rPr>
                <w:rFonts w:ascii="Arial Narrow" w:hAnsi="Arial Narrow"/>
                <w:snapToGrid/>
                <w:sz w:val="20"/>
                <w:szCs w:val="16"/>
              </w:rPr>
              <w:t>RR (95% CI) = 0.72 (0.48, 1.09)</w:t>
            </w:r>
          </w:p>
        </w:tc>
      </w:tr>
      <w:tr w:rsidR="00E32357" w:rsidRPr="008A0437" w:rsidTr="00E32357">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left"/>
              <w:rPr>
                <w:rFonts w:ascii="Arial Narrow" w:hAnsi="Arial Narrow"/>
                <w:snapToGrid/>
                <w:sz w:val="20"/>
                <w:szCs w:val="16"/>
              </w:rPr>
            </w:pPr>
            <w:r w:rsidRPr="008A0437">
              <w:rPr>
                <w:rFonts w:ascii="Arial Narrow" w:hAnsi="Arial Narrow"/>
                <w:snapToGrid/>
                <w:sz w:val="20"/>
                <w:szCs w:val="16"/>
              </w:rPr>
              <w:t>SGRQ: change from baseline over 52 weeks</w:t>
            </w:r>
          </w:p>
        </w:tc>
        <w:tc>
          <w:tcPr>
            <w:tcW w:w="3118" w:type="dxa"/>
            <w:tcBorders>
              <w:top w:val="single" w:sz="4" w:space="0" w:color="auto"/>
              <w:left w:val="single" w:sz="4" w:space="0" w:color="auto"/>
              <w:bottom w:val="single" w:sz="4" w:space="0" w:color="auto"/>
              <w:right w:val="single" w:sz="4" w:space="0" w:color="auto"/>
            </w:tcBorders>
            <w:vAlign w:val="center"/>
            <w:hideMark/>
          </w:tcPr>
          <w:p w:rsidR="00E32357" w:rsidRPr="008A0437" w:rsidRDefault="00E32357" w:rsidP="00915C99">
            <w:pPr>
              <w:widowControl/>
              <w:snapToGrid w:val="0"/>
              <w:jc w:val="center"/>
              <w:rPr>
                <w:rFonts w:ascii="Arial Narrow" w:hAnsi="Arial Narrow"/>
                <w:snapToGrid/>
                <w:sz w:val="20"/>
                <w:szCs w:val="16"/>
              </w:rPr>
            </w:pPr>
            <w:r w:rsidRPr="008A0437">
              <w:rPr>
                <w:rFonts w:ascii="Arial Narrow" w:hAnsi="Arial Narrow"/>
                <w:snapToGrid/>
                <w:sz w:val="20"/>
                <w:szCs w:val="16"/>
              </w:rPr>
              <w:t>MD (95% CI) = -2.41 (-5.26, 0.45)</w:t>
            </w:r>
          </w:p>
        </w:tc>
      </w:tr>
    </w:tbl>
    <w:p w:rsidR="00E32357" w:rsidRPr="008A0437" w:rsidRDefault="00E32357" w:rsidP="00915C99">
      <w:pPr>
        <w:widowControl/>
        <w:ind w:left="720"/>
        <w:rPr>
          <w:rFonts w:ascii="Arial Narrow" w:hAnsi="Arial Narrow"/>
          <w:sz w:val="18"/>
        </w:rPr>
      </w:pPr>
      <w:r w:rsidRPr="008A0437">
        <w:rPr>
          <w:rFonts w:ascii="Arial Narrow" w:hAnsi="Arial Narrow"/>
          <w:sz w:val="18"/>
        </w:rPr>
        <w:t xml:space="preserve">Abbreviations: FVC = forced vital capacity; IPF = idiopathic pulmonary fibrosis; MD = mean difference; RR = relative risk; SGRQ = St George’s Respiratory Questionnaire.  Source: Table B.8-1, </w:t>
      </w:r>
      <w:r w:rsidR="00BF0D4F" w:rsidRPr="008A0437">
        <w:rPr>
          <w:rFonts w:ascii="Arial Narrow" w:hAnsi="Arial Narrow"/>
          <w:sz w:val="18"/>
        </w:rPr>
        <w:t>p139 of the current submission</w:t>
      </w:r>
    </w:p>
    <w:p w:rsidR="00BF626C" w:rsidRDefault="00BF626C">
      <w:pPr>
        <w:widowControl/>
        <w:jc w:val="left"/>
        <w:rPr>
          <w:szCs w:val="22"/>
        </w:rPr>
      </w:pPr>
      <w:r>
        <w:rPr>
          <w:szCs w:val="22"/>
        </w:rPr>
        <w:br w:type="page"/>
      </w:r>
    </w:p>
    <w:p w:rsidR="00263C37" w:rsidRPr="008A0437" w:rsidRDefault="00263C37" w:rsidP="00915C99">
      <w:pPr>
        <w:pStyle w:val="ListParagraph"/>
        <w:widowControl/>
        <w:numPr>
          <w:ilvl w:val="1"/>
          <w:numId w:val="1"/>
        </w:numPr>
        <w:rPr>
          <w:szCs w:val="22"/>
        </w:rPr>
      </w:pPr>
      <w:r w:rsidRPr="008A0437">
        <w:rPr>
          <w:szCs w:val="22"/>
        </w:rPr>
        <w:lastRenderedPageBreak/>
        <w:t xml:space="preserve">The results of Periods 1 and 2 of Trial 30 are presented </w:t>
      </w:r>
      <w:r w:rsidR="002865E4" w:rsidRPr="008A0437">
        <w:rPr>
          <w:szCs w:val="22"/>
        </w:rPr>
        <w:t>in Figure 1</w:t>
      </w:r>
      <w:r w:rsidRPr="008A0437">
        <w:rPr>
          <w:szCs w:val="22"/>
        </w:rPr>
        <w:t>.</w:t>
      </w:r>
    </w:p>
    <w:p w:rsidR="001A3EAB" w:rsidRPr="002A78FC" w:rsidRDefault="001A3EAB" w:rsidP="002A78FC">
      <w:pPr>
        <w:widowControl/>
        <w:rPr>
          <w:szCs w:val="22"/>
        </w:rPr>
      </w:pPr>
    </w:p>
    <w:p w:rsidR="00263C37" w:rsidRPr="008A0437" w:rsidRDefault="00263C37" w:rsidP="00D841E6">
      <w:pPr>
        <w:keepNext/>
        <w:widowControl/>
        <w:ind w:left="810"/>
        <w:rPr>
          <w:rFonts w:ascii="Arial Narrow" w:hAnsi="Arial Narrow"/>
          <w:sz w:val="18"/>
        </w:rPr>
      </w:pPr>
      <w:r w:rsidRPr="008A0437">
        <w:rPr>
          <w:rFonts w:ascii="Arial Narrow" w:hAnsi="Arial Narrow"/>
          <w:b/>
          <w:sz w:val="20"/>
        </w:rPr>
        <w:t>Figure 1: Change from baseline in FVC over time in Trial 30</w:t>
      </w:r>
    </w:p>
    <w:p w:rsidR="00263C37" w:rsidRPr="008A0437" w:rsidRDefault="00263C37" w:rsidP="00915C99">
      <w:pPr>
        <w:widowControl/>
        <w:ind w:left="810"/>
        <w:rPr>
          <w:rFonts w:ascii="Arial Narrow" w:hAnsi="Arial Narrow"/>
          <w:sz w:val="18"/>
        </w:rPr>
      </w:pPr>
      <w:r w:rsidRPr="008A0437">
        <w:rPr>
          <w:noProof/>
          <w:lang w:eastAsia="en-AU"/>
        </w:rPr>
        <w:drawing>
          <wp:inline distT="0" distB="0" distL="0" distR="0" wp14:anchorId="7E44F450" wp14:editId="365D9F18">
            <wp:extent cx="4799699" cy="2804795"/>
            <wp:effectExtent l="0" t="0" r="0" b="0"/>
            <wp:docPr id="7" name="Picture 7" title="Change in baseline FVC over time in Trial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1896" cy="2817766"/>
                    </a:xfrm>
                    <a:prstGeom prst="rect">
                      <a:avLst/>
                    </a:prstGeom>
                    <a:noFill/>
                  </pic:spPr>
                </pic:pic>
              </a:graphicData>
            </a:graphic>
          </wp:inline>
        </w:drawing>
      </w:r>
    </w:p>
    <w:p w:rsidR="00263C37" w:rsidRPr="008A0437" w:rsidRDefault="00263C37" w:rsidP="00915C99">
      <w:pPr>
        <w:widowControl/>
        <w:tabs>
          <w:tab w:val="left" w:pos="720"/>
        </w:tabs>
        <w:ind w:left="810"/>
        <w:rPr>
          <w:rFonts w:ascii="Arial Narrow" w:hAnsi="Arial Narrow"/>
          <w:sz w:val="18"/>
        </w:rPr>
      </w:pPr>
      <w:r w:rsidRPr="008A0437">
        <w:rPr>
          <w:rFonts w:ascii="Arial Narrow" w:hAnsi="Arial Narrow"/>
          <w:sz w:val="18"/>
        </w:rPr>
        <w:t>Source: Figure B.6.3, p116 of the current submission.</w:t>
      </w:r>
    </w:p>
    <w:p w:rsidR="00E237AC" w:rsidRPr="002A78FC" w:rsidRDefault="00E237AC" w:rsidP="002A78FC">
      <w:pPr>
        <w:widowControl/>
        <w:tabs>
          <w:tab w:val="left" w:pos="720"/>
        </w:tabs>
        <w:rPr>
          <w:szCs w:val="22"/>
        </w:rPr>
      </w:pPr>
    </w:p>
    <w:p w:rsidR="004052C3" w:rsidRPr="008A0437" w:rsidRDefault="004052C3" w:rsidP="00915C99">
      <w:pPr>
        <w:pStyle w:val="ListParagraph"/>
        <w:widowControl/>
        <w:numPr>
          <w:ilvl w:val="1"/>
          <w:numId w:val="1"/>
        </w:numPr>
        <w:rPr>
          <w:szCs w:val="22"/>
        </w:rPr>
      </w:pPr>
      <w:r w:rsidRPr="008A0437">
        <w:rPr>
          <w:szCs w:val="22"/>
        </w:rPr>
        <w:t>In November 2015, the PBAC considered a FDA</w:t>
      </w:r>
      <w:r w:rsidR="00E70F70" w:rsidRPr="008A0437">
        <w:rPr>
          <w:rStyle w:val="FootnoteReference"/>
        </w:rPr>
        <w:footnoteReference w:id="1"/>
      </w:r>
      <w:r w:rsidRPr="008A0437">
        <w:rPr>
          <w:szCs w:val="22"/>
        </w:rPr>
        <w:t xml:space="preserve"> review of pirfenidone and nintedanib studies which suggested that FVC is a valid surrogate for mortality in IPF. This review gave the PBAC more confidence that the lack of statistical significance in </w:t>
      </w:r>
      <w:r w:rsidR="007B1BEF" w:rsidRPr="008A0437">
        <w:rPr>
          <w:szCs w:val="22"/>
        </w:rPr>
        <w:t xml:space="preserve">overall survival </w:t>
      </w:r>
      <w:r w:rsidRPr="008A0437">
        <w:rPr>
          <w:szCs w:val="22"/>
        </w:rPr>
        <w:t>may be an issue of lack of power in the trials. It was further noted that the poor prognosis of patients with IPF combined with the observed trend in survival benefit imposes ethical limitations on any further placebo-controlled trials given the nature of the disease. This makes it difficult to generate prospective and placebo-controlled evidence of a statistically significant overall survival benefit with nintedanib.</w:t>
      </w:r>
    </w:p>
    <w:p w:rsidR="002865E4" w:rsidRPr="002A78FC" w:rsidRDefault="002865E4" w:rsidP="00915C99">
      <w:pPr>
        <w:widowControl/>
        <w:rPr>
          <w:szCs w:val="22"/>
        </w:rPr>
      </w:pPr>
    </w:p>
    <w:p w:rsidR="00915311" w:rsidRPr="008A0437" w:rsidRDefault="00915311" w:rsidP="00915C99">
      <w:pPr>
        <w:pStyle w:val="ListParagraph"/>
        <w:widowControl/>
        <w:numPr>
          <w:ilvl w:val="1"/>
          <w:numId w:val="1"/>
        </w:numPr>
        <w:rPr>
          <w:szCs w:val="22"/>
        </w:rPr>
      </w:pPr>
      <w:r w:rsidRPr="008A0437">
        <w:rPr>
          <w:szCs w:val="22"/>
        </w:rPr>
        <w:t xml:space="preserve">The current resubmission included </w:t>
      </w:r>
      <w:r w:rsidR="00263C37" w:rsidRPr="008A0437">
        <w:rPr>
          <w:szCs w:val="22"/>
        </w:rPr>
        <w:t xml:space="preserve">additional </w:t>
      </w:r>
      <w:r w:rsidRPr="008A0437">
        <w:rPr>
          <w:szCs w:val="22"/>
        </w:rPr>
        <w:t>interim long-term efficacy analyses for INPULSIS</w:t>
      </w:r>
      <w:r w:rsidRPr="008A0437">
        <w:rPr>
          <w:szCs w:val="22"/>
        </w:rPr>
        <w:noBreakHyphen/>
        <w:t>ON (Trial 33), the extension study of Trials 32 and 34. Figure</w:t>
      </w:r>
      <w:r w:rsidR="00845099" w:rsidRPr="008A0437">
        <w:rPr>
          <w:szCs w:val="22"/>
        </w:rPr>
        <w:t> </w:t>
      </w:r>
      <w:r w:rsidR="00263C37" w:rsidRPr="008A0437">
        <w:rPr>
          <w:szCs w:val="22"/>
        </w:rPr>
        <w:t>2</w:t>
      </w:r>
      <w:r w:rsidRPr="008A0437">
        <w:rPr>
          <w:szCs w:val="22"/>
        </w:rPr>
        <w:t xml:space="preserve"> illustrates the results of INPULSIS-ON.</w:t>
      </w:r>
    </w:p>
    <w:p w:rsidR="00915311" w:rsidRPr="008A0437" w:rsidRDefault="00915311" w:rsidP="002A78FC">
      <w:pPr>
        <w:widowControl/>
      </w:pPr>
    </w:p>
    <w:p w:rsidR="00915311" w:rsidRPr="008A0437" w:rsidRDefault="00915311" w:rsidP="00915C99">
      <w:pPr>
        <w:keepNext/>
        <w:widowControl/>
        <w:ind w:left="720"/>
        <w:rPr>
          <w:rFonts w:ascii="Arial Narrow" w:hAnsi="Arial Narrow"/>
          <w:b/>
          <w:sz w:val="20"/>
        </w:rPr>
      </w:pPr>
      <w:r w:rsidRPr="008A0437">
        <w:rPr>
          <w:rFonts w:ascii="Arial Narrow" w:hAnsi="Arial Narrow"/>
          <w:b/>
          <w:sz w:val="20"/>
        </w:rPr>
        <w:lastRenderedPageBreak/>
        <w:t xml:space="preserve">Figure </w:t>
      </w:r>
      <w:r w:rsidR="00263C37" w:rsidRPr="008A0437">
        <w:rPr>
          <w:rFonts w:ascii="Arial Narrow" w:hAnsi="Arial Narrow"/>
          <w:b/>
          <w:sz w:val="20"/>
        </w:rPr>
        <w:t>2</w:t>
      </w:r>
      <w:r w:rsidRPr="008A0437">
        <w:rPr>
          <w:rFonts w:ascii="Arial Narrow" w:hAnsi="Arial Narrow"/>
          <w:b/>
          <w:sz w:val="20"/>
        </w:rPr>
        <w:t>: Change from baseline in FVC over time in INPULSIS-ON</w:t>
      </w:r>
    </w:p>
    <w:p w:rsidR="00915311" w:rsidRPr="008A0437" w:rsidRDefault="00915311" w:rsidP="00915C99">
      <w:pPr>
        <w:widowControl/>
        <w:ind w:left="720"/>
      </w:pPr>
      <w:r w:rsidRPr="008A0437">
        <w:rPr>
          <w:noProof/>
          <w:lang w:eastAsia="en-AU"/>
        </w:rPr>
        <w:drawing>
          <wp:inline distT="0" distB="0" distL="0" distR="0" wp14:anchorId="40AD2320" wp14:editId="4D29606F">
            <wp:extent cx="4293331" cy="2646268"/>
            <wp:effectExtent l="0" t="0" r="0" b="1905"/>
            <wp:docPr id="6" name="Picture 6" title="Change from baseline in FVC over time in INPULSIS-ON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11008" cy="2657164"/>
                    </a:xfrm>
                    <a:prstGeom prst="rect">
                      <a:avLst/>
                    </a:prstGeom>
                  </pic:spPr>
                </pic:pic>
              </a:graphicData>
            </a:graphic>
          </wp:inline>
        </w:drawing>
      </w:r>
    </w:p>
    <w:p w:rsidR="00915311" w:rsidRPr="008A0437" w:rsidRDefault="00915311" w:rsidP="00D841E6">
      <w:pPr>
        <w:widowControl/>
        <w:ind w:firstLine="720"/>
        <w:rPr>
          <w:rFonts w:ascii="Arial Narrow" w:hAnsi="Arial Narrow"/>
          <w:sz w:val="18"/>
        </w:rPr>
      </w:pPr>
      <w:r w:rsidRPr="008A0437">
        <w:rPr>
          <w:rFonts w:ascii="Arial Narrow" w:hAnsi="Arial Narrow"/>
          <w:sz w:val="18"/>
        </w:rPr>
        <w:t>Source: Figure B.6.4, p116 of the current submission.</w:t>
      </w:r>
    </w:p>
    <w:p w:rsidR="00915311" w:rsidRPr="008A0437" w:rsidRDefault="00915311" w:rsidP="00915C99">
      <w:pPr>
        <w:widowControl/>
        <w:rPr>
          <w:szCs w:val="22"/>
        </w:rPr>
      </w:pPr>
    </w:p>
    <w:p w:rsidR="00915311" w:rsidRPr="008A0437" w:rsidRDefault="00915311" w:rsidP="00915C99">
      <w:pPr>
        <w:pStyle w:val="ListParagraph"/>
        <w:widowControl/>
        <w:numPr>
          <w:ilvl w:val="1"/>
          <w:numId w:val="1"/>
        </w:numPr>
        <w:rPr>
          <w:szCs w:val="22"/>
        </w:rPr>
      </w:pPr>
      <w:r w:rsidRPr="008A0437">
        <w:rPr>
          <w:szCs w:val="22"/>
        </w:rPr>
        <w:t>The resubmission stated that all patients experienced decline in FVC over time with a mean decrease of 87.1 mL to week 48 in INPULSIS-ON, which was similar to the change seen in Trials 32 and 34. The resubmission also stated that the change from baseline in FVC (mean decrease of 87.1 mL) over 48 weeks in INPULSIS-ON was consistent with the results seen in Trial 30, and that these data confirmed that benefits were maintained beyond the 52 week trial period.</w:t>
      </w:r>
    </w:p>
    <w:p w:rsidR="003C0B1D" w:rsidRPr="002A78FC" w:rsidRDefault="003C0B1D" w:rsidP="002A78FC">
      <w:pPr>
        <w:widowControl/>
        <w:rPr>
          <w:szCs w:val="22"/>
        </w:rPr>
      </w:pPr>
    </w:p>
    <w:p w:rsidR="00E32357" w:rsidRPr="002A78FC" w:rsidRDefault="00915311" w:rsidP="00915C99">
      <w:pPr>
        <w:pStyle w:val="ListParagraph"/>
        <w:widowControl/>
        <w:numPr>
          <w:ilvl w:val="1"/>
          <w:numId w:val="1"/>
        </w:numPr>
        <w:rPr>
          <w:szCs w:val="22"/>
        </w:rPr>
      </w:pPr>
      <w:r w:rsidRPr="008A0437">
        <w:rPr>
          <w:szCs w:val="22"/>
          <w:u w:val="single"/>
        </w:rPr>
        <w:t>Indirect comparison with pirfenidone</w:t>
      </w:r>
      <w:r w:rsidRPr="008A0437">
        <w:rPr>
          <w:szCs w:val="22"/>
        </w:rPr>
        <w:t xml:space="preserve">: </w:t>
      </w:r>
      <w:r w:rsidR="00E32357" w:rsidRPr="008A0437">
        <w:rPr>
          <w:szCs w:val="22"/>
        </w:rPr>
        <w:t xml:space="preserve">A brief summary of results from the indirect comparison with pirfenidone is provided in </w:t>
      </w:r>
      <w:r w:rsidRPr="008A0437">
        <w:rPr>
          <w:szCs w:val="22"/>
        </w:rPr>
        <w:t>Table 5</w:t>
      </w:r>
      <w:r w:rsidR="00E32357" w:rsidRPr="008A0437">
        <w:rPr>
          <w:szCs w:val="22"/>
        </w:rPr>
        <w:t>.</w:t>
      </w:r>
    </w:p>
    <w:p w:rsidR="004A1689" w:rsidRPr="002A78FC" w:rsidRDefault="004A1689" w:rsidP="002A78FC">
      <w:pPr>
        <w:widowControl/>
        <w:rPr>
          <w:szCs w:val="22"/>
        </w:rPr>
      </w:pPr>
    </w:p>
    <w:p w:rsidR="004A1689" w:rsidRPr="008A0437" w:rsidRDefault="004A1689" w:rsidP="00915C99">
      <w:pPr>
        <w:keepNext/>
        <w:widowControl/>
        <w:ind w:firstLine="720"/>
        <w:rPr>
          <w:rStyle w:val="CommentReference"/>
        </w:rPr>
      </w:pPr>
      <w:r w:rsidRPr="008A0437">
        <w:rPr>
          <w:rStyle w:val="CommentReference"/>
        </w:rPr>
        <w:t xml:space="preserve">Table </w:t>
      </w:r>
      <w:r w:rsidR="00BF493A" w:rsidRPr="008A0437">
        <w:rPr>
          <w:rStyle w:val="CommentReference"/>
        </w:rPr>
        <w:t>5</w:t>
      </w:r>
      <w:r w:rsidRPr="008A0437">
        <w:rPr>
          <w:rStyle w:val="CommentReference"/>
        </w:rPr>
        <w:t>: Summary of results for the indirect comparison of nintedanib and pirfenidone</w:t>
      </w:r>
    </w:p>
    <w:tbl>
      <w:tblPr>
        <w:tblStyle w:val="TableGrid"/>
        <w:tblW w:w="4594" w:type="pct"/>
        <w:tblInd w:w="737" w:type="dxa"/>
        <w:tblCellMar>
          <w:left w:w="28" w:type="dxa"/>
          <w:right w:w="28" w:type="dxa"/>
        </w:tblCellMar>
        <w:tblLook w:val="04A0" w:firstRow="1" w:lastRow="0" w:firstColumn="1" w:lastColumn="0" w:noHBand="0" w:noVBand="1"/>
        <w:tblCaption w:val="Summary of results for the indirect comparison of nitedanib and pifenidone"/>
      </w:tblPr>
      <w:tblGrid>
        <w:gridCol w:w="3687"/>
        <w:gridCol w:w="991"/>
        <w:gridCol w:w="1701"/>
        <w:gridCol w:w="1966"/>
      </w:tblGrid>
      <w:tr w:rsidR="004A1689" w:rsidRPr="008A0437" w:rsidTr="00F1714F">
        <w:trPr>
          <w:trHeight w:val="20"/>
          <w:tblHeader/>
        </w:trPr>
        <w:tc>
          <w:tcPr>
            <w:tcW w:w="2803" w:type="pct"/>
            <w:gridSpan w:val="2"/>
            <w:vAlign w:val="center"/>
          </w:tcPr>
          <w:p w:rsidR="004A1689" w:rsidRPr="008A0437" w:rsidRDefault="00D64ACB" w:rsidP="00915C99">
            <w:pPr>
              <w:keepNext/>
              <w:widowControl/>
              <w:jc w:val="left"/>
              <w:rPr>
                <w:rStyle w:val="CommentReference"/>
              </w:rPr>
            </w:pPr>
            <w:r w:rsidRPr="008A0437">
              <w:rPr>
                <w:rStyle w:val="CommentReference"/>
              </w:rPr>
              <w:t>Outcome</w:t>
            </w:r>
          </w:p>
        </w:tc>
        <w:tc>
          <w:tcPr>
            <w:tcW w:w="1019" w:type="pct"/>
            <w:vAlign w:val="center"/>
          </w:tcPr>
          <w:p w:rsidR="004A1689" w:rsidRPr="008A0437" w:rsidRDefault="00263C37" w:rsidP="00915C99">
            <w:pPr>
              <w:keepNext/>
              <w:widowControl/>
              <w:jc w:val="center"/>
              <w:rPr>
                <w:rStyle w:val="CommentReference"/>
              </w:rPr>
            </w:pPr>
            <w:r w:rsidRPr="008A0437">
              <w:rPr>
                <w:rStyle w:val="CommentReference"/>
              </w:rPr>
              <w:t xml:space="preserve">nintedanib </w:t>
            </w:r>
            <w:r w:rsidR="00F90534" w:rsidRPr="008A0437">
              <w:rPr>
                <w:rStyle w:val="CommentReference"/>
              </w:rPr>
              <w:t>m</w:t>
            </w:r>
            <w:r w:rsidR="004A1689" w:rsidRPr="008A0437">
              <w:rPr>
                <w:rStyle w:val="CommentReference"/>
              </w:rPr>
              <w:t>ITT population</w:t>
            </w:r>
          </w:p>
          <w:p w:rsidR="004A1689" w:rsidRPr="008A0437" w:rsidRDefault="004A1689" w:rsidP="00915C99">
            <w:pPr>
              <w:keepNext/>
              <w:widowControl/>
              <w:jc w:val="center"/>
              <w:rPr>
                <w:rStyle w:val="CommentReference"/>
              </w:rPr>
            </w:pPr>
            <w:r w:rsidRPr="008A0437">
              <w:rPr>
                <w:rStyle w:val="CommentReference"/>
              </w:rPr>
              <w:t>vs CAPACITY</w:t>
            </w:r>
          </w:p>
        </w:tc>
        <w:tc>
          <w:tcPr>
            <w:tcW w:w="1178" w:type="pct"/>
            <w:vAlign w:val="center"/>
          </w:tcPr>
          <w:p w:rsidR="004A1689" w:rsidRPr="008A0437" w:rsidRDefault="00263C37" w:rsidP="00915C99">
            <w:pPr>
              <w:keepNext/>
              <w:widowControl/>
              <w:jc w:val="center"/>
              <w:rPr>
                <w:rStyle w:val="CommentReference"/>
              </w:rPr>
            </w:pPr>
            <w:r w:rsidRPr="008A0437">
              <w:rPr>
                <w:rStyle w:val="CommentReference"/>
              </w:rPr>
              <w:t xml:space="preserve">nintedanib </w:t>
            </w:r>
            <w:r w:rsidR="004A1689" w:rsidRPr="008A0437">
              <w:rPr>
                <w:rStyle w:val="CommentReference"/>
              </w:rPr>
              <w:t>matched patient population^ vs ASCEND</w:t>
            </w:r>
          </w:p>
        </w:tc>
      </w:tr>
      <w:tr w:rsidR="004A1689" w:rsidRPr="008A0437" w:rsidTr="004A1689">
        <w:trPr>
          <w:trHeight w:val="20"/>
        </w:trPr>
        <w:tc>
          <w:tcPr>
            <w:tcW w:w="2209" w:type="pct"/>
            <w:vAlign w:val="center"/>
          </w:tcPr>
          <w:p w:rsidR="004A1689" w:rsidRPr="008A0437" w:rsidRDefault="004A1689" w:rsidP="00915C99">
            <w:pPr>
              <w:keepNext/>
              <w:widowControl/>
              <w:jc w:val="left"/>
              <w:rPr>
                <w:rStyle w:val="CommentReference"/>
                <w:b w:val="0"/>
              </w:rPr>
            </w:pPr>
            <w:r w:rsidRPr="008A0437">
              <w:rPr>
                <w:rStyle w:val="CommentReference"/>
                <w:b w:val="0"/>
              </w:rPr>
              <w:t>Overall survival</w:t>
            </w:r>
          </w:p>
        </w:tc>
        <w:tc>
          <w:tcPr>
            <w:tcW w:w="594" w:type="pct"/>
            <w:vAlign w:val="center"/>
          </w:tcPr>
          <w:p w:rsidR="004A1689" w:rsidRPr="008A0437" w:rsidRDefault="004A1689" w:rsidP="00915C99">
            <w:pPr>
              <w:keepNext/>
              <w:widowControl/>
              <w:jc w:val="center"/>
              <w:rPr>
                <w:rStyle w:val="CommentReference"/>
                <w:b w:val="0"/>
              </w:rPr>
            </w:pPr>
            <w:r w:rsidRPr="008A0437">
              <w:rPr>
                <w:rStyle w:val="CommentReference"/>
                <w:b w:val="0"/>
              </w:rPr>
              <w:t>HR (95% CI)</w:t>
            </w:r>
          </w:p>
        </w:tc>
        <w:tc>
          <w:tcPr>
            <w:tcW w:w="1019" w:type="pct"/>
            <w:vAlign w:val="center"/>
          </w:tcPr>
          <w:p w:rsidR="004A1689" w:rsidRPr="008A0437" w:rsidRDefault="004A1689" w:rsidP="00915C99">
            <w:pPr>
              <w:keepNext/>
              <w:widowControl/>
              <w:jc w:val="center"/>
              <w:rPr>
                <w:rStyle w:val="CommentReference"/>
                <w:b w:val="0"/>
              </w:rPr>
            </w:pPr>
            <w:r w:rsidRPr="008A0437">
              <w:rPr>
                <w:rStyle w:val="CommentReference"/>
                <w:b w:val="0"/>
              </w:rPr>
              <w:t>1.03 (0.53, 1.97)</w:t>
            </w:r>
          </w:p>
        </w:tc>
        <w:tc>
          <w:tcPr>
            <w:tcW w:w="1178" w:type="pct"/>
            <w:vAlign w:val="center"/>
          </w:tcPr>
          <w:p w:rsidR="004A1689" w:rsidRPr="008A0437" w:rsidRDefault="003B3717" w:rsidP="00915C99">
            <w:pPr>
              <w:keepNext/>
              <w:widowControl/>
              <w:jc w:val="center"/>
              <w:rPr>
                <w:rStyle w:val="CommentReference"/>
                <w:b w:val="0"/>
              </w:rPr>
            </w:pPr>
            <w:r>
              <w:rPr>
                <w:rStyle w:val="CommentReference"/>
                <w:b w:val="0"/>
                <w:noProof/>
                <w:color w:val="000000"/>
                <w:highlight w:val="black"/>
              </w:rPr>
              <w:t>''''''''''''</w:t>
            </w:r>
            <w:r w:rsidR="004A1689" w:rsidRPr="008A0437">
              <w:rPr>
                <w:rStyle w:val="CommentReference"/>
                <w:b w:val="0"/>
              </w:rPr>
              <w:t xml:space="preserve"> (</w:t>
            </w:r>
            <w:r>
              <w:rPr>
                <w:rStyle w:val="CommentReference"/>
                <w:b w:val="0"/>
                <w:noProof/>
                <w:color w:val="000000"/>
                <w:highlight w:val="black"/>
              </w:rPr>
              <w:t>''''''''''</w:t>
            </w:r>
            <w:r w:rsidR="004A1689" w:rsidRPr="008A0437">
              <w:rPr>
                <w:rStyle w:val="CommentReference"/>
                <w:b w:val="0"/>
              </w:rPr>
              <w:t xml:space="preserve">, </w:t>
            </w:r>
            <w:r>
              <w:rPr>
                <w:rStyle w:val="CommentReference"/>
                <w:b w:val="0"/>
                <w:noProof/>
                <w:color w:val="000000"/>
                <w:highlight w:val="black"/>
              </w:rPr>
              <w:t>'''''''''''</w:t>
            </w:r>
            <w:r w:rsidR="004A1689" w:rsidRPr="008A0437">
              <w:rPr>
                <w:rStyle w:val="CommentReference"/>
                <w:b w:val="0"/>
              </w:rPr>
              <w:t>)</w:t>
            </w:r>
          </w:p>
        </w:tc>
      </w:tr>
      <w:tr w:rsidR="004A1689" w:rsidRPr="008A0437" w:rsidTr="004A1689">
        <w:trPr>
          <w:trHeight w:val="20"/>
        </w:trPr>
        <w:tc>
          <w:tcPr>
            <w:tcW w:w="2209" w:type="pct"/>
            <w:vAlign w:val="center"/>
          </w:tcPr>
          <w:p w:rsidR="004A1689" w:rsidRPr="008A0437" w:rsidRDefault="004A1689" w:rsidP="00915C99">
            <w:pPr>
              <w:keepNext/>
              <w:widowControl/>
              <w:jc w:val="left"/>
              <w:rPr>
                <w:rStyle w:val="CommentReference"/>
                <w:b w:val="0"/>
              </w:rPr>
            </w:pPr>
            <w:r w:rsidRPr="008A0437">
              <w:rPr>
                <w:rStyle w:val="CommentReference"/>
                <w:b w:val="0"/>
              </w:rPr>
              <w:t>Exacerbations – Investigator reported</w:t>
            </w:r>
          </w:p>
        </w:tc>
        <w:tc>
          <w:tcPr>
            <w:tcW w:w="594" w:type="pct"/>
            <w:vAlign w:val="center"/>
          </w:tcPr>
          <w:p w:rsidR="004A1689" w:rsidRPr="008A0437" w:rsidRDefault="004A1689" w:rsidP="00915C99">
            <w:pPr>
              <w:keepNext/>
              <w:widowControl/>
              <w:jc w:val="center"/>
              <w:rPr>
                <w:rStyle w:val="CommentReference"/>
                <w:b w:val="0"/>
              </w:rPr>
            </w:pPr>
            <w:r w:rsidRPr="008A0437">
              <w:rPr>
                <w:rStyle w:val="CommentReference"/>
                <w:b w:val="0"/>
              </w:rPr>
              <w:t>RR (95% CI)</w:t>
            </w:r>
          </w:p>
        </w:tc>
        <w:tc>
          <w:tcPr>
            <w:tcW w:w="1019" w:type="pct"/>
            <w:vAlign w:val="center"/>
          </w:tcPr>
          <w:p w:rsidR="004A1689" w:rsidRPr="008A0437" w:rsidRDefault="004A1689" w:rsidP="00915C99">
            <w:pPr>
              <w:keepNext/>
              <w:widowControl/>
              <w:jc w:val="center"/>
              <w:rPr>
                <w:rStyle w:val="CommentReference"/>
                <w:b w:val="0"/>
              </w:rPr>
            </w:pPr>
            <w:r w:rsidRPr="008A0437">
              <w:rPr>
                <w:rStyle w:val="CommentReference"/>
                <w:b w:val="0"/>
              </w:rPr>
              <w:t>0.64 (0.15, 2.76)</w:t>
            </w:r>
          </w:p>
        </w:tc>
        <w:tc>
          <w:tcPr>
            <w:tcW w:w="1178" w:type="pct"/>
            <w:vMerge w:val="restart"/>
            <w:vAlign w:val="center"/>
          </w:tcPr>
          <w:p w:rsidR="004A1689" w:rsidRPr="008A0437" w:rsidRDefault="004A1689" w:rsidP="00915C99">
            <w:pPr>
              <w:keepNext/>
              <w:widowControl/>
              <w:jc w:val="center"/>
              <w:rPr>
                <w:rStyle w:val="CommentReference"/>
                <w:b w:val="0"/>
              </w:rPr>
            </w:pPr>
            <w:r w:rsidRPr="008A0437">
              <w:rPr>
                <w:rStyle w:val="CommentReference"/>
                <w:b w:val="0"/>
              </w:rPr>
              <w:t>NR</w:t>
            </w:r>
          </w:p>
        </w:tc>
      </w:tr>
      <w:tr w:rsidR="004A1689" w:rsidRPr="008A0437" w:rsidTr="004A1689">
        <w:trPr>
          <w:trHeight w:val="20"/>
        </w:trPr>
        <w:tc>
          <w:tcPr>
            <w:tcW w:w="2209" w:type="pct"/>
            <w:vAlign w:val="center"/>
          </w:tcPr>
          <w:p w:rsidR="004A1689" w:rsidRPr="008A0437" w:rsidRDefault="004A1689" w:rsidP="00915C99">
            <w:pPr>
              <w:keepNext/>
              <w:widowControl/>
              <w:jc w:val="left"/>
              <w:rPr>
                <w:rStyle w:val="CommentReference"/>
                <w:b w:val="0"/>
              </w:rPr>
            </w:pPr>
            <w:r w:rsidRPr="008A0437">
              <w:rPr>
                <w:rStyle w:val="CommentReference"/>
                <w:b w:val="0"/>
              </w:rPr>
              <w:t>Progression free survival</w:t>
            </w:r>
          </w:p>
        </w:tc>
        <w:tc>
          <w:tcPr>
            <w:tcW w:w="594" w:type="pct"/>
            <w:vAlign w:val="center"/>
          </w:tcPr>
          <w:p w:rsidR="004A1689" w:rsidRPr="008A0437" w:rsidRDefault="004A1689" w:rsidP="00915C99">
            <w:pPr>
              <w:keepNext/>
              <w:widowControl/>
              <w:jc w:val="center"/>
              <w:rPr>
                <w:rStyle w:val="CommentReference"/>
                <w:b w:val="0"/>
              </w:rPr>
            </w:pPr>
            <w:r w:rsidRPr="008A0437">
              <w:rPr>
                <w:rStyle w:val="CommentReference"/>
                <w:b w:val="0"/>
              </w:rPr>
              <w:t>HR (95% CI)</w:t>
            </w:r>
          </w:p>
        </w:tc>
        <w:tc>
          <w:tcPr>
            <w:tcW w:w="1019" w:type="pct"/>
            <w:vAlign w:val="center"/>
          </w:tcPr>
          <w:p w:rsidR="004A1689" w:rsidRPr="008A0437" w:rsidRDefault="004A1689" w:rsidP="00915C99">
            <w:pPr>
              <w:keepNext/>
              <w:widowControl/>
              <w:jc w:val="center"/>
              <w:rPr>
                <w:rStyle w:val="CommentReference"/>
                <w:b w:val="0"/>
              </w:rPr>
            </w:pPr>
            <w:r w:rsidRPr="008A0437">
              <w:rPr>
                <w:rStyle w:val="CommentReference"/>
                <w:b w:val="0"/>
              </w:rPr>
              <w:t>1.00 (0.71, 1.39)</w:t>
            </w:r>
          </w:p>
        </w:tc>
        <w:tc>
          <w:tcPr>
            <w:tcW w:w="1178" w:type="pct"/>
            <w:vMerge/>
            <w:vAlign w:val="center"/>
          </w:tcPr>
          <w:p w:rsidR="004A1689" w:rsidRPr="008A0437" w:rsidRDefault="004A1689" w:rsidP="00915C99">
            <w:pPr>
              <w:keepNext/>
              <w:widowControl/>
              <w:jc w:val="center"/>
              <w:rPr>
                <w:rStyle w:val="CommentReference"/>
                <w:b w:val="0"/>
              </w:rPr>
            </w:pPr>
          </w:p>
        </w:tc>
      </w:tr>
      <w:tr w:rsidR="004A1689" w:rsidRPr="008A0437" w:rsidTr="004A1689">
        <w:trPr>
          <w:trHeight w:val="20"/>
        </w:trPr>
        <w:tc>
          <w:tcPr>
            <w:tcW w:w="2209" w:type="pct"/>
            <w:vAlign w:val="center"/>
          </w:tcPr>
          <w:p w:rsidR="004A1689" w:rsidRPr="008A0437" w:rsidRDefault="004A1689" w:rsidP="00915C99">
            <w:pPr>
              <w:keepNext/>
              <w:widowControl/>
              <w:jc w:val="left"/>
              <w:rPr>
                <w:rStyle w:val="CommentReference"/>
                <w:b w:val="0"/>
              </w:rPr>
            </w:pPr>
            <w:r w:rsidRPr="008A0437">
              <w:rPr>
                <w:rStyle w:val="CommentReference"/>
                <w:b w:val="0"/>
              </w:rPr>
              <w:t>FVC%pred: 10 point decline</w:t>
            </w:r>
          </w:p>
        </w:tc>
        <w:tc>
          <w:tcPr>
            <w:tcW w:w="594" w:type="pct"/>
            <w:vAlign w:val="center"/>
          </w:tcPr>
          <w:p w:rsidR="004A1689" w:rsidRPr="008A0437" w:rsidRDefault="004A1689" w:rsidP="00915C99">
            <w:pPr>
              <w:keepNext/>
              <w:widowControl/>
              <w:jc w:val="center"/>
              <w:rPr>
                <w:rStyle w:val="CommentReference"/>
                <w:b w:val="0"/>
              </w:rPr>
            </w:pPr>
            <w:r w:rsidRPr="008A0437">
              <w:rPr>
                <w:rStyle w:val="CommentReference"/>
                <w:b w:val="0"/>
              </w:rPr>
              <w:t>RR (95% CI)</w:t>
            </w:r>
          </w:p>
        </w:tc>
        <w:tc>
          <w:tcPr>
            <w:tcW w:w="1019" w:type="pct"/>
            <w:vAlign w:val="center"/>
          </w:tcPr>
          <w:p w:rsidR="004A1689" w:rsidRPr="008A0437" w:rsidRDefault="004A1689" w:rsidP="00915C99">
            <w:pPr>
              <w:keepNext/>
              <w:widowControl/>
              <w:jc w:val="center"/>
              <w:rPr>
                <w:rStyle w:val="CommentReference"/>
                <w:b w:val="0"/>
              </w:rPr>
            </w:pPr>
            <w:r w:rsidRPr="008A0437">
              <w:rPr>
                <w:rStyle w:val="CommentReference"/>
                <w:b w:val="0"/>
              </w:rPr>
              <w:t>0.86 (0.61, 1.23)</w:t>
            </w:r>
          </w:p>
        </w:tc>
        <w:tc>
          <w:tcPr>
            <w:tcW w:w="1178" w:type="pct"/>
            <w:vMerge/>
            <w:vAlign w:val="center"/>
          </w:tcPr>
          <w:p w:rsidR="004A1689" w:rsidRPr="008A0437" w:rsidRDefault="004A1689" w:rsidP="00915C99">
            <w:pPr>
              <w:keepNext/>
              <w:widowControl/>
              <w:jc w:val="center"/>
              <w:rPr>
                <w:rStyle w:val="CommentReference"/>
                <w:b w:val="0"/>
              </w:rPr>
            </w:pPr>
          </w:p>
        </w:tc>
      </w:tr>
      <w:tr w:rsidR="004A1689" w:rsidRPr="008A0437" w:rsidTr="004A1689">
        <w:trPr>
          <w:trHeight w:val="20"/>
        </w:trPr>
        <w:tc>
          <w:tcPr>
            <w:tcW w:w="2209" w:type="pct"/>
            <w:vAlign w:val="center"/>
          </w:tcPr>
          <w:p w:rsidR="004A1689" w:rsidRPr="008A0437" w:rsidRDefault="004A1689" w:rsidP="00915C99">
            <w:pPr>
              <w:keepNext/>
              <w:widowControl/>
              <w:jc w:val="left"/>
              <w:rPr>
                <w:rStyle w:val="CommentReference"/>
                <w:b w:val="0"/>
              </w:rPr>
            </w:pPr>
            <w:r w:rsidRPr="008A0437">
              <w:rPr>
                <w:rStyle w:val="CommentReference"/>
                <w:b w:val="0"/>
              </w:rPr>
              <w:t>FVC%pred: 10 point decline or death (52 weeks)</w:t>
            </w:r>
          </w:p>
        </w:tc>
        <w:tc>
          <w:tcPr>
            <w:tcW w:w="594" w:type="pct"/>
            <w:vAlign w:val="center"/>
          </w:tcPr>
          <w:p w:rsidR="004A1689" w:rsidRPr="008A0437" w:rsidRDefault="004A1689" w:rsidP="00915C99">
            <w:pPr>
              <w:keepNext/>
              <w:widowControl/>
              <w:jc w:val="center"/>
              <w:rPr>
                <w:rStyle w:val="CommentReference"/>
                <w:b w:val="0"/>
              </w:rPr>
            </w:pPr>
            <w:r w:rsidRPr="008A0437">
              <w:rPr>
                <w:rStyle w:val="CommentReference"/>
                <w:b w:val="0"/>
              </w:rPr>
              <w:t>RR (95% CI)</w:t>
            </w:r>
          </w:p>
        </w:tc>
        <w:tc>
          <w:tcPr>
            <w:tcW w:w="1019" w:type="pct"/>
            <w:vAlign w:val="center"/>
          </w:tcPr>
          <w:p w:rsidR="004A1689" w:rsidRPr="008A0437" w:rsidRDefault="004A1689" w:rsidP="00915C99">
            <w:pPr>
              <w:keepNext/>
              <w:widowControl/>
              <w:jc w:val="center"/>
              <w:rPr>
                <w:rStyle w:val="CommentReference"/>
                <w:b w:val="0"/>
              </w:rPr>
            </w:pPr>
            <w:r w:rsidRPr="008A0437">
              <w:rPr>
                <w:rStyle w:val="CommentReference"/>
                <w:b w:val="0"/>
              </w:rPr>
              <w:t>NR</w:t>
            </w:r>
          </w:p>
        </w:tc>
        <w:tc>
          <w:tcPr>
            <w:tcW w:w="1178" w:type="pct"/>
            <w:vAlign w:val="center"/>
          </w:tcPr>
          <w:p w:rsidR="004A1689" w:rsidRPr="008A0437" w:rsidRDefault="003B3717" w:rsidP="00915C99">
            <w:pPr>
              <w:keepNext/>
              <w:widowControl/>
              <w:jc w:val="center"/>
              <w:rPr>
                <w:rStyle w:val="CommentReference"/>
                <w:b w:val="0"/>
              </w:rPr>
            </w:pPr>
            <w:r>
              <w:rPr>
                <w:rStyle w:val="CommentReference"/>
                <w:b w:val="0"/>
                <w:noProof/>
                <w:color w:val="000000"/>
                <w:highlight w:val="black"/>
              </w:rPr>
              <w:t>''''''''''</w:t>
            </w:r>
            <w:r w:rsidR="004A1689" w:rsidRPr="008A0437">
              <w:rPr>
                <w:rStyle w:val="CommentReference"/>
                <w:b w:val="0"/>
              </w:rPr>
              <w:t xml:space="preserve"> (</w:t>
            </w:r>
            <w:r>
              <w:rPr>
                <w:rStyle w:val="CommentReference"/>
                <w:b w:val="0"/>
                <w:noProof/>
                <w:color w:val="000000"/>
                <w:highlight w:val="black"/>
              </w:rPr>
              <w:t>'''''''''''</w:t>
            </w:r>
            <w:r w:rsidR="004A1689" w:rsidRPr="008A0437">
              <w:rPr>
                <w:rStyle w:val="CommentReference"/>
                <w:b w:val="0"/>
              </w:rPr>
              <w:t xml:space="preserve">, </w:t>
            </w:r>
            <w:r>
              <w:rPr>
                <w:rStyle w:val="CommentReference"/>
                <w:b w:val="0"/>
                <w:noProof/>
                <w:color w:val="000000"/>
                <w:highlight w:val="black"/>
              </w:rPr>
              <w:t>''''''''''</w:t>
            </w:r>
            <w:r w:rsidR="004A1689" w:rsidRPr="008A0437">
              <w:rPr>
                <w:rStyle w:val="CommentReference"/>
                <w:b w:val="0"/>
              </w:rPr>
              <w:t>)</w:t>
            </w:r>
          </w:p>
        </w:tc>
      </w:tr>
    </w:tbl>
    <w:p w:rsidR="004A1689" w:rsidRPr="008A0437" w:rsidRDefault="00E7696B" w:rsidP="00915C99">
      <w:pPr>
        <w:keepNext/>
        <w:widowControl/>
        <w:ind w:left="720"/>
        <w:rPr>
          <w:rFonts w:ascii="Arial Narrow" w:hAnsi="Arial Narrow"/>
          <w:sz w:val="18"/>
        </w:rPr>
      </w:pPr>
      <w:r w:rsidRPr="008A0437">
        <w:rPr>
          <w:rFonts w:ascii="Arial Narrow" w:hAnsi="Arial Narrow"/>
          <w:sz w:val="18"/>
        </w:rPr>
        <w:t xml:space="preserve">^ The </w:t>
      </w:r>
      <w:r w:rsidR="00E91B50" w:rsidRPr="008A0437">
        <w:rPr>
          <w:rFonts w:ascii="Arial Narrow" w:hAnsi="Arial Narrow"/>
          <w:sz w:val="18"/>
        </w:rPr>
        <w:t>resubmission</w:t>
      </w:r>
      <w:r w:rsidRPr="008A0437">
        <w:rPr>
          <w:rFonts w:ascii="Arial Narrow" w:hAnsi="Arial Narrow"/>
          <w:sz w:val="18"/>
        </w:rPr>
        <w:t xml:space="preserve"> applies a post hoc adjustment to the nintedanib results via a matched patient cohort based on the ASCEND inclusion criteria. </w:t>
      </w:r>
      <w:r w:rsidR="00263C37" w:rsidRPr="008A0437">
        <w:rPr>
          <w:rFonts w:ascii="Arial Narrow" w:hAnsi="Arial Narrow"/>
          <w:sz w:val="18"/>
        </w:rPr>
        <w:t>T</w:t>
      </w:r>
      <w:r w:rsidRPr="008A0437">
        <w:rPr>
          <w:rFonts w:ascii="Arial Narrow" w:hAnsi="Arial Narrow"/>
          <w:sz w:val="18"/>
        </w:rPr>
        <w:t xml:space="preserve">he ASCEND trial recruited patients with an increased risk of disease progression.  In comparison to the inclusion criteria applied in the nintedanib phase 3 trials, the ASCEND trial required patients to have: (1) Clinical symptoms consistent with IPF of ≥ 12 months and diagnosis of IPF at least 6 months and no more than 48 months before randomisation; (2) Increased hurdle requirements for the diagnosis of IPF: patients with possible usual interstitial pneumonia without surgical lung biopsy were excluded.  </w:t>
      </w:r>
      <w:r w:rsidR="004A1689" w:rsidRPr="008A0437">
        <w:rPr>
          <w:rStyle w:val="CommentReference"/>
          <w:b w:val="0"/>
          <w:sz w:val="18"/>
        </w:rPr>
        <w:t xml:space="preserve">Abbreviations: FVC = forced vital capacity; HR = hazard ratio; </w:t>
      </w:r>
      <w:r w:rsidR="00F90534" w:rsidRPr="008A0437">
        <w:rPr>
          <w:rStyle w:val="CommentReference"/>
          <w:b w:val="0"/>
          <w:sz w:val="18"/>
        </w:rPr>
        <w:t>m</w:t>
      </w:r>
      <w:r w:rsidR="004A1689" w:rsidRPr="008A0437">
        <w:rPr>
          <w:rStyle w:val="CommentReference"/>
          <w:b w:val="0"/>
          <w:sz w:val="18"/>
        </w:rPr>
        <w:t xml:space="preserve">ITT = </w:t>
      </w:r>
      <w:r w:rsidR="00F90534" w:rsidRPr="008A0437">
        <w:rPr>
          <w:rStyle w:val="CommentReference"/>
          <w:b w:val="0"/>
          <w:sz w:val="18"/>
        </w:rPr>
        <w:t xml:space="preserve">modified </w:t>
      </w:r>
      <w:r w:rsidR="004A1689" w:rsidRPr="008A0437">
        <w:rPr>
          <w:rStyle w:val="CommentReference"/>
          <w:b w:val="0"/>
          <w:sz w:val="18"/>
        </w:rPr>
        <w:t xml:space="preserve">intention to treat; NR = not reported; NTB = nintedanib; RR = relative risk. </w:t>
      </w:r>
      <w:r w:rsidR="004A1689" w:rsidRPr="008A0437">
        <w:rPr>
          <w:rFonts w:ascii="Arial Narrow" w:hAnsi="Arial Narrow"/>
          <w:sz w:val="18"/>
        </w:rPr>
        <w:t>Source: Attachment 1 of the current submission</w:t>
      </w:r>
      <w:r w:rsidR="00F90534" w:rsidRPr="008A0437">
        <w:rPr>
          <w:rFonts w:ascii="Arial Narrow" w:hAnsi="Arial Narrow"/>
          <w:sz w:val="18"/>
        </w:rPr>
        <w:t>.</w:t>
      </w:r>
    </w:p>
    <w:p w:rsidR="001C0E77" w:rsidRPr="008A0437" w:rsidRDefault="001C0E77" w:rsidP="00915C99">
      <w:pPr>
        <w:widowControl/>
        <w:rPr>
          <w:szCs w:val="22"/>
        </w:rPr>
      </w:pPr>
    </w:p>
    <w:p w:rsidR="00543196" w:rsidRPr="008A0437" w:rsidRDefault="00183E6F" w:rsidP="00915C99">
      <w:pPr>
        <w:pStyle w:val="ListParagraph"/>
        <w:widowControl/>
        <w:numPr>
          <w:ilvl w:val="1"/>
          <w:numId w:val="1"/>
        </w:numPr>
        <w:rPr>
          <w:szCs w:val="22"/>
        </w:rPr>
      </w:pPr>
      <w:r w:rsidRPr="008A0437">
        <w:rPr>
          <w:szCs w:val="22"/>
        </w:rPr>
        <w:t>In November 2015, the PBA</w:t>
      </w:r>
      <w:r w:rsidR="00F90534" w:rsidRPr="008A0437">
        <w:rPr>
          <w:szCs w:val="22"/>
        </w:rPr>
        <w:t xml:space="preserve">C considered that </w:t>
      </w:r>
      <w:r w:rsidRPr="008A0437">
        <w:rPr>
          <w:szCs w:val="22"/>
        </w:rPr>
        <w:t xml:space="preserve">interpretation of the indirect comparison with pirfenidone </w:t>
      </w:r>
      <w:r w:rsidR="00EF2FB8" w:rsidRPr="008A0437">
        <w:rPr>
          <w:szCs w:val="22"/>
        </w:rPr>
        <w:t>wa</w:t>
      </w:r>
      <w:r w:rsidRPr="008A0437">
        <w:rPr>
          <w:szCs w:val="22"/>
        </w:rPr>
        <w:t xml:space="preserve">s difficult given the differences in the trial populations and the outcomes. </w:t>
      </w:r>
      <w:r w:rsidR="00F90534" w:rsidRPr="008A0437">
        <w:rPr>
          <w:szCs w:val="22"/>
        </w:rPr>
        <w:t>A</w:t>
      </w:r>
      <w:r w:rsidR="00543196" w:rsidRPr="008A0437">
        <w:rPr>
          <w:szCs w:val="22"/>
        </w:rPr>
        <w:t xml:space="preserve"> network meta-analys</w:t>
      </w:r>
      <w:r w:rsidR="00D64ACB" w:rsidRPr="008A0437">
        <w:rPr>
          <w:szCs w:val="22"/>
        </w:rPr>
        <w:t>i</w:t>
      </w:r>
      <w:r w:rsidR="00543196" w:rsidRPr="008A0437">
        <w:rPr>
          <w:szCs w:val="22"/>
        </w:rPr>
        <w:t>s published by Loveman et al 2015</w:t>
      </w:r>
      <w:r w:rsidRPr="008A0437">
        <w:rPr>
          <w:szCs w:val="22"/>
        </w:rPr>
        <w:t xml:space="preserve"> provided conflicting data which suggested a trend to better overall survival for pirfenidone (OR = 1.39, 95% CI: 0.70, 2.82), but a superior benefit in slowing FVC decline for nintedanib (OR = 0.67, 95% CI: 0.51, 0.88) and a trend to better </w:t>
      </w:r>
      <w:r w:rsidRPr="008A0437">
        <w:rPr>
          <w:szCs w:val="22"/>
        </w:rPr>
        <w:lastRenderedPageBreak/>
        <w:t xml:space="preserve">prevention of exacerbations with nintedanib (no OR provided but only nintedanib had a superior result to placebo). </w:t>
      </w:r>
      <w:r w:rsidR="00F90534" w:rsidRPr="008A0437">
        <w:rPr>
          <w:szCs w:val="22"/>
        </w:rPr>
        <w:t xml:space="preserve">The </w:t>
      </w:r>
      <w:r w:rsidR="00543196" w:rsidRPr="008A0437">
        <w:rPr>
          <w:szCs w:val="22"/>
        </w:rPr>
        <w:t>PBAC considered both drugs are likely to be similarly clinically effective (</w:t>
      </w:r>
      <w:r w:rsidR="00B6130B">
        <w:rPr>
          <w:szCs w:val="22"/>
        </w:rPr>
        <w:t xml:space="preserve">nintedanib </w:t>
      </w:r>
      <w:r w:rsidR="00543196" w:rsidRPr="008A0437">
        <w:rPr>
          <w:szCs w:val="22"/>
        </w:rPr>
        <w:t xml:space="preserve">November 2015 PSD, </w:t>
      </w:r>
      <w:r w:rsidR="005638B6" w:rsidRPr="008A0437">
        <w:rPr>
          <w:szCs w:val="22"/>
        </w:rPr>
        <w:t>p</w:t>
      </w:r>
      <w:r w:rsidR="00543196" w:rsidRPr="008A0437">
        <w:rPr>
          <w:szCs w:val="22"/>
        </w:rPr>
        <w:t>aragraph 7.11)</w:t>
      </w:r>
      <w:r w:rsidR="00D45FDC" w:rsidRPr="008A0437">
        <w:rPr>
          <w:szCs w:val="22"/>
        </w:rPr>
        <w:t>.</w:t>
      </w:r>
    </w:p>
    <w:p w:rsidR="00543196" w:rsidRPr="002A78FC" w:rsidRDefault="00543196" w:rsidP="00915C99">
      <w:pPr>
        <w:widowControl/>
        <w:rPr>
          <w:szCs w:val="22"/>
        </w:rPr>
      </w:pPr>
    </w:p>
    <w:p w:rsidR="00543196" w:rsidRPr="008A0437" w:rsidRDefault="00183E6F" w:rsidP="00915C99">
      <w:pPr>
        <w:pStyle w:val="ListParagraph"/>
        <w:widowControl/>
        <w:numPr>
          <w:ilvl w:val="1"/>
          <w:numId w:val="1"/>
        </w:numPr>
        <w:rPr>
          <w:szCs w:val="22"/>
        </w:rPr>
      </w:pPr>
      <w:r w:rsidRPr="008A0437">
        <w:rPr>
          <w:szCs w:val="22"/>
        </w:rPr>
        <w:t>T</w:t>
      </w:r>
      <w:r w:rsidR="00543196" w:rsidRPr="008A0437">
        <w:rPr>
          <w:szCs w:val="22"/>
        </w:rPr>
        <w:t xml:space="preserve">he </w:t>
      </w:r>
      <w:r w:rsidR="00F90534" w:rsidRPr="008A0437">
        <w:rPr>
          <w:szCs w:val="22"/>
        </w:rPr>
        <w:t>re</w:t>
      </w:r>
      <w:r w:rsidR="00543196" w:rsidRPr="008A0437">
        <w:rPr>
          <w:szCs w:val="22"/>
        </w:rPr>
        <w:t xml:space="preserve">submission identified a Bayesian </w:t>
      </w:r>
      <w:r w:rsidRPr="008A0437">
        <w:rPr>
          <w:szCs w:val="22"/>
        </w:rPr>
        <w:t>m</w:t>
      </w:r>
      <w:r w:rsidR="00543196" w:rsidRPr="008A0437">
        <w:rPr>
          <w:szCs w:val="22"/>
        </w:rPr>
        <w:t xml:space="preserve">eta-analysis by </w:t>
      </w:r>
      <w:r w:rsidR="006C0040" w:rsidRPr="008A0437">
        <w:rPr>
          <w:szCs w:val="22"/>
        </w:rPr>
        <w:t>Rochwerg</w:t>
      </w:r>
      <w:r w:rsidR="006C0040" w:rsidRPr="008A0437">
        <w:rPr>
          <w:szCs w:val="22"/>
          <w:vertAlign w:val="superscript"/>
        </w:rPr>
        <w:footnoteReference w:id="2"/>
      </w:r>
      <w:r w:rsidR="006C0040" w:rsidRPr="008A0437">
        <w:rPr>
          <w:szCs w:val="22"/>
        </w:rPr>
        <w:t xml:space="preserve"> </w:t>
      </w:r>
      <w:r w:rsidR="00F90534" w:rsidRPr="008A0437">
        <w:rPr>
          <w:szCs w:val="22"/>
        </w:rPr>
        <w:t>et al</w:t>
      </w:r>
      <w:r w:rsidR="00543196" w:rsidRPr="008A0437">
        <w:rPr>
          <w:szCs w:val="22"/>
        </w:rPr>
        <w:t xml:space="preserve"> (2016) </w:t>
      </w:r>
      <w:r w:rsidRPr="008A0437">
        <w:rPr>
          <w:szCs w:val="22"/>
        </w:rPr>
        <w:t xml:space="preserve">which compared </w:t>
      </w:r>
      <w:r w:rsidR="00543196" w:rsidRPr="008A0437">
        <w:rPr>
          <w:szCs w:val="22"/>
        </w:rPr>
        <w:t xml:space="preserve">treatments for IPF, and </w:t>
      </w:r>
      <w:r w:rsidRPr="008A0437">
        <w:rPr>
          <w:szCs w:val="22"/>
        </w:rPr>
        <w:t xml:space="preserve">graded </w:t>
      </w:r>
      <w:r w:rsidR="00543196" w:rsidRPr="008A0437">
        <w:rPr>
          <w:szCs w:val="22"/>
        </w:rPr>
        <w:t xml:space="preserve">the available evidence using GRADE criteria. The authors concluded that there was no significant difference </w:t>
      </w:r>
      <w:r w:rsidR="003940C4" w:rsidRPr="008A0437">
        <w:rPr>
          <w:szCs w:val="22"/>
        </w:rPr>
        <w:t xml:space="preserve">in mortality </w:t>
      </w:r>
      <w:r w:rsidR="00543196" w:rsidRPr="008A0437">
        <w:rPr>
          <w:szCs w:val="22"/>
        </w:rPr>
        <w:t>between nintedanib and pirfenidone, and that the certainty of the evidence for this was moderate.</w:t>
      </w:r>
      <w:r w:rsidR="00D64ACB" w:rsidRPr="008A0437">
        <w:rPr>
          <w:szCs w:val="22"/>
        </w:rPr>
        <w:t xml:space="preserve"> </w:t>
      </w:r>
      <w:r w:rsidR="00543196" w:rsidRPr="008A0437">
        <w:rPr>
          <w:szCs w:val="22"/>
        </w:rPr>
        <w:t>These results were consistent with those of Loveman (2015).</w:t>
      </w:r>
    </w:p>
    <w:p w:rsidR="00536DB7" w:rsidRPr="002A78FC" w:rsidRDefault="00536DB7" w:rsidP="00915C99">
      <w:pPr>
        <w:widowControl/>
        <w:rPr>
          <w:szCs w:val="22"/>
        </w:rPr>
      </w:pPr>
    </w:p>
    <w:p w:rsidR="00536DB7" w:rsidRPr="008A0437" w:rsidRDefault="00536DB7" w:rsidP="00915C99">
      <w:pPr>
        <w:pStyle w:val="ListParagraph"/>
        <w:widowControl/>
        <w:numPr>
          <w:ilvl w:val="1"/>
          <w:numId w:val="1"/>
        </w:numPr>
        <w:rPr>
          <w:szCs w:val="22"/>
        </w:rPr>
      </w:pPr>
      <w:r w:rsidRPr="008A0437">
        <w:rPr>
          <w:szCs w:val="22"/>
        </w:rPr>
        <w:t>The PSCR identified an additional meta-analysis</w:t>
      </w:r>
      <w:r w:rsidR="007F0CF6" w:rsidRPr="008A0437">
        <w:rPr>
          <w:szCs w:val="22"/>
        </w:rPr>
        <w:t>, Rogliani et al 2016</w:t>
      </w:r>
      <w:r w:rsidR="007F0CF6" w:rsidRPr="008A0437">
        <w:rPr>
          <w:vertAlign w:val="superscript"/>
        </w:rPr>
        <w:footnoteReference w:id="3"/>
      </w:r>
      <w:r w:rsidR="007F0CF6" w:rsidRPr="008A0437">
        <w:rPr>
          <w:szCs w:val="22"/>
        </w:rPr>
        <w:t xml:space="preserve">, </w:t>
      </w:r>
      <w:r w:rsidR="00F90534" w:rsidRPr="008A0437">
        <w:rPr>
          <w:szCs w:val="22"/>
        </w:rPr>
        <w:t>which compared</w:t>
      </w:r>
      <w:r w:rsidR="007F0CF6" w:rsidRPr="008A0437">
        <w:rPr>
          <w:szCs w:val="22"/>
        </w:rPr>
        <w:t xml:space="preserve"> nintedanib, pirfenidone and N-acetylcysteine patients with IPF.</w:t>
      </w:r>
      <w:r w:rsidRPr="008A0437">
        <w:rPr>
          <w:szCs w:val="22"/>
        </w:rPr>
        <w:t xml:space="preserve"> The PSCR stated that the findings in this publication are consistent with the conclusions in Loveman 2015, suggesting a signal for greater effectiveness for nintedanib in </w:t>
      </w:r>
      <w:r w:rsidR="00051E46" w:rsidRPr="008A0437">
        <w:rPr>
          <w:szCs w:val="22"/>
        </w:rPr>
        <w:t xml:space="preserve">slowing decline in </w:t>
      </w:r>
      <w:r w:rsidRPr="008A0437">
        <w:rPr>
          <w:szCs w:val="22"/>
        </w:rPr>
        <w:t xml:space="preserve">FVC, compared with pirfenidone. The </w:t>
      </w:r>
      <w:r w:rsidR="00051E46" w:rsidRPr="008A0437">
        <w:rPr>
          <w:szCs w:val="22"/>
        </w:rPr>
        <w:t>PSCR</w:t>
      </w:r>
      <w:r w:rsidRPr="008A0437">
        <w:rPr>
          <w:szCs w:val="22"/>
        </w:rPr>
        <w:t xml:space="preserve"> also </w:t>
      </w:r>
      <w:r w:rsidR="00051E46" w:rsidRPr="008A0437">
        <w:rPr>
          <w:szCs w:val="22"/>
        </w:rPr>
        <w:t xml:space="preserve">stated that nintedanib </w:t>
      </w:r>
      <w:r w:rsidR="00F90534" w:rsidRPr="008A0437">
        <w:rPr>
          <w:szCs w:val="22"/>
        </w:rPr>
        <w:t>was the only treatment to result in</w:t>
      </w:r>
      <w:r w:rsidR="00051E46" w:rsidRPr="008A0437">
        <w:rPr>
          <w:szCs w:val="22"/>
        </w:rPr>
        <w:t xml:space="preserve"> a statistically </w:t>
      </w:r>
      <w:r w:rsidR="00E20393" w:rsidRPr="008A0437">
        <w:rPr>
          <w:szCs w:val="22"/>
        </w:rPr>
        <w:t>significant</w:t>
      </w:r>
      <w:r w:rsidR="00051E46" w:rsidRPr="008A0437">
        <w:rPr>
          <w:szCs w:val="22"/>
        </w:rPr>
        <w:t xml:space="preserve"> reduction in</w:t>
      </w:r>
      <w:r w:rsidR="006C40AC" w:rsidRPr="008A0437">
        <w:rPr>
          <w:szCs w:val="22"/>
        </w:rPr>
        <w:t xml:space="preserve"> t</w:t>
      </w:r>
      <w:r w:rsidR="00051E46" w:rsidRPr="008A0437">
        <w:rPr>
          <w:szCs w:val="22"/>
        </w:rPr>
        <w:t>h</w:t>
      </w:r>
      <w:r w:rsidR="006C40AC" w:rsidRPr="008A0437">
        <w:rPr>
          <w:szCs w:val="22"/>
        </w:rPr>
        <w:t>e</w:t>
      </w:r>
      <w:r w:rsidR="00051E46" w:rsidRPr="008A0437">
        <w:rPr>
          <w:szCs w:val="22"/>
        </w:rPr>
        <w:t xml:space="preserve"> risk of acute IPF exacerbations and mortality</w:t>
      </w:r>
      <w:r w:rsidR="00C234B2" w:rsidRPr="008A0437">
        <w:rPr>
          <w:szCs w:val="22"/>
        </w:rPr>
        <w:t>, compared with placebo</w:t>
      </w:r>
      <w:r w:rsidRPr="008A0437">
        <w:rPr>
          <w:szCs w:val="22"/>
        </w:rPr>
        <w:t>.</w:t>
      </w:r>
      <w:r w:rsidR="00611EED" w:rsidRPr="008A0437">
        <w:rPr>
          <w:szCs w:val="22"/>
        </w:rPr>
        <w:t xml:space="preserve"> T</w:t>
      </w:r>
      <w:r w:rsidR="00C6096D" w:rsidRPr="008A0437">
        <w:rPr>
          <w:szCs w:val="22"/>
        </w:rPr>
        <w:t>he ESC noted the concluding statement in the paper that “the precautionary approach of…not strongly recommending specific medication for use in IPF is understandable. Further precaution should be taken in transposing the resul</w:t>
      </w:r>
      <w:r w:rsidR="006A7C4F" w:rsidRPr="008A0437">
        <w:rPr>
          <w:szCs w:val="22"/>
        </w:rPr>
        <w:t>ts obtained from different meta</w:t>
      </w:r>
      <w:r w:rsidR="006A7C4F" w:rsidRPr="008A0437">
        <w:rPr>
          <w:szCs w:val="22"/>
        </w:rPr>
        <w:noBreakHyphen/>
      </w:r>
      <w:r w:rsidR="00C6096D" w:rsidRPr="008A0437">
        <w:rPr>
          <w:szCs w:val="22"/>
        </w:rPr>
        <w:t xml:space="preserve">analysis in every day clinical practice…methodological </w:t>
      </w:r>
      <w:r w:rsidR="009E2748" w:rsidRPr="008A0437">
        <w:rPr>
          <w:szCs w:val="22"/>
        </w:rPr>
        <w:t>discrepancies</w:t>
      </w:r>
      <w:r w:rsidR="00C6096D" w:rsidRPr="008A0437">
        <w:rPr>
          <w:szCs w:val="22"/>
        </w:rPr>
        <w:t xml:space="preserve"> across meta-analysis may led [sic] to different results.”</w:t>
      </w:r>
    </w:p>
    <w:p w:rsidR="00A44132" w:rsidRPr="008A0437" w:rsidRDefault="00A44132" w:rsidP="00915C99">
      <w:pPr>
        <w:widowControl/>
        <w:rPr>
          <w:szCs w:val="22"/>
        </w:rPr>
      </w:pPr>
    </w:p>
    <w:p w:rsidR="00B60939" w:rsidRPr="008A0437" w:rsidRDefault="00B60939" w:rsidP="00915C99">
      <w:pPr>
        <w:pStyle w:val="Heading2"/>
        <w:keepNext/>
        <w:widowControl/>
        <w:rPr>
          <w:i/>
        </w:rPr>
      </w:pPr>
      <w:bookmarkStart w:id="8" w:name="_Toc459120721"/>
      <w:r w:rsidRPr="008A0437">
        <w:rPr>
          <w:i/>
        </w:rPr>
        <w:t>Comparative harms</w:t>
      </w:r>
      <w:bookmarkEnd w:id="8"/>
    </w:p>
    <w:p w:rsidR="00B60939" w:rsidRPr="008A0437" w:rsidRDefault="00B60939" w:rsidP="00915C99">
      <w:pPr>
        <w:keepNext/>
        <w:widowControl/>
        <w:ind w:left="720" w:hanging="720"/>
        <w:rPr>
          <w:szCs w:val="22"/>
        </w:rPr>
      </w:pPr>
    </w:p>
    <w:p w:rsidR="00E32357" w:rsidRPr="008A0437" w:rsidRDefault="00E32357" w:rsidP="00915C99">
      <w:pPr>
        <w:pStyle w:val="ListParagraph"/>
        <w:widowControl/>
        <w:numPr>
          <w:ilvl w:val="1"/>
          <w:numId w:val="1"/>
        </w:numPr>
        <w:rPr>
          <w:szCs w:val="22"/>
        </w:rPr>
      </w:pPr>
      <w:r w:rsidRPr="008A0437">
        <w:rPr>
          <w:szCs w:val="22"/>
        </w:rPr>
        <w:t xml:space="preserve">Key results from the meta-analyses of safety outcomes are presented in Table </w:t>
      </w:r>
      <w:r w:rsidR="001E24CD" w:rsidRPr="008A0437">
        <w:rPr>
          <w:szCs w:val="22"/>
        </w:rPr>
        <w:t>6</w:t>
      </w:r>
      <w:r w:rsidRPr="008A0437">
        <w:rPr>
          <w:szCs w:val="22"/>
        </w:rPr>
        <w:t>.</w:t>
      </w:r>
    </w:p>
    <w:p w:rsidR="00E32357" w:rsidRPr="008A0437" w:rsidRDefault="00E32357" w:rsidP="00915C99">
      <w:pPr>
        <w:widowControl/>
        <w:rPr>
          <w:szCs w:val="22"/>
        </w:rPr>
      </w:pPr>
    </w:p>
    <w:p w:rsidR="00E32357" w:rsidRPr="008A0437" w:rsidRDefault="00E32357" w:rsidP="00915C99">
      <w:pPr>
        <w:keepNext/>
        <w:widowControl/>
        <w:ind w:firstLine="720"/>
        <w:rPr>
          <w:rStyle w:val="CommentReference"/>
        </w:rPr>
      </w:pPr>
      <w:r w:rsidRPr="008A0437">
        <w:rPr>
          <w:rStyle w:val="CommentReference"/>
        </w:rPr>
        <w:t xml:space="preserve">Table </w:t>
      </w:r>
      <w:r w:rsidR="001E24CD" w:rsidRPr="008A0437">
        <w:rPr>
          <w:rStyle w:val="CommentReference"/>
        </w:rPr>
        <w:t>6</w:t>
      </w:r>
      <w:r w:rsidRPr="008A0437">
        <w:rPr>
          <w:rStyle w:val="CommentReference"/>
        </w:rPr>
        <w:t>: Summary of the meta-analyses of key safety outcomes from the nintedanib trials</w:t>
      </w:r>
    </w:p>
    <w:tbl>
      <w:tblPr>
        <w:tblStyle w:val="TableGrid"/>
        <w:tblW w:w="4594" w:type="pct"/>
        <w:tblInd w:w="737" w:type="dxa"/>
        <w:tblCellMar>
          <w:left w:w="28" w:type="dxa"/>
          <w:right w:w="28" w:type="dxa"/>
        </w:tblCellMar>
        <w:tblLook w:val="04A0" w:firstRow="1" w:lastRow="0" w:firstColumn="1" w:lastColumn="0" w:noHBand="0" w:noVBand="1"/>
        <w:tblCaption w:val="Summary of the meta-analyses of key safety outcomes from the nintedanib trials"/>
      </w:tblPr>
      <w:tblGrid>
        <w:gridCol w:w="4172"/>
        <w:gridCol w:w="4173"/>
      </w:tblGrid>
      <w:tr w:rsidR="00E32357" w:rsidRPr="008A0437" w:rsidTr="00E32357">
        <w:trPr>
          <w:tblHeader/>
        </w:trPr>
        <w:tc>
          <w:tcPr>
            <w:tcW w:w="2500" w:type="pct"/>
            <w:vAlign w:val="center"/>
          </w:tcPr>
          <w:p w:rsidR="00E32357" w:rsidRPr="008A0437" w:rsidRDefault="007B6D04" w:rsidP="00915C99">
            <w:pPr>
              <w:keepNext/>
              <w:widowControl/>
              <w:jc w:val="left"/>
              <w:rPr>
                <w:rStyle w:val="CommentReference"/>
              </w:rPr>
            </w:pPr>
            <w:r w:rsidRPr="008A0437">
              <w:rPr>
                <w:rStyle w:val="CommentReference"/>
              </w:rPr>
              <w:t>Safety outcomes</w:t>
            </w:r>
          </w:p>
        </w:tc>
        <w:tc>
          <w:tcPr>
            <w:tcW w:w="2500" w:type="pct"/>
            <w:vAlign w:val="center"/>
          </w:tcPr>
          <w:p w:rsidR="00E32357" w:rsidRPr="008A0437" w:rsidRDefault="00E32357" w:rsidP="00915C99">
            <w:pPr>
              <w:keepNext/>
              <w:widowControl/>
              <w:jc w:val="center"/>
              <w:rPr>
                <w:rStyle w:val="CommentReference"/>
              </w:rPr>
            </w:pPr>
            <w:r w:rsidRPr="008A0437">
              <w:rPr>
                <w:rStyle w:val="CommentReference"/>
              </w:rPr>
              <w:t>Meta-analysis (Trial 30, 32 &amp; 34): RR (95% CI)</w:t>
            </w:r>
          </w:p>
        </w:tc>
      </w:tr>
      <w:tr w:rsidR="00E32357" w:rsidRPr="008A0437" w:rsidTr="00E32357">
        <w:tc>
          <w:tcPr>
            <w:tcW w:w="5000" w:type="pct"/>
            <w:gridSpan w:val="2"/>
            <w:vAlign w:val="center"/>
          </w:tcPr>
          <w:p w:rsidR="00E32357" w:rsidRPr="008A0437" w:rsidRDefault="00E32357" w:rsidP="00915C99">
            <w:pPr>
              <w:keepNext/>
              <w:widowControl/>
              <w:jc w:val="left"/>
              <w:rPr>
                <w:rStyle w:val="CommentReference"/>
              </w:rPr>
            </w:pPr>
            <w:r w:rsidRPr="008A0437">
              <w:rPr>
                <w:rStyle w:val="CommentReference"/>
              </w:rPr>
              <w:t>Overall safety outcomes</w:t>
            </w:r>
          </w:p>
        </w:tc>
      </w:tr>
      <w:tr w:rsidR="00E32357" w:rsidRPr="008A0437" w:rsidTr="00E32357">
        <w:tc>
          <w:tcPr>
            <w:tcW w:w="2500" w:type="pct"/>
            <w:vAlign w:val="center"/>
          </w:tcPr>
          <w:p w:rsidR="00E32357" w:rsidRPr="008A0437" w:rsidRDefault="00E32357" w:rsidP="00915C99">
            <w:pPr>
              <w:keepNext/>
              <w:widowControl/>
              <w:jc w:val="left"/>
              <w:rPr>
                <w:rStyle w:val="CommentReference"/>
                <w:b w:val="0"/>
              </w:rPr>
            </w:pPr>
            <w:r w:rsidRPr="008A0437">
              <w:rPr>
                <w:rStyle w:val="CommentReference"/>
                <w:b w:val="0"/>
              </w:rPr>
              <w:t>Number of patients with any AEs</w:t>
            </w:r>
          </w:p>
        </w:tc>
        <w:tc>
          <w:tcPr>
            <w:tcW w:w="2500" w:type="pct"/>
            <w:vAlign w:val="center"/>
          </w:tcPr>
          <w:p w:rsidR="00E32357" w:rsidRPr="008A0437" w:rsidRDefault="00E32357" w:rsidP="00915C99">
            <w:pPr>
              <w:keepNext/>
              <w:widowControl/>
              <w:jc w:val="center"/>
              <w:rPr>
                <w:rStyle w:val="CommentReference"/>
                <w:b w:val="0"/>
              </w:rPr>
            </w:pPr>
            <w:r w:rsidRPr="008A0437">
              <w:rPr>
                <w:rStyle w:val="CommentReference"/>
                <w:b w:val="0"/>
              </w:rPr>
              <w:t>1.06 (1.03, 1.10)</w:t>
            </w:r>
          </w:p>
        </w:tc>
      </w:tr>
      <w:tr w:rsidR="00E32357" w:rsidRPr="008A0437" w:rsidTr="00E32357">
        <w:tc>
          <w:tcPr>
            <w:tcW w:w="2500" w:type="pct"/>
            <w:vAlign w:val="center"/>
          </w:tcPr>
          <w:p w:rsidR="00E32357" w:rsidRPr="008A0437" w:rsidRDefault="00E32357" w:rsidP="00915C99">
            <w:pPr>
              <w:keepNext/>
              <w:widowControl/>
              <w:jc w:val="left"/>
              <w:rPr>
                <w:rStyle w:val="CommentReference"/>
                <w:b w:val="0"/>
              </w:rPr>
            </w:pPr>
            <w:r w:rsidRPr="008A0437">
              <w:rPr>
                <w:rStyle w:val="CommentReference"/>
                <w:b w:val="0"/>
              </w:rPr>
              <w:t>Drug related AEs</w:t>
            </w:r>
          </w:p>
        </w:tc>
        <w:tc>
          <w:tcPr>
            <w:tcW w:w="2500" w:type="pct"/>
            <w:vAlign w:val="center"/>
          </w:tcPr>
          <w:p w:rsidR="00E32357" w:rsidRPr="008A0437" w:rsidRDefault="00E32357" w:rsidP="00915C99">
            <w:pPr>
              <w:keepNext/>
              <w:widowControl/>
              <w:jc w:val="center"/>
              <w:rPr>
                <w:rStyle w:val="CommentReference"/>
                <w:b w:val="0"/>
              </w:rPr>
            </w:pPr>
            <w:r w:rsidRPr="008A0437">
              <w:rPr>
                <w:rStyle w:val="CommentReference"/>
                <w:b w:val="0"/>
              </w:rPr>
              <w:t>2.45 (2.12, 2.83)</w:t>
            </w:r>
          </w:p>
        </w:tc>
      </w:tr>
      <w:tr w:rsidR="00E32357" w:rsidRPr="008A0437" w:rsidTr="00E32357">
        <w:tc>
          <w:tcPr>
            <w:tcW w:w="5000" w:type="pct"/>
            <w:gridSpan w:val="2"/>
            <w:vAlign w:val="center"/>
          </w:tcPr>
          <w:p w:rsidR="00E32357" w:rsidRPr="008A0437" w:rsidRDefault="00E32357" w:rsidP="00915C99">
            <w:pPr>
              <w:keepNext/>
              <w:widowControl/>
              <w:jc w:val="left"/>
              <w:rPr>
                <w:rStyle w:val="CommentReference"/>
                <w:b w:val="0"/>
              </w:rPr>
            </w:pPr>
            <w:r w:rsidRPr="008A0437">
              <w:rPr>
                <w:rStyle w:val="CommentReference"/>
              </w:rPr>
              <w:t>Common adverse events (&gt;5%)</w:t>
            </w:r>
          </w:p>
        </w:tc>
      </w:tr>
      <w:tr w:rsidR="00E32357" w:rsidRPr="008A0437" w:rsidTr="00E32357">
        <w:tc>
          <w:tcPr>
            <w:tcW w:w="2500" w:type="pct"/>
            <w:vAlign w:val="center"/>
          </w:tcPr>
          <w:p w:rsidR="00E32357" w:rsidRPr="008A0437" w:rsidRDefault="00E32357" w:rsidP="00915C99">
            <w:pPr>
              <w:keepNext/>
              <w:widowControl/>
              <w:jc w:val="left"/>
              <w:rPr>
                <w:rStyle w:val="CommentReference"/>
                <w:b w:val="0"/>
              </w:rPr>
            </w:pPr>
            <w:r w:rsidRPr="008A0437">
              <w:rPr>
                <w:rStyle w:val="CommentReference"/>
                <w:b w:val="0"/>
              </w:rPr>
              <w:t>Diarrhoea</w:t>
            </w:r>
          </w:p>
        </w:tc>
        <w:tc>
          <w:tcPr>
            <w:tcW w:w="2500" w:type="pct"/>
            <w:vAlign w:val="center"/>
          </w:tcPr>
          <w:p w:rsidR="00E32357" w:rsidRPr="008A0437" w:rsidRDefault="00E32357" w:rsidP="00915C99">
            <w:pPr>
              <w:keepNext/>
              <w:widowControl/>
              <w:jc w:val="center"/>
              <w:rPr>
                <w:rStyle w:val="CommentReference"/>
                <w:b w:val="0"/>
              </w:rPr>
            </w:pPr>
            <w:r w:rsidRPr="008A0437">
              <w:rPr>
                <w:rStyle w:val="CommentReference"/>
                <w:b w:val="0"/>
              </w:rPr>
              <w:t>3.41 (2.81, 4.15)</w:t>
            </w:r>
          </w:p>
        </w:tc>
      </w:tr>
      <w:tr w:rsidR="00E32357" w:rsidRPr="008A0437" w:rsidTr="00E32357">
        <w:tc>
          <w:tcPr>
            <w:tcW w:w="2500" w:type="pct"/>
            <w:vAlign w:val="center"/>
          </w:tcPr>
          <w:p w:rsidR="00E32357" w:rsidRPr="008A0437" w:rsidRDefault="00E32357" w:rsidP="00915C99">
            <w:pPr>
              <w:keepNext/>
              <w:widowControl/>
              <w:jc w:val="left"/>
              <w:rPr>
                <w:rStyle w:val="CommentReference"/>
                <w:b w:val="0"/>
              </w:rPr>
            </w:pPr>
            <w:r w:rsidRPr="008A0437">
              <w:rPr>
                <w:rStyle w:val="CommentReference"/>
                <w:b w:val="0"/>
              </w:rPr>
              <w:t>Nausea</w:t>
            </w:r>
          </w:p>
        </w:tc>
        <w:tc>
          <w:tcPr>
            <w:tcW w:w="2500" w:type="pct"/>
            <w:vAlign w:val="center"/>
          </w:tcPr>
          <w:p w:rsidR="00E32357" w:rsidRPr="008A0437" w:rsidRDefault="00E32357" w:rsidP="00915C99">
            <w:pPr>
              <w:keepNext/>
              <w:widowControl/>
              <w:jc w:val="center"/>
              <w:rPr>
                <w:rStyle w:val="CommentReference"/>
                <w:b w:val="0"/>
              </w:rPr>
            </w:pPr>
            <w:r w:rsidRPr="008A0437">
              <w:rPr>
                <w:rStyle w:val="CommentReference"/>
                <w:b w:val="0"/>
              </w:rPr>
              <w:t>3.41 (2.42, 4.81)</w:t>
            </w:r>
          </w:p>
        </w:tc>
      </w:tr>
      <w:tr w:rsidR="00E32357" w:rsidRPr="008A0437" w:rsidTr="00E32357">
        <w:tc>
          <w:tcPr>
            <w:tcW w:w="2500" w:type="pct"/>
            <w:vAlign w:val="center"/>
          </w:tcPr>
          <w:p w:rsidR="00E32357" w:rsidRPr="008A0437" w:rsidRDefault="00E32357" w:rsidP="00915C99">
            <w:pPr>
              <w:keepNext/>
              <w:widowControl/>
              <w:jc w:val="left"/>
              <w:rPr>
                <w:rStyle w:val="CommentReference"/>
                <w:b w:val="0"/>
              </w:rPr>
            </w:pPr>
            <w:r w:rsidRPr="008A0437">
              <w:rPr>
                <w:rStyle w:val="CommentReference"/>
                <w:b w:val="0"/>
              </w:rPr>
              <w:t>Vomiting</w:t>
            </w:r>
          </w:p>
        </w:tc>
        <w:tc>
          <w:tcPr>
            <w:tcW w:w="2500" w:type="pct"/>
            <w:vAlign w:val="center"/>
          </w:tcPr>
          <w:p w:rsidR="00E32357" w:rsidRPr="008A0437" w:rsidRDefault="00E32357" w:rsidP="00915C99">
            <w:pPr>
              <w:keepNext/>
              <w:widowControl/>
              <w:jc w:val="center"/>
              <w:rPr>
                <w:rStyle w:val="CommentReference"/>
                <w:b w:val="0"/>
              </w:rPr>
            </w:pPr>
            <w:r w:rsidRPr="008A0437">
              <w:rPr>
                <w:rStyle w:val="CommentReference"/>
                <w:b w:val="0"/>
              </w:rPr>
              <w:t>3.82 (2.22, 6.58)</w:t>
            </w:r>
          </w:p>
        </w:tc>
      </w:tr>
      <w:tr w:rsidR="00E32357" w:rsidRPr="008A0437" w:rsidTr="00E32357">
        <w:tc>
          <w:tcPr>
            <w:tcW w:w="2500" w:type="pct"/>
            <w:vAlign w:val="center"/>
          </w:tcPr>
          <w:p w:rsidR="00E32357" w:rsidRPr="008A0437" w:rsidRDefault="00E32357" w:rsidP="00915C99">
            <w:pPr>
              <w:keepNext/>
              <w:widowControl/>
              <w:jc w:val="left"/>
              <w:rPr>
                <w:rStyle w:val="CommentReference"/>
                <w:b w:val="0"/>
              </w:rPr>
            </w:pPr>
            <w:r w:rsidRPr="008A0437">
              <w:rPr>
                <w:rStyle w:val="CommentReference"/>
                <w:b w:val="0"/>
              </w:rPr>
              <w:t>Dyspnoea</w:t>
            </w:r>
          </w:p>
        </w:tc>
        <w:tc>
          <w:tcPr>
            <w:tcW w:w="2500" w:type="pct"/>
            <w:vAlign w:val="center"/>
          </w:tcPr>
          <w:p w:rsidR="00E32357" w:rsidRPr="008A0437" w:rsidRDefault="00E32357" w:rsidP="00915C99">
            <w:pPr>
              <w:keepNext/>
              <w:widowControl/>
              <w:jc w:val="center"/>
              <w:rPr>
                <w:rStyle w:val="CommentReference"/>
                <w:b w:val="0"/>
              </w:rPr>
            </w:pPr>
            <w:r w:rsidRPr="008A0437">
              <w:rPr>
                <w:rStyle w:val="CommentReference"/>
                <w:b w:val="0"/>
              </w:rPr>
              <w:t>0.66 (0.46, 0.93)</w:t>
            </w:r>
          </w:p>
        </w:tc>
      </w:tr>
    </w:tbl>
    <w:p w:rsidR="00E32357" w:rsidRPr="008A0437" w:rsidRDefault="00E32357" w:rsidP="00915C99">
      <w:pPr>
        <w:pStyle w:val="TableFooter"/>
        <w:keepNext/>
        <w:widowControl/>
        <w:ind w:firstLine="720"/>
      </w:pPr>
      <w:r w:rsidRPr="008A0437">
        <w:t>Abbreviations: AE = adverse event</w:t>
      </w:r>
      <w:r w:rsidR="002A78FC">
        <w:t>; SAE = serious adverse event.</w:t>
      </w:r>
    </w:p>
    <w:p w:rsidR="00B60939" w:rsidRPr="008A0437" w:rsidRDefault="00E32357" w:rsidP="00915C99">
      <w:pPr>
        <w:pStyle w:val="TableFooter"/>
        <w:widowControl/>
        <w:ind w:firstLine="720"/>
      </w:pPr>
      <w:r w:rsidRPr="008A0437">
        <w:t xml:space="preserve">Source: </w:t>
      </w:r>
      <w:r w:rsidR="00E87B8D" w:rsidRPr="008A0437">
        <w:t xml:space="preserve">Table B.6-15, </w:t>
      </w:r>
      <w:r w:rsidR="00BF0D4F" w:rsidRPr="008A0437">
        <w:t>p118 and Table B.8-1, p139 of the current submission.</w:t>
      </w:r>
    </w:p>
    <w:p w:rsidR="00BF0D4F" w:rsidRPr="002A78FC" w:rsidRDefault="00BF0D4F" w:rsidP="002A78FC">
      <w:pPr>
        <w:pStyle w:val="TableFooter"/>
        <w:widowControl/>
        <w:rPr>
          <w:rFonts w:ascii="Arial" w:hAnsi="Arial"/>
          <w:sz w:val="22"/>
          <w:szCs w:val="22"/>
        </w:rPr>
      </w:pPr>
    </w:p>
    <w:p w:rsidR="00E32357" w:rsidRPr="00F553EF" w:rsidRDefault="00082DB4" w:rsidP="00915C99">
      <w:pPr>
        <w:pStyle w:val="ListParagraph"/>
        <w:widowControl/>
        <w:numPr>
          <w:ilvl w:val="1"/>
          <w:numId w:val="1"/>
        </w:numPr>
        <w:rPr>
          <w:szCs w:val="22"/>
        </w:rPr>
      </w:pPr>
      <w:r w:rsidRPr="008A0437">
        <w:rPr>
          <w:szCs w:val="22"/>
        </w:rPr>
        <w:t xml:space="preserve">In November 2015, </w:t>
      </w:r>
      <w:r w:rsidR="005638B6" w:rsidRPr="008A0437">
        <w:rPr>
          <w:szCs w:val="22"/>
        </w:rPr>
        <w:t>t</w:t>
      </w:r>
      <w:r w:rsidRPr="008A0437">
        <w:rPr>
          <w:szCs w:val="22"/>
        </w:rPr>
        <w:t>he PBAC noted there were higher incidences of thromboembolic events (3.8% vs 2.4%) and hypertension (5.2% vs 4.0%) in the nintedanib treatment arms, with a statistically significant difference in arterial thromboembolic events (RR</w:t>
      </w:r>
      <w:r w:rsidR="006E79F8" w:rsidRPr="008A0437">
        <w:rPr>
          <w:szCs w:val="22"/>
        </w:rPr>
        <w:t> </w:t>
      </w:r>
      <w:r w:rsidR="00D64ACB" w:rsidRPr="008A0437">
        <w:rPr>
          <w:szCs w:val="22"/>
        </w:rPr>
        <w:t xml:space="preserve">= </w:t>
      </w:r>
      <w:r w:rsidR="003B3717">
        <w:rPr>
          <w:noProof/>
          <w:color w:val="000000"/>
          <w:szCs w:val="22"/>
          <w:highlight w:val="black"/>
        </w:rPr>
        <w:t>''''''''''''</w:t>
      </w:r>
      <w:r w:rsidR="00D64ACB" w:rsidRPr="008A0437">
        <w:rPr>
          <w:szCs w:val="22"/>
        </w:rPr>
        <w:t xml:space="preserve">, 95% CI: </w:t>
      </w:r>
      <w:r w:rsidR="003B3717">
        <w:rPr>
          <w:noProof/>
          <w:color w:val="000000"/>
          <w:szCs w:val="22"/>
          <w:highlight w:val="black"/>
        </w:rPr>
        <w:t>'''''''''''</w:t>
      </w:r>
      <w:r w:rsidR="00D64ACB" w:rsidRPr="008A0437">
        <w:rPr>
          <w:szCs w:val="22"/>
        </w:rPr>
        <w:t xml:space="preserve">, </w:t>
      </w:r>
      <w:r w:rsidR="003B3717">
        <w:rPr>
          <w:noProof/>
          <w:color w:val="000000"/>
          <w:szCs w:val="22"/>
          <w:highlight w:val="black"/>
        </w:rPr>
        <w:t>''''''''''''''</w:t>
      </w:r>
      <w:r w:rsidR="00D64ACB" w:rsidRPr="008A0437">
        <w:rPr>
          <w:szCs w:val="22"/>
        </w:rPr>
        <w:t xml:space="preserve">). </w:t>
      </w:r>
      <w:r w:rsidRPr="008A0437">
        <w:rPr>
          <w:szCs w:val="22"/>
        </w:rPr>
        <w:t xml:space="preserve">The PBAC also considered that </w:t>
      </w:r>
      <w:r w:rsidR="00A713AE" w:rsidRPr="008A0437">
        <w:rPr>
          <w:szCs w:val="22"/>
        </w:rPr>
        <w:t>n</w:t>
      </w:r>
      <w:r w:rsidRPr="008A0437">
        <w:rPr>
          <w:szCs w:val="22"/>
        </w:rPr>
        <w:t xml:space="preserve">o evidence was available to determine whether these cardiovascular/thromboembolic safety signals would have any substantial impact upon </w:t>
      </w:r>
      <w:r w:rsidR="003316F0" w:rsidRPr="008A0437">
        <w:rPr>
          <w:szCs w:val="22"/>
        </w:rPr>
        <w:t>long-term</w:t>
      </w:r>
      <w:r w:rsidRPr="008A0437">
        <w:rPr>
          <w:szCs w:val="22"/>
        </w:rPr>
        <w:t xml:space="preserve"> patient risks (November 2015 </w:t>
      </w:r>
      <w:r w:rsidRPr="008A0437">
        <w:rPr>
          <w:szCs w:val="22"/>
        </w:rPr>
        <w:lastRenderedPageBreak/>
        <w:t>PSD, p</w:t>
      </w:r>
      <w:r w:rsidRPr="00F553EF">
        <w:rPr>
          <w:szCs w:val="22"/>
        </w:rPr>
        <w:t>aragraph 7.10).</w:t>
      </w:r>
      <w:r w:rsidR="00A713AE" w:rsidRPr="00F553EF">
        <w:rPr>
          <w:szCs w:val="22"/>
        </w:rPr>
        <w:t xml:space="preserve"> </w:t>
      </w:r>
      <w:r w:rsidR="009A3483" w:rsidRPr="00F553EF">
        <w:rPr>
          <w:szCs w:val="22"/>
        </w:rPr>
        <w:t>N</w:t>
      </w:r>
      <w:r w:rsidR="00A713AE" w:rsidRPr="00F553EF">
        <w:rPr>
          <w:szCs w:val="22"/>
        </w:rPr>
        <w:t xml:space="preserve">o new comparative safety evidence was presented in the current </w:t>
      </w:r>
      <w:r w:rsidR="00E91B50" w:rsidRPr="00F553EF">
        <w:rPr>
          <w:szCs w:val="22"/>
        </w:rPr>
        <w:t>resubmission</w:t>
      </w:r>
      <w:r w:rsidR="003473C3" w:rsidRPr="00F553EF">
        <w:rPr>
          <w:szCs w:val="22"/>
        </w:rPr>
        <w:t>.</w:t>
      </w:r>
    </w:p>
    <w:p w:rsidR="004671CE" w:rsidRPr="002A78FC" w:rsidRDefault="004671CE" w:rsidP="004671CE">
      <w:pPr>
        <w:widowControl/>
        <w:rPr>
          <w:szCs w:val="22"/>
        </w:rPr>
      </w:pPr>
    </w:p>
    <w:p w:rsidR="004671CE" w:rsidRPr="00F553EF" w:rsidRDefault="004671CE" w:rsidP="00915C99">
      <w:pPr>
        <w:pStyle w:val="ListParagraph"/>
        <w:widowControl/>
        <w:numPr>
          <w:ilvl w:val="1"/>
          <w:numId w:val="1"/>
        </w:numPr>
        <w:rPr>
          <w:szCs w:val="22"/>
        </w:rPr>
      </w:pPr>
      <w:r w:rsidRPr="00F553EF">
        <w:rPr>
          <w:szCs w:val="22"/>
        </w:rPr>
        <w:t>Common (&gt;5%) adverse events associated with pirfenidone include photosensitivity reaction, rash and gastrointestinal disorders (pirfenidone, November 2015 PSD, paragraphs 6.19 and 6.22).</w:t>
      </w:r>
    </w:p>
    <w:p w:rsidR="005529DC" w:rsidRPr="008A0437" w:rsidRDefault="005529DC" w:rsidP="00915C99">
      <w:pPr>
        <w:pStyle w:val="ListParagraph"/>
        <w:widowControl/>
        <w:ind w:left="0"/>
        <w:rPr>
          <w:szCs w:val="22"/>
        </w:rPr>
      </w:pPr>
    </w:p>
    <w:p w:rsidR="007F1017" w:rsidRPr="008A0437" w:rsidRDefault="007F1017" w:rsidP="00915C99">
      <w:pPr>
        <w:pStyle w:val="Heading2"/>
        <w:widowControl/>
        <w:rPr>
          <w:i/>
          <w:szCs w:val="22"/>
        </w:rPr>
      </w:pPr>
      <w:bookmarkStart w:id="9" w:name="_Toc459120722"/>
      <w:r w:rsidRPr="008A0437">
        <w:rPr>
          <w:i/>
        </w:rPr>
        <w:t>Benefits/harms</w:t>
      </w:r>
      <w:bookmarkEnd w:id="9"/>
    </w:p>
    <w:p w:rsidR="007F1017" w:rsidRPr="008A0437" w:rsidRDefault="007F1017" w:rsidP="00915C99">
      <w:pPr>
        <w:pStyle w:val="ListParagraph"/>
        <w:widowControl/>
        <w:ind w:left="0"/>
        <w:rPr>
          <w:szCs w:val="22"/>
        </w:rPr>
      </w:pPr>
    </w:p>
    <w:p w:rsidR="00E32357" w:rsidRPr="008A0437" w:rsidRDefault="00E32357" w:rsidP="00915C99">
      <w:pPr>
        <w:pStyle w:val="ListParagraph"/>
        <w:widowControl/>
        <w:numPr>
          <w:ilvl w:val="1"/>
          <w:numId w:val="1"/>
        </w:numPr>
        <w:rPr>
          <w:szCs w:val="22"/>
        </w:rPr>
      </w:pPr>
      <w:r w:rsidRPr="008A0437">
        <w:rPr>
          <w:szCs w:val="22"/>
        </w:rPr>
        <w:t>A summary of the comparative benefits and harms for nintedanib and placebo is pr</w:t>
      </w:r>
      <w:r w:rsidR="002A78FC">
        <w:rPr>
          <w:szCs w:val="22"/>
        </w:rPr>
        <w:t>esented in the following table.</w:t>
      </w:r>
    </w:p>
    <w:p w:rsidR="00E32357" w:rsidRPr="008A0437" w:rsidRDefault="00E32357" w:rsidP="00915C99">
      <w:pPr>
        <w:widowControl/>
      </w:pPr>
    </w:p>
    <w:p w:rsidR="00E32357" w:rsidRPr="008A0437" w:rsidRDefault="00E32357" w:rsidP="00915C99">
      <w:pPr>
        <w:keepNext/>
        <w:widowControl/>
        <w:ind w:firstLine="720"/>
        <w:rPr>
          <w:rStyle w:val="CommentReference"/>
        </w:rPr>
      </w:pPr>
      <w:r w:rsidRPr="008A0437">
        <w:rPr>
          <w:rStyle w:val="CommentReference"/>
        </w:rPr>
        <w:t xml:space="preserve">Table </w:t>
      </w:r>
      <w:r w:rsidR="001E24CD" w:rsidRPr="008A0437">
        <w:rPr>
          <w:rStyle w:val="CommentReference"/>
        </w:rPr>
        <w:t>7</w:t>
      </w:r>
      <w:r w:rsidRPr="008A0437">
        <w:rPr>
          <w:rStyle w:val="CommentReference"/>
        </w:rPr>
        <w:t>: Summary of comparative benefits and harms for nintedanib and placebo</w:t>
      </w:r>
    </w:p>
    <w:tbl>
      <w:tblPr>
        <w:tblStyle w:val="TableGrid"/>
        <w:tblW w:w="4604" w:type="pct"/>
        <w:tblInd w:w="737" w:type="dxa"/>
        <w:tblLayout w:type="fixed"/>
        <w:tblCellMar>
          <w:left w:w="28" w:type="dxa"/>
          <w:right w:w="28" w:type="dxa"/>
        </w:tblCellMar>
        <w:tblLook w:val="04A0" w:firstRow="1" w:lastRow="0" w:firstColumn="1" w:lastColumn="0" w:noHBand="0" w:noVBand="1"/>
        <w:tblCaption w:val="Summary of comparative benefits and harms for nintedanib and placebo"/>
      </w:tblPr>
      <w:tblGrid>
        <w:gridCol w:w="1284"/>
        <w:gridCol w:w="997"/>
        <w:gridCol w:w="1201"/>
        <w:gridCol w:w="1285"/>
        <w:gridCol w:w="1293"/>
        <w:gridCol w:w="776"/>
        <w:gridCol w:w="1527"/>
      </w:tblGrid>
      <w:tr w:rsidR="00E32357" w:rsidRPr="008A0437" w:rsidTr="00F1714F">
        <w:trPr>
          <w:cantSplit/>
          <w:trHeight w:val="150"/>
          <w:tblHeader/>
        </w:trPr>
        <w:tc>
          <w:tcPr>
            <w:tcW w:w="768" w:type="pct"/>
            <w:vMerge w:val="restart"/>
            <w:shd w:val="clear" w:color="auto" w:fill="auto"/>
            <w:vAlign w:val="center"/>
          </w:tcPr>
          <w:p w:rsidR="00E32357" w:rsidRPr="008A0437" w:rsidRDefault="00E32357" w:rsidP="00915C99">
            <w:pPr>
              <w:keepNext/>
              <w:widowControl/>
              <w:rPr>
                <w:rFonts w:ascii="Arial Narrow" w:hAnsi="Arial Narrow"/>
                <w:b/>
                <w:color w:val="000000"/>
                <w:sz w:val="20"/>
                <w:szCs w:val="18"/>
              </w:rPr>
            </w:pPr>
            <w:r w:rsidRPr="008A0437">
              <w:rPr>
                <w:rFonts w:ascii="Arial Narrow" w:hAnsi="Arial Narrow"/>
                <w:b/>
                <w:color w:val="000000"/>
                <w:sz w:val="20"/>
                <w:szCs w:val="18"/>
              </w:rPr>
              <w:t>Trial</w:t>
            </w:r>
          </w:p>
        </w:tc>
        <w:tc>
          <w:tcPr>
            <w:tcW w:w="596" w:type="pct"/>
            <w:vMerge w:val="restar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Nintedanib</w:t>
            </w:r>
          </w:p>
        </w:tc>
        <w:tc>
          <w:tcPr>
            <w:tcW w:w="718" w:type="pct"/>
            <w:vMerge w:val="restar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Placebo</w:t>
            </w:r>
          </w:p>
        </w:tc>
        <w:tc>
          <w:tcPr>
            <w:tcW w:w="768" w:type="pct"/>
            <w:vMerge w:val="restar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RR (95% CI)</w:t>
            </w:r>
          </w:p>
        </w:tc>
        <w:tc>
          <w:tcPr>
            <w:tcW w:w="1237" w:type="pct"/>
            <w:gridSpan w:val="2"/>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 xml:space="preserve">Event rate/100 patients* </w:t>
            </w:r>
          </w:p>
        </w:tc>
        <w:tc>
          <w:tcPr>
            <w:tcW w:w="913" w:type="pct"/>
            <w:vMerge w:val="restar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RD (95% CI)</w:t>
            </w:r>
          </w:p>
        </w:tc>
      </w:tr>
      <w:tr w:rsidR="00E32357" w:rsidRPr="008A0437" w:rsidTr="00F1714F">
        <w:trPr>
          <w:cantSplit/>
          <w:trHeight w:val="70"/>
          <w:tblHeader/>
        </w:trPr>
        <w:tc>
          <w:tcPr>
            <w:tcW w:w="768" w:type="pct"/>
            <w:vMerge/>
            <w:shd w:val="clear" w:color="auto" w:fill="auto"/>
            <w:vAlign w:val="center"/>
          </w:tcPr>
          <w:p w:rsidR="00E32357" w:rsidRPr="008A0437" w:rsidRDefault="00E32357" w:rsidP="00915C99">
            <w:pPr>
              <w:keepNext/>
              <w:widowControl/>
              <w:rPr>
                <w:rFonts w:ascii="Arial Narrow" w:hAnsi="Arial Narrow"/>
                <w:b/>
                <w:color w:val="000000"/>
                <w:sz w:val="20"/>
                <w:szCs w:val="18"/>
              </w:rPr>
            </w:pPr>
          </w:p>
        </w:tc>
        <w:tc>
          <w:tcPr>
            <w:tcW w:w="596" w:type="pct"/>
            <w:vMerge/>
            <w:vAlign w:val="center"/>
          </w:tcPr>
          <w:p w:rsidR="00E32357" w:rsidRPr="008A0437" w:rsidRDefault="00E32357" w:rsidP="00915C99">
            <w:pPr>
              <w:keepNext/>
              <w:widowControl/>
              <w:jc w:val="center"/>
              <w:rPr>
                <w:rFonts w:ascii="Arial Narrow" w:hAnsi="Arial Narrow"/>
                <w:b/>
                <w:color w:val="000000"/>
                <w:sz w:val="20"/>
                <w:szCs w:val="18"/>
              </w:rPr>
            </w:pPr>
          </w:p>
        </w:tc>
        <w:tc>
          <w:tcPr>
            <w:tcW w:w="718" w:type="pct"/>
            <w:vMerge/>
            <w:vAlign w:val="center"/>
          </w:tcPr>
          <w:p w:rsidR="00E32357" w:rsidRPr="008A0437" w:rsidRDefault="00E32357" w:rsidP="00915C99">
            <w:pPr>
              <w:keepNext/>
              <w:widowControl/>
              <w:jc w:val="center"/>
              <w:rPr>
                <w:rFonts w:ascii="Arial Narrow" w:hAnsi="Arial Narrow"/>
                <w:b/>
                <w:color w:val="000000"/>
                <w:sz w:val="20"/>
                <w:szCs w:val="18"/>
              </w:rPr>
            </w:pPr>
          </w:p>
        </w:tc>
        <w:tc>
          <w:tcPr>
            <w:tcW w:w="768" w:type="pct"/>
            <w:vMerge/>
            <w:vAlign w:val="center"/>
          </w:tcPr>
          <w:p w:rsidR="00E32357" w:rsidRPr="008A0437" w:rsidRDefault="00E32357" w:rsidP="00915C99">
            <w:pPr>
              <w:keepNext/>
              <w:widowControl/>
              <w:jc w:val="center"/>
              <w:rPr>
                <w:rFonts w:ascii="Arial Narrow" w:hAnsi="Arial Narrow"/>
                <w:b/>
                <w:color w:val="000000"/>
                <w:sz w:val="20"/>
                <w:szCs w:val="18"/>
              </w:rPr>
            </w:pPr>
          </w:p>
        </w:tc>
        <w:tc>
          <w:tcPr>
            <w:tcW w:w="773" w:type="pc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Nintedanib</w:t>
            </w:r>
          </w:p>
        </w:tc>
        <w:tc>
          <w:tcPr>
            <w:tcW w:w="464" w:type="pc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Placebo</w:t>
            </w:r>
          </w:p>
        </w:tc>
        <w:tc>
          <w:tcPr>
            <w:tcW w:w="913" w:type="pct"/>
            <w:vMerge/>
            <w:vAlign w:val="center"/>
          </w:tcPr>
          <w:p w:rsidR="00E32357" w:rsidRPr="008A0437" w:rsidRDefault="00E32357" w:rsidP="00915C99">
            <w:pPr>
              <w:keepNext/>
              <w:widowControl/>
              <w:jc w:val="center"/>
              <w:rPr>
                <w:rFonts w:ascii="Arial Narrow" w:hAnsi="Arial Narrow"/>
                <w:b/>
                <w:color w:val="000000"/>
                <w:sz w:val="20"/>
                <w:szCs w:val="18"/>
              </w:rPr>
            </w:pPr>
          </w:p>
        </w:tc>
      </w:tr>
      <w:tr w:rsidR="00E32357" w:rsidRPr="008A0437" w:rsidTr="00D841E6">
        <w:trPr>
          <w:cantSplit/>
        </w:trPr>
        <w:tc>
          <w:tcPr>
            <w:tcW w:w="5000" w:type="pct"/>
            <w:gridSpan w:val="7"/>
            <w:shd w:val="clear" w:color="auto" w:fill="auto"/>
            <w:vAlign w:val="center"/>
          </w:tcPr>
          <w:p w:rsidR="00E32357" w:rsidRPr="008A0437" w:rsidRDefault="00E32357" w:rsidP="00915C99">
            <w:pPr>
              <w:keepNext/>
              <w:widowControl/>
              <w:rPr>
                <w:rFonts w:ascii="Arial Narrow" w:hAnsi="Arial Narrow"/>
                <w:b/>
                <w:color w:val="000000"/>
                <w:sz w:val="20"/>
                <w:szCs w:val="18"/>
              </w:rPr>
            </w:pPr>
            <w:r w:rsidRPr="008A0437">
              <w:rPr>
                <w:rFonts w:ascii="Arial Narrow" w:hAnsi="Arial Narrow"/>
                <w:b/>
                <w:color w:val="000000"/>
                <w:sz w:val="20"/>
                <w:szCs w:val="18"/>
              </w:rPr>
              <w:t>Benefits</w:t>
            </w:r>
          </w:p>
        </w:tc>
      </w:tr>
      <w:tr w:rsidR="00E32357" w:rsidRPr="008A0437" w:rsidTr="00D841E6">
        <w:trPr>
          <w:cantSplit/>
        </w:trPr>
        <w:tc>
          <w:tcPr>
            <w:tcW w:w="5000" w:type="pct"/>
            <w:gridSpan w:val="7"/>
            <w:shd w:val="clear" w:color="auto" w:fill="auto"/>
            <w:vAlign w:val="center"/>
          </w:tcPr>
          <w:p w:rsidR="00E32357" w:rsidRPr="008A0437" w:rsidRDefault="00E32357" w:rsidP="00915C99">
            <w:pPr>
              <w:keepNext/>
              <w:widowControl/>
              <w:rPr>
                <w:rFonts w:ascii="Arial Narrow" w:hAnsi="Arial Narrow"/>
                <w:b/>
                <w:color w:val="000000"/>
                <w:sz w:val="20"/>
                <w:szCs w:val="18"/>
              </w:rPr>
            </w:pPr>
            <w:r w:rsidRPr="008A0437">
              <w:rPr>
                <w:rFonts w:ascii="Arial Narrow" w:hAnsi="Arial Narrow"/>
                <w:b/>
                <w:color w:val="000000"/>
                <w:sz w:val="20"/>
                <w:szCs w:val="18"/>
              </w:rPr>
              <w:t>All-cause mortality over 52 weeks</w:t>
            </w:r>
          </w:p>
        </w:tc>
      </w:tr>
      <w:tr w:rsidR="00E32357" w:rsidRPr="008A0437" w:rsidTr="00D841E6">
        <w:trPr>
          <w:cantSplit/>
        </w:trPr>
        <w:tc>
          <w:tcPr>
            <w:tcW w:w="768" w:type="pct"/>
            <w:shd w:val="clear" w:color="auto" w:fill="auto"/>
            <w:vAlign w:val="center"/>
          </w:tcPr>
          <w:p w:rsidR="00E32357" w:rsidRPr="008A0437" w:rsidRDefault="00E32357" w:rsidP="00915C99">
            <w:pPr>
              <w:keepNext/>
              <w:widowControl/>
              <w:rPr>
                <w:rFonts w:ascii="Arial Narrow" w:hAnsi="Arial Narrow"/>
                <w:color w:val="000000"/>
                <w:sz w:val="20"/>
                <w:szCs w:val="18"/>
              </w:rPr>
            </w:pPr>
            <w:r w:rsidRPr="008A0437">
              <w:rPr>
                <w:rFonts w:ascii="Arial Narrow" w:hAnsi="Arial Narrow"/>
                <w:color w:val="000000"/>
                <w:sz w:val="20"/>
                <w:szCs w:val="18"/>
              </w:rPr>
              <w:t>Trial 30, 32 &amp; 34</w:t>
            </w:r>
          </w:p>
        </w:tc>
        <w:tc>
          <w:tcPr>
            <w:tcW w:w="596"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42/724</w:t>
            </w:r>
          </w:p>
        </w:tc>
        <w:tc>
          <w:tcPr>
            <w:tcW w:w="718"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42/510</w:t>
            </w:r>
          </w:p>
        </w:tc>
        <w:tc>
          <w:tcPr>
            <w:tcW w:w="768"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0.72 (0.48, 1.09)</w:t>
            </w:r>
          </w:p>
        </w:tc>
        <w:tc>
          <w:tcPr>
            <w:tcW w:w="773"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5.8</w:t>
            </w:r>
          </w:p>
        </w:tc>
        <w:tc>
          <w:tcPr>
            <w:tcW w:w="464"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8.2</w:t>
            </w:r>
          </w:p>
        </w:tc>
        <w:tc>
          <w:tcPr>
            <w:tcW w:w="913"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-0.02 (-0.05, 0.01)</w:t>
            </w:r>
          </w:p>
        </w:tc>
      </w:tr>
      <w:tr w:rsidR="00E32357" w:rsidRPr="008A0437" w:rsidTr="00D841E6">
        <w:trPr>
          <w:cantSplit/>
        </w:trPr>
        <w:tc>
          <w:tcPr>
            <w:tcW w:w="5000" w:type="pct"/>
            <w:gridSpan w:val="7"/>
            <w:shd w:val="clear" w:color="auto" w:fill="auto"/>
            <w:vAlign w:val="center"/>
          </w:tcPr>
          <w:p w:rsidR="00E32357" w:rsidRPr="008A0437" w:rsidRDefault="00E32357" w:rsidP="00915C99">
            <w:pPr>
              <w:keepNext/>
              <w:widowControl/>
              <w:jc w:val="left"/>
              <w:rPr>
                <w:rFonts w:ascii="Arial Narrow" w:hAnsi="Arial Narrow"/>
                <w:b/>
                <w:color w:val="000000"/>
                <w:sz w:val="20"/>
                <w:szCs w:val="18"/>
              </w:rPr>
            </w:pPr>
            <w:r w:rsidRPr="008A0437">
              <w:rPr>
                <w:rFonts w:ascii="Arial Narrow" w:hAnsi="Arial Narrow"/>
                <w:b/>
                <w:color w:val="000000"/>
                <w:sz w:val="20"/>
                <w:szCs w:val="18"/>
              </w:rPr>
              <w:t>Acute IPF exacerbation: adjudicated acute IPF exacerbation</w:t>
            </w:r>
          </w:p>
        </w:tc>
      </w:tr>
      <w:tr w:rsidR="00E32357" w:rsidRPr="008A0437" w:rsidTr="00D841E6">
        <w:trPr>
          <w:cantSplit/>
        </w:trPr>
        <w:tc>
          <w:tcPr>
            <w:tcW w:w="768" w:type="pct"/>
            <w:tcBorders>
              <w:bottom w:val="double" w:sz="4" w:space="0" w:color="auto"/>
            </w:tcBorders>
            <w:shd w:val="clear" w:color="auto" w:fill="auto"/>
            <w:vAlign w:val="center"/>
          </w:tcPr>
          <w:p w:rsidR="00E32357" w:rsidRPr="008A0437" w:rsidRDefault="00E32357" w:rsidP="00915C99">
            <w:pPr>
              <w:keepNext/>
              <w:widowControl/>
              <w:rPr>
                <w:rFonts w:ascii="Arial Narrow" w:hAnsi="Arial Narrow"/>
                <w:color w:val="000000"/>
                <w:sz w:val="20"/>
                <w:szCs w:val="18"/>
              </w:rPr>
            </w:pPr>
            <w:r w:rsidRPr="008A0437">
              <w:rPr>
                <w:rFonts w:ascii="Arial Narrow" w:hAnsi="Arial Narrow"/>
                <w:color w:val="000000"/>
                <w:sz w:val="20"/>
                <w:szCs w:val="18"/>
              </w:rPr>
              <w:t>Trial 32 &amp; 34</w:t>
            </w:r>
          </w:p>
        </w:tc>
        <w:tc>
          <w:tcPr>
            <w:tcW w:w="596" w:type="pct"/>
            <w:tcBorders>
              <w:bottom w:val="doub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12/638</w:t>
            </w:r>
          </w:p>
        </w:tc>
        <w:tc>
          <w:tcPr>
            <w:tcW w:w="718" w:type="pct"/>
            <w:tcBorders>
              <w:bottom w:val="doub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24/423</w:t>
            </w:r>
          </w:p>
        </w:tc>
        <w:tc>
          <w:tcPr>
            <w:tcW w:w="768" w:type="pct"/>
            <w:tcBorders>
              <w:bottom w:val="double" w:sz="4" w:space="0" w:color="auto"/>
            </w:tcBorders>
            <w:vAlign w:val="center"/>
          </w:tcPr>
          <w:p w:rsidR="00E32357" w:rsidRPr="008A0437" w:rsidRDefault="00E32357" w:rsidP="00915C99">
            <w:pPr>
              <w:keepNext/>
              <w:widowControl/>
              <w:jc w:val="center"/>
              <w:rPr>
                <w:rFonts w:ascii="Arial Narrow" w:hAnsi="Arial Narrow"/>
                <w:b/>
                <w:color w:val="000000"/>
                <w:sz w:val="20"/>
                <w:szCs w:val="18"/>
              </w:rPr>
            </w:pPr>
            <w:r w:rsidRPr="008A0437">
              <w:rPr>
                <w:rStyle w:val="CommentReference"/>
                <w:b w:val="0"/>
              </w:rPr>
              <w:t>0.35 (0.13, 0.94)</w:t>
            </w:r>
          </w:p>
        </w:tc>
        <w:tc>
          <w:tcPr>
            <w:tcW w:w="773" w:type="pct"/>
            <w:tcBorders>
              <w:bottom w:val="doub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1.9</w:t>
            </w:r>
          </w:p>
        </w:tc>
        <w:tc>
          <w:tcPr>
            <w:tcW w:w="464" w:type="pct"/>
            <w:tcBorders>
              <w:bottom w:val="doub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5.7</w:t>
            </w:r>
          </w:p>
        </w:tc>
        <w:tc>
          <w:tcPr>
            <w:tcW w:w="913" w:type="pct"/>
            <w:tcBorders>
              <w:bottom w:val="doub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-0.04 (-0.08, 0.01)</w:t>
            </w:r>
          </w:p>
        </w:tc>
      </w:tr>
      <w:tr w:rsidR="00E32357" w:rsidRPr="008A0437" w:rsidTr="00D841E6">
        <w:trPr>
          <w:cantSplit/>
          <w:trHeight w:val="225"/>
        </w:trPr>
        <w:tc>
          <w:tcPr>
            <w:tcW w:w="768" w:type="pct"/>
            <w:vMerge w:val="restart"/>
            <w:tcBorders>
              <w:top w:val="double" w:sz="4" w:space="0" w:color="auto"/>
            </w:tcBorders>
            <w:shd w:val="clear" w:color="auto" w:fill="auto"/>
            <w:vAlign w:val="center"/>
          </w:tcPr>
          <w:p w:rsidR="00E32357" w:rsidRPr="008A0437" w:rsidRDefault="00E32357" w:rsidP="00915C99">
            <w:pPr>
              <w:keepNext/>
              <w:widowControl/>
              <w:rPr>
                <w:rFonts w:ascii="Arial Narrow" w:hAnsi="Arial Narrow"/>
                <w:color w:val="000000"/>
                <w:sz w:val="20"/>
                <w:szCs w:val="18"/>
              </w:rPr>
            </w:pPr>
          </w:p>
        </w:tc>
        <w:tc>
          <w:tcPr>
            <w:tcW w:w="1314" w:type="pct"/>
            <w:gridSpan w:val="2"/>
            <w:tcBorders>
              <w:top w:val="doub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b/>
                <w:color w:val="000000"/>
                <w:sz w:val="20"/>
                <w:szCs w:val="18"/>
              </w:rPr>
              <w:t>Nintedanib</w:t>
            </w:r>
          </w:p>
        </w:tc>
        <w:tc>
          <w:tcPr>
            <w:tcW w:w="1541" w:type="pct"/>
            <w:gridSpan w:val="2"/>
            <w:tcBorders>
              <w:top w:val="doub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b/>
                <w:color w:val="000000"/>
                <w:sz w:val="20"/>
                <w:szCs w:val="18"/>
              </w:rPr>
              <w:t>Placebo</w:t>
            </w:r>
          </w:p>
        </w:tc>
        <w:tc>
          <w:tcPr>
            <w:tcW w:w="1377" w:type="pct"/>
            <w:gridSpan w:val="2"/>
            <w:vMerge w:val="restart"/>
            <w:tcBorders>
              <w:top w:val="double" w:sz="4" w:space="0" w:color="auto"/>
            </w:tcBorders>
            <w:vAlign w:val="center"/>
          </w:tcPr>
          <w:p w:rsidR="00E32357" w:rsidRPr="008A0437" w:rsidRDefault="00E32357" w:rsidP="00915C99">
            <w:pPr>
              <w:keepNext/>
              <w:widowControl/>
              <w:jc w:val="center"/>
              <w:rPr>
                <w:rFonts w:ascii="Arial Narrow" w:hAnsi="Arial Narrow"/>
                <w:b/>
                <w:sz w:val="20"/>
                <w:szCs w:val="18"/>
              </w:rPr>
            </w:pPr>
            <w:r w:rsidRPr="008A0437">
              <w:rPr>
                <w:rFonts w:ascii="Arial Narrow" w:hAnsi="Arial Narrow"/>
                <w:b/>
                <w:sz w:val="20"/>
                <w:szCs w:val="18"/>
              </w:rPr>
              <w:t>Mean difference</w:t>
            </w:r>
          </w:p>
          <w:p w:rsidR="00E32357" w:rsidRPr="008A0437" w:rsidRDefault="00E32357" w:rsidP="00915C99">
            <w:pPr>
              <w:keepNext/>
              <w:widowControl/>
              <w:jc w:val="center"/>
              <w:rPr>
                <w:rFonts w:ascii="Arial Narrow" w:hAnsi="Arial Narrow"/>
                <w:b/>
                <w:sz w:val="20"/>
                <w:szCs w:val="18"/>
              </w:rPr>
            </w:pPr>
            <w:r w:rsidRPr="008A0437">
              <w:rPr>
                <w:rFonts w:ascii="Arial Narrow" w:hAnsi="Arial Narrow"/>
                <w:b/>
                <w:sz w:val="20"/>
                <w:szCs w:val="18"/>
              </w:rPr>
              <w:t>(95% CI)</w:t>
            </w:r>
          </w:p>
        </w:tc>
      </w:tr>
      <w:tr w:rsidR="00E32357" w:rsidRPr="008A0437" w:rsidTr="00D841E6">
        <w:trPr>
          <w:cantSplit/>
          <w:trHeight w:val="413"/>
        </w:trPr>
        <w:tc>
          <w:tcPr>
            <w:tcW w:w="768" w:type="pct"/>
            <w:vMerge/>
            <w:shd w:val="clear" w:color="auto" w:fill="auto"/>
            <w:vAlign w:val="center"/>
          </w:tcPr>
          <w:p w:rsidR="00E32357" w:rsidRPr="008A0437" w:rsidRDefault="00E32357" w:rsidP="00915C99">
            <w:pPr>
              <w:keepNext/>
              <w:widowControl/>
              <w:rPr>
                <w:rFonts w:ascii="Arial Narrow" w:hAnsi="Arial Narrow"/>
                <w:color w:val="000000"/>
                <w:sz w:val="20"/>
                <w:szCs w:val="18"/>
              </w:rPr>
            </w:pPr>
          </w:p>
        </w:tc>
        <w:tc>
          <w:tcPr>
            <w:tcW w:w="596" w:type="pct"/>
            <w:vAlign w:val="center"/>
          </w:tcPr>
          <w:p w:rsidR="00E32357" w:rsidRPr="008A0437" w:rsidRDefault="00184381"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N</w:t>
            </w:r>
          </w:p>
        </w:tc>
        <w:tc>
          <w:tcPr>
            <w:tcW w:w="718" w:type="pct"/>
            <w:vAlign w:val="center"/>
          </w:tcPr>
          <w:p w:rsidR="00E32357" w:rsidRPr="008A0437" w:rsidRDefault="00E32357" w:rsidP="00915C99">
            <w:pPr>
              <w:keepNext/>
              <w:widowControl/>
              <w:jc w:val="center"/>
              <w:rPr>
                <w:rFonts w:ascii="Arial Narrow" w:hAnsi="Arial Narrow"/>
                <w:b/>
                <w:sz w:val="20"/>
                <w:szCs w:val="18"/>
              </w:rPr>
            </w:pPr>
            <w:r w:rsidRPr="008A0437">
              <w:rPr>
                <w:rFonts w:ascii="Arial Narrow" w:hAnsi="Arial Narrow"/>
                <w:b/>
                <w:sz w:val="20"/>
                <w:szCs w:val="18"/>
              </w:rPr>
              <w:t>Mean ∆ baseline (SE)</w:t>
            </w:r>
          </w:p>
        </w:tc>
        <w:tc>
          <w:tcPr>
            <w:tcW w:w="768" w:type="pc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n</w:t>
            </w:r>
          </w:p>
        </w:tc>
        <w:tc>
          <w:tcPr>
            <w:tcW w:w="773" w:type="pct"/>
            <w:vAlign w:val="center"/>
          </w:tcPr>
          <w:p w:rsidR="00E32357" w:rsidRPr="008A0437" w:rsidRDefault="00E32357" w:rsidP="00915C99">
            <w:pPr>
              <w:keepNext/>
              <w:widowControl/>
              <w:jc w:val="center"/>
              <w:rPr>
                <w:rFonts w:ascii="Arial Narrow" w:hAnsi="Arial Narrow"/>
                <w:b/>
                <w:sz w:val="20"/>
                <w:szCs w:val="18"/>
              </w:rPr>
            </w:pPr>
            <w:r w:rsidRPr="008A0437">
              <w:rPr>
                <w:rFonts w:ascii="Arial Narrow" w:hAnsi="Arial Narrow"/>
                <w:b/>
                <w:sz w:val="20"/>
                <w:szCs w:val="18"/>
              </w:rPr>
              <w:t>Mean ∆ baseline (SE)</w:t>
            </w:r>
          </w:p>
        </w:tc>
        <w:tc>
          <w:tcPr>
            <w:tcW w:w="1377" w:type="pct"/>
            <w:gridSpan w:val="2"/>
            <w:vMerge/>
            <w:vAlign w:val="center"/>
          </w:tcPr>
          <w:p w:rsidR="00E32357" w:rsidRPr="008A0437" w:rsidRDefault="00E32357" w:rsidP="00915C99">
            <w:pPr>
              <w:keepNext/>
              <w:widowControl/>
              <w:jc w:val="center"/>
              <w:rPr>
                <w:rFonts w:ascii="Arial Narrow" w:hAnsi="Arial Narrow"/>
                <w:b/>
                <w:sz w:val="20"/>
                <w:szCs w:val="18"/>
              </w:rPr>
            </w:pPr>
          </w:p>
        </w:tc>
      </w:tr>
      <w:tr w:rsidR="00E32357" w:rsidRPr="008A0437" w:rsidTr="00D841E6">
        <w:trPr>
          <w:cantSplit/>
        </w:trPr>
        <w:tc>
          <w:tcPr>
            <w:tcW w:w="5000" w:type="pct"/>
            <w:gridSpan w:val="7"/>
            <w:tcBorders>
              <w:bottom w:val="single" w:sz="4" w:space="0" w:color="auto"/>
            </w:tcBorders>
            <w:shd w:val="clear" w:color="auto" w:fill="auto"/>
            <w:vAlign w:val="center"/>
          </w:tcPr>
          <w:p w:rsidR="00E32357" w:rsidRPr="008A0437" w:rsidRDefault="00E32357" w:rsidP="00915C99">
            <w:pPr>
              <w:keepNext/>
              <w:widowControl/>
              <w:jc w:val="left"/>
              <w:rPr>
                <w:rFonts w:ascii="Arial Narrow" w:hAnsi="Arial Narrow"/>
                <w:b/>
                <w:sz w:val="20"/>
                <w:szCs w:val="18"/>
              </w:rPr>
            </w:pPr>
            <w:r w:rsidRPr="008A0437">
              <w:rPr>
                <w:rStyle w:val="CommentReference"/>
              </w:rPr>
              <w:t>Absolute change in FVC%Pred from baseline to week 52</w:t>
            </w:r>
          </w:p>
        </w:tc>
      </w:tr>
      <w:tr w:rsidR="00E32357" w:rsidRPr="008A0437" w:rsidTr="00D841E6">
        <w:trPr>
          <w:cantSplit/>
        </w:trPr>
        <w:tc>
          <w:tcPr>
            <w:tcW w:w="768" w:type="pct"/>
            <w:tcBorders>
              <w:bottom w:val="single" w:sz="4" w:space="0" w:color="auto"/>
            </w:tcBorders>
            <w:shd w:val="clear" w:color="auto" w:fill="auto"/>
            <w:vAlign w:val="center"/>
          </w:tcPr>
          <w:p w:rsidR="00E32357" w:rsidRPr="008A0437" w:rsidRDefault="00E32357" w:rsidP="00915C99">
            <w:pPr>
              <w:keepNext/>
              <w:widowControl/>
              <w:rPr>
                <w:rFonts w:ascii="Arial Narrow" w:hAnsi="Arial Narrow"/>
                <w:color w:val="000000"/>
                <w:sz w:val="20"/>
                <w:szCs w:val="18"/>
              </w:rPr>
            </w:pPr>
            <w:r w:rsidRPr="008A0437">
              <w:rPr>
                <w:rFonts w:ascii="Arial Narrow" w:hAnsi="Arial Narrow"/>
                <w:color w:val="000000"/>
                <w:sz w:val="20"/>
                <w:szCs w:val="18"/>
              </w:rPr>
              <w:t>Trial 30</w:t>
            </w:r>
          </w:p>
        </w:tc>
        <w:tc>
          <w:tcPr>
            <w:tcW w:w="596" w:type="pct"/>
            <w:tcBorders>
              <w:bottom w:val="sing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84</w:t>
            </w:r>
          </w:p>
        </w:tc>
        <w:tc>
          <w:tcPr>
            <w:tcW w:w="718" w:type="pct"/>
            <w:tcBorders>
              <w:bottom w:val="sing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-1.04 (0.99)</w:t>
            </w:r>
          </w:p>
        </w:tc>
        <w:tc>
          <w:tcPr>
            <w:tcW w:w="768" w:type="pct"/>
            <w:tcBorders>
              <w:bottom w:val="sing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84</w:t>
            </w:r>
          </w:p>
        </w:tc>
        <w:tc>
          <w:tcPr>
            <w:tcW w:w="773" w:type="pct"/>
            <w:tcBorders>
              <w:bottom w:val="sing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-6.00 (1.02)</w:t>
            </w:r>
          </w:p>
        </w:tc>
        <w:tc>
          <w:tcPr>
            <w:tcW w:w="1377" w:type="pct"/>
            <w:gridSpan w:val="2"/>
            <w:vMerge w:val="restart"/>
            <w:vAlign w:val="center"/>
          </w:tcPr>
          <w:p w:rsidR="00E32357" w:rsidRPr="008A0437" w:rsidRDefault="00E32357" w:rsidP="00915C99">
            <w:pPr>
              <w:keepNext/>
              <w:widowControl/>
              <w:jc w:val="center"/>
              <w:rPr>
                <w:rFonts w:ascii="Arial Narrow" w:hAnsi="Arial Narrow"/>
                <w:b/>
                <w:sz w:val="20"/>
                <w:szCs w:val="18"/>
              </w:rPr>
            </w:pPr>
            <w:r w:rsidRPr="008A0437">
              <w:rPr>
                <w:rStyle w:val="CommentReference"/>
                <w:b w:val="0"/>
              </w:rPr>
              <w:t>3.31 (2.46, 4.16)</w:t>
            </w:r>
          </w:p>
        </w:tc>
      </w:tr>
      <w:tr w:rsidR="00E32357" w:rsidRPr="008A0437" w:rsidTr="00D841E6">
        <w:trPr>
          <w:cantSplit/>
        </w:trPr>
        <w:tc>
          <w:tcPr>
            <w:tcW w:w="768" w:type="pct"/>
            <w:tcBorders>
              <w:bottom w:val="single" w:sz="4" w:space="0" w:color="auto"/>
            </w:tcBorders>
            <w:shd w:val="clear" w:color="auto" w:fill="auto"/>
            <w:vAlign w:val="center"/>
          </w:tcPr>
          <w:p w:rsidR="00E32357" w:rsidRPr="008A0437" w:rsidRDefault="00E32357" w:rsidP="00915C99">
            <w:pPr>
              <w:keepNext/>
              <w:widowControl/>
              <w:rPr>
                <w:rFonts w:ascii="Arial Narrow" w:hAnsi="Arial Narrow"/>
                <w:color w:val="000000"/>
                <w:sz w:val="20"/>
                <w:szCs w:val="18"/>
              </w:rPr>
            </w:pPr>
            <w:r w:rsidRPr="008A0437">
              <w:rPr>
                <w:rFonts w:ascii="Arial Narrow" w:hAnsi="Arial Narrow"/>
                <w:color w:val="000000"/>
                <w:sz w:val="20"/>
                <w:szCs w:val="18"/>
              </w:rPr>
              <w:t>Trial 32</w:t>
            </w:r>
          </w:p>
        </w:tc>
        <w:tc>
          <w:tcPr>
            <w:tcW w:w="596" w:type="pct"/>
            <w:tcBorders>
              <w:bottom w:val="sing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250</w:t>
            </w:r>
          </w:p>
        </w:tc>
        <w:tc>
          <w:tcPr>
            <w:tcW w:w="718" w:type="pct"/>
            <w:tcBorders>
              <w:bottom w:val="sing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-2.76 (0.41)</w:t>
            </w:r>
          </w:p>
        </w:tc>
        <w:tc>
          <w:tcPr>
            <w:tcW w:w="768" w:type="pct"/>
            <w:tcBorders>
              <w:bottom w:val="sing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165</w:t>
            </w:r>
          </w:p>
        </w:tc>
        <w:tc>
          <w:tcPr>
            <w:tcW w:w="773" w:type="pct"/>
            <w:tcBorders>
              <w:bottom w:val="sing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-5.98 (0.47)</w:t>
            </w:r>
          </w:p>
        </w:tc>
        <w:tc>
          <w:tcPr>
            <w:tcW w:w="1377" w:type="pct"/>
            <w:gridSpan w:val="2"/>
            <w:vMerge/>
            <w:vAlign w:val="center"/>
          </w:tcPr>
          <w:p w:rsidR="00E32357" w:rsidRPr="008A0437" w:rsidRDefault="00E32357" w:rsidP="00915C99">
            <w:pPr>
              <w:keepNext/>
              <w:widowControl/>
              <w:jc w:val="center"/>
              <w:rPr>
                <w:rFonts w:ascii="Arial Narrow" w:hAnsi="Arial Narrow"/>
                <w:sz w:val="20"/>
                <w:szCs w:val="18"/>
              </w:rPr>
            </w:pPr>
          </w:p>
        </w:tc>
      </w:tr>
      <w:tr w:rsidR="00E32357" w:rsidRPr="008A0437" w:rsidTr="00D841E6">
        <w:trPr>
          <w:cantSplit/>
        </w:trPr>
        <w:tc>
          <w:tcPr>
            <w:tcW w:w="768" w:type="pct"/>
            <w:tcBorders>
              <w:top w:val="single" w:sz="4" w:space="0" w:color="auto"/>
              <w:bottom w:val="double" w:sz="4" w:space="0" w:color="auto"/>
            </w:tcBorders>
            <w:shd w:val="clear" w:color="auto" w:fill="auto"/>
            <w:vAlign w:val="center"/>
          </w:tcPr>
          <w:p w:rsidR="00E32357" w:rsidRPr="008A0437" w:rsidRDefault="00E32357" w:rsidP="00915C99">
            <w:pPr>
              <w:keepNext/>
              <w:widowControl/>
              <w:rPr>
                <w:rFonts w:ascii="Arial Narrow" w:hAnsi="Arial Narrow"/>
                <w:color w:val="000000"/>
                <w:sz w:val="20"/>
                <w:szCs w:val="18"/>
              </w:rPr>
            </w:pPr>
            <w:r w:rsidRPr="008A0437">
              <w:rPr>
                <w:rFonts w:ascii="Arial Narrow" w:hAnsi="Arial Narrow"/>
                <w:color w:val="000000"/>
                <w:sz w:val="20"/>
                <w:szCs w:val="18"/>
              </w:rPr>
              <w:t>Trial 34</w:t>
            </w:r>
          </w:p>
        </w:tc>
        <w:tc>
          <w:tcPr>
            <w:tcW w:w="596" w:type="pct"/>
            <w:tcBorders>
              <w:top w:val="single" w:sz="4" w:space="0" w:color="auto"/>
              <w:bottom w:val="doub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269</w:t>
            </w:r>
          </w:p>
        </w:tc>
        <w:tc>
          <w:tcPr>
            <w:tcW w:w="718" w:type="pct"/>
            <w:tcBorders>
              <w:top w:val="single" w:sz="4" w:space="0" w:color="auto"/>
              <w:bottom w:val="doub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-3.09 (0.43)</w:t>
            </w:r>
          </w:p>
        </w:tc>
        <w:tc>
          <w:tcPr>
            <w:tcW w:w="768" w:type="pct"/>
            <w:tcBorders>
              <w:top w:val="single" w:sz="4" w:space="0" w:color="auto"/>
              <w:bottom w:val="doub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180</w:t>
            </w:r>
          </w:p>
        </w:tc>
        <w:tc>
          <w:tcPr>
            <w:tcW w:w="773" w:type="pct"/>
            <w:tcBorders>
              <w:top w:val="single" w:sz="4" w:space="0" w:color="auto"/>
              <w:bottom w:val="double" w:sz="4" w:space="0" w:color="auto"/>
            </w:tcBorders>
            <w:vAlign w:val="center"/>
          </w:tcPr>
          <w:p w:rsidR="00E32357" w:rsidRPr="008A0437" w:rsidRDefault="00E32357" w:rsidP="00915C99">
            <w:pPr>
              <w:keepNext/>
              <w:widowControl/>
              <w:jc w:val="center"/>
              <w:rPr>
                <w:rFonts w:ascii="Arial Narrow" w:hAnsi="Arial Narrow"/>
                <w:color w:val="000000"/>
                <w:sz w:val="20"/>
                <w:szCs w:val="18"/>
              </w:rPr>
            </w:pPr>
            <w:r w:rsidRPr="008A0437">
              <w:rPr>
                <w:rStyle w:val="CommentReference"/>
                <w:b w:val="0"/>
              </w:rPr>
              <w:t>-6.15 (0.51)</w:t>
            </w:r>
          </w:p>
        </w:tc>
        <w:tc>
          <w:tcPr>
            <w:tcW w:w="1377" w:type="pct"/>
            <w:gridSpan w:val="2"/>
            <w:vMerge/>
            <w:tcBorders>
              <w:bottom w:val="double" w:sz="4" w:space="0" w:color="auto"/>
            </w:tcBorders>
            <w:vAlign w:val="center"/>
          </w:tcPr>
          <w:p w:rsidR="00E32357" w:rsidRPr="008A0437" w:rsidRDefault="00E32357" w:rsidP="00915C99">
            <w:pPr>
              <w:keepNext/>
              <w:widowControl/>
              <w:jc w:val="center"/>
              <w:rPr>
                <w:rFonts w:ascii="Arial Narrow" w:hAnsi="Arial Narrow"/>
                <w:sz w:val="20"/>
                <w:szCs w:val="18"/>
              </w:rPr>
            </w:pPr>
          </w:p>
        </w:tc>
      </w:tr>
      <w:tr w:rsidR="00E32357" w:rsidRPr="008A0437" w:rsidTr="00D841E6">
        <w:trPr>
          <w:cantSplit/>
        </w:trPr>
        <w:tc>
          <w:tcPr>
            <w:tcW w:w="5000" w:type="pct"/>
            <w:gridSpan w:val="7"/>
            <w:tcBorders>
              <w:top w:val="double" w:sz="4" w:space="0" w:color="auto"/>
            </w:tcBorders>
            <w:shd w:val="clear" w:color="auto" w:fill="auto"/>
            <w:vAlign w:val="center"/>
          </w:tcPr>
          <w:p w:rsidR="00E32357" w:rsidRPr="008A0437" w:rsidRDefault="00E32357" w:rsidP="00915C99">
            <w:pPr>
              <w:keepNext/>
              <w:widowControl/>
              <w:rPr>
                <w:rFonts w:ascii="Arial Narrow" w:hAnsi="Arial Narrow"/>
                <w:b/>
                <w:color w:val="000000"/>
                <w:sz w:val="20"/>
                <w:szCs w:val="18"/>
              </w:rPr>
            </w:pPr>
            <w:r w:rsidRPr="008A0437">
              <w:rPr>
                <w:rFonts w:ascii="Arial Narrow" w:hAnsi="Arial Narrow"/>
                <w:b/>
                <w:color w:val="000000"/>
                <w:sz w:val="20"/>
                <w:szCs w:val="18"/>
              </w:rPr>
              <w:t xml:space="preserve">Harms </w:t>
            </w:r>
          </w:p>
        </w:tc>
      </w:tr>
      <w:tr w:rsidR="00E32357" w:rsidRPr="008A0437" w:rsidTr="00D841E6">
        <w:trPr>
          <w:cantSplit/>
          <w:trHeight w:val="70"/>
        </w:trPr>
        <w:tc>
          <w:tcPr>
            <w:tcW w:w="768" w:type="pct"/>
            <w:vMerge w:val="restart"/>
            <w:shd w:val="clear" w:color="auto" w:fill="auto"/>
            <w:vAlign w:val="center"/>
          </w:tcPr>
          <w:p w:rsidR="00E32357" w:rsidRPr="008A0437" w:rsidRDefault="00E32357" w:rsidP="00915C99">
            <w:pPr>
              <w:keepNext/>
              <w:widowControl/>
              <w:rPr>
                <w:rFonts w:ascii="Arial Narrow" w:hAnsi="Arial Narrow"/>
                <w:b/>
                <w:color w:val="000000"/>
                <w:sz w:val="20"/>
                <w:szCs w:val="18"/>
              </w:rPr>
            </w:pPr>
          </w:p>
        </w:tc>
        <w:tc>
          <w:tcPr>
            <w:tcW w:w="596" w:type="pct"/>
            <w:vMerge w:val="restar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Nintedanib</w:t>
            </w:r>
          </w:p>
        </w:tc>
        <w:tc>
          <w:tcPr>
            <w:tcW w:w="718" w:type="pct"/>
            <w:vMerge w:val="restar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Placebo</w:t>
            </w:r>
          </w:p>
        </w:tc>
        <w:tc>
          <w:tcPr>
            <w:tcW w:w="768" w:type="pct"/>
            <w:vMerge w:val="restar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RR (95% CI)</w:t>
            </w:r>
          </w:p>
        </w:tc>
        <w:tc>
          <w:tcPr>
            <w:tcW w:w="1237" w:type="pct"/>
            <w:gridSpan w:val="2"/>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Event rate/100 patients*</w:t>
            </w:r>
          </w:p>
        </w:tc>
        <w:tc>
          <w:tcPr>
            <w:tcW w:w="913" w:type="pct"/>
            <w:vMerge w:val="restar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RD (95% CI)</w:t>
            </w:r>
          </w:p>
        </w:tc>
      </w:tr>
      <w:tr w:rsidR="00E32357" w:rsidRPr="008A0437" w:rsidTr="00D841E6">
        <w:trPr>
          <w:cantSplit/>
          <w:trHeight w:val="70"/>
        </w:trPr>
        <w:tc>
          <w:tcPr>
            <w:tcW w:w="768" w:type="pct"/>
            <w:vMerge/>
            <w:shd w:val="clear" w:color="auto" w:fill="auto"/>
            <w:vAlign w:val="center"/>
          </w:tcPr>
          <w:p w:rsidR="00E32357" w:rsidRPr="008A0437" w:rsidRDefault="00E32357" w:rsidP="00915C99">
            <w:pPr>
              <w:keepNext/>
              <w:widowControl/>
              <w:rPr>
                <w:rFonts w:ascii="Arial Narrow" w:hAnsi="Arial Narrow"/>
                <w:b/>
                <w:color w:val="000000"/>
                <w:sz w:val="20"/>
                <w:szCs w:val="18"/>
              </w:rPr>
            </w:pPr>
          </w:p>
        </w:tc>
        <w:tc>
          <w:tcPr>
            <w:tcW w:w="596" w:type="pct"/>
            <w:vMerge/>
            <w:vAlign w:val="center"/>
          </w:tcPr>
          <w:p w:rsidR="00E32357" w:rsidRPr="008A0437" w:rsidRDefault="00E32357" w:rsidP="00915C99">
            <w:pPr>
              <w:keepNext/>
              <w:widowControl/>
              <w:jc w:val="center"/>
              <w:rPr>
                <w:rFonts w:ascii="Arial Narrow" w:hAnsi="Arial Narrow"/>
                <w:b/>
                <w:color w:val="000000"/>
                <w:sz w:val="20"/>
                <w:szCs w:val="18"/>
              </w:rPr>
            </w:pPr>
          </w:p>
        </w:tc>
        <w:tc>
          <w:tcPr>
            <w:tcW w:w="718" w:type="pct"/>
            <w:vMerge/>
            <w:vAlign w:val="center"/>
          </w:tcPr>
          <w:p w:rsidR="00E32357" w:rsidRPr="008A0437" w:rsidRDefault="00E32357" w:rsidP="00915C99">
            <w:pPr>
              <w:keepNext/>
              <w:widowControl/>
              <w:jc w:val="center"/>
              <w:rPr>
                <w:rFonts w:ascii="Arial Narrow" w:hAnsi="Arial Narrow"/>
                <w:b/>
                <w:color w:val="000000"/>
                <w:sz w:val="20"/>
                <w:szCs w:val="18"/>
              </w:rPr>
            </w:pPr>
          </w:p>
        </w:tc>
        <w:tc>
          <w:tcPr>
            <w:tcW w:w="768" w:type="pct"/>
            <w:vMerge/>
            <w:vAlign w:val="center"/>
          </w:tcPr>
          <w:p w:rsidR="00E32357" w:rsidRPr="008A0437" w:rsidRDefault="00E32357" w:rsidP="00915C99">
            <w:pPr>
              <w:keepNext/>
              <w:widowControl/>
              <w:jc w:val="center"/>
              <w:rPr>
                <w:rFonts w:ascii="Arial Narrow" w:hAnsi="Arial Narrow"/>
                <w:b/>
                <w:color w:val="000000"/>
                <w:sz w:val="20"/>
                <w:szCs w:val="18"/>
              </w:rPr>
            </w:pPr>
          </w:p>
        </w:tc>
        <w:tc>
          <w:tcPr>
            <w:tcW w:w="773" w:type="pc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Nintedanib</w:t>
            </w:r>
          </w:p>
        </w:tc>
        <w:tc>
          <w:tcPr>
            <w:tcW w:w="464" w:type="pct"/>
            <w:vAlign w:val="center"/>
          </w:tcPr>
          <w:p w:rsidR="00E32357" w:rsidRPr="008A0437" w:rsidRDefault="00E32357" w:rsidP="00915C99">
            <w:pPr>
              <w:keepNext/>
              <w:widowControl/>
              <w:jc w:val="center"/>
              <w:rPr>
                <w:rFonts w:ascii="Arial Narrow" w:hAnsi="Arial Narrow"/>
                <w:b/>
                <w:color w:val="000000"/>
                <w:sz w:val="20"/>
                <w:szCs w:val="18"/>
              </w:rPr>
            </w:pPr>
            <w:r w:rsidRPr="008A0437">
              <w:rPr>
                <w:rFonts w:ascii="Arial Narrow" w:hAnsi="Arial Narrow"/>
                <w:b/>
                <w:color w:val="000000"/>
                <w:sz w:val="20"/>
                <w:szCs w:val="18"/>
              </w:rPr>
              <w:t>Placebo</w:t>
            </w:r>
          </w:p>
        </w:tc>
        <w:tc>
          <w:tcPr>
            <w:tcW w:w="913" w:type="pct"/>
            <w:vMerge/>
            <w:vAlign w:val="center"/>
          </w:tcPr>
          <w:p w:rsidR="00E32357" w:rsidRPr="008A0437" w:rsidRDefault="00E32357" w:rsidP="00915C99">
            <w:pPr>
              <w:keepNext/>
              <w:widowControl/>
              <w:jc w:val="center"/>
              <w:rPr>
                <w:rFonts w:ascii="Arial Narrow" w:hAnsi="Arial Narrow"/>
                <w:b/>
                <w:color w:val="000000"/>
                <w:sz w:val="20"/>
                <w:szCs w:val="18"/>
              </w:rPr>
            </w:pPr>
          </w:p>
        </w:tc>
      </w:tr>
      <w:tr w:rsidR="00E32357" w:rsidRPr="008A0437" w:rsidTr="00D841E6">
        <w:trPr>
          <w:cantSplit/>
        </w:trPr>
        <w:tc>
          <w:tcPr>
            <w:tcW w:w="5000" w:type="pct"/>
            <w:gridSpan w:val="7"/>
            <w:shd w:val="clear" w:color="auto" w:fill="auto"/>
            <w:vAlign w:val="center"/>
          </w:tcPr>
          <w:p w:rsidR="00E32357" w:rsidRPr="008A0437" w:rsidRDefault="00E32357" w:rsidP="00915C99">
            <w:pPr>
              <w:keepNext/>
              <w:widowControl/>
              <w:rPr>
                <w:rFonts w:ascii="Arial Narrow" w:hAnsi="Arial Narrow"/>
                <w:b/>
                <w:color w:val="000000"/>
                <w:sz w:val="20"/>
                <w:szCs w:val="18"/>
              </w:rPr>
            </w:pPr>
            <w:r w:rsidRPr="008A0437">
              <w:rPr>
                <w:rFonts w:ascii="Arial Narrow" w:hAnsi="Arial Narrow"/>
                <w:b/>
                <w:color w:val="000000"/>
                <w:sz w:val="20"/>
                <w:szCs w:val="18"/>
              </w:rPr>
              <w:t>Diarrhoea</w:t>
            </w:r>
          </w:p>
        </w:tc>
      </w:tr>
      <w:tr w:rsidR="00E32357" w:rsidRPr="008A0437" w:rsidTr="00D841E6">
        <w:trPr>
          <w:cantSplit/>
        </w:trPr>
        <w:tc>
          <w:tcPr>
            <w:tcW w:w="768" w:type="pct"/>
            <w:shd w:val="clear" w:color="auto" w:fill="auto"/>
            <w:vAlign w:val="center"/>
          </w:tcPr>
          <w:p w:rsidR="00E32357" w:rsidRPr="008A0437" w:rsidRDefault="00E32357" w:rsidP="00915C99">
            <w:pPr>
              <w:keepNext/>
              <w:widowControl/>
              <w:rPr>
                <w:rFonts w:ascii="Arial Narrow" w:hAnsi="Arial Narrow"/>
                <w:color w:val="000000"/>
                <w:sz w:val="20"/>
                <w:szCs w:val="18"/>
              </w:rPr>
            </w:pPr>
            <w:r w:rsidRPr="008A0437">
              <w:rPr>
                <w:rFonts w:ascii="Arial Narrow" w:hAnsi="Arial Narrow"/>
                <w:color w:val="000000"/>
                <w:sz w:val="20"/>
                <w:szCs w:val="18"/>
              </w:rPr>
              <w:t>Trial 30, 32 &amp; 34</w:t>
            </w:r>
          </w:p>
        </w:tc>
        <w:tc>
          <w:tcPr>
            <w:tcW w:w="596"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445/723</w:t>
            </w:r>
          </w:p>
        </w:tc>
        <w:tc>
          <w:tcPr>
            <w:tcW w:w="718"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91/508</w:t>
            </w:r>
          </w:p>
        </w:tc>
        <w:tc>
          <w:tcPr>
            <w:tcW w:w="768" w:type="pct"/>
            <w:vAlign w:val="center"/>
          </w:tcPr>
          <w:p w:rsidR="00E32357" w:rsidRPr="008A0437" w:rsidRDefault="00E32357" w:rsidP="00915C99">
            <w:pPr>
              <w:keepNext/>
              <w:widowControl/>
              <w:jc w:val="center"/>
              <w:rPr>
                <w:rFonts w:ascii="Arial Narrow" w:hAnsi="Arial Narrow"/>
                <w:b/>
                <w:color w:val="000000"/>
                <w:sz w:val="20"/>
                <w:szCs w:val="18"/>
              </w:rPr>
            </w:pPr>
            <w:r w:rsidRPr="008A0437">
              <w:rPr>
                <w:rStyle w:val="CommentReference"/>
                <w:b w:val="0"/>
              </w:rPr>
              <w:t>3.41 (2.81, 4.15)</w:t>
            </w:r>
          </w:p>
        </w:tc>
        <w:tc>
          <w:tcPr>
            <w:tcW w:w="773"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61.5</w:t>
            </w:r>
          </w:p>
        </w:tc>
        <w:tc>
          <w:tcPr>
            <w:tcW w:w="464"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17.9</w:t>
            </w:r>
          </w:p>
        </w:tc>
        <w:tc>
          <w:tcPr>
            <w:tcW w:w="913"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0.43 (0.39, 0.48)</w:t>
            </w:r>
          </w:p>
        </w:tc>
      </w:tr>
      <w:tr w:rsidR="00E32357" w:rsidRPr="008A0437" w:rsidTr="00D841E6">
        <w:trPr>
          <w:cantSplit/>
        </w:trPr>
        <w:tc>
          <w:tcPr>
            <w:tcW w:w="5000" w:type="pct"/>
            <w:gridSpan w:val="7"/>
            <w:shd w:val="clear" w:color="auto" w:fill="auto"/>
            <w:vAlign w:val="center"/>
          </w:tcPr>
          <w:p w:rsidR="00E32357" w:rsidRPr="008A0437" w:rsidRDefault="00E32357" w:rsidP="00915C99">
            <w:pPr>
              <w:keepNext/>
              <w:widowControl/>
              <w:rPr>
                <w:rFonts w:ascii="Arial Narrow" w:hAnsi="Arial Narrow"/>
                <w:color w:val="000000"/>
                <w:sz w:val="20"/>
                <w:szCs w:val="18"/>
              </w:rPr>
            </w:pPr>
            <w:r w:rsidRPr="008A0437">
              <w:rPr>
                <w:rFonts w:ascii="Arial Narrow" w:hAnsi="Arial Narrow"/>
                <w:b/>
                <w:color w:val="000000"/>
                <w:sz w:val="20"/>
                <w:szCs w:val="18"/>
              </w:rPr>
              <w:t>Vomiting</w:t>
            </w:r>
          </w:p>
        </w:tc>
      </w:tr>
      <w:tr w:rsidR="00E32357" w:rsidRPr="008A0437" w:rsidTr="00D841E6">
        <w:trPr>
          <w:cantSplit/>
        </w:trPr>
        <w:tc>
          <w:tcPr>
            <w:tcW w:w="768" w:type="pct"/>
            <w:shd w:val="clear" w:color="auto" w:fill="auto"/>
            <w:vAlign w:val="center"/>
          </w:tcPr>
          <w:p w:rsidR="00E32357" w:rsidRPr="008A0437" w:rsidRDefault="00E32357" w:rsidP="00915C99">
            <w:pPr>
              <w:keepNext/>
              <w:widowControl/>
              <w:rPr>
                <w:rFonts w:ascii="Arial Narrow" w:hAnsi="Arial Narrow"/>
                <w:color w:val="000000"/>
                <w:sz w:val="20"/>
                <w:szCs w:val="18"/>
              </w:rPr>
            </w:pPr>
            <w:r w:rsidRPr="008A0437">
              <w:rPr>
                <w:rFonts w:ascii="Arial Narrow" w:hAnsi="Arial Narrow"/>
                <w:color w:val="000000"/>
                <w:sz w:val="20"/>
                <w:szCs w:val="18"/>
              </w:rPr>
              <w:t>Trial 30, 32 &amp; 34</w:t>
            </w:r>
          </w:p>
        </w:tc>
        <w:tc>
          <w:tcPr>
            <w:tcW w:w="596"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85/723</w:t>
            </w:r>
          </w:p>
        </w:tc>
        <w:tc>
          <w:tcPr>
            <w:tcW w:w="718"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15/508</w:t>
            </w:r>
          </w:p>
        </w:tc>
        <w:tc>
          <w:tcPr>
            <w:tcW w:w="768" w:type="pct"/>
            <w:vAlign w:val="center"/>
          </w:tcPr>
          <w:p w:rsidR="00E32357" w:rsidRPr="008A0437" w:rsidRDefault="00E32357" w:rsidP="00915C99">
            <w:pPr>
              <w:keepNext/>
              <w:widowControl/>
              <w:jc w:val="center"/>
              <w:rPr>
                <w:rFonts w:ascii="Arial Narrow" w:hAnsi="Arial Narrow"/>
                <w:b/>
                <w:color w:val="000000"/>
                <w:sz w:val="20"/>
                <w:szCs w:val="18"/>
              </w:rPr>
            </w:pPr>
            <w:r w:rsidRPr="008A0437">
              <w:rPr>
                <w:rStyle w:val="CommentReference"/>
                <w:b w:val="0"/>
              </w:rPr>
              <w:t>3.82 (2.22, 6.58)</w:t>
            </w:r>
          </w:p>
        </w:tc>
        <w:tc>
          <w:tcPr>
            <w:tcW w:w="773"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11.8</w:t>
            </w:r>
          </w:p>
        </w:tc>
        <w:tc>
          <w:tcPr>
            <w:tcW w:w="464"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3.0</w:t>
            </w:r>
          </w:p>
        </w:tc>
        <w:tc>
          <w:tcPr>
            <w:tcW w:w="913"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0.09 (0.06, 0.12)</w:t>
            </w:r>
          </w:p>
        </w:tc>
      </w:tr>
      <w:tr w:rsidR="00E32357" w:rsidRPr="008A0437" w:rsidTr="00D841E6">
        <w:trPr>
          <w:cantSplit/>
        </w:trPr>
        <w:tc>
          <w:tcPr>
            <w:tcW w:w="5000" w:type="pct"/>
            <w:gridSpan w:val="7"/>
            <w:shd w:val="clear" w:color="auto" w:fill="auto"/>
            <w:vAlign w:val="center"/>
          </w:tcPr>
          <w:p w:rsidR="00E32357" w:rsidRPr="008A0437" w:rsidRDefault="00E32357" w:rsidP="00915C99">
            <w:pPr>
              <w:keepNext/>
              <w:widowControl/>
              <w:jc w:val="left"/>
              <w:rPr>
                <w:rFonts w:ascii="Arial Narrow" w:hAnsi="Arial Narrow"/>
                <w:b/>
                <w:color w:val="000000"/>
                <w:sz w:val="20"/>
                <w:szCs w:val="18"/>
              </w:rPr>
            </w:pPr>
            <w:r w:rsidRPr="008A0437">
              <w:rPr>
                <w:rFonts w:ascii="Arial Narrow" w:hAnsi="Arial Narrow"/>
                <w:b/>
                <w:color w:val="000000"/>
                <w:sz w:val="20"/>
                <w:szCs w:val="18"/>
              </w:rPr>
              <w:t>Dyspnoea</w:t>
            </w:r>
          </w:p>
        </w:tc>
      </w:tr>
      <w:tr w:rsidR="00E32357" w:rsidRPr="008A0437" w:rsidTr="00D841E6">
        <w:trPr>
          <w:cantSplit/>
        </w:trPr>
        <w:tc>
          <w:tcPr>
            <w:tcW w:w="768" w:type="pct"/>
            <w:shd w:val="clear" w:color="auto" w:fill="auto"/>
            <w:vAlign w:val="center"/>
          </w:tcPr>
          <w:p w:rsidR="00E32357" w:rsidRPr="008A0437" w:rsidRDefault="00E32357" w:rsidP="00915C99">
            <w:pPr>
              <w:keepNext/>
              <w:widowControl/>
              <w:rPr>
                <w:rFonts w:ascii="Arial Narrow" w:hAnsi="Arial Narrow"/>
                <w:color w:val="000000"/>
                <w:sz w:val="20"/>
                <w:szCs w:val="18"/>
              </w:rPr>
            </w:pPr>
            <w:r w:rsidRPr="008A0437">
              <w:rPr>
                <w:rFonts w:ascii="Arial Narrow" w:hAnsi="Arial Narrow"/>
                <w:color w:val="000000"/>
                <w:sz w:val="20"/>
                <w:szCs w:val="18"/>
              </w:rPr>
              <w:t>Trial 30, 32 &amp; 34</w:t>
            </w:r>
          </w:p>
        </w:tc>
        <w:tc>
          <w:tcPr>
            <w:tcW w:w="596"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55/723</w:t>
            </w:r>
          </w:p>
        </w:tc>
        <w:tc>
          <w:tcPr>
            <w:tcW w:w="718"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59/508</w:t>
            </w:r>
          </w:p>
        </w:tc>
        <w:tc>
          <w:tcPr>
            <w:tcW w:w="768" w:type="pct"/>
            <w:vAlign w:val="center"/>
          </w:tcPr>
          <w:p w:rsidR="00E32357" w:rsidRPr="008A0437" w:rsidRDefault="00E32357" w:rsidP="00915C99">
            <w:pPr>
              <w:keepNext/>
              <w:widowControl/>
              <w:jc w:val="center"/>
              <w:rPr>
                <w:rStyle w:val="CommentReference"/>
                <w:b w:val="0"/>
              </w:rPr>
            </w:pPr>
            <w:r w:rsidRPr="008A0437">
              <w:rPr>
                <w:rStyle w:val="CommentReference"/>
                <w:b w:val="0"/>
              </w:rPr>
              <w:t>0.66 (0.46, 0.93)</w:t>
            </w:r>
          </w:p>
        </w:tc>
        <w:tc>
          <w:tcPr>
            <w:tcW w:w="773"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7.6</w:t>
            </w:r>
          </w:p>
        </w:tc>
        <w:tc>
          <w:tcPr>
            <w:tcW w:w="464"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11.6</w:t>
            </w:r>
          </w:p>
        </w:tc>
        <w:tc>
          <w:tcPr>
            <w:tcW w:w="913" w:type="pct"/>
            <w:vAlign w:val="center"/>
          </w:tcPr>
          <w:p w:rsidR="00E32357" w:rsidRPr="008A0437" w:rsidRDefault="00E32357" w:rsidP="00915C99">
            <w:pPr>
              <w:keepNext/>
              <w:widowControl/>
              <w:jc w:val="center"/>
              <w:rPr>
                <w:rFonts w:ascii="Arial Narrow" w:hAnsi="Arial Narrow"/>
                <w:color w:val="000000"/>
                <w:sz w:val="20"/>
                <w:szCs w:val="18"/>
              </w:rPr>
            </w:pPr>
            <w:r w:rsidRPr="008A0437">
              <w:rPr>
                <w:rFonts w:ascii="Arial Narrow" w:hAnsi="Arial Narrow"/>
                <w:color w:val="000000"/>
                <w:sz w:val="20"/>
                <w:szCs w:val="18"/>
              </w:rPr>
              <w:t>-0.04 (-0.07, -0.01)</w:t>
            </w:r>
          </w:p>
        </w:tc>
      </w:tr>
    </w:tbl>
    <w:p w:rsidR="00E32357" w:rsidRPr="008A0437" w:rsidRDefault="00E32357" w:rsidP="00915C99">
      <w:pPr>
        <w:pStyle w:val="TableFooter"/>
        <w:keepNext/>
        <w:widowControl/>
        <w:ind w:left="720"/>
      </w:pPr>
      <w:r w:rsidRPr="008A0437">
        <w:t>* Duration of follow-up: Trial 30, 32 &amp; 34 – 52 weeks.  Abbreviations: FVC = forced vital capacity; IPF = idiopathic pulmonary fibrosis; RD = risk difference; RR = risk ratio, SE = standard error.  Source: Compiled during the evaluation</w:t>
      </w:r>
    </w:p>
    <w:p w:rsidR="00E32357" w:rsidRPr="008A0437" w:rsidRDefault="00E32357" w:rsidP="00915C99">
      <w:pPr>
        <w:widowControl/>
      </w:pPr>
    </w:p>
    <w:p w:rsidR="00E32357" w:rsidRPr="008A0437" w:rsidRDefault="00E32357" w:rsidP="00915C99">
      <w:pPr>
        <w:pStyle w:val="ListParagraph"/>
        <w:widowControl/>
        <w:numPr>
          <w:ilvl w:val="1"/>
          <w:numId w:val="1"/>
        </w:numPr>
        <w:rPr>
          <w:szCs w:val="22"/>
        </w:rPr>
      </w:pPr>
      <w:r w:rsidRPr="008A0437">
        <w:rPr>
          <w:szCs w:val="22"/>
        </w:rPr>
        <w:t>On the basis of direct evidence presented by the submission</w:t>
      </w:r>
      <w:r w:rsidR="001E24CD" w:rsidRPr="008A0437">
        <w:rPr>
          <w:szCs w:val="22"/>
        </w:rPr>
        <w:t xml:space="preserve"> (for baseline to week 52)</w:t>
      </w:r>
      <w:r w:rsidRPr="008A0437">
        <w:rPr>
          <w:szCs w:val="22"/>
        </w:rPr>
        <w:t>, in comparison to placebo, nintedanib was associated with:</w:t>
      </w:r>
    </w:p>
    <w:p w:rsidR="00E32357" w:rsidRPr="008A0437" w:rsidRDefault="00E32357" w:rsidP="00915C99">
      <w:pPr>
        <w:pStyle w:val="ListParagraph"/>
        <w:widowControl/>
        <w:numPr>
          <w:ilvl w:val="0"/>
          <w:numId w:val="5"/>
        </w:numPr>
        <w:ind w:left="993" w:hanging="284"/>
        <w:rPr>
          <w:szCs w:val="22"/>
        </w:rPr>
      </w:pPr>
      <w:r w:rsidRPr="008A0437">
        <w:rPr>
          <w:szCs w:val="22"/>
        </w:rPr>
        <w:t>3.31% reduction in absolute change in FVC%Pred</w:t>
      </w:r>
      <w:r w:rsidR="008136D2" w:rsidRPr="008A0437">
        <w:rPr>
          <w:szCs w:val="22"/>
        </w:rPr>
        <w:t xml:space="preserve"> </w:t>
      </w:r>
      <w:r w:rsidR="008136D2" w:rsidRPr="008A0437">
        <w:t>(forced vital capacity predicted for age, gender and weight)</w:t>
      </w:r>
      <w:r w:rsidRPr="008A0437">
        <w:rPr>
          <w:szCs w:val="22"/>
        </w:rPr>
        <w:t>.</w:t>
      </w:r>
    </w:p>
    <w:p w:rsidR="00E32357" w:rsidRPr="008A0437" w:rsidRDefault="00E32357" w:rsidP="00915C99">
      <w:pPr>
        <w:pStyle w:val="ListParagraph"/>
        <w:widowControl/>
        <w:numPr>
          <w:ilvl w:val="0"/>
          <w:numId w:val="5"/>
        </w:numPr>
        <w:ind w:left="993" w:hanging="284"/>
        <w:rPr>
          <w:szCs w:val="22"/>
        </w:rPr>
      </w:pPr>
      <w:r w:rsidRPr="008A0437">
        <w:rPr>
          <w:szCs w:val="22"/>
        </w:rPr>
        <w:t>65% reduction in the risk of independently adjudicated acute IPF exacerbations.</w:t>
      </w:r>
    </w:p>
    <w:p w:rsidR="00E32357" w:rsidRPr="008A0437" w:rsidRDefault="00E32357" w:rsidP="00915C99">
      <w:pPr>
        <w:pStyle w:val="ListParagraph"/>
        <w:widowControl/>
        <w:numPr>
          <w:ilvl w:val="0"/>
          <w:numId w:val="5"/>
        </w:numPr>
        <w:ind w:left="993" w:hanging="284"/>
        <w:rPr>
          <w:szCs w:val="22"/>
        </w:rPr>
      </w:pPr>
      <w:r w:rsidRPr="008A0437">
        <w:rPr>
          <w:szCs w:val="22"/>
        </w:rPr>
        <w:t xml:space="preserve">No significant difference </w:t>
      </w:r>
      <w:r w:rsidR="001E24CD" w:rsidRPr="008A0437">
        <w:rPr>
          <w:szCs w:val="22"/>
        </w:rPr>
        <w:t xml:space="preserve">in </w:t>
      </w:r>
      <w:r w:rsidRPr="008A0437">
        <w:rPr>
          <w:szCs w:val="22"/>
        </w:rPr>
        <w:t>all-cause mortality.</w:t>
      </w:r>
    </w:p>
    <w:p w:rsidR="00E32357" w:rsidRPr="008A0437" w:rsidRDefault="00E32357" w:rsidP="00915C99">
      <w:pPr>
        <w:widowControl/>
        <w:rPr>
          <w:szCs w:val="22"/>
        </w:rPr>
      </w:pPr>
    </w:p>
    <w:p w:rsidR="00E32357" w:rsidRPr="008A0437" w:rsidRDefault="00E32357" w:rsidP="00915C99">
      <w:pPr>
        <w:pStyle w:val="ListParagraph"/>
        <w:widowControl/>
        <w:numPr>
          <w:ilvl w:val="1"/>
          <w:numId w:val="1"/>
        </w:numPr>
        <w:rPr>
          <w:szCs w:val="22"/>
        </w:rPr>
      </w:pPr>
      <w:r w:rsidRPr="008A0437">
        <w:t>On the basis of direct evidence presented by the submission, for every 100 patients treated with nintedanib in comparison to placebo</w:t>
      </w:r>
      <w:r w:rsidR="001E24CD" w:rsidRPr="008A0437">
        <w:t>, over a 52 week duration of follow-up</w:t>
      </w:r>
      <w:r w:rsidR="00F90534" w:rsidRPr="008A0437">
        <w:t>, approximately</w:t>
      </w:r>
      <w:r w:rsidRPr="008A0437">
        <w:t>:</w:t>
      </w:r>
    </w:p>
    <w:p w:rsidR="00E32357" w:rsidRPr="008A0437" w:rsidRDefault="00E32357" w:rsidP="00915C99">
      <w:pPr>
        <w:pStyle w:val="ListParagraph"/>
        <w:widowControl/>
        <w:numPr>
          <w:ilvl w:val="0"/>
          <w:numId w:val="5"/>
        </w:numPr>
        <w:ind w:left="993" w:hanging="284"/>
        <w:rPr>
          <w:szCs w:val="22"/>
        </w:rPr>
      </w:pPr>
      <w:r w:rsidRPr="008A0437">
        <w:rPr>
          <w:szCs w:val="22"/>
        </w:rPr>
        <w:t>43 additional patients would have diarrhoea.</w:t>
      </w:r>
    </w:p>
    <w:p w:rsidR="00E32357" w:rsidRPr="008A0437" w:rsidRDefault="00E32357" w:rsidP="00915C99">
      <w:pPr>
        <w:pStyle w:val="ListParagraph"/>
        <w:widowControl/>
        <w:numPr>
          <w:ilvl w:val="0"/>
          <w:numId w:val="5"/>
        </w:numPr>
        <w:ind w:left="993" w:hanging="284"/>
        <w:rPr>
          <w:szCs w:val="22"/>
        </w:rPr>
      </w:pPr>
      <w:r w:rsidRPr="008A0437">
        <w:rPr>
          <w:szCs w:val="22"/>
        </w:rPr>
        <w:t>9 additional patients would have vomiting.</w:t>
      </w:r>
    </w:p>
    <w:p w:rsidR="007F1017" w:rsidRPr="008A0437" w:rsidRDefault="00E32357" w:rsidP="00915C99">
      <w:pPr>
        <w:pStyle w:val="ListParagraph"/>
        <w:widowControl/>
        <w:numPr>
          <w:ilvl w:val="0"/>
          <w:numId w:val="5"/>
        </w:numPr>
        <w:ind w:left="993" w:hanging="284"/>
        <w:rPr>
          <w:szCs w:val="22"/>
        </w:rPr>
      </w:pPr>
      <w:r w:rsidRPr="008A0437">
        <w:rPr>
          <w:szCs w:val="22"/>
        </w:rPr>
        <w:t>4 fewer patients would have dyspnoea.</w:t>
      </w:r>
    </w:p>
    <w:p w:rsidR="00B60939" w:rsidRPr="008A0437" w:rsidRDefault="00B60939" w:rsidP="00915C99">
      <w:pPr>
        <w:widowControl/>
      </w:pPr>
    </w:p>
    <w:p w:rsidR="00B60939" w:rsidRPr="008A0437" w:rsidRDefault="00B60939" w:rsidP="00915C99">
      <w:pPr>
        <w:pStyle w:val="Heading2"/>
        <w:keepNext/>
        <w:widowControl/>
        <w:rPr>
          <w:i/>
        </w:rPr>
      </w:pPr>
      <w:bookmarkStart w:id="10" w:name="_Toc459120723"/>
      <w:r w:rsidRPr="008A0437">
        <w:rPr>
          <w:i/>
        </w:rPr>
        <w:t>Clinical claim</w:t>
      </w:r>
      <w:bookmarkEnd w:id="10"/>
    </w:p>
    <w:p w:rsidR="00B60939" w:rsidRPr="008A0437" w:rsidRDefault="00B60939" w:rsidP="00915C99">
      <w:pPr>
        <w:pStyle w:val="BodyText"/>
        <w:keepNext/>
        <w:widowControl/>
      </w:pPr>
    </w:p>
    <w:p w:rsidR="00CD51FF" w:rsidRPr="008A0437" w:rsidRDefault="00B6130B" w:rsidP="00915C99">
      <w:pPr>
        <w:pStyle w:val="ListParagraph"/>
        <w:widowControl/>
        <w:numPr>
          <w:ilvl w:val="1"/>
          <w:numId w:val="1"/>
        </w:numPr>
      </w:pPr>
      <w:r>
        <w:t>As in the November 2015 submission, t</w:t>
      </w:r>
      <w:r w:rsidR="00E32357" w:rsidRPr="008A0437">
        <w:t xml:space="preserve">he current </w:t>
      </w:r>
      <w:r w:rsidR="00E91B50" w:rsidRPr="008A0437">
        <w:t>resubmission</w:t>
      </w:r>
      <w:r w:rsidR="00E32357" w:rsidRPr="008A0437">
        <w:t xml:space="preserve"> described nintedanib as superior to placebo for the treatment of patients with IPF but associated with a slightly higher incidence of drug related adverse events. </w:t>
      </w:r>
      <w:r w:rsidR="00272D25" w:rsidRPr="008A0437">
        <w:t xml:space="preserve">The PBAC previously agreed with the clinical claim of </w:t>
      </w:r>
      <w:r w:rsidR="00EA07A2" w:rsidRPr="008A0437">
        <w:t xml:space="preserve">superior </w:t>
      </w:r>
      <w:r w:rsidR="00272D25" w:rsidRPr="008A0437">
        <w:t xml:space="preserve">effectiveness and </w:t>
      </w:r>
      <w:r w:rsidR="00EA07A2" w:rsidRPr="008A0437">
        <w:t xml:space="preserve">inferior </w:t>
      </w:r>
      <w:r w:rsidR="00272D25" w:rsidRPr="008A0437">
        <w:t>safety (November 2015 PSD, paragraph 6.25)</w:t>
      </w:r>
      <w:r w:rsidR="00EA07A2" w:rsidRPr="008A0437">
        <w:t>.</w:t>
      </w:r>
    </w:p>
    <w:p w:rsidR="00CD51FF" w:rsidRPr="008A0437" w:rsidRDefault="00CD51FF" w:rsidP="00915C99">
      <w:pPr>
        <w:widowControl/>
        <w:rPr>
          <w:szCs w:val="22"/>
        </w:rPr>
      </w:pPr>
    </w:p>
    <w:p w:rsidR="00CD51FF" w:rsidRPr="008A0437" w:rsidRDefault="00062679" w:rsidP="00915C99">
      <w:pPr>
        <w:pStyle w:val="ListParagraph"/>
        <w:widowControl/>
        <w:numPr>
          <w:ilvl w:val="1"/>
          <w:numId w:val="1"/>
        </w:numPr>
        <w:rPr>
          <w:szCs w:val="22"/>
        </w:rPr>
      </w:pPr>
      <w:r w:rsidRPr="008A0437">
        <w:t>As in the previous re</w:t>
      </w:r>
      <w:r w:rsidR="00CD51FF" w:rsidRPr="008A0437">
        <w:t xml:space="preserve">submission, the current </w:t>
      </w:r>
      <w:r w:rsidRPr="008A0437">
        <w:t>re</w:t>
      </w:r>
      <w:r w:rsidR="00CD51FF" w:rsidRPr="008A0437">
        <w:t xml:space="preserve">submission did not make an explicit clinical claim against pirfenidone. </w:t>
      </w:r>
      <w:r w:rsidR="00EA07A2" w:rsidRPr="008A0437">
        <w:t>In November 2015, t</w:t>
      </w:r>
      <w:r w:rsidR="00CD51FF" w:rsidRPr="008A0437">
        <w:t xml:space="preserve">he PBAC considered that “interpretation </w:t>
      </w:r>
      <w:r w:rsidR="00CD51FF" w:rsidRPr="008A0437">
        <w:rPr>
          <w:szCs w:val="22"/>
        </w:rPr>
        <w:t xml:space="preserve">of the indirect comparison with pirfenidone is difficult given the differences in the trial populations and the outcomes...  However, PBAC considered both drugs are likely to be similarly clinically effective” (November 2015 PSD, </w:t>
      </w:r>
      <w:r w:rsidR="00F461BD" w:rsidRPr="008A0437">
        <w:rPr>
          <w:szCs w:val="22"/>
        </w:rPr>
        <w:t>p</w:t>
      </w:r>
      <w:r w:rsidR="00CD51FF" w:rsidRPr="008A0437">
        <w:rPr>
          <w:szCs w:val="22"/>
        </w:rPr>
        <w:t>aragraph 7.11)</w:t>
      </w:r>
      <w:r w:rsidR="00F461BD" w:rsidRPr="008A0437">
        <w:rPr>
          <w:szCs w:val="22"/>
        </w:rPr>
        <w:t>.</w:t>
      </w:r>
    </w:p>
    <w:p w:rsidR="005F6743" w:rsidRPr="002A78FC" w:rsidRDefault="005F6743" w:rsidP="00915C99">
      <w:pPr>
        <w:widowControl/>
        <w:rPr>
          <w:szCs w:val="22"/>
        </w:rPr>
      </w:pPr>
    </w:p>
    <w:p w:rsidR="005F6743" w:rsidRPr="008A0437" w:rsidRDefault="005F6743" w:rsidP="00915C99">
      <w:pPr>
        <w:pStyle w:val="ListParagraph"/>
        <w:widowControl/>
        <w:numPr>
          <w:ilvl w:val="1"/>
          <w:numId w:val="1"/>
        </w:numPr>
        <w:rPr>
          <w:szCs w:val="22"/>
        </w:rPr>
      </w:pPr>
      <w:r w:rsidRPr="008A0437">
        <w:rPr>
          <w:szCs w:val="22"/>
        </w:rPr>
        <w:t xml:space="preserve">The ESC considered that no new evidence was presented that would be sufficient to change the PBAC’s previous conclusion that nintedanib and pirfenidone are likely to be </w:t>
      </w:r>
      <w:r w:rsidR="002A78FC">
        <w:rPr>
          <w:szCs w:val="22"/>
        </w:rPr>
        <w:t>similarly clinically effective.</w:t>
      </w:r>
    </w:p>
    <w:p w:rsidR="00CD51FF" w:rsidRPr="008A0437" w:rsidRDefault="00CD51FF" w:rsidP="00915C99">
      <w:pPr>
        <w:widowControl/>
        <w:rPr>
          <w:szCs w:val="22"/>
        </w:rPr>
      </w:pPr>
    </w:p>
    <w:p w:rsidR="00717BB1" w:rsidRPr="008A0437" w:rsidRDefault="00717BB1" w:rsidP="00915C99">
      <w:pPr>
        <w:pStyle w:val="ListParagraph"/>
        <w:widowControl/>
        <w:numPr>
          <w:ilvl w:val="1"/>
          <w:numId w:val="1"/>
        </w:numPr>
        <w:rPr>
          <w:bCs/>
        </w:rPr>
      </w:pPr>
      <w:r w:rsidRPr="008A0437">
        <w:rPr>
          <w:bCs/>
          <w:szCs w:val="22"/>
        </w:rPr>
        <w:t xml:space="preserve">The PBAC </w:t>
      </w:r>
      <w:r w:rsidR="00CC6B30" w:rsidRPr="008A0437">
        <w:rPr>
          <w:bCs/>
          <w:szCs w:val="22"/>
        </w:rPr>
        <w:t>reaffirmed</w:t>
      </w:r>
      <w:r w:rsidR="00526281" w:rsidRPr="008A0437">
        <w:rPr>
          <w:bCs/>
          <w:szCs w:val="22"/>
        </w:rPr>
        <w:t xml:space="preserve"> that </w:t>
      </w:r>
      <w:r w:rsidRPr="008A0437">
        <w:rPr>
          <w:bCs/>
          <w:szCs w:val="22"/>
        </w:rPr>
        <w:t xml:space="preserve">the claim of superior effectiveness </w:t>
      </w:r>
      <w:r w:rsidR="006E3105" w:rsidRPr="008A0437">
        <w:rPr>
          <w:bCs/>
          <w:szCs w:val="22"/>
        </w:rPr>
        <w:t>and inferior safety</w:t>
      </w:r>
      <w:r w:rsidR="00CC6B30" w:rsidRPr="008A0437">
        <w:rPr>
          <w:bCs/>
          <w:szCs w:val="22"/>
        </w:rPr>
        <w:t>,</w:t>
      </w:r>
      <w:r w:rsidR="006E3105" w:rsidRPr="008A0437">
        <w:rPr>
          <w:bCs/>
          <w:szCs w:val="22"/>
        </w:rPr>
        <w:t xml:space="preserve"> </w:t>
      </w:r>
      <w:r w:rsidR="00526281" w:rsidRPr="008A0437">
        <w:rPr>
          <w:bCs/>
          <w:szCs w:val="22"/>
        </w:rPr>
        <w:t>compared with placebo</w:t>
      </w:r>
      <w:r w:rsidR="00CC6B30" w:rsidRPr="008A0437">
        <w:rPr>
          <w:bCs/>
          <w:szCs w:val="22"/>
        </w:rPr>
        <w:t>,</w:t>
      </w:r>
      <w:r w:rsidR="00526281" w:rsidRPr="008A0437">
        <w:rPr>
          <w:bCs/>
          <w:szCs w:val="22"/>
        </w:rPr>
        <w:t xml:space="preserve"> </w:t>
      </w:r>
      <w:r w:rsidRPr="008A0437">
        <w:rPr>
          <w:bCs/>
          <w:szCs w:val="22"/>
        </w:rPr>
        <w:t>was reasonable.</w:t>
      </w:r>
      <w:r w:rsidR="003C5304" w:rsidRPr="008A0437">
        <w:rPr>
          <w:bCs/>
          <w:szCs w:val="22"/>
        </w:rPr>
        <w:t xml:space="preserve"> The PBAC also reaffirmed that nintedanib and pirfenidone are likely to be similarly clinically effective.</w:t>
      </w:r>
    </w:p>
    <w:p w:rsidR="005529DC" w:rsidRPr="008A0437" w:rsidRDefault="005529DC" w:rsidP="00915C99">
      <w:pPr>
        <w:widowControl/>
        <w:rPr>
          <w:szCs w:val="22"/>
        </w:rPr>
      </w:pPr>
    </w:p>
    <w:p w:rsidR="00B60939" w:rsidRPr="008A0437" w:rsidRDefault="00B60939" w:rsidP="00915C99">
      <w:pPr>
        <w:pStyle w:val="Heading2"/>
        <w:widowControl/>
        <w:rPr>
          <w:i/>
        </w:rPr>
      </w:pPr>
      <w:bookmarkStart w:id="11" w:name="_Toc459120724"/>
      <w:r w:rsidRPr="008A0437">
        <w:rPr>
          <w:i/>
        </w:rPr>
        <w:t>Economic analysis</w:t>
      </w:r>
      <w:bookmarkEnd w:id="11"/>
      <w:r w:rsidR="00491B3A" w:rsidRPr="008A0437">
        <w:rPr>
          <w:i/>
        </w:rPr>
        <w:t xml:space="preserve"> </w:t>
      </w:r>
    </w:p>
    <w:p w:rsidR="00B60939" w:rsidRPr="008A0437" w:rsidRDefault="00B60939" w:rsidP="00915C99">
      <w:pPr>
        <w:widowControl/>
        <w:ind w:left="720" w:hanging="720"/>
        <w:rPr>
          <w:szCs w:val="22"/>
        </w:rPr>
      </w:pPr>
    </w:p>
    <w:p w:rsidR="005B157E" w:rsidRPr="008A0437" w:rsidRDefault="00BF0D4F" w:rsidP="00915C99">
      <w:pPr>
        <w:pStyle w:val="ListParagraph"/>
        <w:widowControl/>
        <w:numPr>
          <w:ilvl w:val="1"/>
          <w:numId w:val="1"/>
        </w:numPr>
        <w:rPr>
          <w:szCs w:val="22"/>
        </w:rPr>
      </w:pPr>
      <w:r w:rsidRPr="008A0437">
        <w:t xml:space="preserve">The </w:t>
      </w:r>
      <w:r w:rsidR="00E32357" w:rsidRPr="008A0437">
        <w:t xml:space="preserve">current </w:t>
      </w:r>
      <w:r w:rsidR="00E91B50" w:rsidRPr="008A0437">
        <w:t>resubmission</w:t>
      </w:r>
      <w:r w:rsidR="00E32357" w:rsidRPr="008A0437">
        <w:t xml:space="preserve"> presented an updated economic model to evaluate the cost-effectiveness of nintedanib versus BSC. </w:t>
      </w:r>
      <w:r w:rsidRPr="008A0437">
        <w:t>As requested by the PBAC</w:t>
      </w:r>
      <w:r w:rsidR="007E3705" w:rsidRPr="008A0437">
        <w:t xml:space="preserve"> (November 2015 PSD, paragraph 7.13)</w:t>
      </w:r>
      <w:r w:rsidR="00E32357" w:rsidRPr="008A0437">
        <w:t xml:space="preserve">, </w:t>
      </w:r>
      <w:r w:rsidR="00F90534" w:rsidRPr="008A0437">
        <w:t xml:space="preserve">the impact of the </w:t>
      </w:r>
      <w:r w:rsidR="007E3705" w:rsidRPr="008A0437">
        <w:t>proposed caps on expenditure</w:t>
      </w:r>
      <w:r w:rsidR="00F90534" w:rsidRPr="008A0437">
        <w:t xml:space="preserve"> </w:t>
      </w:r>
      <w:r w:rsidR="007E3705" w:rsidRPr="008A0437">
        <w:t xml:space="preserve">through a </w:t>
      </w:r>
      <w:r w:rsidR="0078015A" w:rsidRPr="008A0437">
        <w:t xml:space="preserve">RSA </w:t>
      </w:r>
      <w:r w:rsidR="00F90534" w:rsidRPr="008A0437">
        <w:t>on the effective price</w:t>
      </w:r>
      <w:r w:rsidRPr="008A0437">
        <w:t xml:space="preserve"> </w:t>
      </w:r>
      <w:r w:rsidR="00E14C21" w:rsidRPr="008A0437">
        <w:t>was</w:t>
      </w:r>
      <w:r w:rsidRPr="008A0437">
        <w:t xml:space="preserve"> removed and a continuation rule </w:t>
      </w:r>
      <w:r w:rsidR="00E14C21" w:rsidRPr="008A0437">
        <w:t>was</w:t>
      </w:r>
      <w:r w:rsidRPr="008A0437">
        <w:t xml:space="preserve"> incorporated into the model. </w:t>
      </w:r>
      <w:r w:rsidR="00451739" w:rsidRPr="008A0437">
        <w:t>N</w:t>
      </w:r>
      <w:r w:rsidR="00E32357" w:rsidRPr="008A0437">
        <w:t xml:space="preserve">o </w:t>
      </w:r>
      <w:r w:rsidR="00451739" w:rsidRPr="008A0437">
        <w:t xml:space="preserve">other </w:t>
      </w:r>
      <w:r w:rsidR="00E32357" w:rsidRPr="008A0437">
        <w:t xml:space="preserve">substantive changes </w:t>
      </w:r>
      <w:r w:rsidR="00E14C21" w:rsidRPr="008A0437">
        <w:t>were</w:t>
      </w:r>
      <w:r w:rsidR="00E32357" w:rsidRPr="008A0437">
        <w:t xml:space="preserve"> made to the structure or rationale of the economic model (refer to Table </w:t>
      </w:r>
      <w:r w:rsidR="00A17212" w:rsidRPr="008A0437">
        <w:t>8</w:t>
      </w:r>
      <w:r w:rsidR="00E32357" w:rsidRPr="008A0437">
        <w:t>, below).</w:t>
      </w:r>
    </w:p>
    <w:p w:rsidR="00E32357" w:rsidRPr="002A78FC" w:rsidRDefault="00E32357" w:rsidP="00915C99">
      <w:pPr>
        <w:widowControl/>
        <w:rPr>
          <w:szCs w:val="22"/>
        </w:rPr>
      </w:pPr>
    </w:p>
    <w:p w:rsidR="00E32357" w:rsidRPr="008A0437" w:rsidRDefault="00E32357" w:rsidP="00915C99">
      <w:pPr>
        <w:keepNext/>
        <w:widowControl/>
        <w:ind w:firstLine="720"/>
        <w:rPr>
          <w:rStyle w:val="CommentReference"/>
        </w:rPr>
      </w:pPr>
      <w:r w:rsidRPr="008A0437">
        <w:rPr>
          <w:rStyle w:val="CommentReference"/>
        </w:rPr>
        <w:lastRenderedPageBreak/>
        <w:t xml:space="preserve">Table </w:t>
      </w:r>
      <w:r w:rsidR="00A17212" w:rsidRPr="008A0437">
        <w:rPr>
          <w:rStyle w:val="CommentReference"/>
        </w:rPr>
        <w:t>8</w:t>
      </w:r>
      <w:r w:rsidRPr="008A0437">
        <w:rPr>
          <w:rStyle w:val="CommentReference"/>
        </w:rPr>
        <w:t>: Summary of model structure and rationale</w:t>
      </w:r>
    </w:p>
    <w:tbl>
      <w:tblPr>
        <w:tblW w:w="455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0"/>
        <w:gridCol w:w="7256"/>
      </w:tblGrid>
      <w:tr w:rsidR="00E32357" w:rsidRPr="008A0437" w:rsidTr="00E32357">
        <w:trPr>
          <w:tblHeader/>
        </w:trPr>
        <w:tc>
          <w:tcPr>
            <w:tcW w:w="616" w:type="pct"/>
            <w:shd w:val="clear" w:color="auto" w:fill="auto"/>
            <w:vAlign w:val="center"/>
          </w:tcPr>
          <w:p w:rsidR="00E32357" w:rsidRPr="008A0437" w:rsidRDefault="00E32357" w:rsidP="00915C99">
            <w:pPr>
              <w:keepNext/>
              <w:widowControl/>
              <w:jc w:val="left"/>
              <w:rPr>
                <w:rFonts w:ascii="Arial Narrow" w:hAnsi="Arial Narrow"/>
                <w:b/>
                <w:sz w:val="20"/>
              </w:rPr>
            </w:pPr>
            <w:r w:rsidRPr="008A0437">
              <w:rPr>
                <w:rFonts w:ascii="Arial Narrow" w:hAnsi="Arial Narrow"/>
                <w:b/>
                <w:sz w:val="20"/>
              </w:rPr>
              <w:t>Component</w:t>
            </w:r>
          </w:p>
        </w:tc>
        <w:tc>
          <w:tcPr>
            <w:tcW w:w="4384" w:type="pct"/>
            <w:shd w:val="clear" w:color="auto" w:fill="auto"/>
            <w:vAlign w:val="center"/>
          </w:tcPr>
          <w:p w:rsidR="00E32357" w:rsidRPr="008A0437" w:rsidRDefault="00E32357" w:rsidP="00915C99">
            <w:pPr>
              <w:keepNext/>
              <w:widowControl/>
              <w:jc w:val="center"/>
              <w:rPr>
                <w:rFonts w:ascii="Arial Narrow" w:hAnsi="Arial Narrow"/>
                <w:b/>
                <w:sz w:val="20"/>
              </w:rPr>
            </w:pPr>
            <w:r w:rsidRPr="008A0437">
              <w:rPr>
                <w:rFonts w:ascii="Arial Narrow" w:hAnsi="Arial Narrow"/>
                <w:b/>
                <w:sz w:val="20"/>
              </w:rPr>
              <w:t>Summary</w:t>
            </w:r>
          </w:p>
        </w:tc>
      </w:tr>
      <w:tr w:rsidR="00E32357" w:rsidRPr="008A0437" w:rsidTr="00E32357">
        <w:tc>
          <w:tcPr>
            <w:tcW w:w="616" w:type="pct"/>
            <w:shd w:val="clear" w:color="auto" w:fill="auto"/>
            <w:vAlign w:val="center"/>
          </w:tcPr>
          <w:p w:rsidR="00E32357" w:rsidRPr="008A0437" w:rsidRDefault="00E32357" w:rsidP="00915C99">
            <w:pPr>
              <w:keepNext/>
              <w:widowControl/>
              <w:jc w:val="left"/>
              <w:rPr>
                <w:rFonts w:ascii="Arial Narrow" w:hAnsi="Arial Narrow"/>
                <w:sz w:val="20"/>
              </w:rPr>
            </w:pPr>
            <w:r w:rsidRPr="008A0437">
              <w:rPr>
                <w:rFonts w:ascii="Arial Narrow" w:hAnsi="Arial Narrow"/>
                <w:sz w:val="20"/>
              </w:rPr>
              <w:t>Time horizon</w:t>
            </w:r>
          </w:p>
        </w:tc>
        <w:tc>
          <w:tcPr>
            <w:tcW w:w="4384" w:type="pct"/>
            <w:shd w:val="clear" w:color="auto" w:fill="auto"/>
          </w:tcPr>
          <w:p w:rsidR="00E32357" w:rsidRPr="008A0437" w:rsidRDefault="00E32357" w:rsidP="00915C99">
            <w:pPr>
              <w:keepNext/>
              <w:widowControl/>
              <w:jc w:val="left"/>
              <w:rPr>
                <w:rFonts w:ascii="Arial Narrow" w:hAnsi="Arial Narrow"/>
                <w:sz w:val="20"/>
              </w:rPr>
            </w:pPr>
            <w:r w:rsidRPr="008A0437">
              <w:rPr>
                <w:rFonts w:ascii="Arial Narrow" w:hAnsi="Arial Narrow"/>
                <w:sz w:val="20"/>
              </w:rPr>
              <w:t>10 years in the model base case versus 21 months maximum follow-up in the nintedanib trials</w:t>
            </w:r>
          </w:p>
        </w:tc>
      </w:tr>
      <w:tr w:rsidR="00E32357" w:rsidRPr="008A0437" w:rsidTr="00E32357">
        <w:tc>
          <w:tcPr>
            <w:tcW w:w="616" w:type="pct"/>
            <w:shd w:val="clear" w:color="auto" w:fill="auto"/>
            <w:vAlign w:val="center"/>
          </w:tcPr>
          <w:p w:rsidR="00E32357" w:rsidRPr="008A0437" w:rsidRDefault="00E32357" w:rsidP="00915C99">
            <w:pPr>
              <w:keepNext/>
              <w:widowControl/>
              <w:jc w:val="left"/>
              <w:rPr>
                <w:rFonts w:ascii="Arial Narrow" w:hAnsi="Arial Narrow"/>
                <w:sz w:val="20"/>
              </w:rPr>
            </w:pPr>
            <w:r w:rsidRPr="008A0437">
              <w:rPr>
                <w:rFonts w:ascii="Arial Narrow" w:hAnsi="Arial Narrow"/>
                <w:sz w:val="20"/>
              </w:rPr>
              <w:t>Outcomes</w:t>
            </w:r>
          </w:p>
        </w:tc>
        <w:tc>
          <w:tcPr>
            <w:tcW w:w="4384" w:type="pct"/>
            <w:shd w:val="clear" w:color="auto" w:fill="auto"/>
          </w:tcPr>
          <w:p w:rsidR="00E32357" w:rsidRPr="008A0437" w:rsidRDefault="00E32357" w:rsidP="00915C99">
            <w:pPr>
              <w:keepNext/>
              <w:widowControl/>
              <w:jc w:val="left"/>
              <w:rPr>
                <w:rFonts w:ascii="Arial Narrow" w:hAnsi="Arial Narrow"/>
                <w:sz w:val="20"/>
              </w:rPr>
            </w:pPr>
            <w:r w:rsidRPr="008A0437">
              <w:rPr>
                <w:rFonts w:ascii="Arial Narrow" w:hAnsi="Arial Narrow"/>
                <w:sz w:val="20"/>
              </w:rPr>
              <w:t>LYG</w:t>
            </w:r>
            <w:r w:rsidR="00A161E4" w:rsidRPr="008A0437">
              <w:rPr>
                <w:rFonts w:ascii="Arial Narrow" w:hAnsi="Arial Narrow"/>
                <w:sz w:val="20"/>
              </w:rPr>
              <w:t xml:space="preserve"> and</w:t>
            </w:r>
            <w:r w:rsidR="00F90534" w:rsidRPr="008A0437">
              <w:rPr>
                <w:rFonts w:ascii="Arial Narrow" w:hAnsi="Arial Narrow"/>
                <w:sz w:val="20"/>
              </w:rPr>
              <w:t xml:space="preserve"> </w:t>
            </w:r>
            <w:r w:rsidRPr="008A0437">
              <w:rPr>
                <w:rFonts w:ascii="Arial Narrow" w:hAnsi="Arial Narrow"/>
                <w:sz w:val="20"/>
              </w:rPr>
              <w:t>QALY</w:t>
            </w:r>
            <w:r w:rsidR="00A161E4" w:rsidRPr="008A0437">
              <w:rPr>
                <w:rFonts w:ascii="Arial Narrow" w:hAnsi="Arial Narrow"/>
                <w:sz w:val="20"/>
              </w:rPr>
              <w:t>s</w:t>
            </w:r>
            <w:r w:rsidRPr="008A0437">
              <w:rPr>
                <w:rFonts w:ascii="Arial Narrow" w:hAnsi="Arial Narrow"/>
                <w:sz w:val="20"/>
              </w:rPr>
              <w:t xml:space="preserve"> (trial based EQ-5D utilities) </w:t>
            </w:r>
          </w:p>
        </w:tc>
      </w:tr>
      <w:tr w:rsidR="00E32357" w:rsidRPr="008A0437" w:rsidTr="00E32357">
        <w:tc>
          <w:tcPr>
            <w:tcW w:w="616" w:type="pct"/>
            <w:shd w:val="clear" w:color="auto" w:fill="auto"/>
            <w:vAlign w:val="center"/>
          </w:tcPr>
          <w:p w:rsidR="00E32357" w:rsidRPr="008A0437" w:rsidRDefault="00E32357" w:rsidP="00915C99">
            <w:pPr>
              <w:keepNext/>
              <w:widowControl/>
              <w:jc w:val="left"/>
              <w:rPr>
                <w:rFonts w:ascii="Arial Narrow" w:hAnsi="Arial Narrow"/>
                <w:sz w:val="20"/>
              </w:rPr>
            </w:pPr>
            <w:r w:rsidRPr="008A0437">
              <w:rPr>
                <w:rFonts w:ascii="Arial Narrow" w:hAnsi="Arial Narrow"/>
                <w:sz w:val="20"/>
              </w:rPr>
              <w:t>Methods used to generate results</w:t>
            </w:r>
          </w:p>
        </w:tc>
        <w:tc>
          <w:tcPr>
            <w:tcW w:w="4384" w:type="pct"/>
            <w:shd w:val="clear" w:color="auto" w:fill="auto"/>
            <w:vAlign w:val="center"/>
          </w:tcPr>
          <w:p w:rsidR="00E32357" w:rsidRPr="008A0437" w:rsidRDefault="00E32357" w:rsidP="00915C99">
            <w:pPr>
              <w:keepNext/>
              <w:widowControl/>
              <w:jc w:val="left"/>
              <w:rPr>
                <w:rFonts w:ascii="Arial Narrow" w:hAnsi="Arial Narrow"/>
                <w:sz w:val="20"/>
              </w:rPr>
            </w:pPr>
            <w:r w:rsidRPr="008A0437">
              <w:rPr>
                <w:rFonts w:ascii="Arial Narrow" w:hAnsi="Arial Narrow"/>
                <w:sz w:val="20"/>
              </w:rPr>
              <w:t>Markov state transition model separated into two parts: ‘no exac</w:t>
            </w:r>
            <w:r w:rsidR="005F3A39" w:rsidRPr="008A0437">
              <w:rPr>
                <w:rFonts w:ascii="Arial Narrow" w:hAnsi="Arial Narrow"/>
                <w:sz w:val="20"/>
              </w:rPr>
              <w:t xml:space="preserve">erbation’ and ‘exacerbations’. </w:t>
            </w:r>
            <w:r w:rsidRPr="008A0437">
              <w:rPr>
                <w:rFonts w:ascii="Arial Narrow" w:hAnsi="Arial Narrow"/>
                <w:sz w:val="20"/>
              </w:rPr>
              <w:t>Patients may either remain stable or transition via a one-step decline in FVC%Pred health state according to ‘no exacerbation’ or ‘exacerbation’ status</w:t>
            </w:r>
            <w:r w:rsidR="005F3A39" w:rsidRPr="008A0437">
              <w:rPr>
                <w:rFonts w:ascii="Arial Narrow" w:hAnsi="Arial Narrow"/>
                <w:sz w:val="20"/>
              </w:rPr>
              <w:t xml:space="preserve">. </w:t>
            </w:r>
            <w:r w:rsidRPr="008A0437">
              <w:rPr>
                <w:rFonts w:ascii="Arial Narrow" w:hAnsi="Arial Narrow"/>
                <w:sz w:val="20"/>
              </w:rPr>
              <w:t>Discontinuation probabilities are also applied to the ni</w:t>
            </w:r>
            <w:r w:rsidR="005F3A39" w:rsidRPr="008A0437">
              <w:rPr>
                <w:rFonts w:ascii="Arial Narrow" w:hAnsi="Arial Narrow"/>
                <w:sz w:val="20"/>
              </w:rPr>
              <w:t>ntedanib arm of the model.</w:t>
            </w:r>
            <w:r w:rsidRPr="008A0437">
              <w:rPr>
                <w:rFonts w:ascii="Arial Narrow" w:hAnsi="Arial Narrow"/>
                <w:sz w:val="20"/>
              </w:rPr>
              <w:t xml:space="preserve"> Upon discontinuation of treatment, the economic model applied relevant transition prob</w:t>
            </w:r>
            <w:r w:rsidR="005F3A39" w:rsidRPr="008A0437">
              <w:rPr>
                <w:rFonts w:ascii="Arial Narrow" w:hAnsi="Arial Narrow"/>
                <w:sz w:val="20"/>
              </w:rPr>
              <w:t xml:space="preserve">abilities associated with BSC. </w:t>
            </w:r>
            <w:r w:rsidRPr="008A0437">
              <w:rPr>
                <w:rFonts w:ascii="Arial Narrow" w:hAnsi="Arial Narrow"/>
                <w:sz w:val="20"/>
              </w:rPr>
              <w:t>Patients could</w:t>
            </w:r>
            <w:r w:rsidR="005F3A39" w:rsidRPr="008A0437">
              <w:rPr>
                <w:rFonts w:ascii="Arial Narrow" w:hAnsi="Arial Narrow"/>
                <w:sz w:val="20"/>
              </w:rPr>
              <w:t xml:space="preserve"> transition to the self</w:t>
            </w:r>
            <w:r w:rsidR="005F3A39" w:rsidRPr="008A0437">
              <w:rPr>
                <w:rFonts w:ascii="Arial Narrow" w:hAnsi="Arial Narrow"/>
                <w:sz w:val="20"/>
              </w:rPr>
              <w:noBreakHyphen/>
            </w:r>
            <w:r w:rsidRPr="008A0437">
              <w:rPr>
                <w:rFonts w:ascii="Arial Narrow" w:hAnsi="Arial Narrow"/>
                <w:sz w:val="20"/>
              </w:rPr>
              <w:t>absorbing death health state at any time.</w:t>
            </w:r>
            <w:r w:rsidR="005F3A39" w:rsidRPr="008A0437">
              <w:rPr>
                <w:rFonts w:ascii="Arial Narrow" w:hAnsi="Arial Narrow"/>
                <w:sz w:val="20"/>
              </w:rPr>
              <w:t xml:space="preserve"> </w:t>
            </w:r>
            <w:r w:rsidR="00A161E4" w:rsidRPr="008A0437">
              <w:rPr>
                <w:rFonts w:ascii="Arial Narrow" w:hAnsi="Arial Narrow"/>
                <w:sz w:val="20"/>
                <w:szCs w:val="16"/>
              </w:rPr>
              <w:t>Included stopping rule to limit treatment to patients progressing on treatment</w:t>
            </w:r>
            <w:r w:rsidR="00A161E4" w:rsidRPr="008A0437">
              <w:rPr>
                <w:rFonts w:ascii="Arial Narrow" w:hAnsi="Arial Narrow"/>
                <w:sz w:val="20"/>
              </w:rPr>
              <w:t>.</w:t>
            </w:r>
          </w:p>
        </w:tc>
      </w:tr>
      <w:tr w:rsidR="00E32357" w:rsidRPr="008A0437" w:rsidTr="00E32357">
        <w:tc>
          <w:tcPr>
            <w:tcW w:w="616" w:type="pct"/>
            <w:shd w:val="clear" w:color="auto" w:fill="auto"/>
            <w:vAlign w:val="center"/>
          </w:tcPr>
          <w:p w:rsidR="00E32357" w:rsidRPr="008A0437" w:rsidRDefault="00E32357" w:rsidP="00915C99">
            <w:pPr>
              <w:keepNext/>
              <w:widowControl/>
              <w:jc w:val="left"/>
              <w:rPr>
                <w:rFonts w:ascii="Arial Narrow" w:hAnsi="Arial Narrow"/>
                <w:sz w:val="20"/>
              </w:rPr>
            </w:pPr>
            <w:r w:rsidRPr="008A0437">
              <w:rPr>
                <w:rFonts w:ascii="Arial Narrow" w:hAnsi="Arial Narrow"/>
                <w:sz w:val="20"/>
              </w:rPr>
              <w:t>Health states</w:t>
            </w:r>
          </w:p>
        </w:tc>
        <w:tc>
          <w:tcPr>
            <w:tcW w:w="4384" w:type="pct"/>
            <w:shd w:val="clear" w:color="auto" w:fill="auto"/>
            <w:vAlign w:val="center"/>
          </w:tcPr>
          <w:p w:rsidR="00E32357" w:rsidRPr="008A0437" w:rsidRDefault="00E32357" w:rsidP="00915C99">
            <w:pPr>
              <w:keepNext/>
              <w:widowControl/>
              <w:jc w:val="left"/>
              <w:rPr>
                <w:rFonts w:ascii="Arial Narrow" w:hAnsi="Arial Narrow"/>
                <w:sz w:val="20"/>
              </w:rPr>
            </w:pPr>
            <w:r w:rsidRPr="008A0437">
              <w:rPr>
                <w:rFonts w:ascii="Arial Narrow" w:hAnsi="Arial Narrow"/>
                <w:sz w:val="20"/>
              </w:rPr>
              <w:t>8 FVC%Pred health states and death</w:t>
            </w:r>
          </w:p>
        </w:tc>
      </w:tr>
      <w:tr w:rsidR="00E32357" w:rsidRPr="008A0437" w:rsidTr="00E32357">
        <w:tc>
          <w:tcPr>
            <w:tcW w:w="616" w:type="pct"/>
            <w:shd w:val="clear" w:color="auto" w:fill="auto"/>
            <w:vAlign w:val="center"/>
          </w:tcPr>
          <w:p w:rsidR="00E32357" w:rsidRPr="008A0437" w:rsidRDefault="00E32357" w:rsidP="00915C99">
            <w:pPr>
              <w:keepNext/>
              <w:widowControl/>
              <w:jc w:val="left"/>
              <w:rPr>
                <w:rFonts w:ascii="Arial Narrow" w:hAnsi="Arial Narrow"/>
                <w:sz w:val="20"/>
              </w:rPr>
            </w:pPr>
            <w:r w:rsidRPr="008A0437">
              <w:rPr>
                <w:rFonts w:ascii="Arial Narrow" w:hAnsi="Arial Narrow"/>
                <w:sz w:val="20"/>
              </w:rPr>
              <w:t>Cycle length</w:t>
            </w:r>
          </w:p>
        </w:tc>
        <w:tc>
          <w:tcPr>
            <w:tcW w:w="4384" w:type="pct"/>
            <w:shd w:val="clear" w:color="auto" w:fill="auto"/>
          </w:tcPr>
          <w:p w:rsidR="00E32357" w:rsidRPr="008A0437" w:rsidRDefault="00E32357" w:rsidP="00915C99">
            <w:pPr>
              <w:keepNext/>
              <w:widowControl/>
              <w:jc w:val="left"/>
              <w:rPr>
                <w:rFonts w:ascii="Arial Narrow" w:hAnsi="Arial Narrow"/>
                <w:sz w:val="20"/>
              </w:rPr>
            </w:pPr>
            <w:r w:rsidRPr="008A0437">
              <w:rPr>
                <w:rFonts w:ascii="Arial Narrow" w:hAnsi="Arial Narrow"/>
                <w:sz w:val="20"/>
              </w:rPr>
              <w:t>0.25 years; half cycle correction applied</w:t>
            </w:r>
          </w:p>
        </w:tc>
      </w:tr>
      <w:tr w:rsidR="00E32357" w:rsidRPr="008A0437" w:rsidTr="00E32357">
        <w:tc>
          <w:tcPr>
            <w:tcW w:w="616" w:type="pct"/>
            <w:shd w:val="clear" w:color="auto" w:fill="auto"/>
            <w:vAlign w:val="center"/>
          </w:tcPr>
          <w:p w:rsidR="00E32357" w:rsidRPr="008A0437" w:rsidRDefault="00E32357" w:rsidP="00915C99">
            <w:pPr>
              <w:keepNext/>
              <w:widowControl/>
              <w:jc w:val="left"/>
              <w:rPr>
                <w:rFonts w:ascii="Arial Narrow" w:hAnsi="Arial Narrow"/>
                <w:sz w:val="20"/>
              </w:rPr>
            </w:pPr>
            <w:r w:rsidRPr="008A0437">
              <w:rPr>
                <w:rFonts w:ascii="Arial Narrow" w:hAnsi="Arial Narrow"/>
                <w:sz w:val="20"/>
              </w:rPr>
              <w:t>Transition probabilities</w:t>
            </w:r>
          </w:p>
        </w:tc>
        <w:tc>
          <w:tcPr>
            <w:tcW w:w="4384" w:type="pct"/>
            <w:shd w:val="clear" w:color="auto" w:fill="auto"/>
            <w:vAlign w:val="center"/>
          </w:tcPr>
          <w:p w:rsidR="00E32357" w:rsidRPr="008A0437" w:rsidRDefault="00E32357" w:rsidP="00915C99">
            <w:pPr>
              <w:keepNext/>
              <w:widowControl/>
              <w:jc w:val="left"/>
              <w:rPr>
                <w:rFonts w:ascii="Arial Narrow" w:hAnsi="Arial Narrow" w:cs="Times New Roman"/>
                <w:sz w:val="20"/>
              </w:rPr>
            </w:pPr>
            <w:r w:rsidRPr="008A0437">
              <w:rPr>
                <w:rFonts w:ascii="Arial Narrow" w:hAnsi="Arial Narrow" w:cs="Times New Roman"/>
                <w:sz w:val="20"/>
              </w:rPr>
              <w:t>On the basis of pooled data from Trial 32 and 34, a logistic function was used to determine the probability for progressing to a worse FVC%Pred health state</w:t>
            </w:r>
            <w:r w:rsidR="005F3A39" w:rsidRPr="008A0437">
              <w:rPr>
                <w:rFonts w:ascii="Arial Narrow" w:hAnsi="Arial Narrow" w:cs="Times New Roman"/>
                <w:sz w:val="20"/>
              </w:rPr>
              <w:t>.</w:t>
            </w:r>
            <w:r w:rsidRPr="008A0437">
              <w:rPr>
                <w:rFonts w:ascii="Arial Narrow" w:hAnsi="Arial Narrow" w:cs="Times New Roman"/>
                <w:sz w:val="20"/>
              </w:rPr>
              <w:t xml:space="preserve"> Probability of adjudicator defined acute IPF exacerbation and nintedanib discontinuation was determined from exponential functions.</w:t>
            </w:r>
            <w:r w:rsidR="005F3A39" w:rsidRPr="008A0437">
              <w:rPr>
                <w:rFonts w:ascii="Arial Narrow" w:hAnsi="Arial Narrow" w:cs="Times New Roman"/>
                <w:sz w:val="20"/>
              </w:rPr>
              <w:t xml:space="preserve"> </w:t>
            </w:r>
            <w:r w:rsidR="00A161E4" w:rsidRPr="008A0437">
              <w:rPr>
                <w:rFonts w:ascii="Arial Narrow" w:hAnsi="Arial Narrow" w:cs="Times New Roman"/>
                <w:sz w:val="20"/>
              </w:rPr>
              <w:t xml:space="preserve">Probability of death </w:t>
            </w:r>
            <w:r w:rsidR="00A161E4" w:rsidRPr="008A0437">
              <w:rPr>
                <w:rFonts w:ascii="Arial Narrow" w:hAnsi="Arial Narrow"/>
                <w:sz w:val="20"/>
              </w:rPr>
              <w:t>determined by the Kaplan Meier estimates from month 0-21, followed by Weibull extrapolation to 10 years.</w:t>
            </w:r>
            <w:r w:rsidRPr="008A0437">
              <w:rPr>
                <w:rFonts w:ascii="Arial Narrow" w:hAnsi="Arial Narrow" w:cs="Times New Roman"/>
                <w:sz w:val="20"/>
              </w:rPr>
              <w:t xml:space="preserve">  </w:t>
            </w:r>
          </w:p>
        </w:tc>
      </w:tr>
      <w:tr w:rsidR="003C232F" w:rsidRPr="008A0437" w:rsidTr="00E32357">
        <w:tc>
          <w:tcPr>
            <w:tcW w:w="616" w:type="pct"/>
            <w:shd w:val="clear" w:color="auto" w:fill="auto"/>
            <w:vAlign w:val="center"/>
          </w:tcPr>
          <w:p w:rsidR="003C232F" w:rsidRPr="008A0437" w:rsidRDefault="003C232F" w:rsidP="00915C99">
            <w:pPr>
              <w:keepNext/>
              <w:widowControl/>
              <w:jc w:val="left"/>
              <w:rPr>
                <w:rFonts w:ascii="Arial Narrow" w:hAnsi="Arial Narrow"/>
                <w:sz w:val="20"/>
              </w:rPr>
            </w:pPr>
            <w:r w:rsidRPr="008A0437">
              <w:rPr>
                <w:rFonts w:ascii="Arial Narrow" w:hAnsi="Arial Narrow"/>
                <w:sz w:val="20"/>
              </w:rPr>
              <w:t>Discount rate</w:t>
            </w:r>
          </w:p>
        </w:tc>
        <w:tc>
          <w:tcPr>
            <w:tcW w:w="4384" w:type="pct"/>
            <w:shd w:val="clear" w:color="auto" w:fill="auto"/>
            <w:vAlign w:val="center"/>
          </w:tcPr>
          <w:p w:rsidR="003C232F" w:rsidRPr="008A0437" w:rsidRDefault="003C232F" w:rsidP="00915C99">
            <w:pPr>
              <w:keepNext/>
              <w:widowControl/>
              <w:jc w:val="left"/>
              <w:rPr>
                <w:rFonts w:ascii="Arial Narrow" w:hAnsi="Arial Narrow" w:cs="Times New Roman"/>
                <w:sz w:val="20"/>
              </w:rPr>
            </w:pPr>
            <w:r w:rsidRPr="008A0437">
              <w:rPr>
                <w:rFonts w:ascii="Arial Narrow" w:hAnsi="Arial Narrow" w:cs="Times New Roman"/>
                <w:sz w:val="20"/>
              </w:rPr>
              <w:t>5% for costs and outcomes</w:t>
            </w:r>
          </w:p>
        </w:tc>
      </w:tr>
      <w:tr w:rsidR="003C232F" w:rsidRPr="008A0437" w:rsidTr="00E32357">
        <w:tc>
          <w:tcPr>
            <w:tcW w:w="616" w:type="pct"/>
            <w:shd w:val="clear" w:color="auto" w:fill="auto"/>
            <w:vAlign w:val="center"/>
          </w:tcPr>
          <w:p w:rsidR="003C232F" w:rsidRPr="008A0437" w:rsidRDefault="003C232F" w:rsidP="00915C99">
            <w:pPr>
              <w:keepNext/>
              <w:widowControl/>
              <w:jc w:val="left"/>
              <w:rPr>
                <w:rFonts w:ascii="Arial Narrow" w:hAnsi="Arial Narrow"/>
                <w:sz w:val="20"/>
              </w:rPr>
            </w:pPr>
            <w:r w:rsidRPr="008A0437">
              <w:rPr>
                <w:rFonts w:ascii="Arial Narrow" w:hAnsi="Arial Narrow"/>
                <w:sz w:val="20"/>
              </w:rPr>
              <w:t>Software package</w:t>
            </w:r>
          </w:p>
        </w:tc>
        <w:tc>
          <w:tcPr>
            <w:tcW w:w="4384" w:type="pct"/>
            <w:shd w:val="clear" w:color="auto" w:fill="auto"/>
            <w:vAlign w:val="center"/>
          </w:tcPr>
          <w:p w:rsidR="003C232F" w:rsidRPr="008A0437" w:rsidRDefault="007F47D3" w:rsidP="00915C99">
            <w:pPr>
              <w:keepNext/>
              <w:widowControl/>
              <w:jc w:val="left"/>
              <w:rPr>
                <w:rFonts w:ascii="Arial Narrow" w:hAnsi="Arial Narrow" w:cs="Times New Roman"/>
                <w:sz w:val="20"/>
              </w:rPr>
            </w:pPr>
            <w:r w:rsidRPr="008A0437">
              <w:rPr>
                <w:rFonts w:ascii="Arial Narrow" w:hAnsi="Arial Narrow" w:cs="Times New Roman"/>
                <w:sz w:val="20"/>
              </w:rPr>
              <w:t>Microsoft Excel</w:t>
            </w:r>
          </w:p>
        </w:tc>
      </w:tr>
    </w:tbl>
    <w:p w:rsidR="00E32357" w:rsidRPr="008A0437" w:rsidRDefault="00E32357" w:rsidP="00915C99">
      <w:pPr>
        <w:pStyle w:val="TableFooter"/>
        <w:widowControl/>
        <w:ind w:firstLine="720"/>
      </w:pPr>
      <w:r w:rsidRPr="008A0437">
        <w:t>Source: compiled during the evaluation</w:t>
      </w:r>
      <w:r w:rsidR="00A161E4" w:rsidRPr="008A0437">
        <w:t>.</w:t>
      </w:r>
    </w:p>
    <w:p w:rsidR="00E32357" w:rsidRPr="008A0437" w:rsidRDefault="00E32357" w:rsidP="00915C99">
      <w:pPr>
        <w:widowControl/>
      </w:pPr>
    </w:p>
    <w:p w:rsidR="003A7132" w:rsidRPr="008A0437" w:rsidRDefault="00246C90" w:rsidP="00915C99">
      <w:pPr>
        <w:pStyle w:val="ListParagraph"/>
        <w:widowControl/>
        <w:numPr>
          <w:ilvl w:val="1"/>
          <w:numId w:val="1"/>
        </w:numPr>
        <w:rPr>
          <w:szCs w:val="22"/>
        </w:rPr>
      </w:pPr>
      <w:r w:rsidRPr="008A0437">
        <w:rPr>
          <w:szCs w:val="22"/>
        </w:rPr>
        <w:t xml:space="preserve">The continuation rule was incorporated into the economic model based on </w:t>
      </w:r>
      <w:r w:rsidRPr="008A0437">
        <w:t>observations of FVC</w:t>
      </w:r>
      <w:r w:rsidR="00C46F8F" w:rsidRPr="008A0437">
        <w:t xml:space="preserve"> </w:t>
      </w:r>
      <w:r w:rsidRPr="008A0437">
        <w:t xml:space="preserve">% predicted decline in any 3-month interval of Trials 32 and 34. </w:t>
      </w:r>
      <w:r w:rsidR="00AC153B" w:rsidRPr="008A0437">
        <w:t>O</w:t>
      </w:r>
      <w:r w:rsidRPr="008A0437">
        <w:t xml:space="preserve">ut of a total of </w:t>
      </w:r>
      <w:r w:rsidR="003B3717">
        <w:rPr>
          <w:noProof/>
          <w:color w:val="000000"/>
          <w:highlight w:val="black"/>
        </w:rPr>
        <w:t>''''''''''''''</w:t>
      </w:r>
      <w:r w:rsidRPr="008A0437">
        <w:t xml:space="preserve"> observations</w:t>
      </w:r>
      <w:r w:rsidR="00AC153B" w:rsidRPr="008A0437">
        <w:t xml:space="preserve">, </w:t>
      </w:r>
      <w:r w:rsidR="003B3717">
        <w:rPr>
          <w:noProof/>
          <w:color w:val="000000"/>
          <w:highlight w:val="black"/>
        </w:rPr>
        <w:t>'''''''</w:t>
      </w:r>
      <w:r w:rsidRPr="008A0437">
        <w:t xml:space="preserve"> had a FVC</w:t>
      </w:r>
      <w:r w:rsidR="00C46F8F" w:rsidRPr="008A0437">
        <w:t xml:space="preserve"> </w:t>
      </w:r>
      <w:r w:rsidRPr="008A0437">
        <w:t xml:space="preserve">% predicted decline of </w:t>
      </w:r>
      <w:r w:rsidR="003B3717">
        <w:rPr>
          <w:noProof/>
          <w:color w:val="000000"/>
          <w:highlight w:val="black"/>
        </w:rPr>
        <w:t>''''''</w:t>
      </w:r>
      <w:r w:rsidRPr="008A0437">
        <w:t>% or more (</w:t>
      </w:r>
      <w:r w:rsidR="003B3717">
        <w:rPr>
          <w:noProof/>
          <w:color w:val="000000"/>
          <w:highlight w:val="black"/>
        </w:rPr>
        <w:t>'''''''</w:t>
      </w:r>
      <w:r w:rsidRPr="008A0437">
        <w:t>%). This probabi</w:t>
      </w:r>
      <w:r w:rsidR="005452EF" w:rsidRPr="008A0437">
        <w:t>lity was applied to all nintedanib patients in each model cycle. The</w:t>
      </w:r>
      <w:r w:rsidR="003316F0" w:rsidRPr="008A0437">
        <w:t xml:space="preserve"> current </w:t>
      </w:r>
      <w:r w:rsidR="00E91B50" w:rsidRPr="008A0437">
        <w:t>resubmission</w:t>
      </w:r>
      <w:r w:rsidR="005452EF" w:rsidRPr="008A0437">
        <w:t xml:space="preserve"> acknowledged that this method assumed the same risk of failing to meet the continuation criteria regardless of FVC health state. The current resubmission also acknowledged that the distribution of patients who do not meet the continuation rule will necessarily be more weighted towards worse pulmonary function health states, while the health state distribution of patients who remain on PBS subsidised treatment will be weighted towards better health states.</w:t>
      </w:r>
    </w:p>
    <w:p w:rsidR="005452EF" w:rsidRPr="002A78FC" w:rsidRDefault="005452EF" w:rsidP="00915C99">
      <w:pPr>
        <w:widowControl/>
        <w:rPr>
          <w:szCs w:val="22"/>
        </w:rPr>
      </w:pPr>
    </w:p>
    <w:p w:rsidR="009E7BCE" w:rsidRPr="008A0437" w:rsidRDefault="005452EF" w:rsidP="00915C99">
      <w:pPr>
        <w:pStyle w:val="ListParagraph"/>
        <w:widowControl/>
        <w:numPr>
          <w:ilvl w:val="1"/>
          <w:numId w:val="1"/>
        </w:numPr>
        <w:rPr>
          <w:szCs w:val="22"/>
        </w:rPr>
      </w:pPr>
      <w:r w:rsidRPr="008A0437">
        <w:rPr>
          <w:szCs w:val="22"/>
        </w:rPr>
        <w:t xml:space="preserve">The current </w:t>
      </w:r>
      <w:r w:rsidR="00E91B50" w:rsidRPr="008A0437">
        <w:rPr>
          <w:szCs w:val="22"/>
        </w:rPr>
        <w:t>resubmission</w:t>
      </w:r>
      <w:r w:rsidRPr="008A0437">
        <w:rPr>
          <w:szCs w:val="22"/>
        </w:rPr>
        <w:t xml:space="preserve"> considered that </w:t>
      </w:r>
      <w:r w:rsidR="00CD51FF" w:rsidRPr="008A0437">
        <w:rPr>
          <w:szCs w:val="22"/>
        </w:rPr>
        <w:t>in order</w:t>
      </w:r>
      <w:r w:rsidRPr="008A0437">
        <w:rPr>
          <w:szCs w:val="22"/>
        </w:rPr>
        <w:t xml:space="preserve"> to model the continuation </w:t>
      </w:r>
      <w:r w:rsidR="00CD51FF" w:rsidRPr="008A0437">
        <w:rPr>
          <w:szCs w:val="22"/>
        </w:rPr>
        <w:t xml:space="preserve">rule </w:t>
      </w:r>
      <w:r w:rsidRPr="008A0437">
        <w:rPr>
          <w:szCs w:val="22"/>
        </w:rPr>
        <w:t>more accurately</w:t>
      </w:r>
      <w:r w:rsidR="00CD51FF" w:rsidRPr="008A0437">
        <w:rPr>
          <w:szCs w:val="22"/>
        </w:rPr>
        <w:t xml:space="preserve">, </w:t>
      </w:r>
      <w:r w:rsidRPr="008A0437">
        <w:rPr>
          <w:szCs w:val="22"/>
        </w:rPr>
        <w:t xml:space="preserve">each patient </w:t>
      </w:r>
      <w:r w:rsidR="00CD51FF" w:rsidRPr="008A0437">
        <w:rPr>
          <w:szCs w:val="22"/>
        </w:rPr>
        <w:t xml:space="preserve">would need to be modelled </w:t>
      </w:r>
      <w:r w:rsidRPr="008A0437">
        <w:rPr>
          <w:szCs w:val="22"/>
        </w:rPr>
        <w:t>individually.</w:t>
      </w:r>
      <w:r w:rsidR="00062679" w:rsidRPr="008A0437">
        <w:rPr>
          <w:szCs w:val="22"/>
        </w:rPr>
        <w:t xml:space="preserve"> </w:t>
      </w:r>
      <w:r w:rsidR="00C46F8F" w:rsidRPr="008A0437">
        <w:rPr>
          <w:szCs w:val="22"/>
        </w:rPr>
        <w:t xml:space="preserve">The evaluation </w:t>
      </w:r>
      <w:r w:rsidR="00720573" w:rsidRPr="008A0437">
        <w:rPr>
          <w:szCs w:val="22"/>
        </w:rPr>
        <w:t xml:space="preserve">acknowledged that more precise modelling of the continuation rule would require restructuring of the model, </w:t>
      </w:r>
      <w:r w:rsidR="009E7BCE" w:rsidRPr="008A0437">
        <w:rPr>
          <w:szCs w:val="22"/>
        </w:rPr>
        <w:t xml:space="preserve">but considered </w:t>
      </w:r>
      <w:r w:rsidR="00720573" w:rsidRPr="008A0437">
        <w:rPr>
          <w:szCs w:val="22"/>
        </w:rPr>
        <w:t>it may not be necessary to model patients individually</w:t>
      </w:r>
      <w:r w:rsidR="008C2074" w:rsidRPr="008A0437">
        <w:rPr>
          <w:szCs w:val="22"/>
        </w:rPr>
        <w:t>.</w:t>
      </w:r>
      <w:r w:rsidRPr="008A0437">
        <w:rPr>
          <w:szCs w:val="22"/>
        </w:rPr>
        <w:t xml:space="preserve"> </w:t>
      </w:r>
      <w:r w:rsidR="00A0260A" w:rsidRPr="008A0437">
        <w:t>It was difficult to estimate the extent to which more precise modelling of the continuation rule would affect the ICER without testing a restructured model</w:t>
      </w:r>
      <w:r w:rsidR="00720573" w:rsidRPr="008A0437">
        <w:t>.</w:t>
      </w:r>
      <w:r w:rsidR="00A0260A" w:rsidRPr="008A0437">
        <w:t xml:space="preserve"> Nevertheless, for framing purposes,</w:t>
      </w:r>
      <w:r w:rsidR="008C2074" w:rsidRPr="008A0437">
        <w:t xml:space="preserve"> extreme value</w:t>
      </w:r>
      <w:r w:rsidR="00A0260A" w:rsidRPr="008A0437">
        <w:t xml:space="preserve"> sensitivity analyses were conducted</w:t>
      </w:r>
      <w:r w:rsidR="008C2074" w:rsidRPr="008A0437">
        <w:t xml:space="preserve"> during the evaluation on the cycle probability of failing to meet the continuation criteria</w:t>
      </w:r>
      <w:r w:rsidR="00062679" w:rsidRPr="008A0437">
        <w:t>.</w:t>
      </w:r>
      <w:r w:rsidR="00A0260A" w:rsidRPr="008A0437">
        <w:t xml:space="preserve"> The analyses suggest</w:t>
      </w:r>
      <w:r w:rsidR="00F90534" w:rsidRPr="008A0437">
        <w:t>ed</w:t>
      </w:r>
      <w:r w:rsidR="00A0260A" w:rsidRPr="008A0437">
        <w:t xml:space="preserve"> that even in extreme cases, estimates of patients continuing treatment had a moderate effect on the ICER</w:t>
      </w:r>
      <w:r w:rsidR="008C2074" w:rsidRPr="008A0437">
        <w:t>.</w:t>
      </w:r>
      <w:r w:rsidR="009E7BCE" w:rsidRPr="008A0437">
        <w:t xml:space="preserve"> The PSCR (p2) agreed with the evaluation but noted that the “3</w:t>
      </w:r>
      <w:r w:rsidR="00F519F8" w:rsidRPr="008A0437">
        <w:t>-month probability for the FVC per cent</w:t>
      </w:r>
      <w:r w:rsidR="009E7BCE" w:rsidRPr="008A0437">
        <w:t xml:space="preserve"> predicted health states 40-49 through to 110-119 is reasonably constant, ranging between 3% and 4%”. </w:t>
      </w:r>
      <w:r w:rsidR="009E7BCE" w:rsidRPr="008A0437">
        <w:rPr>
          <w:szCs w:val="22"/>
        </w:rPr>
        <w:t xml:space="preserve">The ESC agreed that a higher probability of decline would be more likely for worse health states but </w:t>
      </w:r>
      <w:r w:rsidR="008E3BE2" w:rsidRPr="008A0437">
        <w:rPr>
          <w:szCs w:val="22"/>
        </w:rPr>
        <w:t xml:space="preserve">considered that the simplifying assumption may have been </w:t>
      </w:r>
      <w:r w:rsidR="009E7BCE" w:rsidRPr="008A0437">
        <w:rPr>
          <w:szCs w:val="22"/>
        </w:rPr>
        <w:t>reasonable</w:t>
      </w:r>
      <w:r w:rsidR="008E3BE2" w:rsidRPr="008A0437">
        <w:rPr>
          <w:szCs w:val="22"/>
        </w:rPr>
        <w:t xml:space="preserve"> in this case.</w:t>
      </w:r>
    </w:p>
    <w:p w:rsidR="00B16D9F" w:rsidRDefault="00B16D9F">
      <w:pPr>
        <w:widowControl/>
        <w:jc w:val="left"/>
        <w:rPr>
          <w:szCs w:val="22"/>
        </w:rPr>
      </w:pPr>
      <w:r>
        <w:rPr>
          <w:szCs w:val="22"/>
        </w:rPr>
        <w:br w:type="page"/>
      </w:r>
    </w:p>
    <w:p w:rsidR="000C4FCC" w:rsidRPr="008A0437" w:rsidRDefault="000C4FCC" w:rsidP="00915C99">
      <w:pPr>
        <w:widowControl/>
        <w:rPr>
          <w:szCs w:val="22"/>
        </w:rPr>
      </w:pPr>
    </w:p>
    <w:p w:rsidR="004C6E69" w:rsidRPr="008A0437" w:rsidRDefault="004C6E69" w:rsidP="00915C99">
      <w:pPr>
        <w:widowControl/>
        <w:numPr>
          <w:ilvl w:val="1"/>
          <w:numId w:val="1"/>
        </w:numPr>
        <w:contextualSpacing/>
        <w:rPr>
          <w:szCs w:val="22"/>
        </w:rPr>
      </w:pPr>
      <w:r w:rsidRPr="008A0437">
        <w:t xml:space="preserve">Key drivers of the model are summarised in </w:t>
      </w:r>
      <w:r w:rsidR="00AC153B" w:rsidRPr="008A0437">
        <w:t>T</w:t>
      </w:r>
      <w:r w:rsidRPr="008A0437">
        <w:t xml:space="preserve">able </w:t>
      </w:r>
      <w:r w:rsidR="00AC153B" w:rsidRPr="008A0437">
        <w:t>9</w:t>
      </w:r>
      <w:r w:rsidR="002A78FC">
        <w:t>.</w:t>
      </w:r>
    </w:p>
    <w:p w:rsidR="004C6E69" w:rsidRPr="008A0437" w:rsidRDefault="004C6E69" w:rsidP="00915C99">
      <w:pPr>
        <w:widowControl/>
        <w:rPr>
          <w:szCs w:val="22"/>
        </w:rPr>
      </w:pPr>
    </w:p>
    <w:p w:rsidR="004C6E69" w:rsidRPr="008A0437" w:rsidRDefault="001A3EAB" w:rsidP="00915C99">
      <w:pPr>
        <w:widowControl/>
        <w:ind w:firstLine="720"/>
        <w:rPr>
          <w:rFonts w:ascii="Arial Narrow" w:hAnsi="Arial Narrow"/>
          <w:b/>
          <w:sz w:val="20"/>
          <w:szCs w:val="22"/>
        </w:rPr>
      </w:pPr>
      <w:r w:rsidRPr="008A0437">
        <w:rPr>
          <w:rFonts w:ascii="Arial Narrow" w:hAnsi="Arial Narrow"/>
          <w:b/>
          <w:sz w:val="20"/>
          <w:szCs w:val="22"/>
        </w:rPr>
        <w:t>Table 9</w:t>
      </w:r>
      <w:r w:rsidR="004C6E69" w:rsidRPr="008A0437">
        <w:rPr>
          <w:rFonts w:ascii="Arial Narrow" w:hAnsi="Arial Narrow"/>
          <w:b/>
          <w:sz w:val="20"/>
          <w:szCs w:val="22"/>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4112"/>
        <w:gridCol w:w="2532"/>
      </w:tblGrid>
      <w:tr w:rsidR="004C6E69" w:rsidRPr="008A0437" w:rsidTr="009B0D33">
        <w:trPr>
          <w:tblHeader/>
        </w:trPr>
        <w:tc>
          <w:tcPr>
            <w:tcW w:w="1019" w:type="pct"/>
            <w:shd w:val="clear" w:color="auto" w:fill="auto"/>
            <w:vAlign w:val="center"/>
          </w:tcPr>
          <w:p w:rsidR="004C6E69" w:rsidRPr="008A0437" w:rsidRDefault="004C6E69" w:rsidP="00915C99">
            <w:pPr>
              <w:widowControl/>
              <w:jc w:val="left"/>
              <w:rPr>
                <w:rFonts w:ascii="Arial Narrow" w:hAnsi="Arial Narrow"/>
                <w:b/>
                <w:sz w:val="20"/>
              </w:rPr>
            </w:pPr>
            <w:r w:rsidRPr="008A0437">
              <w:rPr>
                <w:rFonts w:ascii="Arial Narrow" w:hAnsi="Arial Narrow"/>
                <w:b/>
                <w:sz w:val="20"/>
              </w:rPr>
              <w:t>Description</w:t>
            </w:r>
          </w:p>
        </w:tc>
        <w:tc>
          <w:tcPr>
            <w:tcW w:w="2464" w:type="pct"/>
            <w:shd w:val="clear" w:color="auto" w:fill="auto"/>
            <w:vAlign w:val="center"/>
          </w:tcPr>
          <w:p w:rsidR="004C6E69" w:rsidRPr="008A0437" w:rsidRDefault="004C6E69" w:rsidP="00915C99">
            <w:pPr>
              <w:widowControl/>
              <w:jc w:val="center"/>
              <w:rPr>
                <w:rFonts w:ascii="Arial Narrow" w:hAnsi="Arial Narrow"/>
                <w:b/>
                <w:sz w:val="20"/>
              </w:rPr>
            </w:pPr>
            <w:r w:rsidRPr="008A0437">
              <w:rPr>
                <w:rFonts w:ascii="Arial Narrow" w:hAnsi="Arial Narrow"/>
                <w:b/>
                <w:sz w:val="20"/>
              </w:rPr>
              <w:t>Method/Value</w:t>
            </w:r>
          </w:p>
        </w:tc>
        <w:tc>
          <w:tcPr>
            <w:tcW w:w="1517" w:type="pct"/>
            <w:shd w:val="clear" w:color="auto" w:fill="auto"/>
            <w:vAlign w:val="center"/>
          </w:tcPr>
          <w:p w:rsidR="004C6E69" w:rsidRPr="008A0437" w:rsidRDefault="004C6E69" w:rsidP="00915C99">
            <w:pPr>
              <w:widowControl/>
              <w:jc w:val="center"/>
              <w:rPr>
                <w:rFonts w:ascii="Arial Narrow" w:hAnsi="Arial Narrow"/>
                <w:b/>
                <w:sz w:val="20"/>
              </w:rPr>
            </w:pPr>
            <w:r w:rsidRPr="008A0437">
              <w:rPr>
                <w:rFonts w:ascii="Arial Narrow" w:hAnsi="Arial Narrow"/>
                <w:b/>
                <w:sz w:val="20"/>
              </w:rPr>
              <w:t>Impact</w:t>
            </w:r>
          </w:p>
        </w:tc>
      </w:tr>
      <w:tr w:rsidR="001B2232" w:rsidRPr="008A0437" w:rsidTr="009B0D33">
        <w:tc>
          <w:tcPr>
            <w:tcW w:w="1019" w:type="pct"/>
            <w:shd w:val="clear" w:color="auto" w:fill="auto"/>
            <w:vAlign w:val="center"/>
          </w:tcPr>
          <w:p w:rsidR="001B2232" w:rsidRPr="008A0437" w:rsidRDefault="001B2232" w:rsidP="00915C99">
            <w:pPr>
              <w:widowControl/>
              <w:jc w:val="left"/>
              <w:rPr>
                <w:rFonts w:ascii="Arial Narrow" w:hAnsi="Arial Narrow"/>
                <w:sz w:val="20"/>
              </w:rPr>
            </w:pPr>
            <w:r w:rsidRPr="008A0437">
              <w:rPr>
                <w:rFonts w:ascii="Arial Narrow" w:hAnsi="Arial Narrow"/>
                <w:sz w:val="20"/>
              </w:rPr>
              <w:t>Survival extrapolation</w:t>
            </w:r>
          </w:p>
        </w:tc>
        <w:tc>
          <w:tcPr>
            <w:tcW w:w="2464" w:type="pct"/>
            <w:shd w:val="clear" w:color="auto" w:fill="auto"/>
            <w:vAlign w:val="center"/>
          </w:tcPr>
          <w:p w:rsidR="001B2232" w:rsidRPr="008A0437" w:rsidRDefault="001B2232" w:rsidP="00915C99">
            <w:pPr>
              <w:widowControl/>
              <w:jc w:val="center"/>
              <w:rPr>
                <w:rFonts w:ascii="Arial Narrow" w:hAnsi="Arial Narrow"/>
                <w:sz w:val="20"/>
              </w:rPr>
            </w:pPr>
            <w:r w:rsidRPr="008A0437">
              <w:rPr>
                <w:rFonts w:ascii="Arial Narrow" w:hAnsi="Arial Narrow"/>
                <w:sz w:val="20"/>
              </w:rPr>
              <w:t>Parametric extrapolation from month 21 to year 10</w:t>
            </w:r>
          </w:p>
        </w:tc>
        <w:tc>
          <w:tcPr>
            <w:tcW w:w="1517" w:type="pct"/>
            <w:shd w:val="clear" w:color="auto" w:fill="auto"/>
            <w:vAlign w:val="center"/>
          </w:tcPr>
          <w:p w:rsidR="001B2232" w:rsidRPr="008A0437" w:rsidRDefault="001B2232" w:rsidP="00915C99">
            <w:pPr>
              <w:widowControl/>
              <w:jc w:val="center"/>
              <w:rPr>
                <w:rFonts w:ascii="Arial Narrow" w:hAnsi="Arial Narrow"/>
                <w:sz w:val="20"/>
              </w:rPr>
            </w:pPr>
            <w:r w:rsidRPr="008A0437">
              <w:rPr>
                <w:rFonts w:ascii="Arial Narrow" w:hAnsi="Arial Narrow"/>
                <w:sz w:val="20"/>
              </w:rPr>
              <w:t>High, favours nintedanib</w:t>
            </w:r>
          </w:p>
        </w:tc>
      </w:tr>
      <w:tr w:rsidR="004C6E69" w:rsidRPr="008A0437" w:rsidTr="009B0D33">
        <w:tc>
          <w:tcPr>
            <w:tcW w:w="1019" w:type="pct"/>
            <w:shd w:val="clear" w:color="auto" w:fill="auto"/>
            <w:vAlign w:val="center"/>
          </w:tcPr>
          <w:p w:rsidR="004C6E69" w:rsidRPr="008A0437" w:rsidRDefault="004C6E69" w:rsidP="00915C99">
            <w:pPr>
              <w:widowControl/>
              <w:jc w:val="left"/>
              <w:rPr>
                <w:rFonts w:ascii="Arial Narrow" w:hAnsi="Arial Narrow"/>
                <w:sz w:val="20"/>
              </w:rPr>
            </w:pPr>
            <w:r w:rsidRPr="008A0437">
              <w:rPr>
                <w:rFonts w:ascii="Arial Narrow" w:hAnsi="Arial Narrow"/>
                <w:sz w:val="20"/>
              </w:rPr>
              <w:t>Time horizon</w:t>
            </w:r>
          </w:p>
        </w:tc>
        <w:tc>
          <w:tcPr>
            <w:tcW w:w="2464" w:type="pct"/>
            <w:shd w:val="clear" w:color="auto" w:fill="auto"/>
            <w:vAlign w:val="center"/>
          </w:tcPr>
          <w:p w:rsidR="004C6E69" w:rsidRPr="008A0437" w:rsidRDefault="004C6E69" w:rsidP="00915C99">
            <w:pPr>
              <w:widowControl/>
              <w:jc w:val="center"/>
              <w:rPr>
                <w:rFonts w:ascii="Arial Narrow" w:hAnsi="Arial Narrow"/>
                <w:sz w:val="20"/>
              </w:rPr>
            </w:pPr>
            <w:r w:rsidRPr="008A0437">
              <w:rPr>
                <w:rFonts w:ascii="Arial Narrow" w:hAnsi="Arial Narrow"/>
                <w:sz w:val="20"/>
              </w:rPr>
              <w:t>10 years; assumed from maximum 21 month follow-up in the nintedanib trials</w:t>
            </w:r>
          </w:p>
        </w:tc>
        <w:tc>
          <w:tcPr>
            <w:tcW w:w="1517" w:type="pct"/>
            <w:shd w:val="clear" w:color="auto" w:fill="auto"/>
            <w:vAlign w:val="center"/>
          </w:tcPr>
          <w:p w:rsidR="004C6E69" w:rsidRPr="008A0437" w:rsidRDefault="004C6E69" w:rsidP="00915C99">
            <w:pPr>
              <w:widowControl/>
              <w:jc w:val="center"/>
              <w:rPr>
                <w:rFonts w:ascii="Arial Narrow" w:hAnsi="Arial Narrow"/>
                <w:sz w:val="20"/>
              </w:rPr>
            </w:pPr>
            <w:r w:rsidRPr="008A0437">
              <w:rPr>
                <w:rFonts w:ascii="Arial Narrow" w:hAnsi="Arial Narrow"/>
                <w:sz w:val="20"/>
              </w:rPr>
              <w:t>High, favours nintedanib</w:t>
            </w:r>
          </w:p>
        </w:tc>
      </w:tr>
      <w:tr w:rsidR="004C6E69" w:rsidRPr="008A0437" w:rsidTr="009B0D33">
        <w:tc>
          <w:tcPr>
            <w:tcW w:w="1019" w:type="pct"/>
            <w:shd w:val="clear" w:color="auto" w:fill="auto"/>
            <w:vAlign w:val="center"/>
          </w:tcPr>
          <w:p w:rsidR="004C6E69" w:rsidRPr="008A0437" w:rsidRDefault="004C6E69" w:rsidP="00915C99">
            <w:pPr>
              <w:widowControl/>
              <w:jc w:val="left"/>
              <w:rPr>
                <w:rFonts w:ascii="Arial Narrow" w:hAnsi="Arial Narrow"/>
                <w:sz w:val="20"/>
              </w:rPr>
            </w:pPr>
            <w:r w:rsidRPr="008A0437">
              <w:rPr>
                <w:rFonts w:ascii="Arial Narrow" w:hAnsi="Arial Narrow"/>
                <w:sz w:val="20"/>
              </w:rPr>
              <w:t>Continuation rule</w:t>
            </w:r>
          </w:p>
        </w:tc>
        <w:tc>
          <w:tcPr>
            <w:tcW w:w="2464" w:type="pct"/>
            <w:shd w:val="clear" w:color="auto" w:fill="auto"/>
            <w:vAlign w:val="center"/>
          </w:tcPr>
          <w:p w:rsidR="004C6E69" w:rsidRPr="008A0437" w:rsidRDefault="004C6E69" w:rsidP="00915C99">
            <w:pPr>
              <w:widowControl/>
              <w:jc w:val="center"/>
              <w:rPr>
                <w:rFonts w:ascii="Arial Narrow" w:hAnsi="Arial Narrow"/>
                <w:sz w:val="20"/>
              </w:rPr>
            </w:pPr>
            <w:r w:rsidRPr="008A0437">
              <w:rPr>
                <w:rFonts w:ascii="Arial Narrow" w:hAnsi="Arial Narrow"/>
                <w:sz w:val="20"/>
              </w:rPr>
              <w:t>A cycle probability of 3.8% failing to meet continuation rule was applied to nintedanib arm of the model based on individual patient data from INPULSIS</w:t>
            </w:r>
          </w:p>
        </w:tc>
        <w:tc>
          <w:tcPr>
            <w:tcW w:w="1517" w:type="pct"/>
            <w:shd w:val="clear" w:color="auto" w:fill="auto"/>
            <w:vAlign w:val="center"/>
          </w:tcPr>
          <w:p w:rsidR="004C6E69" w:rsidRPr="008A0437" w:rsidRDefault="004C6E69" w:rsidP="00915C99">
            <w:pPr>
              <w:widowControl/>
              <w:jc w:val="center"/>
              <w:rPr>
                <w:rFonts w:ascii="Arial Narrow" w:hAnsi="Arial Narrow"/>
                <w:sz w:val="20"/>
              </w:rPr>
            </w:pPr>
            <w:r w:rsidRPr="008A0437">
              <w:rPr>
                <w:rFonts w:ascii="Arial Narrow" w:hAnsi="Arial Narrow"/>
                <w:sz w:val="20"/>
              </w:rPr>
              <w:t xml:space="preserve">Low to moderate, </w:t>
            </w:r>
            <w:r w:rsidR="009E7BCE" w:rsidRPr="008A0437">
              <w:rPr>
                <w:rFonts w:ascii="Arial Narrow" w:hAnsi="Arial Narrow"/>
                <w:sz w:val="20"/>
              </w:rPr>
              <w:t>unclear impact</w:t>
            </w:r>
          </w:p>
        </w:tc>
      </w:tr>
    </w:tbl>
    <w:p w:rsidR="004C6E69" w:rsidRPr="008A0437" w:rsidRDefault="004C6E69" w:rsidP="00915C99">
      <w:pPr>
        <w:widowControl/>
        <w:ind w:firstLine="720"/>
        <w:rPr>
          <w:rFonts w:ascii="Arial Narrow" w:hAnsi="Arial Narrow"/>
          <w:sz w:val="18"/>
        </w:rPr>
      </w:pPr>
      <w:r w:rsidRPr="008A0437">
        <w:rPr>
          <w:rFonts w:ascii="Arial Narrow" w:hAnsi="Arial Narrow"/>
          <w:sz w:val="18"/>
        </w:rPr>
        <w:t>Source: compiled during the evaluation</w:t>
      </w:r>
    </w:p>
    <w:p w:rsidR="00E237AC" w:rsidRPr="008A0437" w:rsidRDefault="00E237AC" w:rsidP="00915C99">
      <w:pPr>
        <w:widowControl/>
        <w:jc w:val="left"/>
        <w:rPr>
          <w:szCs w:val="22"/>
        </w:rPr>
      </w:pPr>
    </w:p>
    <w:p w:rsidR="004C6E69" w:rsidRPr="008A0437" w:rsidRDefault="004C6E69" w:rsidP="00915C99">
      <w:pPr>
        <w:widowControl/>
        <w:numPr>
          <w:ilvl w:val="1"/>
          <w:numId w:val="1"/>
        </w:numPr>
        <w:contextualSpacing/>
        <w:rPr>
          <w:szCs w:val="22"/>
        </w:rPr>
      </w:pPr>
      <w:r w:rsidRPr="008A0437">
        <w:rPr>
          <w:szCs w:val="22"/>
        </w:rPr>
        <w:t xml:space="preserve">Results of the stepped economic evaluation are provided in </w:t>
      </w:r>
      <w:r w:rsidR="002865E4" w:rsidRPr="008A0437">
        <w:rPr>
          <w:szCs w:val="22"/>
        </w:rPr>
        <w:t>Table 10</w:t>
      </w:r>
      <w:r w:rsidRPr="008A0437">
        <w:rPr>
          <w:szCs w:val="22"/>
        </w:rPr>
        <w:t>.</w:t>
      </w:r>
    </w:p>
    <w:p w:rsidR="004C6E69" w:rsidRPr="008A0437" w:rsidRDefault="004C6E69" w:rsidP="00915C99">
      <w:pPr>
        <w:widowControl/>
        <w:rPr>
          <w:szCs w:val="22"/>
        </w:rPr>
      </w:pPr>
    </w:p>
    <w:p w:rsidR="004C6E69" w:rsidRPr="008A0437" w:rsidRDefault="001A3EAB" w:rsidP="00915C99">
      <w:pPr>
        <w:keepNext/>
        <w:widowControl/>
        <w:ind w:left="720"/>
        <w:rPr>
          <w:rFonts w:ascii="Arial Narrow" w:hAnsi="Arial Narrow"/>
          <w:b/>
          <w:sz w:val="20"/>
          <w:szCs w:val="16"/>
        </w:rPr>
      </w:pPr>
      <w:r w:rsidRPr="008A0437">
        <w:rPr>
          <w:rFonts w:ascii="Arial Narrow" w:hAnsi="Arial Narrow"/>
          <w:b/>
          <w:sz w:val="20"/>
          <w:szCs w:val="16"/>
        </w:rPr>
        <w:t>Table 10</w:t>
      </w:r>
      <w:r w:rsidR="004C6E69" w:rsidRPr="008A0437">
        <w:rPr>
          <w:rFonts w:ascii="Arial Narrow" w:hAnsi="Arial Narrow"/>
          <w:b/>
          <w:sz w:val="20"/>
          <w:szCs w:val="16"/>
        </w:rPr>
        <w:t>: Results of the stepped economic evaluation</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3"/>
        <w:gridCol w:w="2267"/>
        <w:gridCol w:w="2277"/>
        <w:gridCol w:w="2267"/>
      </w:tblGrid>
      <w:tr w:rsidR="004C6E69" w:rsidRPr="008A0437" w:rsidTr="009B0D33">
        <w:trPr>
          <w:tblHeader/>
        </w:trPr>
        <w:tc>
          <w:tcPr>
            <w:tcW w:w="914" w:type="pct"/>
            <w:vAlign w:val="center"/>
          </w:tcPr>
          <w:p w:rsidR="004C6E69" w:rsidRPr="008A0437" w:rsidRDefault="004C6E69" w:rsidP="00915C99">
            <w:pPr>
              <w:keepNext/>
              <w:widowControl/>
              <w:jc w:val="left"/>
              <w:rPr>
                <w:rFonts w:ascii="Arial Narrow" w:hAnsi="Arial Narrow" w:cs="Times New Roman"/>
                <w:b/>
                <w:sz w:val="20"/>
              </w:rPr>
            </w:pPr>
            <w:r w:rsidRPr="008A0437">
              <w:rPr>
                <w:rFonts w:ascii="Arial Narrow" w:hAnsi="Arial Narrow" w:cs="Times New Roman"/>
                <w:b/>
                <w:sz w:val="20"/>
              </w:rPr>
              <w:t>Step and component</w:t>
            </w:r>
          </w:p>
        </w:tc>
        <w:tc>
          <w:tcPr>
            <w:tcW w:w="1360" w:type="pct"/>
            <w:vAlign w:val="center"/>
          </w:tcPr>
          <w:p w:rsidR="004C6E69" w:rsidRPr="008A0437" w:rsidRDefault="004C6E69" w:rsidP="00915C99">
            <w:pPr>
              <w:keepNext/>
              <w:widowControl/>
              <w:jc w:val="center"/>
              <w:rPr>
                <w:rFonts w:ascii="Arial Narrow" w:hAnsi="Arial Narrow" w:cs="Times New Roman"/>
                <w:b/>
                <w:sz w:val="20"/>
              </w:rPr>
            </w:pPr>
            <w:r w:rsidRPr="008A0437">
              <w:rPr>
                <w:rFonts w:ascii="Arial Narrow" w:hAnsi="Arial Narrow" w:cs="Times New Roman"/>
                <w:b/>
                <w:sz w:val="20"/>
              </w:rPr>
              <w:t>Nintedanib</w:t>
            </w:r>
          </w:p>
        </w:tc>
        <w:tc>
          <w:tcPr>
            <w:tcW w:w="1366" w:type="pct"/>
            <w:vAlign w:val="center"/>
          </w:tcPr>
          <w:p w:rsidR="004C6E69" w:rsidRPr="008A0437" w:rsidRDefault="004C6E69" w:rsidP="00915C99">
            <w:pPr>
              <w:keepNext/>
              <w:widowControl/>
              <w:jc w:val="center"/>
              <w:rPr>
                <w:rFonts w:ascii="Arial Narrow" w:hAnsi="Arial Narrow" w:cs="Times New Roman"/>
                <w:b/>
                <w:sz w:val="20"/>
              </w:rPr>
            </w:pPr>
            <w:r w:rsidRPr="008A0437">
              <w:rPr>
                <w:rFonts w:ascii="Arial Narrow" w:hAnsi="Arial Narrow" w:cs="Times New Roman"/>
                <w:b/>
                <w:sz w:val="20"/>
              </w:rPr>
              <w:t>BSC</w:t>
            </w:r>
          </w:p>
        </w:tc>
        <w:tc>
          <w:tcPr>
            <w:tcW w:w="1360" w:type="pct"/>
            <w:vAlign w:val="center"/>
          </w:tcPr>
          <w:p w:rsidR="004C6E69" w:rsidRPr="008A0437" w:rsidRDefault="004C6E69" w:rsidP="00915C99">
            <w:pPr>
              <w:keepNext/>
              <w:widowControl/>
              <w:jc w:val="center"/>
              <w:rPr>
                <w:rFonts w:ascii="Arial Narrow" w:hAnsi="Arial Narrow" w:cs="Times New Roman"/>
                <w:b/>
                <w:sz w:val="20"/>
              </w:rPr>
            </w:pPr>
            <w:r w:rsidRPr="008A0437">
              <w:rPr>
                <w:rFonts w:ascii="Arial Narrow" w:hAnsi="Arial Narrow" w:cs="Times New Roman"/>
                <w:b/>
                <w:sz w:val="20"/>
              </w:rPr>
              <w:t>Increment</w:t>
            </w:r>
          </w:p>
        </w:tc>
      </w:tr>
      <w:tr w:rsidR="004C6E69" w:rsidRPr="008A0437" w:rsidTr="009B0D33">
        <w:tc>
          <w:tcPr>
            <w:tcW w:w="5000" w:type="pct"/>
            <w:gridSpan w:val="4"/>
            <w:vAlign w:val="center"/>
          </w:tcPr>
          <w:p w:rsidR="004C6E69" w:rsidRPr="008A0437" w:rsidRDefault="004C6E69" w:rsidP="00915C99">
            <w:pPr>
              <w:keepNext/>
              <w:widowControl/>
              <w:jc w:val="left"/>
              <w:rPr>
                <w:rFonts w:ascii="Arial Narrow" w:hAnsi="Arial Narrow" w:cs="Arial Narrow"/>
                <w:b/>
                <w:bCs/>
                <w:sz w:val="20"/>
              </w:rPr>
            </w:pPr>
            <w:r w:rsidRPr="008A0437">
              <w:rPr>
                <w:rFonts w:ascii="Arial Narrow" w:hAnsi="Arial Narrow" w:cs="Arial Narrow"/>
                <w:b/>
                <w:bCs/>
                <w:sz w:val="20"/>
              </w:rPr>
              <w:t>Step 1: trial based economic evaluation (21 months)</w:t>
            </w:r>
          </w:p>
        </w:tc>
      </w:tr>
      <w:tr w:rsidR="004C6E69" w:rsidRPr="008A0437" w:rsidTr="009B0D33">
        <w:tc>
          <w:tcPr>
            <w:tcW w:w="914" w:type="pct"/>
            <w:vAlign w:val="center"/>
          </w:tcPr>
          <w:p w:rsidR="004C6E69" w:rsidRPr="008A0437" w:rsidRDefault="004C6E69" w:rsidP="00915C99">
            <w:pPr>
              <w:keepNext/>
              <w:widowControl/>
              <w:jc w:val="left"/>
              <w:rPr>
                <w:rFonts w:ascii="Arial Narrow" w:hAnsi="Arial Narrow" w:cs="Times New Roman"/>
                <w:sz w:val="20"/>
              </w:rPr>
            </w:pPr>
            <w:r w:rsidRPr="008A0437">
              <w:rPr>
                <w:rFonts w:ascii="Arial Narrow" w:hAnsi="Arial Narrow" w:cs="Times New Roman"/>
                <w:sz w:val="20"/>
              </w:rPr>
              <w:t>Costs</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c>
          <w:tcPr>
            <w:tcW w:w="1366"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r>
      <w:tr w:rsidR="004C6E69" w:rsidRPr="008A0437" w:rsidTr="009B0D33">
        <w:tc>
          <w:tcPr>
            <w:tcW w:w="914" w:type="pct"/>
            <w:vAlign w:val="center"/>
          </w:tcPr>
          <w:p w:rsidR="004C6E69" w:rsidRPr="008A0437" w:rsidRDefault="004C6E69" w:rsidP="00915C99">
            <w:pPr>
              <w:keepNext/>
              <w:widowControl/>
              <w:jc w:val="left"/>
              <w:rPr>
                <w:rFonts w:ascii="Arial Narrow" w:hAnsi="Arial Narrow" w:cs="Times New Roman"/>
                <w:sz w:val="20"/>
              </w:rPr>
            </w:pPr>
            <w:r w:rsidRPr="008A0437">
              <w:rPr>
                <w:rFonts w:ascii="Arial Narrow" w:hAnsi="Arial Narrow" w:cs="Times New Roman"/>
                <w:sz w:val="20"/>
              </w:rPr>
              <w:t>LYG</w:t>
            </w:r>
          </w:p>
        </w:tc>
        <w:tc>
          <w:tcPr>
            <w:tcW w:w="1360" w:type="pct"/>
            <w:vAlign w:val="center"/>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366" w:type="pct"/>
            <w:vAlign w:val="center"/>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360" w:type="pct"/>
            <w:vAlign w:val="center"/>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4C6E69" w:rsidRPr="008A0437" w:rsidTr="009B0D33">
        <w:tc>
          <w:tcPr>
            <w:tcW w:w="3640" w:type="pct"/>
            <w:gridSpan w:val="3"/>
            <w:vAlign w:val="center"/>
          </w:tcPr>
          <w:p w:rsidR="004C6E69" w:rsidRPr="00AC39B9" w:rsidRDefault="004C6E69" w:rsidP="00915C99">
            <w:pPr>
              <w:keepNext/>
              <w:widowControl/>
              <w:jc w:val="left"/>
              <w:rPr>
                <w:rFonts w:ascii="Arial Narrow" w:hAnsi="Arial Narrow" w:cs="Times New Roman"/>
                <w:sz w:val="20"/>
              </w:rPr>
            </w:pPr>
            <w:r w:rsidRPr="00AC39B9">
              <w:rPr>
                <w:rFonts w:ascii="Arial Narrow" w:hAnsi="Arial Narrow" w:cs="Times New Roman"/>
                <w:snapToGrid/>
                <w:sz w:val="20"/>
              </w:rPr>
              <w:t>Incremental cost/LYG</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r>
      <w:tr w:rsidR="004C6E69" w:rsidRPr="008A0437" w:rsidTr="009B0D33">
        <w:tc>
          <w:tcPr>
            <w:tcW w:w="5000" w:type="pct"/>
            <w:gridSpan w:val="4"/>
            <w:vAlign w:val="center"/>
          </w:tcPr>
          <w:p w:rsidR="004C6E69" w:rsidRPr="008A0437" w:rsidRDefault="004C6E69" w:rsidP="00915C99">
            <w:pPr>
              <w:keepNext/>
              <w:widowControl/>
              <w:jc w:val="left"/>
              <w:rPr>
                <w:rFonts w:ascii="Arial Narrow" w:hAnsi="Arial Narrow" w:cs="Arial Narrow"/>
                <w:b/>
                <w:bCs/>
                <w:sz w:val="20"/>
              </w:rPr>
            </w:pPr>
            <w:r w:rsidRPr="008A0437">
              <w:rPr>
                <w:rFonts w:ascii="Arial Narrow" w:hAnsi="Arial Narrow" w:cs="Arial Narrow"/>
                <w:b/>
                <w:bCs/>
                <w:sz w:val="20"/>
              </w:rPr>
              <w:t>Step 2: modelled economic evaluation including healthcare resource utilisation (21 months)</w:t>
            </w:r>
          </w:p>
        </w:tc>
      </w:tr>
      <w:tr w:rsidR="004C6E69" w:rsidRPr="008A0437" w:rsidTr="009B0D33">
        <w:tc>
          <w:tcPr>
            <w:tcW w:w="914" w:type="pct"/>
            <w:vAlign w:val="center"/>
          </w:tcPr>
          <w:p w:rsidR="004C6E69" w:rsidRPr="008A0437" w:rsidRDefault="004C6E69" w:rsidP="00915C99">
            <w:pPr>
              <w:keepNext/>
              <w:widowControl/>
              <w:jc w:val="left"/>
              <w:rPr>
                <w:rFonts w:ascii="Arial Narrow" w:hAnsi="Arial Narrow" w:cs="Times New Roman"/>
                <w:sz w:val="20"/>
              </w:rPr>
            </w:pPr>
            <w:r w:rsidRPr="008A0437">
              <w:rPr>
                <w:rFonts w:ascii="Arial Narrow" w:hAnsi="Arial Narrow" w:cs="Times New Roman"/>
                <w:sz w:val="20"/>
              </w:rPr>
              <w:t>Costs</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c>
          <w:tcPr>
            <w:tcW w:w="1366"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r>
      <w:tr w:rsidR="004C6E69" w:rsidRPr="008A0437" w:rsidTr="009B0D33">
        <w:tc>
          <w:tcPr>
            <w:tcW w:w="914" w:type="pct"/>
            <w:vAlign w:val="center"/>
          </w:tcPr>
          <w:p w:rsidR="004C6E69" w:rsidRPr="008A0437" w:rsidRDefault="004C6E69" w:rsidP="00915C99">
            <w:pPr>
              <w:keepNext/>
              <w:widowControl/>
              <w:jc w:val="left"/>
              <w:rPr>
                <w:rFonts w:ascii="Arial Narrow" w:hAnsi="Arial Narrow" w:cs="Times New Roman"/>
                <w:sz w:val="20"/>
              </w:rPr>
            </w:pPr>
            <w:r w:rsidRPr="008A0437">
              <w:rPr>
                <w:rFonts w:ascii="Arial Narrow" w:hAnsi="Arial Narrow" w:cs="Times New Roman"/>
                <w:sz w:val="20"/>
              </w:rPr>
              <w:t>LYG</w:t>
            </w:r>
          </w:p>
        </w:tc>
        <w:tc>
          <w:tcPr>
            <w:tcW w:w="1360" w:type="pct"/>
            <w:vAlign w:val="center"/>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366" w:type="pct"/>
            <w:vAlign w:val="center"/>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360" w:type="pct"/>
            <w:vAlign w:val="center"/>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4C6E69" w:rsidRPr="008A0437" w:rsidTr="009B0D33">
        <w:trPr>
          <w:trHeight w:val="70"/>
        </w:trPr>
        <w:tc>
          <w:tcPr>
            <w:tcW w:w="3640" w:type="pct"/>
            <w:gridSpan w:val="3"/>
            <w:vAlign w:val="center"/>
          </w:tcPr>
          <w:p w:rsidR="004C6E69" w:rsidRPr="00AC39B9" w:rsidRDefault="004C6E69" w:rsidP="00915C99">
            <w:pPr>
              <w:keepNext/>
              <w:widowControl/>
              <w:jc w:val="left"/>
              <w:rPr>
                <w:rFonts w:ascii="Arial Narrow" w:hAnsi="Arial Narrow" w:cs="Times New Roman"/>
                <w:sz w:val="20"/>
              </w:rPr>
            </w:pPr>
            <w:r w:rsidRPr="00AC39B9">
              <w:rPr>
                <w:rFonts w:ascii="Arial Narrow" w:hAnsi="Arial Narrow" w:cs="Times New Roman"/>
                <w:snapToGrid/>
                <w:sz w:val="20"/>
              </w:rPr>
              <w:t>Incremental cost/LYG</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r>
      <w:tr w:rsidR="004C6E69" w:rsidRPr="008A0437" w:rsidTr="009B0D33">
        <w:tc>
          <w:tcPr>
            <w:tcW w:w="5000" w:type="pct"/>
            <w:gridSpan w:val="4"/>
            <w:vAlign w:val="center"/>
          </w:tcPr>
          <w:p w:rsidR="004C6E69" w:rsidRPr="008A0437" w:rsidRDefault="004C6E69" w:rsidP="00915C99">
            <w:pPr>
              <w:keepNext/>
              <w:widowControl/>
              <w:jc w:val="left"/>
              <w:rPr>
                <w:rFonts w:ascii="Arial Narrow" w:hAnsi="Arial Narrow" w:cs="Arial Narrow"/>
                <w:b/>
                <w:bCs/>
                <w:sz w:val="20"/>
              </w:rPr>
            </w:pPr>
            <w:r w:rsidRPr="008A0437">
              <w:rPr>
                <w:rFonts w:ascii="Arial Narrow" w:hAnsi="Arial Narrow" w:cs="Arial Narrow"/>
                <w:b/>
                <w:bCs/>
                <w:sz w:val="20"/>
              </w:rPr>
              <w:t>Step 3: modelled economic evaluation including extrapolation (10 years)</w:t>
            </w:r>
          </w:p>
        </w:tc>
      </w:tr>
      <w:tr w:rsidR="004C6E69" w:rsidRPr="008A0437" w:rsidTr="009B0D33">
        <w:tc>
          <w:tcPr>
            <w:tcW w:w="914" w:type="pct"/>
            <w:vAlign w:val="center"/>
          </w:tcPr>
          <w:p w:rsidR="004C6E69" w:rsidRPr="008A0437" w:rsidRDefault="004C6E69" w:rsidP="00915C99">
            <w:pPr>
              <w:keepNext/>
              <w:widowControl/>
              <w:jc w:val="left"/>
              <w:rPr>
                <w:rFonts w:ascii="Arial Narrow" w:hAnsi="Arial Narrow" w:cs="Times New Roman"/>
                <w:sz w:val="20"/>
              </w:rPr>
            </w:pPr>
            <w:r w:rsidRPr="008A0437">
              <w:rPr>
                <w:rFonts w:ascii="Arial Narrow" w:hAnsi="Arial Narrow" w:cs="Times New Roman"/>
                <w:sz w:val="20"/>
              </w:rPr>
              <w:t>Costs</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c>
          <w:tcPr>
            <w:tcW w:w="1366"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r>
      <w:tr w:rsidR="004C6E69" w:rsidRPr="008A0437" w:rsidTr="009B0D33">
        <w:tc>
          <w:tcPr>
            <w:tcW w:w="914" w:type="pct"/>
            <w:vAlign w:val="center"/>
          </w:tcPr>
          <w:p w:rsidR="004C6E69" w:rsidRPr="008A0437" w:rsidRDefault="004C6E69" w:rsidP="00915C99">
            <w:pPr>
              <w:keepNext/>
              <w:widowControl/>
              <w:jc w:val="left"/>
              <w:rPr>
                <w:rFonts w:ascii="Arial Narrow" w:hAnsi="Arial Narrow" w:cs="Times New Roman"/>
                <w:sz w:val="20"/>
              </w:rPr>
            </w:pPr>
            <w:r w:rsidRPr="008A0437">
              <w:rPr>
                <w:rFonts w:ascii="Arial Narrow" w:hAnsi="Arial Narrow" w:cs="Times New Roman"/>
                <w:sz w:val="20"/>
              </w:rPr>
              <w:t>LYG</w:t>
            </w:r>
          </w:p>
        </w:tc>
        <w:tc>
          <w:tcPr>
            <w:tcW w:w="1360" w:type="pct"/>
            <w:vAlign w:val="center"/>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366" w:type="pct"/>
            <w:vAlign w:val="center"/>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360" w:type="pct"/>
            <w:vAlign w:val="center"/>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4C6E69" w:rsidRPr="008A0437" w:rsidTr="009B0D33">
        <w:tc>
          <w:tcPr>
            <w:tcW w:w="3640" w:type="pct"/>
            <w:gridSpan w:val="3"/>
            <w:vAlign w:val="center"/>
          </w:tcPr>
          <w:p w:rsidR="004C6E69" w:rsidRPr="00AC39B9" w:rsidRDefault="004C6E69" w:rsidP="00915C99">
            <w:pPr>
              <w:keepNext/>
              <w:widowControl/>
              <w:jc w:val="left"/>
              <w:rPr>
                <w:rFonts w:ascii="Arial Narrow" w:hAnsi="Arial Narrow" w:cs="Times New Roman"/>
                <w:sz w:val="20"/>
              </w:rPr>
            </w:pPr>
            <w:r w:rsidRPr="00AC39B9">
              <w:rPr>
                <w:rFonts w:ascii="Arial Narrow" w:hAnsi="Arial Narrow" w:cs="Times New Roman"/>
                <w:sz w:val="20"/>
              </w:rPr>
              <w:t>Incremental cost/LYG</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r>
      <w:tr w:rsidR="004C6E69" w:rsidRPr="008A0437" w:rsidTr="009B0D33">
        <w:tc>
          <w:tcPr>
            <w:tcW w:w="5000" w:type="pct"/>
            <w:gridSpan w:val="4"/>
            <w:vAlign w:val="center"/>
          </w:tcPr>
          <w:p w:rsidR="004C6E69" w:rsidRPr="008A0437" w:rsidRDefault="004C6E69" w:rsidP="00915C99">
            <w:pPr>
              <w:keepNext/>
              <w:widowControl/>
              <w:jc w:val="left"/>
              <w:rPr>
                <w:rFonts w:ascii="Arial Narrow" w:hAnsi="Arial Narrow" w:cs="Arial Narrow"/>
                <w:b/>
                <w:bCs/>
                <w:sz w:val="20"/>
              </w:rPr>
            </w:pPr>
            <w:r w:rsidRPr="008A0437">
              <w:rPr>
                <w:rFonts w:ascii="Arial Narrow" w:hAnsi="Arial Narrow" w:cs="Arial Narrow"/>
                <w:b/>
                <w:bCs/>
                <w:sz w:val="20"/>
              </w:rPr>
              <w:t>Step 4: modelled economic evaluation including utilities (10 years)</w:t>
            </w:r>
          </w:p>
        </w:tc>
      </w:tr>
      <w:tr w:rsidR="004C6E69" w:rsidRPr="008A0437" w:rsidTr="009B0D33">
        <w:tc>
          <w:tcPr>
            <w:tcW w:w="914" w:type="pct"/>
            <w:vAlign w:val="center"/>
          </w:tcPr>
          <w:p w:rsidR="004C6E69" w:rsidRPr="008A0437" w:rsidRDefault="004C6E69" w:rsidP="00915C99">
            <w:pPr>
              <w:keepNext/>
              <w:widowControl/>
              <w:jc w:val="left"/>
              <w:rPr>
                <w:rFonts w:ascii="Arial Narrow" w:hAnsi="Arial Narrow" w:cs="Times New Roman"/>
                <w:sz w:val="20"/>
              </w:rPr>
            </w:pPr>
            <w:r w:rsidRPr="008A0437">
              <w:rPr>
                <w:rFonts w:ascii="Arial Narrow" w:hAnsi="Arial Narrow" w:cs="Times New Roman"/>
                <w:sz w:val="20"/>
              </w:rPr>
              <w:t>Costs</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c>
          <w:tcPr>
            <w:tcW w:w="1366"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r>
      <w:tr w:rsidR="004C6E69" w:rsidRPr="008A0437" w:rsidTr="009B0D33">
        <w:tc>
          <w:tcPr>
            <w:tcW w:w="914" w:type="pct"/>
            <w:vAlign w:val="center"/>
          </w:tcPr>
          <w:p w:rsidR="004C6E69" w:rsidRPr="008A0437" w:rsidRDefault="004C6E69" w:rsidP="00915C99">
            <w:pPr>
              <w:keepNext/>
              <w:widowControl/>
              <w:jc w:val="left"/>
              <w:rPr>
                <w:rFonts w:ascii="Arial Narrow" w:hAnsi="Arial Narrow" w:cs="Times New Roman"/>
                <w:sz w:val="20"/>
              </w:rPr>
            </w:pPr>
            <w:r w:rsidRPr="008A0437">
              <w:rPr>
                <w:rFonts w:ascii="Arial Narrow" w:hAnsi="Arial Narrow" w:cs="Times New Roman"/>
                <w:sz w:val="20"/>
              </w:rPr>
              <w:t>QALY</w:t>
            </w:r>
          </w:p>
        </w:tc>
        <w:tc>
          <w:tcPr>
            <w:tcW w:w="1360" w:type="pct"/>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noProof/>
                <w:color w:val="000000"/>
                <w:sz w:val="20"/>
                <w:highlight w:val="black"/>
              </w:rPr>
              <w:t>''''''''''''''''''</w:t>
            </w:r>
          </w:p>
        </w:tc>
        <w:tc>
          <w:tcPr>
            <w:tcW w:w="1366" w:type="pct"/>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noProof/>
                <w:color w:val="000000"/>
                <w:sz w:val="20"/>
                <w:highlight w:val="black"/>
              </w:rPr>
              <w:t>'''''''''''''''</w:t>
            </w:r>
          </w:p>
        </w:tc>
        <w:tc>
          <w:tcPr>
            <w:tcW w:w="1360" w:type="pct"/>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noProof/>
                <w:color w:val="000000"/>
                <w:sz w:val="20"/>
                <w:highlight w:val="black"/>
              </w:rPr>
              <w:t>''''''''''''''''</w:t>
            </w:r>
          </w:p>
        </w:tc>
      </w:tr>
      <w:tr w:rsidR="004C6E69" w:rsidRPr="008A0437" w:rsidTr="009B0D33">
        <w:trPr>
          <w:trHeight w:val="70"/>
        </w:trPr>
        <w:tc>
          <w:tcPr>
            <w:tcW w:w="3640" w:type="pct"/>
            <w:gridSpan w:val="3"/>
            <w:vAlign w:val="center"/>
          </w:tcPr>
          <w:p w:rsidR="004C6E69" w:rsidRPr="00AC39B9" w:rsidRDefault="004C6E69" w:rsidP="00915C99">
            <w:pPr>
              <w:keepNext/>
              <w:widowControl/>
              <w:jc w:val="left"/>
              <w:rPr>
                <w:rFonts w:ascii="Arial Narrow" w:hAnsi="Arial Narrow" w:cs="Times New Roman"/>
                <w:sz w:val="20"/>
              </w:rPr>
            </w:pPr>
            <w:r w:rsidRPr="00AC39B9">
              <w:rPr>
                <w:rFonts w:ascii="Arial Narrow" w:hAnsi="Arial Narrow" w:cs="Times New Roman"/>
                <w:sz w:val="20"/>
              </w:rPr>
              <w:t>Incremental cost/QALY</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r>
      <w:tr w:rsidR="004C6E69" w:rsidRPr="008A0437" w:rsidTr="009B0D33">
        <w:tc>
          <w:tcPr>
            <w:tcW w:w="5000" w:type="pct"/>
            <w:gridSpan w:val="4"/>
            <w:vAlign w:val="center"/>
          </w:tcPr>
          <w:p w:rsidR="004C6E69" w:rsidRPr="008A0437" w:rsidRDefault="004C6E69" w:rsidP="00915C99">
            <w:pPr>
              <w:keepNext/>
              <w:widowControl/>
              <w:jc w:val="left"/>
              <w:rPr>
                <w:rFonts w:ascii="Arial Narrow" w:hAnsi="Arial Narrow" w:cs="Arial Narrow"/>
                <w:b/>
                <w:bCs/>
                <w:sz w:val="20"/>
              </w:rPr>
            </w:pPr>
            <w:r w:rsidRPr="008A0437">
              <w:rPr>
                <w:rFonts w:ascii="Arial Narrow" w:hAnsi="Arial Narrow" w:cs="Arial Narrow"/>
                <w:b/>
                <w:bCs/>
                <w:sz w:val="20"/>
              </w:rPr>
              <w:t>Step 5: modelled economic evaluation including effect of continuation rule (10 years)</w:t>
            </w:r>
          </w:p>
        </w:tc>
      </w:tr>
      <w:tr w:rsidR="004C6E69" w:rsidRPr="008A0437" w:rsidTr="009B0D33">
        <w:tc>
          <w:tcPr>
            <w:tcW w:w="914" w:type="pct"/>
            <w:vAlign w:val="center"/>
          </w:tcPr>
          <w:p w:rsidR="004C6E69" w:rsidRPr="008A0437" w:rsidRDefault="004C6E69" w:rsidP="00915C99">
            <w:pPr>
              <w:keepNext/>
              <w:widowControl/>
              <w:jc w:val="left"/>
              <w:rPr>
                <w:rFonts w:ascii="Arial Narrow" w:hAnsi="Arial Narrow" w:cs="Times New Roman"/>
                <w:sz w:val="20"/>
              </w:rPr>
            </w:pPr>
            <w:r w:rsidRPr="008A0437">
              <w:rPr>
                <w:rFonts w:ascii="Arial Narrow" w:hAnsi="Arial Narrow" w:cs="Times New Roman"/>
                <w:sz w:val="20"/>
              </w:rPr>
              <w:t>Costs</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c>
          <w:tcPr>
            <w:tcW w:w="1366"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c>
          <w:tcPr>
            <w:tcW w:w="1360" w:type="pct"/>
            <w:vAlign w:val="center"/>
          </w:tcPr>
          <w:p w:rsidR="004C6E69" w:rsidRPr="008A0437" w:rsidRDefault="004C6E69" w:rsidP="00915C99">
            <w:pPr>
              <w:keepNext/>
              <w:widowControl/>
              <w:jc w:val="center"/>
              <w:rPr>
                <w:rFonts w:ascii="Arial Narrow" w:hAnsi="Arial Narrow" w:cs="Times New Roman"/>
                <w:sz w:val="20"/>
              </w:rPr>
            </w:pPr>
            <w:r w:rsidRPr="008A0437">
              <w:rPr>
                <w:rFonts w:ascii="Arial Narrow" w:hAnsi="Arial Narrow" w:cs="Times New Roman"/>
                <w:sz w:val="20"/>
              </w:rPr>
              <w:t>$</w:t>
            </w:r>
            <w:r w:rsidR="003B3717">
              <w:rPr>
                <w:rFonts w:ascii="Arial Narrow" w:hAnsi="Arial Narrow" w:cs="Times New Roman"/>
                <w:noProof/>
                <w:color w:val="000000"/>
                <w:sz w:val="20"/>
                <w:highlight w:val="black"/>
              </w:rPr>
              <w:t>''''''''''''''''</w:t>
            </w:r>
          </w:p>
        </w:tc>
      </w:tr>
      <w:tr w:rsidR="004C6E69" w:rsidRPr="008A0437" w:rsidTr="009B0D33">
        <w:tc>
          <w:tcPr>
            <w:tcW w:w="914" w:type="pct"/>
            <w:vAlign w:val="center"/>
          </w:tcPr>
          <w:p w:rsidR="004C6E69" w:rsidRPr="008A0437" w:rsidRDefault="004C6E69" w:rsidP="00915C99">
            <w:pPr>
              <w:keepNext/>
              <w:widowControl/>
              <w:jc w:val="left"/>
              <w:rPr>
                <w:rFonts w:ascii="Arial Narrow" w:hAnsi="Arial Narrow" w:cs="Times New Roman"/>
                <w:sz w:val="20"/>
              </w:rPr>
            </w:pPr>
            <w:r w:rsidRPr="008A0437">
              <w:rPr>
                <w:rFonts w:ascii="Arial Narrow" w:hAnsi="Arial Narrow" w:cs="Times New Roman"/>
                <w:sz w:val="20"/>
              </w:rPr>
              <w:t>QALY</w:t>
            </w:r>
          </w:p>
        </w:tc>
        <w:tc>
          <w:tcPr>
            <w:tcW w:w="1360" w:type="pct"/>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noProof/>
                <w:color w:val="000000"/>
                <w:sz w:val="20"/>
                <w:highlight w:val="black"/>
              </w:rPr>
              <w:t>''''''''''''''''</w:t>
            </w:r>
          </w:p>
        </w:tc>
        <w:tc>
          <w:tcPr>
            <w:tcW w:w="1366" w:type="pct"/>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noProof/>
                <w:color w:val="000000"/>
                <w:sz w:val="20"/>
                <w:highlight w:val="black"/>
              </w:rPr>
              <w:t>'''''''''''''''</w:t>
            </w:r>
          </w:p>
        </w:tc>
        <w:tc>
          <w:tcPr>
            <w:tcW w:w="1360" w:type="pct"/>
          </w:tcPr>
          <w:p w:rsidR="004C6E69" w:rsidRPr="003B3717" w:rsidRDefault="003B3717" w:rsidP="00915C99">
            <w:pPr>
              <w:keepNext/>
              <w:widowControl/>
              <w:jc w:val="center"/>
              <w:rPr>
                <w:rFonts w:ascii="Arial Narrow" w:hAnsi="Arial Narrow" w:cs="Times New Roman"/>
                <w:sz w:val="20"/>
                <w:highlight w:val="black"/>
              </w:rPr>
            </w:pPr>
            <w:r>
              <w:rPr>
                <w:rFonts w:ascii="Arial Narrow" w:hAnsi="Arial Narrow"/>
                <w:noProof/>
                <w:color w:val="000000"/>
                <w:sz w:val="20"/>
                <w:highlight w:val="black"/>
              </w:rPr>
              <w:t>'''''''''''''''''</w:t>
            </w:r>
          </w:p>
        </w:tc>
      </w:tr>
      <w:tr w:rsidR="004C6E69" w:rsidRPr="008A0437" w:rsidTr="009B0D33">
        <w:trPr>
          <w:trHeight w:val="70"/>
        </w:trPr>
        <w:tc>
          <w:tcPr>
            <w:tcW w:w="3640" w:type="pct"/>
            <w:gridSpan w:val="3"/>
            <w:vAlign w:val="center"/>
          </w:tcPr>
          <w:p w:rsidR="004C6E69" w:rsidRPr="008A0437" w:rsidRDefault="004C6E69" w:rsidP="00915C99">
            <w:pPr>
              <w:keepNext/>
              <w:widowControl/>
              <w:jc w:val="left"/>
              <w:rPr>
                <w:rFonts w:ascii="Arial Narrow" w:hAnsi="Arial Narrow" w:cs="Times New Roman"/>
                <w:b/>
                <w:sz w:val="20"/>
              </w:rPr>
            </w:pPr>
            <w:r w:rsidRPr="008A0437">
              <w:rPr>
                <w:rFonts w:ascii="Arial Narrow" w:hAnsi="Arial Narrow" w:cs="Times New Roman"/>
                <w:b/>
                <w:sz w:val="20"/>
              </w:rPr>
              <w:t>Incremental cost/QALY</w:t>
            </w:r>
          </w:p>
        </w:tc>
        <w:tc>
          <w:tcPr>
            <w:tcW w:w="1360" w:type="pct"/>
            <w:vAlign w:val="center"/>
          </w:tcPr>
          <w:p w:rsidR="004C6E69" w:rsidRPr="008A0437" w:rsidRDefault="004C6E69" w:rsidP="00915C99">
            <w:pPr>
              <w:keepNext/>
              <w:widowControl/>
              <w:jc w:val="center"/>
              <w:rPr>
                <w:rFonts w:ascii="Arial Narrow" w:hAnsi="Arial Narrow" w:cs="Times New Roman"/>
                <w:b/>
                <w:sz w:val="20"/>
              </w:rPr>
            </w:pPr>
            <w:r w:rsidRPr="008A0437">
              <w:rPr>
                <w:rFonts w:ascii="Arial Narrow" w:hAnsi="Arial Narrow" w:cs="Times New Roman"/>
                <w:b/>
                <w:sz w:val="20"/>
              </w:rPr>
              <w:t>$</w:t>
            </w:r>
            <w:r w:rsidR="003B3717">
              <w:rPr>
                <w:rFonts w:ascii="Arial Narrow" w:hAnsi="Arial Narrow" w:cs="Times New Roman"/>
                <w:b/>
                <w:noProof/>
                <w:color w:val="000000"/>
                <w:sz w:val="20"/>
                <w:highlight w:val="black"/>
              </w:rPr>
              <w:t>'''''''''''''''''</w:t>
            </w:r>
          </w:p>
        </w:tc>
      </w:tr>
    </w:tbl>
    <w:p w:rsidR="004C6E69" w:rsidRPr="00AC39B9" w:rsidRDefault="004C6E69" w:rsidP="00AC39B9">
      <w:pPr>
        <w:widowControl/>
        <w:ind w:left="720"/>
        <w:rPr>
          <w:rFonts w:ascii="Arial Narrow" w:hAnsi="Arial Narrow"/>
          <w:sz w:val="18"/>
          <w:szCs w:val="18"/>
        </w:rPr>
      </w:pPr>
      <w:r w:rsidRPr="008A0437">
        <w:rPr>
          <w:rFonts w:ascii="Arial Narrow" w:hAnsi="Arial Narrow"/>
          <w:sz w:val="18"/>
        </w:rPr>
        <w:t>Abbreviations: BSC = best supportive care</w:t>
      </w:r>
      <w:r w:rsidR="00AC39B9">
        <w:rPr>
          <w:rFonts w:ascii="Arial Narrow" w:hAnsi="Arial Narrow"/>
          <w:sz w:val="18"/>
        </w:rPr>
        <w:t xml:space="preserve">, </w:t>
      </w:r>
      <w:r w:rsidR="00AC39B9">
        <w:rPr>
          <w:rFonts w:ascii="Arial Narrow" w:hAnsi="Arial Narrow"/>
          <w:sz w:val="18"/>
          <w:szCs w:val="18"/>
        </w:rPr>
        <w:t>LYG = life years gained, QALY = quality adjusted life years.</w:t>
      </w:r>
    </w:p>
    <w:p w:rsidR="004C6E69" w:rsidRPr="008A0437" w:rsidRDefault="004C6E69" w:rsidP="00915C99">
      <w:pPr>
        <w:widowControl/>
        <w:ind w:left="720"/>
        <w:rPr>
          <w:rFonts w:ascii="Arial Narrow" w:hAnsi="Arial Narrow"/>
          <w:sz w:val="18"/>
        </w:rPr>
      </w:pPr>
      <w:r w:rsidRPr="008A0437">
        <w:rPr>
          <w:rFonts w:ascii="Arial Narrow" w:hAnsi="Arial Narrow"/>
          <w:sz w:val="18"/>
        </w:rPr>
        <w:t>Source: Table D.5-1, Table D.5-2, Table D.5</w:t>
      </w:r>
      <w:r w:rsidR="00E87B8D" w:rsidRPr="008A0437">
        <w:rPr>
          <w:rFonts w:ascii="Arial Narrow" w:hAnsi="Arial Narrow"/>
          <w:sz w:val="18"/>
        </w:rPr>
        <w:t>-3, Table D.5-4, Table D.5-5, p</w:t>
      </w:r>
      <w:r w:rsidRPr="008A0437">
        <w:rPr>
          <w:rFonts w:ascii="Arial Narrow" w:hAnsi="Arial Narrow"/>
          <w:sz w:val="18"/>
        </w:rPr>
        <w:t>283-286 of the current submission</w:t>
      </w:r>
    </w:p>
    <w:p w:rsidR="006436DB" w:rsidRPr="002A78FC" w:rsidRDefault="006436DB" w:rsidP="002A78FC">
      <w:pPr>
        <w:widowControl/>
      </w:pPr>
    </w:p>
    <w:p w:rsidR="00CD3F29" w:rsidRPr="008A0437" w:rsidRDefault="006A0DBA" w:rsidP="00915C99">
      <w:pPr>
        <w:pStyle w:val="ListParagraph"/>
        <w:widowControl/>
        <w:numPr>
          <w:ilvl w:val="1"/>
          <w:numId w:val="1"/>
        </w:numPr>
        <w:rPr>
          <w:i/>
        </w:rPr>
      </w:pPr>
      <w:r w:rsidRPr="008A0437">
        <w:t xml:space="preserve">The </w:t>
      </w:r>
      <w:r w:rsidR="004C6E69" w:rsidRPr="008A0437">
        <w:t>base case ICER</w:t>
      </w:r>
      <w:r w:rsidR="006436DB" w:rsidRPr="008A0437">
        <w:t xml:space="preserve"> </w:t>
      </w:r>
      <w:r w:rsidR="004C6E69" w:rsidRPr="008A0437">
        <w:t>increased in comparison to the November 2015 resubmission ($</w:t>
      </w:r>
      <w:r w:rsidR="004C0178">
        <w:t>75,000/QALY - $105,000/QALY</w:t>
      </w:r>
      <w:r w:rsidR="004C6E69" w:rsidRPr="008A0437">
        <w:t>). This change in the ICER was driven by the removal of RSA</w:t>
      </w:r>
      <w:r w:rsidR="004052C3" w:rsidRPr="008A0437">
        <w:t xml:space="preserve"> linked</w:t>
      </w:r>
      <w:r w:rsidR="004C6E69" w:rsidRPr="008A0437">
        <w:t xml:space="preserve"> pricing from the economic model. </w:t>
      </w:r>
      <w:r w:rsidR="00CD3F29" w:rsidRPr="008A0437">
        <w:t xml:space="preserve">In </w:t>
      </w:r>
      <w:r w:rsidR="003556EA" w:rsidRPr="008A0437">
        <w:t xml:space="preserve">November 2015, </w:t>
      </w:r>
      <w:r w:rsidR="00CD3F29" w:rsidRPr="008A0437">
        <w:t>the PBAC considered that any effective price used in the model cannot be based on an R</w:t>
      </w:r>
      <w:r w:rsidR="004052C3" w:rsidRPr="008A0437">
        <w:t>SA proposal to cap expenditure</w:t>
      </w:r>
      <w:r w:rsidR="003556EA" w:rsidRPr="008A0437">
        <w:t>; this approach linked the ICER to the difference between the DUSC and submission estimates of utilisation and therefore did not provide a stable estimate of cost</w:t>
      </w:r>
      <w:r w:rsidR="009960E4">
        <w:noBreakHyphen/>
      </w:r>
      <w:r w:rsidR="003556EA" w:rsidRPr="008A0437">
        <w:t>effectiveness.</w:t>
      </w:r>
    </w:p>
    <w:p w:rsidR="009D19F3" w:rsidRPr="008A0437" w:rsidRDefault="009D19F3" w:rsidP="00915C99">
      <w:pPr>
        <w:widowControl/>
      </w:pPr>
    </w:p>
    <w:p w:rsidR="009D19F3" w:rsidRPr="008A0437" w:rsidRDefault="009D19F3" w:rsidP="00915C99">
      <w:pPr>
        <w:pStyle w:val="ListParagraph"/>
        <w:widowControl/>
        <w:numPr>
          <w:ilvl w:val="1"/>
          <w:numId w:val="1"/>
        </w:numPr>
      </w:pPr>
      <w:r w:rsidRPr="008A0437">
        <w:t>The base case ICER of $</w:t>
      </w:r>
      <w:r w:rsidR="002E435F">
        <w:t>75,000/</w:t>
      </w:r>
      <w:r w:rsidR="002E435F" w:rsidRPr="00902745">
        <w:t>QALY - $105,000/QALY</w:t>
      </w:r>
      <w:r w:rsidR="002E435F" w:rsidRPr="00902745" w:rsidDel="002E435F">
        <w:t xml:space="preserve"> </w:t>
      </w:r>
      <w:r w:rsidRPr="00902745">
        <w:t xml:space="preserve">in the current submission is higher than $60,000, as previously requested by the PBAC (November 2015 </w:t>
      </w:r>
      <w:r w:rsidR="00902745" w:rsidRPr="00902745">
        <w:t>PSD</w:t>
      </w:r>
      <w:r w:rsidRPr="00902745">
        <w:t>, paragraph 7.1). The</w:t>
      </w:r>
      <w:r w:rsidRPr="008A0437">
        <w:t xml:space="preserve"> PSCR (p1) stated that it is not possible to provide a further price reduction to achieve such an ICER, as well as agreeing to a financial RSA that the </w:t>
      </w:r>
      <w:r w:rsidRPr="008A0437">
        <w:lastRenderedPageBreak/>
        <w:t xml:space="preserve">DUSC and the evaluation agree significantly underestimates the likely usage of nintedanib on the PBS. In addition, the PSCR argued that the base case ICER was reasonable in the context of high clinical need for </w:t>
      </w:r>
      <w:r w:rsidR="009D27CB" w:rsidRPr="008A0437">
        <w:t>(</w:t>
      </w:r>
      <w:r w:rsidRPr="008A0437">
        <w:t>and to provide equity of access to</w:t>
      </w:r>
      <w:r w:rsidR="009D27CB" w:rsidRPr="008A0437">
        <w:t>)</w:t>
      </w:r>
      <w:r w:rsidRPr="008A0437">
        <w:t xml:space="preserve"> a PBS listed treatment for IPF, and given the limited long term survival associated with the condition.</w:t>
      </w:r>
    </w:p>
    <w:p w:rsidR="00CD3F29" w:rsidRPr="002A78FC" w:rsidRDefault="00CD3F29" w:rsidP="00915C99">
      <w:pPr>
        <w:widowControl/>
      </w:pPr>
    </w:p>
    <w:p w:rsidR="00651752" w:rsidRPr="00F553EF" w:rsidRDefault="004C6E69" w:rsidP="00651752">
      <w:pPr>
        <w:pStyle w:val="ListParagraph"/>
        <w:numPr>
          <w:ilvl w:val="1"/>
          <w:numId w:val="1"/>
        </w:numPr>
      </w:pPr>
      <w:r w:rsidRPr="00F553EF">
        <w:t>The</w:t>
      </w:r>
      <w:r w:rsidR="00E83302" w:rsidRPr="00F553EF">
        <w:t xml:space="preserve"> ESC noted that the model was sensitive to the incorporation of </w:t>
      </w:r>
      <w:r w:rsidRPr="00F553EF">
        <w:t xml:space="preserve">the continuation rule </w:t>
      </w:r>
      <w:r w:rsidR="00E83302" w:rsidRPr="00F553EF">
        <w:t xml:space="preserve">in the current model; this </w:t>
      </w:r>
      <w:r w:rsidRPr="00F553EF">
        <w:t>decreased the ICER from $</w:t>
      </w:r>
      <w:r w:rsidR="002E435F">
        <w:t>105,000/QALY - $200,000/QALY</w:t>
      </w:r>
      <w:r w:rsidR="00F4318F" w:rsidRPr="00F553EF">
        <w:t xml:space="preserve"> </w:t>
      </w:r>
      <w:r w:rsidR="00E83302" w:rsidRPr="00F553EF">
        <w:t xml:space="preserve">to </w:t>
      </w:r>
      <w:r w:rsidR="005F7700" w:rsidRPr="00F553EF">
        <w:t xml:space="preserve">the base case of </w:t>
      </w:r>
      <w:r w:rsidR="00E83302" w:rsidRPr="00F553EF">
        <w:t>$</w:t>
      </w:r>
      <w:r w:rsidR="00CF0F19">
        <w:t>75,000/QALY - $105,000/QALY</w:t>
      </w:r>
      <w:r w:rsidRPr="00F553EF">
        <w:t>.</w:t>
      </w:r>
      <w:r w:rsidR="00F4318F" w:rsidRPr="00F553EF">
        <w:t xml:space="preserve"> </w:t>
      </w:r>
      <w:r w:rsidR="00CD3F29" w:rsidRPr="00F553EF">
        <w:t xml:space="preserve">The ESC noted that </w:t>
      </w:r>
      <w:r w:rsidR="00E83302" w:rsidRPr="00F553EF">
        <w:t xml:space="preserve">the November 2015 base case did not include the impact of </w:t>
      </w:r>
      <w:r w:rsidR="00CD3F29" w:rsidRPr="00F553EF">
        <w:t>the continuation rule</w:t>
      </w:r>
      <w:r w:rsidR="00E83302" w:rsidRPr="00F553EF">
        <w:t xml:space="preserve">; accordingly, an ICER that </w:t>
      </w:r>
      <w:r w:rsidR="00AC3A8E" w:rsidRPr="00F553EF">
        <w:t>incorporated</w:t>
      </w:r>
      <w:r w:rsidR="00E83302" w:rsidRPr="00F553EF">
        <w:t xml:space="preserve"> the RSA caps and the continuation rule would have been lower than </w:t>
      </w:r>
      <w:r w:rsidR="00CF0F19" w:rsidRPr="00F553EF">
        <w:t>$</w:t>
      </w:r>
      <w:r w:rsidR="00CF0F19">
        <w:t>75,000/QALY - $105,000/QALY</w:t>
      </w:r>
      <w:r w:rsidR="004052C3" w:rsidRPr="00F553EF">
        <w:t>.</w:t>
      </w:r>
      <w:r w:rsidR="00651752" w:rsidRPr="00F553EF">
        <w:t xml:space="preserve"> The PBAC considered that </w:t>
      </w:r>
      <w:r w:rsidR="00861D31" w:rsidRPr="00F553EF">
        <w:t xml:space="preserve">if nintedanib were to be listed without the continuation rule, </w:t>
      </w:r>
      <w:r w:rsidR="00651752" w:rsidRPr="00F553EF">
        <w:t xml:space="preserve">the risk of continued treatment in patients whose condition has progressed such that the incremental benefit of treatment is likely to be smaller </w:t>
      </w:r>
      <w:r w:rsidR="00861D31" w:rsidRPr="00F553EF">
        <w:t>(</w:t>
      </w:r>
      <w:r w:rsidR="00651752" w:rsidRPr="00F553EF">
        <w:t xml:space="preserve">and </w:t>
      </w:r>
      <w:r w:rsidR="00861D31" w:rsidRPr="00F553EF">
        <w:t xml:space="preserve">will </w:t>
      </w:r>
      <w:r w:rsidR="008A61DB" w:rsidRPr="00F553EF">
        <w:t xml:space="preserve">therefore </w:t>
      </w:r>
      <w:r w:rsidR="00861D31" w:rsidRPr="00F553EF">
        <w:t xml:space="preserve">be less cost effective, </w:t>
      </w:r>
      <w:r w:rsidR="00651752" w:rsidRPr="00F553EF">
        <w:t>compared with earlier in the course of their disease) sho</w:t>
      </w:r>
      <w:r w:rsidR="00861D31" w:rsidRPr="00F553EF">
        <w:t>uld be managed through</w:t>
      </w:r>
      <w:r w:rsidR="00651752" w:rsidRPr="00F553EF">
        <w:t xml:space="preserve"> </w:t>
      </w:r>
      <w:r w:rsidR="00861D31" w:rsidRPr="00F553EF">
        <w:t xml:space="preserve">a </w:t>
      </w:r>
      <w:r w:rsidR="008A61DB" w:rsidRPr="00F553EF">
        <w:t>RSA</w:t>
      </w:r>
      <w:r w:rsidR="00651752" w:rsidRPr="00F553EF">
        <w:t>.</w:t>
      </w:r>
    </w:p>
    <w:p w:rsidR="004C6E69" w:rsidRPr="00F553EF" w:rsidRDefault="004C6E69" w:rsidP="00915C99">
      <w:pPr>
        <w:widowControl/>
        <w:rPr>
          <w:szCs w:val="22"/>
        </w:rPr>
      </w:pPr>
    </w:p>
    <w:p w:rsidR="004C6E69" w:rsidRPr="00F553EF" w:rsidRDefault="004C6E69" w:rsidP="00915C99">
      <w:pPr>
        <w:widowControl/>
        <w:numPr>
          <w:ilvl w:val="1"/>
          <w:numId w:val="1"/>
        </w:numPr>
        <w:contextualSpacing/>
        <w:rPr>
          <w:szCs w:val="22"/>
        </w:rPr>
      </w:pPr>
      <w:r w:rsidRPr="00F553EF">
        <w:t>Overall, no new variables of high sensitivity were identified in the current submission, compared with the previous submission.</w:t>
      </w:r>
    </w:p>
    <w:p w:rsidR="004C6E69" w:rsidRPr="00F553EF" w:rsidRDefault="004C6E69" w:rsidP="00915C99">
      <w:pPr>
        <w:widowControl/>
      </w:pPr>
    </w:p>
    <w:p w:rsidR="004C6E69" w:rsidRPr="00F553EF" w:rsidRDefault="004C6E69" w:rsidP="00915C99">
      <w:pPr>
        <w:widowControl/>
        <w:numPr>
          <w:ilvl w:val="1"/>
          <w:numId w:val="1"/>
        </w:numPr>
        <w:contextualSpacing/>
      </w:pPr>
      <w:r w:rsidRPr="00F553EF">
        <w:t xml:space="preserve">The current resubmission stated that the PBAC had accepted the arguments </w:t>
      </w:r>
      <w:r w:rsidR="00B177B1" w:rsidRPr="00F553EF">
        <w:t xml:space="preserve">in </w:t>
      </w:r>
      <w:r w:rsidRPr="00F553EF">
        <w:t xml:space="preserve">the </w:t>
      </w:r>
      <w:r w:rsidR="00B177B1" w:rsidRPr="00F553EF">
        <w:t xml:space="preserve">November 2015 </w:t>
      </w:r>
      <w:r w:rsidRPr="00F553EF">
        <w:t xml:space="preserve">pre-PBAC response </w:t>
      </w:r>
      <w:r w:rsidR="00B177B1" w:rsidRPr="00F553EF">
        <w:t xml:space="preserve">(p2-3) </w:t>
      </w:r>
      <w:r w:rsidRPr="00F553EF">
        <w:t>regarding the extrapola</w:t>
      </w:r>
      <w:r w:rsidR="008A61DB" w:rsidRPr="00F553EF">
        <w:t>tion of survival of nintedanib.</w:t>
      </w:r>
      <w:r w:rsidRPr="00F553EF">
        <w:t xml:space="preserve"> </w:t>
      </w:r>
      <w:r w:rsidR="002C1B20" w:rsidRPr="00F553EF">
        <w:t>However, the ESC noted that the model remained highly sensitive to estimates of long-term overall survival (modelled based on FVC % predicted health states)</w:t>
      </w:r>
      <w:r w:rsidR="00835891" w:rsidRPr="00F553EF">
        <w:t>.</w:t>
      </w:r>
    </w:p>
    <w:p w:rsidR="00835891" w:rsidRPr="00F553EF" w:rsidRDefault="00835891" w:rsidP="002A78FC">
      <w:pPr>
        <w:widowControl/>
        <w:contextualSpacing/>
      </w:pPr>
    </w:p>
    <w:p w:rsidR="00835891" w:rsidRPr="00F553EF" w:rsidRDefault="007B3D70" w:rsidP="00835891">
      <w:pPr>
        <w:widowControl/>
        <w:numPr>
          <w:ilvl w:val="1"/>
          <w:numId w:val="1"/>
        </w:numPr>
        <w:contextualSpacing/>
        <w:rPr>
          <w:bCs/>
          <w:szCs w:val="22"/>
        </w:rPr>
      </w:pPr>
      <w:r w:rsidRPr="00F553EF">
        <w:t>The</w:t>
      </w:r>
      <w:r>
        <w:t xml:space="preserve"> ESC and the</w:t>
      </w:r>
      <w:r w:rsidRPr="00F553EF">
        <w:t xml:space="preserve"> </w:t>
      </w:r>
      <w:r>
        <w:t xml:space="preserve">PBAC </w:t>
      </w:r>
      <w:r w:rsidR="00835891" w:rsidRPr="00F553EF">
        <w:t>noted the challenges of making comparisons across the nintedanib and pirfenidone submissions for IPF given that the two submissions adopted distinct modelling approaches.</w:t>
      </w:r>
      <w:r w:rsidR="00835891" w:rsidRPr="00F553EF">
        <w:rPr>
          <w:bCs/>
          <w:szCs w:val="22"/>
        </w:rPr>
        <w:t xml:space="preserve"> </w:t>
      </w:r>
      <w:r w:rsidR="004A2C46" w:rsidRPr="00F553EF">
        <w:rPr>
          <w:bCs/>
          <w:szCs w:val="22"/>
        </w:rPr>
        <w:t xml:space="preserve">The PBAC reiterated </w:t>
      </w:r>
      <w:r w:rsidR="000E6920" w:rsidRPr="00F553EF">
        <w:rPr>
          <w:bCs/>
          <w:szCs w:val="22"/>
        </w:rPr>
        <w:t xml:space="preserve">that </w:t>
      </w:r>
      <w:r w:rsidR="004A2C46" w:rsidRPr="00F553EF">
        <w:rPr>
          <w:bCs/>
          <w:szCs w:val="22"/>
        </w:rPr>
        <w:t>the available comparative evidence suggested that the two drugs are likely to be similarly clinically effective. Accordingly, t</w:t>
      </w:r>
      <w:r w:rsidR="00835891" w:rsidRPr="00F553EF">
        <w:t xml:space="preserve">he PBAC </w:t>
      </w:r>
      <w:r w:rsidR="006A4481" w:rsidRPr="00F553EF">
        <w:t xml:space="preserve">considered that </w:t>
      </w:r>
      <w:r w:rsidR="00835891" w:rsidRPr="00F553EF">
        <w:t xml:space="preserve">any difference in incremental life years </w:t>
      </w:r>
      <w:r w:rsidR="003E79C9" w:rsidRPr="00F553EF">
        <w:t xml:space="preserve">gained </w:t>
      </w:r>
      <w:r w:rsidR="00835891" w:rsidRPr="00F553EF">
        <w:t xml:space="preserve">between the </w:t>
      </w:r>
      <w:r w:rsidR="003E79C9" w:rsidRPr="00F553EF">
        <w:t xml:space="preserve">nintedanib and pirfenidone </w:t>
      </w:r>
      <w:r w:rsidR="00835891" w:rsidRPr="00F553EF">
        <w:t>models contradicted the clinical evidence</w:t>
      </w:r>
      <w:r w:rsidR="006A4481" w:rsidRPr="00F553EF">
        <w:t xml:space="preserve"> </w:t>
      </w:r>
      <w:r w:rsidR="003E79C9" w:rsidRPr="00F553EF">
        <w:t xml:space="preserve">and was </w:t>
      </w:r>
      <w:r w:rsidR="00390D4F" w:rsidRPr="00F553EF">
        <w:t>an artefact of the different</w:t>
      </w:r>
      <w:r w:rsidR="00835891" w:rsidRPr="00F553EF">
        <w:t xml:space="preserve"> modelling approaches</w:t>
      </w:r>
      <w:r w:rsidR="003E79C9" w:rsidRPr="00F553EF">
        <w:t xml:space="preserve">. The PBAC considered that </w:t>
      </w:r>
      <w:r w:rsidR="00C63E91" w:rsidRPr="00F553EF">
        <w:t>t</w:t>
      </w:r>
      <w:r w:rsidR="00835891" w:rsidRPr="00F553EF">
        <w:t xml:space="preserve">he only </w:t>
      </w:r>
      <w:r w:rsidR="00C63E91" w:rsidRPr="00F553EF">
        <w:t>input</w:t>
      </w:r>
      <w:r w:rsidR="003E79C9" w:rsidRPr="00F553EF">
        <w:t>s</w:t>
      </w:r>
      <w:r w:rsidR="00B84320" w:rsidRPr="00F553EF">
        <w:t xml:space="preserve"> </w:t>
      </w:r>
      <w:r w:rsidR="00835891" w:rsidRPr="00F553EF">
        <w:t xml:space="preserve">that should </w:t>
      </w:r>
      <w:r w:rsidR="00B84320" w:rsidRPr="00F553EF">
        <w:t xml:space="preserve">result in </w:t>
      </w:r>
      <w:r w:rsidR="00C63E91" w:rsidRPr="00F553EF">
        <w:t xml:space="preserve">a </w:t>
      </w:r>
      <w:r w:rsidR="00835891" w:rsidRPr="00F553EF">
        <w:t xml:space="preserve">difference </w:t>
      </w:r>
      <w:r w:rsidR="00B84320" w:rsidRPr="00F553EF">
        <w:t xml:space="preserve">in </w:t>
      </w:r>
      <w:r w:rsidR="00C63E91" w:rsidRPr="00F553EF">
        <w:t xml:space="preserve">the </w:t>
      </w:r>
      <w:r w:rsidR="00835891" w:rsidRPr="00F553EF">
        <w:t xml:space="preserve">cost effectiveness </w:t>
      </w:r>
      <w:r w:rsidR="00C63E91" w:rsidRPr="00F553EF">
        <w:t xml:space="preserve">of </w:t>
      </w:r>
      <w:r w:rsidR="00835891" w:rsidRPr="00F553EF">
        <w:t xml:space="preserve">nintedanib and pirfenidone </w:t>
      </w:r>
      <w:r w:rsidR="003E79C9" w:rsidRPr="00F553EF">
        <w:t xml:space="preserve">are </w:t>
      </w:r>
      <w:r w:rsidR="00835891" w:rsidRPr="00F553EF">
        <w:t>the proposed drug cost</w:t>
      </w:r>
      <w:r w:rsidR="007C3370" w:rsidRPr="00F553EF">
        <w:t>s</w:t>
      </w:r>
      <w:r w:rsidR="003E79C9" w:rsidRPr="00F553EF">
        <w:t xml:space="preserve"> and</w:t>
      </w:r>
      <w:r w:rsidR="004A2C46" w:rsidRPr="00F553EF">
        <w:t>, potentially,</w:t>
      </w:r>
      <w:r w:rsidR="007C3370" w:rsidRPr="00F553EF">
        <w:t xml:space="preserve"> any </w:t>
      </w:r>
      <w:r w:rsidR="003E79C9" w:rsidRPr="00F553EF">
        <w:t xml:space="preserve">differences in costs or quality of life associated with </w:t>
      </w:r>
      <w:r w:rsidR="007C3370" w:rsidRPr="00F553EF">
        <w:t xml:space="preserve">differences in </w:t>
      </w:r>
      <w:r w:rsidR="003E79C9" w:rsidRPr="00F553EF">
        <w:t>comparative safety</w:t>
      </w:r>
      <w:r w:rsidR="00835891" w:rsidRPr="00F553EF">
        <w:t>.</w:t>
      </w:r>
    </w:p>
    <w:p w:rsidR="00BF0A15" w:rsidRPr="002A78FC" w:rsidRDefault="00BF0A15" w:rsidP="00BF0A15">
      <w:pPr>
        <w:rPr>
          <w:bCs/>
          <w:szCs w:val="22"/>
        </w:rPr>
      </w:pPr>
    </w:p>
    <w:p w:rsidR="00900208" w:rsidRPr="00F553EF" w:rsidRDefault="00F176C6" w:rsidP="003C1249">
      <w:pPr>
        <w:widowControl/>
        <w:numPr>
          <w:ilvl w:val="1"/>
          <w:numId w:val="1"/>
        </w:numPr>
        <w:contextualSpacing/>
        <w:rPr>
          <w:szCs w:val="22"/>
        </w:rPr>
      </w:pPr>
      <w:r w:rsidRPr="00F553EF">
        <w:rPr>
          <w:bCs/>
          <w:szCs w:val="22"/>
        </w:rPr>
        <w:t>I</w:t>
      </w:r>
      <w:r w:rsidR="00BF0A15" w:rsidRPr="00F553EF">
        <w:rPr>
          <w:bCs/>
          <w:szCs w:val="22"/>
        </w:rPr>
        <w:t>n its</w:t>
      </w:r>
      <w:r w:rsidR="009A044E" w:rsidRPr="00F553EF">
        <w:rPr>
          <w:bCs/>
          <w:szCs w:val="22"/>
        </w:rPr>
        <w:t xml:space="preserve"> comparative assessment</w:t>
      </w:r>
      <w:r w:rsidR="00BF0A15" w:rsidRPr="00F553EF">
        <w:rPr>
          <w:bCs/>
          <w:szCs w:val="22"/>
        </w:rPr>
        <w:t xml:space="preserve"> of the </w:t>
      </w:r>
      <w:r w:rsidR="009A044E" w:rsidRPr="00F553EF">
        <w:rPr>
          <w:bCs/>
          <w:szCs w:val="22"/>
        </w:rPr>
        <w:t xml:space="preserve">outcomes of the </w:t>
      </w:r>
      <w:r w:rsidRPr="00F553EF">
        <w:t>nintedanib and pirfenidone</w:t>
      </w:r>
      <w:r w:rsidRPr="00F553EF" w:rsidDel="00F176C6">
        <w:rPr>
          <w:bCs/>
          <w:szCs w:val="22"/>
        </w:rPr>
        <w:t xml:space="preserve"> </w:t>
      </w:r>
      <w:r w:rsidR="009A044E" w:rsidRPr="00F553EF">
        <w:rPr>
          <w:bCs/>
          <w:szCs w:val="22"/>
        </w:rPr>
        <w:t>models</w:t>
      </w:r>
      <w:r w:rsidR="00BF0A15" w:rsidRPr="00F553EF">
        <w:rPr>
          <w:bCs/>
          <w:szCs w:val="22"/>
        </w:rPr>
        <w:t xml:space="preserve">, the PBAC considered that </w:t>
      </w:r>
      <w:r w:rsidR="000E19F3">
        <w:rPr>
          <w:bCs/>
          <w:szCs w:val="22"/>
        </w:rPr>
        <w:t xml:space="preserve">extrapolation of survival may have not favoured nintedanib as </w:t>
      </w:r>
      <w:r w:rsidR="001D18F2">
        <w:rPr>
          <w:bCs/>
          <w:szCs w:val="22"/>
        </w:rPr>
        <w:t xml:space="preserve">initially </w:t>
      </w:r>
      <w:r w:rsidR="000E19F3">
        <w:rPr>
          <w:bCs/>
          <w:szCs w:val="22"/>
        </w:rPr>
        <w:t xml:space="preserve">suggested by ESC. Rather, </w:t>
      </w:r>
      <w:r w:rsidR="00BF0A15" w:rsidRPr="00F553EF">
        <w:rPr>
          <w:bCs/>
          <w:szCs w:val="22"/>
        </w:rPr>
        <w:t xml:space="preserve">the nintedanib model may have </w:t>
      </w:r>
      <w:r w:rsidR="00BA4B9A" w:rsidRPr="00F553EF">
        <w:rPr>
          <w:bCs/>
          <w:szCs w:val="22"/>
        </w:rPr>
        <w:t>resulted in a</w:t>
      </w:r>
      <w:r w:rsidR="007B3D70">
        <w:rPr>
          <w:bCs/>
          <w:szCs w:val="22"/>
        </w:rPr>
        <w:t>n under</w:t>
      </w:r>
      <w:r w:rsidR="00BA4B9A" w:rsidRPr="00F553EF">
        <w:rPr>
          <w:bCs/>
          <w:szCs w:val="22"/>
        </w:rPr>
        <w:t xml:space="preserve">estimate of incremental benefit </w:t>
      </w:r>
      <w:r w:rsidR="002C1B20" w:rsidRPr="00F553EF">
        <w:rPr>
          <w:bCs/>
          <w:szCs w:val="22"/>
        </w:rPr>
        <w:t xml:space="preserve">(of 0.1519 life years) </w:t>
      </w:r>
      <w:r w:rsidR="00BA4B9A" w:rsidRPr="00F553EF">
        <w:rPr>
          <w:bCs/>
          <w:szCs w:val="22"/>
        </w:rPr>
        <w:t>and</w:t>
      </w:r>
      <w:r w:rsidR="007B3D70">
        <w:rPr>
          <w:bCs/>
          <w:szCs w:val="22"/>
        </w:rPr>
        <w:t xml:space="preserve"> thus an</w:t>
      </w:r>
      <w:r w:rsidR="00BA4B9A" w:rsidRPr="00F553EF">
        <w:rPr>
          <w:bCs/>
          <w:szCs w:val="22"/>
        </w:rPr>
        <w:t xml:space="preserve"> overestimate</w:t>
      </w:r>
      <w:r w:rsidR="007B3D70">
        <w:rPr>
          <w:bCs/>
          <w:szCs w:val="22"/>
        </w:rPr>
        <w:t xml:space="preserve"> of</w:t>
      </w:r>
      <w:r w:rsidR="00BA4B9A" w:rsidRPr="00F553EF">
        <w:rPr>
          <w:bCs/>
          <w:szCs w:val="22"/>
        </w:rPr>
        <w:t xml:space="preserve"> the ICER per QALY.</w:t>
      </w:r>
      <w:r w:rsidR="0080361D" w:rsidRPr="00F553EF">
        <w:rPr>
          <w:bCs/>
          <w:szCs w:val="22"/>
        </w:rPr>
        <w:t xml:space="preserve"> In this regard, the PBAC considered that </w:t>
      </w:r>
      <w:r w:rsidR="003C1249" w:rsidRPr="00F553EF">
        <w:rPr>
          <w:bCs/>
          <w:szCs w:val="22"/>
        </w:rPr>
        <w:t xml:space="preserve">the ICER per QALY for </w:t>
      </w:r>
      <w:r w:rsidR="00763E34" w:rsidRPr="00F553EF">
        <w:rPr>
          <w:bCs/>
          <w:szCs w:val="22"/>
        </w:rPr>
        <w:t xml:space="preserve">nintedanib may be closer to a range that it would typically consider to be reasonably cost effective for </w:t>
      </w:r>
      <w:r w:rsidR="003C1249" w:rsidRPr="00F553EF">
        <w:rPr>
          <w:bCs/>
          <w:szCs w:val="22"/>
        </w:rPr>
        <w:t xml:space="preserve">a relatively small patient population </w:t>
      </w:r>
      <w:r w:rsidR="005D0A30" w:rsidRPr="00F553EF">
        <w:rPr>
          <w:bCs/>
          <w:szCs w:val="22"/>
        </w:rPr>
        <w:t xml:space="preserve">with </w:t>
      </w:r>
      <w:r w:rsidR="003C1249" w:rsidRPr="00F553EF">
        <w:rPr>
          <w:bCs/>
          <w:szCs w:val="22"/>
        </w:rPr>
        <w:t>high clinical need</w:t>
      </w:r>
      <w:r w:rsidR="00763E34" w:rsidRPr="00F553EF">
        <w:rPr>
          <w:bCs/>
          <w:szCs w:val="22"/>
        </w:rPr>
        <w:t>.</w:t>
      </w:r>
      <w:r w:rsidR="003C1249" w:rsidRPr="00F553EF">
        <w:rPr>
          <w:bCs/>
          <w:szCs w:val="22"/>
        </w:rPr>
        <w:t xml:space="preserve"> </w:t>
      </w:r>
      <w:r w:rsidR="000E19F3">
        <w:rPr>
          <w:bCs/>
          <w:szCs w:val="22"/>
        </w:rPr>
        <w:t>Accordingly, t</w:t>
      </w:r>
      <w:r w:rsidR="000E19F3" w:rsidRPr="00F553EF">
        <w:rPr>
          <w:bCs/>
          <w:szCs w:val="22"/>
        </w:rPr>
        <w:t xml:space="preserve">he </w:t>
      </w:r>
      <w:r w:rsidR="003C1249" w:rsidRPr="00F553EF">
        <w:rPr>
          <w:bCs/>
          <w:szCs w:val="22"/>
        </w:rPr>
        <w:t xml:space="preserve">PBAC considered </w:t>
      </w:r>
      <w:r w:rsidR="003C1249" w:rsidRPr="00F553EF">
        <w:rPr>
          <w:szCs w:val="22"/>
        </w:rPr>
        <w:t xml:space="preserve">the cost effectiveness of nintedanib </w:t>
      </w:r>
      <w:r w:rsidR="00CA5B83" w:rsidRPr="00F553EF">
        <w:rPr>
          <w:szCs w:val="22"/>
        </w:rPr>
        <w:t xml:space="preserve">would be </w:t>
      </w:r>
      <w:r w:rsidR="003C1249" w:rsidRPr="00F553EF">
        <w:rPr>
          <w:szCs w:val="22"/>
        </w:rPr>
        <w:t xml:space="preserve">acceptable </w:t>
      </w:r>
      <w:r w:rsidR="003C1249" w:rsidRPr="00F553EF">
        <w:rPr>
          <w:bCs/>
          <w:szCs w:val="22"/>
        </w:rPr>
        <w:t xml:space="preserve">in conjunction with </w:t>
      </w:r>
      <w:r w:rsidR="00CA5B83" w:rsidRPr="00F553EF">
        <w:rPr>
          <w:szCs w:val="22"/>
        </w:rPr>
        <w:t>risk sharing measures to</w:t>
      </w:r>
      <w:r w:rsidR="003C1249" w:rsidRPr="00F553EF">
        <w:rPr>
          <w:szCs w:val="22"/>
        </w:rPr>
        <w:t xml:space="preserve"> provide additional certainty</w:t>
      </w:r>
      <w:r w:rsidR="00360D94" w:rsidRPr="00F553EF">
        <w:rPr>
          <w:szCs w:val="22"/>
        </w:rPr>
        <w:t xml:space="preserve"> (see paragraphs 6.4</w:t>
      </w:r>
      <w:r w:rsidR="000E6920" w:rsidRPr="00F553EF">
        <w:rPr>
          <w:szCs w:val="22"/>
        </w:rPr>
        <w:t>7-6.48</w:t>
      </w:r>
      <w:r w:rsidR="00360D94" w:rsidRPr="00F553EF">
        <w:rPr>
          <w:szCs w:val="22"/>
        </w:rPr>
        <w:t>)</w:t>
      </w:r>
      <w:r w:rsidR="001524D4" w:rsidRPr="00F553EF">
        <w:rPr>
          <w:szCs w:val="22"/>
        </w:rPr>
        <w:t>.</w:t>
      </w:r>
    </w:p>
    <w:p w:rsidR="00900208" w:rsidRPr="002A78FC" w:rsidRDefault="00900208" w:rsidP="00900208">
      <w:pPr>
        <w:rPr>
          <w:szCs w:val="22"/>
          <w:highlight w:val="yellow"/>
        </w:rPr>
      </w:pPr>
    </w:p>
    <w:p w:rsidR="004C6E69" w:rsidRPr="008A0437" w:rsidRDefault="004C6E69" w:rsidP="00915C99">
      <w:pPr>
        <w:keepNext/>
        <w:widowControl/>
        <w:outlineLvl w:val="1"/>
        <w:rPr>
          <w:b/>
          <w:i/>
          <w:szCs w:val="22"/>
        </w:rPr>
      </w:pPr>
      <w:bookmarkStart w:id="12" w:name="_Toc459120725"/>
      <w:r w:rsidRPr="008A0437">
        <w:rPr>
          <w:b/>
          <w:i/>
        </w:rPr>
        <w:lastRenderedPageBreak/>
        <w:t>Drug cost/patient/year: $</w:t>
      </w:r>
      <w:bookmarkEnd w:id="12"/>
      <w:r w:rsidR="003B3717">
        <w:rPr>
          <w:b/>
          <w:i/>
          <w:noProof/>
          <w:color w:val="000000"/>
          <w:highlight w:val="black"/>
        </w:rPr>
        <w:t>''''''''''''</w:t>
      </w:r>
    </w:p>
    <w:p w:rsidR="004C6E69" w:rsidRPr="008A0437" w:rsidRDefault="004C6E69" w:rsidP="00915C99">
      <w:pPr>
        <w:keepNext/>
        <w:widowControl/>
        <w:rPr>
          <w:szCs w:val="22"/>
        </w:rPr>
      </w:pPr>
    </w:p>
    <w:p w:rsidR="004C6E69" w:rsidRPr="008A0437" w:rsidRDefault="004C6E69" w:rsidP="00915C99">
      <w:pPr>
        <w:widowControl/>
        <w:numPr>
          <w:ilvl w:val="1"/>
          <w:numId w:val="1"/>
        </w:numPr>
        <w:contextualSpacing/>
        <w:rPr>
          <w:szCs w:val="22"/>
        </w:rPr>
      </w:pPr>
      <w:r w:rsidRPr="008A0437">
        <w:rPr>
          <w:szCs w:val="22"/>
        </w:rPr>
        <w:t>The estimated usage per patient was based on an expected compliance rate of 96.4% (observed in Trial 32 and 34), resulting in an average of 11.</w:t>
      </w:r>
      <w:r w:rsidR="007B1BEF" w:rsidRPr="008A0437">
        <w:rPr>
          <w:szCs w:val="22"/>
        </w:rPr>
        <w:t xml:space="preserve">7 </w:t>
      </w:r>
      <w:r w:rsidRPr="008A0437">
        <w:rPr>
          <w:szCs w:val="22"/>
        </w:rPr>
        <w:t>nintedanib prescriptions/patient/year. Proportional distribution of nintedanib 150mg and 100mg (76.33%/23.67%) was assumed to be consistent with usage reported in Trial 32 and 34. At the effective prices of $</w:t>
      </w:r>
      <w:r w:rsidR="003B3717">
        <w:rPr>
          <w:noProof/>
          <w:color w:val="000000"/>
          <w:szCs w:val="22"/>
          <w:highlight w:val="black"/>
        </w:rPr>
        <w:t>''''''''''''''''''</w:t>
      </w:r>
      <w:r w:rsidRPr="008A0437">
        <w:rPr>
          <w:szCs w:val="22"/>
        </w:rPr>
        <w:t xml:space="preserve"> for one pack of the 100mg and $</w:t>
      </w:r>
      <w:r w:rsidR="003B3717">
        <w:rPr>
          <w:noProof/>
          <w:color w:val="000000"/>
          <w:szCs w:val="22"/>
          <w:highlight w:val="black"/>
        </w:rPr>
        <w:t>''''''''''''''''''</w:t>
      </w:r>
      <w:r w:rsidRPr="008A0437">
        <w:rPr>
          <w:szCs w:val="22"/>
        </w:rPr>
        <w:t xml:space="preserve"> for the 150mg, the drug cost per patient per year was estimated to be $</w:t>
      </w:r>
      <w:r w:rsidR="003B3717">
        <w:rPr>
          <w:noProof/>
          <w:color w:val="000000"/>
          <w:szCs w:val="22"/>
          <w:highlight w:val="black"/>
        </w:rPr>
        <w:t>'''''''''''''''</w:t>
      </w:r>
      <w:r w:rsidRPr="008A0437">
        <w:rPr>
          <w:szCs w:val="22"/>
        </w:rPr>
        <w:t>.</w:t>
      </w:r>
    </w:p>
    <w:p w:rsidR="004C6E69" w:rsidRPr="008A0437" w:rsidRDefault="004C6E69" w:rsidP="00915C99">
      <w:pPr>
        <w:widowControl/>
        <w:rPr>
          <w:szCs w:val="22"/>
        </w:rPr>
      </w:pPr>
    </w:p>
    <w:p w:rsidR="004C6E69" w:rsidRPr="008A0437" w:rsidRDefault="004C6E69" w:rsidP="00915C99">
      <w:pPr>
        <w:widowControl/>
        <w:outlineLvl w:val="1"/>
        <w:rPr>
          <w:b/>
          <w:i/>
        </w:rPr>
      </w:pPr>
      <w:bookmarkStart w:id="13" w:name="_Toc459120726"/>
      <w:r w:rsidRPr="008A0437">
        <w:rPr>
          <w:b/>
          <w:i/>
        </w:rPr>
        <w:t>Estimated PBS usage &amp; financial implications</w:t>
      </w:r>
      <w:bookmarkEnd w:id="13"/>
    </w:p>
    <w:p w:rsidR="004C6E69" w:rsidRPr="008A0437" w:rsidRDefault="004C6E69" w:rsidP="00915C99">
      <w:pPr>
        <w:widowControl/>
        <w:rPr>
          <w:szCs w:val="22"/>
        </w:rPr>
      </w:pPr>
    </w:p>
    <w:p w:rsidR="0080703C" w:rsidRPr="008A0437" w:rsidRDefault="0043342E" w:rsidP="00A81493">
      <w:pPr>
        <w:pStyle w:val="ListParagraph"/>
        <w:widowControl/>
        <w:numPr>
          <w:ilvl w:val="1"/>
          <w:numId w:val="1"/>
        </w:numPr>
      </w:pPr>
      <w:r w:rsidRPr="008A0437">
        <w:t xml:space="preserve">The </w:t>
      </w:r>
      <w:r w:rsidR="00C7279B" w:rsidRPr="008A0437">
        <w:t>re</w:t>
      </w:r>
      <w:r w:rsidRPr="008A0437">
        <w:t xml:space="preserve">submission was considered by DUSC. </w:t>
      </w:r>
      <w:r w:rsidR="0080703C" w:rsidRPr="008A0437">
        <w:t xml:space="preserve">The resubmission updated the estimated extent of use and financial implications associated with the requested listing for nintedanib. </w:t>
      </w:r>
      <w:r w:rsidR="00A81493" w:rsidRPr="008A0437">
        <w:t xml:space="preserve">At </w:t>
      </w:r>
      <w:r w:rsidR="00F228EC" w:rsidRPr="008A0437">
        <w:t>Y</w:t>
      </w:r>
      <w:r w:rsidR="00A81493" w:rsidRPr="008A0437">
        <w:t>ear 5, the submission estimated that the number of patients treated with nintedanib</w:t>
      </w:r>
      <w:r w:rsidR="00511273" w:rsidRPr="008A0437">
        <w:t xml:space="preserve"> (adjusted for the continuation rule) </w:t>
      </w:r>
      <w:r w:rsidR="00A81493" w:rsidRPr="008A0437">
        <w:t xml:space="preserve">would be </w:t>
      </w:r>
      <w:r w:rsidR="00CF0F19">
        <w:t>less than 10,000</w:t>
      </w:r>
      <w:r w:rsidR="00A81493" w:rsidRPr="008A0437">
        <w:t xml:space="preserve"> and the net cost to the PBS would be $</w:t>
      </w:r>
      <w:r w:rsidR="00CF0F19">
        <w:t>10 – 20 million per year</w:t>
      </w:r>
      <w:r w:rsidR="00A81493" w:rsidRPr="008A0437">
        <w:t>.</w:t>
      </w:r>
    </w:p>
    <w:p w:rsidR="0080703C" w:rsidRPr="002A78FC" w:rsidRDefault="0080703C" w:rsidP="0080703C">
      <w:pPr>
        <w:widowControl/>
        <w:rPr>
          <w:szCs w:val="22"/>
        </w:rPr>
      </w:pPr>
    </w:p>
    <w:p w:rsidR="0080703C" w:rsidRDefault="0080703C" w:rsidP="0080703C">
      <w:pPr>
        <w:pStyle w:val="ListParagraph"/>
        <w:widowControl/>
        <w:numPr>
          <w:ilvl w:val="1"/>
          <w:numId w:val="1"/>
        </w:numPr>
        <w:rPr>
          <w:szCs w:val="22"/>
        </w:rPr>
      </w:pPr>
      <w:r w:rsidRPr="008A0437">
        <w:rPr>
          <w:szCs w:val="22"/>
        </w:rPr>
        <w:t>The one major change in the approach to estimating financial implica</w:t>
      </w:r>
      <w:r w:rsidR="004F4980" w:rsidRPr="008A0437">
        <w:rPr>
          <w:szCs w:val="22"/>
        </w:rPr>
        <w:t>tions was the incorporation of the</w:t>
      </w:r>
      <w:r w:rsidRPr="008A0437">
        <w:rPr>
          <w:szCs w:val="22"/>
        </w:rPr>
        <w:t xml:space="preserve"> continuation rule: </w:t>
      </w:r>
      <w:r w:rsidRPr="008A0437">
        <w:t>those who experience a decline in FVC%Pred of 10</w:t>
      </w:r>
      <w:r w:rsidR="004F4980" w:rsidRPr="008A0437">
        <w:t xml:space="preserve"> percentage</w:t>
      </w:r>
      <w:r w:rsidRPr="008A0437">
        <w:t xml:space="preserve"> points or more in the past 12 months </w:t>
      </w:r>
      <w:r w:rsidRPr="005003D6">
        <w:t>will be discontinued from PBS subsidised treatment</w:t>
      </w:r>
      <w:r w:rsidRPr="005003D6">
        <w:rPr>
          <w:szCs w:val="22"/>
        </w:rPr>
        <w:t>. The current resubmission relied on the annual probability of failing to meet the continuation rule calculated for the economic evaluation (</w:t>
      </w:r>
      <w:r w:rsidR="003B3717">
        <w:rPr>
          <w:noProof/>
          <w:color w:val="000000"/>
          <w:szCs w:val="22"/>
          <w:highlight w:val="black"/>
        </w:rPr>
        <w:t>'''''''''''</w:t>
      </w:r>
      <w:r w:rsidRPr="005003D6">
        <w:rPr>
          <w:szCs w:val="22"/>
        </w:rPr>
        <w:t>%) for Years 2-5, and assumed that this probability would be half (</w:t>
      </w:r>
      <w:r w:rsidR="003B3717">
        <w:rPr>
          <w:noProof/>
          <w:color w:val="000000"/>
          <w:szCs w:val="22"/>
          <w:highlight w:val="black"/>
        </w:rPr>
        <w:t>'''''''</w:t>
      </w:r>
      <w:r w:rsidRPr="005003D6">
        <w:rPr>
          <w:szCs w:val="22"/>
        </w:rPr>
        <w:t>%) in Year 1.</w:t>
      </w:r>
    </w:p>
    <w:p w:rsidR="00F553EF" w:rsidRPr="002A78FC" w:rsidRDefault="00F553EF" w:rsidP="00F553EF">
      <w:pPr>
        <w:rPr>
          <w:szCs w:val="22"/>
        </w:rPr>
      </w:pPr>
    </w:p>
    <w:p w:rsidR="00F553EF" w:rsidRPr="008A0437" w:rsidRDefault="00F553EF" w:rsidP="00F553EF">
      <w:pPr>
        <w:widowControl/>
        <w:numPr>
          <w:ilvl w:val="1"/>
          <w:numId w:val="1"/>
        </w:numPr>
        <w:contextualSpacing/>
      </w:pPr>
      <w:r w:rsidRPr="008A0437">
        <w:t>DUSC considered the estimates presented in the submission to be underestimated. The main issues were:</w:t>
      </w:r>
    </w:p>
    <w:p w:rsidR="00F553EF" w:rsidRPr="008A0437" w:rsidRDefault="00F553EF" w:rsidP="00F553EF">
      <w:pPr>
        <w:pStyle w:val="ListParagraph"/>
        <w:widowControl/>
        <w:numPr>
          <w:ilvl w:val="0"/>
          <w:numId w:val="8"/>
        </w:numPr>
        <w:tabs>
          <w:tab w:val="clear" w:pos="720"/>
          <w:tab w:val="num" w:pos="993"/>
        </w:tabs>
        <w:ind w:left="993" w:hanging="284"/>
        <w:rPr>
          <w:szCs w:val="22"/>
        </w:rPr>
      </w:pPr>
      <w:r w:rsidRPr="008A0437">
        <w:rPr>
          <w:szCs w:val="22"/>
        </w:rPr>
        <w:t>As the number of Australian IPF patients was derived from prevalence estimates consistent with the restriction, rather than population prevalence, DUSC considered that it was unnecessary to further reduce the population based on FVC. Therefore, DUSC considered the eligible patient po</w:t>
      </w:r>
      <w:r w:rsidR="002A78FC">
        <w:rPr>
          <w:szCs w:val="22"/>
        </w:rPr>
        <w:t>ol was slightly underestimated.</w:t>
      </w:r>
    </w:p>
    <w:p w:rsidR="00F553EF" w:rsidRPr="002A78FC" w:rsidRDefault="00F553EF" w:rsidP="00F553EF">
      <w:pPr>
        <w:widowControl/>
        <w:numPr>
          <w:ilvl w:val="0"/>
          <w:numId w:val="8"/>
        </w:numPr>
        <w:tabs>
          <w:tab w:val="clear" w:pos="720"/>
          <w:tab w:val="num" w:pos="993"/>
        </w:tabs>
        <w:ind w:left="993" w:hanging="284"/>
        <w:rPr>
          <w:szCs w:val="22"/>
        </w:rPr>
      </w:pPr>
      <w:r w:rsidRPr="008A0437">
        <w:t>DUSC confirmed its opinion that the proposed uptake rates in the resubmission were underestimated (nintedanib March 2015 PSD, paragraph 6.38). Given that IPF is fatal and there are limited treatment options, and nintedanib is an oral therapy, DUSC considered it reasonable that uptake may reach 100% within the first five years of listing. However, DUSC considered that tolerability in practice might be lower than in the clinical trials, meaning patients may not persist with therapy.</w:t>
      </w:r>
    </w:p>
    <w:p w:rsidR="00F553EF" w:rsidRPr="008A0437" w:rsidRDefault="00F553EF" w:rsidP="00F553EF">
      <w:pPr>
        <w:widowControl/>
        <w:numPr>
          <w:ilvl w:val="0"/>
          <w:numId w:val="8"/>
        </w:numPr>
        <w:tabs>
          <w:tab w:val="clear" w:pos="720"/>
          <w:tab w:val="num" w:pos="993"/>
        </w:tabs>
        <w:ind w:left="993" w:hanging="284"/>
      </w:pPr>
      <w:r w:rsidRPr="008A0437">
        <w:t>DUSC noted that the resubmission financial model did not consider that patients may discontinue and recommence treatment.</w:t>
      </w:r>
    </w:p>
    <w:p w:rsidR="00F553EF" w:rsidRPr="00F553EF" w:rsidRDefault="00F553EF" w:rsidP="00F553EF">
      <w:pPr>
        <w:widowControl/>
        <w:numPr>
          <w:ilvl w:val="0"/>
          <w:numId w:val="8"/>
        </w:numPr>
        <w:tabs>
          <w:tab w:val="clear" w:pos="720"/>
          <w:tab w:val="num" w:pos="993"/>
        </w:tabs>
        <w:ind w:left="993" w:hanging="284"/>
      </w:pPr>
      <w:r w:rsidRPr="008A0437">
        <w:t>DUSC considered that a compliance rate of 96.4% seemed high for a medicine where 44% of people experience diarrhoea to the extent that it requires treatment for 158 days.</w:t>
      </w:r>
    </w:p>
    <w:p w:rsidR="0030199B" w:rsidRPr="002A78FC" w:rsidRDefault="0030199B" w:rsidP="00915C99">
      <w:pPr>
        <w:widowControl/>
      </w:pPr>
    </w:p>
    <w:p w:rsidR="0080703C" w:rsidRPr="008A0437" w:rsidRDefault="0080703C" w:rsidP="00A81493">
      <w:pPr>
        <w:keepNext/>
        <w:ind w:firstLine="709"/>
        <w:rPr>
          <w:rFonts w:ascii="Arial Narrow" w:hAnsi="Arial Narrow"/>
          <w:b/>
          <w:sz w:val="20"/>
        </w:rPr>
      </w:pPr>
      <w:r w:rsidRPr="008A0437">
        <w:rPr>
          <w:rFonts w:ascii="Arial Narrow" w:hAnsi="Arial Narrow"/>
          <w:b/>
          <w:sz w:val="20"/>
        </w:rPr>
        <w:lastRenderedPageBreak/>
        <w:t>Table 1</w:t>
      </w:r>
      <w:r w:rsidR="00A81493" w:rsidRPr="008A0437">
        <w:rPr>
          <w:rFonts w:ascii="Arial Narrow" w:hAnsi="Arial Narrow"/>
          <w:b/>
          <w:sz w:val="20"/>
        </w:rPr>
        <w:t>1</w:t>
      </w:r>
      <w:r w:rsidRPr="008A0437">
        <w:rPr>
          <w:rFonts w:ascii="Arial Narrow" w:hAnsi="Arial Narrow"/>
          <w:b/>
          <w:sz w:val="20"/>
        </w:rPr>
        <w:t>: November 2016 resubmission financi</w:t>
      </w:r>
      <w:r w:rsidR="002A78FC">
        <w:rPr>
          <w:rFonts w:ascii="Arial Narrow" w:hAnsi="Arial Narrow"/>
          <w:b/>
          <w:sz w:val="20"/>
        </w:rPr>
        <w:t>al estimates for nintedanib use</w:t>
      </w:r>
    </w:p>
    <w:tbl>
      <w:tblPr>
        <w:tblW w:w="458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87"/>
        <w:gridCol w:w="1142"/>
        <w:gridCol w:w="1142"/>
        <w:gridCol w:w="1142"/>
        <w:gridCol w:w="1142"/>
        <w:gridCol w:w="1171"/>
      </w:tblGrid>
      <w:tr w:rsidR="0080703C" w:rsidRPr="008A0437" w:rsidTr="00A81493">
        <w:trPr>
          <w:trHeight w:val="230"/>
          <w:tblHeader/>
        </w:trPr>
        <w:tc>
          <w:tcPr>
            <w:tcW w:w="1553" w:type="pct"/>
            <w:shd w:val="clear" w:color="auto" w:fill="auto"/>
            <w:vAlign w:val="center"/>
          </w:tcPr>
          <w:p w:rsidR="0080703C" w:rsidRPr="008A0437" w:rsidRDefault="0080703C" w:rsidP="00A81493">
            <w:pPr>
              <w:keepNext/>
              <w:widowControl/>
              <w:tabs>
                <w:tab w:val="left" w:pos="142"/>
              </w:tabs>
              <w:jc w:val="left"/>
              <w:rPr>
                <w:rFonts w:ascii="Arial Narrow" w:hAnsi="Arial Narrow"/>
                <w:b/>
                <w:sz w:val="20"/>
              </w:rPr>
            </w:pPr>
          </w:p>
        </w:tc>
        <w:tc>
          <w:tcPr>
            <w:tcW w:w="686" w:type="pct"/>
            <w:shd w:val="clear" w:color="auto" w:fill="auto"/>
            <w:vAlign w:val="center"/>
          </w:tcPr>
          <w:p w:rsidR="0080703C" w:rsidRPr="008A0437" w:rsidRDefault="0080703C" w:rsidP="00A81493">
            <w:pPr>
              <w:keepNext/>
              <w:widowControl/>
              <w:jc w:val="center"/>
              <w:rPr>
                <w:rFonts w:ascii="Arial Narrow" w:hAnsi="Arial Narrow"/>
                <w:b/>
                <w:sz w:val="20"/>
              </w:rPr>
            </w:pPr>
            <w:r w:rsidRPr="008A0437">
              <w:rPr>
                <w:rFonts w:ascii="Arial Narrow" w:hAnsi="Arial Narrow"/>
                <w:b/>
                <w:sz w:val="20"/>
              </w:rPr>
              <w:t>Year 1</w:t>
            </w:r>
          </w:p>
        </w:tc>
        <w:tc>
          <w:tcPr>
            <w:tcW w:w="686" w:type="pct"/>
            <w:shd w:val="clear" w:color="auto" w:fill="auto"/>
            <w:vAlign w:val="center"/>
          </w:tcPr>
          <w:p w:rsidR="0080703C" w:rsidRPr="008A0437" w:rsidRDefault="0080703C" w:rsidP="00A81493">
            <w:pPr>
              <w:keepNext/>
              <w:widowControl/>
              <w:jc w:val="center"/>
              <w:rPr>
                <w:rFonts w:ascii="Arial Narrow" w:hAnsi="Arial Narrow"/>
                <w:b/>
                <w:sz w:val="20"/>
              </w:rPr>
            </w:pPr>
            <w:r w:rsidRPr="008A0437">
              <w:rPr>
                <w:rFonts w:ascii="Arial Narrow" w:hAnsi="Arial Narrow"/>
                <w:b/>
                <w:sz w:val="20"/>
              </w:rPr>
              <w:t>Year 2</w:t>
            </w:r>
          </w:p>
        </w:tc>
        <w:tc>
          <w:tcPr>
            <w:tcW w:w="686" w:type="pct"/>
            <w:shd w:val="clear" w:color="auto" w:fill="auto"/>
            <w:vAlign w:val="center"/>
          </w:tcPr>
          <w:p w:rsidR="0080703C" w:rsidRPr="008A0437" w:rsidRDefault="0080703C" w:rsidP="00A81493">
            <w:pPr>
              <w:keepNext/>
              <w:widowControl/>
              <w:jc w:val="center"/>
              <w:rPr>
                <w:rFonts w:ascii="Arial Narrow" w:hAnsi="Arial Narrow"/>
                <w:b/>
                <w:sz w:val="20"/>
              </w:rPr>
            </w:pPr>
            <w:r w:rsidRPr="008A0437">
              <w:rPr>
                <w:rFonts w:ascii="Arial Narrow" w:hAnsi="Arial Narrow"/>
                <w:b/>
                <w:sz w:val="20"/>
              </w:rPr>
              <w:t>Year 3</w:t>
            </w:r>
          </w:p>
        </w:tc>
        <w:tc>
          <w:tcPr>
            <w:tcW w:w="686" w:type="pct"/>
            <w:shd w:val="clear" w:color="auto" w:fill="auto"/>
            <w:vAlign w:val="center"/>
          </w:tcPr>
          <w:p w:rsidR="0080703C" w:rsidRPr="008A0437" w:rsidRDefault="0080703C" w:rsidP="00A81493">
            <w:pPr>
              <w:keepNext/>
              <w:widowControl/>
              <w:jc w:val="center"/>
              <w:rPr>
                <w:rFonts w:ascii="Arial Narrow" w:hAnsi="Arial Narrow"/>
                <w:b/>
                <w:sz w:val="20"/>
              </w:rPr>
            </w:pPr>
            <w:r w:rsidRPr="008A0437">
              <w:rPr>
                <w:rFonts w:ascii="Arial Narrow" w:hAnsi="Arial Narrow"/>
                <w:b/>
                <w:sz w:val="20"/>
              </w:rPr>
              <w:t>Year 4</w:t>
            </w:r>
          </w:p>
        </w:tc>
        <w:tc>
          <w:tcPr>
            <w:tcW w:w="704" w:type="pct"/>
            <w:shd w:val="clear" w:color="auto" w:fill="auto"/>
            <w:vAlign w:val="center"/>
          </w:tcPr>
          <w:p w:rsidR="0080703C" w:rsidRPr="008A0437" w:rsidRDefault="0080703C" w:rsidP="00A81493">
            <w:pPr>
              <w:keepNext/>
              <w:widowControl/>
              <w:jc w:val="center"/>
              <w:rPr>
                <w:rFonts w:ascii="Arial Narrow" w:hAnsi="Arial Narrow"/>
                <w:b/>
                <w:sz w:val="20"/>
              </w:rPr>
            </w:pPr>
            <w:r w:rsidRPr="008A0437">
              <w:rPr>
                <w:rFonts w:ascii="Arial Narrow" w:hAnsi="Arial Narrow"/>
                <w:b/>
                <w:sz w:val="20"/>
              </w:rPr>
              <w:t>Year 5</w:t>
            </w:r>
          </w:p>
        </w:tc>
      </w:tr>
      <w:tr w:rsidR="0080703C" w:rsidRPr="008A0437" w:rsidTr="00A81493">
        <w:trPr>
          <w:trHeight w:val="230"/>
          <w:tblHeader/>
        </w:trPr>
        <w:tc>
          <w:tcPr>
            <w:tcW w:w="5000" w:type="pct"/>
            <w:gridSpan w:val="6"/>
            <w:shd w:val="clear" w:color="auto" w:fill="auto"/>
            <w:vAlign w:val="center"/>
          </w:tcPr>
          <w:p w:rsidR="0080703C" w:rsidRPr="008A0437" w:rsidRDefault="0080703C" w:rsidP="00A81493">
            <w:pPr>
              <w:keepNext/>
              <w:widowControl/>
              <w:jc w:val="left"/>
              <w:rPr>
                <w:rFonts w:ascii="Arial Narrow" w:hAnsi="Arial Narrow"/>
                <w:b/>
                <w:sz w:val="20"/>
              </w:rPr>
            </w:pPr>
            <w:r w:rsidRPr="008A0437">
              <w:rPr>
                <w:rFonts w:ascii="Arial Narrow" w:hAnsi="Arial Narrow"/>
                <w:b/>
                <w:sz w:val="20"/>
              </w:rPr>
              <w:t>Patients</w:t>
            </w:r>
          </w:p>
        </w:tc>
      </w:tr>
      <w:tr w:rsidR="0080703C" w:rsidRPr="008A0437" w:rsidTr="00A81493">
        <w:trPr>
          <w:trHeight w:val="230"/>
        </w:trPr>
        <w:tc>
          <w:tcPr>
            <w:tcW w:w="1553" w:type="pct"/>
            <w:shd w:val="clear" w:color="auto" w:fill="auto"/>
            <w:vAlign w:val="center"/>
          </w:tcPr>
          <w:p w:rsidR="0080703C" w:rsidRPr="008A0437" w:rsidRDefault="0080703C" w:rsidP="00A81493">
            <w:pPr>
              <w:keepNext/>
              <w:widowControl/>
              <w:tabs>
                <w:tab w:val="left" w:pos="142"/>
              </w:tabs>
              <w:jc w:val="left"/>
              <w:rPr>
                <w:rFonts w:ascii="Arial Narrow" w:hAnsi="Arial Narrow"/>
                <w:sz w:val="20"/>
              </w:rPr>
            </w:pPr>
            <w:r w:rsidRPr="008A0437">
              <w:rPr>
                <w:rFonts w:ascii="Arial Narrow" w:hAnsi="Arial Narrow"/>
                <w:sz w:val="20"/>
              </w:rPr>
              <w:t>Eligible prevalent patients</w:t>
            </w:r>
          </w:p>
        </w:tc>
        <w:tc>
          <w:tcPr>
            <w:tcW w:w="686" w:type="pct"/>
            <w:shd w:val="clear" w:color="auto" w:fill="auto"/>
            <w:vAlign w:val="center"/>
          </w:tcPr>
          <w:p w:rsidR="0080703C" w:rsidRPr="003B3717" w:rsidRDefault="003B3717" w:rsidP="00A81493">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86" w:type="pct"/>
            <w:shd w:val="clear" w:color="auto" w:fill="auto"/>
            <w:vAlign w:val="center"/>
          </w:tcPr>
          <w:p w:rsidR="0080703C" w:rsidRPr="003B3717" w:rsidRDefault="003B3717" w:rsidP="00A81493">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86" w:type="pct"/>
            <w:shd w:val="clear" w:color="auto" w:fill="auto"/>
            <w:vAlign w:val="center"/>
          </w:tcPr>
          <w:p w:rsidR="0080703C" w:rsidRPr="003B3717" w:rsidRDefault="003B3717" w:rsidP="00A81493">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86" w:type="pct"/>
            <w:shd w:val="clear" w:color="auto" w:fill="auto"/>
            <w:vAlign w:val="center"/>
          </w:tcPr>
          <w:p w:rsidR="0080703C" w:rsidRPr="003B3717" w:rsidRDefault="003B3717" w:rsidP="00A81493">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04" w:type="pct"/>
            <w:shd w:val="clear" w:color="auto" w:fill="auto"/>
            <w:vAlign w:val="center"/>
          </w:tcPr>
          <w:p w:rsidR="0080703C" w:rsidRPr="003B3717" w:rsidRDefault="003B3717" w:rsidP="00A81493">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80703C" w:rsidRPr="005003D6" w:rsidTr="00A81493">
        <w:trPr>
          <w:trHeight w:val="460"/>
        </w:trPr>
        <w:tc>
          <w:tcPr>
            <w:tcW w:w="1553" w:type="pct"/>
            <w:tcBorders>
              <w:bottom w:val="single" w:sz="4" w:space="0" w:color="auto"/>
            </w:tcBorders>
            <w:shd w:val="clear" w:color="auto" w:fill="auto"/>
            <w:vAlign w:val="center"/>
          </w:tcPr>
          <w:p w:rsidR="0080703C" w:rsidRPr="005003D6" w:rsidDel="00672BB2" w:rsidRDefault="0080703C" w:rsidP="00A81493">
            <w:pPr>
              <w:keepNext/>
              <w:widowControl/>
              <w:tabs>
                <w:tab w:val="left" w:pos="142"/>
              </w:tabs>
              <w:jc w:val="left"/>
              <w:rPr>
                <w:rFonts w:ascii="Arial Narrow" w:hAnsi="Arial Narrow"/>
                <w:sz w:val="20"/>
              </w:rPr>
            </w:pPr>
            <w:r w:rsidRPr="005003D6">
              <w:rPr>
                <w:rFonts w:ascii="Arial Narrow" w:hAnsi="Arial Narrow"/>
                <w:sz w:val="20"/>
              </w:rPr>
              <w:t xml:space="preserve">Treated patients (base case uptake </w:t>
            </w:r>
            <w:r w:rsidR="003B3717">
              <w:rPr>
                <w:rFonts w:ascii="Arial Narrow" w:hAnsi="Arial Narrow"/>
                <w:noProof/>
                <w:color w:val="000000"/>
                <w:sz w:val="20"/>
                <w:highlight w:val="black"/>
              </w:rPr>
              <w:t>''''''</w:t>
            </w:r>
            <w:r w:rsidRPr="005003D6">
              <w:rPr>
                <w:rFonts w:ascii="Arial Narrow" w:hAnsi="Arial Narrow"/>
                <w:sz w:val="20"/>
              </w:rPr>
              <w:t xml:space="preserve"> - </w:t>
            </w:r>
            <w:r w:rsidR="003B3717">
              <w:rPr>
                <w:rFonts w:ascii="Arial Narrow" w:hAnsi="Arial Narrow"/>
                <w:noProof/>
                <w:color w:val="000000"/>
                <w:sz w:val="20"/>
                <w:highlight w:val="black"/>
              </w:rPr>
              <w:t>''''''</w:t>
            </w:r>
            <w:r w:rsidRPr="005003D6">
              <w:rPr>
                <w:rFonts w:ascii="Arial Narrow" w:hAnsi="Arial Narrow"/>
                <w:sz w:val="20"/>
              </w:rPr>
              <w:t>%)</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4"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80703C" w:rsidRPr="005003D6" w:rsidTr="00A81493">
        <w:trPr>
          <w:trHeight w:val="705"/>
        </w:trPr>
        <w:tc>
          <w:tcPr>
            <w:tcW w:w="1553" w:type="pct"/>
            <w:tcBorders>
              <w:bottom w:val="single" w:sz="4" w:space="0" w:color="auto"/>
            </w:tcBorders>
            <w:shd w:val="clear" w:color="auto" w:fill="auto"/>
            <w:vAlign w:val="center"/>
          </w:tcPr>
          <w:p w:rsidR="0080703C" w:rsidRPr="005003D6" w:rsidDel="00672BB2" w:rsidRDefault="0080703C" w:rsidP="00A81493">
            <w:pPr>
              <w:keepNext/>
              <w:widowControl/>
              <w:tabs>
                <w:tab w:val="left" w:pos="142"/>
              </w:tabs>
              <w:jc w:val="left"/>
              <w:rPr>
                <w:rFonts w:ascii="Arial Narrow" w:hAnsi="Arial Narrow"/>
                <w:sz w:val="20"/>
              </w:rPr>
            </w:pPr>
            <w:r w:rsidRPr="005003D6">
              <w:rPr>
                <w:rFonts w:ascii="Arial Narrow" w:hAnsi="Arial Narrow"/>
                <w:sz w:val="20"/>
              </w:rPr>
              <w:t xml:space="preserve">Treated patients (base case uptake </w:t>
            </w:r>
            <w:r w:rsidR="003B3717">
              <w:rPr>
                <w:rFonts w:ascii="Arial Narrow" w:hAnsi="Arial Narrow"/>
                <w:noProof/>
                <w:color w:val="000000"/>
                <w:sz w:val="20"/>
                <w:highlight w:val="black"/>
              </w:rPr>
              <w:t>'''''''</w:t>
            </w:r>
            <w:r w:rsidR="005003D6" w:rsidRPr="005003D6">
              <w:rPr>
                <w:rFonts w:ascii="Arial Narrow" w:hAnsi="Arial Narrow"/>
                <w:sz w:val="20"/>
              </w:rPr>
              <w:t xml:space="preserve"> </w:t>
            </w:r>
            <w:r w:rsidRPr="005003D6">
              <w:rPr>
                <w:rFonts w:ascii="Arial Narrow" w:hAnsi="Arial Narrow"/>
                <w:sz w:val="20"/>
              </w:rPr>
              <w:t>-</w:t>
            </w:r>
            <w:r w:rsidR="005003D6">
              <w:rPr>
                <w:rFonts w:ascii="Arial Narrow" w:hAnsi="Arial Narrow"/>
                <w:sz w:val="20"/>
              </w:rPr>
              <w:t xml:space="preserve"> </w:t>
            </w:r>
            <w:r w:rsidR="003B3717">
              <w:rPr>
                <w:rFonts w:ascii="Arial Narrow" w:hAnsi="Arial Narrow"/>
                <w:noProof/>
                <w:color w:val="000000"/>
                <w:sz w:val="20"/>
                <w:highlight w:val="black"/>
              </w:rPr>
              <w:t>'''''</w:t>
            </w:r>
            <w:r w:rsidRPr="005003D6">
              <w:rPr>
                <w:rFonts w:ascii="Arial Narrow" w:hAnsi="Arial Narrow"/>
                <w:sz w:val="20"/>
              </w:rPr>
              <w:t>%) adjusted for continuation rule</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4"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80703C" w:rsidRPr="005003D6" w:rsidTr="00A81493">
        <w:trPr>
          <w:trHeight w:val="460"/>
        </w:trPr>
        <w:tc>
          <w:tcPr>
            <w:tcW w:w="1553" w:type="pct"/>
            <w:tcBorders>
              <w:bottom w:val="single" w:sz="4" w:space="0" w:color="auto"/>
            </w:tcBorders>
            <w:shd w:val="clear" w:color="auto" w:fill="auto"/>
            <w:vAlign w:val="center"/>
          </w:tcPr>
          <w:p w:rsidR="0080703C" w:rsidRPr="00506C64" w:rsidDel="00672BB2" w:rsidRDefault="0080703C" w:rsidP="00A81493">
            <w:pPr>
              <w:keepNext/>
              <w:widowControl/>
              <w:tabs>
                <w:tab w:val="left" w:pos="142"/>
              </w:tabs>
              <w:jc w:val="left"/>
              <w:rPr>
                <w:rFonts w:ascii="Arial Narrow" w:hAnsi="Arial Narrow"/>
                <w:sz w:val="20"/>
              </w:rPr>
            </w:pPr>
            <w:r w:rsidRPr="00506C64">
              <w:rPr>
                <w:rFonts w:ascii="Arial Narrow" w:hAnsi="Arial Narrow"/>
                <w:sz w:val="20"/>
              </w:rPr>
              <w:t xml:space="preserve">Treated patients (uptake </w:t>
            </w:r>
            <w:r w:rsidR="003B3717">
              <w:rPr>
                <w:rFonts w:ascii="Arial Narrow" w:hAnsi="Arial Narrow"/>
                <w:noProof/>
                <w:color w:val="000000"/>
                <w:sz w:val="20"/>
                <w:highlight w:val="black"/>
              </w:rPr>
              <w:t>'''''''</w:t>
            </w:r>
            <w:r w:rsidRPr="00506C64">
              <w:rPr>
                <w:rFonts w:ascii="Arial Narrow" w:hAnsi="Arial Narrow"/>
                <w:sz w:val="20"/>
              </w:rPr>
              <w:t xml:space="preserve">% - </w:t>
            </w:r>
            <w:r w:rsidR="003B3717">
              <w:rPr>
                <w:rFonts w:ascii="Arial Narrow" w:hAnsi="Arial Narrow"/>
                <w:noProof/>
                <w:color w:val="000000"/>
                <w:sz w:val="20"/>
                <w:highlight w:val="black"/>
              </w:rPr>
              <w:t>'''''''''</w:t>
            </w:r>
            <w:r w:rsidRPr="00506C64">
              <w:rPr>
                <w:rFonts w:ascii="Arial Narrow" w:hAnsi="Arial Narrow"/>
                <w:sz w:val="20"/>
              </w:rPr>
              <w:t>%) adjusted for continuation rule</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4" w:type="pct"/>
            <w:tcBorders>
              <w:bottom w:val="single" w:sz="4" w:space="0" w:color="auto"/>
            </w:tcBorders>
            <w:shd w:val="clear" w:color="auto" w:fill="auto"/>
            <w:vAlign w:val="center"/>
          </w:tcPr>
          <w:p w:rsidR="0080703C" w:rsidRPr="003B3717" w:rsidDel="00672BB2"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80703C" w:rsidRPr="005003D6" w:rsidTr="00A81493">
        <w:trPr>
          <w:trHeight w:val="215"/>
        </w:trPr>
        <w:tc>
          <w:tcPr>
            <w:tcW w:w="5000" w:type="pct"/>
            <w:gridSpan w:val="6"/>
            <w:tcBorders>
              <w:top w:val="double" w:sz="4" w:space="0" w:color="auto"/>
            </w:tcBorders>
            <w:shd w:val="clear" w:color="auto" w:fill="auto"/>
            <w:vAlign w:val="center"/>
          </w:tcPr>
          <w:p w:rsidR="0080703C" w:rsidRPr="00506C64" w:rsidRDefault="0080703C" w:rsidP="00A81493">
            <w:pPr>
              <w:keepNext/>
              <w:widowControl/>
              <w:jc w:val="left"/>
              <w:rPr>
                <w:rFonts w:ascii="Arial Narrow" w:hAnsi="Arial Narrow"/>
                <w:b/>
                <w:sz w:val="20"/>
              </w:rPr>
            </w:pPr>
            <w:r w:rsidRPr="00506C64">
              <w:rPr>
                <w:rFonts w:ascii="Arial Narrow" w:hAnsi="Arial Narrow"/>
                <w:b/>
                <w:sz w:val="20"/>
              </w:rPr>
              <w:t>Prescriptions</w:t>
            </w:r>
          </w:p>
        </w:tc>
      </w:tr>
      <w:tr w:rsidR="0080703C" w:rsidRPr="005003D6" w:rsidTr="00A81493">
        <w:trPr>
          <w:trHeight w:val="230"/>
        </w:trPr>
        <w:tc>
          <w:tcPr>
            <w:tcW w:w="1553" w:type="pct"/>
            <w:tcBorders>
              <w:bottom w:val="single" w:sz="4" w:space="0" w:color="auto"/>
            </w:tcBorders>
            <w:shd w:val="clear" w:color="auto" w:fill="auto"/>
            <w:vAlign w:val="center"/>
          </w:tcPr>
          <w:p w:rsidR="0080703C" w:rsidRPr="00506C64" w:rsidRDefault="0080703C" w:rsidP="00A81493">
            <w:pPr>
              <w:keepNext/>
              <w:widowControl/>
              <w:tabs>
                <w:tab w:val="left" w:pos="142"/>
              </w:tabs>
              <w:jc w:val="left"/>
              <w:rPr>
                <w:rFonts w:ascii="Arial Narrow" w:hAnsi="Arial Narrow"/>
                <w:sz w:val="20"/>
              </w:rPr>
            </w:pPr>
            <w:r w:rsidRPr="00506C64">
              <w:rPr>
                <w:rFonts w:ascii="Arial Narrow" w:hAnsi="Arial Narrow"/>
                <w:sz w:val="20"/>
              </w:rPr>
              <w:t xml:space="preserve">Total prescriptions (uptake </w:t>
            </w:r>
            <w:r w:rsidR="003B3717">
              <w:rPr>
                <w:rFonts w:ascii="Arial Narrow" w:hAnsi="Arial Narrow"/>
                <w:noProof/>
                <w:color w:val="000000"/>
                <w:sz w:val="20"/>
                <w:highlight w:val="black"/>
              </w:rPr>
              <w:t>''''''</w:t>
            </w:r>
            <w:r w:rsidR="00506C64">
              <w:rPr>
                <w:rFonts w:ascii="Arial Narrow" w:hAnsi="Arial Narrow"/>
                <w:sz w:val="20"/>
              </w:rPr>
              <w:t xml:space="preserve"> </w:t>
            </w:r>
            <w:r w:rsidRPr="00506C64">
              <w:rPr>
                <w:rFonts w:ascii="Arial Narrow" w:hAnsi="Arial Narrow"/>
                <w:sz w:val="20"/>
              </w:rPr>
              <w:t>-</w:t>
            </w:r>
            <w:r w:rsidR="00506C64">
              <w:rPr>
                <w:rFonts w:ascii="Arial Narrow" w:hAnsi="Arial Narrow"/>
                <w:sz w:val="20"/>
              </w:rPr>
              <w:t xml:space="preserve"> </w:t>
            </w:r>
            <w:r w:rsidR="003B3717">
              <w:rPr>
                <w:rFonts w:ascii="Arial Narrow" w:hAnsi="Arial Narrow"/>
                <w:noProof/>
                <w:color w:val="000000"/>
                <w:sz w:val="20"/>
                <w:highlight w:val="black"/>
              </w:rPr>
              <w:t>''''''</w:t>
            </w:r>
            <w:r w:rsidRPr="00506C64">
              <w:rPr>
                <w:rFonts w:ascii="Arial Narrow" w:hAnsi="Arial Narrow"/>
                <w:sz w:val="20"/>
              </w:rPr>
              <w:t>%)</w:t>
            </w:r>
          </w:p>
        </w:tc>
        <w:tc>
          <w:tcPr>
            <w:tcW w:w="686" w:type="pct"/>
            <w:tcBorders>
              <w:bottom w:val="single" w:sz="4" w:space="0" w:color="auto"/>
            </w:tcBorders>
            <w:shd w:val="clear" w:color="auto" w:fill="auto"/>
            <w:vAlign w:val="center"/>
          </w:tcPr>
          <w:p w:rsidR="0080703C" w:rsidRPr="003B3717"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3B3717"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4" w:type="pct"/>
            <w:tcBorders>
              <w:bottom w:val="single" w:sz="4" w:space="0" w:color="auto"/>
            </w:tcBorders>
            <w:shd w:val="clear" w:color="auto" w:fill="auto"/>
            <w:vAlign w:val="center"/>
          </w:tcPr>
          <w:p w:rsidR="0080703C" w:rsidRPr="003B3717"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80703C" w:rsidRPr="005003D6" w:rsidTr="00A81493">
        <w:trPr>
          <w:trHeight w:val="230"/>
        </w:trPr>
        <w:tc>
          <w:tcPr>
            <w:tcW w:w="1553" w:type="pct"/>
            <w:tcBorders>
              <w:bottom w:val="double" w:sz="4" w:space="0" w:color="auto"/>
            </w:tcBorders>
            <w:shd w:val="clear" w:color="auto" w:fill="auto"/>
            <w:vAlign w:val="center"/>
          </w:tcPr>
          <w:p w:rsidR="0080703C" w:rsidRPr="00506C64" w:rsidRDefault="0080703C" w:rsidP="00A81493">
            <w:pPr>
              <w:keepNext/>
              <w:widowControl/>
              <w:tabs>
                <w:tab w:val="left" w:pos="142"/>
              </w:tabs>
              <w:jc w:val="left"/>
              <w:rPr>
                <w:rFonts w:ascii="Arial Narrow" w:hAnsi="Arial Narrow"/>
                <w:sz w:val="20"/>
              </w:rPr>
            </w:pPr>
            <w:r w:rsidRPr="00506C64">
              <w:rPr>
                <w:rFonts w:ascii="Arial Narrow" w:hAnsi="Arial Narrow"/>
                <w:sz w:val="20"/>
              </w:rPr>
              <w:t xml:space="preserve">Total prescriptions (uptake </w:t>
            </w:r>
            <w:r w:rsidR="003B3717">
              <w:rPr>
                <w:rFonts w:ascii="Arial Narrow" w:hAnsi="Arial Narrow"/>
                <w:noProof/>
                <w:color w:val="000000"/>
                <w:sz w:val="20"/>
                <w:highlight w:val="black"/>
              </w:rPr>
              <w:t>''''''</w:t>
            </w:r>
            <w:r w:rsidR="00506C64">
              <w:rPr>
                <w:rFonts w:ascii="Arial Narrow" w:hAnsi="Arial Narrow"/>
                <w:sz w:val="20"/>
              </w:rPr>
              <w:t xml:space="preserve"> </w:t>
            </w:r>
            <w:r w:rsidRPr="00506C64">
              <w:rPr>
                <w:rFonts w:ascii="Arial Narrow" w:hAnsi="Arial Narrow"/>
                <w:sz w:val="20"/>
              </w:rPr>
              <w:t>-</w:t>
            </w:r>
            <w:r w:rsidR="00506C64">
              <w:rPr>
                <w:rFonts w:ascii="Arial Narrow" w:hAnsi="Arial Narrow"/>
                <w:sz w:val="20"/>
              </w:rPr>
              <w:t xml:space="preserve"> </w:t>
            </w:r>
            <w:r w:rsidR="003B3717">
              <w:rPr>
                <w:rFonts w:ascii="Arial Narrow" w:hAnsi="Arial Narrow"/>
                <w:noProof/>
                <w:color w:val="000000"/>
                <w:sz w:val="20"/>
                <w:highlight w:val="black"/>
              </w:rPr>
              <w:t>''''''''</w:t>
            </w:r>
            <w:r w:rsidRPr="00506C64">
              <w:rPr>
                <w:rFonts w:ascii="Arial Narrow" w:hAnsi="Arial Narrow"/>
                <w:sz w:val="20"/>
              </w:rPr>
              <w:t>%)</w:t>
            </w:r>
          </w:p>
        </w:tc>
        <w:tc>
          <w:tcPr>
            <w:tcW w:w="686" w:type="pct"/>
            <w:tcBorders>
              <w:bottom w:val="double" w:sz="4" w:space="0" w:color="auto"/>
            </w:tcBorders>
            <w:shd w:val="clear" w:color="auto" w:fill="auto"/>
            <w:vAlign w:val="bottom"/>
          </w:tcPr>
          <w:p w:rsidR="0080703C" w:rsidRPr="003B3717"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double" w:sz="4" w:space="0" w:color="auto"/>
            </w:tcBorders>
            <w:shd w:val="clear" w:color="auto" w:fill="auto"/>
            <w:vAlign w:val="bottom"/>
          </w:tcPr>
          <w:p w:rsidR="0080703C" w:rsidRPr="003B3717"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double" w:sz="4" w:space="0" w:color="auto"/>
            </w:tcBorders>
            <w:shd w:val="clear" w:color="auto" w:fill="auto"/>
            <w:vAlign w:val="bottom"/>
          </w:tcPr>
          <w:p w:rsidR="0080703C" w:rsidRPr="003B3717"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86" w:type="pct"/>
            <w:tcBorders>
              <w:bottom w:val="double" w:sz="4" w:space="0" w:color="auto"/>
            </w:tcBorders>
            <w:shd w:val="clear" w:color="auto" w:fill="auto"/>
            <w:vAlign w:val="bottom"/>
          </w:tcPr>
          <w:p w:rsidR="0080703C" w:rsidRPr="003B3717"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04" w:type="pct"/>
            <w:tcBorders>
              <w:bottom w:val="double" w:sz="4" w:space="0" w:color="auto"/>
            </w:tcBorders>
            <w:shd w:val="clear" w:color="auto" w:fill="auto"/>
            <w:vAlign w:val="bottom"/>
          </w:tcPr>
          <w:p w:rsidR="0080703C" w:rsidRPr="003B3717" w:rsidRDefault="003B3717" w:rsidP="00A81493">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80703C" w:rsidRPr="005003D6" w:rsidTr="00A81493">
        <w:trPr>
          <w:trHeight w:val="215"/>
        </w:trPr>
        <w:tc>
          <w:tcPr>
            <w:tcW w:w="5000" w:type="pct"/>
            <w:gridSpan w:val="6"/>
            <w:tcBorders>
              <w:top w:val="double" w:sz="4" w:space="0" w:color="auto"/>
            </w:tcBorders>
            <w:shd w:val="clear" w:color="auto" w:fill="auto"/>
            <w:vAlign w:val="center"/>
          </w:tcPr>
          <w:p w:rsidR="0080703C" w:rsidRPr="00506C64" w:rsidRDefault="0080703C" w:rsidP="00A81493">
            <w:pPr>
              <w:keepNext/>
              <w:widowControl/>
              <w:jc w:val="left"/>
              <w:rPr>
                <w:rFonts w:ascii="Arial Narrow" w:hAnsi="Arial Narrow"/>
                <w:b/>
                <w:sz w:val="20"/>
              </w:rPr>
            </w:pPr>
            <w:r w:rsidRPr="00506C64">
              <w:rPr>
                <w:rFonts w:ascii="Arial Narrow" w:hAnsi="Arial Narrow"/>
                <w:b/>
                <w:sz w:val="20"/>
              </w:rPr>
              <w:t>Net cost to PBS/RPBS</w:t>
            </w:r>
          </w:p>
        </w:tc>
      </w:tr>
      <w:tr w:rsidR="0080703C" w:rsidRPr="005003D6" w:rsidTr="00A81493">
        <w:trPr>
          <w:trHeight w:val="705"/>
        </w:trPr>
        <w:tc>
          <w:tcPr>
            <w:tcW w:w="1553" w:type="pct"/>
            <w:tcBorders>
              <w:bottom w:val="single" w:sz="4" w:space="0" w:color="auto"/>
            </w:tcBorders>
            <w:shd w:val="clear" w:color="auto" w:fill="auto"/>
            <w:vAlign w:val="center"/>
          </w:tcPr>
          <w:p w:rsidR="0080703C" w:rsidRPr="00506C64" w:rsidRDefault="0080703C" w:rsidP="00A81493">
            <w:pPr>
              <w:keepNext/>
              <w:widowControl/>
              <w:tabs>
                <w:tab w:val="left" w:pos="142"/>
              </w:tabs>
              <w:jc w:val="left"/>
              <w:rPr>
                <w:rFonts w:ascii="Arial Narrow" w:hAnsi="Arial Narrow"/>
                <w:sz w:val="20"/>
              </w:rPr>
            </w:pPr>
            <w:r w:rsidRPr="00506C64">
              <w:rPr>
                <w:rFonts w:ascii="Arial Narrow" w:hAnsi="Arial Narrow"/>
                <w:sz w:val="20"/>
              </w:rPr>
              <w:t>Net costs to PBS/RPBS and proposed RSA expenditure caps</w:t>
            </w:r>
          </w:p>
          <w:p w:rsidR="0080703C" w:rsidRPr="00506C64" w:rsidRDefault="0080703C" w:rsidP="00A81493">
            <w:pPr>
              <w:keepNext/>
              <w:widowControl/>
              <w:tabs>
                <w:tab w:val="left" w:pos="142"/>
              </w:tabs>
              <w:jc w:val="left"/>
              <w:rPr>
                <w:rFonts w:ascii="Arial Narrow" w:hAnsi="Arial Narrow"/>
                <w:sz w:val="20"/>
              </w:rPr>
            </w:pPr>
            <w:r w:rsidRPr="00506C64">
              <w:rPr>
                <w:rFonts w:ascii="Arial Narrow" w:hAnsi="Arial Narrow"/>
                <w:sz w:val="20"/>
              </w:rPr>
              <w:t xml:space="preserve">(base case uptake </w:t>
            </w:r>
            <w:r w:rsidR="003B3717">
              <w:rPr>
                <w:rFonts w:ascii="Arial Narrow" w:hAnsi="Arial Narrow"/>
                <w:noProof/>
                <w:color w:val="000000"/>
                <w:sz w:val="20"/>
                <w:highlight w:val="black"/>
              </w:rPr>
              <w:t>'''''</w:t>
            </w:r>
            <w:r w:rsidR="00506C64">
              <w:rPr>
                <w:rFonts w:ascii="Arial Narrow" w:hAnsi="Arial Narrow"/>
                <w:sz w:val="20"/>
              </w:rPr>
              <w:t xml:space="preserve"> </w:t>
            </w:r>
            <w:r w:rsidRPr="00506C64">
              <w:rPr>
                <w:rFonts w:ascii="Arial Narrow" w:hAnsi="Arial Narrow"/>
                <w:sz w:val="20"/>
              </w:rPr>
              <w:t>-</w:t>
            </w:r>
            <w:r w:rsidR="00506C64">
              <w:rPr>
                <w:rFonts w:ascii="Arial Narrow" w:hAnsi="Arial Narrow"/>
                <w:sz w:val="20"/>
              </w:rPr>
              <w:t xml:space="preserve"> </w:t>
            </w:r>
            <w:r w:rsidR="003B3717">
              <w:rPr>
                <w:rFonts w:ascii="Arial Narrow" w:hAnsi="Arial Narrow"/>
                <w:noProof/>
                <w:color w:val="000000"/>
                <w:sz w:val="20"/>
                <w:highlight w:val="black"/>
              </w:rPr>
              <w:t>''''''</w:t>
            </w:r>
            <w:r w:rsidRPr="00506C64">
              <w:rPr>
                <w:rFonts w:ascii="Arial Narrow" w:hAnsi="Arial Narrow"/>
                <w:sz w:val="20"/>
              </w:rPr>
              <w:t>%)</w:t>
            </w:r>
          </w:p>
        </w:tc>
        <w:tc>
          <w:tcPr>
            <w:tcW w:w="686" w:type="pct"/>
            <w:tcBorders>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color w:val="000000"/>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color w:val="000000"/>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color w:val="000000"/>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tcBorders>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color w:val="000000"/>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704" w:type="pct"/>
            <w:tcBorders>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color w:val="000000"/>
                <w:sz w:val="20"/>
              </w:rPr>
            </w:pPr>
            <w:r w:rsidRPr="005003D6">
              <w:rPr>
                <w:rFonts w:ascii="Arial Narrow" w:hAnsi="Arial Narrow"/>
                <w:sz w:val="20"/>
              </w:rPr>
              <w:t>$</w:t>
            </w:r>
            <w:r w:rsidR="003B3717">
              <w:rPr>
                <w:rFonts w:ascii="Arial Narrow" w:hAnsi="Arial Narrow"/>
                <w:noProof/>
                <w:color w:val="000000"/>
                <w:sz w:val="20"/>
                <w:highlight w:val="black"/>
              </w:rPr>
              <w:t>''''''''''''''''''''''''</w:t>
            </w:r>
          </w:p>
        </w:tc>
      </w:tr>
      <w:tr w:rsidR="0080703C" w:rsidRPr="005003D6" w:rsidTr="00A81493">
        <w:trPr>
          <w:trHeight w:val="460"/>
        </w:trPr>
        <w:tc>
          <w:tcPr>
            <w:tcW w:w="1553" w:type="pct"/>
            <w:tcBorders>
              <w:top w:val="single" w:sz="4" w:space="0" w:color="auto"/>
              <w:bottom w:val="double" w:sz="4" w:space="0" w:color="auto"/>
            </w:tcBorders>
            <w:shd w:val="clear" w:color="auto" w:fill="auto"/>
            <w:vAlign w:val="center"/>
          </w:tcPr>
          <w:p w:rsidR="0080703C" w:rsidRPr="00506C64" w:rsidRDefault="0080703C" w:rsidP="00A81493">
            <w:pPr>
              <w:keepNext/>
              <w:widowControl/>
              <w:tabs>
                <w:tab w:val="left" w:pos="142"/>
              </w:tabs>
              <w:jc w:val="left"/>
              <w:rPr>
                <w:rFonts w:ascii="Arial Narrow" w:hAnsi="Arial Narrow"/>
                <w:sz w:val="20"/>
              </w:rPr>
            </w:pPr>
            <w:r w:rsidRPr="00506C64">
              <w:rPr>
                <w:rFonts w:ascii="Arial Narrow" w:hAnsi="Arial Narrow"/>
                <w:sz w:val="20"/>
              </w:rPr>
              <w:t xml:space="preserve">Net costs to PBS/RPBS </w:t>
            </w:r>
          </w:p>
          <w:p w:rsidR="0080703C" w:rsidRPr="00506C64" w:rsidRDefault="0080703C" w:rsidP="00A81493">
            <w:pPr>
              <w:keepNext/>
              <w:widowControl/>
              <w:tabs>
                <w:tab w:val="left" w:pos="142"/>
              </w:tabs>
              <w:jc w:val="left"/>
              <w:rPr>
                <w:rFonts w:ascii="Arial Narrow" w:hAnsi="Arial Narrow"/>
                <w:sz w:val="20"/>
              </w:rPr>
            </w:pPr>
            <w:r w:rsidRPr="00506C64">
              <w:rPr>
                <w:rFonts w:ascii="Arial Narrow" w:hAnsi="Arial Narrow"/>
                <w:sz w:val="20"/>
              </w:rPr>
              <w:t xml:space="preserve">(uptake </w:t>
            </w:r>
            <w:r w:rsidR="003B3717">
              <w:rPr>
                <w:rFonts w:ascii="Arial Narrow" w:hAnsi="Arial Narrow"/>
                <w:noProof/>
                <w:color w:val="000000"/>
                <w:sz w:val="20"/>
                <w:highlight w:val="black"/>
              </w:rPr>
              <w:t>''''''</w:t>
            </w:r>
            <w:r w:rsidR="00506C64">
              <w:rPr>
                <w:rFonts w:ascii="Arial Narrow" w:hAnsi="Arial Narrow"/>
                <w:sz w:val="20"/>
              </w:rPr>
              <w:t xml:space="preserve"> </w:t>
            </w:r>
            <w:r w:rsidRPr="00506C64">
              <w:rPr>
                <w:rFonts w:ascii="Arial Narrow" w:hAnsi="Arial Narrow"/>
                <w:sz w:val="20"/>
              </w:rPr>
              <w:t>-</w:t>
            </w:r>
            <w:r w:rsidR="00506C64">
              <w:rPr>
                <w:rFonts w:ascii="Arial Narrow" w:hAnsi="Arial Narrow"/>
                <w:sz w:val="20"/>
              </w:rPr>
              <w:t xml:space="preserve"> </w:t>
            </w:r>
            <w:r w:rsidR="003B3717">
              <w:rPr>
                <w:rFonts w:ascii="Arial Narrow" w:hAnsi="Arial Narrow"/>
                <w:noProof/>
                <w:color w:val="000000"/>
                <w:sz w:val="20"/>
                <w:highlight w:val="black"/>
              </w:rPr>
              <w:t>''''''''''</w:t>
            </w:r>
            <w:r w:rsidRPr="00506C64">
              <w:rPr>
                <w:rFonts w:ascii="Arial Narrow" w:hAnsi="Arial Narrow"/>
                <w:sz w:val="20"/>
              </w:rPr>
              <w:t>%)</w:t>
            </w:r>
          </w:p>
        </w:tc>
        <w:tc>
          <w:tcPr>
            <w:tcW w:w="686" w:type="pct"/>
            <w:tcBorders>
              <w:top w:val="single" w:sz="4" w:space="0" w:color="auto"/>
              <w:bottom w:val="doub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color w:val="000000"/>
                <w:sz w:val="20"/>
              </w:rPr>
              <w:t>$</w:t>
            </w:r>
            <w:r w:rsidR="003B3717">
              <w:rPr>
                <w:rFonts w:ascii="Arial Narrow" w:hAnsi="Arial Narrow"/>
                <w:noProof/>
                <w:color w:val="000000"/>
                <w:sz w:val="20"/>
                <w:highlight w:val="black"/>
              </w:rPr>
              <w:t>'''''''''''''''''''''''''</w:t>
            </w:r>
          </w:p>
        </w:tc>
        <w:tc>
          <w:tcPr>
            <w:tcW w:w="686" w:type="pct"/>
            <w:tcBorders>
              <w:top w:val="single" w:sz="4" w:space="0" w:color="auto"/>
              <w:bottom w:val="doub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color w:val="000000"/>
                <w:sz w:val="20"/>
              </w:rPr>
              <w:t>$</w:t>
            </w:r>
            <w:r w:rsidR="003B3717">
              <w:rPr>
                <w:rFonts w:ascii="Arial Narrow" w:hAnsi="Arial Narrow"/>
                <w:noProof/>
                <w:color w:val="000000"/>
                <w:sz w:val="20"/>
                <w:highlight w:val="black"/>
              </w:rPr>
              <w:t>''''''''''''''''''''''''''</w:t>
            </w:r>
          </w:p>
        </w:tc>
        <w:tc>
          <w:tcPr>
            <w:tcW w:w="686" w:type="pct"/>
            <w:tcBorders>
              <w:top w:val="single" w:sz="4" w:space="0" w:color="auto"/>
              <w:bottom w:val="doub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color w:val="000000"/>
                <w:sz w:val="20"/>
              </w:rPr>
              <w:t>$</w:t>
            </w:r>
            <w:r w:rsidR="003B3717">
              <w:rPr>
                <w:rFonts w:ascii="Arial Narrow" w:hAnsi="Arial Narrow"/>
                <w:noProof/>
                <w:color w:val="000000"/>
                <w:sz w:val="20"/>
                <w:highlight w:val="black"/>
              </w:rPr>
              <w:t>'''''''''''''''''''''''</w:t>
            </w:r>
          </w:p>
        </w:tc>
        <w:tc>
          <w:tcPr>
            <w:tcW w:w="686" w:type="pct"/>
            <w:tcBorders>
              <w:top w:val="single" w:sz="4" w:space="0" w:color="auto"/>
              <w:bottom w:val="doub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color w:val="000000"/>
                <w:sz w:val="20"/>
              </w:rPr>
              <w:t>$</w:t>
            </w:r>
            <w:r w:rsidR="003B3717">
              <w:rPr>
                <w:rFonts w:ascii="Arial Narrow" w:hAnsi="Arial Narrow"/>
                <w:noProof/>
                <w:color w:val="000000"/>
                <w:sz w:val="20"/>
                <w:highlight w:val="black"/>
              </w:rPr>
              <w:t>''''''''''''''''''''''''''''</w:t>
            </w:r>
          </w:p>
        </w:tc>
        <w:tc>
          <w:tcPr>
            <w:tcW w:w="704" w:type="pct"/>
            <w:tcBorders>
              <w:top w:val="single" w:sz="4" w:space="0" w:color="auto"/>
              <w:bottom w:val="doub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color w:val="000000"/>
                <w:sz w:val="20"/>
              </w:rPr>
              <w:t>$</w:t>
            </w:r>
            <w:r w:rsidR="003B3717">
              <w:rPr>
                <w:rFonts w:ascii="Arial Narrow" w:hAnsi="Arial Narrow"/>
                <w:noProof/>
                <w:color w:val="000000"/>
                <w:sz w:val="20"/>
                <w:highlight w:val="black"/>
              </w:rPr>
              <w:t>''''''''''''''''''''''''''</w:t>
            </w:r>
          </w:p>
        </w:tc>
      </w:tr>
      <w:tr w:rsidR="0080703C" w:rsidRPr="005003D6" w:rsidTr="00A81493">
        <w:trPr>
          <w:trHeight w:val="215"/>
        </w:trPr>
        <w:tc>
          <w:tcPr>
            <w:tcW w:w="5000" w:type="pct"/>
            <w:gridSpan w:val="6"/>
            <w:tcBorders>
              <w:top w:val="double" w:sz="4" w:space="0" w:color="auto"/>
            </w:tcBorders>
            <w:shd w:val="clear" w:color="auto" w:fill="auto"/>
            <w:vAlign w:val="center"/>
          </w:tcPr>
          <w:p w:rsidR="0080703C" w:rsidRPr="00506C64" w:rsidRDefault="0080703C" w:rsidP="00A81493">
            <w:pPr>
              <w:keepNext/>
              <w:widowControl/>
              <w:jc w:val="left"/>
              <w:rPr>
                <w:rFonts w:ascii="Arial Narrow" w:hAnsi="Arial Narrow"/>
                <w:b/>
                <w:sz w:val="20"/>
              </w:rPr>
            </w:pPr>
            <w:r w:rsidRPr="00506C64">
              <w:rPr>
                <w:rFonts w:ascii="Arial Narrow" w:hAnsi="Arial Narrow"/>
                <w:b/>
                <w:sz w:val="20"/>
              </w:rPr>
              <w:t>Adverse event costs (diarrhoea, nausea and vomiting)</w:t>
            </w:r>
          </w:p>
        </w:tc>
      </w:tr>
      <w:tr w:rsidR="0080703C" w:rsidRPr="005003D6" w:rsidTr="00A81493">
        <w:trPr>
          <w:trHeight w:val="230"/>
        </w:trPr>
        <w:tc>
          <w:tcPr>
            <w:tcW w:w="1553" w:type="pct"/>
            <w:shd w:val="clear" w:color="auto" w:fill="auto"/>
            <w:vAlign w:val="center"/>
          </w:tcPr>
          <w:p w:rsidR="0080703C" w:rsidRPr="00506C64" w:rsidRDefault="0080703C" w:rsidP="00A81493">
            <w:pPr>
              <w:keepNext/>
              <w:widowControl/>
              <w:tabs>
                <w:tab w:val="left" w:pos="142"/>
              </w:tabs>
              <w:jc w:val="left"/>
              <w:rPr>
                <w:rFonts w:ascii="Arial Narrow" w:hAnsi="Arial Narrow"/>
                <w:sz w:val="20"/>
              </w:rPr>
            </w:pPr>
            <w:r w:rsidRPr="00506C64">
              <w:rPr>
                <w:rFonts w:ascii="Arial Narrow" w:hAnsi="Arial Narrow"/>
                <w:sz w:val="20"/>
              </w:rPr>
              <w:t>Net cost to the PBS/RPBS</w:t>
            </w:r>
          </w:p>
        </w:tc>
        <w:tc>
          <w:tcPr>
            <w:tcW w:w="686" w:type="pct"/>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704" w:type="pct"/>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r>
      <w:tr w:rsidR="0080703C" w:rsidRPr="005003D6" w:rsidTr="00A81493">
        <w:trPr>
          <w:trHeight w:val="230"/>
        </w:trPr>
        <w:tc>
          <w:tcPr>
            <w:tcW w:w="5000" w:type="pct"/>
            <w:gridSpan w:val="6"/>
            <w:shd w:val="clear" w:color="auto" w:fill="auto"/>
            <w:vAlign w:val="center"/>
          </w:tcPr>
          <w:p w:rsidR="0080703C" w:rsidRPr="00506C64" w:rsidRDefault="0080703C" w:rsidP="00A81493">
            <w:pPr>
              <w:keepNext/>
              <w:widowControl/>
              <w:jc w:val="left"/>
              <w:rPr>
                <w:rFonts w:ascii="Arial Narrow" w:hAnsi="Arial Narrow"/>
                <w:b/>
                <w:sz w:val="20"/>
              </w:rPr>
            </w:pPr>
            <w:r w:rsidRPr="00506C64">
              <w:rPr>
                <w:rFonts w:ascii="Arial Narrow" w:hAnsi="Arial Narrow"/>
                <w:b/>
                <w:sz w:val="20"/>
              </w:rPr>
              <w:t>Liver function tests</w:t>
            </w:r>
          </w:p>
        </w:tc>
      </w:tr>
      <w:tr w:rsidR="0080703C" w:rsidRPr="005003D6" w:rsidTr="00A81493">
        <w:trPr>
          <w:trHeight w:val="230"/>
        </w:trPr>
        <w:tc>
          <w:tcPr>
            <w:tcW w:w="1553" w:type="pct"/>
            <w:tcBorders>
              <w:bottom w:val="double" w:sz="4" w:space="0" w:color="auto"/>
            </w:tcBorders>
            <w:shd w:val="clear" w:color="auto" w:fill="auto"/>
            <w:vAlign w:val="center"/>
          </w:tcPr>
          <w:p w:rsidR="0080703C" w:rsidRPr="00506C64" w:rsidRDefault="0080703C" w:rsidP="00A81493">
            <w:pPr>
              <w:keepNext/>
              <w:widowControl/>
              <w:tabs>
                <w:tab w:val="left" w:pos="142"/>
              </w:tabs>
              <w:jc w:val="left"/>
              <w:rPr>
                <w:rFonts w:ascii="Arial Narrow" w:hAnsi="Arial Narrow"/>
                <w:sz w:val="20"/>
              </w:rPr>
            </w:pPr>
            <w:r w:rsidRPr="00506C64">
              <w:rPr>
                <w:rFonts w:ascii="Arial Narrow" w:hAnsi="Arial Narrow"/>
                <w:sz w:val="20"/>
              </w:rPr>
              <w:t>Net cost to the MBS</w:t>
            </w:r>
          </w:p>
        </w:tc>
        <w:tc>
          <w:tcPr>
            <w:tcW w:w="686" w:type="pct"/>
            <w:tcBorders>
              <w:bottom w:val="doub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tcBorders>
              <w:bottom w:val="doub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tcBorders>
              <w:bottom w:val="doub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tcBorders>
              <w:bottom w:val="doub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704" w:type="pct"/>
            <w:tcBorders>
              <w:bottom w:val="doub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r>
      <w:tr w:rsidR="0080703C" w:rsidRPr="005003D6" w:rsidTr="00A81493">
        <w:trPr>
          <w:trHeight w:val="230"/>
        </w:trPr>
        <w:tc>
          <w:tcPr>
            <w:tcW w:w="5000" w:type="pct"/>
            <w:gridSpan w:val="6"/>
            <w:tcBorders>
              <w:bottom w:val="single" w:sz="4" w:space="0" w:color="auto"/>
            </w:tcBorders>
            <w:shd w:val="clear" w:color="auto" w:fill="auto"/>
            <w:vAlign w:val="center"/>
          </w:tcPr>
          <w:p w:rsidR="0080703C" w:rsidRPr="00506C64" w:rsidRDefault="0080703C" w:rsidP="00A81493">
            <w:pPr>
              <w:keepNext/>
              <w:widowControl/>
              <w:jc w:val="left"/>
              <w:rPr>
                <w:rFonts w:ascii="Arial Narrow" w:hAnsi="Arial Narrow"/>
                <w:b/>
                <w:sz w:val="20"/>
              </w:rPr>
            </w:pPr>
            <w:r w:rsidRPr="00506C64">
              <w:rPr>
                <w:rFonts w:ascii="Arial Narrow" w:hAnsi="Arial Narrow"/>
                <w:b/>
                <w:sz w:val="20"/>
              </w:rPr>
              <w:t>Net financial implications to government health budgets</w:t>
            </w:r>
          </w:p>
        </w:tc>
      </w:tr>
      <w:tr w:rsidR="0080703C" w:rsidRPr="005003D6" w:rsidTr="00A81493">
        <w:trPr>
          <w:trHeight w:val="460"/>
        </w:trPr>
        <w:tc>
          <w:tcPr>
            <w:tcW w:w="1553" w:type="pct"/>
            <w:tcBorders>
              <w:top w:val="single" w:sz="4" w:space="0" w:color="auto"/>
              <w:bottom w:val="single" w:sz="4" w:space="0" w:color="auto"/>
            </w:tcBorders>
            <w:shd w:val="clear" w:color="auto" w:fill="auto"/>
            <w:vAlign w:val="center"/>
          </w:tcPr>
          <w:p w:rsidR="0080703C" w:rsidRPr="00506C64" w:rsidRDefault="0080703C" w:rsidP="00A81493">
            <w:pPr>
              <w:keepNext/>
              <w:widowControl/>
              <w:tabs>
                <w:tab w:val="left" w:pos="142"/>
              </w:tabs>
              <w:jc w:val="left"/>
              <w:rPr>
                <w:rFonts w:ascii="Arial Narrow" w:hAnsi="Arial Narrow"/>
                <w:sz w:val="20"/>
              </w:rPr>
            </w:pPr>
            <w:r w:rsidRPr="00506C64">
              <w:rPr>
                <w:rFonts w:ascii="Arial Narrow" w:hAnsi="Arial Narrow"/>
                <w:sz w:val="20"/>
              </w:rPr>
              <w:t xml:space="preserve">Cost to government (uptake </w:t>
            </w:r>
            <w:r w:rsidR="003B3717">
              <w:rPr>
                <w:rFonts w:ascii="Arial Narrow" w:hAnsi="Arial Narrow"/>
                <w:noProof/>
                <w:color w:val="000000"/>
                <w:sz w:val="20"/>
                <w:highlight w:val="black"/>
              </w:rPr>
              <w:t>''''''</w:t>
            </w:r>
            <w:r w:rsidR="00506C64">
              <w:rPr>
                <w:rFonts w:ascii="Arial Narrow" w:hAnsi="Arial Narrow"/>
                <w:sz w:val="20"/>
              </w:rPr>
              <w:t xml:space="preserve"> </w:t>
            </w:r>
            <w:r w:rsidRPr="00506C64">
              <w:rPr>
                <w:rFonts w:ascii="Arial Narrow" w:hAnsi="Arial Narrow"/>
                <w:sz w:val="20"/>
              </w:rPr>
              <w:t>-</w:t>
            </w:r>
            <w:r w:rsidR="003B3717">
              <w:rPr>
                <w:rFonts w:ascii="Arial Narrow" w:hAnsi="Arial Narrow"/>
                <w:noProof/>
                <w:color w:val="000000"/>
                <w:sz w:val="20"/>
                <w:highlight w:val="black"/>
              </w:rPr>
              <w:t>'''''''''</w:t>
            </w:r>
            <w:r w:rsidRPr="00506C64">
              <w:rPr>
                <w:rFonts w:ascii="Arial Narrow" w:hAnsi="Arial Narrow"/>
                <w:sz w:val="20"/>
              </w:rPr>
              <w:t>%)^</w:t>
            </w:r>
          </w:p>
        </w:tc>
        <w:tc>
          <w:tcPr>
            <w:tcW w:w="686" w:type="pct"/>
            <w:tcBorders>
              <w:top w:val="single" w:sz="4" w:space="0" w:color="auto"/>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iCs/>
                <w:color w:val="000000"/>
                <w:sz w:val="20"/>
              </w:rPr>
              <w:t>$</w:t>
            </w:r>
            <w:r w:rsidR="003B3717">
              <w:rPr>
                <w:rFonts w:ascii="Arial Narrow" w:hAnsi="Arial Narrow"/>
                <w:iCs/>
                <w:noProof/>
                <w:color w:val="000000"/>
                <w:sz w:val="20"/>
                <w:highlight w:val="black"/>
              </w:rPr>
              <w:t>''''''''''''''''''''''''''</w:t>
            </w:r>
          </w:p>
        </w:tc>
        <w:tc>
          <w:tcPr>
            <w:tcW w:w="686" w:type="pct"/>
            <w:tcBorders>
              <w:top w:val="single" w:sz="4" w:space="0" w:color="auto"/>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iCs/>
                <w:color w:val="000000"/>
                <w:sz w:val="20"/>
              </w:rPr>
              <w:t>$</w:t>
            </w:r>
            <w:r w:rsidR="003B3717">
              <w:rPr>
                <w:rFonts w:ascii="Arial Narrow" w:hAnsi="Arial Narrow"/>
                <w:iCs/>
                <w:noProof/>
                <w:color w:val="000000"/>
                <w:sz w:val="20"/>
                <w:highlight w:val="black"/>
              </w:rPr>
              <w:t>'''''''''''''''''''''''</w:t>
            </w:r>
          </w:p>
        </w:tc>
        <w:tc>
          <w:tcPr>
            <w:tcW w:w="686" w:type="pct"/>
            <w:tcBorders>
              <w:top w:val="single" w:sz="4" w:space="0" w:color="auto"/>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iCs/>
                <w:color w:val="000000"/>
                <w:sz w:val="20"/>
              </w:rPr>
              <w:t>$</w:t>
            </w:r>
            <w:r w:rsidR="003B3717">
              <w:rPr>
                <w:rFonts w:ascii="Arial Narrow" w:hAnsi="Arial Narrow"/>
                <w:iCs/>
                <w:noProof/>
                <w:color w:val="000000"/>
                <w:sz w:val="20"/>
                <w:highlight w:val="black"/>
              </w:rPr>
              <w:t>''''''''''''''''''''''''''''</w:t>
            </w:r>
          </w:p>
        </w:tc>
        <w:tc>
          <w:tcPr>
            <w:tcW w:w="686" w:type="pct"/>
            <w:tcBorders>
              <w:top w:val="single" w:sz="4" w:space="0" w:color="auto"/>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iCs/>
                <w:color w:val="000000"/>
                <w:sz w:val="20"/>
              </w:rPr>
              <w:t>$</w:t>
            </w:r>
            <w:r w:rsidR="003B3717">
              <w:rPr>
                <w:rFonts w:ascii="Arial Narrow" w:hAnsi="Arial Narrow"/>
                <w:iCs/>
                <w:noProof/>
                <w:color w:val="000000"/>
                <w:sz w:val="20"/>
                <w:highlight w:val="black"/>
              </w:rPr>
              <w:t>''''''''''''''''''''''''''</w:t>
            </w:r>
          </w:p>
        </w:tc>
        <w:tc>
          <w:tcPr>
            <w:tcW w:w="704" w:type="pct"/>
            <w:tcBorders>
              <w:top w:val="single" w:sz="4" w:space="0" w:color="auto"/>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iCs/>
                <w:color w:val="000000"/>
                <w:sz w:val="20"/>
              </w:rPr>
              <w:t>$</w:t>
            </w:r>
            <w:r w:rsidR="003B3717">
              <w:rPr>
                <w:rFonts w:ascii="Arial Narrow" w:hAnsi="Arial Narrow"/>
                <w:iCs/>
                <w:noProof/>
                <w:color w:val="000000"/>
                <w:sz w:val="20"/>
                <w:highlight w:val="black"/>
              </w:rPr>
              <w:t>'''''''''''''''''''''''''''</w:t>
            </w:r>
          </w:p>
        </w:tc>
      </w:tr>
      <w:tr w:rsidR="0080703C" w:rsidRPr="005003D6" w:rsidTr="00A81493">
        <w:trPr>
          <w:trHeight w:val="475"/>
        </w:trPr>
        <w:tc>
          <w:tcPr>
            <w:tcW w:w="1553" w:type="pct"/>
            <w:tcBorders>
              <w:top w:val="single" w:sz="4" w:space="0" w:color="auto"/>
              <w:bottom w:val="single" w:sz="4" w:space="0" w:color="auto"/>
            </w:tcBorders>
            <w:shd w:val="clear" w:color="auto" w:fill="auto"/>
            <w:vAlign w:val="center"/>
          </w:tcPr>
          <w:p w:rsidR="0080703C" w:rsidRPr="00506C64" w:rsidRDefault="0080703C" w:rsidP="00A81493">
            <w:pPr>
              <w:keepNext/>
              <w:widowControl/>
              <w:tabs>
                <w:tab w:val="left" w:pos="142"/>
              </w:tabs>
              <w:jc w:val="left"/>
              <w:rPr>
                <w:rFonts w:ascii="Arial Narrow" w:hAnsi="Arial Narrow"/>
                <w:b/>
                <w:sz w:val="20"/>
              </w:rPr>
            </w:pPr>
            <w:r w:rsidRPr="00506C64">
              <w:rPr>
                <w:rFonts w:ascii="Arial Narrow" w:hAnsi="Arial Narrow"/>
                <w:sz w:val="20"/>
              </w:rPr>
              <w:t>Cost to government with proposed RSA expenditure caps</w:t>
            </w:r>
          </w:p>
        </w:tc>
        <w:tc>
          <w:tcPr>
            <w:tcW w:w="686" w:type="pct"/>
            <w:tcBorders>
              <w:top w:val="single" w:sz="4" w:space="0" w:color="auto"/>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tcBorders>
              <w:top w:val="single" w:sz="4" w:space="0" w:color="auto"/>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tcBorders>
              <w:top w:val="single" w:sz="4" w:space="0" w:color="auto"/>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686" w:type="pct"/>
            <w:tcBorders>
              <w:top w:val="single" w:sz="4" w:space="0" w:color="auto"/>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c>
          <w:tcPr>
            <w:tcW w:w="704" w:type="pct"/>
            <w:tcBorders>
              <w:top w:val="single" w:sz="4" w:space="0" w:color="auto"/>
              <w:bottom w:val="single" w:sz="4" w:space="0" w:color="auto"/>
            </w:tcBorders>
            <w:shd w:val="clear" w:color="auto" w:fill="auto"/>
            <w:vAlign w:val="center"/>
          </w:tcPr>
          <w:p w:rsidR="0080703C" w:rsidRPr="005003D6" w:rsidRDefault="0080703C" w:rsidP="00A81493">
            <w:pPr>
              <w:keepNext/>
              <w:widowControl/>
              <w:jc w:val="center"/>
              <w:rPr>
                <w:rFonts w:ascii="Arial Narrow" w:hAnsi="Arial Narrow"/>
                <w:sz w:val="20"/>
              </w:rPr>
            </w:pPr>
            <w:r w:rsidRPr="005003D6">
              <w:rPr>
                <w:rFonts w:ascii="Arial Narrow" w:hAnsi="Arial Narrow"/>
                <w:sz w:val="20"/>
              </w:rPr>
              <w:t>$</w:t>
            </w:r>
            <w:r w:rsidR="003B3717">
              <w:rPr>
                <w:rFonts w:ascii="Arial Narrow" w:hAnsi="Arial Narrow"/>
                <w:noProof/>
                <w:color w:val="000000"/>
                <w:sz w:val="20"/>
                <w:highlight w:val="black"/>
              </w:rPr>
              <w:t>''''''''''''''''''''''''''</w:t>
            </w:r>
          </w:p>
        </w:tc>
      </w:tr>
    </w:tbl>
    <w:p w:rsidR="0080703C" w:rsidRPr="005003D6" w:rsidRDefault="0080703C" w:rsidP="00A81493">
      <w:pPr>
        <w:pStyle w:val="TableFooter"/>
        <w:keepNext/>
        <w:tabs>
          <w:tab w:val="left" w:pos="142"/>
        </w:tabs>
        <w:ind w:left="709"/>
        <w:rPr>
          <w:sz w:val="16"/>
        </w:rPr>
      </w:pPr>
      <w:r w:rsidRPr="005003D6">
        <w:rPr>
          <w:sz w:val="16"/>
          <w:szCs w:val="18"/>
        </w:rPr>
        <w:t>Source: modified from Table 10, 4.02.COM.13;</w:t>
      </w:r>
      <w:r w:rsidRPr="005003D6">
        <w:rPr>
          <w:sz w:val="14"/>
          <w:szCs w:val="18"/>
        </w:rPr>
        <w:t xml:space="preserve"> </w:t>
      </w:r>
      <w:r w:rsidRPr="005003D6">
        <w:rPr>
          <w:sz w:val="16"/>
        </w:rPr>
        <w:t xml:space="preserve">Abbreviations: </w:t>
      </w:r>
      <w:r w:rsidR="002A78FC" w:rsidRPr="005003D6">
        <w:rPr>
          <w:sz w:val="16"/>
        </w:rPr>
        <w:t>RSA = risk sharing arrangement.</w:t>
      </w:r>
    </w:p>
    <w:p w:rsidR="0080703C" w:rsidRPr="002A78FC" w:rsidRDefault="0080703C" w:rsidP="00A81493">
      <w:pPr>
        <w:pStyle w:val="TableFooter"/>
        <w:keepNext/>
        <w:tabs>
          <w:tab w:val="left" w:pos="142"/>
        </w:tabs>
        <w:ind w:left="709"/>
        <w:rPr>
          <w:szCs w:val="22"/>
        </w:rPr>
      </w:pPr>
      <w:r w:rsidRPr="005003D6">
        <w:rPr>
          <w:sz w:val="16"/>
        </w:rPr>
        <w:t>^ The resubmission’s financial model does not present net financial implications to the government health budgets with the removal of the RSA.  During the evaluation this was calculated on the basis of nintedanib net costs to the PBS/RPBS (with 60-100% uptake) + adverse events net cost to the PBS/RPBS (base case analysis) + net cost to the MBS.</w:t>
      </w:r>
    </w:p>
    <w:p w:rsidR="0080703C" w:rsidRPr="002A78FC" w:rsidRDefault="0080703C" w:rsidP="00915C99">
      <w:pPr>
        <w:widowControl/>
      </w:pPr>
    </w:p>
    <w:p w:rsidR="00F46E6D" w:rsidRDefault="00F46E6D" w:rsidP="00F46E6D">
      <w:pPr>
        <w:widowControl/>
        <w:ind w:left="709"/>
        <w:rPr>
          <w:szCs w:val="22"/>
        </w:rPr>
      </w:pPr>
      <w:bookmarkStart w:id="14" w:name="_Toc459120727"/>
      <w:r w:rsidRPr="00F14FFE">
        <w:rPr>
          <w:szCs w:val="22"/>
        </w:rPr>
        <w:t xml:space="preserve">The redacted table </w:t>
      </w:r>
      <w:r>
        <w:rPr>
          <w:szCs w:val="22"/>
        </w:rPr>
        <w:t xml:space="preserve">above </w:t>
      </w:r>
      <w:r w:rsidRPr="00F14FFE">
        <w:rPr>
          <w:szCs w:val="22"/>
        </w:rPr>
        <w:t>shows that at year 5, the estimated number of patients was less than 10,000 per year and the net cost to the PBS would be less than $10</w:t>
      </w:r>
      <w:r>
        <w:rPr>
          <w:szCs w:val="22"/>
        </w:rPr>
        <w:t xml:space="preserve"> - $20</w:t>
      </w:r>
      <w:r w:rsidRPr="00F14FFE">
        <w:rPr>
          <w:szCs w:val="22"/>
        </w:rPr>
        <w:t xml:space="preserve"> million per year.</w:t>
      </w:r>
    </w:p>
    <w:p w:rsidR="00652BBF" w:rsidRDefault="00652BBF" w:rsidP="00F46E6D">
      <w:pPr>
        <w:widowControl/>
        <w:ind w:left="709"/>
        <w:rPr>
          <w:szCs w:val="22"/>
        </w:rPr>
      </w:pPr>
    </w:p>
    <w:p w:rsidR="004C6E69" w:rsidRPr="008A0437" w:rsidRDefault="004C6E69" w:rsidP="00BA5411">
      <w:pPr>
        <w:keepNext/>
        <w:widowControl/>
        <w:outlineLvl w:val="1"/>
        <w:rPr>
          <w:b/>
          <w:i/>
        </w:rPr>
      </w:pPr>
      <w:r w:rsidRPr="008A0437">
        <w:rPr>
          <w:b/>
          <w:i/>
        </w:rPr>
        <w:t>Quality Use of Medicines</w:t>
      </w:r>
      <w:bookmarkEnd w:id="14"/>
    </w:p>
    <w:p w:rsidR="004C6E69" w:rsidRPr="008A0437" w:rsidRDefault="004C6E69" w:rsidP="00BA5411">
      <w:pPr>
        <w:keepNext/>
        <w:widowControl/>
        <w:rPr>
          <w:szCs w:val="22"/>
        </w:rPr>
      </w:pPr>
    </w:p>
    <w:p w:rsidR="004C6E69" w:rsidRPr="008A0437" w:rsidRDefault="004C6E69" w:rsidP="00915C99">
      <w:pPr>
        <w:widowControl/>
        <w:numPr>
          <w:ilvl w:val="1"/>
          <w:numId w:val="1"/>
        </w:numPr>
        <w:contextualSpacing/>
        <w:rPr>
          <w:szCs w:val="22"/>
        </w:rPr>
      </w:pPr>
      <w:r w:rsidRPr="008A0437">
        <w:t>The resubmission indicated that the sponsor will support education activities for prescribers and patients</w:t>
      </w:r>
      <w:r w:rsidR="009A5355" w:rsidRPr="008A0437">
        <w:t>, including those patients who breach the proposed continuation rule</w:t>
      </w:r>
      <w:r w:rsidRPr="008A0437">
        <w:t>.</w:t>
      </w:r>
    </w:p>
    <w:p w:rsidR="00CD287C" w:rsidRPr="008A0437" w:rsidRDefault="00CD287C" w:rsidP="002A78FC">
      <w:pPr>
        <w:widowControl/>
        <w:contextualSpacing/>
      </w:pPr>
    </w:p>
    <w:p w:rsidR="00CD287C" w:rsidRPr="008A0437" w:rsidRDefault="004F32A7" w:rsidP="004F32A7">
      <w:pPr>
        <w:widowControl/>
        <w:numPr>
          <w:ilvl w:val="1"/>
          <w:numId w:val="1"/>
        </w:numPr>
        <w:contextualSpacing/>
      </w:pPr>
      <w:r w:rsidRPr="008A0437">
        <w:t xml:space="preserve">Based on the number of patients requiring at least one dose reduction due to tolerability issues in the clinical trials, the submission estimated that 24% of patients would be on the 100mg dose. </w:t>
      </w:r>
      <w:r w:rsidR="00CD287C" w:rsidRPr="008A0437">
        <w:t xml:space="preserve">DUSC </w:t>
      </w:r>
      <w:r w:rsidRPr="008A0437">
        <w:t>previously noted</w:t>
      </w:r>
      <w:r w:rsidR="00C70614" w:rsidRPr="008A0437">
        <w:t xml:space="preserve"> </w:t>
      </w:r>
      <w:r w:rsidRPr="008A0437">
        <w:t xml:space="preserve">that </w:t>
      </w:r>
      <w:r w:rsidR="00CD287C" w:rsidRPr="008A0437">
        <w:t>side effects were common at the 150</w:t>
      </w:r>
      <w:r w:rsidRPr="008A0437">
        <w:t xml:space="preserve"> </w:t>
      </w:r>
      <w:r w:rsidR="00CD287C" w:rsidRPr="008A0437">
        <w:t>mg dose with 60% of patients experiencing diarrhoea, 25% nausea and 12% vomiting. DUSC recommended that if nintedanib is listed on the PBS for IPF, that a predicted versus actual utilisation review should assess the proportion of</w:t>
      </w:r>
      <w:r w:rsidR="00355CBA">
        <w:t xml:space="preserve"> </w:t>
      </w:r>
      <w:r w:rsidR="00CD287C" w:rsidRPr="008A0437">
        <w:lastRenderedPageBreak/>
        <w:t>100mg use and the duration of dose reductions or interruptions</w:t>
      </w:r>
      <w:r w:rsidRPr="008A0437">
        <w:t xml:space="preserve"> (nintedanib March 2015 PSD, paragraph 6.45)</w:t>
      </w:r>
      <w:r w:rsidR="002A78FC">
        <w:t>.</w:t>
      </w:r>
    </w:p>
    <w:p w:rsidR="005529DC" w:rsidRPr="008A0437" w:rsidRDefault="005529DC" w:rsidP="00915C99">
      <w:pPr>
        <w:widowControl/>
        <w:rPr>
          <w:szCs w:val="22"/>
        </w:rPr>
      </w:pPr>
    </w:p>
    <w:p w:rsidR="004C6E69" w:rsidRPr="008A0437" w:rsidRDefault="004C6E69" w:rsidP="00915C99">
      <w:pPr>
        <w:keepNext/>
        <w:widowControl/>
        <w:outlineLvl w:val="1"/>
        <w:rPr>
          <w:b/>
          <w:i/>
          <w:szCs w:val="22"/>
        </w:rPr>
      </w:pPr>
      <w:bookmarkStart w:id="15" w:name="_Toc459120728"/>
      <w:r w:rsidRPr="008A0437">
        <w:rPr>
          <w:b/>
          <w:i/>
        </w:rPr>
        <w:t>Financial Management – Risk Sharing Arrangements</w:t>
      </w:r>
      <w:bookmarkEnd w:id="15"/>
    </w:p>
    <w:p w:rsidR="004C6E69" w:rsidRPr="008A0437" w:rsidRDefault="004C6E69" w:rsidP="00915C99">
      <w:pPr>
        <w:keepNext/>
        <w:widowControl/>
        <w:rPr>
          <w:szCs w:val="22"/>
        </w:rPr>
      </w:pPr>
    </w:p>
    <w:p w:rsidR="00CD287C" w:rsidRPr="008A0437" w:rsidRDefault="00CD287C" w:rsidP="00CD287C">
      <w:pPr>
        <w:widowControl/>
        <w:numPr>
          <w:ilvl w:val="1"/>
          <w:numId w:val="1"/>
        </w:numPr>
        <w:contextualSpacing/>
      </w:pPr>
      <w:r w:rsidRPr="008A0437">
        <w:t>As in the November 2015 resubmission, the current resubmission proposed a</w:t>
      </w:r>
      <w:r w:rsidR="00FC3050" w:rsidRPr="008A0437">
        <w:t>n</w:t>
      </w:r>
      <w:r w:rsidRPr="008A0437">
        <w:t xml:space="preserve"> </w:t>
      </w:r>
      <w:r w:rsidR="00FC3050" w:rsidRPr="008A0437">
        <w:t>SPA</w:t>
      </w:r>
      <w:r w:rsidRPr="008A0437">
        <w:t xml:space="preserve"> and </w:t>
      </w:r>
      <w:r w:rsidR="00B11E95" w:rsidRPr="008A0437">
        <w:t xml:space="preserve">an </w:t>
      </w:r>
      <w:r w:rsidR="00FC3050" w:rsidRPr="008A0437">
        <w:t>RSA</w:t>
      </w:r>
      <w:r w:rsidRPr="008A0437">
        <w:t xml:space="preserve"> which </w:t>
      </w:r>
      <w:r w:rsidR="008A0437">
        <w:t xml:space="preserve">implemented </w:t>
      </w:r>
      <w:r w:rsidRPr="008A0437">
        <w:t>subsidisation caps ba</w:t>
      </w:r>
      <w:r w:rsidR="0018544E" w:rsidRPr="008A0437">
        <w:t xml:space="preserve">sed on the </w:t>
      </w:r>
      <w:r w:rsidR="00B11E95" w:rsidRPr="008A0437">
        <w:t xml:space="preserve">submission’s </w:t>
      </w:r>
      <w:r w:rsidR="0018544E" w:rsidRPr="008A0437">
        <w:t>financial estimates.</w:t>
      </w:r>
    </w:p>
    <w:p w:rsidR="00CD287C" w:rsidRPr="008A0437" w:rsidRDefault="00CD287C" w:rsidP="002A78FC">
      <w:pPr>
        <w:widowControl/>
        <w:contextualSpacing/>
      </w:pPr>
    </w:p>
    <w:p w:rsidR="00CD287C" w:rsidRPr="00EB4C9F" w:rsidRDefault="00CD287C" w:rsidP="00CD287C">
      <w:pPr>
        <w:widowControl/>
        <w:numPr>
          <w:ilvl w:val="1"/>
          <w:numId w:val="1"/>
        </w:numPr>
        <w:contextualSpacing/>
        <w:rPr>
          <w:szCs w:val="22"/>
        </w:rPr>
      </w:pPr>
      <w:r w:rsidRPr="008A0437">
        <w:t xml:space="preserve">The current resubmission stated that, at the proposed effective price, the </w:t>
      </w:r>
      <w:r w:rsidR="000F2397">
        <w:t xml:space="preserve">associated </w:t>
      </w:r>
      <w:r w:rsidRPr="008A0437">
        <w:t xml:space="preserve">capped expenditure in Year 1 was </w:t>
      </w:r>
      <w:r w:rsidR="00CF0F19">
        <w:t>less than $10 million</w:t>
      </w:r>
      <w:r w:rsidRPr="008A0437">
        <w:t xml:space="preserve">, increasing to </w:t>
      </w:r>
      <w:r w:rsidR="008434F1">
        <w:t>between $10 million and $20 million</w:t>
      </w:r>
      <w:r w:rsidRPr="008A0437">
        <w:t xml:space="preserve"> in Year 5. Alternatively, the current </w:t>
      </w:r>
      <w:r w:rsidR="002763F1" w:rsidRPr="008A0437">
        <w:t>re</w:t>
      </w:r>
      <w:r w:rsidRPr="008A0437">
        <w:t xml:space="preserve">submission proposed class expenditure caps, which </w:t>
      </w:r>
      <w:r w:rsidR="002763F1" w:rsidRPr="008A0437">
        <w:t>were</w:t>
      </w:r>
      <w:r w:rsidRPr="008A0437">
        <w:t xml:space="preserve"> based on the same prevalence rates but have adjusted uptake rates to account for the listing of multiple therapies. No detail was supplied of how the uptake rates were adjusted. In this case the e</w:t>
      </w:r>
      <w:r w:rsidR="002763F1" w:rsidRPr="008A0437">
        <w:t xml:space="preserve">ffective expenditure was </w:t>
      </w:r>
      <w:r w:rsidR="008434F1">
        <w:t>$10 - $20 million</w:t>
      </w:r>
      <w:r w:rsidRPr="008A0437">
        <w:t xml:space="preserve"> </w:t>
      </w:r>
      <w:r w:rsidR="00005416" w:rsidRPr="008A0437">
        <w:t>in Y</w:t>
      </w:r>
      <w:r w:rsidR="002763F1" w:rsidRPr="008A0437">
        <w:t xml:space="preserve">ear 1, increasing to </w:t>
      </w:r>
      <w:r w:rsidR="008434F1">
        <w:t>$20 - $30 million</w:t>
      </w:r>
      <w:r w:rsidR="00005416" w:rsidRPr="008A0437">
        <w:t xml:space="preserve"> in Y</w:t>
      </w:r>
      <w:r w:rsidR="00DB3784" w:rsidRPr="008A0437">
        <w:t>ear 5.</w:t>
      </w:r>
      <w:r w:rsidRPr="008A0437">
        <w:t xml:space="preserve"> Given the estimates were conducted in the context of no other available treatments, the </w:t>
      </w:r>
      <w:r w:rsidR="00E303D0" w:rsidRPr="008A0437">
        <w:t xml:space="preserve">DUSC considered that the </w:t>
      </w:r>
      <w:r w:rsidRPr="008A0437">
        <w:t>class subsidisation caps would be expected to be consistent with nintedanib subsidisation caps.</w:t>
      </w:r>
    </w:p>
    <w:p w:rsidR="00EB4C9F" w:rsidRPr="002A78FC" w:rsidRDefault="00EB4C9F" w:rsidP="00EB4C9F">
      <w:pPr>
        <w:rPr>
          <w:szCs w:val="22"/>
        </w:rPr>
      </w:pPr>
    </w:p>
    <w:p w:rsidR="00E5235D" w:rsidRPr="008A0437" w:rsidRDefault="00E5235D" w:rsidP="00E5235D">
      <w:pPr>
        <w:widowControl/>
        <w:numPr>
          <w:ilvl w:val="1"/>
          <w:numId w:val="1"/>
        </w:numPr>
        <w:contextualSpacing/>
        <w:rPr>
          <w:bCs/>
          <w:szCs w:val="22"/>
        </w:rPr>
      </w:pPr>
      <w:r w:rsidRPr="008A0437">
        <w:rPr>
          <w:bCs/>
          <w:szCs w:val="22"/>
        </w:rPr>
        <w:t>DUSC considered there would be potential for use of nintedanib outside the requested restriction in other subtypes of interstitial lung disease, which also have limited treatment options. While this risk would likely be mitigated by the suggested authority listing</w:t>
      </w:r>
      <w:r w:rsidR="00A248A8">
        <w:rPr>
          <w:bCs/>
          <w:szCs w:val="22"/>
        </w:rPr>
        <w:t xml:space="preserve"> and the requirement for diagnosis by a multidisciplinary team</w:t>
      </w:r>
      <w:r w:rsidRPr="008A0437">
        <w:rPr>
          <w:bCs/>
          <w:szCs w:val="22"/>
        </w:rPr>
        <w:t>, DUSC considered a tight RSA was important.</w:t>
      </w:r>
    </w:p>
    <w:p w:rsidR="0030178D" w:rsidRPr="008A0437" w:rsidRDefault="0030178D" w:rsidP="00915C99">
      <w:pPr>
        <w:widowControl/>
      </w:pPr>
    </w:p>
    <w:p w:rsidR="00503055" w:rsidRPr="008A0437" w:rsidRDefault="00503055" w:rsidP="00915C99">
      <w:pPr>
        <w:pStyle w:val="ListParagraph"/>
        <w:widowControl/>
        <w:numPr>
          <w:ilvl w:val="1"/>
          <w:numId w:val="1"/>
        </w:numPr>
      </w:pPr>
      <w:r w:rsidRPr="008A0437">
        <w:t xml:space="preserve">In November 2015, the PBAC asked the sponsor </w:t>
      </w:r>
      <w:r w:rsidR="000F2397">
        <w:t xml:space="preserve">to </w:t>
      </w:r>
      <w:r w:rsidRPr="008A0437">
        <w:t>consider a managed access program to compare the proportion of PBS patients who discontinue against the proportion established by the clinical trials</w:t>
      </w:r>
      <w:r w:rsidR="000F2397">
        <w:t>.</w:t>
      </w:r>
      <w:r w:rsidRPr="008A0437">
        <w:t xml:space="preserve"> </w:t>
      </w:r>
      <w:r w:rsidR="000F2397">
        <w:t xml:space="preserve">They were asked to </w:t>
      </w:r>
      <w:r w:rsidRPr="008A0437">
        <w:t xml:space="preserve">agree a basis to vary the price to maintain cost-effectiveness reflecting the extent that the PBS observed proportion might differ from the proportion established by the clinical trials and/or model </w:t>
      </w:r>
      <w:r w:rsidRPr="008A0437">
        <w:rPr>
          <w:szCs w:val="22"/>
        </w:rPr>
        <w:t>(November 2015 PSD, paragraph 7.1). The current resubmission (p326) considered that a managed access program would likely further delay access to nintedanib and be “unlikely to address any uncertainties that have not already been addressed by the proposed continuation criteria and the financial RSA.”</w:t>
      </w:r>
    </w:p>
    <w:p w:rsidR="00062705" w:rsidRPr="00F553EF" w:rsidRDefault="00062705" w:rsidP="00062705">
      <w:pPr>
        <w:widowControl/>
      </w:pPr>
    </w:p>
    <w:p w:rsidR="00062705" w:rsidRPr="00F553EF" w:rsidRDefault="00062705" w:rsidP="00062705">
      <w:pPr>
        <w:pStyle w:val="ListParagraph"/>
        <w:widowControl/>
        <w:numPr>
          <w:ilvl w:val="1"/>
          <w:numId w:val="1"/>
        </w:numPr>
      </w:pPr>
      <w:r w:rsidRPr="00F553EF">
        <w:rPr>
          <w:szCs w:val="22"/>
        </w:rPr>
        <w:t>The PBAC considered that implementing a continuation rule for nintedanib would be difficult in practice and recommended that the risk of continued treatment in patients whose condition has deteriorated (and may no longer be cost effective) should be managed through the RSA.</w:t>
      </w:r>
    </w:p>
    <w:p w:rsidR="00062705" w:rsidRPr="00F553EF" w:rsidRDefault="00062705" w:rsidP="00062705">
      <w:pPr>
        <w:widowControl/>
      </w:pPr>
    </w:p>
    <w:p w:rsidR="00F553EF" w:rsidRPr="00F553EF" w:rsidRDefault="006D7B39" w:rsidP="00F553EF">
      <w:pPr>
        <w:widowControl/>
        <w:numPr>
          <w:ilvl w:val="1"/>
          <w:numId w:val="1"/>
        </w:numPr>
        <w:contextualSpacing/>
        <w:rPr>
          <w:szCs w:val="22"/>
        </w:rPr>
      </w:pPr>
      <w:r w:rsidRPr="00F553EF">
        <w:rPr>
          <w:szCs w:val="22"/>
        </w:rPr>
        <w:t xml:space="preserve">The PBAC </w:t>
      </w:r>
      <w:r w:rsidR="000B7CFD" w:rsidRPr="00F553EF">
        <w:rPr>
          <w:szCs w:val="22"/>
        </w:rPr>
        <w:t>recommended</w:t>
      </w:r>
      <w:r w:rsidR="00FC3050" w:rsidRPr="00F553EF">
        <w:rPr>
          <w:szCs w:val="22"/>
        </w:rPr>
        <w:t xml:space="preserve"> </w:t>
      </w:r>
      <w:r w:rsidR="005771F9" w:rsidRPr="00F553EF">
        <w:rPr>
          <w:szCs w:val="22"/>
        </w:rPr>
        <w:t xml:space="preserve">an </w:t>
      </w:r>
      <w:r w:rsidR="00FC3050" w:rsidRPr="00F553EF">
        <w:rPr>
          <w:szCs w:val="22"/>
        </w:rPr>
        <w:t>RSA</w:t>
      </w:r>
      <w:r w:rsidR="0038192C" w:rsidRPr="00F553EF">
        <w:rPr>
          <w:szCs w:val="22"/>
        </w:rPr>
        <w:t>,</w:t>
      </w:r>
      <w:r w:rsidR="00FC3050" w:rsidRPr="00F553EF">
        <w:rPr>
          <w:szCs w:val="22"/>
        </w:rPr>
        <w:t xml:space="preserve"> </w:t>
      </w:r>
      <w:r w:rsidR="005771F9" w:rsidRPr="00F553EF">
        <w:rPr>
          <w:szCs w:val="22"/>
        </w:rPr>
        <w:t xml:space="preserve">which would cap </w:t>
      </w:r>
      <w:r w:rsidR="000B7CFD" w:rsidRPr="00F553EF">
        <w:rPr>
          <w:szCs w:val="22"/>
        </w:rPr>
        <w:t>G</w:t>
      </w:r>
      <w:r w:rsidR="005771F9" w:rsidRPr="00F553EF">
        <w:rPr>
          <w:szCs w:val="22"/>
        </w:rPr>
        <w:t xml:space="preserve">overnment financial </w:t>
      </w:r>
      <w:r w:rsidR="005771F9" w:rsidRPr="004454B8">
        <w:rPr>
          <w:szCs w:val="22"/>
        </w:rPr>
        <w:t xml:space="preserve">expenditure </w:t>
      </w:r>
      <w:r w:rsidR="00A51B4B" w:rsidRPr="004454B8">
        <w:rPr>
          <w:szCs w:val="22"/>
        </w:rPr>
        <w:t xml:space="preserve">based on </w:t>
      </w:r>
      <w:r w:rsidR="005771F9" w:rsidRPr="004454B8">
        <w:rPr>
          <w:szCs w:val="22"/>
        </w:rPr>
        <w:t xml:space="preserve">the submission’s estimates </w:t>
      </w:r>
      <w:r w:rsidR="00E84F7F" w:rsidRPr="004454B8">
        <w:rPr>
          <w:szCs w:val="22"/>
        </w:rPr>
        <w:t xml:space="preserve">for treated patients (uptake of </w:t>
      </w:r>
      <w:r w:rsidR="003B3717">
        <w:rPr>
          <w:noProof/>
          <w:color w:val="000000"/>
          <w:szCs w:val="22"/>
          <w:highlight w:val="black"/>
        </w:rPr>
        <w:t>''''''</w:t>
      </w:r>
      <w:r w:rsidR="004454B8" w:rsidRPr="004454B8">
        <w:rPr>
          <w:szCs w:val="22"/>
        </w:rPr>
        <w:t xml:space="preserve"> </w:t>
      </w:r>
      <w:r w:rsidR="004F5C59" w:rsidRPr="004454B8">
        <w:rPr>
          <w:szCs w:val="22"/>
        </w:rPr>
        <w:noBreakHyphen/>
      </w:r>
      <w:r w:rsidR="004454B8" w:rsidRPr="004454B8">
        <w:rPr>
          <w:szCs w:val="22"/>
        </w:rPr>
        <w:t xml:space="preserve"> </w:t>
      </w:r>
      <w:r w:rsidR="003B3717">
        <w:rPr>
          <w:noProof/>
          <w:color w:val="000000"/>
          <w:szCs w:val="22"/>
          <w:highlight w:val="black"/>
        </w:rPr>
        <w:t>'''''''</w:t>
      </w:r>
      <w:r w:rsidR="00E84F7F" w:rsidRPr="004454B8">
        <w:rPr>
          <w:szCs w:val="22"/>
        </w:rPr>
        <w:t>%)</w:t>
      </w:r>
      <w:r w:rsidR="000B7CFD" w:rsidRPr="00F553EF">
        <w:rPr>
          <w:szCs w:val="22"/>
        </w:rPr>
        <w:t xml:space="preserve"> </w:t>
      </w:r>
      <w:r w:rsidR="00E84F7F" w:rsidRPr="00F553EF">
        <w:rPr>
          <w:szCs w:val="22"/>
        </w:rPr>
        <w:t>and adjusted for the continuation rule</w:t>
      </w:r>
      <w:r w:rsidR="00A51B4B" w:rsidRPr="00F553EF">
        <w:rPr>
          <w:szCs w:val="22"/>
        </w:rPr>
        <w:t>.</w:t>
      </w:r>
      <w:r w:rsidR="00E84F7F" w:rsidRPr="00F553EF">
        <w:rPr>
          <w:szCs w:val="22"/>
        </w:rPr>
        <w:t xml:space="preserve"> </w:t>
      </w:r>
      <w:r w:rsidR="00A51B4B" w:rsidRPr="00F553EF">
        <w:rPr>
          <w:szCs w:val="22"/>
        </w:rPr>
        <w:t>A</w:t>
      </w:r>
      <w:r w:rsidR="005771F9" w:rsidRPr="00F553EF">
        <w:rPr>
          <w:szCs w:val="22"/>
        </w:rPr>
        <w:t xml:space="preserve"> </w:t>
      </w:r>
      <w:r w:rsidR="005771F9" w:rsidRPr="006F1A1D">
        <w:rPr>
          <w:szCs w:val="22"/>
        </w:rPr>
        <w:t>100</w:t>
      </w:r>
      <w:r w:rsidR="005771F9" w:rsidRPr="00F553EF">
        <w:rPr>
          <w:szCs w:val="22"/>
        </w:rPr>
        <w:t>% rebate</w:t>
      </w:r>
      <w:r w:rsidR="00A51B4B" w:rsidRPr="00F553EF">
        <w:rPr>
          <w:szCs w:val="22"/>
        </w:rPr>
        <w:t xml:space="preserve"> should apply to any Government expenditure beyond the financial cap</w:t>
      </w:r>
      <w:r w:rsidR="005771F9" w:rsidRPr="00F553EF">
        <w:rPr>
          <w:szCs w:val="22"/>
        </w:rPr>
        <w:t xml:space="preserve">. </w:t>
      </w:r>
      <w:r w:rsidR="00F553EF" w:rsidRPr="00F553EF">
        <w:rPr>
          <w:szCs w:val="22"/>
        </w:rPr>
        <w:t>The PBAC further recommended that any other drugs recommended for the treatment of IPF in the future should be included within the same financial caps.</w:t>
      </w:r>
    </w:p>
    <w:p w:rsidR="00C6215B" w:rsidRPr="002A78FC" w:rsidRDefault="00C6215B" w:rsidP="00915C99">
      <w:pPr>
        <w:widowControl/>
        <w:rPr>
          <w:szCs w:val="22"/>
        </w:rPr>
      </w:pPr>
    </w:p>
    <w:p w:rsidR="00C82E65" w:rsidRPr="008A0437" w:rsidRDefault="00C82E65" w:rsidP="00915C99">
      <w:pPr>
        <w:widowControl/>
        <w:ind w:left="709"/>
        <w:contextualSpacing/>
        <w:rPr>
          <w:rFonts w:cs="Times New Roman"/>
          <w:i/>
          <w:snapToGrid/>
          <w:szCs w:val="22"/>
          <w:lang w:eastAsia="en-AU"/>
        </w:rPr>
      </w:pPr>
      <w:r w:rsidRPr="008A0437">
        <w:rPr>
          <w:rFonts w:cs="Times New Roman"/>
          <w:i/>
          <w:snapToGrid/>
          <w:szCs w:val="22"/>
          <w:lang w:eastAsia="en-AU"/>
        </w:rPr>
        <w:t>For more detail on PBAC’s view, see section 7 “PBAC outcome”</w:t>
      </w:r>
      <w:r w:rsidR="002A78FC">
        <w:rPr>
          <w:rFonts w:cs="Times New Roman"/>
          <w:i/>
          <w:snapToGrid/>
          <w:szCs w:val="22"/>
          <w:lang w:eastAsia="en-AU"/>
        </w:rPr>
        <w:t>.</w:t>
      </w:r>
    </w:p>
    <w:p w:rsidR="00D46173" w:rsidRPr="002A78FC" w:rsidRDefault="00D46173" w:rsidP="002A78FC">
      <w:pPr>
        <w:widowControl/>
        <w:contextualSpacing/>
        <w:rPr>
          <w:rFonts w:cs="Times New Roman"/>
          <w:snapToGrid/>
          <w:szCs w:val="22"/>
          <w:lang w:eastAsia="en-AU"/>
        </w:rPr>
      </w:pPr>
    </w:p>
    <w:p w:rsidR="0092792C" w:rsidRPr="008A0437" w:rsidRDefault="0092792C" w:rsidP="00915C99">
      <w:pPr>
        <w:widowControl/>
        <w:jc w:val="left"/>
        <w:rPr>
          <w:b/>
          <w:i/>
          <w:szCs w:val="22"/>
        </w:rPr>
      </w:pPr>
    </w:p>
    <w:p w:rsidR="0092792C" w:rsidRPr="008A0437" w:rsidRDefault="0092792C" w:rsidP="00F553EF">
      <w:pPr>
        <w:pStyle w:val="PBACheading1"/>
        <w:keepNext/>
        <w:rPr>
          <w:b/>
        </w:rPr>
      </w:pPr>
      <w:r w:rsidRPr="008A0437">
        <w:rPr>
          <w:b/>
        </w:rPr>
        <w:lastRenderedPageBreak/>
        <w:t>PBAC Outcome</w:t>
      </w:r>
    </w:p>
    <w:p w:rsidR="0092792C" w:rsidRPr="008A0437" w:rsidRDefault="0092792C" w:rsidP="00F553EF">
      <w:pPr>
        <w:keepNext/>
        <w:widowControl/>
        <w:contextualSpacing/>
        <w:rPr>
          <w:bCs/>
          <w:szCs w:val="22"/>
        </w:rPr>
      </w:pPr>
    </w:p>
    <w:p w:rsidR="00F7381D" w:rsidRPr="008A0437" w:rsidRDefault="00CF4BB5" w:rsidP="00915C99">
      <w:pPr>
        <w:widowControl/>
        <w:numPr>
          <w:ilvl w:val="1"/>
          <w:numId w:val="1"/>
        </w:numPr>
        <w:contextualSpacing/>
        <w:rPr>
          <w:bCs/>
          <w:szCs w:val="22"/>
        </w:rPr>
      </w:pPr>
      <w:r w:rsidRPr="008A0437">
        <w:rPr>
          <w:bCs/>
          <w:szCs w:val="22"/>
        </w:rPr>
        <w:t xml:space="preserve">The PBAC recommended the listing of nintedanib </w:t>
      </w:r>
      <w:r w:rsidR="000C71EC" w:rsidRPr="008A0437">
        <w:rPr>
          <w:bCs/>
          <w:szCs w:val="22"/>
        </w:rPr>
        <w:t>for the treatment of idiopathic pulmonary fibrosis</w:t>
      </w:r>
      <w:r w:rsidR="0080098C" w:rsidRPr="008A0437">
        <w:rPr>
          <w:bCs/>
          <w:szCs w:val="22"/>
        </w:rPr>
        <w:t xml:space="preserve"> (IPF)</w:t>
      </w:r>
      <w:r w:rsidR="00BA2E74" w:rsidRPr="008A0437">
        <w:rPr>
          <w:bCs/>
          <w:szCs w:val="22"/>
        </w:rPr>
        <w:t xml:space="preserve"> under certain conditions</w:t>
      </w:r>
      <w:r w:rsidR="0093103F" w:rsidRPr="008A0437">
        <w:rPr>
          <w:bCs/>
          <w:szCs w:val="22"/>
        </w:rPr>
        <w:t xml:space="preserve"> </w:t>
      </w:r>
      <w:r w:rsidR="0093103F" w:rsidRPr="00EC76C1">
        <w:rPr>
          <w:bCs/>
          <w:szCs w:val="22"/>
        </w:rPr>
        <w:t>(see recommended listing)</w:t>
      </w:r>
      <w:r w:rsidR="000C71EC" w:rsidRPr="008A0437">
        <w:rPr>
          <w:bCs/>
          <w:szCs w:val="22"/>
        </w:rPr>
        <w:t>. The PBAC was satisfied that nintedanib provides, for some patients, a significant improvement in</w:t>
      </w:r>
      <w:r w:rsidR="00BA2E74" w:rsidRPr="008A0437">
        <w:rPr>
          <w:bCs/>
          <w:szCs w:val="22"/>
        </w:rPr>
        <w:t xml:space="preserve"> eff</w:t>
      </w:r>
      <w:r w:rsidR="00FB712F">
        <w:rPr>
          <w:bCs/>
          <w:szCs w:val="22"/>
        </w:rPr>
        <w:t>ectiveness</w:t>
      </w:r>
      <w:r w:rsidR="00BA2E74" w:rsidRPr="008A0437">
        <w:rPr>
          <w:bCs/>
          <w:szCs w:val="22"/>
        </w:rPr>
        <w:t xml:space="preserve"> </w:t>
      </w:r>
      <w:r w:rsidR="000063BC">
        <w:rPr>
          <w:bCs/>
          <w:szCs w:val="22"/>
        </w:rPr>
        <w:t>compared with</w:t>
      </w:r>
      <w:r w:rsidR="000C71EC" w:rsidRPr="008A0437">
        <w:rPr>
          <w:bCs/>
          <w:szCs w:val="22"/>
        </w:rPr>
        <w:t xml:space="preserve"> best supportive care</w:t>
      </w:r>
      <w:r w:rsidR="0020775A" w:rsidRPr="008A0437">
        <w:rPr>
          <w:bCs/>
          <w:szCs w:val="22"/>
        </w:rPr>
        <w:t xml:space="preserve"> (BSC)</w:t>
      </w:r>
      <w:r w:rsidR="000C71EC" w:rsidRPr="008A0437">
        <w:rPr>
          <w:bCs/>
          <w:szCs w:val="22"/>
        </w:rPr>
        <w:t>.</w:t>
      </w:r>
    </w:p>
    <w:p w:rsidR="0092792C" w:rsidRPr="008A0437" w:rsidRDefault="0092792C" w:rsidP="00915C99">
      <w:pPr>
        <w:widowControl/>
        <w:contextualSpacing/>
        <w:rPr>
          <w:bCs/>
          <w:szCs w:val="22"/>
        </w:rPr>
      </w:pPr>
    </w:p>
    <w:p w:rsidR="004F3147" w:rsidRPr="008A0437" w:rsidRDefault="009E6E7D" w:rsidP="00915C99">
      <w:pPr>
        <w:widowControl/>
        <w:numPr>
          <w:ilvl w:val="1"/>
          <w:numId w:val="1"/>
        </w:numPr>
        <w:contextualSpacing/>
        <w:rPr>
          <w:bCs/>
          <w:szCs w:val="22"/>
        </w:rPr>
      </w:pPr>
      <w:r w:rsidRPr="008A0437">
        <w:rPr>
          <w:bCs/>
          <w:szCs w:val="22"/>
        </w:rPr>
        <w:t xml:space="preserve">The PBAC recalled </w:t>
      </w:r>
      <w:r w:rsidR="003F0B47" w:rsidRPr="008A0437">
        <w:rPr>
          <w:bCs/>
          <w:szCs w:val="22"/>
        </w:rPr>
        <w:t>that in November 2015 it</w:t>
      </w:r>
      <w:r w:rsidRPr="008A0437">
        <w:rPr>
          <w:bCs/>
          <w:szCs w:val="22"/>
        </w:rPr>
        <w:t xml:space="preserve"> deferred making a decision for nintedanib subject to a revised base case ICER of approximately $60,000 per QALY, re-specified to incorporate a continuation rule and a price </w:t>
      </w:r>
      <w:r w:rsidR="000F3650">
        <w:rPr>
          <w:bCs/>
          <w:szCs w:val="22"/>
        </w:rPr>
        <w:t>rebate</w:t>
      </w:r>
      <w:r w:rsidR="000F2397" w:rsidRPr="008A0437">
        <w:rPr>
          <w:bCs/>
          <w:szCs w:val="22"/>
        </w:rPr>
        <w:t>tion that</w:t>
      </w:r>
      <w:r w:rsidRPr="008A0437">
        <w:rPr>
          <w:bCs/>
          <w:szCs w:val="22"/>
        </w:rPr>
        <w:t xml:space="preserve"> does not take into account any consequence of the proposed RSA.</w:t>
      </w:r>
    </w:p>
    <w:p w:rsidR="004F3147" w:rsidRPr="002A78FC" w:rsidRDefault="004F3147" w:rsidP="00915C99">
      <w:pPr>
        <w:widowControl/>
        <w:rPr>
          <w:bCs/>
          <w:szCs w:val="22"/>
        </w:rPr>
      </w:pPr>
    </w:p>
    <w:p w:rsidR="0092792C" w:rsidRPr="008A0437" w:rsidRDefault="009E6E7D" w:rsidP="00915C99">
      <w:pPr>
        <w:widowControl/>
        <w:numPr>
          <w:ilvl w:val="1"/>
          <w:numId w:val="1"/>
        </w:numPr>
        <w:contextualSpacing/>
        <w:rPr>
          <w:bCs/>
          <w:szCs w:val="22"/>
        </w:rPr>
      </w:pPr>
      <w:r w:rsidRPr="008A0437">
        <w:rPr>
          <w:bCs/>
          <w:szCs w:val="22"/>
        </w:rPr>
        <w:t>As per its previous considerations</w:t>
      </w:r>
      <w:r w:rsidR="003F0B47" w:rsidRPr="008A0437">
        <w:rPr>
          <w:bCs/>
          <w:szCs w:val="22"/>
        </w:rPr>
        <w:t xml:space="preserve"> in March 2015 and November 2015</w:t>
      </w:r>
      <w:r w:rsidRPr="008A0437">
        <w:rPr>
          <w:bCs/>
          <w:szCs w:val="22"/>
        </w:rPr>
        <w:t>, t</w:t>
      </w:r>
      <w:r w:rsidR="005529DC" w:rsidRPr="008A0437">
        <w:rPr>
          <w:bCs/>
          <w:szCs w:val="22"/>
        </w:rPr>
        <w:t>he PBAC</w:t>
      </w:r>
      <w:r w:rsidRPr="008A0437">
        <w:rPr>
          <w:bCs/>
          <w:szCs w:val="22"/>
        </w:rPr>
        <w:t xml:space="preserve"> recognised </w:t>
      </w:r>
      <w:r w:rsidRPr="008A0437">
        <w:rPr>
          <w:szCs w:val="22"/>
        </w:rPr>
        <w:t>the high clinical need for an effective treatment for IPF and the</w:t>
      </w:r>
      <w:r w:rsidRPr="008A0437">
        <w:t xml:space="preserve"> significant debilitating effects of the disease on quality of life, as noted in the consumer comments received for this item</w:t>
      </w:r>
      <w:r w:rsidRPr="008A0437">
        <w:rPr>
          <w:bCs/>
          <w:szCs w:val="22"/>
        </w:rPr>
        <w:t xml:space="preserve">. </w:t>
      </w:r>
      <w:r w:rsidR="00A7311F" w:rsidRPr="008A0437">
        <w:rPr>
          <w:bCs/>
          <w:szCs w:val="22"/>
        </w:rPr>
        <w:t>The PBAC noted that the American Thoracic Society guidelines for the treatment of IPF</w:t>
      </w:r>
      <w:r w:rsidR="00730CA9" w:rsidRPr="008A0437">
        <w:rPr>
          <w:bCs/>
          <w:szCs w:val="22"/>
        </w:rPr>
        <w:t xml:space="preserve"> (2015 update</w:t>
      </w:r>
      <w:r w:rsidR="00A7311F" w:rsidRPr="008A0437">
        <w:rPr>
          <w:rStyle w:val="FootnoteReference"/>
          <w:bCs/>
          <w:szCs w:val="22"/>
        </w:rPr>
        <w:footnoteReference w:id="4"/>
      </w:r>
      <w:r w:rsidR="00730CA9" w:rsidRPr="008A0437">
        <w:rPr>
          <w:bCs/>
          <w:szCs w:val="22"/>
        </w:rPr>
        <w:t>)</w:t>
      </w:r>
      <w:r w:rsidR="00A7311F" w:rsidRPr="008A0437">
        <w:rPr>
          <w:bCs/>
          <w:szCs w:val="22"/>
        </w:rPr>
        <w:t xml:space="preserve"> conditional</w:t>
      </w:r>
      <w:r w:rsidR="009A6BC1" w:rsidRPr="008A0437">
        <w:rPr>
          <w:bCs/>
          <w:szCs w:val="22"/>
        </w:rPr>
        <w:t>ly</w:t>
      </w:r>
      <w:r w:rsidR="00A7311F" w:rsidRPr="008A0437">
        <w:rPr>
          <w:bCs/>
          <w:szCs w:val="22"/>
        </w:rPr>
        <w:t xml:space="preserve"> recommend the use of nintedanib and pirfenidone for the treatment of IPF (with moderate confidence in </w:t>
      </w:r>
      <w:r w:rsidR="00AE06D5" w:rsidRPr="008A0437">
        <w:rPr>
          <w:bCs/>
          <w:szCs w:val="22"/>
        </w:rPr>
        <w:t xml:space="preserve">the </w:t>
      </w:r>
      <w:r w:rsidR="00A7311F" w:rsidRPr="008A0437">
        <w:rPr>
          <w:bCs/>
          <w:szCs w:val="22"/>
        </w:rPr>
        <w:t>effect estimates for both drugs).</w:t>
      </w:r>
    </w:p>
    <w:p w:rsidR="0077722E" w:rsidRPr="002A78FC" w:rsidRDefault="0077722E" w:rsidP="00915C99">
      <w:pPr>
        <w:widowControl/>
        <w:rPr>
          <w:bCs/>
          <w:szCs w:val="22"/>
        </w:rPr>
      </w:pPr>
    </w:p>
    <w:p w:rsidR="0077722E" w:rsidRPr="008A0437" w:rsidRDefault="0077722E" w:rsidP="00915C99">
      <w:pPr>
        <w:widowControl/>
        <w:numPr>
          <w:ilvl w:val="1"/>
          <w:numId w:val="1"/>
        </w:numPr>
        <w:contextualSpacing/>
        <w:rPr>
          <w:bCs/>
          <w:szCs w:val="22"/>
        </w:rPr>
      </w:pPr>
      <w:r w:rsidRPr="008A0437">
        <w:rPr>
          <w:bCs/>
          <w:szCs w:val="22"/>
        </w:rPr>
        <w:t>The PBAC noted that IPF is a heterogeneous disease with different clinical courses but ultimately a poor prognosis. In noting the difficulty of diagnosis of IPF and the comments from the Australian IPF registry steering committee</w:t>
      </w:r>
      <w:r w:rsidR="00940082" w:rsidRPr="008A0437">
        <w:rPr>
          <w:bCs/>
          <w:szCs w:val="22"/>
        </w:rPr>
        <w:t>,</w:t>
      </w:r>
      <w:r w:rsidRPr="008A0437">
        <w:rPr>
          <w:bCs/>
          <w:szCs w:val="22"/>
        </w:rPr>
        <w:t xml:space="preserve"> the PBAC </w:t>
      </w:r>
      <w:r w:rsidR="004F6B3E">
        <w:rPr>
          <w:bCs/>
          <w:szCs w:val="22"/>
        </w:rPr>
        <w:t>recommended</w:t>
      </w:r>
      <w:r w:rsidRPr="008A0437">
        <w:rPr>
          <w:bCs/>
          <w:szCs w:val="22"/>
        </w:rPr>
        <w:t xml:space="preserve"> that the restriction should include a criterion requiring diagnosis </w:t>
      </w:r>
      <w:r w:rsidR="00B3127B" w:rsidRPr="008A0437">
        <w:rPr>
          <w:bCs/>
          <w:szCs w:val="22"/>
        </w:rPr>
        <w:t>by a multi</w:t>
      </w:r>
      <w:r w:rsidRPr="008A0437">
        <w:rPr>
          <w:bCs/>
          <w:szCs w:val="22"/>
        </w:rPr>
        <w:t>disciplinary team</w:t>
      </w:r>
      <w:r w:rsidR="00650D6D">
        <w:rPr>
          <w:bCs/>
          <w:szCs w:val="22"/>
        </w:rPr>
        <w:t xml:space="preserve">, </w:t>
      </w:r>
      <w:r w:rsidR="00650D6D" w:rsidRPr="002173CB">
        <w:rPr>
          <w:bCs/>
          <w:szCs w:val="22"/>
        </w:rPr>
        <w:t>defined as a respiratory physician, radiologist and, where histological materi</w:t>
      </w:r>
      <w:r w:rsidR="00650D6D">
        <w:rPr>
          <w:bCs/>
          <w:szCs w:val="22"/>
        </w:rPr>
        <w:t>al is considered, a pathologist</w:t>
      </w:r>
      <w:r w:rsidRPr="008A0437">
        <w:rPr>
          <w:bCs/>
          <w:szCs w:val="22"/>
        </w:rPr>
        <w:t xml:space="preserve">. The PBAC also recommended the following </w:t>
      </w:r>
      <w:r w:rsidR="004F6B3E">
        <w:rPr>
          <w:bCs/>
          <w:szCs w:val="22"/>
        </w:rPr>
        <w:t xml:space="preserve">additional </w:t>
      </w:r>
      <w:r w:rsidRPr="008A0437">
        <w:rPr>
          <w:bCs/>
          <w:szCs w:val="22"/>
        </w:rPr>
        <w:t>changes to the requested</w:t>
      </w:r>
      <w:r w:rsidR="001524D4" w:rsidRPr="008A0437">
        <w:rPr>
          <w:bCs/>
          <w:szCs w:val="22"/>
        </w:rPr>
        <w:t xml:space="preserve"> Authority Required (in-writing)</w:t>
      </w:r>
      <w:r w:rsidRPr="008A0437">
        <w:rPr>
          <w:bCs/>
          <w:szCs w:val="22"/>
        </w:rPr>
        <w:t xml:space="preserve"> restriction:</w:t>
      </w:r>
    </w:p>
    <w:p w:rsidR="00F14179" w:rsidRPr="008A0437" w:rsidRDefault="003F0B47" w:rsidP="00C62C2D">
      <w:pPr>
        <w:widowControl/>
        <w:numPr>
          <w:ilvl w:val="2"/>
          <w:numId w:val="1"/>
        </w:numPr>
        <w:ind w:left="993" w:hanging="284"/>
        <w:contextualSpacing/>
        <w:rPr>
          <w:bCs/>
          <w:szCs w:val="22"/>
        </w:rPr>
      </w:pPr>
      <w:r w:rsidRPr="00C62C2D">
        <w:rPr>
          <w:bCs/>
          <w:szCs w:val="22"/>
        </w:rPr>
        <w:t>Removal of t</w:t>
      </w:r>
      <w:r w:rsidR="00F14179" w:rsidRPr="00C62C2D">
        <w:rPr>
          <w:bCs/>
          <w:szCs w:val="22"/>
        </w:rPr>
        <w:t xml:space="preserve">he continuation rule for nintedanib </w:t>
      </w:r>
      <w:r w:rsidRPr="00C62C2D">
        <w:rPr>
          <w:bCs/>
          <w:szCs w:val="22"/>
        </w:rPr>
        <w:t xml:space="preserve">as it would </w:t>
      </w:r>
      <w:r w:rsidR="00F14179" w:rsidRPr="00C62C2D">
        <w:rPr>
          <w:bCs/>
          <w:szCs w:val="22"/>
        </w:rPr>
        <w:t xml:space="preserve">be difficult </w:t>
      </w:r>
      <w:r w:rsidR="007225B5" w:rsidRPr="00C62C2D">
        <w:rPr>
          <w:bCs/>
          <w:szCs w:val="22"/>
        </w:rPr>
        <w:t xml:space="preserve">to implement </w:t>
      </w:r>
      <w:r w:rsidR="00F14179" w:rsidRPr="00C62C2D">
        <w:rPr>
          <w:bCs/>
          <w:szCs w:val="22"/>
        </w:rPr>
        <w:t>in practice</w:t>
      </w:r>
      <w:r w:rsidR="004900BB" w:rsidRPr="008A0437">
        <w:rPr>
          <w:bCs/>
          <w:szCs w:val="22"/>
        </w:rPr>
        <w:t xml:space="preserve">, </w:t>
      </w:r>
      <w:r w:rsidR="00F14179" w:rsidRPr="008A0437">
        <w:rPr>
          <w:bCs/>
          <w:szCs w:val="22"/>
        </w:rPr>
        <w:t>with the risk of continued use in patients who have progressed and are likely to receive a relatively smaller benefit of treatment to be managed throug</w:t>
      </w:r>
      <w:r w:rsidR="004900BB" w:rsidRPr="008A0437">
        <w:rPr>
          <w:bCs/>
          <w:szCs w:val="22"/>
        </w:rPr>
        <w:t>h the recommended financial cap</w:t>
      </w:r>
      <w:r w:rsidR="00F14179" w:rsidRPr="008A0437">
        <w:rPr>
          <w:bCs/>
          <w:szCs w:val="22"/>
        </w:rPr>
        <w:t>.</w:t>
      </w:r>
      <w:r w:rsidR="00C62C2D">
        <w:rPr>
          <w:bCs/>
          <w:szCs w:val="22"/>
        </w:rPr>
        <w:t xml:space="preserve"> </w:t>
      </w:r>
      <w:r w:rsidR="00C62C2D" w:rsidRPr="00C62C2D">
        <w:rPr>
          <w:bCs/>
          <w:szCs w:val="22"/>
        </w:rPr>
        <w:t xml:space="preserve">The PBAC noted that in progressive conditions like </w:t>
      </w:r>
      <w:r w:rsidR="00C62C2D">
        <w:rPr>
          <w:bCs/>
          <w:szCs w:val="22"/>
        </w:rPr>
        <w:t>IPF</w:t>
      </w:r>
      <w:r w:rsidR="00C62C2D" w:rsidRPr="00C62C2D">
        <w:rPr>
          <w:bCs/>
          <w:szCs w:val="22"/>
        </w:rPr>
        <w:t xml:space="preserve">, </w:t>
      </w:r>
      <w:r w:rsidR="00A248A8" w:rsidRPr="00C62C2D">
        <w:rPr>
          <w:bCs/>
          <w:szCs w:val="22"/>
        </w:rPr>
        <w:t>deterioration</w:t>
      </w:r>
      <w:r w:rsidR="00C62C2D" w:rsidRPr="00C62C2D">
        <w:rPr>
          <w:bCs/>
          <w:szCs w:val="22"/>
        </w:rPr>
        <w:t xml:space="preserve"> in lung function is not inconsi</w:t>
      </w:r>
      <w:r w:rsidR="00C62C2D">
        <w:rPr>
          <w:bCs/>
          <w:szCs w:val="22"/>
        </w:rPr>
        <w:t xml:space="preserve">stent with a treatment benefit and </w:t>
      </w:r>
      <w:r w:rsidR="00C62C2D" w:rsidRPr="00C62C2D">
        <w:rPr>
          <w:bCs/>
          <w:szCs w:val="22"/>
        </w:rPr>
        <w:t>that no continuation rule was implemented in the clinical trials.</w:t>
      </w:r>
    </w:p>
    <w:p w:rsidR="002173CB" w:rsidRPr="00F87E3A" w:rsidRDefault="0077722E" w:rsidP="00F87E3A">
      <w:pPr>
        <w:widowControl/>
        <w:numPr>
          <w:ilvl w:val="2"/>
          <w:numId w:val="1"/>
        </w:numPr>
        <w:ind w:left="993" w:hanging="284"/>
        <w:contextualSpacing/>
        <w:rPr>
          <w:bCs/>
          <w:szCs w:val="22"/>
        </w:rPr>
      </w:pPr>
      <w:r w:rsidRPr="008A0437">
        <w:rPr>
          <w:bCs/>
          <w:szCs w:val="22"/>
        </w:rPr>
        <w:t xml:space="preserve">Remove “mild to moderate” from the severity, as this is captured in the clinical criteria in the initial </w:t>
      </w:r>
      <w:r w:rsidR="00EE3FCC" w:rsidRPr="008A0437">
        <w:rPr>
          <w:bCs/>
          <w:szCs w:val="22"/>
        </w:rPr>
        <w:t xml:space="preserve">treatment </w:t>
      </w:r>
      <w:r w:rsidRPr="008A0437">
        <w:rPr>
          <w:bCs/>
          <w:szCs w:val="22"/>
        </w:rPr>
        <w:t xml:space="preserve">restriction and is no longer appropriate in the continuing </w:t>
      </w:r>
      <w:r w:rsidR="00EE3FCC" w:rsidRPr="008A0437">
        <w:rPr>
          <w:bCs/>
          <w:szCs w:val="22"/>
        </w:rPr>
        <w:t xml:space="preserve">treatment </w:t>
      </w:r>
      <w:r w:rsidRPr="008A0437">
        <w:rPr>
          <w:bCs/>
          <w:szCs w:val="22"/>
        </w:rPr>
        <w:t>restriction</w:t>
      </w:r>
      <w:r w:rsidR="004E0424" w:rsidRPr="008A0437">
        <w:rPr>
          <w:bCs/>
          <w:szCs w:val="22"/>
        </w:rPr>
        <w:t xml:space="preserve"> with the</w:t>
      </w:r>
      <w:r w:rsidR="00EE3FCC" w:rsidRPr="008A0437">
        <w:rPr>
          <w:bCs/>
          <w:szCs w:val="22"/>
        </w:rPr>
        <w:t xml:space="preserve"> re</w:t>
      </w:r>
      <w:r w:rsidR="00FB712F">
        <w:rPr>
          <w:bCs/>
          <w:szCs w:val="22"/>
        </w:rPr>
        <w:t>moval of the continuation rule.</w:t>
      </w:r>
    </w:p>
    <w:p w:rsidR="00650D6D" w:rsidRDefault="00650D6D" w:rsidP="002173CB">
      <w:pPr>
        <w:widowControl/>
        <w:numPr>
          <w:ilvl w:val="2"/>
          <w:numId w:val="1"/>
        </w:numPr>
        <w:ind w:left="993" w:hanging="284"/>
        <w:contextualSpacing/>
        <w:rPr>
          <w:bCs/>
          <w:szCs w:val="22"/>
        </w:rPr>
      </w:pPr>
      <w:r>
        <w:rPr>
          <w:bCs/>
          <w:szCs w:val="22"/>
        </w:rPr>
        <w:t>Retain the requirement for a chest HRCT scan to be consistent with diagnosis of IPF.</w:t>
      </w:r>
    </w:p>
    <w:p w:rsidR="00E82D37" w:rsidRDefault="00E82D37" w:rsidP="002173CB">
      <w:pPr>
        <w:widowControl/>
        <w:numPr>
          <w:ilvl w:val="2"/>
          <w:numId w:val="1"/>
        </w:numPr>
        <w:ind w:left="993" w:hanging="284"/>
        <w:contextualSpacing/>
        <w:rPr>
          <w:bCs/>
          <w:szCs w:val="22"/>
        </w:rPr>
      </w:pPr>
      <w:r>
        <w:rPr>
          <w:bCs/>
          <w:szCs w:val="22"/>
        </w:rPr>
        <w:t>Removal of the population criterion restricting use to patients aged 40 years and over.</w:t>
      </w:r>
    </w:p>
    <w:p w:rsidR="0092792C" w:rsidRPr="008A0437" w:rsidRDefault="0092792C" w:rsidP="00915C99">
      <w:pPr>
        <w:widowControl/>
        <w:contextualSpacing/>
        <w:rPr>
          <w:bCs/>
          <w:szCs w:val="22"/>
          <w:highlight w:val="yellow"/>
        </w:rPr>
      </w:pPr>
    </w:p>
    <w:p w:rsidR="009E6E7D" w:rsidRPr="008A0437" w:rsidRDefault="009E6E7D" w:rsidP="00915C99">
      <w:pPr>
        <w:widowControl/>
        <w:numPr>
          <w:ilvl w:val="1"/>
          <w:numId w:val="1"/>
        </w:numPr>
        <w:contextualSpacing/>
        <w:rPr>
          <w:szCs w:val="22"/>
        </w:rPr>
      </w:pPr>
      <w:r w:rsidRPr="008A0437">
        <w:rPr>
          <w:szCs w:val="22"/>
        </w:rPr>
        <w:t xml:space="preserve">The PBAC reaffirmed that best supportive care was </w:t>
      </w:r>
      <w:r w:rsidR="0093103F" w:rsidRPr="008A0437">
        <w:rPr>
          <w:szCs w:val="22"/>
        </w:rPr>
        <w:t xml:space="preserve">an </w:t>
      </w:r>
      <w:r w:rsidRPr="008A0437">
        <w:rPr>
          <w:szCs w:val="22"/>
        </w:rPr>
        <w:t xml:space="preserve">appropriate comparator for nintedanib for IPF. Another novel agent for the treatment of IPF, pirfenidone, was </w:t>
      </w:r>
      <w:r w:rsidR="009775C3" w:rsidRPr="008A0437">
        <w:rPr>
          <w:szCs w:val="22"/>
        </w:rPr>
        <w:t xml:space="preserve">also </w:t>
      </w:r>
      <w:r w:rsidRPr="008A0437">
        <w:rPr>
          <w:szCs w:val="22"/>
        </w:rPr>
        <w:t xml:space="preserve">considered at the November 2016 PBAC meeting </w:t>
      </w:r>
      <w:r w:rsidR="009775C3" w:rsidRPr="008A0437">
        <w:rPr>
          <w:szCs w:val="22"/>
        </w:rPr>
        <w:t xml:space="preserve">and </w:t>
      </w:r>
      <w:r w:rsidRPr="008A0437">
        <w:rPr>
          <w:szCs w:val="22"/>
        </w:rPr>
        <w:t>was a</w:t>
      </w:r>
      <w:r w:rsidR="00B40031" w:rsidRPr="008A0437">
        <w:rPr>
          <w:szCs w:val="22"/>
        </w:rPr>
        <w:t xml:space="preserve"> relevant secondary comparator.</w:t>
      </w:r>
    </w:p>
    <w:p w:rsidR="009E6E7D" w:rsidRPr="008A0437" w:rsidRDefault="009E6E7D" w:rsidP="00915C99">
      <w:pPr>
        <w:widowControl/>
        <w:contextualSpacing/>
        <w:rPr>
          <w:bCs/>
          <w:szCs w:val="22"/>
          <w:highlight w:val="yellow"/>
        </w:rPr>
      </w:pPr>
    </w:p>
    <w:p w:rsidR="00B40031" w:rsidRPr="008A0437" w:rsidRDefault="00B40031" w:rsidP="00915C99">
      <w:pPr>
        <w:widowControl/>
        <w:numPr>
          <w:ilvl w:val="1"/>
          <w:numId w:val="1"/>
        </w:numPr>
        <w:contextualSpacing/>
      </w:pPr>
      <w:r w:rsidRPr="008A0437">
        <w:rPr>
          <w:szCs w:val="22"/>
        </w:rPr>
        <w:lastRenderedPageBreak/>
        <w:t xml:space="preserve">The PBAC noted the resubmission presented the same </w:t>
      </w:r>
      <w:r w:rsidRPr="008A0437">
        <w:t>three head-to-head randomised trials comparing nintedanib to placebo as in the March 2015 and November 2015 submission</w:t>
      </w:r>
      <w:r w:rsidR="00420FED">
        <w:t>s</w:t>
      </w:r>
      <w:r w:rsidRPr="008A0437">
        <w:t>: Trial 30 (n=432), Trial 32 (n=515) and Trial 34 (n=551). On the basis of a meta-analysis of this direct evidence versus placebo, nintedanib was associated with:</w:t>
      </w:r>
    </w:p>
    <w:p w:rsidR="00B40031" w:rsidRPr="008A0437" w:rsidRDefault="00B40031" w:rsidP="007225B5">
      <w:pPr>
        <w:pStyle w:val="ListParagraph"/>
        <w:widowControl/>
        <w:numPr>
          <w:ilvl w:val="1"/>
          <w:numId w:val="9"/>
        </w:numPr>
        <w:ind w:left="993" w:hanging="284"/>
      </w:pPr>
      <w:r w:rsidRPr="008A0437">
        <w:t>Approximately a 3.31% reduction in absolute decline i</w:t>
      </w:r>
      <w:r w:rsidRPr="008A0437">
        <w:rPr>
          <w:szCs w:val="22"/>
        </w:rPr>
        <w:t xml:space="preserve">n </w:t>
      </w:r>
      <w:r w:rsidRPr="008A0437">
        <w:t>forced vital capacity per cent predicted</w:t>
      </w:r>
      <w:r w:rsidRPr="008A0437">
        <w:rPr>
          <w:szCs w:val="22"/>
        </w:rPr>
        <w:t xml:space="preserve"> (FVC%Pred)</w:t>
      </w:r>
      <w:r w:rsidRPr="008A0437">
        <w:t xml:space="preserve"> from baseline to week 52.</w:t>
      </w:r>
    </w:p>
    <w:p w:rsidR="00B40031" w:rsidRPr="008A0437" w:rsidRDefault="00B40031" w:rsidP="007225B5">
      <w:pPr>
        <w:pStyle w:val="ListParagraph"/>
        <w:widowControl/>
        <w:numPr>
          <w:ilvl w:val="1"/>
          <w:numId w:val="9"/>
        </w:numPr>
        <w:ind w:left="993" w:hanging="284"/>
      </w:pPr>
      <w:r w:rsidRPr="008A0437">
        <w:t>Approximately a 65% reduction in the risk of independently adjudicated acute IPF exacerbations over 52 weeks.</w:t>
      </w:r>
    </w:p>
    <w:p w:rsidR="000063BC" w:rsidRPr="008A0437" w:rsidRDefault="000063BC" w:rsidP="000063BC">
      <w:pPr>
        <w:pStyle w:val="ListParagraph"/>
        <w:widowControl/>
        <w:numPr>
          <w:ilvl w:val="1"/>
          <w:numId w:val="9"/>
        </w:numPr>
        <w:ind w:left="993" w:hanging="284"/>
      </w:pPr>
      <w:r w:rsidRPr="008A0437">
        <w:rPr>
          <w:szCs w:val="22"/>
        </w:rPr>
        <w:t xml:space="preserve">Insufficient evidence to </w:t>
      </w:r>
      <w:r>
        <w:rPr>
          <w:szCs w:val="22"/>
        </w:rPr>
        <w:t xml:space="preserve">directly </w:t>
      </w:r>
      <w:r w:rsidRPr="008A0437">
        <w:rPr>
          <w:szCs w:val="22"/>
        </w:rPr>
        <w:t>support a significant difference in OS</w:t>
      </w:r>
      <w:r w:rsidR="00A248A8">
        <w:rPr>
          <w:szCs w:val="22"/>
        </w:rPr>
        <w:t xml:space="preserve"> (although the PBAC noted that the trials were not powered for survival and the duration of the trials </w:t>
      </w:r>
      <w:r w:rsidR="00E50D1A">
        <w:rPr>
          <w:szCs w:val="22"/>
        </w:rPr>
        <w:t>was</w:t>
      </w:r>
      <w:r w:rsidR="00A248A8">
        <w:rPr>
          <w:szCs w:val="22"/>
        </w:rPr>
        <w:t xml:space="preserve"> likely insufficient to detect an OS benefit)</w:t>
      </w:r>
      <w:r w:rsidRPr="008A0437">
        <w:t>.</w:t>
      </w:r>
    </w:p>
    <w:p w:rsidR="00B40031" w:rsidRPr="008A0437" w:rsidRDefault="00B40031" w:rsidP="00FB712F">
      <w:pPr>
        <w:widowControl/>
        <w:contextualSpacing/>
        <w:rPr>
          <w:bCs/>
          <w:szCs w:val="22"/>
          <w:highlight w:val="yellow"/>
        </w:rPr>
      </w:pPr>
    </w:p>
    <w:p w:rsidR="00B40031" w:rsidRPr="008A0437" w:rsidRDefault="00E70F70" w:rsidP="00915C99">
      <w:pPr>
        <w:widowControl/>
        <w:numPr>
          <w:ilvl w:val="1"/>
          <w:numId w:val="1"/>
        </w:numPr>
        <w:contextualSpacing/>
        <w:rPr>
          <w:bCs/>
          <w:szCs w:val="22"/>
        </w:rPr>
      </w:pPr>
      <w:r w:rsidRPr="008A0437">
        <w:rPr>
          <w:bCs/>
          <w:szCs w:val="22"/>
        </w:rPr>
        <w:t>The PBAC recalled that in November 2015</w:t>
      </w:r>
      <w:r w:rsidR="00B40031" w:rsidRPr="008A0437">
        <w:rPr>
          <w:bCs/>
          <w:szCs w:val="22"/>
        </w:rPr>
        <w:t xml:space="preserve"> </w:t>
      </w:r>
      <w:r w:rsidRPr="008A0437">
        <w:rPr>
          <w:bCs/>
          <w:szCs w:val="22"/>
        </w:rPr>
        <w:t xml:space="preserve">it </w:t>
      </w:r>
      <w:r w:rsidR="00B40031" w:rsidRPr="008A0437">
        <w:rPr>
          <w:bCs/>
          <w:szCs w:val="22"/>
        </w:rPr>
        <w:t>noted that loss of lung function was a more critical clinical issue th</w:t>
      </w:r>
      <w:r w:rsidR="00D20692" w:rsidRPr="008A0437">
        <w:rPr>
          <w:bCs/>
          <w:szCs w:val="22"/>
        </w:rPr>
        <w:t xml:space="preserve">an exacerbations and </w:t>
      </w:r>
      <w:r w:rsidR="00B40031" w:rsidRPr="008A0437">
        <w:rPr>
          <w:bCs/>
          <w:szCs w:val="22"/>
        </w:rPr>
        <w:t xml:space="preserve">an FDA review of pirfenidone and nintedanib </w:t>
      </w:r>
      <w:r w:rsidR="000F2397" w:rsidRPr="008A0437">
        <w:rPr>
          <w:bCs/>
          <w:szCs w:val="22"/>
        </w:rPr>
        <w:t>studies that</w:t>
      </w:r>
      <w:r w:rsidR="00D20692" w:rsidRPr="008A0437">
        <w:rPr>
          <w:bCs/>
          <w:szCs w:val="22"/>
        </w:rPr>
        <w:t xml:space="preserve"> suggested</w:t>
      </w:r>
      <w:r w:rsidR="00B40031" w:rsidRPr="008A0437">
        <w:rPr>
          <w:bCs/>
          <w:szCs w:val="22"/>
        </w:rPr>
        <w:t xml:space="preserve"> that FVC is a valid s</w:t>
      </w:r>
      <w:r w:rsidR="003B5D9F" w:rsidRPr="008A0437">
        <w:rPr>
          <w:bCs/>
          <w:szCs w:val="22"/>
        </w:rPr>
        <w:t>urrogate for mortality in IPF.</w:t>
      </w:r>
      <w:r w:rsidR="00B40031" w:rsidRPr="008A0437">
        <w:rPr>
          <w:bCs/>
          <w:szCs w:val="22"/>
        </w:rPr>
        <w:t xml:space="preserve"> </w:t>
      </w:r>
      <w:r w:rsidR="00AD089D" w:rsidRPr="008A0437">
        <w:rPr>
          <w:szCs w:val="22"/>
        </w:rPr>
        <w:t xml:space="preserve">It was further noted that the poor prognosis of patients with IPF combined with the observed trend in survival benefit imposes ethical limitations on any further placebo-controlled trials given the nature of the disease. This makes it difficult to generate prospective and placebo-controlled evidence of a statistically significant </w:t>
      </w:r>
      <w:r w:rsidR="000063BC">
        <w:rPr>
          <w:szCs w:val="22"/>
        </w:rPr>
        <w:t>OS</w:t>
      </w:r>
      <w:r w:rsidR="00AD089D" w:rsidRPr="008A0437">
        <w:rPr>
          <w:szCs w:val="22"/>
        </w:rPr>
        <w:t xml:space="preserve"> benefit with nintedanib.</w:t>
      </w:r>
      <w:r w:rsidR="00D70DF3">
        <w:rPr>
          <w:szCs w:val="22"/>
        </w:rPr>
        <w:t xml:space="preserve"> Overall, PBAC considered there </w:t>
      </w:r>
      <w:r w:rsidR="00A248A8">
        <w:rPr>
          <w:szCs w:val="22"/>
        </w:rPr>
        <w:t xml:space="preserve">may be </w:t>
      </w:r>
      <w:r w:rsidR="00D70DF3">
        <w:rPr>
          <w:szCs w:val="22"/>
        </w:rPr>
        <w:t>indirect grounds to conclude that nintedanib would likely improve OS</w:t>
      </w:r>
      <w:r w:rsidR="000E19F3">
        <w:rPr>
          <w:szCs w:val="22"/>
        </w:rPr>
        <w:t>, compared with BSC</w:t>
      </w:r>
      <w:r w:rsidR="00D70DF3">
        <w:rPr>
          <w:szCs w:val="22"/>
        </w:rPr>
        <w:t>.</w:t>
      </w:r>
    </w:p>
    <w:p w:rsidR="004F093C" w:rsidRPr="008A0437" w:rsidRDefault="004F093C" w:rsidP="00FB712F">
      <w:pPr>
        <w:widowControl/>
        <w:contextualSpacing/>
        <w:rPr>
          <w:bCs/>
          <w:szCs w:val="22"/>
        </w:rPr>
      </w:pPr>
    </w:p>
    <w:p w:rsidR="00AD089D" w:rsidRPr="008A0437" w:rsidRDefault="005D0A30" w:rsidP="00AD089D">
      <w:pPr>
        <w:widowControl/>
        <w:numPr>
          <w:ilvl w:val="1"/>
          <w:numId w:val="1"/>
        </w:numPr>
        <w:contextualSpacing/>
        <w:rPr>
          <w:szCs w:val="22"/>
        </w:rPr>
      </w:pPr>
      <w:r w:rsidRPr="008A0437">
        <w:rPr>
          <w:szCs w:val="22"/>
        </w:rPr>
        <w:t xml:space="preserve">The PBAC noted that no new comparative safety evidence was presented in the current resubmission. </w:t>
      </w:r>
      <w:r w:rsidR="004F093C" w:rsidRPr="008A0437">
        <w:rPr>
          <w:szCs w:val="22"/>
        </w:rPr>
        <w:t xml:space="preserve">The PBAC previously noted that nintedanib was associated with statistically significantly higher instances of drug-related adverse events and gastrointestinal adverse events including diarrhoea, nausea and vomiting. </w:t>
      </w:r>
      <w:r w:rsidR="00AD089D" w:rsidRPr="008A0437">
        <w:t xml:space="preserve">The PBAC also previously noted the higher </w:t>
      </w:r>
      <w:r w:rsidR="00AD089D" w:rsidRPr="008A0437">
        <w:rPr>
          <w:szCs w:val="22"/>
        </w:rPr>
        <w:t xml:space="preserve">incidences of thromboembolic events and hypertension (see </w:t>
      </w:r>
      <w:r w:rsidR="00AD089D" w:rsidRPr="00B454C4">
        <w:rPr>
          <w:szCs w:val="22"/>
        </w:rPr>
        <w:t>p</w:t>
      </w:r>
      <w:r w:rsidR="004F5C59" w:rsidRPr="00B454C4">
        <w:rPr>
          <w:szCs w:val="22"/>
        </w:rPr>
        <w:t>aragraph 6.17</w:t>
      </w:r>
      <w:r w:rsidR="00FB712F" w:rsidRPr="00B454C4">
        <w:rPr>
          <w:szCs w:val="22"/>
        </w:rPr>
        <w:t>).</w:t>
      </w:r>
    </w:p>
    <w:p w:rsidR="00CF4BB5" w:rsidRPr="008A0437" w:rsidRDefault="00CF4BB5" w:rsidP="007225B5">
      <w:pPr>
        <w:widowControl/>
        <w:rPr>
          <w:bCs/>
          <w:szCs w:val="22"/>
          <w:highlight w:val="yellow"/>
        </w:rPr>
      </w:pPr>
    </w:p>
    <w:p w:rsidR="00AD089D" w:rsidRPr="008A0437" w:rsidRDefault="00AD089D" w:rsidP="00915C99">
      <w:pPr>
        <w:widowControl/>
        <w:numPr>
          <w:ilvl w:val="1"/>
          <w:numId w:val="1"/>
        </w:numPr>
        <w:contextualSpacing/>
        <w:rPr>
          <w:bCs/>
          <w:szCs w:val="22"/>
        </w:rPr>
      </w:pPr>
      <w:r w:rsidRPr="008A0437">
        <w:rPr>
          <w:bCs/>
          <w:szCs w:val="22"/>
        </w:rPr>
        <w:t xml:space="preserve">The PBAC recalled that it previously considered nintedanib and pirfenidone to be similarly </w:t>
      </w:r>
      <w:r w:rsidRPr="00B454C4">
        <w:rPr>
          <w:bCs/>
          <w:szCs w:val="22"/>
        </w:rPr>
        <w:t>clinically effective (see paragraph 6.1</w:t>
      </w:r>
      <w:r w:rsidR="00A248A8" w:rsidRPr="00B454C4">
        <w:rPr>
          <w:bCs/>
          <w:szCs w:val="22"/>
        </w:rPr>
        <w:t>3</w:t>
      </w:r>
      <w:r w:rsidRPr="00B454C4">
        <w:rPr>
          <w:bCs/>
          <w:szCs w:val="22"/>
        </w:rPr>
        <w:t>).</w:t>
      </w:r>
      <w:r w:rsidR="00BB0C58" w:rsidRPr="00B454C4">
        <w:rPr>
          <w:bCs/>
          <w:szCs w:val="22"/>
        </w:rPr>
        <w:t xml:space="preserve"> No</w:t>
      </w:r>
      <w:r w:rsidR="00BB0C58" w:rsidRPr="008A0437">
        <w:rPr>
          <w:bCs/>
          <w:szCs w:val="22"/>
        </w:rPr>
        <w:t xml:space="preserve"> new evidence was presented to change the PBAC’s previous consideration.</w:t>
      </w:r>
    </w:p>
    <w:p w:rsidR="00AD089D" w:rsidRPr="00FB712F" w:rsidRDefault="00AD089D" w:rsidP="00AD089D">
      <w:pPr>
        <w:rPr>
          <w:bCs/>
          <w:szCs w:val="22"/>
        </w:rPr>
      </w:pPr>
    </w:p>
    <w:p w:rsidR="00F553EF" w:rsidRPr="00F553EF" w:rsidRDefault="00CA5B83" w:rsidP="00F553EF">
      <w:pPr>
        <w:widowControl/>
        <w:numPr>
          <w:ilvl w:val="1"/>
          <w:numId w:val="1"/>
        </w:numPr>
        <w:contextualSpacing/>
        <w:rPr>
          <w:bCs/>
          <w:szCs w:val="22"/>
        </w:rPr>
      </w:pPr>
      <w:r w:rsidRPr="00F553EF">
        <w:rPr>
          <w:bCs/>
          <w:szCs w:val="22"/>
        </w:rPr>
        <w:t>The PBAC considered</w:t>
      </w:r>
      <w:r w:rsidR="00261710" w:rsidRPr="00F553EF">
        <w:rPr>
          <w:bCs/>
          <w:szCs w:val="22"/>
        </w:rPr>
        <w:t xml:space="preserve"> that, on balance, the nintedanib model </w:t>
      </w:r>
      <w:r w:rsidR="00291194" w:rsidRPr="00F553EF">
        <w:rPr>
          <w:bCs/>
          <w:szCs w:val="22"/>
        </w:rPr>
        <w:t>may have resulted in a</w:t>
      </w:r>
      <w:r w:rsidR="00FB712F">
        <w:rPr>
          <w:bCs/>
          <w:szCs w:val="22"/>
        </w:rPr>
        <w:t>n</w:t>
      </w:r>
      <w:r w:rsidR="00291194" w:rsidRPr="00F553EF">
        <w:rPr>
          <w:bCs/>
          <w:szCs w:val="22"/>
        </w:rPr>
        <w:t xml:space="preserve"> </w:t>
      </w:r>
      <w:r w:rsidR="00FB712F">
        <w:rPr>
          <w:bCs/>
          <w:szCs w:val="22"/>
        </w:rPr>
        <w:t>under</w:t>
      </w:r>
      <w:r w:rsidR="00291194" w:rsidRPr="00F553EF">
        <w:rPr>
          <w:bCs/>
          <w:szCs w:val="22"/>
        </w:rPr>
        <w:t xml:space="preserve">estimate of incremental benefit and </w:t>
      </w:r>
      <w:r w:rsidR="00FB712F">
        <w:rPr>
          <w:bCs/>
          <w:szCs w:val="22"/>
        </w:rPr>
        <w:t xml:space="preserve">thus an </w:t>
      </w:r>
      <w:r w:rsidR="00291194" w:rsidRPr="00F553EF">
        <w:rPr>
          <w:bCs/>
          <w:szCs w:val="22"/>
        </w:rPr>
        <w:t>overestimate</w:t>
      </w:r>
      <w:r w:rsidR="00FB712F">
        <w:rPr>
          <w:bCs/>
          <w:szCs w:val="22"/>
        </w:rPr>
        <w:t xml:space="preserve"> of</w:t>
      </w:r>
      <w:r w:rsidR="00291194" w:rsidRPr="00F553EF">
        <w:rPr>
          <w:bCs/>
          <w:szCs w:val="22"/>
        </w:rPr>
        <w:t xml:space="preserve"> the ICER per QALY</w:t>
      </w:r>
      <w:r w:rsidR="00AA426E" w:rsidRPr="00F553EF">
        <w:rPr>
          <w:bCs/>
          <w:szCs w:val="22"/>
        </w:rPr>
        <w:t xml:space="preserve">. The PBAC concluded that </w:t>
      </w:r>
      <w:r w:rsidR="00291194" w:rsidRPr="00F553EF">
        <w:rPr>
          <w:bCs/>
          <w:szCs w:val="22"/>
        </w:rPr>
        <w:t xml:space="preserve">the cost effectiveness of </w:t>
      </w:r>
      <w:r w:rsidR="00AA426E" w:rsidRPr="00F553EF">
        <w:rPr>
          <w:bCs/>
          <w:szCs w:val="22"/>
        </w:rPr>
        <w:t xml:space="preserve">nintedanib </w:t>
      </w:r>
      <w:r w:rsidR="00291194" w:rsidRPr="00F553EF">
        <w:rPr>
          <w:bCs/>
          <w:szCs w:val="22"/>
        </w:rPr>
        <w:t>would</w:t>
      </w:r>
      <w:r w:rsidR="00AA426E" w:rsidRPr="00F553EF">
        <w:rPr>
          <w:bCs/>
          <w:szCs w:val="22"/>
        </w:rPr>
        <w:t xml:space="preserve"> be </w:t>
      </w:r>
      <w:r w:rsidR="00291194" w:rsidRPr="00F553EF">
        <w:rPr>
          <w:bCs/>
          <w:szCs w:val="22"/>
        </w:rPr>
        <w:t>acceptable</w:t>
      </w:r>
      <w:r w:rsidR="00AA426E" w:rsidRPr="00F553EF">
        <w:rPr>
          <w:bCs/>
          <w:szCs w:val="22"/>
        </w:rPr>
        <w:t xml:space="preserve"> in </w:t>
      </w:r>
      <w:r w:rsidRPr="00F553EF">
        <w:rPr>
          <w:bCs/>
          <w:szCs w:val="22"/>
        </w:rPr>
        <w:t>conjunction with</w:t>
      </w:r>
      <w:r w:rsidR="00F553EF" w:rsidRPr="00F553EF">
        <w:rPr>
          <w:bCs/>
          <w:szCs w:val="22"/>
        </w:rPr>
        <w:t xml:space="preserve"> risk sharing measures to provide additional certainty</w:t>
      </w:r>
      <w:r w:rsidR="00F553EF">
        <w:rPr>
          <w:bCs/>
          <w:szCs w:val="22"/>
        </w:rPr>
        <w:t>.</w:t>
      </w:r>
    </w:p>
    <w:p w:rsidR="001117F5" w:rsidRPr="008A0437" w:rsidRDefault="001117F5" w:rsidP="00FB712F">
      <w:pPr>
        <w:widowControl/>
        <w:contextualSpacing/>
        <w:rPr>
          <w:bCs/>
          <w:szCs w:val="22"/>
        </w:rPr>
      </w:pPr>
    </w:p>
    <w:p w:rsidR="00CD287C" w:rsidRPr="008A0437" w:rsidRDefault="009E4A3A" w:rsidP="009E4A3A">
      <w:pPr>
        <w:widowControl/>
        <w:numPr>
          <w:ilvl w:val="1"/>
          <w:numId w:val="1"/>
        </w:numPr>
        <w:contextualSpacing/>
        <w:rPr>
          <w:bCs/>
          <w:szCs w:val="22"/>
        </w:rPr>
      </w:pPr>
      <w:r w:rsidRPr="009E4A3A">
        <w:rPr>
          <w:bCs/>
          <w:szCs w:val="22"/>
        </w:rPr>
        <w:t>The PBAC considered that a remaining area of uncertainty is the rate of uptake of nintedanib. DUSC’s estimates of the eligible pati</w:t>
      </w:r>
      <w:r w:rsidR="00EC76C1">
        <w:rPr>
          <w:bCs/>
          <w:szCs w:val="22"/>
        </w:rPr>
        <w:t xml:space="preserve">ent population, of </w:t>
      </w:r>
      <w:r w:rsidR="008434F1">
        <w:rPr>
          <w:bCs/>
          <w:szCs w:val="22"/>
        </w:rPr>
        <w:t xml:space="preserve"> less than 10,000 </w:t>
      </w:r>
      <w:r w:rsidRPr="009E4A3A">
        <w:rPr>
          <w:bCs/>
          <w:szCs w:val="22"/>
        </w:rPr>
        <w:t>patients per annum</w:t>
      </w:r>
      <w:r>
        <w:rPr>
          <w:bCs/>
          <w:szCs w:val="22"/>
        </w:rPr>
        <w:t xml:space="preserve"> compared </w:t>
      </w:r>
      <w:r w:rsidRPr="009E4A3A">
        <w:rPr>
          <w:bCs/>
          <w:szCs w:val="22"/>
        </w:rPr>
        <w:t xml:space="preserve">with the submission’s estimates of treated patients (including the impact of the continuation rule), of </w:t>
      </w:r>
      <w:r w:rsidR="005003D6">
        <w:rPr>
          <w:bCs/>
          <w:szCs w:val="22"/>
        </w:rPr>
        <w:t>less than 10,000</w:t>
      </w:r>
      <w:r w:rsidRPr="009E4A3A">
        <w:rPr>
          <w:bCs/>
          <w:szCs w:val="22"/>
        </w:rPr>
        <w:t xml:space="preserve"> in year 1, increasing to </w:t>
      </w:r>
      <w:r w:rsidR="005003D6">
        <w:rPr>
          <w:bCs/>
          <w:szCs w:val="22"/>
        </w:rPr>
        <w:t xml:space="preserve">less than 10,000 </w:t>
      </w:r>
      <w:r w:rsidRPr="009E4A3A">
        <w:rPr>
          <w:bCs/>
          <w:szCs w:val="22"/>
        </w:rPr>
        <w:t xml:space="preserve">in year 5). </w:t>
      </w:r>
      <w:r>
        <w:rPr>
          <w:bCs/>
          <w:szCs w:val="22"/>
        </w:rPr>
        <w:t>T</w:t>
      </w:r>
      <w:r w:rsidR="00940082" w:rsidRPr="008A0437">
        <w:rPr>
          <w:bCs/>
          <w:szCs w:val="22"/>
        </w:rPr>
        <w:t xml:space="preserve">he PBAC </w:t>
      </w:r>
      <w:r w:rsidR="00FF6E79" w:rsidRPr="008A0437">
        <w:rPr>
          <w:bCs/>
          <w:szCs w:val="22"/>
        </w:rPr>
        <w:t>considered</w:t>
      </w:r>
      <w:r w:rsidR="00940082" w:rsidRPr="008A0437">
        <w:rPr>
          <w:bCs/>
          <w:szCs w:val="22"/>
        </w:rPr>
        <w:t xml:space="preserve"> </w:t>
      </w:r>
      <w:r w:rsidR="00510A7F">
        <w:rPr>
          <w:bCs/>
          <w:szCs w:val="22"/>
        </w:rPr>
        <w:t xml:space="preserve">that uncertainty in costs arising from </w:t>
      </w:r>
      <w:r>
        <w:rPr>
          <w:bCs/>
          <w:szCs w:val="22"/>
        </w:rPr>
        <w:t>the submission and DUSC estimates</w:t>
      </w:r>
      <w:r w:rsidR="00510A7F">
        <w:rPr>
          <w:bCs/>
          <w:szCs w:val="22"/>
        </w:rPr>
        <w:t xml:space="preserve"> of uptake sh</w:t>
      </w:r>
      <w:r>
        <w:rPr>
          <w:bCs/>
          <w:szCs w:val="22"/>
        </w:rPr>
        <w:t xml:space="preserve">ould </w:t>
      </w:r>
      <w:r w:rsidR="00510A7F">
        <w:rPr>
          <w:bCs/>
          <w:szCs w:val="22"/>
        </w:rPr>
        <w:t>be</w:t>
      </w:r>
      <w:r>
        <w:rPr>
          <w:bCs/>
          <w:szCs w:val="22"/>
        </w:rPr>
        <w:t xml:space="preserve"> </w:t>
      </w:r>
      <w:r w:rsidR="00510A7F">
        <w:rPr>
          <w:bCs/>
          <w:szCs w:val="22"/>
        </w:rPr>
        <w:t>addressed</w:t>
      </w:r>
      <w:r>
        <w:rPr>
          <w:bCs/>
          <w:szCs w:val="22"/>
        </w:rPr>
        <w:t xml:space="preserve"> through the</w:t>
      </w:r>
      <w:r w:rsidR="00510A7F">
        <w:rPr>
          <w:bCs/>
          <w:szCs w:val="22"/>
        </w:rPr>
        <w:t xml:space="preserve"> </w:t>
      </w:r>
      <w:r w:rsidR="00F553EF">
        <w:rPr>
          <w:bCs/>
          <w:szCs w:val="22"/>
        </w:rPr>
        <w:t xml:space="preserve">recommended </w:t>
      </w:r>
      <w:r w:rsidR="00510A7F">
        <w:rPr>
          <w:bCs/>
          <w:szCs w:val="22"/>
        </w:rPr>
        <w:t>RSA</w:t>
      </w:r>
      <w:r w:rsidR="00A72CA2" w:rsidRPr="008A0437">
        <w:rPr>
          <w:bCs/>
          <w:szCs w:val="22"/>
        </w:rPr>
        <w:t>.</w:t>
      </w:r>
    </w:p>
    <w:p w:rsidR="00AA426E" w:rsidRPr="008A0437" w:rsidRDefault="00AA426E" w:rsidP="00FB712F">
      <w:pPr>
        <w:widowControl/>
        <w:contextualSpacing/>
        <w:rPr>
          <w:bCs/>
          <w:szCs w:val="22"/>
        </w:rPr>
      </w:pPr>
    </w:p>
    <w:p w:rsidR="008F5792" w:rsidRPr="008A0437" w:rsidRDefault="008F5792" w:rsidP="00915C99">
      <w:pPr>
        <w:widowControl/>
        <w:numPr>
          <w:ilvl w:val="1"/>
          <w:numId w:val="1"/>
        </w:numPr>
        <w:contextualSpacing/>
        <w:rPr>
          <w:bCs/>
          <w:szCs w:val="22"/>
        </w:rPr>
      </w:pPr>
      <w:r w:rsidRPr="008A0437">
        <w:rPr>
          <w:bCs/>
          <w:szCs w:val="22"/>
        </w:rPr>
        <w:t>The PBAC recommended that nintedanib should not be treated as interchangeable on an individual patient basis with any other currently PBS listed drugs.</w:t>
      </w:r>
    </w:p>
    <w:p w:rsidR="008F5792" w:rsidRPr="008A0437" w:rsidRDefault="008F5792" w:rsidP="00FB712F">
      <w:pPr>
        <w:widowControl/>
        <w:contextualSpacing/>
        <w:rPr>
          <w:bCs/>
          <w:szCs w:val="22"/>
        </w:rPr>
      </w:pPr>
    </w:p>
    <w:p w:rsidR="00473233" w:rsidRPr="008A0437" w:rsidRDefault="00473233" w:rsidP="00915C99">
      <w:pPr>
        <w:widowControl/>
        <w:numPr>
          <w:ilvl w:val="1"/>
          <w:numId w:val="1"/>
        </w:numPr>
        <w:contextualSpacing/>
        <w:rPr>
          <w:bCs/>
          <w:szCs w:val="22"/>
        </w:rPr>
      </w:pPr>
      <w:r w:rsidRPr="008A0437">
        <w:rPr>
          <w:bCs/>
          <w:szCs w:val="22"/>
        </w:rPr>
        <w:lastRenderedPageBreak/>
        <w:t>The PBAC advised that nintedanib is not suitable for prescribing by nurse practitioners.</w:t>
      </w:r>
    </w:p>
    <w:p w:rsidR="00BE1A2E" w:rsidRPr="008A0437" w:rsidRDefault="00BE1A2E" w:rsidP="00915C99">
      <w:pPr>
        <w:widowControl/>
        <w:contextualSpacing/>
        <w:rPr>
          <w:bCs/>
          <w:szCs w:val="22"/>
          <w:highlight w:val="yellow"/>
        </w:rPr>
      </w:pPr>
    </w:p>
    <w:p w:rsidR="00EE228B" w:rsidRPr="008A0437" w:rsidRDefault="00BE1A2E" w:rsidP="00915C99">
      <w:pPr>
        <w:widowControl/>
        <w:numPr>
          <w:ilvl w:val="1"/>
          <w:numId w:val="1"/>
        </w:numPr>
        <w:contextualSpacing/>
        <w:rPr>
          <w:bCs/>
          <w:szCs w:val="22"/>
        </w:rPr>
      </w:pPr>
      <w:r w:rsidRPr="008A0437">
        <w:rPr>
          <w:bCs/>
          <w:szCs w:val="22"/>
        </w:rPr>
        <w:t>The PB</w:t>
      </w:r>
      <w:r w:rsidR="00695B9A" w:rsidRPr="008A0437">
        <w:rPr>
          <w:bCs/>
          <w:szCs w:val="22"/>
        </w:rPr>
        <w:t>AC considered the Early Supply R</w:t>
      </w:r>
      <w:r w:rsidRPr="008A0437">
        <w:rPr>
          <w:bCs/>
          <w:szCs w:val="22"/>
        </w:rPr>
        <w:t xml:space="preserve">ule </w:t>
      </w:r>
      <w:r w:rsidR="00EE228B" w:rsidRPr="008A0437">
        <w:rPr>
          <w:bCs/>
          <w:szCs w:val="22"/>
        </w:rPr>
        <w:t>should apply to nintedanib.</w:t>
      </w:r>
    </w:p>
    <w:p w:rsidR="00B3127B" w:rsidRPr="00FB712F" w:rsidRDefault="00B3127B" w:rsidP="00B3127B">
      <w:pPr>
        <w:widowControl/>
        <w:rPr>
          <w:szCs w:val="22"/>
        </w:rPr>
      </w:pPr>
    </w:p>
    <w:p w:rsidR="00B3127B" w:rsidRPr="008A0437" w:rsidRDefault="00B3127B" w:rsidP="00B3127B">
      <w:pPr>
        <w:widowControl/>
        <w:numPr>
          <w:ilvl w:val="1"/>
          <w:numId w:val="1"/>
        </w:numPr>
        <w:contextualSpacing/>
        <w:rPr>
          <w:szCs w:val="22"/>
        </w:rPr>
      </w:pPr>
      <w:r w:rsidRPr="008A0437">
        <w:rPr>
          <w:szCs w:val="22"/>
        </w:rPr>
        <w:t xml:space="preserve">The PBAC noted </w:t>
      </w:r>
      <w:r w:rsidR="0038696E" w:rsidRPr="008A0437">
        <w:rPr>
          <w:szCs w:val="22"/>
        </w:rPr>
        <w:t xml:space="preserve">that </w:t>
      </w:r>
      <w:r w:rsidR="00FB712F">
        <w:rPr>
          <w:szCs w:val="22"/>
        </w:rPr>
        <w:t xml:space="preserve">no basis </w:t>
      </w:r>
      <w:r w:rsidR="00784532">
        <w:rPr>
          <w:szCs w:val="22"/>
        </w:rPr>
        <w:t>was</w:t>
      </w:r>
      <w:r w:rsidR="00FB712F">
        <w:rPr>
          <w:szCs w:val="22"/>
        </w:rPr>
        <w:t xml:space="preserve"> provided to assess </w:t>
      </w:r>
      <w:r w:rsidR="0038696E" w:rsidRPr="008A0437">
        <w:rPr>
          <w:szCs w:val="22"/>
        </w:rPr>
        <w:t xml:space="preserve">the clinical effectiveness, </w:t>
      </w:r>
      <w:r w:rsidRPr="008A0437">
        <w:rPr>
          <w:szCs w:val="22"/>
        </w:rPr>
        <w:t>safety and cost-effectiveness of combined use of nintedanib and pirfenidone for the treatment of IPF. Accordingly, the PBAC recommended that if both nintedanib and pirfenidone are PBS</w:t>
      </w:r>
      <w:r w:rsidR="00784532">
        <w:rPr>
          <w:szCs w:val="22"/>
        </w:rPr>
        <w:t>-</w:t>
      </w:r>
      <w:r w:rsidRPr="008A0437">
        <w:rPr>
          <w:szCs w:val="22"/>
        </w:rPr>
        <w:t xml:space="preserve">subsidised in the future, a clinical criterion should be added to the nintedanib restriction stating that “The treatment must not be in combination with </w:t>
      </w:r>
      <w:r w:rsidR="00D70DF3">
        <w:rPr>
          <w:szCs w:val="22"/>
        </w:rPr>
        <w:t xml:space="preserve">PBS-subsidised </w:t>
      </w:r>
      <w:r w:rsidRPr="008A0437">
        <w:rPr>
          <w:szCs w:val="22"/>
        </w:rPr>
        <w:t xml:space="preserve">pirfenidone” (and vice versa for the pirfenidone restriction). </w:t>
      </w:r>
      <w:r w:rsidR="00D70DF3">
        <w:rPr>
          <w:szCs w:val="22"/>
        </w:rPr>
        <w:t xml:space="preserve">Any </w:t>
      </w:r>
      <w:r w:rsidR="00D70DF3" w:rsidRPr="008A0437">
        <w:rPr>
          <w:szCs w:val="22"/>
        </w:rPr>
        <w:t xml:space="preserve">financial risk of concomitant use of </w:t>
      </w:r>
      <w:r w:rsidR="00D70DF3">
        <w:rPr>
          <w:szCs w:val="22"/>
        </w:rPr>
        <w:t xml:space="preserve">PBS-subsidised </w:t>
      </w:r>
      <w:r w:rsidR="00D70DF3" w:rsidRPr="008A0437">
        <w:rPr>
          <w:szCs w:val="22"/>
        </w:rPr>
        <w:t xml:space="preserve">pirfenidone </w:t>
      </w:r>
      <w:r w:rsidR="008A7EF1">
        <w:rPr>
          <w:szCs w:val="22"/>
        </w:rPr>
        <w:t xml:space="preserve">and nintedanib </w:t>
      </w:r>
      <w:r w:rsidR="00D70DF3">
        <w:rPr>
          <w:szCs w:val="22"/>
        </w:rPr>
        <w:t xml:space="preserve">despite this criterion </w:t>
      </w:r>
      <w:r w:rsidR="00D70DF3" w:rsidRPr="008A0437">
        <w:rPr>
          <w:szCs w:val="22"/>
        </w:rPr>
        <w:t>would be managed through the recommended financial caps.</w:t>
      </w:r>
      <w:r w:rsidR="00D70DF3">
        <w:rPr>
          <w:szCs w:val="22"/>
        </w:rPr>
        <w:t xml:space="preserve"> </w:t>
      </w:r>
      <w:r w:rsidRPr="008A0437">
        <w:rPr>
          <w:szCs w:val="22"/>
        </w:rPr>
        <w:t xml:space="preserve">The PBAC also noted that switching rules between the two drugs would </w:t>
      </w:r>
      <w:r w:rsidR="00E24004">
        <w:rPr>
          <w:szCs w:val="22"/>
        </w:rPr>
        <w:t>be necessary</w:t>
      </w:r>
      <w:r w:rsidRPr="008A0437">
        <w:rPr>
          <w:szCs w:val="22"/>
        </w:rPr>
        <w:t>.</w:t>
      </w:r>
    </w:p>
    <w:p w:rsidR="00B3127B" w:rsidRPr="00FB712F" w:rsidRDefault="00B3127B" w:rsidP="00915C99">
      <w:pPr>
        <w:widowControl/>
        <w:contextualSpacing/>
        <w:rPr>
          <w:bCs/>
          <w:szCs w:val="22"/>
        </w:rPr>
      </w:pPr>
    </w:p>
    <w:p w:rsidR="00EE228B" w:rsidRPr="008A0437" w:rsidRDefault="00EE228B" w:rsidP="00915C99">
      <w:pPr>
        <w:widowControl/>
        <w:numPr>
          <w:ilvl w:val="1"/>
          <w:numId w:val="1"/>
        </w:numPr>
        <w:contextualSpacing/>
        <w:rPr>
          <w:bCs/>
          <w:szCs w:val="22"/>
        </w:rPr>
      </w:pPr>
      <w:r w:rsidRPr="008A0437">
        <w:rPr>
          <w:bCs/>
          <w:szCs w:val="22"/>
        </w:rPr>
        <w:t xml:space="preserve">The PBAC noted that this submission is </w:t>
      </w:r>
      <w:r w:rsidR="004A63BA" w:rsidRPr="008A0437">
        <w:rPr>
          <w:bCs/>
          <w:szCs w:val="22"/>
        </w:rPr>
        <w:t>not eligible for an Independent Review because the PBAC has made a positive recommendation.</w:t>
      </w:r>
    </w:p>
    <w:p w:rsidR="00F11BB1" w:rsidRPr="008A0437" w:rsidRDefault="00F11BB1" w:rsidP="00915C99">
      <w:pPr>
        <w:widowControl/>
        <w:rPr>
          <w:b/>
          <w:bCs/>
          <w:szCs w:val="22"/>
          <w:highlight w:val="yellow"/>
        </w:rPr>
      </w:pPr>
    </w:p>
    <w:p w:rsidR="0092792C" w:rsidRPr="008A0437" w:rsidRDefault="0092792C" w:rsidP="00915C99">
      <w:pPr>
        <w:widowControl/>
        <w:rPr>
          <w:b/>
          <w:bCs/>
          <w:szCs w:val="22"/>
        </w:rPr>
      </w:pPr>
      <w:r w:rsidRPr="008A0437">
        <w:rPr>
          <w:b/>
          <w:bCs/>
          <w:szCs w:val="22"/>
        </w:rPr>
        <w:t>Outcome:</w:t>
      </w:r>
    </w:p>
    <w:p w:rsidR="0092792C" w:rsidRPr="008A0437" w:rsidRDefault="001C106A" w:rsidP="00915C99">
      <w:pPr>
        <w:widowControl/>
        <w:rPr>
          <w:bCs/>
          <w:szCs w:val="22"/>
        </w:rPr>
      </w:pPr>
      <w:r w:rsidRPr="008A0437">
        <w:rPr>
          <w:bCs/>
          <w:szCs w:val="22"/>
        </w:rPr>
        <w:t>Recommended</w:t>
      </w:r>
    </w:p>
    <w:p w:rsidR="00F9137C" w:rsidRPr="008A0437" w:rsidRDefault="00F9137C" w:rsidP="00F9137C">
      <w:pPr>
        <w:pStyle w:val="NoSpacing"/>
        <w:widowControl/>
      </w:pPr>
    </w:p>
    <w:p w:rsidR="00F9137C" w:rsidRPr="008A0437" w:rsidRDefault="00F9137C" w:rsidP="00915C99">
      <w:pPr>
        <w:widowControl/>
        <w:rPr>
          <w:bCs/>
          <w:szCs w:val="22"/>
          <w:highlight w:val="yellow"/>
        </w:rPr>
      </w:pPr>
    </w:p>
    <w:p w:rsidR="002D4745" w:rsidRPr="008A0437" w:rsidRDefault="00EB5B7C" w:rsidP="00F9137C">
      <w:pPr>
        <w:pStyle w:val="PBACheading1"/>
        <w:keepNext/>
        <w:rPr>
          <w:b/>
          <w:bCs/>
        </w:rPr>
      </w:pPr>
      <w:r w:rsidRPr="008A0437">
        <w:rPr>
          <w:b/>
          <w:bCs/>
        </w:rPr>
        <w:t>Recommended listing</w:t>
      </w:r>
    </w:p>
    <w:p w:rsidR="007A40E7" w:rsidRPr="008A0437" w:rsidRDefault="007A40E7" w:rsidP="0031233D"/>
    <w:p w:rsidR="007A40E7" w:rsidRPr="00F87E3A" w:rsidRDefault="007A40E7" w:rsidP="007A40E7">
      <w:pPr>
        <w:keepNext/>
        <w:widowControl/>
        <w:numPr>
          <w:ilvl w:val="1"/>
          <w:numId w:val="1"/>
        </w:numPr>
        <w:contextualSpacing/>
        <w:jc w:val="left"/>
        <w:rPr>
          <w:szCs w:val="22"/>
        </w:rPr>
      </w:pPr>
      <w:r w:rsidRPr="00F87E3A">
        <w:rPr>
          <w:bCs/>
          <w:szCs w:val="22"/>
        </w:rPr>
        <w:t>Add new item:</w:t>
      </w:r>
    </w:p>
    <w:p w:rsidR="006640B4" w:rsidRPr="008A0437" w:rsidRDefault="006640B4" w:rsidP="007A40E7">
      <w:pPr>
        <w:rPr>
          <w:szCs w:val="22"/>
        </w:rPr>
      </w:pPr>
    </w:p>
    <w:tbl>
      <w:tblPr>
        <w:tblW w:w="8363" w:type="dxa"/>
        <w:tblInd w:w="817" w:type="dxa"/>
        <w:tblLayout w:type="fixed"/>
        <w:tblLook w:val="0000" w:firstRow="0" w:lastRow="0" w:firstColumn="0" w:lastColumn="0" w:noHBand="0" w:noVBand="0"/>
      </w:tblPr>
      <w:tblGrid>
        <w:gridCol w:w="2126"/>
        <w:gridCol w:w="993"/>
        <w:gridCol w:w="567"/>
        <w:gridCol w:w="850"/>
        <w:gridCol w:w="851"/>
        <w:gridCol w:w="2976"/>
      </w:tblGrid>
      <w:tr w:rsidR="00F87E3A" w:rsidRPr="008A0437" w:rsidTr="002F4158">
        <w:trPr>
          <w:trHeight w:val="471"/>
        </w:trPr>
        <w:tc>
          <w:tcPr>
            <w:tcW w:w="3119" w:type="dxa"/>
            <w:gridSpan w:val="2"/>
            <w:tcBorders>
              <w:bottom w:val="single" w:sz="4" w:space="0" w:color="auto"/>
            </w:tcBorders>
          </w:tcPr>
          <w:p w:rsidR="00F87E3A" w:rsidRPr="008A0437" w:rsidRDefault="00F87E3A" w:rsidP="002F4158">
            <w:pPr>
              <w:keepNext/>
              <w:ind w:left="-108"/>
              <w:rPr>
                <w:rFonts w:ascii="Arial Narrow" w:hAnsi="Arial Narrow"/>
                <w:sz w:val="20"/>
              </w:rPr>
            </w:pPr>
            <w:r w:rsidRPr="008A0437">
              <w:rPr>
                <w:rFonts w:ascii="Arial Narrow" w:hAnsi="Arial Narrow"/>
                <w:sz w:val="20"/>
              </w:rPr>
              <w:t>Name, Restriction,</w:t>
            </w:r>
          </w:p>
          <w:p w:rsidR="00F87E3A" w:rsidRPr="008A0437" w:rsidRDefault="00F87E3A" w:rsidP="002F4158">
            <w:pPr>
              <w:keepNext/>
              <w:ind w:left="-108"/>
              <w:rPr>
                <w:rFonts w:ascii="Arial Narrow" w:hAnsi="Arial Narrow"/>
                <w:sz w:val="20"/>
              </w:rPr>
            </w:pPr>
            <w:r w:rsidRPr="008A0437">
              <w:rPr>
                <w:rFonts w:ascii="Arial Narrow" w:hAnsi="Arial Narrow"/>
                <w:sz w:val="20"/>
              </w:rPr>
              <w:t>Manner of administration and form</w:t>
            </w:r>
          </w:p>
        </w:tc>
        <w:tc>
          <w:tcPr>
            <w:tcW w:w="567" w:type="dxa"/>
            <w:tcBorders>
              <w:bottom w:val="single" w:sz="4" w:space="0" w:color="auto"/>
            </w:tcBorders>
          </w:tcPr>
          <w:p w:rsidR="00F87E3A" w:rsidRPr="008A0437" w:rsidRDefault="00F87E3A" w:rsidP="002F4158">
            <w:pPr>
              <w:keepNext/>
              <w:ind w:left="-108"/>
              <w:rPr>
                <w:rFonts w:ascii="Arial Narrow" w:hAnsi="Arial Narrow"/>
                <w:sz w:val="20"/>
              </w:rPr>
            </w:pPr>
            <w:r w:rsidRPr="008A0437">
              <w:rPr>
                <w:rFonts w:ascii="Arial Narrow" w:hAnsi="Arial Narrow"/>
                <w:sz w:val="20"/>
              </w:rPr>
              <w:t>Max.</w:t>
            </w:r>
          </w:p>
          <w:p w:rsidR="00F87E3A" w:rsidRPr="008A0437" w:rsidRDefault="00F87E3A" w:rsidP="002F4158">
            <w:pPr>
              <w:keepNext/>
              <w:ind w:left="-108"/>
              <w:rPr>
                <w:rFonts w:ascii="Arial Narrow" w:hAnsi="Arial Narrow"/>
                <w:sz w:val="20"/>
              </w:rPr>
            </w:pPr>
            <w:r w:rsidRPr="008A0437">
              <w:rPr>
                <w:rFonts w:ascii="Arial Narrow" w:hAnsi="Arial Narrow"/>
                <w:sz w:val="20"/>
              </w:rPr>
              <w:t>Qty</w:t>
            </w:r>
          </w:p>
        </w:tc>
        <w:tc>
          <w:tcPr>
            <w:tcW w:w="850" w:type="dxa"/>
            <w:tcBorders>
              <w:bottom w:val="single" w:sz="4" w:space="0" w:color="auto"/>
            </w:tcBorders>
          </w:tcPr>
          <w:p w:rsidR="00F87E3A" w:rsidRPr="008A0437" w:rsidRDefault="00F87E3A" w:rsidP="002F4158">
            <w:pPr>
              <w:keepNext/>
              <w:ind w:left="-108"/>
              <w:rPr>
                <w:rFonts w:ascii="Arial Narrow" w:hAnsi="Arial Narrow"/>
                <w:sz w:val="20"/>
              </w:rPr>
            </w:pPr>
            <w:r w:rsidRPr="008A0437">
              <w:rPr>
                <w:rFonts w:ascii="Arial Narrow" w:hAnsi="Arial Narrow"/>
                <w:sz w:val="20"/>
              </w:rPr>
              <w:t>№.of</w:t>
            </w:r>
          </w:p>
          <w:p w:rsidR="00F87E3A" w:rsidRPr="008A0437" w:rsidRDefault="00F87E3A" w:rsidP="002F4158">
            <w:pPr>
              <w:keepNext/>
              <w:ind w:left="-108"/>
              <w:rPr>
                <w:rFonts w:ascii="Arial Narrow" w:hAnsi="Arial Narrow"/>
                <w:sz w:val="20"/>
              </w:rPr>
            </w:pPr>
            <w:r w:rsidRPr="008A0437">
              <w:rPr>
                <w:rFonts w:ascii="Arial Narrow" w:hAnsi="Arial Narrow"/>
                <w:sz w:val="20"/>
              </w:rPr>
              <w:t>Rpts</w:t>
            </w:r>
          </w:p>
        </w:tc>
        <w:tc>
          <w:tcPr>
            <w:tcW w:w="3827" w:type="dxa"/>
            <w:gridSpan w:val="2"/>
            <w:tcBorders>
              <w:bottom w:val="single" w:sz="4" w:space="0" w:color="auto"/>
            </w:tcBorders>
          </w:tcPr>
          <w:p w:rsidR="00F87E3A" w:rsidRPr="008A0437" w:rsidRDefault="00F87E3A" w:rsidP="002F4158">
            <w:pPr>
              <w:keepNext/>
              <w:rPr>
                <w:rFonts w:ascii="Arial Narrow" w:hAnsi="Arial Narrow"/>
                <w:sz w:val="20"/>
              </w:rPr>
            </w:pPr>
            <w:r w:rsidRPr="008A0437">
              <w:rPr>
                <w:rFonts w:ascii="Arial Narrow" w:hAnsi="Arial Narrow"/>
                <w:sz w:val="20"/>
              </w:rPr>
              <w:t>Proprietary Name and Manufacturer</w:t>
            </w:r>
          </w:p>
        </w:tc>
      </w:tr>
      <w:tr w:rsidR="00F87E3A" w:rsidRPr="008A0437" w:rsidTr="002F4158">
        <w:trPr>
          <w:trHeight w:val="577"/>
        </w:trPr>
        <w:tc>
          <w:tcPr>
            <w:tcW w:w="3119" w:type="dxa"/>
            <w:gridSpan w:val="2"/>
          </w:tcPr>
          <w:p w:rsidR="00F87E3A" w:rsidRPr="008A0437" w:rsidRDefault="00F87E3A" w:rsidP="002F4158">
            <w:pPr>
              <w:keepNext/>
              <w:ind w:left="-108"/>
              <w:rPr>
                <w:rFonts w:ascii="Arial Narrow" w:hAnsi="Arial Narrow"/>
                <w:sz w:val="20"/>
              </w:rPr>
            </w:pPr>
            <w:r w:rsidRPr="008A0437">
              <w:rPr>
                <w:rFonts w:ascii="Arial Narrow" w:hAnsi="Arial Narrow"/>
                <w:smallCaps/>
                <w:sz w:val="20"/>
              </w:rPr>
              <w:t>nintedanib</w:t>
            </w:r>
          </w:p>
          <w:p w:rsidR="00F87E3A" w:rsidRPr="008A0437" w:rsidRDefault="00F87E3A" w:rsidP="002F4158">
            <w:pPr>
              <w:keepNext/>
              <w:ind w:left="-108"/>
              <w:rPr>
                <w:rFonts w:ascii="Arial Narrow" w:hAnsi="Arial Narrow"/>
                <w:smallCaps/>
                <w:sz w:val="20"/>
              </w:rPr>
            </w:pPr>
            <w:r w:rsidRPr="008A0437">
              <w:rPr>
                <w:rFonts w:ascii="Arial Narrow" w:hAnsi="Arial Narrow"/>
                <w:smallCaps/>
                <w:sz w:val="20"/>
              </w:rPr>
              <w:t>Capsule, oral, 100 mg, 60</w:t>
            </w:r>
          </w:p>
          <w:p w:rsidR="00F87E3A" w:rsidRPr="008A0437" w:rsidRDefault="00F87E3A" w:rsidP="002F4158">
            <w:pPr>
              <w:keepNext/>
              <w:ind w:left="-108"/>
              <w:rPr>
                <w:rFonts w:ascii="Arial Narrow" w:hAnsi="Arial Narrow"/>
                <w:sz w:val="20"/>
              </w:rPr>
            </w:pPr>
            <w:r w:rsidRPr="008A0437">
              <w:rPr>
                <w:rFonts w:ascii="Arial Narrow" w:hAnsi="Arial Narrow"/>
                <w:smallCaps/>
                <w:sz w:val="20"/>
              </w:rPr>
              <w:t>Capsule, oral, 150 mg, 60</w:t>
            </w:r>
          </w:p>
        </w:tc>
        <w:tc>
          <w:tcPr>
            <w:tcW w:w="567" w:type="dxa"/>
          </w:tcPr>
          <w:p w:rsidR="00F87E3A" w:rsidRPr="008A0437" w:rsidRDefault="00F87E3A" w:rsidP="002F4158">
            <w:pPr>
              <w:keepNext/>
              <w:ind w:left="-108"/>
              <w:rPr>
                <w:rFonts w:ascii="Arial Narrow" w:hAnsi="Arial Narrow"/>
                <w:sz w:val="20"/>
              </w:rPr>
            </w:pPr>
          </w:p>
          <w:p w:rsidR="00F87E3A" w:rsidRPr="008A0437" w:rsidRDefault="00F87E3A" w:rsidP="002F4158">
            <w:pPr>
              <w:keepNext/>
              <w:ind w:left="-108"/>
              <w:rPr>
                <w:rFonts w:ascii="Arial Narrow" w:hAnsi="Arial Narrow"/>
                <w:sz w:val="20"/>
              </w:rPr>
            </w:pPr>
            <w:r w:rsidRPr="008A0437">
              <w:rPr>
                <w:rFonts w:ascii="Arial Narrow" w:hAnsi="Arial Narrow"/>
                <w:sz w:val="20"/>
              </w:rPr>
              <w:t>1</w:t>
            </w:r>
          </w:p>
          <w:p w:rsidR="00F87E3A" w:rsidRPr="008A0437" w:rsidRDefault="00F87E3A" w:rsidP="002F4158">
            <w:pPr>
              <w:keepNext/>
              <w:ind w:left="-108"/>
              <w:rPr>
                <w:rFonts w:ascii="Arial Narrow" w:hAnsi="Arial Narrow"/>
                <w:sz w:val="20"/>
              </w:rPr>
            </w:pPr>
            <w:r w:rsidRPr="008A0437">
              <w:rPr>
                <w:rFonts w:ascii="Arial Narrow" w:hAnsi="Arial Narrow"/>
                <w:sz w:val="20"/>
              </w:rPr>
              <w:t>1</w:t>
            </w:r>
          </w:p>
        </w:tc>
        <w:tc>
          <w:tcPr>
            <w:tcW w:w="850" w:type="dxa"/>
          </w:tcPr>
          <w:p w:rsidR="00F87E3A" w:rsidRPr="008A0437" w:rsidRDefault="00F87E3A" w:rsidP="002F4158">
            <w:pPr>
              <w:keepNext/>
              <w:ind w:left="-108"/>
              <w:rPr>
                <w:rFonts w:ascii="Arial Narrow" w:hAnsi="Arial Narrow"/>
                <w:sz w:val="20"/>
              </w:rPr>
            </w:pPr>
          </w:p>
          <w:p w:rsidR="00F87E3A" w:rsidRPr="008A0437" w:rsidRDefault="00F87E3A" w:rsidP="002F4158">
            <w:pPr>
              <w:keepNext/>
              <w:ind w:left="-108"/>
              <w:rPr>
                <w:rFonts w:ascii="Arial Narrow" w:hAnsi="Arial Narrow"/>
                <w:sz w:val="20"/>
              </w:rPr>
            </w:pPr>
            <w:r w:rsidRPr="008A0437">
              <w:rPr>
                <w:rFonts w:ascii="Arial Narrow" w:hAnsi="Arial Narrow"/>
                <w:sz w:val="20"/>
              </w:rPr>
              <w:t>5</w:t>
            </w:r>
          </w:p>
          <w:p w:rsidR="00F87E3A" w:rsidRPr="008A0437" w:rsidRDefault="00F87E3A" w:rsidP="002F4158">
            <w:pPr>
              <w:keepNext/>
              <w:ind w:left="-108"/>
              <w:rPr>
                <w:rFonts w:ascii="Arial Narrow" w:hAnsi="Arial Narrow"/>
                <w:sz w:val="20"/>
              </w:rPr>
            </w:pPr>
            <w:r w:rsidRPr="008A0437">
              <w:rPr>
                <w:rFonts w:ascii="Arial Narrow" w:hAnsi="Arial Narrow"/>
                <w:sz w:val="20"/>
              </w:rPr>
              <w:t>5</w:t>
            </w:r>
          </w:p>
        </w:tc>
        <w:tc>
          <w:tcPr>
            <w:tcW w:w="851" w:type="dxa"/>
          </w:tcPr>
          <w:p w:rsidR="00F87E3A" w:rsidRPr="008A0437" w:rsidRDefault="00F87E3A" w:rsidP="002F4158">
            <w:pPr>
              <w:keepNext/>
              <w:rPr>
                <w:rFonts w:ascii="Arial Narrow" w:hAnsi="Arial Narrow"/>
                <w:sz w:val="20"/>
              </w:rPr>
            </w:pPr>
            <w:r w:rsidRPr="008A0437">
              <w:rPr>
                <w:rFonts w:ascii="Arial Narrow" w:hAnsi="Arial Narrow"/>
                <w:sz w:val="20"/>
              </w:rPr>
              <w:t>Ofev®</w:t>
            </w:r>
          </w:p>
        </w:tc>
        <w:tc>
          <w:tcPr>
            <w:tcW w:w="2976" w:type="dxa"/>
          </w:tcPr>
          <w:p w:rsidR="00F87E3A" w:rsidRPr="008A0437" w:rsidRDefault="00F87E3A" w:rsidP="002F4158">
            <w:pPr>
              <w:keepNext/>
              <w:rPr>
                <w:rFonts w:ascii="Arial Narrow" w:hAnsi="Arial Narrow"/>
                <w:sz w:val="20"/>
              </w:rPr>
            </w:pPr>
            <w:r w:rsidRPr="008A0437">
              <w:rPr>
                <w:rFonts w:ascii="Arial Narrow" w:hAnsi="Arial Narrow"/>
                <w:sz w:val="20"/>
              </w:rPr>
              <w:t>Boehringer Ingelheim Pty Ltd</w:t>
            </w:r>
          </w:p>
          <w:p w:rsidR="00F87E3A" w:rsidRPr="008A0437" w:rsidRDefault="00F87E3A" w:rsidP="002F4158">
            <w:pPr>
              <w:keepNext/>
              <w:rPr>
                <w:rFonts w:ascii="Arial Narrow" w:hAnsi="Arial Narrow"/>
                <w:sz w:val="20"/>
              </w:rPr>
            </w:pP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Category/Program</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GENERAL – General Schedule (Code GE)</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Dental  </w:t>
            </w: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Medical Practitioners  </w:t>
            </w:r>
            <w:r w:rsidRPr="008A0437">
              <w:rPr>
                <w:rFonts w:ascii="Arial Narrow" w:hAnsi="Arial Narrow"/>
                <w:sz w:val="20"/>
              </w:rPr>
              <w:fldChar w:fldCharType="begin">
                <w:ffData>
                  <w:name w:val="Check3"/>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Nurse practitioners  </w:t>
            </w: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Optometrists</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Midwives</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Idiopathic pulmonary fibrosis</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Idiopathic pulmonary fibrosis</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jc w:val="left"/>
              <w:rPr>
                <w:rFonts w:ascii="Arial Narrow" w:hAnsi="Arial Narrow"/>
                <w:b/>
                <w:sz w:val="20"/>
              </w:rPr>
            </w:pPr>
            <w:r w:rsidRPr="008A0437">
              <w:rPr>
                <w:rFonts w:ascii="Arial Narrow" w:hAnsi="Arial Narrow"/>
                <w:b/>
                <w:sz w:val="20"/>
              </w:rPr>
              <w:t>Restriction Level / Method:</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In Writing</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 xml:space="preserve">Initial </w:t>
            </w:r>
            <w:r>
              <w:rPr>
                <w:rFonts w:ascii="Arial Narrow" w:hAnsi="Arial Narrow"/>
                <w:sz w:val="20"/>
              </w:rPr>
              <w:t>1: new patient</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Pr>
                <w:rFonts w:ascii="Arial Narrow" w:hAnsi="Arial Narrow"/>
                <w:b/>
                <w:sz w:val="20"/>
              </w:rPr>
              <w:t>Treatment</w:t>
            </w:r>
            <w:r w:rsidRPr="008A0437">
              <w:rPr>
                <w:rFonts w:ascii="Arial Narrow" w:hAnsi="Arial Narrow"/>
                <w:b/>
                <w:sz w:val="20"/>
              </w:rPr>
              <w:t xml:space="preserve"> criteria:</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B57E45" w:rsidRDefault="00F87E3A" w:rsidP="002F4158">
            <w:pPr>
              <w:widowControl/>
              <w:rPr>
                <w:rFonts w:ascii="Arial Narrow" w:hAnsi="Arial Narrow"/>
                <w:i/>
                <w:sz w:val="20"/>
              </w:rPr>
            </w:pPr>
            <w:r w:rsidRPr="00B57E45">
              <w:rPr>
                <w:rFonts w:ascii="Arial Narrow" w:hAnsi="Arial Narrow"/>
                <w:sz w:val="20"/>
              </w:rPr>
              <w:t>Must be treated by</w:t>
            </w:r>
            <w:r>
              <w:rPr>
                <w:rFonts w:ascii="Arial Narrow" w:hAnsi="Arial Narrow"/>
                <w:sz w:val="20"/>
              </w:rPr>
              <w:t>, or in consultation with,</w:t>
            </w:r>
            <w:r w:rsidRPr="00B57E45">
              <w:rPr>
                <w:rFonts w:ascii="Arial Narrow" w:hAnsi="Arial Narrow"/>
                <w:sz w:val="20"/>
              </w:rPr>
              <w:t xml:space="preserve"> a respiratory physician or specialist physician</w:t>
            </w:r>
            <w:r>
              <w:rPr>
                <w:rFonts w:ascii="Arial Narrow" w:hAnsi="Arial Narrow"/>
                <w:sz w:val="20"/>
              </w:rPr>
              <w:t>.</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Clinical criteria:</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trike/>
                <w:sz w:val="20"/>
              </w:rPr>
            </w:pPr>
            <w:r>
              <w:rPr>
                <w:rFonts w:ascii="Arial Narrow" w:hAnsi="Arial Narrow"/>
                <w:sz w:val="20"/>
                <w:lang w:eastAsia="en-AU"/>
              </w:rPr>
              <w:t xml:space="preserve">The condition </w:t>
            </w:r>
            <w:r w:rsidRPr="008A0437">
              <w:rPr>
                <w:rFonts w:ascii="Arial Narrow" w:hAnsi="Arial Narrow"/>
                <w:sz w:val="20"/>
                <w:lang w:eastAsia="en-AU"/>
              </w:rPr>
              <w:t xml:space="preserve">must </w:t>
            </w:r>
            <w:r>
              <w:rPr>
                <w:rFonts w:ascii="Arial Narrow" w:hAnsi="Arial Narrow"/>
                <w:sz w:val="20"/>
                <w:lang w:eastAsia="en-AU"/>
              </w:rPr>
              <w:t xml:space="preserve">be </w:t>
            </w:r>
            <w:r w:rsidRPr="008A0437">
              <w:rPr>
                <w:rFonts w:ascii="Arial Narrow" w:hAnsi="Arial Narrow"/>
                <w:sz w:val="20"/>
                <w:lang w:eastAsia="en-AU"/>
              </w:rPr>
              <w:t>diagnos</w:t>
            </w:r>
            <w:r>
              <w:rPr>
                <w:rFonts w:ascii="Arial Narrow" w:hAnsi="Arial Narrow"/>
                <w:sz w:val="20"/>
                <w:lang w:eastAsia="en-AU"/>
              </w:rPr>
              <w:t xml:space="preserve">ed </w:t>
            </w:r>
            <w:r w:rsidRPr="008A0437">
              <w:rPr>
                <w:rFonts w:ascii="Arial Narrow" w:hAnsi="Arial Narrow"/>
                <w:sz w:val="20"/>
                <w:lang w:eastAsia="en-AU"/>
              </w:rPr>
              <w:t>through a multidisciplinary team.</w:t>
            </w:r>
          </w:p>
          <w:p w:rsidR="00F87E3A" w:rsidRPr="008A0437" w:rsidRDefault="00F87E3A" w:rsidP="002F4158">
            <w:pPr>
              <w:rPr>
                <w:rFonts w:ascii="Arial Narrow" w:hAnsi="Arial Narrow"/>
                <w:sz w:val="20"/>
              </w:rPr>
            </w:pPr>
            <w:r w:rsidRPr="008A0437">
              <w:rPr>
                <w:rFonts w:ascii="Arial Narrow" w:hAnsi="Arial Narrow"/>
                <w:sz w:val="20"/>
              </w:rPr>
              <w:t>AND</w:t>
            </w:r>
          </w:p>
          <w:p w:rsidR="00F87E3A" w:rsidRPr="008A0437" w:rsidRDefault="00F87E3A" w:rsidP="002F4158">
            <w:pPr>
              <w:rPr>
                <w:rFonts w:ascii="Arial Narrow" w:hAnsi="Arial Narrow"/>
                <w:sz w:val="20"/>
              </w:rPr>
            </w:pPr>
            <w:r w:rsidRPr="008A0437">
              <w:rPr>
                <w:rFonts w:ascii="Arial Narrow" w:hAnsi="Arial Narrow"/>
                <w:sz w:val="20"/>
              </w:rPr>
              <w:t>Patient must have a chest high resolution computed tomography (HRCT) consistent with diagnosis of idiopathic pulmonary fibrosi</w:t>
            </w:r>
            <w:r>
              <w:rPr>
                <w:rFonts w:ascii="Arial Narrow" w:hAnsi="Arial Narrow"/>
                <w:sz w:val="20"/>
              </w:rPr>
              <w:t>s within the previous 12 months</w:t>
            </w:r>
          </w:p>
          <w:p w:rsidR="00F87E3A" w:rsidRPr="008A0437" w:rsidRDefault="00F87E3A" w:rsidP="002F4158">
            <w:pPr>
              <w:rPr>
                <w:rFonts w:ascii="Arial Narrow" w:hAnsi="Arial Narrow"/>
                <w:sz w:val="20"/>
              </w:rPr>
            </w:pPr>
            <w:r w:rsidRPr="008A0437">
              <w:rPr>
                <w:rFonts w:ascii="Arial Narrow" w:hAnsi="Arial Narrow"/>
                <w:sz w:val="20"/>
              </w:rPr>
              <w:t>AND</w:t>
            </w:r>
          </w:p>
          <w:p w:rsidR="00F87E3A" w:rsidRDefault="00F87E3A" w:rsidP="002F4158">
            <w:pPr>
              <w:rPr>
                <w:rFonts w:ascii="Arial Narrow" w:hAnsi="Arial Narrow"/>
                <w:sz w:val="20"/>
              </w:rPr>
            </w:pPr>
            <w:r w:rsidRPr="008A0437">
              <w:rPr>
                <w:rFonts w:ascii="Arial Narrow" w:hAnsi="Arial Narrow"/>
                <w:sz w:val="20"/>
              </w:rPr>
              <w:t xml:space="preserve">Patient must have forced vital capacity (FVC) </w:t>
            </w:r>
            <w:r>
              <w:rPr>
                <w:rFonts w:ascii="Arial Narrow" w:hAnsi="Arial Narrow"/>
                <w:sz w:val="20"/>
              </w:rPr>
              <w:t xml:space="preserve">greater than or </w:t>
            </w:r>
            <w:r w:rsidRPr="008A0437">
              <w:rPr>
                <w:rFonts w:ascii="Arial Narrow" w:hAnsi="Arial Narrow"/>
                <w:sz w:val="20"/>
              </w:rPr>
              <w:t>equal to 50% predicted for age, gender and height</w:t>
            </w:r>
          </w:p>
          <w:p w:rsidR="00F87E3A" w:rsidRDefault="00F87E3A" w:rsidP="002F4158">
            <w:pPr>
              <w:rPr>
                <w:rFonts w:ascii="Arial Narrow" w:hAnsi="Arial Narrow"/>
                <w:sz w:val="20"/>
              </w:rPr>
            </w:pPr>
            <w:r>
              <w:rPr>
                <w:rFonts w:ascii="Arial Narrow" w:hAnsi="Arial Narrow"/>
                <w:sz w:val="20"/>
              </w:rPr>
              <w:lastRenderedPageBreak/>
              <w:t>AND</w:t>
            </w:r>
          </w:p>
          <w:p w:rsidR="00F87E3A" w:rsidRPr="008A0437" w:rsidRDefault="00F87E3A" w:rsidP="002F4158">
            <w:pPr>
              <w:rPr>
                <w:rFonts w:ascii="Arial Narrow" w:hAnsi="Arial Narrow"/>
                <w:sz w:val="20"/>
              </w:rPr>
            </w:pPr>
            <w:r>
              <w:rPr>
                <w:rFonts w:ascii="Arial Narrow" w:hAnsi="Arial Narrow"/>
                <w:sz w:val="20"/>
              </w:rPr>
              <w:t>Patient must have a</w:t>
            </w:r>
            <w:r w:rsidRPr="008A0437">
              <w:rPr>
                <w:rFonts w:ascii="Arial Narrow" w:hAnsi="Arial Narrow"/>
                <w:sz w:val="20"/>
              </w:rPr>
              <w:t xml:space="preserve"> forced expiratory volume in 1 second (FEV1)/FVC ratio greater than 0.7</w:t>
            </w:r>
          </w:p>
          <w:p w:rsidR="00F87E3A" w:rsidRPr="008A0437" w:rsidRDefault="00F87E3A" w:rsidP="002F4158">
            <w:pPr>
              <w:rPr>
                <w:rFonts w:ascii="Arial Narrow" w:hAnsi="Arial Narrow"/>
                <w:sz w:val="20"/>
              </w:rPr>
            </w:pPr>
            <w:r w:rsidRPr="008A0437">
              <w:rPr>
                <w:rFonts w:ascii="Arial Narrow" w:hAnsi="Arial Narrow"/>
                <w:sz w:val="20"/>
              </w:rPr>
              <w:t>AND</w:t>
            </w:r>
          </w:p>
          <w:p w:rsidR="00F87E3A" w:rsidRPr="008A0437" w:rsidRDefault="00F87E3A" w:rsidP="002F4158">
            <w:pPr>
              <w:rPr>
                <w:rFonts w:ascii="Arial Narrow" w:hAnsi="Arial Narrow"/>
                <w:sz w:val="20"/>
              </w:rPr>
            </w:pPr>
            <w:r w:rsidRPr="008A0437">
              <w:rPr>
                <w:rFonts w:ascii="Arial Narrow" w:hAnsi="Arial Narrow"/>
                <w:sz w:val="20"/>
              </w:rPr>
              <w:t>Patient must have diffusing capacity of the lungs for carbon monoxide (DLCO) corrected for haemoglobin equal to or greater than 30%</w:t>
            </w:r>
          </w:p>
          <w:p w:rsidR="00F87E3A" w:rsidRPr="008A0437" w:rsidRDefault="00F87E3A" w:rsidP="002F4158">
            <w:pPr>
              <w:rPr>
                <w:rFonts w:ascii="Arial Narrow" w:hAnsi="Arial Narrow"/>
                <w:sz w:val="20"/>
              </w:rPr>
            </w:pPr>
            <w:r w:rsidRPr="008A0437">
              <w:rPr>
                <w:rFonts w:ascii="Arial Narrow" w:hAnsi="Arial Narrow"/>
                <w:sz w:val="20"/>
              </w:rPr>
              <w:t>AND</w:t>
            </w:r>
          </w:p>
          <w:p w:rsidR="00F87E3A" w:rsidRPr="008A0437" w:rsidRDefault="00F87E3A" w:rsidP="002F4158">
            <w:pPr>
              <w:rPr>
                <w:rFonts w:ascii="Arial Narrow" w:hAnsi="Arial Narrow"/>
                <w:sz w:val="20"/>
              </w:rPr>
            </w:pPr>
            <w:r w:rsidRPr="008A0437">
              <w:rPr>
                <w:rFonts w:ascii="Arial Narrow" w:hAnsi="Arial Narrow"/>
                <w:sz w:val="20"/>
              </w:rPr>
              <w:t xml:space="preserve">Patient must not have interstitial lung disease due to other known causes including domestic and occupational environmental exposures, connective tissue disease, </w:t>
            </w:r>
            <w:r>
              <w:rPr>
                <w:rFonts w:ascii="Arial Narrow" w:hAnsi="Arial Narrow"/>
                <w:sz w:val="20"/>
              </w:rPr>
              <w:t xml:space="preserve">or </w:t>
            </w:r>
            <w:r w:rsidRPr="008A0437">
              <w:rPr>
                <w:rFonts w:ascii="Arial Narrow" w:hAnsi="Arial Narrow"/>
                <w:sz w:val="20"/>
              </w:rPr>
              <w:t>drug toxicity.</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lastRenderedPageBreak/>
              <w:t>Prescriber Instructions</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Pr>
                <w:rFonts w:ascii="Arial Narrow" w:hAnsi="Arial Narrow"/>
                <w:sz w:val="20"/>
              </w:rPr>
              <w:t>A</w:t>
            </w:r>
            <w:r w:rsidRPr="008A0437">
              <w:rPr>
                <w:rFonts w:ascii="Arial Narrow" w:hAnsi="Arial Narrow"/>
                <w:sz w:val="20"/>
              </w:rPr>
              <w:t xml:space="preserve"> multidisciplinary team </w:t>
            </w:r>
            <w:r>
              <w:rPr>
                <w:rFonts w:ascii="Arial Narrow" w:hAnsi="Arial Narrow"/>
                <w:sz w:val="20"/>
              </w:rPr>
              <w:t xml:space="preserve">is defined as </w:t>
            </w:r>
            <w:r w:rsidRPr="008A0437">
              <w:rPr>
                <w:rFonts w:ascii="Arial Narrow" w:hAnsi="Arial Narrow"/>
                <w:sz w:val="20"/>
              </w:rPr>
              <w:t>compris</w:t>
            </w:r>
            <w:r>
              <w:rPr>
                <w:rFonts w:ascii="Arial Narrow" w:hAnsi="Arial Narrow"/>
                <w:sz w:val="20"/>
              </w:rPr>
              <w:t>ing</w:t>
            </w:r>
            <w:r w:rsidRPr="008A0437">
              <w:rPr>
                <w:rFonts w:ascii="Arial Narrow" w:hAnsi="Arial Narrow"/>
                <w:sz w:val="20"/>
              </w:rPr>
              <w:t xml:space="preserve"> of at least a</w:t>
            </w:r>
            <w:r>
              <w:rPr>
                <w:rFonts w:ascii="Arial Narrow" w:hAnsi="Arial Narrow"/>
                <w:sz w:val="20"/>
              </w:rPr>
              <w:t xml:space="preserve"> specialist respiratory physician</w:t>
            </w:r>
            <w:r w:rsidRPr="008A0437">
              <w:rPr>
                <w:rFonts w:ascii="Arial Narrow" w:hAnsi="Arial Narrow"/>
                <w:sz w:val="20"/>
              </w:rPr>
              <w:t xml:space="preserve">, </w:t>
            </w:r>
            <w:r>
              <w:rPr>
                <w:rFonts w:ascii="Arial Narrow" w:hAnsi="Arial Narrow"/>
                <w:sz w:val="20"/>
              </w:rPr>
              <w:t xml:space="preserve">a </w:t>
            </w:r>
            <w:r w:rsidRPr="008A0437">
              <w:rPr>
                <w:rFonts w:ascii="Arial Narrow" w:hAnsi="Arial Narrow"/>
                <w:sz w:val="20"/>
              </w:rPr>
              <w:t>radiologist and</w:t>
            </w:r>
            <w:r>
              <w:rPr>
                <w:rFonts w:ascii="Arial Narrow" w:hAnsi="Arial Narrow"/>
                <w:sz w:val="20"/>
              </w:rPr>
              <w:t>,</w:t>
            </w:r>
            <w:r w:rsidRPr="008A0437">
              <w:rPr>
                <w:rFonts w:ascii="Arial Narrow" w:hAnsi="Arial Narrow"/>
                <w:sz w:val="20"/>
              </w:rPr>
              <w:t xml:space="preserve"> where</w:t>
            </w:r>
            <w:r>
              <w:rPr>
                <w:rFonts w:ascii="Arial Narrow" w:hAnsi="Arial Narrow"/>
                <w:sz w:val="20"/>
              </w:rPr>
              <w:t xml:space="preserve"> histological material is considered</w:t>
            </w:r>
            <w:r w:rsidRPr="008A0437">
              <w:rPr>
                <w:rFonts w:ascii="Arial Narrow" w:hAnsi="Arial Narrow"/>
                <w:sz w:val="20"/>
              </w:rPr>
              <w:t>, a pathologist. If attendance is not possible, because of geographical isolation</w:t>
            </w:r>
            <w:r>
              <w:rPr>
                <w:rFonts w:ascii="Arial Narrow" w:hAnsi="Arial Narrow"/>
                <w:sz w:val="20"/>
              </w:rPr>
              <w:t xml:space="preserve"> consultation with a multidisciplinary team is required for diagnosis.</w:t>
            </w:r>
          </w:p>
          <w:p w:rsidR="00F87E3A" w:rsidRPr="008A0437" w:rsidRDefault="00F87E3A" w:rsidP="002F4158">
            <w:pPr>
              <w:rPr>
                <w:rFonts w:ascii="Arial Narrow" w:hAnsi="Arial Narrow"/>
                <w:sz w:val="20"/>
              </w:rPr>
            </w:pPr>
            <w:r w:rsidRPr="008A0437">
              <w:rPr>
                <w:rFonts w:ascii="Arial Narrow" w:hAnsi="Arial Narrow"/>
                <w:sz w:val="20"/>
              </w:rPr>
              <w:t xml:space="preserve">Application for authorisation </w:t>
            </w:r>
            <w:r>
              <w:rPr>
                <w:rFonts w:ascii="Arial Narrow" w:hAnsi="Arial Narrow"/>
                <w:sz w:val="20"/>
              </w:rPr>
              <w:t xml:space="preserve">for initial treatment </w:t>
            </w:r>
            <w:r w:rsidRPr="008A0437">
              <w:rPr>
                <w:rFonts w:ascii="Arial Narrow" w:hAnsi="Arial Narrow"/>
                <w:sz w:val="20"/>
              </w:rPr>
              <w:t>must be in writing and must include:</w:t>
            </w:r>
          </w:p>
          <w:p w:rsidR="00F87E3A" w:rsidRPr="008A0437" w:rsidRDefault="00F87E3A" w:rsidP="002F4158">
            <w:pPr>
              <w:pStyle w:val="ListParagraph"/>
              <w:widowControl/>
              <w:numPr>
                <w:ilvl w:val="0"/>
                <w:numId w:val="15"/>
              </w:numPr>
              <w:ind w:left="318" w:hanging="318"/>
              <w:rPr>
                <w:rFonts w:ascii="Arial Narrow" w:hAnsi="Arial Narrow"/>
                <w:sz w:val="20"/>
              </w:rPr>
            </w:pPr>
            <w:r w:rsidRPr="008A0437">
              <w:rPr>
                <w:rFonts w:ascii="Arial Narrow" w:hAnsi="Arial Narrow"/>
                <w:sz w:val="20"/>
              </w:rPr>
              <w:t>A completed authority prescription form</w:t>
            </w:r>
          </w:p>
          <w:p w:rsidR="00F87E3A" w:rsidRPr="0044145D" w:rsidRDefault="00F87E3A" w:rsidP="002F4158">
            <w:pPr>
              <w:pStyle w:val="ListParagraph"/>
              <w:widowControl/>
              <w:numPr>
                <w:ilvl w:val="0"/>
                <w:numId w:val="15"/>
              </w:numPr>
              <w:ind w:left="318" w:hanging="318"/>
              <w:rPr>
                <w:rFonts w:ascii="Arial Narrow" w:hAnsi="Arial Narrow"/>
                <w:sz w:val="20"/>
              </w:rPr>
            </w:pPr>
            <w:r w:rsidRPr="008A0437">
              <w:rPr>
                <w:rFonts w:ascii="Arial Narrow" w:hAnsi="Arial Narrow"/>
                <w:sz w:val="20"/>
              </w:rPr>
              <w:t>A co</w:t>
            </w:r>
            <w:r w:rsidRPr="0044145D">
              <w:rPr>
                <w:rFonts w:ascii="Arial Narrow" w:hAnsi="Arial Narrow"/>
                <w:sz w:val="20"/>
              </w:rPr>
              <w:t>mpleted IPF Authority Application Supporting Information Form</w:t>
            </w:r>
            <w:r>
              <w:rPr>
                <w:rFonts w:ascii="Arial Narrow" w:hAnsi="Arial Narrow"/>
                <w:sz w:val="20"/>
              </w:rPr>
              <w:t>; and</w:t>
            </w:r>
          </w:p>
          <w:p w:rsidR="00F87E3A" w:rsidRPr="0044145D" w:rsidRDefault="00F87E3A" w:rsidP="002F4158">
            <w:pPr>
              <w:pStyle w:val="ListParagraph"/>
              <w:widowControl/>
              <w:numPr>
                <w:ilvl w:val="0"/>
                <w:numId w:val="15"/>
              </w:numPr>
              <w:ind w:left="318" w:hanging="318"/>
              <w:rPr>
                <w:rFonts w:ascii="Arial Narrow" w:hAnsi="Arial Narrow"/>
                <w:sz w:val="20"/>
              </w:rPr>
            </w:pPr>
            <w:r w:rsidRPr="0044145D">
              <w:rPr>
                <w:rFonts w:ascii="Arial Narrow" w:hAnsi="Arial Narrow"/>
                <w:sz w:val="20"/>
              </w:rPr>
              <w:t>A signed patient acknowledgement.</w:t>
            </w:r>
          </w:p>
          <w:p w:rsidR="00F87E3A" w:rsidRPr="008A0437" w:rsidRDefault="00F87E3A" w:rsidP="002F4158">
            <w:pPr>
              <w:rPr>
                <w:rFonts w:ascii="Arial Narrow" w:hAnsi="Arial Narrow"/>
                <w:sz w:val="20"/>
              </w:rPr>
            </w:pPr>
          </w:p>
          <w:p w:rsidR="00F87E3A" w:rsidRPr="008A0437" w:rsidRDefault="00F87E3A" w:rsidP="002F4158">
            <w:pPr>
              <w:rPr>
                <w:rFonts w:ascii="Arial Narrow" w:hAnsi="Arial Narrow"/>
                <w:sz w:val="20"/>
              </w:rPr>
            </w:pPr>
            <w:r w:rsidRPr="008A0437">
              <w:rPr>
                <w:rFonts w:ascii="Arial Narrow" w:hAnsi="Arial Narrow"/>
                <w:sz w:val="20"/>
              </w:rPr>
              <w:t>Patient must no</w:t>
            </w:r>
            <w:r>
              <w:rPr>
                <w:rFonts w:ascii="Arial Narrow" w:hAnsi="Arial Narrow"/>
                <w:sz w:val="20"/>
              </w:rPr>
              <w:t>t have an</w:t>
            </w:r>
            <w:r w:rsidRPr="008A0437">
              <w:rPr>
                <w:rFonts w:ascii="Arial Narrow" w:hAnsi="Arial Narrow"/>
                <w:sz w:val="20"/>
              </w:rPr>
              <w:t xml:space="preserve"> acute respiratory infection at the time of FVC testing.</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Special Pricing Arrangements apply.</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increase in the maximum quantity will be authorised</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applications for increased repeats will be authorised</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Any queries concerning the arrangements to prescribe may be directed to the Department of Human Services on 1800 700 270 (hours of operation 8 a.m. to 5 p.m. EST Monday to Friday). </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Prescribing information (including Authority Application forms and other relevant documentation as applicable) is available on the Department of Human Services website at </w:t>
            </w:r>
            <w:r w:rsidRPr="003B3717">
              <w:rPr>
                <w:rFonts w:ascii="Arial Narrow" w:hAnsi="Arial Narrow"/>
                <w:sz w:val="20"/>
                <w:lang w:eastAsia="en-AU"/>
              </w:rPr>
              <w:t>www.humanservices.gov.au</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Applications for authority to prescribe should be forwarded to: </w:t>
            </w: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Department of Human Services</w:t>
            </w: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Prior Written Approval of Complex Drugs </w:t>
            </w: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Reply Paid 9826 </w:t>
            </w: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GPO Box 9826 </w:t>
            </w:r>
          </w:p>
          <w:p w:rsidR="00F87E3A" w:rsidRPr="008A0437" w:rsidRDefault="00F87E3A" w:rsidP="002F4158">
            <w:pPr>
              <w:rPr>
                <w:rFonts w:ascii="Arial Narrow" w:hAnsi="Arial Narrow"/>
                <w:sz w:val="20"/>
              </w:rPr>
            </w:pPr>
            <w:r w:rsidRPr="008A0437">
              <w:rPr>
                <w:rFonts w:ascii="Arial Narrow" w:hAnsi="Arial Narrow"/>
                <w:sz w:val="20"/>
                <w:lang w:eastAsia="en-AU"/>
              </w:rPr>
              <w:t>HOBART TAS 7001</w:t>
            </w:r>
          </w:p>
        </w:tc>
      </w:tr>
    </w:tbl>
    <w:p w:rsidR="001D090B" w:rsidRDefault="001D090B" w:rsidP="001D090B">
      <w:pPr>
        <w:ind w:left="426"/>
        <w:rPr>
          <w:b/>
        </w:rPr>
      </w:pPr>
    </w:p>
    <w:tbl>
      <w:tblPr>
        <w:tblW w:w="8363" w:type="dxa"/>
        <w:tblInd w:w="817" w:type="dxa"/>
        <w:tblLayout w:type="fixed"/>
        <w:tblLook w:val="0000" w:firstRow="0" w:lastRow="0" w:firstColumn="0" w:lastColumn="0" w:noHBand="0" w:noVBand="0"/>
      </w:tblPr>
      <w:tblGrid>
        <w:gridCol w:w="2126"/>
        <w:gridCol w:w="993"/>
        <w:gridCol w:w="567"/>
        <w:gridCol w:w="850"/>
        <w:gridCol w:w="851"/>
        <w:gridCol w:w="2976"/>
      </w:tblGrid>
      <w:tr w:rsidR="00F87E3A" w:rsidRPr="008A0437" w:rsidTr="002F4158">
        <w:trPr>
          <w:cantSplit/>
          <w:trHeight w:val="471"/>
        </w:trPr>
        <w:tc>
          <w:tcPr>
            <w:tcW w:w="3119" w:type="dxa"/>
            <w:gridSpan w:val="2"/>
            <w:tcBorders>
              <w:bottom w:val="single" w:sz="4" w:space="0" w:color="auto"/>
            </w:tcBorders>
          </w:tcPr>
          <w:p w:rsidR="00F87E3A" w:rsidRPr="008A0437" w:rsidRDefault="00F87E3A" w:rsidP="002F4158">
            <w:pPr>
              <w:keepNext/>
              <w:ind w:left="-108"/>
              <w:rPr>
                <w:rFonts w:ascii="Arial Narrow" w:hAnsi="Arial Narrow"/>
                <w:sz w:val="20"/>
              </w:rPr>
            </w:pPr>
            <w:r w:rsidRPr="008A0437">
              <w:rPr>
                <w:rFonts w:ascii="Arial Narrow" w:hAnsi="Arial Narrow"/>
                <w:sz w:val="20"/>
              </w:rPr>
              <w:t>Name, Restriction,</w:t>
            </w:r>
          </w:p>
          <w:p w:rsidR="00F87E3A" w:rsidRPr="008A0437" w:rsidRDefault="00F87E3A" w:rsidP="002F4158">
            <w:pPr>
              <w:keepNext/>
              <w:ind w:left="-108"/>
              <w:rPr>
                <w:rFonts w:ascii="Arial Narrow" w:hAnsi="Arial Narrow"/>
                <w:sz w:val="20"/>
              </w:rPr>
            </w:pPr>
            <w:r w:rsidRPr="008A0437">
              <w:rPr>
                <w:rFonts w:ascii="Arial Narrow" w:hAnsi="Arial Narrow"/>
                <w:sz w:val="20"/>
              </w:rPr>
              <w:t>Manner of administration and form</w:t>
            </w:r>
          </w:p>
        </w:tc>
        <w:tc>
          <w:tcPr>
            <w:tcW w:w="567" w:type="dxa"/>
            <w:tcBorders>
              <w:bottom w:val="single" w:sz="4" w:space="0" w:color="auto"/>
            </w:tcBorders>
          </w:tcPr>
          <w:p w:rsidR="00F87E3A" w:rsidRPr="008A0437" w:rsidRDefault="00F87E3A" w:rsidP="002F4158">
            <w:pPr>
              <w:keepNext/>
              <w:ind w:left="-108"/>
              <w:rPr>
                <w:rFonts w:ascii="Arial Narrow" w:hAnsi="Arial Narrow"/>
                <w:sz w:val="20"/>
              </w:rPr>
            </w:pPr>
            <w:r w:rsidRPr="008A0437">
              <w:rPr>
                <w:rFonts w:ascii="Arial Narrow" w:hAnsi="Arial Narrow"/>
                <w:sz w:val="20"/>
              </w:rPr>
              <w:t>Max.</w:t>
            </w:r>
          </w:p>
          <w:p w:rsidR="00F87E3A" w:rsidRPr="008A0437" w:rsidRDefault="00F87E3A" w:rsidP="002F4158">
            <w:pPr>
              <w:keepNext/>
              <w:ind w:left="-108"/>
              <w:rPr>
                <w:rFonts w:ascii="Arial Narrow" w:hAnsi="Arial Narrow"/>
                <w:sz w:val="20"/>
              </w:rPr>
            </w:pPr>
            <w:r w:rsidRPr="008A0437">
              <w:rPr>
                <w:rFonts w:ascii="Arial Narrow" w:hAnsi="Arial Narrow"/>
                <w:sz w:val="20"/>
              </w:rPr>
              <w:t>Qty</w:t>
            </w:r>
          </w:p>
        </w:tc>
        <w:tc>
          <w:tcPr>
            <w:tcW w:w="850" w:type="dxa"/>
            <w:tcBorders>
              <w:bottom w:val="single" w:sz="4" w:space="0" w:color="auto"/>
            </w:tcBorders>
          </w:tcPr>
          <w:p w:rsidR="00F87E3A" w:rsidRPr="008A0437" w:rsidRDefault="00F87E3A" w:rsidP="002F4158">
            <w:pPr>
              <w:keepNext/>
              <w:ind w:left="-108"/>
              <w:rPr>
                <w:rFonts w:ascii="Arial Narrow" w:hAnsi="Arial Narrow"/>
                <w:sz w:val="20"/>
              </w:rPr>
            </w:pPr>
            <w:r w:rsidRPr="008A0437">
              <w:rPr>
                <w:rFonts w:ascii="Arial Narrow" w:hAnsi="Arial Narrow"/>
                <w:sz w:val="20"/>
              </w:rPr>
              <w:t>№.of</w:t>
            </w:r>
          </w:p>
          <w:p w:rsidR="00F87E3A" w:rsidRPr="008A0437" w:rsidRDefault="00F87E3A" w:rsidP="002F4158">
            <w:pPr>
              <w:keepNext/>
              <w:ind w:left="-108"/>
              <w:rPr>
                <w:rFonts w:ascii="Arial Narrow" w:hAnsi="Arial Narrow"/>
                <w:sz w:val="20"/>
              </w:rPr>
            </w:pPr>
            <w:r w:rsidRPr="008A0437">
              <w:rPr>
                <w:rFonts w:ascii="Arial Narrow" w:hAnsi="Arial Narrow"/>
                <w:sz w:val="20"/>
              </w:rPr>
              <w:t>Rpts</w:t>
            </w:r>
          </w:p>
        </w:tc>
        <w:tc>
          <w:tcPr>
            <w:tcW w:w="3827" w:type="dxa"/>
            <w:gridSpan w:val="2"/>
            <w:tcBorders>
              <w:bottom w:val="single" w:sz="4" w:space="0" w:color="auto"/>
            </w:tcBorders>
          </w:tcPr>
          <w:p w:rsidR="00F87E3A" w:rsidRPr="008A0437" w:rsidRDefault="00F87E3A" w:rsidP="002F4158">
            <w:pPr>
              <w:keepNext/>
              <w:rPr>
                <w:rFonts w:ascii="Arial Narrow" w:hAnsi="Arial Narrow"/>
                <w:sz w:val="20"/>
              </w:rPr>
            </w:pPr>
            <w:r w:rsidRPr="008A0437">
              <w:rPr>
                <w:rFonts w:ascii="Arial Narrow" w:hAnsi="Arial Narrow"/>
                <w:sz w:val="20"/>
              </w:rPr>
              <w:t>Proprietary Name and Manufacturer</w:t>
            </w:r>
          </w:p>
        </w:tc>
      </w:tr>
      <w:tr w:rsidR="00F87E3A" w:rsidRPr="008A0437" w:rsidTr="002F4158">
        <w:trPr>
          <w:cantSplit/>
          <w:trHeight w:val="577"/>
        </w:trPr>
        <w:tc>
          <w:tcPr>
            <w:tcW w:w="3119" w:type="dxa"/>
            <w:gridSpan w:val="2"/>
          </w:tcPr>
          <w:p w:rsidR="00F87E3A" w:rsidRPr="008A0437" w:rsidRDefault="00F87E3A" w:rsidP="002F4158">
            <w:pPr>
              <w:keepNext/>
              <w:ind w:left="-108"/>
              <w:rPr>
                <w:rFonts w:ascii="Arial Narrow" w:hAnsi="Arial Narrow"/>
                <w:sz w:val="20"/>
              </w:rPr>
            </w:pPr>
            <w:r w:rsidRPr="008A0437">
              <w:rPr>
                <w:rFonts w:ascii="Arial Narrow" w:hAnsi="Arial Narrow"/>
                <w:smallCaps/>
                <w:sz w:val="20"/>
              </w:rPr>
              <w:t>nintedanib</w:t>
            </w:r>
          </w:p>
          <w:p w:rsidR="00F87E3A" w:rsidRPr="008A0437" w:rsidRDefault="00F87E3A" w:rsidP="002F4158">
            <w:pPr>
              <w:keepNext/>
              <w:ind w:left="-108"/>
              <w:rPr>
                <w:rFonts w:ascii="Arial Narrow" w:hAnsi="Arial Narrow"/>
                <w:smallCaps/>
                <w:sz w:val="20"/>
              </w:rPr>
            </w:pPr>
            <w:r w:rsidRPr="008A0437">
              <w:rPr>
                <w:rFonts w:ascii="Arial Narrow" w:hAnsi="Arial Narrow"/>
                <w:smallCaps/>
                <w:sz w:val="20"/>
              </w:rPr>
              <w:t>Capsule, oral, 100 mg, 60</w:t>
            </w:r>
          </w:p>
          <w:p w:rsidR="00F87E3A" w:rsidRPr="008A0437" w:rsidRDefault="00F87E3A" w:rsidP="002F4158">
            <w:pPr>
              <w:keepNext/>
              <w:ind w:left="-108"/>
              <w:rPr>
                <w:rFonts w:ascii="Arial Narrow" w:hAnsi="Arial Narrow"/>
                <w:sz w:val="20"/>
              </w:rPr>
            </w:pPr>
            <w:r w:rsidRPr="008A0437">
              <w:rPr>
                <w:rFonts w:ascii="Arial Narrow" w:hAnsi="Arial Narrow"/>
                <w:smallCaps/>
                <w:sz w:val="20"/>
              </w:rPr>
              <w:t>Capsule, oral, 150 mg, 60</w:t>
            </w:r>
          </w:p>
        </w:tc>
        <w:tc>
          <w:tcPr>
            <w:tcW w:w="567" w:type="dxa"/>
          </w:tcPr>
          <w:p w:rsidR="00F87E3A" w:rsidRPr="008A0437" w:rsidRDefault="00F87E3A" w:rsidP="002F4158">
            <w:pPr>
              <w:keepNext/>
              <w:ind w:left="-108"/>
              <w:rPr>
                <w:rFonts w:ascii="Arial Narrow" w:hAnsi="Arial Narrow"/>
                <w:sz w:val="20"/>
              </w:rPr>
            </w:pPr>
          </w:p>
          <w:p w:rsidR="00F87E3A" w:rsidRPr="008A0437" w:rsidRDefault="00F87E3A" w:rsidP="002F4158">
            <w:pPr>
              <w:keepNext/>
              <w:ind w:left="-108"/>
              <w:rPr>
                <w:rFonts w:ascii="Arial Narrow" w:hAnsi="Arial Narrow"/>
                <w:sz w:val="20"/>
              </w:rPr>
            </w:pPr>
            <w:r w:rsidRPr="008A0437">
              <w:rPr>
                <w:rFonts w:ascii="Arial Narrow" w:hAnsi="Arial Narrow"/>
                <w:sz w:val="20"/>
              </w:rPr>
              <w:t>1</w:t>
            </w:r>
          </w:p>
          <w:p w:rsidR="00F87E3A" w:rsidRPr="008A0437" w:rsidRDefault="00F87E3A" w:rsidP="002F4158">
            <w:pPr>
              <w:keepNext/>
              <w:ind w:left="-108"/>
              <w:rPr>
                <w:rFonts w:ascii="Arial Narrow" w:hAnsi="Arial Narrow"/>
                <w:sz w:val="20"/>
              </w:rPr>
            </w:pPr>
            <w:r w:rsidRPr="008A0437">
              <w:rPr>
                <w:rFonts w:ascii="Arial Narrow" w:hAnsi="Arial Narrow"/>
                <w:sz w:val="20"/>
              </w:rPr>
              <w:t>1</w:t>
            </w:r>
          </w:p>
        </w:tc>
        <w:tc>
          <w:tcPr>
            <w:tcW w:w="850" w:type="dxa"/>
          </w:tcPr>
          <w:p w:rsidR="00F87E3A" w:rsidRPr="008A0437" w:rsidRDefault="00F87E3A" w:rsidP="002F4158">
            <w:pPr>
              <w:keepNext/>
              <w:ind w:left="-108"/>
              <w:rPr>
                <w:rFonts w:ascii="Arial Narrow" w:hAnsi="Arial Narrow"/>
                <w:sz w:val="20"/>
              </w:rPr>
            </w:pPr>
          </w:p>
          <w:p w:rsidR="00F87E3A" w:rsidRPr="008A0437" w:rsidRDefault="00F87E3A" w:rsidP="002F4158">
            <w:pPr>
              <w:keepNext/>
              <w:ind w:left="-108"/>
              <w:rPr>
                <w:rFonts w:ascii="Arial Narrow" w:hAnsi="Arial Narrow"/>
                <w:sz w:val="20"/>
              </w:rPr>
            </w:pPr>
            <w:r w:rsidRPr="008A0437">
              <w:rPr>
                <w:rFonts w:ascii="Arial Narrow" w:hAnsi="Arial Narrow"/>
                <w:sz w:val="20"/>
              </w:rPr>
              <w:t>5</w:t>
            </w:r>
          </w:p>
          <w:p w:rsidR="00F87E3A" w:rsidRPr="008A0437" w:rsidRDefault="00F87E3A" w:rsidP="002F4158">
            <w:pPr>
              <w:keepNext/>
              <w:ind w:left="-108"/>
              <w:rPr>
                <w:rFonts w:ascii="Arial Narrow" w:hAnsi="Arial Narrow"/>
                <w:sz w:val="20"/>
              </w:rPr>
            </w:pPr>
            <w:r w:rsidRPr="008A0437">
              <w:rPr>
                <w:rFonts w:ascii="Arial Narrow" w:hAnsi="Arial Narrow"/>
                <w:sz w:val="20"/>
              </w:rPr>
              <w:t>5</w:t>
            </w:r>
          </w:p>
        </w:tc>
        <w:tc>
          <w:tcPr>
            <w:tcW w:w="851" w:type="dxa"/>
          </w:tcPr>
          <w:p w:rsidR="00F87E3A" w:rsidRPr="008A0437" w:rsidRDefault="00F87E3A" w:rsidP="002F4158">
            <w:pPr>
              <w:keepNext/>
              <w:rPr>
                <w:rFonts w:ascii="Arial Narrow" w:hAnsi="Arial Narrow"/>
                <w:sz w:val="20"/>
              </w:rPr>
            </w:pPr>
            <w:r w:rsidRPr="008A0437">
              <w:rPr>
                <w:rFonts w:ascii="Arial Narrow" w:hAnsi="Arial Narrow"/>
                <w:sz w:val="20"/>
              </w:rPr>
              <w:t>Ofev®</w:t>
            </w:r>
          </w:p>
        </w:tc>
        <w:tc>
          <w:tcPr>
            <w:tcW w:w="2976" w:type="dxa"/>
          </w:tcPr>
          <w:p w:rsidR="00F87E3A" w:rsidRPr="008A0437" w:rsidRDefault="00F87E3A" w:rsidP="002F4158">
            <w:pPr>
              <w:keepNext/>
              <w:rPr>
                <w:rFonts w:ascii="Arial Narrow" w:hAnsi="Arial Narrow"/>
                <w:sz w:val="20"/>
              </w:rPr>
            </w:pPr>
            <w:r w:rsidRPr="008A0437">
              <w:rPr>
                <w:rFonts w:ascii="Arial Narrow" w:hAnsi="Arial Narrow"/>
                <w:sz w:val="20"/>
              </w:rPr>
              <w:t>Boehringer Ingelheim Pty Ltd</w:t>
            </w:r>
          </w:p>
          <w:p w:rsidR="00F87E3A" w:rsidRPr="008A0437" w:rsidRDefault="00F87E3A" w:rsidP="002F4158">
            <w:pPr>
              <w:keepNext/>
              <w:rPr>
                <w:rFonts w:ascii="Arial Narrow" w:hAnsi="Arial Narrow"/>
                <w:sz w:val="20"/>
              </w:rPr>
            </w:pP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Category/Program</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GENERAL – General Schedule (Code GE)</w:t>
            </w: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Dental  </w:t>
            </w: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Medical Practitioners  </w:t>
            </w:r>
            <w:r w:rsidRPr="008A0437">
              <w:rPr>
                <w:rFonts w:ascii="Arial Narrow" w:hAnsi="Arial Narrow"/>
                <w:sz w:val="20"/>
              </w:rPr>
              <w:fldChar w:fldCharType="begin">
                <w:ffData>
                  <w:name w:val="Check3"/>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Nurse practitioners  </w:t>
            </w: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Optometrists</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Midwives</w:t>
            </w: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Idiopathic pulmonary fibrosis</w:t>
            </w: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Idiopathic pulmonary fibrosis</w:t>
            </w: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jc w:val="left"/>
              <w:rPr>
                <w:rFonts w:ascii="Arial Narrow" w:hAnsi="Arial Narrow"/>
                <w:b/>
                <w:sz w:val="20"/>
              </w:rPr>
            </w:pPr>
            <w:r w:rsidRPr="008A0437">
              <w:rPr>
                <w:rFonts w:ascii="Arial Narrow" w:hAnsi="Arial Narrow"/>
                <w:b/>
                <w:sz w:val="20"/>
              </w:rPr>
              <w:lastRenderedPageBreak/>
              <w:t>Restriction Level / Method:</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Restricted benefit</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In Writing</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3"/>
                  <w:enabled/>
                  <w:calcOnExit w:val="0"/>
                  <w:checkBox>
                    <w:sizeAuto/>
                    <w:default w:val="1"/>
                  </w:checkBox>
                </w:ffData>
              </w:fldChar>
            </w:r>
            <w:bookmarkStart w:id="16" w:name="Check3"/>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bookmarkEnd w:id="16"/>
            <w:r w:rsidRPr="008A0437">
              <w:rPr>
                <w:rFonts w:ascii="Arial Narrow" w:hAnsi="Arial Narrow"/>
                <w:sz w:val="20"/>
              </w:rPr>
              <w:t>Authority Required - Telephone</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Emergency</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Electronic</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Streamlined</w:t>
            </w: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Continuing treatment</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Pr>
                <w:rFonts w:ascii="Arial Narrow" w:hAnsi="Arial Narrow"/>
                <w:b/>
                <w:sz w:val="20"/>
              </w:rPr>
              <w:t>Treatment</w:t>
            </w:r>
            <w:r w:rsidRPr="008A0437">
              <w:rPr>
                <w:rFonts w:ascii="Arial Narrow" w:hAnsi="Arial Narrow"/>
                <w:b/>
                <w:sz w:val="20"/>
              </w:rPr>
              <w:t xml:space="preserve"> criteria:</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B57E45">
              <w:rPr>
                <w:rFonts w:ascii="Arial Narrow" w:hAnsi="Arial Narrow"/>
                <w:sz w:val="20"/>
              </w:rPr>
              <w:t>Must be treated by</w:t>
            </w:r>
            <w:r>
              <w:rPr>
                <w:rFonts w:ascii="Arial Narrow" w:hAnsi="Arial Narrow"/>
                <w:sz w:val="20"/>
              </w:rPr>
              <w:t>, or in consultation with,</w:t>
            </w:r>
            <w:r w:rsidRPr="00B57E45">
              <w:rPr>
                <w:rFonts w:ascii="Arial Narrow" w:hAnsi="Arial Narrow"/>
                <w:sz w:val="20"/>
              </w:rPr>
              <w:t xml:space="preserve"> a respiratory physician or specialist physician</w:t>
            </w:r>
            <w:r>
              <w:rPr>
                <w:rFonts w:ascii="Arial Narrow" w:hAnsi="Arial Narrow"/>
                <w:sz w:val="20"/>
              </w:rPr>
              <w:t>.</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Clinical criteria:</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Patient must have previously received PBS-subsidised treatment with this drug for this condition.</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Special Pricing Arrangements apply.</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increase in the maximum quantity will be authorised</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applications for increased repeats will be authorised</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Pr="008A0437" w:rsidRDefault="00F87E3A" w:rsidP="002F4158">
            <w:pPr>
              <w:rPr>
                <w:rFonts w:ascii="Arial Narrow" w:hAnsi="Arial Narrow"/>
                <w:sz w:val="20"/>
              </w:rPr>
            </w:pPr>
            <w:r w:rsidRPr="008A0437">
              <w:rPr>
                <w:rFonts w:ascii="Arial Narrow" w:hAnsi="Arial Narrow"/>
                <w:sz w:val="20"/>
                <w:lang w:eastAsia="en-AU"/>
              </w:rPr>
              <w:t>Authority applications for continuing treatment may be made by telephone to the Department of Human Services on 1800 700 270 (hours of operation 8 a.m. to 5 p.m. EST Monday to Friday).</w:t>
            </w:r>
          </w:p>
        </w:tc>
      </w:tr>
    </w:tbl>
    <w:p w:rsidR="00F87E3A" w:rsidRDefault="00F87E3A" w:rsidP="001D090B">
      <w:pPr>
        <w:ind w:left="426"/>
        <w:rPr>
          <w:b/>
        </w:rPr>
      </w:pPr>
    </w:p>
    <w:tbl>
      <w:tblPr>
        <w:tblW w:w="8363" w:type="dxa"/>
        <w:tblInd w:w="817" w:type="dxa"/>
        <w:tblLayout w:type="fixed"/>
        <w:tblLook w:val="0000" w:firstRow="0" w:lastRow="0" w:firstColumn="0" w:lastColumn="0" w:noHBand="0" w:noVBand="0"/>
      </w:tblPr>
      <w:tblGrid>
        <w:gridCol w:w="2126"/>
        <w:gridCol w:w="993"/>
        <w:gridCol w:w="567"/>
        <w:gridCol w:w="850"/>
        <w:gridCol w:w="851"/>
        <w:gridCol w:w="2976"/>
      </w:tblGrid>
      <w:tr w:rsidR="00F87E3A" w:rsidRPr="008A0437" w:rsidTr="002F4158">
        <w:trPr>
          <w:cantSplit/>
          <w:trHeight w:val="471"/>
        </w:trPr>
        <w:tc>
          <w:tcPr>
            <w:tcW w:w="3119" w:type="dxa"/>
            <w:gridSpan w:val="2"/>
            <w:tcBorders>
              <w:bottom w:val="single" w:sz="4" w:space="0" w:color="auto"/>
            </w:tcBorders>
          </w:tcPr>
          <w:p w:rsidR="00F87E3A" w:rsidRPr="008A0437" w:rsidRDefault="00F87E3A" w:rsidP="002F4158">
            <w:pPr>
              <w:keepNext/>
              <w:ind w:left="-108"/>
              <w:rPr>
                <w:rFonts w:ascii="Arial Narrow" w:hAnsi="Arial Narrow"/>
                <w:sz w:val="20"/>
              </w:rPr>
            </w:pPr>
            <w:r w:rsidRPr="008A0437">
              <w:rPr>
                <w:rFonts w:ascii="Arial Narrow" w:hAnsi="Arial Narrow"/>
                <w:sz w:val="20"/>
              </w:rPr>
              <w:t>Name, Restriction,</w:t>
            </w:r>
          </w:p>
          <w:p w:rsidR="00F87E3A" w:rsidRPr="008A0437" w:rsidRDefault="00F87E3A" w:rsidP="002F4158">
            <w:pPr>
              <w:keepNext/>
              <w:ind w:left="-108"/>
              <w:rPr>
                <w:rFonts w:ascii="Arial Narrow" w:hAnsi="Arial Narrow"/>
                <w:sz w:val="20"/>
              </w:rPr>
            </w:pPr>
            <w:r w:rsidRPr="008A0437">
              <w:rPr>
                <w:rFonts w:ascii="Arial Narrow" w:hAnsi="Arial Narrow"/>
                <w:sz w:val="20"/>
              </w:rPr>
              <w:t>Manner of administration and form</w:t>
            </w:r>
          </w:p>
        </w:tc>
        <w:tc>
          <w:tcPr>
            <w:tcW w:w="567" w:type="dxa"/>
            <w:tcBorders>
              <w:bottom w:val="single" w:sz="4" w:space="0" w:color="auto"/>
            </w:tcBorders>
          </w:tcPr>
          <w:p w:rsidR="00F87E3A" w:rsidRPr="008A0437" w:rsidRDefault="00F87E3A" w:rsidP="002F4158">
            <w:pPr>
              <w:keepNext/>
              <w:ind w:left="-108"/>
              <w:rPr>
                <w:rFonts w:ascii="Arial Narrow" w:hAnsi="Arial Narrow"/>
                <w:sz w:val="20"/>
              </w:rPr>
            </w:pPr>
            <w:r w:rsidRPr="008A0437">
              <w:rPr>
                <w:rFonts w:ascii="Arial Narrow" w:hAnsi="Arial Narrow"/>
                <w:sz w:val="20"/>
              </w:rPr>
              <w:t>Max.</w:t>
            </w:r>
          </w:p>
          <w:p w:rsidR="00F87E3A" w:rsidRPr="008A0437" w:rsidRDefault="00F87E3A" w:rsidP="002F4158">
            <w:pPr>
              <w:keepNext/>
              <w:ind w:left="-108"/>
              <w:rPr>
                <w:rFonts w:ascii="Arial Narrow" w:hAnsi="Arial Narrow"/>
                <w:sz w:val="20"/>
              </w:rPr>
            </w:pPr>
            <w:r w:rsidRPr="008A0437">
              <w:rPr>
                <w:rFonts w:ascii="Arial Narrow" w:hAnsi="Arial Narrow"/>
                <w:sz w:val="20"/>
              </w:rPr>
              <w:t>Qty</w:t>
            </w:r>
          </w:p>
        </w:tc>
        <w:tc>
          <w:tcPr>
            <w:tcW w:w="850" w:type="dxa"/>
            <w:tcBorders>
              <w:bottom w:val="single" w:sz="4" w:space="0" w:color="auto"/>
            </w:tcBorders>
          </w:tcPr>
          <w:p w:rsidR="00F87E3A" w:rsidRPr="008A0437" w:rsidRDefault="00F87E3A" w:rsidP="002F4158">
            <w:pPr>
              <w:keepNext/>
              <w:ind w:left="-108"/>
              <w:rPr>
                <w:rFonts w:ascii="Arial Narrow" w:hAnsi="Arial Narrow"/>
                <w:sz w:val="20"/>
              </w:rPr>
            </w:pPr>
            <w:r w:rsidRPr="008A0437">
              <w:rPr>
                <w:rFonts w:ascii="Arial Narrow" w:hAnsi="Arial Narrow"/>
                <w:sz w:val="20"/>
              </w:rPr>
              <w:t>№.of</w:t>
            </w:r>
          </w:p>
          <w:p w:rsidR="00F87E3A" w:rsidRPr="008A0437" w:rsidRDefault="00F87E3A" w:rsidP="002F4158">
            <w:pPr>
              <w:keepNext/>
              <w:ind w:left="-108"/>
              <w:rPr>
                <w:rFonts w:ascii="Arial Narrow" w:hAnsi="Arial Narrow"/>
                <w:sz w:val="20"/>
              </w:rPr>
            </w:pPr>
            <w:r w:rsidRPr="008A0437">
              <w:rPr>
                <w:rFonts w:ascii="Arial Narrow" w:hAnsi="Arial Narrow"/>
                <w:sz w:val="20"/>
              </w:rPr>
              <w:t>Rpts</w:t>
            </w:r>
          </w:p>
        </w:tc>
        <w:tc>
          <w:tcPr>
            <w:tcW w:w="3827" w:type="dxa"/>
            <w:gridSpan w:val="2"/>
            <w:tcBorders>
              <w:bottom w:val="single" w:sz="4" w:space="0" w:color="auto"/>
            </w:tcBorders>
          </w:tcPr>
          <w:p w:rsidR="00F87E3A" w:rsidRPr="008A0437" w:rsidRDefault="00F87E3A" w:rsidP="002F4158">
            <w:pPr>
              <w:keepNext/>
              <w:rPr>
                <w:rFonts w:ascii="Arial Narrow" w:hAnsi="Arial Narrow"/>
                <w:sz w:val="20"/>
              </w:rPr>
            </w:pPr>
            <w:r w:rsidRPr="008A0437">
              <w:rPr>
                <w:rFonts w:ascii="Arial Narrow" w:hAnsi="Arial Narrow"/>
                <w:sz w:val="20"/>
              </w:rPr>
              <w:t>Proprietary Name and Manufacturer</w:t>
            </w:r>
          </w:p>
        </w:tc>
      </w:tr>
      <w:tr w:rsidR="00F87E3A" w:rsidRPr="008A0437" w:rsidTr="002F4158">
        <w:trPr>
          <w:cantSplit/>
          <w:trHeight w:val="577"/>
        </w:trPr>
        <w:tc>
          <w:tcPr>
            <w:tcW w:w="3119" w:type="dxa"/>
            <w:gridSpan w:val="2"/>
          </w:tcPr>
          <w:p w:rsidR="00F87E3A" w:rsidRPr="008A0437" w:rsidRDefault="00F87E3A" w:rsidP="002F4158">
            <w:pPr>
              <w:keepNext/>
              <w:ind w:left="-108"/>
              <w:rPr>
                <w:rFonts w:ascii="Arial Narrow" w:hAnsi="Arial Narrow"/>
                <w:sz w:val="20"/>
              </w:rPr>
            </w:pPr>
            <w:r w:rsidRPr="008A0437">
              <w:rPr>
                <w:rFonts w:ascii="Arial Narrow" w:hAnsi="Arial Narrow"/>
                <w:smallCaps/>
                <w:sz w:val="20"/>
              </w:rPr>
              <w:t>nintedanib</w:t>
            </w:r>
          </w:p>
          <w:p w:rsidR="00F87E3A" w:rsidRPr="008A0437" w:rsidRDefault="00F87E3A" w:rsidP="002F4158">
            <w:pPr>
              <w:keepNext/>
              <w:ind w:left="-108"/>
              <w:rPr>
                <w:rFonts w:ascii="Arial Narrow" w:hAnsi="Arial Narrow"/>
                <w:smallCaps/>
                <w:sz w:val="20"/>
              </w:rPr>
            </w:pPr>
            <w:r w:rsidRPr="008A0437">
              <w:rPr>
                <w:rFonts w:ascii="Arial Narrow" w:hAnsi="Arial Narrow"/>
                <w:smallCaps/>
                <w:sz w:val="20"/>
              </w:rPr>
              <w:t>Capsule, oral, 100 mg, 60</w:t>
            </w:r>
          </w:p>
          <w:p w:rsidR="00F87E3A" w:rsidRPr="008A0437" w:rsidRDefault="00F87E3A" w:rsidP="002F4158">
            <w:pPr>
              <w:keepNext/>
              <w:ind w:left="-108"/>
              <w:rPr>
                <w:rFonts w:ascii="Arial Narrow" w:hAnsi="Arial Narrow"/>
                <w:sz w:val="20"/>
              </w:rPr>
            </w:pPr>
            <w:r w:rsidRPr="008A0437">
              <w:rPr>
                <w:rFonts w:ascii="Arial Narrow" w:hAnsi="Arial Narrow"/>
                <w:smallCaps/>
                <w:sz w:val="20"/>
              </w:rPr>
              <w:t>Capsule, oral, 150 mg, 60</w:t>
            </w:r>
          </w:p>
        </w:tc>
        <w:tc>
          <w:tcPr>
            <w:tcW w:w="567" w:type="dxa"/>
          </w:tcPr>
          <w:p w:rsidR="00F87E3A" w:rsidRPr="008A0437" w:rsidRDefault="00F87E3A" w:rsidP="002F4158">
            <w:pPr>
              <w:keepNext/>
              <w:ind w:left="-108"/>
              <w:rPr>
                <w:rFonts w:ascii="Arial Narrow" w:hAnsi="Arial Narrow"/>
                <w:sz w:val="20"/>
              </w:rPr>
            </w:pPr>
          </w:p>
          <w:p w:rsidR="00F87E3A" w:rsidRPr="008A0437" w:rsidRDefault="00F87E3A" w:rsidP="002F4158">
            <w:pPr>
              <w:keepNext/>
              <w:ind w:left="-108"/>
              <w:rPr>
                <w:rFonts w:ascii="Arial Narrow" w:hAnsi="Arial Narrow"/>
                <w:sz w:val="20"/>
              </w:rPr>
            </w:pPr>
            <w:r w:rsidRPr="008A0437">
              <w:rPr>
                <w:rFonts w:ascii="Arial Narrow" w:hAnsi="Arial Narrow"/>
                <w:sz w:val="20"/>
              </w:rPr>
              <w:t>1</w:t>
            </w:r>
          </w:p>
          <w:p w:rsidR="00F87E3A" w:rsidRPr="008A0437" w:rsidRDefault="00F87E3A" w:rsidP="002F4158">
            <w:pPr>
              <w:keepNext/>
              <w:ind w:left="-108"/>
              <w:rPr>
                <w:rFonts w:ascii="Arial Narrow" w:hAnsi="Arial Narrow"/>
                <w:sz w:val="20"/>
              </w:rPr>
            </w:pPr>
            <w:r w:rsidRPr="008A0437">
              <w:rPr>
                <w:rFonts w:ascii="Arial Narrow" w:hAnsi="Arial Narrow"/>
                <w:sz w:val="20"/>
              </w:rPr>
              <w:t>1</w:t>
            </w:r>
          </w:p>
        </w:tc>
        <w:tc>
          <w:tcPr>
            <w:tcW w:w="850" w:type="dxa"/>
          </w:tcPr>
          <w:p w:rsidR="00F87E3A" w:rsidRPr="008A0437" w:rsidRDefault="00F87E3A" w:rsidP="002F4158">
            <w:pPr>
              <w:keepNext/>
              <w:ind w:left="-108"/>
              <w:rPr>
                <w:rFonts w:ascii="Arial Narrow" w:hAnsi="Arial Narrow"/>
                <w:sz w:val="20"/>
              </w:rPr>
            </w:pPr>
          </w:p>
          <w:p w:rsidR="00F87E3A" w:rsidRPr="008A0437" w:rsidRDefault="00F87E3A" w:rsidP="002F4158">
            <w:pPr>
              <w:keepNext/>
              <w:ind w:left="-108"/>
              <w:rPr>
                <w:rFonts w:ascii="Arial Narrow" w:hAnsi="Arial Narrow"/>
                <w:sz w:val="20"/>
              </w:rPr>
            </w:pPr>
            <w:r w:rsidRPr="008A0437">
              <w:rPr>
                <w:rFonts w:ascii="Arial Narrow" w:hAnsi="Arial Narrow"/>
                <w:sz w:val="20"/>
              </w:rPr>
              <w:t>5</w:t>
            </w:r>
          </w:p>
          <w:p w:rsidR="00F87E3A" w:rsidRPr="008A0437" w:rsidRDefault="00F87E3A" w:rsidP="002F4158">
            <w:pPr>
              <w:keepNext/>
              <w:ind w:left="-108"/>
              <w:rPr>
                <w:rFonts w:ascii="Arial Narrow" w:hAnsi="Arial Narrow"/>
                <w:sz w:val="20"/>
              </w:rPr>
            </w:pPr>
            <w:r w:rsidRPr="008A0437">
              <w:rPr>
                <w:rFonts w:ascii="Arial Narrow" w:hAnsi="Arial Narrow"/>
                <w:sz w:val="20"/>
              </w:rPr>
              <w:t>5</w:t>
            </w:r>
          </w:p>
        </w:tc>
        <w:tc>
          <w:tcPr>
            <w:tcW w:w="851" w:type="dxa"/>
          </w:tcPr>
          <w:p w:rsidR="00F87E3A" w:rsidRPr="008A0437" w:rsidRDefault="00F87E3A" w:rsidP="002F4158">
            <w:pPr>
              <w:keepNext/>
              <w:rPr>
                <w:rFonts w:ascii="Arial Narrow" w:hAnsi="Arial Narrow"/>
                <w:sz w:val="20"/>
              </w:rPr>
            </w:pPr>
            <w:r w:rsidRPr="008A0437">
              <w:rPr>
                <w:rFonts w:ascii="Arial Narrow" w:hAnsi="Arial Narrow"/>
                <w:sz w:val="20"/>
              </w:rPr>
              <w:t>Ofev®</w:t>
            </w:r>
          </w:p>
        </w:tc>
        <w:tc>
          <w:tcPr>
            <w:tcW w:w="2976" w:type="dxa"/>
          </w:tcPr>
          <w:p w:rsidR="00F87E3A" w:rsidRPr="008A0437" w:rsidRDefault="00F87E3A" w:rsidP="002F4158">
            <w:pPr>
              <w:keepNext/>
              <w:rPr>
                <w:rFonts w:ascii="Arial Narrow" w:hAnsi="Arial Narrow"/>
                <w:sz w:val="20"/>
              </w:rPr>
            </w:pPr>
            <w:r w:rsidRPr="008A0437">
              <w:rPr>
                <w:rFonts w:ascii="Arial Narrow" w:hAnsi="Arial Narrow"/>
                <w:sz w:val="20"/>
              </w:rPr>
              <w:t>Boehringer Ingelheim Pty Ltd</w:t>
            </w:r>
          </w:p>
          <w:p w:rsidR="00F87E3A" w:rsidRPr="008A0437" w:rsidRDefault="00F87E3A" w:rsidP="002F4158">
            <w:pPr>
              <w:keepNext/>
              <w:rPr>
                <w:rFonts w:ascii="Arial Narrow" w:hAnsi="Arial Narrow"/>
                <w:sz w:val="20"/>
              </w:rPr>
            </w:pP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Category/Program</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GENERAL – General Schedule (Code GE)</w:t>
            </w: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Dental  </w:t>
            </w: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Medical Practitioners  </w:t>
            </w:r>
            <w:r w:rsidRPr="008A0437">
              <w:rPr>
                <w:rFonts w:ascii="Arial Narrow" w:hAnsi="Arial Narrow"/>
                <w:sz w:val="20"/>
              </w:rPr>
              <w:fldChar w:fldCharType="begin">
                <w:ffData>
                  <w:name w:val="Check3"/>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 xml:space="preserve">Nurse practitioners  </w:t>
            </w: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Optometrists</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Midwives</w:t>
            </w: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Idiopathic pulmonary fibrosis</w:t>
            </w: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t>Idiopathic pulmonary fibrosis</w:t>
            </w: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jc w:val="left"/>
              <w:rPr>
                <w:rFonts w:ascii="Arial Narrow" w:hAnsi="Arial Narrow"/>
                <w:b/>
                <w:sz w:val="20"/>
              </w:rPr>
            </w:pPr>
            <w:r w:rsidRPr="008A0437">
              <w:rPr>
                <w:rFonts w:ascii="Arial Narrow" w:hAnsi="Arial Narrow"/>
                <w:b/>
                <w:sz w:val="20"/>
              </w:rPr>
              <w:t>Restriction Level / Method:</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1"/>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Restricted benefit</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
                  <w:enabled/>
                  <w:calcOnExit w:val="0"/>
                  <w:checkBox>
                    <w:sizeAuto/>
                    <w:default w:val="1"/>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In Writing</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Telephone</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Emergency</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Authority Required - Electronic</w:t>
            </w:r>
          </w:p>
          <w:p w:rsidR="00F87E3A" w:rsidRPr="008A0437" w:rsidRDefault="00F87E3A" w:rsidP="002F4158">
            <w:pPr>
              <w:rPr>
                <w:rFonts w:ascii="Arial Narrow" w:hAnsi="Arial Narrow"/>
                <w:sz w:val="20"/>
              </w:rPr>
            </w:pPr>
            <w:r w:rsidRPr="008A0437">
              <w:rPr>
                <w:rFonts w:ascii="Arial Narrow" w:hAnsi="Arial Narrow"/>
                <w:sz w:val="20"/>
              </w:rPr>
              <w:fldChar w:fldCharType="begin">
                <w:ffData>
                  <w:name w:val="Check5"/>
                  <w:enabled/>
                  <w:calcOnExit w:val="0"/>
                  <w:checkBox>
                    <w:sizeAuto/>
                    <w:default w:val="0"/>
                  </w:checkBox>
                </w:ffData>
              </w:fldChar>
            </w:r>
            <w:r w:rsidRPr="008A0437">
              <w:rPr>
                <w:rFonts w:ascii="Arial Narrow" w:hAnsi="Arial Narrow"/>
                <w:sz w:val="20"/>
              </w:rPr>
              <w:instrText xml:space="preserve"> FORMCHECKBOX </w:instrText>
            </w:r>
            <w:r w:rsidR="0045467F">
              <w:rPr>
                <w:rFonts w:ascii="Arial Narrow" w:hAnsi="Arial Narrow"/>
                <w:sz w:val="20"/>
              </w:rPr>
            </w:r>
            <w:r w:rsidR="0045467F">
              <w:rPr>
                <w:rFonts w:ascii="Arial Narrow" w:hAnsi="Arial Narrow"/>
                <w:sz w:val="20"/>
              </w:rPr>
              <w:fldChar w:fldCharType="separate"/>
            </w:r>
            <w:r w:rsidRPr="008A0437">
              <w:rPr>
                <w:rFonts w:ascii="Arial Narrow" w:hAnsi="Arial Narrow"/>
                <w:sz w:val="20"/>
              </w:rPr>
              <w:fldChar w:fldCharType="end"/>
            </w:r>
            <w:r w:rsidRPr="008A0437">
              <w:rPr>
                <w:rFonts w:ascii="Arial Narrow" w:hAnsi="Arial Narrow"/>
                <w:sz w:val="20"/>
              </w:rPr>
              <w:t>Streamlined</w:t>
            </w:r>
          </w:p>
        </w:tc>
      </w:tr>
      <w:tr w:rsidR="00F87E3A" w:rsidRPr="008A0437" w:rsidTr="002F415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Pr>
                <w:rFonts w:ascii="Arial Narrow" w:hAnsi="Arial Narrow"/>
                <w:sz w:val="20"/>
              </w:rPr>
              <w:t xml:space="preserve">Initial 2 - </w:t>
            </w:r>
            <w:r w:rsidRPr="008A0437">
              <w:rPr>
                <w:rFonts w:ascii="Arial Narrow" w:hAnsi="Arial Narrow"/>
                <w:sz w:val="20"/>
              </w:rPr>
              <w:t>Grandfathering treatment</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Pr>
                <w:rFonts w:ascii="Arial Narrow" w:hAnsi="Arial Narrow"/>
                <w:b/>
                <w:sz w:val="20"/>
              </w:rPr>
              <w:t>Treatment</w:t>
            </w:r>
            <w:r w:rsidRPr="008A0437">
              <w:rPr>
                <w:rFonts w:ascii="Arial Narrow" w:hAnsi="Arial Narrow"/>
                <w:b/>
                <w:sz w:val="20"/>
              </w:rPr>
              <w:t xml:space="preserve"> criteria:</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sz w:val="20"/>
              </w:rPr>
            </w:pPr>
            <w:r w:rsidRPr="00B57E45">
              <w:rPr>
                <w:rFonts w:ascii="Arial Narrow" w:hAnsi="Arial Narrow"/>
                <w:sz w:val="20"/>
              </w:rPr>
              <w:t>Must be treated by</w:t>
            </w:r>
            <w:r>
              <w:rPr>
                <w:rFonts w:ascii="Arial Narrow" w:hAnsi="Arial Narrow"/>
                <w:sz w:val="20"/>
              </w:rPr>
              <w:t>, or in consultation with,</w:t>
            </w:r>
            <w:r w:rsidRPr="00B57E45">
              <w:rPr>
                <w:rFonts w:ascii="Arial Narrow" w:hAnsi="Arial Narrow"/>
                <w:sz w:val="20"/>
              </w:rPr>
              <w:t xml:space="preserve"> a respiratory physician or specialist physician</w:t>
            </w:r>
            <w:r>
              <w:rPr>
                <w:rFonts w:ascii="Arial Narrow" w:hAnsi="Arial Narrow"/>
                <w:sz w:val="20"/>
              </w:rPr>
              <w:t>.</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Clinical criteria:</w:t>
            </w:r>
          </w:p>
        </w:tc>
        <w:tc>
          <w:tcPr>
            <w:tcW w:w="6237" w:type="dxa"/>
            <w:gridSpan w:val="5"/>
            <w:tcBorders>
              <w:top w:val="single" w:sz="4" w:space="0" w:color="auto"/>
              <w:left w:val="single" w:sz="4" w:space="0" w:color="auto"/>
              <w:bottom w:val="single" w:sz="4" w:space="0" w:color="auto"/>
              <w:right w:val="single" w:sz="4" w:space="0" w:color="auto"/>
            </w:tcBorders>
          </w:tcPr>
          <w:p w:rsidR="00F87E3A" w:rsidRDefault="00F87E3A" w:rsidP="002F4158">
            <w:pPr>
              <w:rPr>
                <w:rFonts w:ascii="Arial Narrow" w:hAnsi="Arial Narrow"/>
                <w:sz w:val="20"/>
              </w:rPr>
            </w:pPr>
            <w:r w:rsidRPr="008A0437">
              <w:rPr>
                <w:rFonts w:ascii="Arial Narrow" w:hAnsi="Arial Narrow"/>
                <w:sz w:val="20"/>
              </w:rPr>
              <w:t>Patient must have previously received non-PBS-subsidised treatment with this drug for this condition prior to [listing date].</w:t>
            </w:r>
          </w:p>
          <w:p w:rsidR="00F87E3A" w:rsidRDefault="00F87E3A" w:rsidP="002F4158">
            <w:pPr>
              <w:rPr>
                <w:rFonts w:ascii="Arial Narrow" w:hAnsi="Arial Narrow"/>
                <w:sz w:val="20"/>
              </w:rPr>
            </w:pPr>
            <w:r>
              <w:rPr>
                <w:rFonts w:ascii="Arial Narrow" w:hAnsi="Arial Narrow"/>
                <w:sz w:val="20"/>
              </w:rPr>
              <w:t>AND</w:t>
            </w:r>
          </w:p>
          <w:p w:rsidR="00F87E3A" w:rsidRDefault="00F87E3A" w:rsidP="002F4158">
            <w:pPr>
              <w:rPr>
                <w:rFonts w:ascii="Arial Narrow" w:hAnsi="Arial Narrow"/>
                <w:sz w:val="20"/>
                <w:lang w:eastAsia="en-AU"/>
              </w:rPr>
            </w:pPr>
            <w:r>
              <w:rPr>
                <w:rFonts w:ascii="Arial Narrow" w:hAnsi="Arial Narrow"/>
                <w:sz w:val="20"/>
                <w:lang w:eastAsia="en-AU"/>
              </w:rPr>
              <w:t xml:space="preserve">The condition </w:t>
            </w:r>
            <w:r w:rsidRPr="008A0437">
              <w:rPr>
                <w:rFonts w:ascii="Arial Narrow" w:hAnsi="Arial Narrow"/>
                <w:sz w:val="20"/>
                <w:lang w:eastAsia="en-AU"/>
              </w:rPr>
              <w:t xml:space="preserve">must </w:t>
            </w:r>
            <w:r>
              <w:rPr>
                <w:rFonts w:ascii="Arial Narrow" w:hAnsi="Arial Narrow"/>
                <w:sz w:val="20"/>
                <w:lang w:eastAsia="en-AU"/>
              </w:rPr>
              <w:t xml:space="preserve">have been </w:t>
            </w:r>
            <w:r w:rsidRPr="008A0437">
              <w:rPr>
                <w:rFonts w:ascii="Arial Narrow" w:hAnsi="Arial Narrow"/>
                <w:sz w:val="20"/>
                <w:lang w:eastAsia="en-AU"/>
              </w:rPr>
              <w:t>diagnos</w:t>
            </w:r>
            <w:r>
              <w:rPr>
                <w:rFonts w:ascii="Arial Narrow" w:hAnsi="Arial Narrow"/>
                <w:sz w:val="20"/>
                <w:lang w:eastAsia="en-AU"/>
              </w:rPr>
              <w:t xml:space="preserve">ed </w:t>
            </w:r>
            <w:r w:rsidRPr="008A0437">
              <w:rPr>
                <w:rFonts w:ascii="Arial Narrow" w:hAnsi="Arial Narrow"/>
                <w:sz w:val="20"/>
                <w:lang w:eastAsia="en-AU"/>
              </w:rPr>
              <w:t>through a multidisciplinary</w:t>
            </w:r>
            <w:r>
              <w:rPr>
                <w:rFonts w:ascii="Arial Narrow" w:hAnsi="Arial Narrow"/>
                <w:sz w:val="20"/>
                <w:lang w:eastAsia="en-AU"/>
              </w:rPr>
              <w:t xml:space="preserve"> </w:t>
            </w:r>
            <w:r w:rsidRPr="008A0437">
              <w:rPr>
                <w:rFonts w:ascii="Arial Narrow" w:hAnsi="Arial Narrow"/>
                <w:sz w:val="20"/>
                <w:lang w:eastAsia="en-AU"/>
              </w:rPr>
              <w:t>team.</w:t>
            </w:r>
          </w:p>
          <w:p w:rsidR="00F87E3A" w:rsidRDefault="00F87E3A" w:rsidP="002F4158">
            <w:pPr>
              <w:rPr>
                <w:rFonts w:ascii="Arial Narrow" w:hAnsi="Arial Narrow"/>
                <w:sz w:val="20"/>
                <w:lang w:eastAsia="en-AU"/>
              </w:rPr>
            </w:pPr>
            <w:r>
              <w:rPr>
                <w:rFonts w:ascii="Arial Narrow" w:hAnsi="Arial Narrow"/>
                <w:sz w:val="20"/>
                <w:lang w:eastAsia="en-AU"/>
              </w:rPr>
              <w:t>AND</w:t>
            </w:r>
          </w:p>
          <w:p w:rsidR="00F87E3A" w:rsidRDefault="00F87E3A" w:rsidP="002F4158">
            <w:pPr>
              <w:rPr>
                <w:rFonts w:ascii="Arial Narrow" w:hAnsi="Arial Narrow"/>
                <w:sz w:val="20"/>
              </w:rPr>
            </w:pPr>
            <w:r w:rsidRPr="008A0437">
              <w:rPr>
                <w:rFonts w:ascii="Arial Narrow" w:hAnsi="Arial Narrow"/>
                <w:sz w:val="20"/>
              </w:rPr>
              <w:t xml:space="preserve">Patient must have </w:t>
            </w:r>
            <w:r>
              <w:rPr>
                <w:rFonts w:ascii="Arial Narrow" w:hAnsi="Arial Narrow"/>
                <w:sz w:val="20"/>
              </w:rPr>
              <w:t xml:space="preserve">had a </w:t>
            </w:r>
            <w:r w:rsidRPr="008A0437">
              <w:rPr>
                <w:rFonts w:ascii="Arial Narrow" w:hAnsi="Arial Narrow"/>
                <w:sz w:val="20"/>
              </w:rPr>
              <w:t xml:space="preserve">forced vital capacity (FVC) </w:t>
            </w:r>
            <w:r>
              <w:rPr>
                <w:rFonts w:ascii="Arial Narrow" w:hAnsi="Arial Narrow"/>
                <w:sz w:val="20"/>
              </w:rPr>
              <w:t xml:space="preserve">greater than or </w:t>
            </w:r>
            <w:r w:rsidRPr="008A0437">
              <w:rPr>
                <w:rFonts w:ascii="Arial Narrow" w:hAnsi="Arial Narrow"/>
                <w:sz w:val="20"/>
              </w:rPr>
              <w:t>equal to 50% predicted for age, gender and height</w:t>
            </w:r>
            <w:r>
              <w:rPr>
                <w:rFonts w:ascii="Arial Narrow" w:hAnsi="Arial Narrow"/>
                <w:sz w:val="20"/>
              </w:rPr>
              <w:t xml:space="preserve"> at the time treatment with this drug for this condition was initiated.</w:t>
            </w:r>
          </w:p>
          <w:p w:rsidR="00F87E3A" w:rsidRDefault="00F87E3A" w:rsidP="002F4158">
            <w:pPr>
              <w:rPr>
                <w:rFonts w:ascii="Arial Narrow" w:hAnsi="Arial Narrow"/>
                <w:sz w:val="20"/>
              </w:rPr>
            </w:pPr>
            <w:r>
              <w:rPr>
                <w:rFonts w:ascii="Arial Narrow" w:hAnsi="Arial Narrow"/>
                <w:sz w:val="20"/>
              </w:rPr>
              <w:t xml:space="preserve">AND </w:t>
            </w:r>
          </w:p>
          <w:p w:rsidR="00F87E3A" w:rsidRDefault="00F87E3A" w:rsidP="002F4158">
            <w:pPr>
              <w:rPr>
                <w:rFonts w:ascii="Arial Narrow" w:hAnsi="Arial Narrow"/>
                <w:sz w:val="20"/>
              </w:rPr>
            </w:pPr>
            <w:r>
              <w:rPr>
                <w:rFonts w:ascii="Arial Narrow" w:hAnsi="Arial Narrow"/>
                <w:sz w:val="20"/>
              </w:rPr>
              <w:t>Patient must have had a</w:t>
            </w:r>
            <w:r w:rsidRPr="008A0437">
              <w:rPr>
                <w:rFonts w:ascii="Arial Narrow" w:hAnsi="Arial Narrow"/>
                <w:sz w:val="20"/>
              </w:rPr>
              <w:t xml:space="preserve"> forced expiratory volume in 1 second (FEV1)/FVC ratio greater than 0.7</w:t>
            </w:r>
            <w:r>
              <w:rPr>
                <w:rFonts w:ascii="Arial Narrow" w:hAnsi="Arial Narrow"/>
                <w:sz w:val="20"/>
              </w:rPr>
              <w:t xml:space="preserve"> at the time treatment with this drug for this condition was initiated.</w:t>
            </w:r>
          </w:p>
          <w:p w:rsidR="00F87E3A" w:rsidRPr="008A0437" w:rsidRDefault="00F87E3A" w:rsidP="002F4158">
            <w:pPr>
              <w:rPr>
                <w:rFonts w:ascii="Arial Narrow" w:hAnsi="Arial Narrow"/>
                <w:sz w:val="20"/>
              </w:rPr>
            </w:pPr>
            <w:r w:rsidRPr="008A0437">
              <w:rPr>
                <w:rFonts w:ascii="Arial Narrow" w:hAnsi="Arial Narrow"/>
                <w:sz w:val="20"/>
              </w:rPr>
              <w:t>AND</w:t>
            </w:r>
          </w:p>
          <w:p w:rsidR="00F87E3A" w:rsidRDefault="00F87E3A" w:rsidP="002F4158">
            <w:pPr>
              <w:rPr>
                <w:rFonts w:ascii="Arial Narrow" w:hAnsi="Arial Narrow"/>
                <w:sz w:val="20"/>
              </w:rPr>
            </w:pPr>
            <w:r w:rsidRPr="008A0437">
              <w:rPr>
                <w:rFonts w:ascii="Arial Narrow" w:hAnsi="Arial Narrow"/>
                <w:sz w:val="20"/>
              </w:rPr>
              <w:lastRenderedPageBreak/>
              <w:t xml:space="preserve">Patient must have </w:t>
            </w:r>
            <w:r>
              <w:rPr>
                <w:rFonts w:ascii="Arial Narrow" w:hAnsi="Arial Narrow"/>
                <w:sz w:val="20"/>
              </w:rPr>
              <w:t xml:space="preserve">had </w:t>
            </w:r>
            <w:r w:rsidRPr="008A0437">
              <w:rPr>
                <w:rFonts w:ascii="Arial Narrow" w:hAnsi="Arial Narrow"/>
                <w:sz w:val="20"/>
              </w:rPr>
              <w:t>diffusing capacity of the lungs for carbon monoxide (DLCO) corrected for haemoglobin equal to or greater than 30%</w:t>
            </w:r>
            <w:r>
              <w:rPr>
                <w:rFonts w:ascii="Arial Narrow" w:hAnsi="Arial Narrow"/>
                <w:sz w:val="20"/>
              </w:rPr>
              <w:t xml:space="preserve"> at the time treatment with this drug for this condition was initiated.</w:t>
            </w:r>
          </w:p>
          <w:p w:rsidR="00F87E3A" w:rsidRPr="008A0437" w:rsidRDefault="00F87E3A" w:rsidP="002F4158">
            <w:pPr>
              <w:rPr>
                <w:rFonts w:ascii="Arial Narrow" w:hAnsi="Arial Narrow"/>
                <w:sz w:val="20"/>
              </w:rPr>
            </w:pPr>
            <w:r w:rsidRPr="008A0437">
              <w:rPr>
                <w:rFonts w:ascii="Arial Narrow" w:hAnsi="Arial Narrow"/>
                <w:sz w:val="20"/>
              </w:rPr>
              <w:t>AND</w:t>
            </w:r>
          </w:p>
          <w:p w:rsidR="00F87E3A" w:rsidRPr="00EC76C1" w:rsidRDefault="00F87E3A" w:rsidP="002F4158">
            <w:pPr>
              <w:rPr>
                <w:rFonts w:ascii="Arial Narrow" w:hAnsi="Arial Narrow"/>
                <w:strike/>
                <w:sz w:val="20"/>
              </w:rPr>
            </w:pPr>
            <w:r w:rsidRPr="008A0437">
              <w:rPr>
                <w:rFonts w:ascii="Arial Narrow" w:hAnsi="Arial Narrow"/>
                <w:sz w:val="20"/>
              </w:rPr>
              <w:t xml:space="preserve">Patient must not have interstitial lung disease due to other known causes including domestic and occupational environmental exposures, connective tissue disease, </w:t>
            </w:r>
            <w:r>
              <w:rPr>
                <w:rFonts w:ascii="Arial Narrow" w:hAnsi="Arial Narrow"/>
                <w:sz w:val="20"/>
              </w:rPr>
              <w:t xml:space="preserve">or </w:t>
            </w:r>
            <w:r w:rsidRPr="008A0437">
              <w:rPr>
                <w:rFonts w:ascii="Arial Narrow" w:hAnsi="Arial Narrow"/>
                <w:sz w:val="20"/>
              </w:rPr>
              <w:t>drug toxicity.</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Pr>
                <w:rFonts w:ascii="Arial Narrow" w:hAnsi="Arial Narrow"/>
                <w:b/>
                <w:sz w:val="20"/>
              </w:rPr>
              <w:lastRenderedPageBreak/>
              <w:t>Prescriber Instructions</w:t>
            </w:r>
          </w:p>
        </w:tc>
        <w:tc>
          <w:tcPr>
            <w:tcW w:w="6237" w:type="dxa"/>
            <w:gridSpan w:val="5"/>
            <w:tcBorders>
              <w:top w:val="single" w:sz="4" w:space="0" w:color="auto"/>
              <w:left w:val="single" w:sz="4" w:space="0" w:color="auto"/>
              <w:bottom w:val="single" w:sz="4" w:space="0" w:color="auto"/>
              <w:right w:val="single" w:sz="4" w:space="0" w:color="auto"/>
            </w:tcBorders>
          </w:tcPr>
          <w:p w:rsidR="00F87E3A" w:rsidRDefault="00F87E3A" w:rsidP="002F4158">
            <w:pPr>
              <w:rPr>
                <w:rFonts w:ascii="Arial Narrow" w:hAnsi="Arial Narrow"/>
                <w:sz w:val="20"/>
              </w:rPr>
            </w:pPr>
            <w:r>
              <w:rPr>
                <w:rFonts w:ascii="Arial Narrow" w:hAnsi="Arial Narrow"/>
                <w:sz w:val="20"/>
              </w:rPr>
              <w:t>A</w:t>
            </w:r>
            <w:r w:rsidRPr="008A0437">
              <w:rPr>
                <w:rFonts w:ascii="Arial Narrow" w:hAnsi="Arial Narrow"/>
                <w:sz w:val="20"/>
              </w:rPr>
              <w:t xml:space="preserve"> multidisciplinary team </w:t>
            </w:r>
            <w:r>
              <w:rPr>
                <w:rFonts w:ascii="Arial Narrow" w:hAnsi="Arial Narrow"/>
                <w:sz w:val="20"/>
              </w:rPr>
              <w:t xml:space="preserve">is defined as </w:t>
            </w:r>
            <w:r w:rsidRPr="008A0437">
              <w:rPr>
                <w:rFonts w:ascii="Arial Narrow" w:hAnsi="Arial Narrow"/>
                <w:sz w:val="20"/>
              </w:rPr>
              <w:t>compris</w:t>
            </w:r>
            <w:r>
              <w:rPr>
                <w:rFonts w:ascii="Arial Narrow" w:hAnsi="Arial Narrow"/>
                <w:sz w:val="20"/>
              </w:rPr>
              <w:t>ing</w:t>
            </w:r>
            <w:r w:rsidRPr="008A0437">
              <w:rPr>
                <w:rFonts w:ascii="Arial Narrow" w:hAnsi="Arial Narrow"/>
                <w:sz w:val="20"/>
              </w:rPr>
              <w:t xml:space="preserve"> of at least a</w:t>
            </w:r>
            <w:r>
              <w:rPr>
                <w:rFonts w:ascii="Arial Narrow" w:hAnsi="Arial Narrow"/>
                <w:sz w:val="20"/>
              </w:rPr>
              <w:t xml:space="preserve"> specialist respiratory physician</w:t>
            </w:r>
            <w:r w:rsidRPr="008A0437">
              <w:rPr>
                <w:rFonts w:ascii="Arial Narrow" w:hAnsi="Arial Narrow"/>
                <w:sz w:val="20"/>
              </w:rPr>
              <w:t xml:space="preserve">, </w:t>
            </w:r>
            <w:r>
              <w:rPr>
                <w:rFonts w:ascii="Arial Narrow" w:hAnsi="Arial Narrow"/>
                <w:sz w:val="20"/>
              </w:rPr>
              <w:t xml:space="preserve">a </w:t>
            </w:r>
            <w:r w:rsidRPr="008A0437">
              <w:rPr>
                <w:rFonts w:ascii="Arial Narrow" w:hAnsi="Arial Narrow"/>
                <w:sz w:val="20"/>
              </w:rPr>
              <w:t>radiologist and where</w:t>
            </w:r>
            <w:r>
              <w:rPr>
                <w:rFonts w:ascii="Arial Narrow" w:hAnsi="Arial Narrow"/>
                <w:sz w:val="20"/>
              </w:rPr>
              <w:t xml:space="preserve"> histological material is considered</w:t>
            </w:r>
            <w:r w:rsidRPr="008A0437">
              <w:rPr>
                <w:rFonts w:ascii="Arial Narrow" w:hAnsi="Arial Narrow"/>
                <w:sz w:val="20"/>
              </w:rPr>
              <w:t>, a pathologist. If attendance is not possible, because of geographical isolation</w:t>
            </w:r>
            <w:r>
              <w:rPr>
                <w:rFonts w:ascii="Arial Narrow" w:hAnsi="Arial Narrow"/>
                <w:sz w:val="20"/>
              </w:rPr>
              <w:t xml:space="preserve"> consultation with a multidisciplinary team is required for diagnosis.</w:t>
            </w:r>
          </w:p>
          <w:p w:rsidR="00F87E3A" w:rsidRDefault="00F87E3A" w:rsidP="002F4158">
            <w:pPr>
              <w:rPr>
                <w:rFonts w:ascii="Arial Narrow" w:hAnsi="Arial Narrow"/>
                <w:sz w:val="20"/>
              </w:rPr>
            </w:pPr>
          </w:p>
          <w:p w:rsidR="00F87E3A" w:rsidRPr="00213F44" w:rsidRDefault="00F87E3A" w:rsidP="002F4158">
            <w:pPr>
              <w:rPr>
                <w:rFonts w:ascii="Arial Narrow" w:hAnsi="Arial Narrow"/>
                <w:sz w:val="20"/>
              </w:rPr>
            </w:pPr>
            <w:r w:rsidRPr="00213F44">
              <w:rPr>
                <w:rFonts w:ascii="Arial Narrow" w:hAnsi="Arial Narrow"/>
                <w:sz w:val="20"/>
              </w:rPr>
              <w:t xml:space="preserve">Application for </w:t>
            </w:r>
            <w:r>
              <w:rPr>
                <w:rFonts w:ascii="Arial Narrow" w:hAnsi="Arial Narrow"/>
                <w:sz w:val="20"/>
              </w:rPr>
              <w:t xml:space="preserve">of initial treatment </w:t>
            </w:r>
            <w:r w:rsidRPr="00213F44">
              <w:rPr>
                <w:rFonts w:ascii="Arial Narrow" w:hAnsi="Arial Narrow"/>
                <w:sz w:val="20"/>
              </w:rPr>
              <w:t>authorisation must be in writing and must include:</w:t>
            </w:r>
          </w:p>
          <w:p w:rsidR="00F87E3A" w:rsidRPr="00213F44" w:rsidRDefault="00F87E3A" w:rsidP="002F4158">
            <w:pPr>
              <w:pStyle w:val="ListParagraph"/>
              <w:widowControl/>
              <w:numPr>
                <w:ilvl w:val="0"/>
                <w:numId w:val="17"/>
              </w:numPr>
              <w:rPr>
                <w:rFonts w:ascii="Arial Narrow" w:hAnsi="Arial Narrow"/>
                <w:sz w:val="20"/>
              </w:rPr>
            </w:pPr>
            <w:r w:rsidRPr="00213F44">
              <w:rPr>
                <w:rFonts w:ascii="Arial Narrow" w:hAnsi="Arial Narrow"/>
                <w:sz w:val="20"/>
              </w:rPr>
              <w:t>A completed authority prescription form</w:t>
            </w:r>
          </w:p>
          <w:p w:rsidR="00F87E3A" w:rsidRPr="00213F44" w:rsidRDefault="00F87E3A" w:rsidP="002F4158">
            <w:pPr>
              <w:pStyle w:val="ListParagraph"/>
              <w:widowControl/>
              <w:numPr>
                <w:ilvl w:val="0"/>
                <w:numId w:val="17"/>
              </w:numPr>
              <w:rPr>
                <w:rFonts w:ascii="Arial Narrow" w:hAnsi="Arial Narrow"/>
                <w:sz w:val="20"/>
              </w:rPr>
            </w:pPr>
            <w:r w:rsidRPr="00213F44">
              <w:rPr>
                <w:rFonts w:ascii="Arial Narrow" w:hAnsi="Arial Narrow"/>
                <w:sz w:val="20"/>
              </w:rPr>
              <w:t>A completed IPF Authority Application Supporting Information Form</w:t>
            </w:r>
            <w:r>
              <w:rPr>
                <w:rFonts w:ascii="Arial Narrow" w:hAnsi="Arial Narrow"/>
                <w:sz w:val="20"/>
              </w:rPr>
              <w:t>; and</w:t>
            </w:r>
          </w:p>
          <w:p w:rsidR="00F87E3A" w:rsidRPr="00213F44" w:rsidRDefault="00F87E3A" w:rsidP="002F4158">
            <w:pPr>
              <w:pStyle w:val="ListParagraph"/>
              <w:widowControl/>
              <w:numPr>
                <w:ilvl w:val="0"/>
                <w:numId w:val="17"/>
              </w:numPr>
              <w:rPr>
                <w:rFonts w:ascii="Arial Narrow" w:hAnsi="Arial Narrow"/>
                <w:sz w:val="20"/>
              </w:rPr>
            </w:pPr>
            <w:r w:rsidRPr="00213F44">
              <w:rPr>
                <w:rFonts w:ascii="Arial Narrow" w:hAnsi="Arial Narrow"/>
                <w:sz w:val="20"/>
              </w:rPr>
              <w:t>A signed patient acknowledgement.</w:t>
            </w:r>
          </w:p>
          <w:p w:rsidR="00F87E3A" w:rsidRPr="008A0437" w:rsidRDefault="00F87E3A" w:rsidP="002F4158">
            <w:pPr>
              <w:rPr>
                <w:rFonts w:ascii="Arial Narrow" w:hAnsi="Arial Narrow"/>
                <w:sz w:val="20"/>
              </w:rPr>
            </w:pPr>
          </w:p>
          <w:p w:rsidR="00F87E3A" w:rsidRPr="008A0437" w:rsidRDefault="00F87E3A" w:rsidP="002F4158">
            <w:pPr>
              <w:rPr>
                <w:rFonts w:ascii="Arial Narrow" w:hAnsi="Arial Narrow"/>
                <w:sz w:val="20"/>
              </w:rPr>
            </w:pPr>
            <w:r w:rsidRPr="008A0437">
              <w:rPr>
                <w:rFonts w:ascii="Arial Narrow" w:hAnsi="Arial Narrow"/>
                <w:sz w:val="20"/>
              </w:rPr>
              <w:t xml:space="preserve">Patient must </w:t>
            </w:r>
            <w:r>
              <w:rPr>
                <w:rFonts w:ascii="Arial Narrow" w:hAnsi="Arial Narrow"/>
                <w:sz w:val="20"/>
              </w:rPr>
              <w:t xml:space="preserve">not </w:t>
            </w:r>
            <w:r w:rsidRPr="008A0437">
              <w:rPr>
                <w:rFonts w:ascii="Arial Narrow" w:hAnsi="Arial Narrow"/>
                <w:sz w:val="20"/>
              </w:rPr>
              <w:t>have</w:t>
            </w:r>
            <w:r>
              <w:rPr>
                <w:rFonts w:ascii="Arial Narrow" w:hAnsi="Arial Narrow"/>
                <w:sz w:val="20"/>
              </w:rPr>
              <w:t xml:space="preserve"> an</w:t>
            </w:r>
            <w:r w:rsidRPr="008A0437">
              <w:rPr>
                <w:rFonts w:ascii="Arial Narrow" w:hAnsi="Arial Narrow"/>
                <w:sz w:val="20"/>
              </w:rPr>
              <w:t xml:space="preserve"> acute respiratory infection at the time of FVC testing.</w:t>
            </w:r>
          </w:p>
        </w:tc>
      </w:tr>
      <w:tr w:rsidR="00F87E3A" w:rsidRPr="008A0437" w:rsidTr="002F4158">
        <w:trPr>
          <w:trHeight w:val="360"/>
        </w:trPr>
        <w:tc>
          <w:tcPr>
            <w:tcW w:w="2126" w:type="dxa"/>
            <w:tcBorders>
              <w:top w:val="single" w:sz="4" w:space="0" w:color="auto"/>
              <w:left w:val="single" w:sz="4" w:space="0" w:color="auto"/>
              <w:bottom w:val="single" w:sz="4" w:space="0" w:color="auto"/>
              <w:right w:val="single" w:sz="4" w:space="0" w:color="auto"/>
            </w:tcBorders>
          </w:tcPr>
          <w:p w:rsidR="00F87E3A" w:rsidRPr="008A0437" w:rsidRDefault="00F87E3A" w:rsidP="002F4158">
            <w:pPr>
              <w:rPr>
                <w:rFonts w:ascii="Arial Narrow" w:hAnsi="Arial Narrow"/>
                <w:b/>
                <w:sz w:val="20"/>
              </w:rPr>
            </w:pPr>
            <w:r w:rsidRPr="008A0437">
              <w:rPr>
                <w:rFonts w:ascii="Arial Narrow" w:hAnsi="Arial Narrow"/>
                <w:b/>
                <w:sz w:val="20"/>
              </w:rPr>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Special Pricing Arrangements apply.</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increase in the maximum quantity will be authorised</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No applications for increased repeats will be authorised</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Any queries concerning the arrangements to prescribe may be directed to the Department of Human Services on 1800 700 270 (hours of operation 8 a.m. to 5 p.m. EST Monday to Friday). </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Prescribing information (including Authority Application forms and other relevant documentation as applicable) is available on the Department of Human Services website at </w:t>
            </w:r>
            <w:r w:rsidRPr="003B3717">
              <w:rPr>
                <w:rFonts w:ascii="Arial Narrow" w:hAnsi="Arial Narrow"/>
                <w:sz w:val="20"/>
                <w:lang w:eastAsia="en-AU"/>
              </w:rPr>
              <w:t>www.humanservices.gov.au</w:t>
            </w:r>
          </w:p>
          <w:p w:rsidR="00F87E3A" w:rsidRPr="008A0437" w:rsidRDefault="00F87E3A" w:rsidP="002F4158">
            <w:pPr>
              <w:widowControl/>
              <w:snapToGrid w:val="0"/>
              <w:spacing w:line="20" w:lineRule="atLeast"/>
              <w:jc w:val="left"/>
              <w:rPr>
                <w:rFonts w:ascii="Arial Narrow" w:hAnsi="Arial Narrow"/>
                <w:sz w:val="20"/>
                <w:lang w:eastAsia="en-AU"/>
              </w:rPr>
            </w:pP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Applications for authority to prescribe should be forwarded to: </w:t>
            </w: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Department of Human Services</w:t>
            </w: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Prior Written Approval of Complex Drugs </w:t>
            </w: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Reply Paid 9826 </w:t>
            </w:r>
          </w:p>
          <w:p w:rsidR="00F87E3A" w:rsidRPr="008A0437" w:rsidRDefault="00F87E3A" w:rsidP="002F4158">
            <w:pPr>
              <w:widowControl/>
              <w:snapToGrid w:val="0"/>
              <w:spacing w:line="20" w:lineRule="atLeast"/>
              <w:jc w:val="left"/>
              <w:rPr>
                <w:rFonts w:ascii="Arial Narrow" w:hAnsi="Arial Narrow"/>
                <w:sz w:val="20"/>
                <w:lang w:eastAsia="en-AU"/>
              </w:rPr>
            </w:pPr>
            <w:r w:rsidRPr="008A0437">
              <w:rPr>
                <w:rFonts w:ascii="Arial Narrow" w:hAnsi="Arial Narrow"/>
                <w:sz w:val="20"/>
                <w:lang w:eastAsia="en-AU"/>
              </w:rPr>
              <w:t xml:space="preserve">GPO Box 9826 </w:t>
            </w:r>
          </w:p>
          <w:p w:rsidR="00F87E3A" w:rsidRPr="008A0437" w:rsidRDefault="00F87E3A" w:rsidP="002F4158">
            <w:pPr>
              <w:rPr>
                <w:rFonts w:ascii="Arial Narrow" w:hAnsi="Arial Narrow"/>
                <w:sz w:val="20"/>
              </w:rPr>
            </w:pPr>
            <w:r w:rsidRPr="008A0437">
              <w:rPr>
                <w:rFonts w:ascii="Arial Narrow" w:hAnsi="Arial Narrow"/>
                <w:sz w:val="20"/>
                <w:lang w:eastAsia="en-AU"/>
              </w:rPr>
              <w:t>HOBART TAS 7001</w:t>
            </w:r>
          </w:p>
        </w:tc>
      </w:tr>
    </w:tbl>
    <w:p w:rsidR="00F87E3A" w:rsidRDefault="00F87E3A" w:rsidP="001D090B">
      <w:pPr>
        <w:ind w:left="426"/>
        <w:rPr>
          <w:b/>
        </w:rPr>
      </w:pPr>
    </w:p>
    <w:p w:rsidR="001D090B" w:rsidRDefault="001D090B" w:rsidP="001D090B">
      <w:pPr>
        <w:ind w:left="426"/>
        <w:rPr>
          <w:b/>
        </w:rPr>
      </w:pPr>
    </w:p>
    <w:p w:rsidR="001D090B" w:rsidRPr="00485DD3" w:rsidRDefault="001D090B" w:rsidP="001D090B">
      <w:pPr>
        <w:pStyle w:val="PBACheading1"/>
        <w:keepNext/>
        <w:rPr>
          <w:b/>
        </w:rPr>
      </w:pPr>
      <w:r w:rsidRPr="00485DD3">
        <w:rPr>
          <w:b/>
        </w:rPr>
        <w:t>Context for Decision</w:t>
      </w:r>
    </w:p>
    <w:p w:rsidR="001D090B" w:rsidRDefault="001D090B" w:rsidP="001D090B">
      <w:pPr>
        <w:ind w:left="426"/>
      </w:pPr>
    </w:p>
    <w:p w:rsidR="001D090B" w:rsidRDefault="001D090B" w:rsidP="001D090B">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D090B" w:rsidRDefault="001D090B" w:rsidP="001D090B">
      <w:pPr>
        <w:ind w:left="426"/>
      </w:pPr>
    </w:p>
    <w:p w:rsidR="001D090B" w:rsidRPr="00485DD3" w:rsidRDefault="001D090B" w:rsidP="001D090B">
      <w:pPr>
        <w:pStyle w:val="PBACheading1"/>
        <w:keepNext/>
        <w:rPr>
          <w:b/>
        </w:rPr>
      </w:pPr>
      <w:r w:rsidRPr="00485DD3">
        <w:rPr>
          <w:b/>
        </w:rPr>
        <w:t>Sponsor’s Comment</w:t>
      </w:r>
    </w:p>
    <w:p w:rsidR="001D090B" w:rsidRDefault="001D090B" w:rsidP="001D090B">
      <w:pPr>
        <w:ind w:left="426"/>
        <w:rPr>
          <w:bCs/>
          <w:highlight w:val="yellow"/>
          <w:lang w:val="en-GB"/>
        </w:rPr>
      </w:pPr>
    </w:p>
    <w:p w:rsidR="001D090B" w:rsidRDefault="001D090B" w:rsidP="001D090B">
      <w:pPr>
        <w:spacing w:after="120"/>
        <w:ind w:left="426" w:firstLine="294"/>
        <w:rPr>
          <w:bCs/>
        </w:rPr>
      </w:pPr>
      <w:r w:rsidRPr="003035CC">
        <w:rPr>
          <w:bCs/>
        </w:rPr>
        <w:t>The sponsor had no comment.</w:t>
      </w:r>
    </w:p>
    <w:p w:rsidR="0002757B" w:rsidRPr="008A0437" w:rsidRDefault="0002757B" w:rsidP="00915C99">
      <w:pPr>
        <w:pStyle w:val="Subtitle"/>
        <w:rPr>
          <w:rFonts w:ascii="Arial" w:hAnsi="Arial" w:cs="Arial"/>
          <w:b w:val="0"/>
          <w:i/>
          <w:sz w:val="22"/>
          <w:szCs w:val="22"/>
        </w:rPr>
      </w:pPr>
    </w:p>
    <w:sectPr w:rsidR="0002757B" w:rsidRPr="008A0437" w:rsidSect="00EC76C1">
      <w:headerReference w:type="default" r:id="rId11"/>
      <w:footerReference w:type="default" r:id="rId12"/>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650" w:rsidRDefault="000F3650" w:rsidP="00124A51">
      <w:r>
        <w:separator/>
      </w:r>
    </w:p>
  </w:endnote>
  <w:endnote w:type="continuationSeparator" w:id="0">
    <w:p w:rsidR="000F3650" w:rsidRDefault="000F365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183470"/>
      <w:docPartObj>
        <w:docPartGallery w:val="Page Numbers (Bottom of Page)"/>
        <w:docPartUnique/>
      </w:docPartObj>
    </w:sdtPr>
    <w:sdtEndPr>
      <w:rPr>
        <w:noProof/>
        <w:sz w:val="20"/>
      </w:rPr>
    </w:sdtEndPr>
    <w:sdtContent>
      <w:p w:rsidR="000F3650" w:rsidRDefault="000F3650">
        <w:pPr>
          <w:pStyle w:val="Footer"/>
          <w:jc w:val="center"/>
        </w:pPr>
      </w:p>
      <w:p w:rsidR="000F3650" w:rsidRPr="00BF626C" w:rsidRDefault="000F3650" w:rsidP="00E86F32">
        <w:pPr>
          <w:pStyle w:val="Footer"/>
          <w:jc w:val="center"/>
          <w:rPr>
            <w:sz w:val="20"/>
          </w:rPr>
        </w:pPr>
        <w:r w:rsidRPr="00BF626C">
          <w:rPr>
            <w:sz w:val="20"/>
          </w:rPr>
          <w:fldChar w:fldCharType="begin"/>
        </w:r>
        <w:r w:rsidRPr="00BF626C">
          <w:rPr>
            <w:sz w:val="20"/>
          </w:rPr>
          <w:instrText xml:space="preserve"> PAGE   \* MERGEFORMAT </w:instrText>
        </w:r>
        <w:r w:rsidRPr="00BF626C">
          <w:rPr>
            <w:sz w:val="20"/>
          </w:rPr>
          <w:fldChar w:fldCharType="separate"/>
        </w:r>
        <w:r w:rsidR="0045467F">
          <w:rPr>
            <w:noProof/>
            <w:sz w:val="20"/>
          </w:rPr>
          <w:t>2</w:t>
        </w:r>
        <w:r w:rsidRPr="00BF626C">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650" w:rsidRDefault="000F3650" w:rsidP="00124A51">
      <w:r>
        <w:separator/>
      </w:r>
    </w:p>
  </w:footnote>
  <w:footnote w:type="continuationSeparator" w:id="0">
    <w:p w:rsidR="000F3650" w:rsidRDefault="000F3650" w:rsidP="00124A51">
      <w:r>
        <w:continuationSeparator/>
      </w:r>
    </w:p>
  </w:footnote>
  <w:footnote w:id="1">
    <w:p w:rsidR="000F3650" w:rsidRDefault="000F3650" w:rsidP="00E70F70">
      <w:pPr>
        <w:pStyle w:val="FootnoteText"/>
      </w:pPr>
      <w:r>
        <w:rPr>
          <w:rStyle w:val="FootnoteReference"/>
        </w:rPr>
        <w:footnoteRef/>
      </w:r>
      <w:r>
        <w:t xml:space="preserve"> </w:t>
      </w:r>
      <w:r w:rsidRPr="00CF1389">
        <w:rPr>
          <w:rFonts w:ascii="Arial Narrow" w:hAnsi="Arial Narrow"/>
        </w:rPr>
        <w:t>Karimi-Shah BA, Chowdhury BA. Forced vital capacity in idiopathic pulmonary fibrosis-FDA review of pirfenidone and nintedanib. The New England Journal of Medicine. 2015;372(13):1189-91</w:t>
      </w:r>
      <w:r>
        <w:t>.</w:t>
      </w:r>
    </w:p>
  </w:footnote>
  <w:footnote w:id="2">
    <w:p w:rsidR="000F3650" w:rsidRPr="00E50D1A" w:rsidRDefault="000F3650" w:rsidP="006C0040">
      <w:pPr>
        <w:pStyle w:val="FootnoteText"/>
        <w:rPr>
          <w:lang w:val="en-US"/>
        </w:rPr>
      </w:pPr>
      <w:r w:rsidRPr="00D64ACB">
        <w:rPr>
          <w:rStyle w:val="FootnoteReference"/>
          <w:rFonts w:ascii="Arial Narrow" w:hAnsi="Arial Narrow"/>
        </w:rPr>
        <w:footnoteRef/>
      </w:r>
      <w:r w:rsidRPr="00D64ACB">
        <w:rPr>
          <w:rFonts w:ascii="Arial Narrow" w:hAnsi="Arial Narrow"/>
        </w:rPr>
        <w:t xml:space="preserve"> </w:t>
      </w:r>
      <w:r w:rsidRPr="00D64ACB">
        <w:rPr>
          <w:rFonts w:ascii="Arial Narrow" w:hAnsi="Arial Narrow"/>
          <w:sz w:val="18"/>
        </w:rPr>
        <w:t xml:space="preserve">Rochwerg B, Neupane B, Zhang Y, Garcia CC, Raghu G, Richeldi L, Brozek J, Beyene J, and Schünemann. Treatment of idiopathic pulmonary fibrosis: a </w:t>
      </w:r>
      <w:r w:rsidRPr="00E50D1A">
        <w:rPr>
          <w:rFonts w:ascii="Arial Narrow" w:hAnsi="Arial Narrow"/>
          <w:sz w:val="18"/>
        </w:rPr>
        <w:t>network meta-analysis. BMC Medicine, 2016; 14: 18</w:t>
      </w:r>
    </w:p>
  </w:footnote>
  <w:footnote w:id="3">
    <w:p w:rsidR="000F3650" w:rsidRPr="00391179" w:rsidRDefault="000F3650" w:rsidP="007F0CF6">
      <w:pPr>
        <w:pStyle w:val="FootnoteText"/>
        <w:rPr>
          <w:rFonts w:ascii="Arial Narrow" w:hAnsi="Arial Narrow"/>
          <w:i/>
          <w:sz w:val="18"/>
          <w:szCs w:val="18"/>
        </w:rPr>
      </w:pPr>
      <w:r w:rsidRPr="00E50D1A">
        <w:rPr>
          <w:rStyle w:val="FootnoteReference"/>
          <w:rFonts w:ascii="Arial Narrow" w:hAnsi="Arial Narrow"/>
          <w:sz w:val="18"/>
          <w:szCs w:val="18"/>
        </w:rPr>
        <w:footnoteRef/>
      </w:r>
      <w:r w:rsidRPr="00E50D1A">
        <w:rPr>
          <w:rFonts w:ascii="Arial Narrow" w:hAnsi="Arial Narrow"/>
          <w:sz w:val="18"/>
          <w:szCs w:val="18"/>
        </w:rPr>
        <w:t xml:space="preserve"> Rogliani P, Calzetta L, Cavalli F et al. Pirfenidone, nintedanib and N-acetylcysteine for the treatment of idiopathic pulmonary fibrosis: A systematic review and meta-analysis. Pulmonary Pharmacology &amp; Therapeutics 40(2016): 95-103.</w:t>
      </w:r>
    </w:p>
  </w:footnote>
  <w:footnote w:id="4">
    <w:p w:rsidR="000F3650" w:rsidRPr="00A7311F" w:rsidRDefault="000F3650" w:rsidP="00A7311F">
      <w:pPr>
        <w:pStyle w:val="FootnoteText"/>
        <w:rPr>
          <w:rFonts w:ascii="Arial Narrow" w:hAnsi="Arial Narrow"/>
        </w:rPr>
      </w:pPr>
      <w:r w:rsidRPr="00A7311F">
        <w:rPr>
          <w:rStyle w:val="FootnoteReference"/>
          <w:rFonts w:ascii="Arial Narrow" w:hAnsi="Arial Narrow"/>
        </w:rPr>
        <w:footnoteRef/>
      </w:r>
      <w:r w:rsidRPr="00A7311F">
        <w:rPr>
          <w:rFonts w:ascii="Arial Narrow" w:hAnsi="Arial Narrow"/>
        </w:rPr>
        <w:t xml:space="preserve"> </w:t>
      </w:r>
      <w:r w:rsidRPr="0077722E">
        <w:rPr>
          <w:rFonts w:ascii="Arial Narrow" w:hAnsi="Arial Narrow"/>
          <w:i/>
        </w:rPr>
        <w:t>An Official ATS/ERS/JRS/ALAT Clinical Practice Guideline: Treatment of Idiopathic Pulmonary Fibrosis. An Update of the 2011 Clinical Practice Guideline.</w:t>
      </w:r>
      <w:r w:rsidRPr="00A7311F">
        <w:rPr>
          <w:rFonts w:ascii="Arial Narrow" w:hAnsi="Arial Narrow"/>
        </w:rPr>
        <w:t xml:space="preserve"> Raghu et al. April 2015. </w:t>
      </w:r>
      <w:r w:rsidRPr="00401CB6">
        <w:rPr>
          <w:rFonts w:ascii="Arial Narrow" w:hAnsi="Arial Narrow"/>
        </w:rPr>
        <w:t>https://www.thoracic.org/statements/resources/interstitial-lung-disease/IPF-Full-length.pdf</w:t>
      </w:r>
      <w:r>
        <w:rPr>
          <w:rFonts w:ascii="Arial Narrow" w:hAnsi="Arial Narro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069412"/>
      <w:docPartObj>
        <w:docPartGallery w:val="Page Numbers (Top of Page)"/>
        <w:docPartUnique/>
      </w:docPartObj>
    </w:sdtPr>
    <w:sdtEndPr>
      <w:rPr>
        <w:i/>
        <w:color w:val="D9D9D9" w:themeColor="background1" w:themeShade="D9"/>
      </w:rPr>
    </w:sdtEndPr>
    <w:sdtContent>
      <w:p w:rsidR="000F3650" w:rsidRDefault="000F3650" w:rsidP="00730B13">
        <w:pPr>
          <w:tabs>
            <w:tab w:val="left" w:pos="142"/>
            <w:tab w:val="right" w:pos="9026"/>
          </w:tabs>
          <w:jc w:val="center"/>
          <w:rPr>
            <w:i/>
            <w:color w:val="D9D9D9" w:themeColor="background1" w:themeShade="D9"/>
          </w:rPr>
        </w:pPr>
        <w:r w:rsidRPr="001D090B">
          <w:rPr>
            <w:i/>
            <w:color w:val="D9D9D9" w:themeColor="background1" w:themeShade="D9"/>
          </w:rPr>
          <w:t>Public Summary Document</w:t>
        </w:r>
        <w:r>
          <w:rPr>
            <w:i/>
            <w:color w:val="D9D9D9" w:themeColor="background1" w:themeShade="D9"/>
          </w:rPr>
          <w:t xml:space="preserve"> – November 2016 PBAC Meeting</w:t>
        </w:r>
      </w:p>
      <w:p w:rsidR="000F3650" w:rsidRPr="008C7ECB" w:rsidRDefault="000F3650" w:rsidP="001D090B">
        <w:pPr>
          <w:tabs>
            <w:tab w:val="left" w:pos="142"/>
            <w:tab w:val="right" w:pos="9026"/>
          </w:tabs>
          <w:jc w:val="center"/>
        </w:pPr>
        <w:r>
          <w:rPr>
            <w:i/>
            <w:color w:val="D9D9D9" w:themeColor="background1" w:themeShade="D9"/>
          </w:rPr>
          <w:tab/>
          <w:t xml:space="preserve">   </w:t>
        </w:r>
        <w:r w:rsidRPr="00730B13">
          <w:rPr>
            <w:i/>
            <w:color w:val="D9D9D9" w:themeColor="background1" w:themeShade="D9"/>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445"/>
    <w:multiLevelType w:val="hybridMultilevel"/>
    <w:tmpl w:val="5770F9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2C651AF"/>
    <w:multiLevelType w:val="hybridMultilevel"/>
    <w:tmpl w:val="21869C5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263C076B"/>
    <w:multiLevelType w:val="hybridMultilevel"/>
    <w:tmpl w:val="8C1235B8"/>
    <w:lvl w:ilvl="0" w:tplc="B5E6BD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7E7C16"/>
    <w:multiLevelType w:val="hybridMultilevel"/>
    <w:tmpl w:val="21869C5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2B132D6B"/>
    <w:multiLevelType w:val="hybridMultilevel"/>
    <w:tmpl w:val="21869C5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355F4A5B"/>
    <w:multiLevelType w:val="multilevel"/>
    <w:tmpl w:val="2EAAB67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66011D7"/>
    <w:multiLevelType w:val="hybridMultilevel"/>
    <w:tmpl w:val="18FCBEDC"/>
    <w:lvl w:ilvl="0" w:tplc="B5E6BD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9332AB"/>
    <w:multiLevelType w:val="hybridMultilevel"/>
    <w:tmpl w:val="E108928A"/>
    <w:lvl w:ilvl="0" w:tplc="B5E6BD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583F2C"/>
    <w:multiLevelType w:val="hybridMultilevel"/>
    <w:tmpl w:val="C764E1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338278D"/>
    <w:multiLevelType w:val="hybridMultilevel"/>
    <w:tmpl w:val="31FAC2E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41F5076"/>
    <w:multiLevelType w:val="hybridMultilevel"/>
    <w:tmpl w:val="58ECD44A"/>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65FA7AFD"/>
    <w:multiLevelType w:val="hybridMultilevel"/>
    <w:tmpl w:val="023E6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CEE2C7B"/>
    <w:multiLevelType w:val="hybridMultilevel"/>
    <w:tmpl w:val="52A61532"/>
    <w:lvl w:ilvl="0" w:tplc="85BE6774">
      <w:start w:val="1"/>
      <w:numFmt w:val="bullet"/>
      <w:lvlText w:val="•"/>
      <w:lvlJc w:val="left"/>
      <w:pPr>
        <w:tabs>
          <w:tab w:val="num" w:pos="720"/>
        </w:tabs>
        <w:ind w:left="720" w:hanging="360"/>
      </w:pPr>
      <w:rPr>
        <w:rFonts w:ascii="Arial" w:hAnsi="Arial" w:hint="default"/>
      </w:rPr>
    </w:lvl>
    <w:lvl w:ilvl="1" w:tplc="4EFEEA98" w:tentative="1">
      <w:start w:val="1"/>
      <w:numFmt w:val="bullet"/>
      <w:lvlText w:val="•"/>
      <w:lvlJc w:val="left"/>
      <w:pPr>
        <w:tabs>
          <w:tab w:val="num" w:pos="1440"/>
        </w:tabs>
        <w:ind w:left="1440" w:hanging="360"/>
      </w:pPr>
      <w:rPr>
        <w:rFonts w:ascii="Arial" w:hAnsi="Arial" w:hint="default"/>
      </w:rPr>
    </w:lvl>
    <w:lvl w:ilvl="2" w:tplc="8D72B480" w:tentative="1">
      <w:start w:val="1"/>
      <w:numFmt w:val="bullet"/>
      <w:lvlText w:val="•"/>
      <w:lvlJc w:val="left"/>
      <w:pPr>
        <w:tabs>
          <w:tab w:val="num" w:pos="2160"/>
        </w:tabs>
        <w:ind w:left="2160" w:hanging="360"/>
      </w:pPr>
      <w:rPr>
        <w:rFonts w:ascii="Arial" w:hAnsi="Arial" w:hint="default"/>
      </w:rPr>
    </w:lvl>
    <w:lvl w:ilvl="3" w:tplc="26B8DE78" w:tentative="1">
      <w:start w:val="1"/>
      <w:numFmt w:val="bullet"/>
      <w:lvlText w:val="•"/>
      <w:lvlJc w:val="left"/>
      <w:pPr>
        <w:tabs>
          <w:tab w:val="num" w:pos="2880"/>
        </w:tabs>
        <w:ind w:left="2880" w:hanging="360"/>
      </w:pPr>
      <w:rPr>
        <w:rFonts w:ascii="Arial" w:hAnsi="Arial" w:hint="default"/>
      </w:rPr>
    </w:lvl>
    <w:lvl w:ilvl="4" w:tplc="29447548" w:tentative="1">
      <w:start w:val="1"/>
      <w:numFmt w:val="bullet"/>
      <w:lvlText w:val="•"/>
      <w:lvlJc w:val="left"/>
      <w:pPr>
        <w:tabs>
          <w:tab w:val="num" w:pos="3600"/>
        </w:tabs>
        <w:ind w:left="3600" w:hanging="360"/>
      </w:pPr>
      <w:rPr>
        <w:rFonts w:ascii="Arial" w:hAnsi="Arial" w:hint="default"/>
      </w:rPr>
    </w:lvl>
    <w:lvl w:ilvl="5" w:tplc="EF8A4312" w:tentative="1">
      <w:start w:val="1"/>
      <w:numFmt w:val="bullet"/>
      <w:lvlText w:val="•"/>
      <w:lvlJc w:val="left"/>
      <w:pPr>
        <w:tabs>
          <w:tab w:val="num" w:pos="4320"/>
        </w:tabs>
        <w:ind w:left="4320" w:hanging="360"/>
      </w:pPr>
      <w:rPr>
        <w:rFonts w:ascii="Arial" w:hAnsi="Arial" w:hint="default"/>
      </w:rPr>
    </w:lvl>
    <w:lvl w:ilvl="6" w:tplc="87ECF6D2" w:tentative="1">
      <w:start w:val="1"/>
      <w:numFmt w:val="bullet"/>
      <w:lvlText w:val="•"/>
      <w:lvlJc w:val="left"/>
      <w:pPr>
        <w:tabs>
          <w:tab w:val="num" w:pos="5040"/>
        </w:tabs>
        <w:ind w:left="5040" w:hanging="360"/>
      </w:pPr>
      <w:rPr>
        <w:rFonts w:ascii="Arial" w:hAnsi="Arial" w:hint="default"/>
      </w:rPr>
    </w:lvl>
    <w:lvl w:ilvl="7" w:tplc="572EE760" w:tentative="1">
      <w:start w:val="1"/>
      <w:numFmt w:val="bullet"/>
      <w:lvlText w:val="•"/>
      <w:lvlJc w:val="left"/>
      <w:pPr>
        <w:tabs>
          <w:tab w:val="num" w:pos="5760"/>
        </w:tabs>
        <w:ind w:left="5760" w:hanging="360"/>
      </w:pPr>
      <w:rPr>
        <w:rFonts w:ascii="Arial" w:hAnsi="Arial" w:hint="default"/>
      </w:rPr>
    </w:lvl>
    <w:lvl w:ilvl="8" w:tplc="FA7E6EC6" w:tentative="1">
      <w:start w:val="1"/>
      <w:numFmt w:val="bullet"/>
      <w:lvlText w:val="•"/>
      <w:lvlJc w:val="left"/>
      <w:pPr>
        <w:tabs>
          <w:tab w:val="num" w:pos="6480"/>
        </w:tabs>
        <w:ind w:left="6480" w:hanging="360"/>
      </w:pPr>
      <w:rPr>
        <w:rFonts w:ascii="Arial" w:hAnsi="Arial" w:hint="default"/>
      </w:rPr>
    </w:lvl>
  </w:abstractNum>
  <w:abstractNum w:abstractNumId="14">
    <w:nsid w:val="7621338B"/>
    <w:multiLevelType w:val="hybridMultilevel"/>
    <w:tmpl w:val="0C8C9330"/>
    <w:lvl w:ilvl="0" w:tplc="F488CFD6">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7943606"/>
    <w:multiLevelType w:val="hybridMultilevel"/>
    <w:tmpl w:val="21869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84D033C"/>
    <w:multiLevelType w:val="multilevel"/>
    <w:tmpl w:val="15D2814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5"/>
  </w:num>
  <w:num w:numId="3">
    <w:abstractNumId w:val="4"/>
  </w:num>
  <w:num w:numId="4">
    <w:abstractNumId w:val="8"/>
  </w:num>
  <w:num w:numId="5">
    <w:abstractNumId w:val="12"/>
  </w:num>
  <w:num w:numId="6">
    <w:abstractNumId w:val="15"/>
  </w:num>
  <w:num w:numId="7">
    <w:abstractNumId w:val="9"/>
  </w:num>
  <w:num w:numId="8">
    <w:abstractNumId w:val="11"/>
  </w:num>
  <w:num w:numId="9">
    <w:abstractNumId w:val="10"/>
  </w:num>
  <w:num w:numId="10">
    <w:abstractNumId w:val="7"/>
  </w:num>
  <w:num w:numId="11">
    <w:abstractNumId w:val="2"/>
  </w:num>
  <w:num w:numId="12">
    <w:abstractNumId w:val="6"/>
  </w:num>
  <w:num w:numId="13">
    <w:abstractNumId w:val="13"/>
  </w:num>
  <w:num w:numId="14">
    <w:abstractNumId w:val="14"/>
  </w:num>
  <w:num w:numId="15">
    <w:abstractNumId w:val="1"/>
  </w:num>
  <w:num w:numId="16">
    <w:abstractNumId w:val="3"/>
  </w:num>
  <w:num w:numId="17">
    <w:abstractNumId w:val="0"/>
  </w:num>
  <w:num w:numId="18">
    <w:abstractNumId w:val="16"/>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5325"/>
    <w:rsid w:val="00005416"/>
    <w:rsid w:val="00005553"/>
    <w:rsid w:val="00005FD7"/>
    <w:rsid w:val="000063BC"/>
    <w:rsid w:val="0001012D"/>
    <w:rsid w:val="000101D7"/>
    <w:rsid w:val="00013247"/>
    <w:rsid w:val="00015886"/>
    <w:rsid w:val="000162EF"/>
    <w:rsid w:val="000205A5"/>
    <w:rsid w:val="0002113E"/>
    <w:rsid w:val="00021859"/>
    <w:rsid w:val="00021D30"/>
    <w:rsid w:val="0002225F"/>
    <w:rsid w:val="00023763"/>
    <w:rsid w:val="0002378E"/>
    <w:rsid w:val="00023E83"/>
    <w:rsid w:val="000249F0"/>
    <w:rsid w:val="00024A80"/>
    <w:rsid w:val="0002757B"/>
    <w:rsid w:val="00030290"/>
    <w:rsid w:val="00030BF7"/>
    <w:rsid w:val="000317F8"/>
    <w:rsid w:val="0003652C"/>
    <w:rsid w:val="00036898"/>
    <w:rsid w:val="00036A43"/>
    <w:rsid w:val="00036A4F"/>
    <w:rsid w:val="00040895"/>
    <w:rsid w:val="0004231D"/>
    <w:rsid w:val="00043C37"/>
    <w:rsid w:val="0004602F"/>
    <w:rsid w:val="000463A8"/>
    <w:rsid w:val="00051E46"/>
    <w:rsid w:val="00052FC7"/>
    <w:rsid w:val="0005372E"/>
    <w:rsid w:val="00054211"/>
    <w:rsid w:val="000546D7"/>
    <w:rsid w:val="000572C1"/>
    <w:rsid w:val="000576C0"/>
    <w:rsid w:val="0006040C"/>
    <w:rsid w:val="0006041A"/>
    <w:rsid w:val="00061507"/>
    <w:rsid w:val="000625C5"/>
    <w:rsid w:val="00062679"/>
    <w:rsid w:val="00062705"/>
    <w:rsid w:val="00066B5E"/>
    <w:rsid w:val="00071248"/>
    <w:rsid w:val="0007139D"/>
    <w:rsid w:val="00071FA0"/>
    <w:rsid w:val="00072035"/>
    <w:rsid w:val="000720B9"/>
    <w:rsid w:val="000721A3"/>
    <w:rsid w:val="000732D5"/>
    <w:rsid w:val="00074923"/>
    <w:rsid w:val="00075AF6"/>
    <w:rsid w:val="000761C0"/>
    <w:rsid w:val="00080E6C"/>
    <w:rsid w:val="000812CA"/>
    <w:rsid w:val="00081E8B"/>
    <w:rsid w:val="00082573"/>
    <w:rsid w:val="000828D7"/>
    <w:rsid w:val="00082DB4"/>
    <w:rsid w:val="00086209"/>
    <w:rsid w:val="00090C7E"/>
    <w:rsid w:val="00093139"/>
    <w:rsid w:val="000939D6"/>
    <w:rsid w:val="00094365"/>
    <w:rsid w:val="00094452"/>
    <w:rsid w:val="00097F2B"/>
    <w:rsid w:val="000A0914"/>
    <w:rsid w:val="000A314E"/>
    <w:rsid w:val="000A3B94"/>
    <w:rsid w:val="000A3FA2"/>
    <w:rsid w:val="000A571A"/>
    <w:rsid w:val="000A74E6"/>
    <w:rsid w:val="000A7680"/>
    <w:rsid w:val="000A7B22"/>
    <w:rsid w:val="000A7BAB"/>
    <w:rsid w:val="000B2362"/>
    <w:rsid w:val="000B3211"/>
    <w:rsid w:val="000B5079"/>
    <w:rsid w:val="000B7CFD"/>
    <w:rsid w:val="000C049E"/>
    <w:rsid w:val="000C10F2"/>
    <w:rsid w:val="000C2624"/>
    <w:rsid w:val="000C2B8E"/>
    <w:rsid w:val="000C459E"/>
    <w:rsid w:val="000C4FCC"/>
    <w:rsid w:val="000C71C3"/>
    <w:rsid w:val="000C71EC"/>
    <w:rsid w:val="000C7651"/>
    <w:rsid w:val="000D0A14"/>
    <w:rsid w:val="000D165D"/>
    <w:rsid w:val="000D1BFC"/>
    <w:rsid w:val="000D1DF9"/>
    <w:rsid w:val="000D37FD"/>
    <w:rsid w:val="000D4F03"/>
    <w:rsid w:val="000D4F9E"/>
    <w:rsid w:val="000D60D3"/>
    <w:rsid w:val="000D649E"/>
    <w:rsid w:val="000D6968"/>
    <w:rsid w:val="000E19F3"/>
    <w:rsid w:val="000E6920"/>
    <w:rsid w:val="000E6DAC"/>
    <w:rsid w:val="000E6DB6"/>
    <w:rsid w:val="000E7CB3"/>
    <w:rsid w:val="000F0370"/>
    <w:rsid w:val="000F1043"/>
    <w:rsid w:val="000F2397"/>
    <w:rsid w:val="000F2CAA"/>
    <w:rsid w:val="000F3650"/>
    <w:rsid w:val="000F48FB"/>
    <w:rsid w:val="000F4E85"/>
    <w:rsid w:val="000F5BDF"/>
    <w:rsid w:val="00100F8A"/>
    <w:rsid w:val="00101EF9"/>
    <w:rsid w:val="00102036"/>
    <w:rsid w:val="00102172"/>
    <w:rsid w:val="001028F8"/>
    <w:rsid w:val="0010388A"/>
    <w:rsid w:val="0010539C"/>
    <w:rsid w:val="00105763"/>
    <w:rsid w:val="00106307"/>
    <w:rsid w:val="001066AF"/>
    <w:rsid w:val="0011032E"/>
    <w:rsid w:val="00111460"/>
    <w:rsid w:val="001117F5"/>
    <w:rsid w:val="001118CE"/>
    <w:rsid w:val="00111CC5"/>
    <w:rsid w:val="00120152"/>
    <w:rsid w:val="00120222"/>
    <w:rsid w:val="0012140D"/>
    <w:rsid w:val="00121799"/>
    <w:rsid w:val="001222FC"/>
    <w:rsid w:val="00124A51"/>
    <w:rsid w:val="00125124"/>
    <w:rsid w:val="00126621"/>
    <w:rsid w:val="00127545"/>
    <w:rsid w:val="001301E9"/>
    <w:rsid w:val="001305FE"/>
    <w:rsid w:val="00132E0C"/>
    <w:rsid w:val="00134EED"/>
    <w:rsid w:val="001357C9"/>
    <w:rsid w:val="00137645"/>
    <w:rsid w:val="00137BDB"/>
    <w:rsid w:val="00140067"/>
    <w:rsid w:val="0014015A"/>
    <w:rsid w:val="00140E99"/>
    <w:rsid w:val="00142C51"/>
    <w:rsid w:val="0014391F"/>
    <w:rsid w:val="001439C3"/>
    <w:rsid w:val="00144B9C"/>
    <w:rsid w:val="001456B0"/>
    <w:rsid w:val="001524D4"/>
    <w:rsid w:val="00152F61"/>
    <w:rsid w:val="00153048"/>
    <w:rsid w:val="00154017"/>
    <w:rsid w:val="00154155"/>
    <w:rsid w:val="00154535"/>
    <w:rsid w:val="001549DA"/>
    <w:rsid w:val="00157071"/>
    <w:rsid w:val="00157130"/>
    <w:rsid w:val="001610AA"/>
    <w:rsid w:val="00161BC7"/>
    <w:rsid w:val="00162913"/>
    <w:rsid w:val="0016390C"/>
    <w:rsid w:val="00163EFF"/>
    <w:rsid w:val="001661FB"/>
    <w:rsid w:val="0016720B"/>
    <w:rsid w:val="00167F90"/>
    <w:rsid w:val="00170E90"/>
    <w:rsid w:val="00170F8B"/>
    <w:rsid w:val="00172AFA"/>
    <w:rsid w:val="0017444B"/>
    <w:rsid w:val="00175621"/>
    <w:rsid w:val="00180C5B"/>
    <w:rsid w:val="00182D22"/>
    <w:rsid w:val="00183E6F"/>
    <w:rsid w:val="00184381"/>
    <w:rsid w:val="0018544E"/>
    <w:rsid w:val="0018568D"/>
    <w:rsid w:val="0018590E"/>
    <w:rsid w:val="0018592E"/>
    <w:rsid w:val="001918BE"/>
    <w:rsid w:val="001931A6"/>
    <w:rsid w:val="00193CD0"/>
    <w:rsid w:val="00195222"/>
    <w:rsid w:val="0019579A"/>
    <w:rsid w:val="00195AC0"/>
    <w:rsid w:val="00195F3F"/>
    <w:rsid w:val="0019609D"/>
    <w:rsid w:val="001971A6"/>
    <w:rsid w:val="001975D8"/>
    <w:rsid w:val="001977FB"/>
    <w:rsid w:val="001A0DB1"/>
    <w:rsid w:val="001A3EAB"/>
    <w:rsid w:val="001A562C"/>
    <w:rsid w:val="001A5F79"/>
    <w:rsid w:val="001A6F14"/>
    <w:rsid w:val="001A7988"/>
    <w:rsid w:val="001B1910"/>
    <w:rsid w:val="001B2232"/>
    <w:rsid w:val="001B2D68"/>
    <w:rsid w:val="001B3443"/>
    <w:rsid w:val="001B46E1"/>
    <w:rsid w:val="001B5A66"/>
    <w:rsid w:val="001B6188"/>
    <w:rsid w:val="001B7355"/>
    <w:rsid w:val="001C0E77"/>
    <w:rsid w:val="001C1030"/>
    <w:rsid w:val="001C106A"/>
    <w:rsid w:val="001C2892"/>
    <w:rsid w:val="001C5A2F"/>
    <w:rsid w:val="001C6E66"/>
    <w:rsid w:val="001D090B"/>
    <w:rsid w:val="001D112E"/>
    <w:rsid w:val="001D18F2"/>
    <w:rsid w:val="001D27E4"/>
    <w:rsid w:val="001D48A1"/>
    <w:rsid w:val="001E023F"/>
    <w:rsid w:val="001E238E"/>
    <w:rsid w:val="001E24CD"/>
    <w:rsid w:val="001E265E"/>
    <w:rsid w:val="001E52EB"/>
    <w:rsid w:val="001E740C"/>
    <w:rsid w:val="001F0022"/>
    <w:rsid w:val="001F067B"/>
    <w:rsid w:val="001F1235"/>
    <w:rsid w:val="001F1CB3"/>
    <w:rsid w:val="001F7361"/>
    <w:rsid w:val="00200170"/>
    <w:rsid w:val="00201F3C"/>
    <w:rsid w:val="00202341"/>
    <w:rsid w:val="002025FE"/>
    <w:rsid w:val="0020741F"/>
    <w:rsid w:val="0020775A"/>
    <w:rsid w:val="00210082"/>
    <w:rsid w:val="002105C1"/>
    <w:rsid w:val="002115A5"/>
    <w:rsid w:val="002117D5"/>
    <w:rsid w:val="00212652"/>
    <w:rsid w:val="00213F44"/>
    <w:rsid w:val="00215802"/>
    <w:rsid w:val="002173CB"/>
    <w:rsid w:val="0021794E"/>
    <w:rsid w:val="00217ADD"/>
    <w:rsid w:val="002216B4"/>
    <w:rsid w:val="00222BC7"/>
    <w:rsid w:val="00223B49"/>
    <w:rsid w:val="00224DD4"/>
    <w:rsid w:val="00225EEB"/>
    <w:rsid w:val="00226ECC"/>
    <w:rsid w:val="00227FE1"/>
    <w:rsid w:val="002309CC"/>
    <w:rsid w:val="00231C96"/>
    <w:rsid w:val="00231C98"/>
    <w:rsid w:val="00233527"/>
    <w:rsid w:val="0023404E"/>
    <w:rsid w:val="00234B7F"/>
    <w:rsid w:val="0023752D"/>
    <w:rsid w:val="002414E0"/>
    <w:rsid w:val="00243E31"/>
    <w:rsid w:val="00245601"/>
    <w:rsid w:val="002456B0"/>
    <w:rsid w:val="00246C90"/>
    <w:rsid w:val="0024795A"/>
    <w:rsid w:val="002501D7"/>
    <w:rsid w:val="00250B54"/>
    <w:rsid w:val="00252219"/>
    <w:rsid w:val="0025534B"/>
    <w:rsid w:val="00255BB7"/>
    <w:rsid w:val="002570C5"/>
    <w:rsid w:val="0026087D"/>
    <w:rsid w:val="00261710"/>
    <w:rsid w:val="002629D4"/>
    <w:rsid w:val="00262A87"/>
    <w:rsid w:val="002633F1"/>
    <w:rsid w:val="00263651"/>
    <w:rsid w:val="00263C37"/>
    <w:rsid w:val="002714C9"/>
    <w:rsid w:val="00271812"/>
    <w:rsid w:val="00272D25"/>
    <w:rsid w:val="00272DFF"/>
    <w:rsid w:val="002742BF"/>
    <w:rsid w:val="00275C5A"/>
    <w:rsid w:val="002763F1"/>
    <w:rsid w:val="00277AC5"/>
    <w:rsid w:val="0028040C"/>
    <w:rsid w:val="00280F18"/>
    <w:rsid w:val="002865E4"/>
    <w:rsid w:val="00286A54"/>
    <w:rsid w:val="00286D60"/>
    <w:rsid w:val="00291194"/>
    <w:rsid w:val="00293D3D"/>
    <w:rsid w:val="00295B50"/>
    <w:rsid w:val="002A13F5"/>
    <w:rsid w:val="002A14AB"/>
    <w:rsid w:val="002A1D22"/>
    <w:rsid w:val="002A4113"/>
    <w:rsid w:val="002A5724"/>
    <w:rsid w:val="002A584E"/>
    <w:rsid w:val="002A69A2"/>
    <w:rsid w:val="002A78FC"/>
    <w:rsid w:val="002B162F"/>
    <w:rsid w:val="002B1C1F"/>
    <w:rsid w:val="002B1E35"/>
    <w:rsid w:val="002B432F"/>
    <w:rsid w:val="002B45F4"/>
    <w:rsid w:val="002B4ED3"/>
    <w:rsid w:val="002B5041"/>
    <w:rsid w:val="002B619E"/>
    <w:rsid w:val="002B6CCE"/>
    <w:rsid w:val="002C1359"/>
    <w:rsid w:val="002C1B20"/>
    <w:rsid w:val="002C212E"/>
    <w:rsid w:val="002C27C1"/>
    <w:rsid w:val="002C5D96"/>
    <w:rsid w:val="002D0F62"/>
    <w:rsid w:val="002D20C1"/>
    <w:rsid w:val="002D2D03"/>
    <w:rsid w:val="002D3688"/>
    <w:rsid w:val="002D402B"/>
    <w:rsid w:val="002D4745"/>
    <w:rsid w:val="002D7122"/>
    <w:rsid w:val="002D7603"/>
    <w:rsid w:val="002D7F2C"/>
    <w:rsid w:val="002E0D12"/>
    <w:rsid w:val="002E18C6"/>
    <w:rsid w:val="002E1F71"/>
    <w:rsid w:val="002E1FC6"/>
    <w:rsid w:val="002E3A37"/>
    <w:rsid w:val="002E435F"/>
    <w:rsid w:val="002E4662"/>
    <w:rsid w:val="002E540F"/>
    <w:rsid w:val="002E7231"/>
    <w:rsid w:val="002F0FCB"/>
    <w:rsid w:val="002F4158"/>
    <w:rsid w:val="002F45FB"/>
    <w:rsid w:val="002F6A00"/>
    <w:rsid w:val="00300C26"/>
    <w:rsid w:val="00301017"/>
    <w:rsid w:val="0030178D"/>
    <w:rsid w:val="00301988"/>
    <w:rsid w:val="0030199B"/>
    <w:rsid w:val="0030255A"/>
    <w:rsid w:val="00303FE9"/>
    <w:rsid w:val="003042F1"/>
    <w:rsid w:val="00304944"/>
    <w:rsid w:val="0030498F"/>
    <w:rsid w:val="00304D4D"/>
    <w:rsid w:val="003056A5"/>
    <w:rsid w:val="0030786C"/>
    <w:rsid w:val="0031031A"/>
    <w:rsid w:val="0031233D"/>
    <w:rsid w:val="003138B0"/>
    <w:rsid w:val="00315498"/>
    <w:rsid w:val="003161A8"/>
    <w:rsid w:val="0031680F"/>
    <w:rsid w:val="00316F25"/>
    <w:rsid w:val="00320521"/>
    <w:rsid w:val="003207AD"/>
    <w:rsid w:val="00320A65"/>
    <w:rsid w:val="003210DD"/>
    <w:rsid w:val="003219E6"/>
    <w:rsid w:val="00323A4C"/>
    <w:rsid w:val="00323E9A"/>
    <w:rsid w:val="003247A8"/>
    <w:rsid w:val="003256D5"/>
    <w:rsid w:val="003264F6"/>
    <w:rsid w:val="00326DFF"/>
    <w:rsid w:val="003316F0"/>
    <w:rsid w:val="00334AC9"/>
    <w:rsid w:val="00334E62"/>
    <w:rsid w:val="00335E50"/>
    <w:rsid w:val="003366C9"/>
    <w:rsid w:val="00337BC4"/>
    <w:rsid w:val="003415B9"/>
    <w:rsid w:val="0034187D"/>
    <w:rsid w:val="00343A7F"/>
    <w:rsid w:val="00344FD1"/>
    <w:rsid w:val="003473C3"/>
    <w:rsid w:val="0034751E"/>
    <w:rsid w:val="003525FA"/>
    <w:rsid w:val="00353040"/>
    <w:rsid w:val="003556EA"/>
    <w:rsid w:val="00355CBA"/>
    <w:rsid w:val="0035620E"/>
    <w:rsid w:val="00356775"/>
    <w:rsid w:val="00360D94"/>
    <w:rsid w:val="00361467"/>
    <w:rsid w:val="00362649"/>
    <w:rsid w:val="00366428"/>
    <w:rsid w:val="00371F82"/>
    <w:rsid w:val="0037464D"/>
    <w:rsid w:val="00376159"/>
    <w:rsid w:val="00376356"/>
    <w:rsid w:val="0038192C"/>
    <w:rsid w:val="0038365C"/>
    <w:rsid w:val="00384CB0"/>
    <w:rsid w:val="00384E4B"/>
    <w:rsid w:val="00384E97"/>
    <w:rsid w:val="00385FDF"/>
    <w:rsid w:val="0038696E"/>
    <w:rsid w:val="00390D4F"/>
    <w:rsid w:val="00390E70"/>
    <w:rsid w:val="00391179"/>
    <w:rsid w:val="003926EB"/>
    <w:rsid w:val="003935E5"/>
    <w:rsid w:val="00393F75"/>
    <w:rsid w:val="003940C4"/>
    <w:rsid w:val="003940FA"/>
    <w:rsid w:val="00395ECD"/>
    <w:rsid w:val="00396FD0"/>
    <w:rsid w:val="00397D2A"/>
    <w:rsid w:val="003A023E"/>
    <w:rsid w:val="003A0CBB"/>
    <w:rsid w:val="003A0EAA"/>
    <w:rsid w:val="003A14AF"/>
    <w:rsid w:val="003A1A7A"/>
    <w:rsid w:val="003A2C74"/>
    <w:rsid w:val="003A3E2E"/>
    <w:rsid w:val="003A43F4"/>
    <w:rsid w:val="003A6401"/>
    <w:rsid w:val="003A7132"/>
    <w:rsid w:val="003A7171"/>
    <w:rsid w:val="003A7AF2"/>
    <w:rsid w:val="003B023D"/>
    <w:rsid w:val="003B0765"/>
    <w:rsid w:val="003B1078"/>
    <w:rsid w:val="003B14BF"/>
    <w:rsid w:val="003B1D44"/>
    <w:rsid w:val="003B2E67"/>
    <w:rsid w:val="003B3717"/>
    <w:rsid w:val="003B3745"/>
    <w:rsid w:val="003B5566"/>
    <w:rsid w:val="003B5D9F"/>
    <w:rsid w:val="003B6EAB"/>
    <w:rsid w:val="003B7065"/>
    <w:rsid w:val="003C0B1D"/>
    <w:rsid w:val="003C1249"/>
    <w:rsid w:val="003C232F"/>
    <w:rsid w:val="003C2703"/>
    <w:rsid w:val="003C29AE"/>
    <w:rsid w:val="003C377E"/>
    <w:rsid w:val="003C5304"/>
    <w:rsid w:val="003C598A"/>
    <w:rsid w:val="003C5DEF"/>
    <w:rsid w:val="003D1828"/>
    <w:rsid w:val="003D2422"/>
    <w:rsid w:val="003D34D8"/>
    <w:rsid w:val="003D3E74"/>
    <w:rsid w:val="003D4CFD"/>
    <w:rsid w:val="003D4F1C"/>
    <w:rsid w:val="003E1199"/>
    <w:rsid w:val="003E1B06"/>
    <w:rsid w:val="003E26ED"/>
    <w:rsid w:val="003E3720"/>
    <w:rsid w:val="003E60DF"/>
    <w:rsid w:val="003E79C9"/>
    <w:rsid w:val="003E7CE3"/>
    <w:rsid w:val="003F0B47"/>
    <w:rsid w:val="003F107B"/>
    <w:rsid w:val="003F27BA"/>
    <w:rsid w:val="003F296D"/>
    <w:rsid w:val="003F4156"/>
    <w:rsid w:val="003F5355"/>
    <w:rsid w:val="003F5BBE"/>
    <w:rsid w:val="003F67FA"/>
    <w:rsid w:val="003F6965"/>
    <w:rsid w:val="003F69A1"/>
    <w:rsid w:val="003F6AE4"/>
    <w:rsid w:val="003F713C"/>
    <w:rsid w:val="00400028"/>
    <w:rsid w:val="00401310"/>
    <w:rsid w:val="00401CB6"/>
    <w:rsid w:val="00401F82"/>
    <w:rsid w:val="00402621"/>
    <w:rsid w:val="004047D7"/>
    <w:rsid w:val="004052C3"/>
    <w:rsid w:val="004102AF"/>
    <w:rsid w:val="00410880"/>
    <w:rsid w:val="00410EC7"/>
    <w:rsid w:val="00410EE5"/>
    <w:rsid w:val="00411046"/>
    <w:rsid w:val="00411A1A"/>
    <w:rsid w:val="00414476"/>
    <w:rsid w:val="0041713F"/>
    <w:rsid w:val="0041733A"/>
    <w:rsid w:val="00420B9F"/>
    <w:rsid w:val="00420FED"/>
    <w:rsid w:val="004232BF"/>
    <w:rsid w:val="00425CB2"/>
    <w:rsid w:val="004319F8"/>
    <w:rsid w:val="00432502"/>
    <w:rsid w:val="004329E1"/>
    <w:rsid w:val="00432D10"/>
    <w:rsid w:val="00432FB7"/>
    <w:rsid w:val="0043342E"/>
    <w:rsid w:val="004343CF"/>
    <w:rsid w:val="004345FD"/>
    <w:rsid w:val="00434D23"/>
    <w:rsid w:val="004400C5"/>
    <w:rsid w:val="0044145D"/>
    <w:rsid w:val="00443CA2"/>
    <w:rsid w:val="004443A7"/>
    <w:rsid w:val="00445006"/>
    <w:rsid w:val="004454B8"/>
    <w:rsid w:val="004464EB"/>
    <w:rsid w:val="00451739"/>
    <w:rsid w:val="0045227F"/>
    <w:rsid w:val="00454055"/>
    <w:rsid w:val="0045467F"/>
    <w:rsid w:val="00455D45"/>
    <w:rsid w:val="00456CEE"/>
    <w:rsid w:val="00456F36"/>
    <w:rsid w:val="00460128"/>
    <w:rsid w:val="00460849"/>
    <w:rsid w:val="004630B2"/>
    <w:rsid w:val="0046340F"/>
    <w:rsid w:val="00464595"/>
    <w:rsid w:val="00465869"/>
    <w:rsid w:val="00466604"/>
    <w:rsid w:val="00466705"/>
    <w:rsid w:val="004667A1"/>
    <w:rsid w:val="00466DCB"/>
    <w:rsid w:val="004671CE"/>
    <w:rsid w:val="00467C17"/>
    <w:rsid w:val="00471F6D"/>
    <w:rsid w:val="00472359"/>
    <w:rsid w:val="00472FE4"/>
    <w:rsid w:val="00473233"/>
    <w:rsid w:val="00473ACE"/>
    <w:rsid w:val="0047456A"/>
    <w:rsid w:val="0047735E"/>
    <w:rsid w:val="0048038B"/>
    <w:rsid w:val="0048040E"/>
    <w:rsid w:val="004867E2"/>
    <w:rsid w:val="004900BB"/>
    <w:rsid w:val="00490A83"/>
    <w:rsid w:val="00490AE6"/>
    <w:rsid w:val="004910C1"/>
    <w:rsid w:val="00491B3A"/>
    <w:rsid w:val="00491D7D"/>
    <w:rsid w:val="00493AB6"/>
    <w:rsid w:val="00493C3B"/>
    <w:rsid w:val="004950C8"/>
    <w:rsid w:val="004967BC"/>
    <w:rsid w:val="004975DD"/>
    <w:rsid w:val="00497F10"/>
    <w:rsid w:val="004A0DA1"/>
    <w:rsid w:val="004A1689"/>
    <w:rsid w:val="004A2934"/>
    <w:rsid w:val="004A2C46"/>
    <w:rsid w:val="004A63BA"/>
    <w:rsid w:val="004A6597"/>
    <w:rsid w:val="004A7338"/>
    <w:rsid w:val="004A7F13"/>
    <w:rsid w:val="004B0485"/>
    <w:rsid w:val="004B2ED7"/>
    <w:rsid w:val="004B2F18"/>
    <w:rsid w:val="004B3875"/>
    <w:rsid w:val="004B3DDB"/>
    <w:rsid w:val="004B44FD"/>
    <w:rsid w:val="004B4BEF"/>
    <w:rsid w:val="004B5CFC"/>
    <w:rsid w:val="004B77FE"/>
    <w:rsid w:val="004C0178"/>
    <w:rsid w:val="004C1865"/>
    <w:rsid w:val="004C2798"/>
    <w:rsid w:val="004C4AED"/>
    <w:rsid w:val="004C5D36"/>
    <w:rsid w:val="004C6546"/>
    <w:rsid w:val="004C6E69"/>
    <w:rsid w:val="004C71BF"/>
    <w:rsid w:val="004C7EC1"/>
    <w:rsid w:val="004D145A"/>
    <w:rsid w:val="004D64B5"/>
    <w:rsid w:val="004D768D"/>
    <w:rsid w:val="004E0424"/>
    <w:rsid w:val="004E0EB8"/>
    <w:rsid w:val="004E18E7"/>
    <w:rsid w:val="004E2145"/>
    <w:rsid w:val="004E238B"/>
    <w:rsid w:val="004E24C8"/>
    <w:rsid w:val="004E2ADC"/>
    <w:rsid w:val="004E51FA"/>
    <w:rsid w:val="004F093C"/>
    <w:rsid w:val="004F0D87"/>
    <w:rsid w:val="004F1D02"/>
    <w:rsid w:val="004F2679"/>
    <w:rsid w:val="004F3147"/>
    <w:rsid w:val="004F32A7"/>
    <w:rsid w:val="004F44B1"/>
    <w:rsid w:val="004F4980"/>
    <w:rsid w:val="004F5C59"/>
    <w:rsid w:val="004F6B3E"/>
    <w:rsid w:val="005003D6"/>
    <w:rsid w:val="00500671"/>
    <w:rsid w:val="005006D6"/>
    <w:rsid w:val="00500800"/>
    <w:rsid w:val="00501C40"/>
    <w:rsid w:val="005020D6"/>
    <w:rsid w:val="00502B13"/>
    <w:rsid w:val="00503055"/>
    <w:rsid w:val="00504149"/>
    <w:rsid w:val="005054CE"/>
    <w:rsid w:val="00506C64"/>
    <w:rsid w:val="00506E16"/>
    <w:rsid w:val="0050733B"/>
    <w:rsid w:val="00510A7F"/>
    <w:rsid w:val="00511273"/>
    <w:rsid w:val="0051435E"/>
    <w:rsid w:val="005144F0"/>
    <w:rsid w:val="0051467E"/>
    <w:rsid w:val="00514CAF"/>
    <w:rsid w:val="005152B5"/>
    <w:rsid w:val="005169B1"/>
    <w:rsid w:val="00520C3C"/>
    <w:rsid w:val="00520EBA"/>
    <w:rsid w:val="00521319"/>
    <w:rsid w:val="00523538"/>
    <w:rsid w:val="005238DC"/>
    <w:rsid w:val="00523C28"/>
    <w:rsid w:val="00524550"/>
    <w:rsid w:val="00525ECF"/>
    <w:rsid w:val="00526281"/>
    <w:rsid w:val="00526347"/>
    <w:rsid w:val="00527691"/>
    <w:rsid w:val="00527C30"/>
    <w:rsid w:val="00535137"/>
    <w:rsid w:val="00535869"/>
    <w:rsid w:val="00535B6B"/>
    <w:rsid w:val="00536DB7"/>
    <w:rsid w:val="00543196"/>
    <w:rsid w:val="005452EF"/>
    <w:rsid w:val="00547FB0"/>
    <w:rsid w:val="00552966"/>
    <w:rsid w:val="005529DC"/>
    <w:rsid w:val="00552BDA"/>
    <w:rsid w:val="00555109"/>
    <w:rsid w:val="00556E9C"/>
    <w:rsid w:val="005605CB"/>
    <w:rsid w:val="0056276A"/>
    <w:rsid w:val="005633A3"/>
    <w:rsid w:val="0056388E"/>
    <w:rsid w:val="005638B6"/>
    <w:rsid w:val="0056661F"/>
    <w:rsid w:val="0056696F"/>
    <w:rsid w:val="00570385"/>
    <w:rsid w:val="0057315D"/>
    <w:rsid w:val="00573643"/>
    <w:rsid w:val="005765E7"/>
    <w:rsid w:val="00576972"/>
    <w:rsid w:val="005771F9"/>
    <w:rsid w:val="00577717"/>
    <w:rsid w:val="005801E9"/>
    <w:rsid w:val="00581128"/>
    <w:rsid w:val="00581CA1"/>
    <w:rsid w:val="00582E1F"/>
    <w:rsid w:val="00583699"/>
    <w:rsid w:val="005842F9"/>
    <w:rsid w:val="00585654"/>
    <w:rsid w:val="0058698F"/>
    <w:rsid w:val="00596D40"/>
    <w:rsid w:val="00597C20"/>
    <w:rsid w:val="005A2C35"/>
    <w:rsid w:val="005A41E9"/>
    <w:rsid w:val="005A55EA"/>
    <w:rsid w:val="005A7AB2"/>
    <w:rsid w:val="005B157E"/>
    <w:rsid w:val="005B25FB"/>
    <w:rsid w:val="005B2A41"/>
    <w:rsid w:val="005B2B8B"/>
    <w:rsid w:val="005B325B"/>
    <w:rsid w:val="005B3B0B"/>
    <w:rsid w:val="005B4692"/>
    <w:rsid w:val="005B473D"/>
    <w:rsid w:val="005B4A34"/>
    <w:rsid w:val="005B5857"/>
    <w:rsid w:val="005B7D15"/>
    <w:rsid w:val="005C1B83"/>
    <w:rsid w:val="005C2C26"/>
    <w:rsid w:val="005C346B"/>
    <w:rsid w:val="005C4D46"/>
    <w:rsid w:val="005C6A64"/>
    <w:rsid w:val="005D0A30"/>
    <w:rsid w:val="005D0F3E"/>
    <w:rsid w:val="005D18AD"/>
    <w:rsid w:val="005D25F1"/>
    <w:rsid w:val="005D3710"/>
    <w:rsid w:val="005D43AB"/>
    <w:rsid w:val="005D56DD"/>
    <w:rsid w:val="005D6F77"/>
    <w:rsid w:val="005D7CD1"/>
    <w:rsid w:val="005D7E3E"/>
    <w:rsid w:val="005E0DCD"/>
    <w:rsid w:val="005E0E42"/>
    <w:rsid w:val="005E20D0"/>
    <w:rsid w:val="005E314B"/>
    <w:rsid w:val="005E3C71"/>
    <w:rsid w:val="005E3D19"/>
    <w:rsid w:val="005E5464"/>
    <w:rsid w:val="005E6482"/>
    <w:rsid w:val="005E6B0F"/>
    <w:rsid w:val="005E7B14"/>
    <w:rsid w:val="005F136B"/>
    <w:rsid w:val="005F2706"/>
    <w:rsid w:val="005F31F0"/>
    <w:rsid w:val="005F3A39"/>
    <w:rsid w:val="005F4220"/>
    <w:rsid w:val="005F47EA"/>
    <w:rsid w:val="005F4983"/>
    <w:rsid w:val="005F5955"/>
    <w:rsid w:val="005F6743"/>
    <w:rsid w:val="005F6A8F"/>
    <w:rsid w:val="005F6D24"/>
    <w:rsid w:val="005F7700"/>
    <w:rsid w:val="00600F51"/>
    <w:rsid w:val="00603D04"/>
    <w:rsid w:val="006056F9"/>
    <w:rsid w:val="00606113"/>
    <w:rsid w:val="00607669"/>
    <w:rsid w:val="00607C95"/>
    <w:rsid w:val="00611EED"/>
    <w:rsid w:val="006120B5"/>
    <w:rsid w:val="00612F97"/>
    <w:rsid w:val="00614D09"/>
    <w:rsid w:val="00615409"/>
    <w:rsid w:val="00615B39"/>
    <w:rsid w:val="00616802"/>
    <w:rsid w:val="00616BDA"/>
    <w:rsid w:val="00617A8B"/>
    <w:rsid w:val="00617E12"/>
    <w:rsid w:val="006200B4"/>
    <w:rsid w:val="00621477"/>
    <w:rsid w:val="00621773"/>
    <w:rsid w:val="00624399"/>
    <w:rsid w:val="00624CFC"/>
    <w:rsid w:val="006266B8"/>
    <w:rsid w:val="0062682C"/>
    <w:rsid w:val="006275B9"/>
    <w:rsid w:val="00627AD3"/>
    <w:rsid w:val="006318C8"/>
    <w:rsid w:val="00631D6B"/>
    <w:rsid w:val="0063369D"/>
    <w:rsid w:val="006342A6"/>
    <w:rsid w:val="0063479F"/>
    <w:rsid w:val="00635903"/>
    <w:rsid w:val="006361A8"/>
    <w:rsid w:val="006364A1"/>
    <w:rsid w:val="00637BFD"/>
    <w:rsid w:val="006419C2"/>
    <w:rsid w:val="006436DB"/>
    <w:rsid w:val="00643F38"/>
    <w:rsid w:val="0064467D"/>
    <w:rsid w:val="006471CC"/>
    <w:rsid w:val="0065079F"/>
    <w:rsid w:val="00650D6D"/>
    <w:rsid w:val="00651752"/>
    <w:rsid w:val="00651C1F"/>
    <w:rsid w:val="0065278B"/>
    <w:rsid w:val="00652BBF"/>
    <w:rsid w:val="00652C32"/>
    <w:rsid w:val="006532C9"/>
    <w:rsid w:val="0065346C"/>
    <w:rsid w:val="0065676D"/>
    <w:rsid w:val="00657337"/>
    <w:rsid w:val="00661C45"/>
    <w:rsid w:val="006634E6"/>
    <w:rsid w:val="006637FA"/>
    <w:rsid w:val="006640B4"/>
    <w:rsid w:val="00664AF6"/>
    <w:rsid w:val="00665235"/>
    <w:rsid w:val="00667B97"/>
    <w:rsid w:val="0067035A"/>
    <w:rsid w:val="00670D5D"/>
    <w:rsid w:val="00671E3F"/>
    <w:rsid w:val="00674E42"/>
    <w:rsid w:val="00677DE5"/>
    <w:rsid w:val="00680A2F"/>
    <w:rsid w:val="00681189"/>
    <w:rsid w:val="00682112"/>
    <w:rsid w:val="00683CF3"/>
    <w:rsid w:val="00683F3B"/>
    <w:rsid w:val="00684BBA"/>
    <w:rsid w:val="0069088F"/>
    <w:rsid w:val="00690912"/>
    <w:rsid w:val="00694F44"/>
    <w:rsid w:val="00695B09"/>
    <w:rsid w:val="00695B9A"/>
    <w:rsid w:val="00695D46"/>
    <w:rsid w:val="006966ED"/>
    <w:rsid w:val="0069687A"/>
    <w:rsid w:val="00696F4E"/>
    <w:rsid w:val="00697BDB"/>
    <w:rsid w:val="006A0DBA"/>
    <w:rsid w:val="006A14FC"/>
    <w:rsid w:val="006A3C00"/>
    <w:rsid w:val="006A4304"/>
    <w:rsid w:val="006A4481"/>
    <w:rsid w:val="006A515F"/>
    <w:rsid w:val="006A7C4F"/>
    <w:rsid w:val="006A7CFC"/>
    <w:rsid w:val="006B020A"/>
    <w:rsid w:val="006B13F4"/>
    <w:rsid w:val="006B4DAE"/>
    <w:rsid w:val="006B67F9"/>
    <w:rsid w:val="006B6B6A"/>
    <w:rsid w:val="006B6BF5"/>
    <w:rsid w:val="006C0040"/>
    <w:rsid w:val="006C14EB"/>
    <w:rsid w:val="006C2299"/>
    <w:rsid w:val="006C2A8E"/>
    <w:rsid w:val="006C40AC"/>
    <w:rsid w:val="006C4992"/>
    <w:rsid w:val="006C58D6"/>
    <w:rsid w:val="006C6447"/>
    <w:rsid w:val="006C6835"/>
    <w:rsid w:val="006D118C"/>
    <w:rsid w:val="006D2CD3"/>
    <w:rsid w:val="006D2F94"/>
    <w:rsid w:val="006D36D2"/>
    <w:rsid w:val="006D3C7D"/>
    <w:rsid w:val="006D430B"/>
    <w:rsid w:val="006D4DE1"/>
    <w:rsid w:val="006D56DE"/>
    <w:rsid w:val="006D5768"/>
    <w:rsid w:val="006D67AD"/>
    <w:rsid w:val="006D6BF4"/>
    <w:rsid w:val="006D7B39"/>
    <w:rsid w:val="006E3105"/>
    <w:rsid w:val="006E79F8"/>
    <w:rsid w:val="006F1A1D"/>
    <w:rsid w:val="006F1CE9"/>
    <w:rsid w:val="006F40A3"/>
    <w:rsid w:val="006F56D9"/>
    <w:rsid w:val="006F63A5"/>
    <w:rsid w:val="006F6536"/>
    <w:rsid w:val="006F7396"/>
    <w:rsid w:val="006F77A4"/>
    <w:rsid w:val="0070276E"/>
    <w:rsid w:val="00703326"/>
    <w:rsid w:val="00703EA1"/>
    <w:rsid w:val="0070783B"/>
    <w:rsid w:val="00707CE4"/>
    <w:rsid w:val="007119F9"/>
    <w:rsid w:val="00711A36"/>
    <w:rsid w:val="00712B08"/>
    <w:rsid w:val="00715318"/>
    <w:rsid w:val="00716C84"/>
    <w:rsid w:val="007172AD"/>
    <w:rsid w:val="00717BB1"/>
    <w:rsid w:val="00720573"/>
    <w:rsid w:val="007225B5"/>
    <w:rsid w:val="00722D50"/>
    <w:rsid w:val="00723CBA"/>
    <w:rsid w:val="007265FB"/>
    <w:rsid w:val="00730B13"/>
    <w:rsid w:val="00730CA9"/>
    <w:rsid w:val="00731058"/>
    <w:rsid w:val="00733A6B"/>
    <w:rsid w:val="00734B4D"/>
    <w:rsid w:val="00734F4B"/>
    <w:rsid w:val="00735328"/>
    <w:rsid w:val="007355FD"/>
    <w:rsid w:val="0073605B"/>
    <w:rsid w:val="0073685B"/>
    <w:rsid w:val="007419C7"/>
    <w:rsid w:val="00743F05"/>
    <w:rsid w:val="007442A0"/>
    <w:rsid w:val="00744595"/>
    <w:rsid w:val="007453E5"/>
    <w:rsid w:val="00746A5E"/>
    <w:rsid w:val="007474AD"/>
    <w:rsid w:val="00747BE4"/>
    <w:rsid w:val="00750A09"/>
    <w:rsid w:val="00750ABD"/>
    <w:rsid w:val="00751406"/>
    <w:rsid w:val="007532EB"/>
    <w:rsid w:val="007541CC"/>
    <w:rsid w:val="007547EB"/>
    <w:rsid w:val="007559D4"/>
    <w:rsid w:val="007579B8"/>
    <w:rsid w:val="007639A8"/>
    <w:rsid w:val="00763E34"/>
    <w:rsid w:val="0076520B"/>
    <w:rsid w:val="007654B2"/>
    <w:rsid w:val="00766B0C"/>
    <w:rsid w:val="00766BF3"/>
    <w:rsid w:val="0077022B"/>
    <w:rsid w:val="00771EF5"/>
    <w:rsid w:val="007728F0"/>
    <w:rsid w:val="00774B67"/>
    <w:rsid w:val="00774F58"/>
    <w:rsid w:val="0077722E"/>
    <w:rsid w:val="00777424"/>
    <w:rsid w:val="00777BA6"/>
    <w:rsid w:val="0078015A"/>
    <w:rsid w:val="00780A83"/>
    <w:rsid w:val="00781DC1"/>
    <w:rsid w:val="007826E7"/>
    <w:rsid w:val="00784532"/>
    <w:rsid w:val="00786040"/>
    <w:rsid w:val="00791705"/>
    <w:rsid w:val="007933D3"/>
    <w:rsid w:val="00794B8E"/>
    <w:rsid w:val="00794EE8"/>
    <w:rsid w:val="00795ECB"/>
    <w:rsid w:val="0079712B"/>
    <w:rsid w:val="007978C8"/>
    <w:rsid w:val="007A05F1"/>
    <w:rsid w:val="007A0F1E"/>
    <w:rsid w:val="007A30D5"/>
    <w:rsid w:val="007A40E7"/>
    <w:rsid w:val="007A445A"/>
    <w:rsid w:val="007A6868"/>
    <w:rsid w:val="007B0ECA"/>
    <w:rsid w:val="007B1BEF"/>
    <w:rsid w:val="007B251D"/>
    <w:rsid w:val="007B3D70"/>
    <w:rsid w:val="007B4654"/>
    <w:rsid w:val="007B4F60"/>
    <w:rsid w:val="007B6D04"/>
    <w:rsid w:val="007B77D1"/>
    <w:rsid w:val="007C03C1"/>
    <w:rsid w:val="007C2DC0"/>
    <w:rsid w:val="007C3370"/>
    <w:rsid w:val="007C361D"/>
    <w:rsid w:val="007C3F95"/>
    <w:rsid w:val="007D0B38"/>
    <w:rsid w:val="007D0B74"/>
    <w:rsid w:val="007D0BEE"/>
    <w:rsid w:val="007D0FDB"/>
    <w:rsid w:val="007D3CDF"/>
    <w:rsid w:val="007D4DEF"/>
    <w:rsid w:val="007D588B"/>
    <w:rsid w:val="007E1FB5"/>
    <w:rsid w:val="007E36FA"/>
    <w:rsid w:val="007E3705"/>
    <w:rsid w:val="007E37B7"/>
    <w:rsid w:val="007E3B2F"/>
    <w:rsid w:val="007E4930"/>
    <w:rsid w:val="007E520E"/>
    <w:rsid w:val="007E52A6"/>
    <w:rsid w:val="007E578B"/>
    <w:rsid w:val="007E6387"/>
    <w:rsid w:val="007E6E2B"/>
    <w:rsid w:val="007E7E46"/>
    <w:rsid w:val="007F0CF6"/>
    <w:rsid w:val="007F0E4C"/>
    <w:rsid w:val="007F1017"/>
    <w:rsid w:val="007F1407"/>
    <w:rsid w:val="007F1A78"/>
    <w:rsid w:val="007F23F5"/>
    <w:rsid w:val="007F2600"/>
    <w:rsid w:val="007F47D3"/>
    <w:rsid w:val="007F4A3F"/>
    <w:rsid w:val="00800357"/>
    <w:rsid w:val="0080098C"/>
    <w:rsid w:val="00801E84"/>
    <w:rsid w:val="00802334"/>
    <w:rsid w:val="00803228"/>
    <w:rsid w:val="0080361D"/>
    <w:rsid w:val="00805142"/>
    <w:rsid w:val="0080703C"/>
    <w:rsid w:val="00807549"/>
    <w:rsid w:val="00807A8B"/>
    <w:rsid w:val="00812149"/>
    <w:rsid w:val="00812899"/>
    <w:rsid w:val="0081347A"/>
    <w:rsid w:val="008136D2"/>
    <w:rsid w:val="008166EF"/>
    <w:rsid w:val="00817560"/>
    <w:rsid w:val="008201B1"/>
    <w:rsid w:val="00820A78"/>
    <w:rsid w:val="008222C4"/>
    <w:rsid w:val="00822883"/>
    <w:rsid w:val="00822E15"/>
    <w:rsid w:val="00823A97"/>
    <w:rsid w:val="008264EB"/>
    <w:rsid w:val="00834D3E"/>
    <w:rsid w:val="00835891"/>
    <w:rsid w:val="008402D0"/>
    <w:rsid w:val="00840CA2"/>
    <w:rsid w:val="008434F1"/>
    <w:rsid w:val="00845099"/>
    <w:rsid w:val="00846488"/>
    <w:rsid w:val="00847923"/>
    <w:rsid w:val="0085204F"/>
    <w:rsid w:val="008538F5"/>
    <w:rsid w:val="0085449D"/>
    <w:rsid w:val="00855450"/>
    <w:rsid w:val="008554DE"/>
    <w:rsid w:val="00855647"/>
    <w:rsid w:val="00855A9D"/>
    <w:rsid w:val="00856E9A"/>
    <w:rsid w:val="0085701F"/>
    <w:rsid w:val="00857EF9"/>
    <w:rsid w:val="00860C93"/>
    <w:rsid w:val="00861D31"/>
    <w:rsid w:val="00864EC9"/>
    <w:rsid w:val="008656FB"/>
    <w:rsid w:val="00866921"/>
    <w:rsid w:val="00870C00"/>
    <w:rsid w:val="00870F00"/>
    <w:rsid w:val="008811CE"/>
    <w:rsid w:val="00882874"/>
    <w:rsid w:val="008831AA"/>
    <w:rsid w:val="00883787"/>
    <w:rsid w:val="00885D5E"/>
    <w:rsid w:val="00886919"/>
    <w:rsid w:val="00887B16"/>
    <w:rsid w:val="008932B4"/>
    <w:rsid w:val="008963A5"/>
    <w:rsid w:val="008965A9"/>
    <w:rsid w:val="00896F66"/>
    <w:rsid w:val="008A0437"/>
    <w:rsid w:val="008A0973"/>
    <w:rsid w:val="008A0B8A"/>
    <w:rsid w:val="008A0C29"/>
    <w:rsid w:val="008A1A12"/>
    <w:rsid w:val="008A3576"/>
    <w:rsid w:val="008A3C3E"/>
    <w:rsid w:val="008A54C3"/>
    <w:rsid w:val="008A61DB"/>
    <w:rsid w:val="008A79DE"/>
    <w:rsid w:val="008A7EF1"/>
    <w:rsid w:val="008B1C70"/>
    <w:rsid w:val="008B1D92"/>
    <w:rsid w:val="008B5213"/>
    <w:rsid w:val="008B5F2A"/>
    <w:rsid w:val="008B7D7E"/>
    <w:rsid w:val="008C0483"/>
    <w:rsid w:val="008C0867"/>
    <w:rsid w:val="008C1456"/>
    <w:rsid w:val="008C2074"/>
    <w:rsid w:val="008C6D33"/>
    <w:rsid w:val="008C7ECB"/>
    <w:rsid w:val="008D2338"/>
    <w:rsid w:val="008D4409"/>
    <w:rsid w:val="008D696D"/>
    <w:rsid w:val="008E1B9E"/>
    <w:rsid w:val="008E3BE2"/>
    <w:rsid w:val="008E45C3"/>
    <w:rsid w:val="008F1D88"/>
    <w:rsid w:val="008F1DDF"/>
    <w:rsid w:val="008F429E"/>
    <w:rsid w:val="008F4611"/>
    <w:rsid w:val="008F48EB"/>
    <w:rsid w:val="008F4F0B"/>
    <w:rsid w:val="008F5261"/>
    <w:rsid w:val="008F5792"/>
    <w:rsid w:val="008F6FBA"/>
    <w:rsid w:val="008F781F"/>
    <w:rsid w:val="00900208"/>
    <w:rsid w:val="00900741"/>
    <w:rsid w:val="00902472"/>
    <w:rsid w:val="00902745"/>
    <w:rsid w:val="009030DA"/>
    <w:rsid w:val="00905537"/>
    <w:rsid w:val="009062A5"/>
    <w:rsid w:val="00911272"/>
    <w:rsid w:val="0091130E"/>
    <w:rsid w:val="0091216D"/>
    <w:rsid w:val="0091247A"/>
    <w:rsid w:val="00912E25"/>
    <w:rsid w:val="00912F66"/>
    <w:rsid w:val="00914A6A"/>
    <w:rsid w:val="00915311"/>
    <w:rsid w:val="00915C99"/>
    <w:rsid w:val="00916FBA"/>
    <w:rsid w:val="009175E6"/>
    <w:rsid w:val="0092375C"/>
    <w:rsid w:val="00924B89"/>
    <w:rsid w:val="009255B5"/>
    <w:rsid w:val="0092792C"/>
    <w:rsid w:val="009301F1"/>
    <w:rsid w:val="0093092C"/>
    <w:rsid w:val="0093103F"/>
    <w:rsid w:val="00931BC6"/>
    <w:rsid w:val="00932615"/>
    <w:rsid w:val="00933166"/>
    <w:rsid w:val="00934D82"/>
    <w:rsid w:val="00934F74"/>
    <w:rsid w:val="00934FEC"/>
    <w:rsid w:val="009354F6"/>
    <w:rsid w:val="009372FB"/>
    <w:rsid w:val="009375ED"/>
    <w:rsid w:val="00940082"/>
    <w:rsid w:val="00940A24"/>
    <w:rsid w:val="00941E30"/>
    <w:rsid w:val="009439E8"/>
    <w:rsid w:val="00945737"/>
    <w:rsid w:val="009477B7"/>
    <w:rsid w:val="00951173"/>
    <w:rsid w:val="00952B9E"/>
    <w:rsid w:val="00961AF9"/>
    <w:rsid w:val="009627FE"/>
    <w:rsid w:val="00962CB9"/>
    <w:rsid w:val="00964312"/>
    <w:rsid w:val="00964F84"/>
    <w:rsid w:val="009669E1"/>
    <w:rsid w:val="009715F5"/>
    <w:rsid w:val="00973656"/>
    <w:rsid w:val="00976BE3"/>
    <w:rsid w:val="009775C3"/>
    <w:rsid w:val="0098002F"/>
    <w:rsid w:val="00980852"/>
    <w:rsid w:val="00983E57"/>
    <w:rsid w:val="00985A31"/>
    <w:rsid w:val="00993391"/>
    <w:rsid w:val="009943BA"/>
    <w:rsid w:val="0099460C"/>
    <w:rsid w:val="009951FB"/>
    <w:rsid w:val="009960E4"/>
    <w:rsid w:val="00996B1A"/>
    <w:rsid w:val="009A044E"/>
    <w:rsid w:val="009A0D09"/>
    <w:rsid w:val="009A264D"/>
    <w:rsid w:val="009A3483"/>
    <w:rsid w:val="009A5355"/>
    <w:rsid w:val="009A6BC1"/>
    <w:rsid w:val="009A6EDD"/>
    <w:rsid w:val="009B0D33"/>
    <w:rsid w:val="009B25D5"/>
    <w:rsid w:val="009B3AA2"/>
    <w:rsid w:val="009B3E26"/>
    <w:rsid w:val="009B46FC"/>
    <w:rsid w:val="009B51F3"/>
    <w:rsid w:val="009B5E8F"/>
    <w:rsid w:val="009C77C8"/>
    <w:rsid w:val="009D0147"/>
    <w:rsid w:val="009D19F3"/>
    <w:rsid w:val="009D27CB"/>
    <w:rsid w:val="009D439E"/>
    <w:rsid w:val="009D45C7"/>
    <w:rsid w:val="009D4CB8"/>
    <w:rsid w:val="009D5B91"/>
    <w:rsid w:val="009D79C7"/>
    <w:rsid w:val="009E08F8"/>
    <w:rsid w:val="009E0B17"/>
    <w:rsid w:val="009E2094"/>
    <w:rsid w:val="009E2748"/>
    <w:rsid w:val="009E4307"/>
    <w:rsid w:val="009E4A3A"/>
    <w:rsid w:val="009E4C07"/>
    <w:rsid w:val="009E6E7D"/>
    <w:rsid w:val="009E7BCE"/>
    <w:rsid w:val="009F6FFF"/>
    <w:rsid w:val="00A00A9D"/>
    <w:rsid w:val="00A0260A"/>
    <w:rsid w:val="00A03D43"/>
    <w:rsid w:val="00A04380"/>
    <w:rsid w:val="00A06B3E"/>
    <w:rsid w:val="00A072EB"/>
    <w:rsid w:val="00A07B4F"/>
    <w:rsid w:val="00A13948"/>
    <w:rsid w:val="00A14519"/>
    <w:rsid w:val="00A161E4"/>
    <w:rsid w:val="00A17212"/>
    <w:rsid w:val="00A201EF"/>
    <w:rsid w:val="00A21842"/>
    <w:rsid w:val="00A22BEB"/>
    <w:rsid w:val="00A23244"/>
    <w:rsid w:val="00A234DE"/>
    <w:rsid w:val="00A239E2"/>
    <w:rsid w:val="00A23FEC"/>
    <w:rsid w:val="00A24214"/>
    <w:rsid w:val="00A248A8"/>
    <w:rsid w:val="00A24926"/>
    <w:rsid w:val="00A259EF"/>
    <w:rsid w:val="00A2663F"/>
    <w:rsid w:val="00A2671A"/>
    <w:rsid w:val="00A26C52"/>
    <w:rsid w:val="00A272BD"/>
    <w:rsid w:val="00A2778A"/>
    <w:rsid w:val="00A27AEC"/>
    <w:rsid w:val="00A32302"/>
    <w:rsid w:val="00A350EA"/>
    <w:rsid w:val="00A355CB"/>
    <w:rsid w:val="00A35D16"/>
    <w:rsid w:val="00A36CF2"/>
    <w:rsid w:val="00A41FC9"/>
    <w:rsid w:val="00A43AFB"/>
    <w:rsid w:val="00A43C59"/>
    <w:rsid w:val="00A44132"/>
    <w:rsid w:val="00A447EB"/>
    <w:rsid w:val="00A44DFA"/>
    <w:rsid w:val="00A460A7"/>
    <w:rsid w:val="00A506E2"/>
    <w:rsid w:val="00A50ECD"/>
    <w:rsid w:val="00A51B4B"/>
    <w:rsid w:val="00A52014"/>
    <w:rsid w:val="00A52442"/>
    <w:rsid w:val="00A52729"/>
    <w:rsid w:val="00A53675"/>
    <w:rsid w:val="00A53736"/>
    <w:rsid w:val="00A56B6A"/>
    <w:rsid w:val="00A578DC"/>
    <w:rsid w:val="00A602DD"/>
    <w:rsid w:val="00A606DC"/>
    <w:rsid w:val="00A60B9C"/>
    <w:rsid w:val="00A623A8"/>
    <w:rsid w:val="00A62F32"/>
    <w:rsid w:val="00A63EB4"/>
    <w:rsid w:val="00A6725B"/>
    <w:rsid w:val="00A707BB"/>
    <w:rsid w:val="00A70B01"/>
    <w:rsid w:val="00A713AE"/>
    <w:rsid w:val="00A72CA2"/>
    <w:rsid w:val="00A7311F"/>
    <w:rsid w:val="00A73FAC"/>
    <w:rsid w:val="00A75A2D"/>
    <w:rsid w:val="00A76244"/>
    <w:rsid w:val="00A77054"/>
    <w:rsid w:val="00A80FE3"/>
    <w:rsid w:val="00A81493"/>
    <w:rsid w:val="00A82233"/>
    <w:rsid w:val="00A82487"/>
    <w:rsid w:val="00A833FF"/>
    <w:rsid w:val="00A84FB0"/>
    <w:rsid w:val="00A85F5C"/>
    <w:rsid w:val="00A86900"/>
    <w:rsid w:val="00A86E8B"/>
    <w:rsid w:val="00A91355"/>
    <w:rsid w:val="00A93072"/>
    <w:rsid w:val="00A93A06"/>
    <w:rsid w:val="00A93FB3"/>
    <w:rsid w:val="00A94025"/>
    <w:rsid w:val="00A96C44"/>
    <w:rsid w:val="00AA0A07"/>
    <w:rsid w:val="00AA110B"/>
    <w:rsid w:val="00AA426E"/>
    <w:rsid w:val="00AA5ED7"/>
    <w:rsid w:val="00AA6B18"/>
    <w:rsid w:val="00AA7052"/>
    <w:rsid w:val="00AA7118"/>
    <w:rsid w:val="00AA71E5"/>
    <w:rsid w:val="00AB042A"/>
    <w:rsid w:val="00AB1466"/>
    <w:rsid w:val="00AB2A06"/>
    <w:rsid w:val="00AB30C3"/>
    <w:rsid w:val="00AB3430"/>
    <w:rsid w:val="00AB3E98"/>
    <w:rsid w:val="00AB47FC"/>
    <w:rsid w:val="00AB5305"/>
    <w:rsid w:val="00AB5A0A"/>
    <w:rsid w:val="00AB5CAB"/>
    <w:rsid w:val="00AB69F9"/>
    <w:rsid w:val="00AB7CFA"/>
    <w:rsid w:val="00AC153B"/>
    <w:rsid w:val="00AC2746"/>
    <w:rsid w:val="00AC39B9"/>
    <w:rsid w:val="00AC3A8E"/>
    <w:rsid w:val="00AC4CEA"/>
    <w:rsid w:val="00AC542A"/>
    <w:rsid w:val="00AC7B38"/>
    <w:rsid w:val="00AD089D"/>
    <w:rsid w:val="00AD415B"/>
    <w:rsid w:val="00AD5CFA"/>
    <w:rsid w:val="00AD76BB"/>
    <w:rsid w:val="00AE008C"/>
    <w:rsid w:val="00AE06D5"/>
    <w:rsid w:val="00AE0AD6"/>
    <w:rsid w:val="00AE0D99"/>
    <w:rsid w:val="00AE3791"/>
    <w:rsid w:val="00AE37AA"/>
    <w:rsid w:val="00AE3F1F"/>
    <w:rsid w:val="00AE41F9"/>
    <w:rsid w:val="00AE6033"/>
    <w:rsid w:val="00AE637B"/>
    <w:rsid w:val="00AE711F"/>
    <w:rsid w:val="00AE762F"/>
    <w:rsid w:val="00AE7E2B"/>
    <w:rsid w:val="00AF072D"/>
    <w:rsid w:val="00AF6530"/>
    <w:rsid w:val="00B00DE3"/>
    <w:rsid w:val="00B01E41"/>
    <w:rsid w:val="00B02254"/>
    <w:rsid w:val="00B03F2B"/>
    <w:rsid w:val="00B04C9C"/>
    <w:rsid w:val="00B05070"/>
    <w:rsid w:val="00B052D5"/>
    <w:rsid w:val="00B1037E"/>
    <w:rsid w:val="00B11428"/>
    <w:rsid w:val="00B11DC9"/>
    <w:rsid w:val="00B11E95"/>
    <w:rsid w:val="00B13A07"/>
    <w:rsid w:val="00B13B4B"/>
    <w:rsid w:val="00B148AE"/>
    <w:rsid w:val="00B14963"/>
    <w:rsid w:val="00B16D9F"/>
    <w:rsid w:val="00B177B1"/>
    <w:rsid w:val="00B208E7"/>
    <w:rsid w:val="00B2138D"/>
    <w:rsid w:val="00B21D29"/>
    <w:rsid w:val="00B22868"/>
    <w:rsid w:val="00B2310B"/>
    <w:rsid w:val="00B266FE"/>
    <w:rsid w:val="00B26E77"/>
    <w:rsid w:val="00B2760C"/>
    <w:rsid w:val="00B3120A"/>
    <w:rsid w:val="00B3127B"/>
    <w:rsid w:val="00B3201A"/>
    <w:rsid w:val="00B32311"/>
    <w:rsid w:val="00B33626"/>
    <w:rsid w:val="00B40031"/>
    <w:rsid w:val="00B40CF1"/>
    <w:rsid w:val="00B42851"/>
    <w:rsid w:val="00B4381D"/>
    <w:rsid w:val="00B454C4"/>
    <w:rsid w:val="00B46D94"/>
    <w:rsid w:val="00B4737C"/>
    <w:rsid w:val="00B47EE8"/>
    <w:rsid w:val="00B504AD"/>
    <w:rsid w:val="00B50BC3"/>
    <w:rsid w:val="00B5241A"/>
    <w:rsid w:val="00B52A6A"/>
    <w:rsid w:val="00B52AC5"/>
    <w:rsid w:val="00B54B5B"/>
    <w:rsid w:val="00B5562E"/>
    <w:rsid w:val="00B56C25"/>
    <w:rsid w:val="00B57000"/>
    <w:rsid w:val="00B608CF"/>
    <w:rsid w:val="00B60939"/>
    <w:rsid w:val="00B60A19"/>
    <w:rsid w:val="00B60AFD"/>
    <w:rsid w:val="00B6130B"/>
    <w:rsid w:val="00B62715"/>
    <w:rsid w:val="00B66807"/>
    <w:rsid w:val="00B67D0A"/>
    <w:rsid w:val="00B72EC1"/>
    <w:rsid w:val="00B73C87"/>
    <w:rsid w:val="00B745F2"/>
    <w:rsid w:val="00B77A3A"/>
    <w:rsid w:val="00B818A4"/>
    <w:rsid w:val="00B82AA6"/>
    <w:rsid w:val="00B83D8B"/>
    <w:rsid w:val="00B84320"/>
    <w:rsid w:val="00B84770"/>
    <w:rsid w:val="00B8625C"/>
    <w:rsid w:val="00B8649C"/>
    <w:rsid w:val="00B8678A"/>
    <w:rsid w:val="00B903F5"/>
    <w:rsid w:val="00B90999"/>
    <w:rsid w:val="00B927D8"/>
    <w:rsid w:val="00B92D0B"/>
    <w:rsid w:val="00B94945"/>
    <w:rsid w:val="00B959F6"/>
    <w:rsid w:val="00B97CE3"/>
    <w:rsid w:val="00BA2E74"/>
    <w:rsid w:val="00BA370D"/>
    <w:rsid w:val="00BA41CE"/>
    <w:rsid w:val="00BA4B9A"/>
    <w:rsid w:val="00BA4E59"/>
    <w:rsid w:val="00BA5411"/>
    <w:rsid w:val="00BA6BF8"/>
    <w:rsid w:val="00BA71C4"/>
    <w:rsid w:val="00BB0C58"/>
    <w:rsid w:val="00BB3941"/>
    <w:rsid w:val="00BB72FE"/>
    <w:rsid w:val="00BB78BD"/>
    <w:rsid w:val="00BC06B5"/>
    <w:rsid w:val="00BC18F2"/>
    <w:rsid w:val="00BC21FD"/>
    <w:rsid w:val="00BC256F"/>
    <w:rsid w:val="00BC30BC"/>
    <w:rsid w:val="00BC350B"/>
    <w:rsid w:val="00BC4BD2"/>
    <w:rsid w:val="00BC527C"/>
    <w:rsid w:val="00BC5F00"/>
    <w:rsid w:val="00BD02B9"/>
    <w:rsid w:val="00BD07A1"/>
    <w:rsid w:val="00BD092C"/>
    <w:rsid w:val="00BD2660"/>
    <w:rsid w:val="00BD360E"/>
    <w:rsid w:val="00BD38FF"/>
    <w:rsid w:val="00BD3ED1"/>
    <w:rsid w:val="00BD4E6B"/>
    <w:rsid w:val="00BD5C3D"/>
    <w:rsid w:val="00BD6AE4"/>
    <w:rsid w:val="00BD798A"/>
    <w:rsid w:val="00BE1027"/>
    <w:rsid w:val="00BE1A2E"/>
    <w:rsid w:val="00BE2180"/>
    <w:rsid w:val="00BE3DB4"/>
    <w:rsid w:val="00BE4275"/>
    <w:rsid w:val="00BE6459"/>
    <w:rsid w:val="00BF001D"/>
    <w:rsid w:val="00BF0303"/>
    <w:rsid w:val="00BF04A6"/>
    <w:rsid w:val="00BF0A15"/>
    <w:rsid w:val="00BF0D4F"/>
    <w:rsid w:val="00BF1085"/>
    <w:rsid w:val="00BF109F"/>
    <w:rsid w:val="00BF1EA5"/>
    <w:rsid w:val="00BF23ED"/>
    <w:rsid w:val="00BF2433"/>
    <w:rsid w:val="00BF36C1"/>
    <w:rsid w:val="00BF493A"/>
    <w:rsid w:val="00BF61C9"/>
    <w:rsid w:val="00BF626C"/>
    <w:rsid w:val="00BF6AA7"/>
    <w:rsid w:val="00BF7473"/>
    <w:rsid w:val="00C01701"/>
    <w:rsid w:val="00C01C41"/>
    <w:rsid w:val="00C02373"/>
    <w:rsid w:val="00C02F56"/>
    <w:rsid w:val="00C04FA5"/>
    <w:rsid w:val="00C050F0"/>
    <w:rsid w:val="00C06403"/>
    <w:rsid w:val="00C0676C"/>
    <w:rsid w:val="00C06B7A"/>
    <w:rsid w:val="00C075E1"/>
    <w:rsid w:val="00C10222"/>
    <w:rsid w:val="00C103EA"/>
    <w:rsid w:val="00C11C50"/>
    <w:rsid w:val="00C144A1"/>
    <w:rsid w:val="00C148A5"/>
    <w:rsid w:val="00C2002D"/>
    <w:rsid w:val="00C234B2"/>
    <w:rsid w:val="00C25418"/>
    <w:rsid w:val="00C25D9C"/>
    <w:rsid w:val="00C30E57"/>
    <w:rsid w:val="00C31649"/>
    <w:rsid w:val="00C334AE"/>
    <w:rsid w:val="00C334D2"/>
    <w:rsid w:val="00C3372F"/>
    <w:rsid w:val="00C3615E"/>
    <w:rsid w:val="00C369A1"/>
    <w:rsid w:val="00C40385"/>
    <w:rsid w:val="00C41CF2"/>
    <w:rsid w:val="00C44C4D"/>
    <w:rsid w:val="00C46416"/>
    <w:rsid w:val="00C46D26"/>
    <w:rsid w:val="00C46F8F"/>
    <w:rsid w:val="00C54A01"/>
    <w:rsid w:val="00C54EE1"/>
    <w:rsid w:val="00C558B8"/>
    <w:rsid w:val="00C56543"/>
    <w:rsid w:val="00C577CE"/>
    <w:rsid w:val="00C57E43"/>
    <w:rsid w:val="00C6096D"/>
    <w:rsid w:val="00C613BB"/>
    <w:rsid w:val="00C61B45"/>
    <w:rsid w:val="00C6215B"/>
    <w:rsid w:val="00C62C2D"/>
    <w:rsid w:val="00C63560"/>
    <w:rsid w:val="00C63E1D"/>
    <w:rsid w:val="00C63E91"/>
    <w:rsid w:val="00C6463D"/>
    <w:rsid w:val="00C64F65"/>
    <w:rsid w:val="00C65576"/>
    <w:rsid w:val="00C66165"/>
    <w:rsid w:val="00C70614"/>
    <w:rsid w:val="00C71046"/>
    <w:rsid w:val="00C7279B"/>
    <w:rsid w:val="00C72DF4"/>
    <w:rsid w:val="00C74B9E"/>
    <w:rsid w:val="00C77650"/>
    <w:rsid w:val="00C807E1"/>
    <w:rsid w:val="00C8213F"/>
    <w:rsid w:val="00C8240F"/>
    <w:rsid w:val="00C82E65"/>
    <w:rsid w:val="00C841EB"/>
    <w:rsid w:val="00C84C11"/>
    <w:rsid w:val="00C8536F"/>
    <w:rsid w:val="00C85F66"/>
    <w:rsid w:val="00C861DE"/>
    <w:rsid w:val="00C876C1"/>
    <w:rsid w:val="00C8797A"/>
    <w:rsid w:val="00C90F63"/>
    <w:rsid w:val="00C92F1E"/>
    <w:rsid w:val="00C938CF"/>
    <w:rsid w:val="00CA03BC"/>
    <w:rsid w:val="00CA5245"/>
    <w:rsid w:val="00CA5B83"/>
    <w:rsid w:val="00CA66A7"/>
    <w:rsid w:val="00CA7B09"/>
    <w:rsid w:val="00CB38F6"/>
    <w:rsid w:val="00CB55DD"/>
    <w:rsid w:val="00CB5B1A"/>
    <w:rsid w:val="00CB6D56"/>
    <w:rsid w:val="00CC0772"/>
    <w:rsid w:val="00CC1E9E"/>
    <w:rsid w:val="00CC238E"/>
    <w:rsid w:val="00CC2BA4"/>
    <w:rsid w:val="00CC57F4"/>
    <w:rsid w:val="00CC6445"/>
    <w:rsid w:val="00CC69F5"/>
    <w:rsid w:val="00CC6B30"/>
    <w:rsid w:val="00CC79F2"/>
    <w:rsid w:val="00CD287C"/>
    <w:rsid w:val="00CD3489"/>
    <w:rsid w:val="00CD3D1C"/>
    <w:rsid w:val="00CD3F29"/>
    <w:rsid w:val="00CD4E89"/>
    <w:rsid w:val="00CD51FF"/>
    <w:rsid w:val="00CD583A"/>
    <w:rsid w:val="00CD5C26"/>
    <w:rsid w:val="00CD6ADC"/>
    <w:rsid w:val="00CD7280"/>
    <w:rsid w:val="00CD7E31"/>
    <w:rsid w:val="00CE11DF"/>
    <w:rsid w:val="00CE2820"/>
    <w:rsid w:val="00CE49CE"/>
    <w:rsid w:val="00CE506B"/>
    <w:rsid w:val="00CE5AFF"/>
    <w:rsid w:val="00CE6274"/>
    <w:rsid w:val="00CE7610"/>
    <w:rsid w:val="00CF0D1F"/>
    <w:rsid w:val="00CF0F19"/>
    <w:rsid w:val="00CF3B3A"/>
    <w:rsid w:val="00CF456B"/>
    <w:rsid w:val="00CF4BB5"/>
    <w:rsid w:val="00CF5A22"/>
    <w:rsid w:val="00CF5AEF"/>
    <w:rsid w:val="00D00086"/>
    <w:rsid w:val="00D00E38"/>
    <w:rsid w:val="00D01708"/>
    <w:rsid w:val="00D0262E"/>
    <w:rsid w:val="00D03AD5"/>
    <w:rsid w:val="00D04C42"/>
    <w:rsid w:val="00D0613F"/>
    <w:rsid w:val="00D06154"/>
    <w:rsid w:val="00D06FD4"/>
    <w:rsid w:val="00D110BD"/>
    <w:rsid w:val="00D11D90"/>
    <w:rsid w:val="00D12AF5"/>
    <w:rsid w:val="00D13C61"/>
    <w:rsid w:val="00D145E8"/>
    <w:rsid w:val="00D16777"/>
    <w:rsid w:val="00D17637"/>
    <w:rsid w:val="00D17D6C"/>
    <w:rsid w:val="00D20692"/>
    <w:rsid w:val="00D279E6"/>
    <w:rsid w:val="00D30384"/>
    <w:rsid w:val="00D30C06"/>
    <w:rsid w:val="00D34752"/>
    <w:rsid w:val="00D34BCB"/>
    <w:rsid w:val="00D354DB"/>
    <w:rsid w:val="00D36195"/>
    <w:rsid w:val="00D374FF"/>
    <w:rsid w:val="00D414D6"/>
    <w:rsid w:val="00D42963"/>
    <w:rsid w:val="00D4342E"/>
    <w:rsid w:val="00D4488F"/>
    <w:rsid w:val="00D45FDC"/>
    <w:rsid w:val="00D46173"/>
    <w:rsid w:val="00D4629F"/>
    <w:rsid w:val="00D473EF"/>
    <w:rsid w:val="00D47B53"/>
    <w:rsid w:val="00D502B4"/>
    <w:rsid w:val="00D508CF"/>
    <w:rsid w:val="00D537EC"/>
    <w:rsid w:val="00D54548"/>
    <w:rsid w:val="00D54CAD"/>
    <w:rsid w:val="00D64ACB"/>
    <w:rsid w:val="00D6631D"/>
    <w:rsid w:val="00D70769"/>
    <w:rsid w:val="00D70DF3"/>
    <w:rsid w:val="00D71A65"/>
    <w:rsid w:val="00D72291"/>
    <w:rsid w:val="00D73E9D"/>
    <w:rsid w:val="00D7492C"/>
    <w:rsid w:val="00D756EA"/>
    <w:rsid w:val="00D76A44"/>
    <w:rsid w:val="00D7783F"/>
    <w:rsid w:val="00D841E6"/>
    <w:rsid w:val="00D85474"/>
    <w:rsid w:val="00D8552B"/>
    <w:rsid w:val="00D87843"/>
    <w:rsid w:val="00D90842"/>
    <w:rsid w:val="00D91140"/>
    <w:rsid w:val="00D91365"/>
    <w:rsid w:val="00D91AC4"/>
    <w:rsid w:val="00D93753"/>
    <w:rsid w:val="00D93BAD"/>
    <w:rsid w:val="00D95E65"/>
    <w:rsid w:val="00D967A1"/>
    <w:rsid w:val="00D970C6"/>
    <w:rsid w:val="00DA187A"/>
    <w:rsid w:val="00DA200B"/>
    <w:rsid w:val="00DA2ADA"/>
    <w:rsid w:val="00DA5154"/>
    <w:rsid w:val="00DA540A"/>
    <w:rsid w:val="00DA77A5"/>
    <w:rsid w:val="00DB00A4"/>
    <w:rsid w:val="00DB0278"/>
    <w:rsid w:val="00DB1837"/>
    <w:rsid w:val="00DB3784"/>
    <w:rsid w:val="00DB3C7C"/>
    <w:rsid w:val="00DB52B7"/>
    <w:rsid w:val="00DB7F0E"/>
    <w:rsid w:val="00DC09BB"/>
    <w:rsid w:val="00DC27EE"/>
    <w:rsid w:val="00DC5501"/>
    <w:rsid w:val="00DD2072"/>
    <w:rsid w:val="00DD3F28"/>
    <w:rsid w:val="00DD3F6E"/>
    <w:rsid w:val="00DD4537"/>
    <w:rsid w:val="00DD4E15"/>
    <w:rsid w:val="00DD5167"/>
    <w:rsid w:val="00DD57ED"/>
    <w:rsid w:val="00DE0CAF"/>
    <w:rsid w:val="00DE27C6"/>
    <w:rsid w:val="00DE3805"/>
    <w:rsid w:val="00DE3DEE"/>
    <w:rsid w:val="00DE4374"/>
    <w:rsid w:val="00DE4F5C"/>
    <w:rsid w:val="00DE4FCB"/>
    <w:rsid w:val="00DE5147"/>
    <w:rsid w:val="00DE62A0"/>
    <w:rsid w:val="00DF227F"/>
    <w:rsid w:val="00DF3451"/>
    <w:rsid w:val="00DF51A6"/>
    <w:rsid w:val="00DF76D9"/>
    <w:rsid w:val="00E02338"/>
    <w:rsid w:val="00E03712"/>
    <w:rsid w:val="00E05974"/>
    <w:rsid w:val="00E05B31"/>
    <w:rsid w:val="00E06AB1"/>
    <w:rsid w:val="00E10149"/>
    <w:rsid w:val="00E10770"/>
    <w:rsid w:val="00E14123"/>
    <w:rsid w:val="00E14C21"/>
    <w:rsid w:val="00E158EB"/>
    <w:rsid w:val="00E15982"/>
    <w:rsid w:val="00E159BE"/>
    <w:rsid w:val="00E16372"/>
    <w:rsid w:val="00E172B0"/>
    <w:rsid w:val="00E20393"/>
    <w:rsid w:val="00E20398"/>
    <w:rsid w:val="00E2071B"/>
    <w:rsid w:val="00E20ED6"/>
    <w:rsid w:val="00E21358"/>
    <w:rsid w:val="00E21627"/>
    <w:rsid w:val="00E2194C"/>
    <w:rsid w:val="00E2249B"/>
    <w:rsid w:val="00E2342B"/>
    <w:rsid w:val="00E237AC"/>
    <w:rsid w:val="00E23CC0"/>
    <w:rsid w:val="00E23DFA"/>
    <w:rsid w:val="00E24004"/>
    <w:rsid w:val="00E242B1"/>
    <w:rsid w:val="00E2579E"/>
    <w:rsid w:val="00E2771E"/>
    <w:rsid w:val="00E27A01"/>
    <w:rsid w:val="00E303D0"/>
    <w:rsid w:val="00E31620"/>
    <w:rsid w:val="00E32357"/>
    <w:rsid w:val="00E32BA6"/>
    <w:rsid w:val="00E32BD5"/>
    <w:rsid w:val="00E348C4"/>
    <w:rsid w:val="00E3556B"/>
    <w:rsid w:val="00E35E1C"/>
    <w:rsid w:val="00E361E3"/>
    <w:rsid w:val="00E36A71"/>
    <w:rsid w:val="00E36DA7"/>
    <w:rsid w:val="00E36DCB"/>
    <w:rsid w:val="00E370A5"/>
    <w:rsid w:val="00E37569"/>
    <w:rsid w:val="00E37BC4"/>
    <w:rsid w:val="00E40C4B"/>
    <w:rsid w:val="00E419DB"/>
    <w:rsid w:val="00E41D7E"/>
    <w:rsid w:val="00E41E30"/>
    <w:rsid w:val="00E4230C"/>
    <w:rsid w:val="00E43EB8"/>
    <w:rsid w:val="00E4430D"/>
    <w:rsid w:val="00E46170"/>
    <w:rsid w:val="00E469F4"/>
    <w:rsid w:val="00E46F7B"/>
    <w:rsid w:val="00E47ADE"/>
    <w:rsid w:val="00E47B2C"/>
    <w:rsid w:val="00E501AC"/>
    <w:rsid w:val="00E50A7B"/>
    <w:rsid w:val="00E50D1A"/>
    <w:rsid w:val="00E5235D"/>
    <w:rsid w:val="00E53B05"/>
    <w:rsid w:val="00E54324"/>
    <w:rsid w:val="00E55424"/>
    <w:rsid w:val="00E558A0"/>
    <w:rsid w:val="00E5674E"/>
    <w:rsid w:val="00E60D0C"/>
    <w:rsid w:val="00E610C4"/>
    <w:rsid w:val="00E61C6B"/>
    <w:rsid w:val="00E63C3C"/>
    <w:rsid w:val="00E65E79"/>
    <w:rsid w:val="00E67416"/>
    <w:rsid w:val="00E70F70"/>
    <w:rsid w:val="00E713E7"/>
    <w:rsid w:val="00E718B6"/>
    <w:rsid w:val="00E727ED"/>
    <w:rsid w:val="00E73581"/>
    <w:rsid w:val="00E7696B"/>
    <w:rsid w:val="00E779BC"/>
    <w:rsid w:val="00E81300"/>
    <w:rsid w:val="00E82D37"/>
    <w:rsid w:val="00E83302"/>
    <w:rsid w:val="00E83404"/>
    <w:rsid w:val="00E83BBF"/>
    <w:rsid w:val="00E83BDF"/>
    <w:rsid w:val="00E84B62"/>
    <w:rsid w:val="00E84F7F"/>
    <w:rsid w:val="00E85908"/>
    <w:rsid w:val="00E85926"/>
    <w:rsid w:val="00E86F32"/>
    <w:rsid w:val="00E87B8D"/>
    <w:rsid w:val="00E91B50"/>
    <w:rsid w:val="00E93206"/>
    <w:rsid w:val="00E948CD"/>
    <w:rsid w:val="00E94E56"/>
    <w:rsid w:val="00E95592"/>
    <w:rsid w:val="00E959CC"/>
    <w:rsid w:val="00E95C7F"/>
    <w:rsid w:val="00EA07A2"/>
    <w:rsid w:val="00EA3864"/>
    <w:rsid w:val="00EA5058"/>
    <w:rsid w:val="00EA5CAF"/>
    <w:rsid w:val="00EA7AED"/>
    <w:rsid w:val="00EB0001"/>
    <w:rsid w:val="00EB04E9"/>
    <w:rsid w:val="00EB2EC3"/>
    <w:rsid w:val="00EB3300"/>
    <w:rsid w:val="00EB3AE0"/>
    <w:rsid w:val="00EB3BC4"/>
    <w:rsid w:val="00EB4C9F"/>
    <w:rsid w:val="00EB5B7C"/>
    <w:rsid w:val="00EB6DCA"/>
    <w:rsid w:val="00EB6E45"/>
    <w:rsid w:val="00EB75E6"/>
    <w:rsid w:val="00EC00C9"/>
    <w:rsid w:val="00EC0A63"/>
    <w:rsid w:val="00EC3057"/>
    <w:rsid w:val="00EC352C"/>
    <w:rsid w:val="00EC68CF"/>
    <w:rsid w:val="00EC76C1"/>
    <w:rsid w:val="00ED03DF"/>
    <w:rsid w:val="00ED31FA"/>
    <w:rsid w:val="00ED52F5"/>
    <w:rsid w:val="00ED6071"/>
    <w:rsid w:val="00ED675C"/>
    <w:rsid w:val="00EE07D3"/>
    <w:rsid w:val="00EE0D4F"/>
    <w:rsid w:val="00EE2027"/>
    <w:rsid w:val="00EE228B"/>
    <w:rsid w:val="00EE3FCC"/>
    <w:rsid w:val="00EE40CE"/>
    <w:rsid w:val="00EE58F0"/>
    <w:rsid w:val="00EE66DE"/>
    <w:rsid w:val="00EF2FB8"/>
    <w:rsid w:val="00EF70C2"/>
    <w:rsid w:val="00F00EF8"/>
    <w:rsid w:val="00F02428"/>
    <w:rsid w:val="00F02F4A"/>
    <w:rsid w:val="00F038A4"/>
    <w:rsid w:val="00F04BF5"/>
    <w:rsid w:val="00F058C9"/>
    <w:rsid w:val="00F066F3"/>
    <w:rsid w:val="00F067A2"/>
    <w:rsid w:val="00F06B24"/>
    <w:rsid w:val="00F11BB1"/>
    <w:rsid w:val="00F12612"/>
    <w:rsid w:val="00F14179"/>
    <w:rsid w:val="00F14778"/>
    <w:rsid w:val="00F15AF1"/>
    <w:rsid w:val="00F1714F"/>
    <w:rsid w:val="00F176C6"/>
    <w:rsid w:val="00F20297"/>
    <w:rsid w:val="00F221DC"/>
    <w:rsid w:val="00F228EC"/>
    <w:rsid w:val="00F24837"/>
    <w:rsid w:val="00F25007"/>
    <w:rsid w:val="00F2575F"/>
    <w:rsid w:val="00F327F8"/>
    <w:rsid w:val="00F33452"/>
    <w:rsid w:val="00F338FF"/>
    <w:rsid w:val="00F33DE9"/>
    <w:rsid w:val="00F3619A"/>
    <w:rsid w:val="00F36F77"/>
    <w:rsid w:val="00F37523"/>
    <w:rsid w:val="00F402FB"/>
    <w:rsid w:val="00F42929"/>
    <w:rsid w:val="00F42C00"/>
    <w:rsid w:val="00F4312D"/>
    <w:rsid w:val="00F4318F"/>
    <w:rsid w:val="00F43A1E"/>
    <w:rsid w:val="00F461BD"/>
    <w:rsid w:val="00F46CB6"/>
    <w:rsid w:val="00F46E6D"/>
    <w:rsid w:val="00F473C1"/>
    <w:rsid w:val="00F519F8"/>
    <w:rsid w:val="00F52088"/>
    <w:rsid w:val="00F523E1"/>
    <w:rsid w:val="00F52FCF"/>
    <w:rsid w:val="00F55029"/>
    <w:rsid w:val="00F553EF"/>
    <w:rsid w:val="00F55E73"/>
    <w:rsid w:val="00F56DDC"/>
    <w:rsid w:val="00F62968"/>
    <w:rsid w:val="00F62D1F"/>
    <w:rsid w:val="00F65878"/>
    <w:rsid w:val="00F6627D"/>
    <w:rsid w:val="00F679A8"/>
    <w:rsid w:val="00F679F1"/>
    <w:rsid w:val="00F7032B"/>
    <w:rsid w:val="00F722ED"/>
    <w:rsid w:val="00F72BB3"/>
    <w:rsid w:val="00F72C22"/>
    <w:rsid w:val="00F7381D"/>
    <w:rsid w:val="00F74168"/>
    <w:rsid w:val="00F761CF"/>
    <w:rsid w:val="00F76756"/>
    <w:rsid w:val="00F77F84"/>
    <w:rsid w:val="00F80E5D"/>
    <w:rsid w:val="00F8171D"/>
    <w:rsid w:val="00F817A9"/>
    <w:rsid w:val="00F83D4B"/>
    <w:rsid w:val="00F851CE"/>
    <w:rsid w:val="00F8530D"/>
    <w:rsid w:val="00F85D08"/>
    <w:rsid w:val="00F87E3A"/>
    <w:rsid w:val="00F90094"/>
    <w:rsid w:val="00F90534"/>
    <w:rsid w:val="00F9137C"/>
    <w:rsid w:val="00F9483B"/>
    <w:rsid w:val="00F949BF"/>
    <w:rsid w:val="00F97A78"/>
    <w:rsid w:val="00FA0CA6"/>
    <w:rsid w:val="00FA231F"/>
    <w:rsid w:val="00FA35FE"/>
    <w:rsid w:val="00FA471C"/>
    <w:rsid w:val="00FA5422"/>
    <w:rsid w:val="00FB2FCB"/>
    <w:rsid w:val="00FB57CF"/>
    <w:rsid w:val="00FB712F"/>
    <w:rsid w:val="00FC1074"/>
    <w:rsid w:val="00FC1884"/>
    <w:rsid w:val="00FC1A73"/>
    <w:rsid w:val="00FC3050"/>
    <w:rsid w:val="00FC39A1"/>
    <w:rsid w:val="00FC4171"/>
    <w:rsid w:val="00FC639C"/>
    <w:rsid w:val="00FC752F"/>
    <w:rsid w:val="00FC7B09"/>
    <w:rsid w:val="00FD0BE6"/>
    <w:rsid w:val="00FD2100"/>
    <w:rsid w:val="00FD24FF"/>
    <w:rsid w:val="00FD2940"/>
    <w:rsid w:val="00FD446D"/>
    <w:rsid w:val="00FD5BAA"/>
    <w:rsid w:val="00FD5E1C"/>
    <w:rsid w:val="00FD5F02"/>
    <w:rsid w:val="00FD6184"/>
    <w:rsid w:val="00FD6B1D"/>
    <w:rsid w:val="00FD6E9B"/>
    <w:rsid w:val="00FE3C7F"/>
    <w:rsid w:val="00FE4F79"/>
    <w:rsid w:val="00FE610C"/>
    <w:rsid w:val="00FE70B2"/>
    <w:rsid w:val="00FE7883"/>
    <w:rsid w:val="00FF0611"/>
    <w:rsid w:val="00FF2E86"/>
    <w:rsid w:val="00FF3122"/>
    <w:rsid w:val="00FF3DCF"/>
    <w:rsid w:val="00FF5AA3"/>
    <w:rsid w:val="00FF6E79"/>
    <w:rsid w:val="00FF70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556E9C"/>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556E9C"/>
    <w:pPr>
      <w:numPr>
        <w:numId w:val="1"/>
      </w:numPr>
      <w:outlineLvl w:val="0"/>
    </w:pPr>
    <w:rPr>
      <w:rFonts w:ascii="Arial" w:hAnsi="Arial" w:cs="Arial"/>
      <w:snapToGrid w:val="0"/>
      <w:sz w:val="22"/>
      <w:szCs w:val="22"/>
      <w:lang w:eastAsia="en-US"/>
    </w:rPr>
  </w:style>
  <w:style w:type="character" w:customStyle="1" w:styleId="ListParagraphChar">
    <w:name w:val="List Paragraph Char"/>
    <w:aliases w:val="BulletPoints Char"/>
    <w:link w:val="ListParagraph"/>
    <w:uiPriority w:val="34"/>
    <w:rsid w:val="002A13F5"/>
    <w:rPr>
      <w:rFonts w:ascii="Arial" w:hAnsi="Arial" w:cs="Arial"/>
      <w:snapToGrid w:val="0"/>
      <w:sz w:val="22"/>
      <w:lang w:eastAsia="en-US"/>
    </w:rPr>
  </w:style>
  <w:style w:type="paragraph" w:styleId="DocumentMap">
    <w:name w:val="Document Map"/>
    <w:basedOn w:val="Normal"/>
    <w:link w:val="DocumentMapChar"/>
    <w:semiHidden/>
    <w:unhideWhenUsed/>
    <w:rsid w:val="00C04FA5"/>
    <w:rPr>
      <w:rFonts w:ascii="Lucida Grande" w:hAnsi="Lucida Grande" w:cs="Lucida Grande"/>
      <w:sz w:val="24"/>
      <w:szCs w:val="24"/>
    </w:rPr>
  </w:style>
  <w:style w:type="character" w:customStyle="1" w:styleId="DocumentMapChar">
    <w:name w:val="Document Map Char"/>
    <w:basedOn w:val="DefaultParagraphFont"/>
    <w:link w:val="DocumentMap"/>
    <w:semiHidden/>
    <w:rsid w:val="00C04FA5"/>
    <w:rPr>
      <w:rFonts w:ascii="Lucida Grande" w:hAnsi="Lucida Grande" w:cs="Lucida Grande"/>
      <w:snapToGrid w:val="0"/>
      <w:sz w:val="24"/>
      <w:szCs w:val="24"/>
      <w:lang w:eastAsia="en-US"/>
    </w:rPr>
  </w:style>
  <w:style w:type="paragraph" w:customStyle="1" w:styleId="PBACHeading10">
    <w:name w:val="PBAC Heading 1"/>
    <w:qFormat/>
    <w:rsid w:val="00E61C6B"/>
    <w:pPr>
      <w:ind w:left="720" w:hanging="720"/>
    </w:pPr>
    <w:rPr>
      <w:rFonts w:ascii="Arial" w:hAnsi="Arial" w:cs="Arial"/>
      <w:b/>
      <w:snapToGrid w:val="0"/>
      <w:sz w:val="22"/>
      <w:szCs w:val="22"/>
      <w:lang w:eastAsia="en-US"/>
    </w:rPr>
  </w:style>
  <w:style w:type="paragraph" w:styleId="FootnoteText">
    <w:name w:val="footnote text"/>
    <w:basedOn w:val="Normal"/>
    <w:link w:val="FootnoteTextChar"/>
    <w:unhideWhenUsed/>
    <w:rsid w:val="00E61C6B"/>
    <w:rPr>
      <w:sz w:val="20"/>
    </w:rPr>
  </w:style>
  <w:style w:type="character" w:customStyle="1" w:styleId="FootnoteTextChar">
    <w:name w:val="Footnote Text Char"/>
    <w:basedOn w:val="DefaultParagraphFont"/>
    <w:link w:val="FootnoteText"/>
    <w:rsid w:val="00E61C6B"/>
    <w:rPr>
      <w:rFonts w:ascii="Arial" w:hAnsi="Arial" w:cs="Arial"/>
      <w:snapToGrid w:val="0"/>
      <w:lang w:eastAsia="en-US"/>
    </w:rPr>
  </w:style>
  <w:style w:type="character" w:styleId="FootnoteReference">
    <w:name w:val="footnote reference"/>
    <w:basedOn w:val="DefaultParagraphFont"/>
    <w:unhideWhenUsed/>
    <w:rsid w:val="00E61C6B"/>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727ED"/>
    <w:pPr>
      <w:widowControl/>
      <w:spacing w:after="160" w:line="240" w:lineRule="exact"/>
      <w:jc w:val="left"/>
    </w:pPr>
    <w:rPr>
      <w:rFonts w:ascii="Verdana" w:eastAsia="MS Mincho" w:hAnsi="Verdana" w:cs="Verdana"/>
      <w:snapToGrid/>
      <w:sz w:val="20"/>
      <w:lang w:val="en-US"/>
    </w:rPr>
  </w:style>
  <w:style w:type="paragraph" w:styleId="Subtitle">
    <w:name w:val="Subtitle"/>
    <w:basedOn w:val="Normal"/>
    <w:link w:val="SubtitleChar"/>
    <w:qFormat/>
    <w:rsid w:val="0073605B"/>
    <w:pPr>
      <w:widowControl/>
    </w:pPr>
    <w:rPr>
      <w:rFonts w:ascii="Times New Roman" w:hAnsi="Times New Roman" w:cs="Times New Roman"/>
      <w:b/>
      <w:snapToGrid/>
      <w:sz w:val="24"/>
      <w:lang w:eastAsia="en-AU"/>
    </w:rPr>
  </w:style>
  <w:style w:type="character" w:customStyle="1" w:styleId="SubtitleChar">
    <w:name w:val="Subtitle Char"/>
    <w:basedOn w:val="DefaultParagraphFont"/>
    <w:link w:val="Subtitle"/>
    <w:rsid w:val="0073605B"/>
    <w:rPr>
      <w:b/>
      <w:sz w:val="24"/>
    </w:rPr>
  </w:style>
  <w:style w:type="paragraph" w:customStyle="1" w:styleId="Default">
    <w:name w:val="Default"/>
    <w:rsid w:val="00D16777"/>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rsid w:val="0030199B"/>
    <w:rPr>
      <w:rFonts w:ascii="Arial" w:hAnsi="Arial" w:cs="Arial"/>
      <w:snapToGrid w:val="0"/>
      <w:sz w:val="22"/>
      <w:u w:val="single"/>
      <w:lang w:eastAsia="en-US"/>
    </w:rPr>
  </w:style>
  <w:style w:type="character" w:styleId="LineNumber">
    <w:name w:val="line number"/>
    <w:basedOn w:val="DefaultParagraphFont"/>
    <w:semiHidden/>
    <w:unhideWhenUsed/>
    <w:rsid w:val="00F66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556E9C"/>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556E9C"/>
    <w:pPr>
      <w:numPr>
        <w:numId w:val="1"/>
      </w:numPr>
      <w:outlineLvl w:val="0"/>
    </w:pPr>
    <w:rPr>
      <w:rFonts w:ascii="Arial" w:hAnsi="Arial" w:cs="Arial"/>
      <w:snapToGrid w:val="0"/>
      <w:sz w:val="22"/>
      <w:szCs w:val="22"/>
      <w:lang w:eastAsia="en-US"/>
    </w:rPr>
  </w:style>
  <w:style w:type="character" w:customStyle="1" w:styleId="ListParagraphChar">
    <w:name w:val="List Paragraph Char"/>
    <w:aliases w:val="BulletPoints Char"/>
    <w:link w:val="ListParagraph"/>
    <w:uiPriority w:val="34"/>
    <w:rsid w:val="002A13F5"/>
    <w:rPr>
      <w:rFonts w:ascii="Arial" w:hAnsi="Arial" w:cs="Arial"/>
      <w:snapToGrid w:val="0"/>
      <w:sz w:val="22"/>
      <w:lang w:eastAsia="en-US"/>
    </w:rPr>
  </w:style>
  <w:style w:type="paragraph" w:styleId="DocumentMap">
    <w:name w:val="Document Map"/>
    <w:basedOn w:val="Normal"/>
    <w:link w:val="DocumentMapChar"/>
    <w:semiHidden/>
    <w:unhideWhenUsed/>
    <w:rsid w:val="00C04FA5"/>
    <w:rPr>
      <w:rFonts w:ascii="Lucida Grande" w:hAnsi="Lucida Grande" w:cs="Lucida Grande"/>
      <w:sz w:val="24"/>
      <w:szCs w:val="24"/>
    </w:rPr>
  </w:style>
  <w:style w:type="character" w:customStyle="1" w:styleId="DocumentMapChar">
    <w:name w:val="Document Map Char"/>
    <w:basedOn w:val="DefaultParagraphFont"/>
    <w:link w:val="DocumentMap"/>
    <w:semiHidden/>
    <w:rsid w:val="00C04FA5"/>
    <w:rPr>
      <w:rFonts w:ascii="Lucida Grande" w:hAnsi="Lucida Grande" w:cs="Lucida Grande"/>
      <w:snapToGrid w:val="0"/>
      <w:sz w:val="24"/>
      <w:szCs w:val="24"/>
      <w:lang w:eastAsia="en-US"/>
    </w:rPr>
  </w:style>
  <w:style w:type="paragraph" w:customStyle="1" w:styleId="PBACHeading10">
    <w:name w:val="PBAC Heading 1"/>
    <w:qFormat/>
    <w:rsid w:val="00E61C6B"/>
    <w:pPr>
      <w:ind w:left="720" w:hanging="720"/>
    </w:pPr>
    <w:rPr>
      <w:rFonts w:ascii="Arial" w:hAnsi="Arial" w:cs="Arial"/>
      <w:b/>
      <w:snapToGrid w:val="0"/>
      <w:sz w:val="22"/>
      <w:szCs w:val="22"/>
      <w:lang w:eastAsia="en-US"/>
    </w:rPr>
  </w:style>
  <w:style w:type="paragraph" w:styleId="FootnoteText">
    <w:name w:val="footnote text"/>
    <w:basedOn w:val="Normal"/>
    <w:link w:val="FootnoteTextChar"/>
    <w:unhideWhenUsed/>
    <w:rsid w:val="00E61C6B"/>
    <w:rPr>
      <w:sz w:val="20"/>
    </w:rPr>
  </w:style>
  <w:style w:type="character" w:customStyle="1" w:styleId="FootnoteTextChar">
    <w:name w:val="Footnote Text Char"/>
    <w:basedOn w:val="DefaultParagraphFont"/>
    <w:link w:val="FootnoteText"/>
    <w:rsid w:val="00E61C6B"/>
    <w:rPr>
      <w:rFonts w:ascii="Arial" w:hAnsi="Arial" w:cs="Arial"/>
      <w:snapToGrid w:val="0"/>
      <w:lang w:eastAsia="en-US"/>
    </w:rPr>
  </w:style>
  <w:style w:type="character" w:styleId="FootnoteReference">
    <w:name w:val="footnote reference"/>
    <w:basedOn w:val="DefaultParagraphFont"/>
    <w:unhideWhenUsed/>
    <w:rsid w:val="00E61C6B"/>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727ED"/>
    <w:pPr>
      <w:widowControl/>
      <w:spacing w:after="160" w:line="240" w:lineRule="exact"/>
      <w:jc w:val="left"/>
    </w:pPr>
    <w:rPr>
      <w:rFonts w:ascii="Verdana" w:eastAsia="MS Mincho" w:hAnsi="Verdana" w:cs="Verdana"/>
      <w:snapToGrid/>
      <w:sz w:val="20"/>
      <w:lang w:val="en-US"/>
    </w:rPr>
  </w:style>
  <w:style w:type="paragraph" w:styleId="Subtitle">
    <w:name w:val="Subtitle"/>
    <w:basedOn w:val="Normal"/>
    <w:link w:val="SubtitleChar"/>
    <w:qFormat/>
    <w:rsid w:val="0073605B"/>
    <w:pPr>
      <w:widowControl/>
    </w:pPr>
    <w:rPr>
      <w:rFonts w:ascii="Times New Roman" w:hAnsi="Times New Roman" w:cs="Times New Roman"/>
      <w:b/>
      <w:snapToGrid/>
      <w:sz w:val="24"/>
      <w:lang w:eastAsia="en-AU"/>
    </w:rPr>
  </w:style>
  <w:style w:type="character" w:customStyle="1" w:styleId="SubtitleChar">
    <w:name w:val="Subtitle Char"/>
    <w:basedOn w:val="DefaultParagraphFont"/>
    <w:link w:val="Subtitle"/>
    <w:rsid w:val="0073605B"/>
    <w:rPr>
      <w:b/>
      <w:sz w:val="24"/>
    </w:rPr>
  </w:style>
  <w:style w:type="paragraph" w:customStyle="1" w:styleId="Default">
    <w:name w:val="Default"/>
    <w:rsid w:val="00D16777"/>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rsid w:val="0030199B"/>
    <w:rPr>
      <w:rFonts w:ascii="Arial" w:hAnsi="Arial" w:cs="Arial"/>
      <w:snapToGrid w:val="0"/>
      <w:sz w:val="22"/>
      <w:u w:val="single"/>
      <w:lang w:eastAsia="en-US"/>
    </w:rPr>
  </w:style>
  <w:style w:type="character" w:styleId="LineNumber">
    <w:name w:val="line number"/>
    <w:basedOn w:val="DefaultParagraphFont"/>
    <w:semiHidden/>
    <w:unhideWhenUsed/>
    <w:rsid w:val="00F66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0650">
      <w:bodyDiv w:val="1"/>
      <w:marLeft w:val="0"/>
      <w:marRight w:val="0"/>
      <w:marTop w:val="0"/>
      <w:marBottom w:val="0"/>
      <w:divBdr>
        <w:top w:val="none" w:sz="0" w:space="0" w:color="auto"/>
        <w:left w:val="none" w:sz="0" w:space="0" w:color="auto"/>
        <w:bottom w:val="none" w:sz="0" w:space="0" w:color="auto"/>
        <w:right w:val="none" w:sz="0" w:space="0" w:color="auto"/>
      </w:divBdr>
    </w:div>
    <w:div w:id="56786357">
      <w:bodyDiv w:val="1"/>
      <w:marLeft w:val="0"/>
      <w:marRight w:val="0"/>
      <w:marTop w:val="0"/>
      <w:marBottom w:val="0"/>
      <w:divBdr>
        <w:top w:val="none" w:sz="0" w:space="0" w:color="auto"/>
        <w:left w:val="none" w:sz="0" w:space="0" w:color="auto"/>
        <w:bottom w:val="none" w:sz="0" w:space="0" w:color="auto"/>
        <w:right w:val="none" w:sz="0" w:space="0" w:color="auto"/>
      </w:divBdr>
    </w:div>
    <w:div w:id="309478431">
      <w:bodyDiv w:val="1"/>
      <w:marLeft w:val="0"/>
      <w:marRight w:val="0"/>
      <w:marTop w:val="0"/>
      <w:marBottom w:val="0"/>
      <w:divBdr>
        <w:top w:val="none" w:sz="0" w:space="0" w:color="auto"/>
        <w:left w:val="none" w:sz="0" w:space="0" w:color="auto"/>
        <w:bottom w:val="none" w:sz="0" w:space="0" w:color="auto"/>
        <w:right w:val="none" w:sz="0" w:space="0" w:color="auto"/>
      </w:divBdr>
    </w:div>
    <w:div w:id="315762744">
      <w:bodyDiv w:val="1"/>
      <w:marLeft w:val="0"/>
      <w:marRight w:val="0"/>
      <w:marTop w:val="0"/>
      <w:marBottom w:val="0"/>
      <w:divBdr>
        <w:top w:val="none" w:sz="0" w:space="0" w:color="auto"/>
        <w:left w:val="none" w:sz="0" w:space="0" w:color="auto"/>
        <w:bottom w:val="none" w:sz="0" w:space="0" w:color="auto"/>
        <w:right w:val="none" w:sz="0" w:space="0" w:color="auto"/>
      </w:divBdr>
    </w:div>
    <w:div w:id="400031835">
      <w:bodyDiv w:val="1"/>
      <w:marLeft w:val="0"/>
      <w:marRight w:val="0"/>
      <w:marTop w:val="0"/>
      <w:marBottom w:val="0"/>
      <w:divBdr>
        <w:top w:val="none" w:sz="0" w:space="0" w:color="auto"/>
        <w:left w:val="none" w:sz="0" w:space="0" w:color="auto"/>
        <w:bottom w:val="none" w:sz="0" w:space="0" w:color="auto"/>
        <w:right w:val="none" w:sz="0" w:space="0" w:color="auto"/>
      </w:divBdr>
    </w:div>
    <w:div w:id="636229618">
      <w:bodyDiv w:val="1"/>
      <w:marLeft w:val="0"/>
      <w:marRight w:val="0"/>
      <w:marTop w:val="0"/>
      <w:marBottom w:val="0"/>
      <w:divBdr>
        <w:top w:val="none" w:sz="0" w:space="0" w:color="auto"/>
        <w:left w:val="none" w:sz="0" w:space="0" w:color="auto"/>
        <w:bottom w:val="none" w:sz="0" w:space="0" w:color="auto"/>
        <w:right w:val="none" w:sz="0" w:space="0" w:color="auto"/>
      </w:divBdr>
    </w:div>
    <w:div w:id="754398418">
      <w:bodyDiv w:val="1"/>
      <w:marLeft w:val="0"/>
      <w:marRight w:val="0"/>
      <w:marTop w:val="0"/>
      <w:marBottom w:val="0"/>
      <w:divBdr>
        <w:top w:val="none" w:sz="0" w:space="0" w:color="auto"/>
        <w:left w:val="none" w:sz="0" w:space="0" w:color="auto"/>
        <w:bottom w:val="none" w:sz="0" w:space="0" w:color="auto"/>
        <w:right w:val="none" w:sz="0" w:space="0" w:color="auto"/>
      </w:divBdr>
    </w:div>
    <w:div w:id="940449898">
      <w:bodyDiv w:val="1"/>
      <w:marLeft w:val="0"/>
      <w:marRight w:val="0"/>
      <w:marTop w:val="0"/>
      <w:marBottom w:val="0"/>
      <w:divBdr>
        <w:top w:val="none" w:sz="0" w:space="0" w:color="auto"/>
        <w:left w:val="none" w:sz="0" w:space="0" w:color="auto"/>
        <w:bottom w:val="none" w:sz="0" w:space="0" w:color="auto"/>
        <w:right w:val="none" w:sz="0" w:space="0" w:color="auto"/>
      </w:divBdr>
    </w:div>
    <w:div w:id="1070541618">
      <w:bodyDiv w:val="1"/>
      <w:marLeft w:val="0"/>
      <w:marRight w:val="0"/>
      <w:marTop w:val="0"/>
      <w:marBottom w:val="0"/>
      <w:divBdr>
        <w:top w:val="none" w:sz="0" w:space="0" w:color="auto"/>
        <w:left w:val="none" w:sz="0" w:space="0" w:color="auto"/>
        <w:bottom w:val="none" w:sz="0" w:space="0" w:color="auto"/>
        <w:right w:val="none" w:sz="0" w:space="0" w:color="auto"/>
      </w:divBdr>
      <w:divsChild>
        <w:div w:id="48961654">
          <w:marLeft w:val="360"/>
          <w:marRight w:val="0"/>
          <w:marTop w:val="200"/>
          <w:marBottom w:val="0"/>
          <w:divBdr>
            <w:top w:val="none" w:sz="0" w:space="0" w:color="auto"/>
            <w:left w:val="none" w:sz="0" w:space="0" w:color="auto"/>
            <w:bottom w:val="none" w:sz="0" w:space="0" w:color="auto"/>
            <w:right w:val="none" w:sz="0" w:space="0" w:color="auto"/>
          </w:divBdr>
        </w:div>
        <w:div w:id="715861090">
          <w:marLeft w:val="360"/>
          <w:marRight w:val="0"/>
          <w:marTop w:val="200"/>
          <w:marBottom w:val="0"/>
          <w:divBdr>
            <w:top w:val="none" w:sz="0" w:space="0" w:color="auto"/>
            <w:left w:val="none" w:sz="0" w:space="0" w:color="auto"/>
            <w:bottom w:val="none" w:sz="0" w:space="0" w:color="auto"/>
            <w:right w:val="none" w:sz="0" w:space="0" w:color="auto"/>
          </w:divBdr>
        </w:div>
      </w:divsChild>
    </w:div>
    <w:div w:id="1194920302">
      <w:bodyDiv w:val="1"/>
      <w:marLeft w:val="0"/>
      <w:marRight w:val="0"/>
      <w:marTop w:val="0"/>
      <w:marBottom w:val="0"/>
      <w:divBdr>
        <w:top w:val="none" w:sz="0" w:space="0" w:color="auto"/>
        <w:left w:val="none" w:sz="0" w:space="0" w:color="auto"/>
        <w:bottom w:val="none" w:sz="0" w:space="0" w:color="auto"/>
        <w:right w:val="none" w:sz="0" w:space="0" w:color="auto"/>
      </w:divBdr>
    </w:div>
    <w:div w:id="1284506245">
      <w:bodyDiv w:val="1"/>
      <w:marLeft w:val="0"/>
      <w:marRight w:val="0"/>
      <w:marTop w:val="0"/>
      <w:marBottom w:val="0"/>
      <w:divBdr>
        <w:top w:val="none" w:sz="0" w:space="0" w:color="auto"/>
        <w:left w:val="none" w:sz="0" w:space="0" w:color="auto"/>
        <w:bottom w:val="none" w:sz="0" w:space="0" w:color="auto"/>
        <w:right w:val="none" w:sz="0" w:space="0" w:color="auto"/>
      </w:divBdr>
    </w:div>
    <w:div w:id="1341157576">
      <w:bodyDiv w:val="1"/>
      <w:marLeft w:val="0"/>
      <w:marRight w:val="0"/>
      <w:marTop w:val="0"/>
      <w:marBottom w:val="0"/>
      <w:divBdr>
        <w:top w:val="none" w:sz="0" w:space="0" w:color="auto"/>
        <w:left w:val="none" w:sz="0" w:space="0" w:color="auto"/>
        <w:bottom w:val="none" w:sz="0" w:space="0" w:color="auto"/>
        <w:right w:val="none" w:sz="0" w:space="0" w:color="auto"/>
      </w:divBdr>
    </w:div>
    <w:div w:id="1402406958">
      <w:bodyDiv w:val="1"/>
      <w:marLeft w:val="0"/>
      <w:marRight w:val="0"/>
      <w:marTop w:val="0"/>
      <w:marBottom w:val="0"/>
      <w:divBdr>
        <w:top w:val="none" w:sz="0" w:space="0" w:color="auto"/>
        <w:left w:val="none" w:sz="0" w:space="0" w:color="auto"/>
        <w:bottom w:val="none" w:sz="0" w:space="0" w:color="auto"/>
        <w:right w:val="none" w:sz="0" w:space="0" w:color="auto"/>
      </w:divBdr>
    </w:div>
    <w:div w:id="1431466959">
      <w:bodyDiv w:val="1"/>
      <w:marLeft w:val="0"/>
      <w:marRight w:val="0"/>
      <w:marTop w:val="0"/>
      <w:marBottom w:val="0"/>
      <w:divBdr>
        <w:top w:val="none" w:sz="0" w:space="0" w:color="auto"/>
        <w:left w:val="none" w:sz="0" w:space="0" w:color="auto"/>
        <w:bottom w:val="none" w:sz="0" w:space="0" w:color="auto"/>
        <w:right w:val="none" w:sz="0" w:space="0" w:color="auto"/>
      </w:divBdr>
    </w:div>
    <w:div w:id="1668090679">
      <w:bodyDiv w:val="1"/>
      <w:marLeft w:val="0"/>
      <w:marRight w:val="0"/>
      <w:marTop w:val="0"/>
      <w:marBottom w:val="0"/>
      <w:divBdr>
        <w:top w:val="none" w:sz="0" w:space="0" w:color="auto"/>
        <w:left w:val="none" w:sz="0" w:space="0" w:color="auto"/>
        <w:bottom w:val="none" w:sz="0" w:space="0" w:color="auto"/>
        <w:right w:val="none" w:sz="0" w:space="0" w:color="auto"/>
      </w:divBdr>
    </w:div>
    <w:div w:id="1672364993">
      <w:bodyDiv w:val="1"/>
      <w:marLeft w:val="0"/>
      <w:marRight w:val="0"/>
      <w:marTop w:val="0"/>
      <w:marBottom w:val="0"/>
      <w:divBdr>
        <w:top w:val="none" w:sz="0" w:space="0" w:color="auto"/>
        <w:left w:val="none" w:sz="0" w:space="0" w:color="auto"/>
        <w:bottom w:val="none" w:sz="0" w:space="0" w:color="auto"/>
        <w:right w:val="none" w:sz="0" w:space="0" w:color="auto"/>
      </w:divBdr>
    </w:div>
    <w:div w:id="1845120997">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1366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FB3C-ADA1-4442-AEBC-5A33E84F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10521</Words>
  <Characters>60782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2017-02-07T22:49:00Z</dcterms:created>
  <dcterms:modified xsi:type="dcterms:W3CDTF">2017-02-16T00:51:00Z</dcterms:modified>
</cp:coreProperties>
</file>