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A58" w:rsidRPr="00051C8C" w:rsidRDefault="00561A58" w:rsidP="00207D00">
      <w:bookmarkStart w:id="0" w:name="_GoBack"/>
      <w:bookmarkEnd w:id="0"/>
    </w:p>
    <w:p w:rsidR="00F11530" w:rsidRPr="00051C8C" w:rsidRDefault="00507CB2" w:rsidP="005337AB">
      <w:pPr>
        <w:pStyle w:val="Heading1"/>
      </w:pPr>
      <w:bookmarkStart w:id="1" w:name="_Toc461605999"/>
      <w:bookmarkStart w:id="2" w:name="_Toc341702043"/>
      <w:bookmarkStart w:id="3" w:name="_Toc380742621"/>
      <w:bookmarkStart w:id="4" w:name="_Toc380746188"/>
      <w:bookmarkStart w:id="5" w:name="_Toc380746314"/>
      <w:bookmarkStart w:id="6" w:name="_Toc380746595"/>
      <w:r w:rsidRPr="00051C8C">
        <w:t>5</w:t>
      </w:r>
      <w:r w:rsidR="00F11530" w:rsidRPr="00051C8C">
        <w:t>.</w:t>
      </w:r>
      <w:r w:rsidRPr="00051C8C">
        <w:t>07</w:t>
      </w:r>
      <w:r w:rsidR="00F11530" w:rsidRPr="00051C8C">
        <w:tab/>
        <w:t>INFLIXIMAB (</w:t>
      </w:r>
      <w:proofErr w:type="spellStart"/>
      <w:r w:rsidR="00F11530" w:rsidRPr="00051C8C">
        <w:t>biosimilar</w:t>
      </w:r>
      <w:proofErr w:type="spellEnd"/>
      <w:r w:rsidR="00F11530" w:rsidRPr="00051C8C">
        <w:t>),</w:t>
      </w:r>
      <w:r w:rsidR="004446C9" w:rsidRPr="00051C8C">
        <w:t xml:space="preserve"> </w:t>
      </w:r>
      <w:r w:rsidR="004446C9" w:rsidRPr="00051C8C">
        <w:br/>
      </w:r>
      <w:r w:rsidR="000512CD" w:rsidRPr="00051C8C">
        <w:t>100 mg injection, 1 vial</w:t>
      </w:r>
      <w:r w:rsidR="004446C9" w:rsidRPr="00051C8C">
        <w:t xml:space="preserve">, </w:t>
      </w:r>
      <w:r w:rsidR="004446C9" w:rsidRPr="00051C8C">
        <w:br/>
      </w:r>
      <w:proofErr w:type="spellStart"/>
      <w:r w:rsidR="001539AA" w:rsidRPr="00051C8C">
        <w:t>Renflexis</w:t>
      </w:r>
      <w:proofErr w:type="spellEnd"/>
      <w:r w:rsidR="00F11530" w:rsidRPr="00051C8C">
        <w:t>®,</w:t>
      </w:r>
      <w:r w:rsidR="004446C9" w:rsidRPr="00051C8C">
        <w:t xml:space="preserve"> </w:t>
      </w:r>
      <w:r w:rsidR="004446C9" w:rsidRPr="00051C8C">
        <w:br/>
      </w:r>
      <w:r w:rsidR="00F11530" w:rsidRPr="00051C8C">
        <w:t>Merck Sharp &amp; Dohme (Australia) Pty Ltd</w:t>
      </w:r>
      <w:bookmarkEnd w:id="1"/>
      <w:r w:rsidR="00287016">
        <w:t>.</w:t>
      </w:r>
    </w:p>
    <w:p w:rsidR="00F11530" w:rsidRPr="00D543A5" w:rsidRDefault="00F11530" w:rsidP="00F11530"/>
    <w:p w:rsidR="00F11530" w:rsidRPr="00D543A5" w:rsidRDefault="00F11530" w:rsidP="00F11530"/>
    <w:p w:rsidR="00F11530" w:rsidRPr="00D543A5" w:rsidRDefault="00F11530" w:rsidP="005337AB">
      <w:pPr>
        <w:pStyle w:val="Heading2"/>
      </w:pPr>
      <w:bookmarkStart w:id="7" w:name="_Toc461606001"/>
      <w:r w:rsidRPr="00D543A5">
        <w:t>Purpose of Application</w:t>
      </w:r>
      <w:bookmarkEnd w:id="7"/>
    </w:p>
    <w:p w:rsidR="00F11530" w:rsidRPr="00D543A5" w:rsidRDefault="00F11530" w:rsidP="00F11530">
      <w:pPr>
        <w:rPr>
          <w:szCs w:val="22"/>
        </w:rPr>
      </w:pPr>
    </w:p>
    <w:p w:rsidR="00F11530" w:rsidRPr="00D543A5" w:rsidRDefault="00F11530" w:rsidP="00F11530">
      <w:pPr>
        <w:pStyle w:val="ListParagraph"/>
        <w:widowControl/>
        <w:numPr>
          <w:ilvl w:val="1"/>
          <w:numId w:val="5"/>
        </w:numPr>
        <w:rPr>
          <w:szCs w:val="22"/>
        </w:rPr>
      </w:pPr>
      <w:r w:rsidRPr="00D543A5">
        <w:t>The submission requested a Section 100 (Highly Specialised Drugs Program</w:t>
      </w:r>
      <w:r w:rsidR="00967EED" w:rsidRPr="00D543A5">
        <w:t>, Public and Private Hospital</w:t>
      </w:r>
      <w:r w:rsidRPr="00D543A5">
        <w:t xml:space="preserve">) listing of </w:t>
      </w:r>
      <w:proofErr w:type="spellStart"/>
      <w:r w:rsidR="00462E3C" w:rsidRPr="00D543A5">
        <w:t>Renflexis</w:t>
      </w:r>
      <w:proofErr w:type="spellEnd"/>
      <w:r w:rsidRPr="00D543A5">
        <w:rPr>
          <w:vertAlign w:val="superscript"/>
        </w:rPr>
        <w:t>®</w:t>
      </w:r>
      <w:r w:rsidR="00462E3C" w:rsidRPr="00D543A5">
        <w:t xml:space="preserve">, or SB2, </w:t>
      </w:r>
      <w:r w:rsidRPr="00D543A5">
        <w:t>a biosimilar with the same indications and restrictions as the currently PBS listed brand of Remicade</w:t>
      </w:r>
      <w:r w:rsidRPr="00D543A5">
        <w:rPr>
          <w:vertAlign w:val="superscript"/>
        </w:rPr>
        <w:t>®</w:t>
      </w:r>
      <w:r w:rsidRPr="00D543A5">
        <w:t xml:space="preserve"> (infliximab). </w:t>
      </w:r>
      <w:r w:rsidRPr="00D543A5">
        <w:rPr>
          <w:szCs w:val="22"/>
        </w:rPr>
        <w:t>Remicade is currently PBS listed for rheumatoid arthritis, ankylosing spondylitis, psoriatic arthritis, psoriasis, ulcerative colitis and Crohn’s disease.</w:t>
      </w:r>
    </w:p>
    <w:p w:rsidR="00F11530" w:rsidRPr="00D543A5" w:rsidRDefault="00F11530" w:rsidP="00F11530"/>
    <w:p w:rsidR="00F11530" w:rsidRPr="00D543A5" w:rsidRDefault="00F11530" w:rsidP="005337AB">
      <w:pPr>
        <w:pStyle w:val="Heading2"/>
      </w:pPr>
      <w:bookmarkStart w:id="8" w:name="_Toc461606002"/>
      <w:r w:rsidRPr="00D543A5">
        <w:t>Requested listing</w:t>
      </w:r>
      <w:bookmarkEnd w:id="8"/>
    </w:p>
    <w:p w:rsidR="00F11530" w:rsidRPr="00D543A5" w:rsidRDefault="00F11530" w:rsidP="00F11530"/>
    <w:p w:rsidR="00F11530" w:rsidRPr="00D543A5" w:rsidRDefault="00F11530" w:rsidP="00F11530">
      <w:pPr>
        <w:pStyle w:val="ListParagraph"/>
        <w:widowControl/>
        <w:numPr>
          <w:ilvl w:val="1"/>
          <w:numId w:val="5"/>
        </w:numPr>
        <w:rPr>
          <w:szCs w:val="22"/>
        </w:rPr>
      </w:pPr>
      <w:r w:rsidRPr="00D543A5">
        <w:t xml:space="preserve">The requested listings are summarised below. </w:t>
      </w:r>
      <w:proofErr w:type="spellStart"/>
      <w:r w:rsidR="00462E3C" w:rsidRPr="00D543A5">
        <w:t>Renflexis</w:t>
      </w:r>
      <w:proofErr w:type="spellEnd"/>
      <w:r w:rsidRPr="00D543A5">
        <w:t xml:space="preserve"> is marketed in some countries</w:t>
      </w:r>
      <w:r w:rsidR="00507CB2" w:rsidRPr="00D543A5">
        <w:t xml:space="preserve"> (including in the European Union)</w:t>
      </w:r>
      <w:r w:rsidRPr="00D543A5">
        <w:t xml:space="preserve"> under the trade name </w:t>
      </w:r>
      <w:proofErr w:type="spellStart"/>
      <w:r w:rsidRPr="00D543A5">
        <w:t>Flixabi</w:t>
      </w:r>
      <w:proofErr w:type="spellEnd"/>
      <w:r w:rsidRPr="00D543A5">
        <w:rPr>
          <w:vertAlign w:val="superscript"/>
        </w:rPr>
        <w:t>®</w:t>
      </w:r>
      <w:r w:rsidRPr="00D543A5">
        <w:t xml:space="preserve">. </w:t>
      </w:r>
    </w:p>
    <w:p w:rsidR="00F11530" w:rsidRPr="00D543A5" w:rsidRDefault="00F11530" w:rsidP="00F11530"/>
    <w:tbl>
      <w:tblPr>
        <w:tblW w:w="4597" w:type="pct"/>
        <w:tblInd w:w="728" w:type="dxa"/>
        <w:tblCellMar>
          <w:left w:w="28" w:type="dxa"/>
          <w:right w:w="28" w:type="dxa"/>
        </w:tblCellMar>
        <w:tblLook w:val="0000" w:firstRow="0" w:lastRow="0" w:firstColumn="0" w:lastColumn="0" w:noHBand="0" w:noVBand="0"/>
      </w:tblPr>
      <w:tblGrid>
        <w:gridCol w:w="2714"/>
        <w:gridCol w:w="583"/>
        <w:gridCol w:w="885"/>
        <w:gridCol w:w="1640"/>
        <w:gridCol w:w="1187"/>
        <w:gridCol w:w="1341"/>
      </w:tblGrid>
      <w:tr w:rsidR="00F11530" w:rsidRPr="00D543A5" w:rsidTr="008D2376">
        <w:trPr>
          <w:trHeight w:val="471"/>
        </w:trPr>
        <w:tc>
          <w:tcPr>
            <w:tcW w:w="1625" w:type="pct"/>
            <w:tcBorders>
              <w:bottom w:val="single" w:sz="4" w:space="0" w:color="auto"/>
            </w:tcBorders>
          </w:tcPr>
          <w:p w:rsidR="00F11530" w:rsidRPr="00D543A5" w:rsidRDefault="00F11530" w:rsidP="00F11530">
            <w:pPr>
              <w:rPr>
                <w:rFonts w:ascii="Arial Narrow" w:hAnsi="Arial Narrow"/>
                <w:sz w:val="20"/>
              </w:rPr>
            </w:pPr>
            <w:r w:rsidRPr="00D543A5">
              <w:rPr>
                <w:rFonts w:ascii="Arial Narrow" w:hAnsi="Arial Narrow"/>
                <w:sz w:val="20"/>
              </w:rPr>
              <w:t>Name, Restriction,</w:t>
            </w:r>
          </w:p>
          <w:p w:rsidR="00F11530" w:rsidRPr="00D543A5" w:rsidRDefault="00F11530" w:rsidP="00F11530">
            <w:pPr>
              <w:rPr>
                <w:rFonts w:ascii="Arial Narrow" w:hAnsi="Arial Narrow"/>
                <w:sz w:val="20"/>
              </w:rPr>
            </w:pPr>
            <w:r w:rsidRPr="00D543A5">
              <w:rPr>
                <w:rFonts w:ascii="Arial Narrow" w:hAnsi="Arial Narrow"/>
                <w:sz w:val="20"/>
              </w:rPr>
              <w:t>Manner of administration and form</w:t>
            </w:r>
          </w:p>
        </w:tc>
        <w:tc>
          <w:tcPr>
            <w:tcW w:w="349" w:type="pct"/>
            <w:tcBorders>
              <w:bottom w:val="single" w:sz="4" w:space="0" w:color="auto"/>
            </w:tcBorders>
          </w:tcPr>
          <w:p w:rsidR="00F11530" w:rsidRPr="00D543A5" w:rsidRDefault="00F11530" w:rsidP="00F11530">
            <w:pPr>
              <w:jc w:val="center"/>
              <w:rPr>
                <w:rFonts w:ascii="Arial Narrow" w:hAnsi="Arial Narrow"/>
                <w:sz w:val="20"/>
              </w:rPr>
            </w:pPr>
            <w:r w:rsidRPr="00D543A5">
              <w:rPr>
                <w:rFonts w:ascii="Arial Narrow" w:hAnsi="Arial Narrow"/>
                <w:sz w:val="20"/>
              </w:rPr>
              <w:t>Max.</w:t>
            </w:r>
          </w:p>
          <w:p w:rsidR="00F11530" w:rsidRPr="00D543A5" w:rsidRDefault="00F11530" w:rsidP="00F11530">
            <w:pPr>
              <w:jc w:val="center"/>
              <w:rPr>
                <w:rFonts w:ascii="Arial Narrow" w:hAnsi="Arial Narrow"/>
                <w:sz w:val="20"/>
              </w:rPr>
            </w:pPr>
            <w:r w:rsidRPr="00D543A5">
              <w:rPr>
                <w:rFonts w:ascii="Arial Narrow" w:hAnsi="Arial Narrow"/>
                <w:sz w:val="20"/>
              </w:rPr>
              <w:t>Qty</w:t>
            </w:r>
          </w:p>
        </w:tc>
        <w:tc>
          <w:tcPr>
            <w:tcW w:w="530" w:type="pct"/>
            <w:tcBorders>
              <w:bottom w:val="single" w:sz="4" w:space="0" w:color="auto"/>
            </w:tcBorders>
          </w:tcPr>
          <w:p w:rsidR="00F11530" w:rsidRPr="00D543A5" w:rsidRDefault="00F11530" w:rsidP="00F11530">
            <w:pPr>
              <w:jc w:val="center"/>
              <w:rPr>
                <w:rFonts w:ascii="Arial Narrow" w:hAnsi="Arial Narrow"/>
                <w:sz w:val="20"/>
              </w:rPr>
            </w:pPr>
            <w:r w:rsidRPr="00D543A5">
              <w:rPr>
                <w:rFonts w:ascii="Arial Narrow" w:hAnsi="Arial Narrow"/>
                <w:sz w:val="20"/>
              </w:rPr>
              <w:t>№.of</w:t>
            </w:r>
          </w:p>
          <w:p w:rsidR="00F11530" w:rsidRPr="00D543A5" w:rsidRDefault="00F11530" w:rsidP="00F11530">
            <w:pPr>
              <w:jc w:val="center"/>
              <w:rPr>
                <w:rFonts w:ascii="Arial Narrow" w:hAnsi="Arial Narrow"/>
                <w:sz w:val="20"/>
              </w:rPr>
            </w:pPr>
            <w:r w:rsidRPr="00D543A5">
              <w:rPr>
                <w:rFonts w:ascii="Arial Narrow" w:hAnsi="Arial Narrow"/>
                <w:sz w:val="20"/>
              </w:rPr>
              <w:t>Rpts</w:t>
            </w:r>
          </w:p>
        </w:tc>
        <w:tc>
          <w:tcPr>
            <w:tcW w:w="982" w:type="pct"/>
            <w:tcBorders>
              <w:bottom w:val="single" w:sz="4" w:space="0" w:color="auto"/>
            </w:tcBorders>
          </w:tcPr>
          <w:p w:rsidR="00F11530" w:rsidRPr="00D543A5" w:rsidRDefault="00F11530" w:rsidP="00F11530">
            <w:pPr>
              <w:jc w:val="center"/>
              <w:rPr>
                <w:rFonts w:ascii="Arial Narrow" w:hAnsi="Arial Narrow"/>
                <w:sz w:val="20"/>
              </w:rPr>
            </w:pPr>
            <w:r w:rsidRPr="00D543A5">
              <w:rPr>
                <w:rFonts w:ascii="Arial Narrow" w:hAnsi="Arial Narrow"/>
                <w:sz w:val="20"/>
              </w:rPr>
              <w:t>Dispensed Price for Max. Qty*</w:t>
            </w:r>
          </w:p>
        </w:tc>
        <w:tc>
          <w:tcPr>
            <w:tcW w:w="1514" w:type="pct"/>
            <w:gridSpan w:val="2"/>
            <w:tcBorders>
              <w:bottom w:val="single" w:sz="4" w:space="0" w:color="auto"/>
            </w:tcBorders>
          </w:tcPr>
          <w:p w:rsidR="00F11530" w:rsidRPr="00D543A5" w:rsidRDefault="00F11530" w:rsidP="00F11530">
            <w:pPr>
              <w:jc w:val="center"/>
              <w:rPr>
                <w:rFonts w:ascii="Arial Narrow" w:hAnsi="Arial Narrow"/>
                <w:sz w:val="20"/>
                <w:lang w:val="fr-FR"/>
              </w:rPr>
            </w:pPr>
            <w:r w:rsidRPr="00D543A5">
              <w:rPr>
                <w:rFonts w:ascii="Arial Narrow" w:hAnsi="Arial Narrow"/>
                <w:sz w:val="20"/>
              </w:rPr>
              <w:t>Proprietary Name and Manufacturer</w:t>
            </w:r>
          </w:p>
        </w:tc>
      </w:tr>
      <w:tr w:rsidR="00F11530" w:rsidRPr="00D543A5" w:rsidTr="008D2376">
        <w:trPr>
          <w:trHeight w:val="164"/>
        </w:trPr>
        <w:tc>
          <w:tcPr>
            <w:tcW w:w="1625" w:type="pct"/>
            <w:tcBorders>
              <w:top w:val="single" w:sz="4" w:space="0" w:color="auto"/>
            </w:tcBorders>
          </w:tcPr>
          <w:p w:rsidR="00F11530" w:rsidRPr="00D543A5" w:rsidRDefault="00F11530" w:rsidP="00967EED">
            <w:pPr>
              <w:rPr>
                <w:rFonts w:ascii="Arial Narrow" w:hAnsi="Arial Narrow"/>
                <w:sz w:val="20"/>
              </w:rPr>
            </w:pPr>
            <w:r w:rsidRPr="00D543A5">
              <w:rPr>
                <w:rFonts w:ascii="Arial Narrow" w:hAnsi="Arial Narrow"/>
                <w:smallCaps/>
                <w:sz w:val="20"/>
              </w:rPr>
              <w:t>Infliximab</w:t>
            </w:r>
          </w:p>
        </w:tc>
        <w:tc>
          <w:tcPr>
            <w:tcW w:w="349" w:type="pct"/>
            <w:tcBorders>
              <w:top w:val="single" w:sz="4" w:space="0" w:color="auto"/>
            </w:tcBorders>
          </w:tcPr>
          <w:p w:rsidR="00F11530" w:rsidRPr="00D543A5" w:rsidRDefault="00F11530" w:rsidP="00F11530">
            <w:pPr>
              <w:jc w:val="center"/>
              <w:rPr>
                <w:rFonts w:ascii="Arial Narrow" w:hAnsi="Arial Narrow"/>
                <w:sz w:val="20"/>
              </w:rPr>
            </w:pPr>
          </w:p>
        </w:tc>
        <w:tc>
          <w:tcPr>
            <w:tcW w:w="530" w:type="pct"/>
            <w:tcBorders>
              <w:top w:val="single" w:sz="4" w:space="0" w:color="auto"/>
            </w:tcBorders>
          </w:tcPr>
          <w:p w:rsidR="00F11530" w:rsidRPr="00D543A5" w:rsidRDefault="00F11530" w:rsidP="00F11530">
            <w:pPr>
              <w:jc w:val="center"/>
              <w:rPr>
                <w:rFonts w:ascii="Arial Narrow" w:hAnsi="Arial Narrow"/>
                <w:sz w:val="20"/>
              </w:rPr>
            </w:pPr>
          </w:p>
        </w:tc>
        <w:tc>
          <w:tcPr>
            <w:tcW w:w="982" w:type="pct"/>
            <w:tcBorders>
              <w:top w:val="single" w:sz="4" w:space="0" w:color="auto"/>
            </w:tcBorders>
          </w:tcPr>
          <w:p w:rsidR="00F11530" w:rsidRPr="00D543A5" w:rsidRDefault="00F11530" w:rsidP="00F11530">
            <w:pPr>
              <w:jc w:val="center"/>
              <w:rPr>
                <w:rFonts w:ascii="Arial Narrow" w:hAnsi="Arial Narrow"/>
                <w:sz w:val="20"/>
              </w:rPr>
            </w:pPr>
          </w:p>
        </w:tc>
        <w:tc>
          <w:tcPr>
            <w:tcW w:w="711" w:type="pct"/>
            <w:vMerge w:val="restart"/>
            <w:tcBorders>
              <w:top w:val="single" w:sz="4" w:space="0" w:color="auto"/>
            </w:tcBorders>
          </w:tcPr>
          <w:p w:rsidR="00F11530" w:rsidRPr="00D543A5" w:rsidRDefault="001539AA" w:rsidP="00F11530">
            <w:pPr>
              <w:jc w:val="center"/>
              <w:rPr>
                <w:rFonts w:ascii="Arial Narrow" w:hAnsi="Arial Narrow"/>
                <w:sz w:val="20"/>
              </w:rPr>
            </w:pPr>
            <w:proofErr w:type="spellStart"/>
            <w:r w:rsidRPr="00D543A5">
              <w:rPr>
                <w:rFonts w:ascii="Arial Narrow" w:hAnsi="Arial Narrow"/>
                <w:sz w:val="20"/>
              </w:rPr>
              <w:t>Renflexis</w:t>
            </w:r>
            <w:proofErr w:type="spellEnd"/>
            <w:r w:rsidRPr="00D543A5">
              <w:rPr>
                <w:rFonts w:ascii="Arial Narrow" w:hAnsi="Arial Narrow"/>
                <w:sz w:val="20"/>
              </w:rPr>
              <w:t xml:space="preserve"> </w:t>
            </w:r>
            <w:r w:rsidR="00F11530" w:rsidRPr="00D543A5">
              <w:rPr>
                <w:rFonts w:ascii="Arial Narrow" w:hAnsi="Arial Narrow"/>
                <w:sz w:val="20"/>
                <w:vertAlign w:val="superscript"/>
              </w:rPr>
              <w:t>®</w:t>
            </w:r>
          </w:p>
        </w:tc>
        <w:tc>
          <w:tcPr>
            <w:tcW w:w="803" w:type="pct"/>
            <w:vMerge w:val="restart"/>
            <w:tcBorders>
              <w:top w:val="single" w:sz="4" w:space="0" w:color="auto"/>
            </w:tcBorders>
          </w:tcPr>
          <w:p w:rsidR="00F11530" w:rsidRPr="00D543A5" w:rsidRDefault="00F11530" w:rsidP="00F11530">
            <w:pPr>
              <w:jc w:val="center"/>
              <w:rPr>
                <w:rFonts w:ascii="Arial Narrow" w:hAnsi="Arial Narrow"/>
                <w:sz w:val="20"/>
              </w:rPr>
            </w:pPr>
            <w:r w:rsidRPr="00D543A5">
              <w:rPr>
                <w:rFonts w:ascii="Arial Narrow" w:hAnsi="Arial Narrow"/>
                <w:sz w:val="20"/>
              </w:rPr>
              <w:t>Merck Sharp &amp; Dohme (Australia)</w:t>
            </w:r>
          </w:p>
          <w:p w:rsidR="00F11530" w:rsidRPr="00D543A5" w:rsidRDefault="00F11530" w:rsidP="00F11530">
            <w:pPr>
              <w:jc w:val="center"/>
              <w:rPr>
                <w:rFonts w:ascii="Arial Narrow" w:hAnsi="Arial Narrow"/>
                <w:sz w:val="20"/>
              </w:rPr>
            </w:pPr>
            <w:r w:rsidRPr="00D543A5">
              <w:rPr>
                <w:rFonts w:ascii="Arial Narrow" w:hAnsi="Arial Narrow"/>
                <w:sz w:val="20"/>
              </w:rPr>
              <w:t>Pty Ltd</w:t>
            </w:r>
          </w:p>
        </w:tc>
      </w:tr>
      <w:tr w:rsidR="00F11530" w:rsidRPr="00D543A5" w:rsidTr="008D2376">
        <w:trPr>
          <w:trHeight w:val="253"/>
        </w:trPr>
        <w:tc>
          <w:tcPr>
            <w:tcW w:w="1625" w:type="pct"/>
          </w:tcPr>
          <w:p w:rsidR="00F11530" w:rsidRPr="00D543A5" w:rsidRDefault="00F11530" w:rsidP="00F11530">
            <w:pPr>
              <w:rPr>
                <w:rFonts w:ascii="Arial Narrow" w:hAnsi="Arial Narrow"/>
                <w:b/>
                <w:smallCaps/>
                <w:sz w:val="20"/>
              </w:rPr>
            </w:pPr>
            <w:r w:rsidRPr="00D543A5">
              <w:rPr>
                <w:rFonts w:ascii="Arial Narrow" w:hAnsi="Arial Narrow"/>
                <w:b/>
                <w:sz w:val="20"/>
              </w:rPr>
              <w:t>PBS Item Codes</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8D2376">
        <w:trPr>
          <w:trHeight w:val="253"/>
        </w:trPr>
        <w:tc>
          <w:tcPr>
            <w:tcW w:w="1625" w:type="pct"/>
            <w:vAlign w:val="center"/>
          </w:tcPr>
          <w:p w:rsidR="00F11530" w:rsidRPr="00D543A5" w:rsidRDefault="00F11530" w:rsidP="00F11530">
            <w:pPr>
              <w:rPr>
                <w:rFonts w:ascii="Arial Narrow" w:hAnsi="Arial Narrow"/>
                <w:b/>
                <w:sz w:val="20"/>
              </w:rPr>
            </w:pPr>
            <w:r w:rsidRPr="00D543A5">
              <w:rPr>
                <w:rFonts w:ascii="Arial Narrow" w:hAnsi="Arial Narrow"/>
                <w:b/>
                <w:sz w:val="20"/>
              </w:rPr>
              <w:t>10196P, 5753T, 5754W, 5755X, 5756Y, 5757B, 5758C, 9654D</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8D2376">
        <w:trPr>
          <w:trHeight w:val="461"/>
        </w:trPr>
        <w:tc>
          <w:tcPr>
            <w:tcW w:w="1625" w:type="pct"/>
          </w:tcPr>
          <w:p w:rsidR="00F11530" w:rsidRPr="00D543A5" w:rsidRDefault="00F11530" w:rsidP="00F11530">
            <w:pPr>
              <w:rPr>
                <w:rFonts w:ascii="Arial Narrow" w:hAnsi="Arial Narrow"/>
                <w:b/>
                <w:sz w:val="20"/>
              </w:rPr>
            </w:pPr>
            <w:r w:rsidRPr="00D543A5">
              <w:rPr>
                <w:rFonts w:ascii="Arial Narrow" w:hAnsi="Arial Narrow"/>
                <w:sz w:val="20"/>
              </w:rPr>
              <w:t>Powder for injection 100mg, 1 vial</w:t>
            </w:r>
          </w:p>
        </w:tc>
        <w:tc>
          <w:tcPr>
            <w:tcW w:w="349" w:type="pct"/>
          </w:tcPr>
          <w:p w:rsidR="00F11530" w:rsidRPr="00D543A5" w:rsidRDefault="00F11530" w:rsidP="00F11530">
            <w:pPr>
              <w:jc w:val="center"/>
              <w:rPr>
                <w:rFonts w:ascii="Arial Narrow" w:hAnsi="Arial Narrow"/>
                <w:sz w:val="20"/>
              </w:rPr>
            </w:pPr>
            <w:r w:rsidRPr="00D543A5">
              <w:rPr>
                <w:rFonts w:ascii="Arial Narrow" w:hAnsi="Arial Narrow"/>
                <w:sz w:val="20"/>
              </w:rPr>
              <w:t>1</w:t>
            </w:r>
          </w:p>
        </w:tc>
        <w:tc>
          <w:tcPr>
            <w:tcW w:w="530" w:type="pct"/>
          </w:tcPr>
          <w:p w:rsidR="00F11530" w:rsidRPr="00D543A5" w:rsidRDefault="00F11530" w:rsidP="00F11530">
            <w:pPr>
              <w:jc w:val="center"/>
              <w:rPr>
                <w:rFonts w:ascii="Arial Narrow" w:hAnsi="Arial Narrow"/>
                <w:sz w:val="20"/>
              </w:rPr>
            </w:pPr>
            <w:r w:rsidRPr="00D543A5">
              <w:rPr>
                <w:rFonts w:ascii="Arial Narrow" w:hAnsi="Arial Narrow"/>
                <w:sz w:val="20"/>
              </w:rPr>
              <w:t>0</w:t>
            </w:r>
          </w:p>
        </w:tc>
        <w:tc>
          <w:tcPr>
            <w:tcW w:w="982" w:type="pct"/>
          </w:tcPr>
          <w:p w:rsidR="00F11530" w:rsidRPr="00D543A5" w:rsidRDefault="00F11530" w:rsidP="00F11530">
            <w:pPr>
              <w:jc w:val="center"/>
              <w:rPr>
                <w:rFonts w:ascii="Arial Narrow" w:hAnsi="Arial Narrow"/>
                <w:sz w:val="20"/>
              </w:rPr>
            </w:pPr>
            <w:r w:rsidRPr="00D543A5">
              <w:rPr>
                <w:rFonts w:ascii="Arial Narrow" w:hAnsi="Arial Narrow"/>
                <w:sz w:val="20"/>
              </w:rPr>
              <w:t>$</w:t>
            </w:r>
            <w:r w:rsidR="00E45B0A">
              <w:rPr>
                <w:rFonts w:ascii="Arial Narrow" w:hAnsi="Arial Narrow"/>
                <w:noProof/>
                <w:color w:val="000000"/>
                <w:sz w:val="20"/>
                <w:highlight w:val="black"/>
              </w:rPr>
              <w:t>'''''''''''''''</w:t>
            </w: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F11530">
        <w:trPr>
          <w:trHeight w:val="461"/>
        </w:trPr>
        <w:tc>
          <w:tcPr>
            <w:tcW w:w="5000" w:type="pct"/>
            <w:gridSpan w:val="6"/>
          </w:tcPr>
          <w:p w:rsidR="00F11530" w:rsidRDefault="00F11530" w:rsidP="00F11530">
            <w:pPr>
              <w:jc w:val="left"/>
              <w:rPr>
                <w:rFonts w:ascii="Arial Narrow" w:hAnsi="Arial Narrow"/>
                <w:sz w:val="20"/>
              </w:rPr>
            </w:pPr>
            <w:r w:rsidRPr="00D543A5">
              <w:rPr>
                <w:rFonts w:ascii="Arial Narrow" w:hAnsi="Arial Narrow"/>
                <w:sz w:val="20"/>
              </w:rPr>
              <w:t>Section 100 – Highly Specialised Drugs Program – Public: Moderate to severe ulcerative colitis, active ankylosing spondylitis, severe Crohn’s disease, moderate to severe Crohn’s disease, severe active psoriatic arthritis, severe active rheumatoid arthritis, severe chronic plaque psoriasis, complex refractory fistulising Crohn’s disease.</w:t>
            </w:r>
          </w:p>
          <w:p w:rsidR="0022792B" w:rsidRPr="00D543A5" w:rsidRDefault="0022792B" w:rsidP="00F11530">
            <w:pPr>
              <w:jc w:val="left"/>
              <w:rPr>
                <w:rFonts w:ascii="Arial Narrow" w:hAnsi="Arial Narrow"/>
                <w:sz w:val="20"/>
              </w:rPr>
            </w:pPr>
          </w:p>
        </w:tc>
      </w:tr>
      <w:tr w:rsidR="00F11530" w:rsidRPr="00D543A5" w:rsidTr="008D2376">
        <w:trPr>
          <w:trHeight w:val="141"/>
        </w:trPr>
        <w:tc>
          <w:tcPr>
            <w:tcW w:w="1625" w:type="pct"/>
          </w:tcPr>
          <w:p w:rsidR="00F11530" w:rsidRPr="00D543A5" w:rsidRDefault="00F11530" w:rsidP="00967EED">
            <w:pPr>
              <w:rPr>
                <w:rFonts w:ascii="Arial Narrow" w:hAnsi="Arial Narrow"/>
                <w:sz w:val="20"/>
              </w:rPr>
            </w:pPr>
            <w:r w:rsidRPr="00D543A5">
              <w:rPr>
                <w:rFonts w:ascii="Arial Narrow" w:hAnsi="Arial Narrow"/>
                <w:smallCaps/>
                <w:sz w:val="20"/>
              </w:rPr>
              <w:t>Infliximab</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val="restart"/>
          </w:tcPr>
          <w:p w:rsidR="00F11530" w:rsidRPr="00D543A5" w:rsidRDefault="001539AA" w:rsidP="00F11530">
            <w:pPr>
              <w:jc w:val="center"/>
              <w:rPr>
                <w:rFonts w:ascii="Arial Narrow" w:hAnsi="Arial Narrow"/>
                <w:sz w:val="20"/>
              </w:rPr>
            </w:pPr>
            <w:proofErr w:type="spellStart"/>
            <w:r w:rsidRPr="00D543A5">
              <w:rPr>
                <w:rFonts w:ascii="Arial Narrow" w:hAnsi="Arial Narrow"/>
                <w:sz w:val="20"/>
              </w:rPr>
              <w:t>Renflexis</w:t>
            </w:r>
            <w:proofErr w:type="spellEnd"/>
            <w:r w:rsidRPr="00D543A5">
              <w:rPr>
                <w:rFonts w:ascii="Arial Narrow" w:hAnsi="Arial Narrow"/>
                <w:sz w:val="20"/>
              </w:rPr>
              <w:t xml:space="preserve"> </w:t>
            </w:r>
            <w:r w:rsidR="00F11530" w:rsidRPr="00D543A5">
              <w:rPr>
                <w:rFonts w:ascii="Arial Narrow" w:hAnsi="Arial Narrow"/>
                <w:sz w:val="20"/>
                <w:vertAlign w:val="superscript"/>
              </w:rPr>
              <w:t>®</w:t>
            </w:r>
          </w:p>
        </w:tc>
        <w:tc>
          <w:tcPr>
            <w:tcW w:w="803" w:type="pct"/>
            <w:vMerge w:val="restart"/>
          </w:tcPr>
          <w:p w:rsidR="00F11530" w:rsidRPr="00D543A5" w:rsidRDefault="00F11530" w:rsidP="00F11530">
            <w:pPr>
              <w:jc w:val="center"/>
              <w:rPr>
                <w:rFonts w:ascii="Arial Narrow" w:hAnsi="Arial Narrow"/>
                <w:sz w:val="20"/>
              </w:rPr>
            </w:pPr>
            <w:r w:rsidRPr="00D543A5">
              <w:rPr>
                <w:rFonts w:ascii="Arial Narrow" w:hAnsi="Arial Narrow"/>
                <w:sz w:val="20"/>
              </w:rPr>
              <w:t xml:space="preserve">Merck Sharp &amp; Dohme </w:t>
            </w:r>
          </w:p>
          <w:p w:rsidR="00F11530" w:rsidRPr="00D543A5" w:rsidRDefault="00F11530" w:rsidP="00F11530">
            <w:pPr>
              <w:jc w:val="center"/>
              <w:rPr>
                <w:rFonts w:ascii="Arial Narrow" w:hAnsi="Arial Narrow"/>
                <w:sz w:val="20"/>
              </w:rPr>
            </w:pPr>
            <w:r w:rsidRPr="00D543A5">
              <w:rPr>
                <w:rFonts w:ascii="Arial Narrow" w:hAnsi="Arial Narrow"/>
                <w:sz w:val="20"/>
              </w:rPr>
              <w:t>(Australia)</w:t>
            </w:r>
          </w:p>
          <w:p w:rsidR="00F11530" w:rsidRPr="00D543A5" w:rsidRDefault="00F11530" w:rsidP="00F11530">
            <w:pPr>
              <w:jc w:val="center"/>
              <w:rPr>
                <w:rFonts w:ascii="Arial Narrow" w:hAnsi="Arial Narrow"/>
                <w:sz w:val="20"/>
              </w:rPr>
            </w:pPr>
            <w:r w:rsidRPr="00D543A5">
              <w:rPr>
                <w:rFonts w:ascii="Arial Narrow" w:hAnsi="Arial Narrow"/>
                <w:sz w:val="20"/>
              </w:rPr>
              <w:t>Pty Ltd</w:t>
            </w:r>
          </w:p>
        </w:tc>
      </w:tr>
      <w:tr w:rsidR="00F11530" w:rsidRPr="00D543A5" w:rsidTr="008D2376">
        <w:trPr>
          <w:trHeight w:val="141"/>
        </w:trPr>
        <w:tc>
          <w:tcPr>
            <w:tcW w:w="1625" w:type="pct"/>
          </w:tcPr>
          <w:p w:rsidR="00F11530" w:rsidRPr="00D543A5" w:rsidRDefault="00F11530" w:rsidP="00F11530">
            <w:pPr>
              <w:rPr>
                <w:rFonts w:ascii="Arial Narrow" w:hAnsi="Arial Narrow"/>
                <w:sz w:val="20"/>
              </w:rPr>
            </w:pPr>
            <w:r w:rsidRPr="00D543A5">
              <w:rPr>
                <w:rFonts w:ascii="Arial Narrow" w:hAnsi="Arial Narrow"/>
                <w:b/>
                <w:sz w:val="20"/>
              </w:rPr>
              <w:t>PBS Item Codes</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8D2376">
        <w:trPr>
          <w:trHeight w:val="444"/>
        </w:trPr>
        <w:tc>
          <w:tcPr>
            <w:tcW w:w="1625" w:type="pct"/>
          </w:tcPr>
          <w:p w:rsidR="00F11530" w:rsidRPr="00D543A5" w:rsidRDefault="00F11530" w:rsidP="00F11530">
            <w:pPr>
              <w:rPr>
                <w:rFonts w:ascii="Arial Narrow" w:hAnsi="Arial Narrow"/>
                <w:b/>
                <w:sz w:val="20"/>
              </w:rPr>
            </w:pPr>
            <w:r w:rsidRPr="00D543A5">
              <w:rPr>
                <w:rFonts w:ascii="Arial Narrow" w:hAnsi="Arial Narrow"/>
                <w:b/>
                <w:sz w:val="20"/>
              </w:rPr>
              <w:t>10184B, 6448J, 9613Y, 9612X, 6496X, 6397Q, 9617E, 9674E</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8D2376">
        <w:trPr>
          <w:trHeight w:val="452"/>
        </w:trPr>
        <w:tc>
          <w:tcPr>
            <w:tcW w:w="1625" w:type="pct"/>
          </w:tcPr>
          <w:p w:rsidR="00F11530" w:rsidRPr="00D543A5" w:rsidRDefault="00F11530" w:rsidP="00F11530">
            <w:pPr>
              <w:rPr>
                <w:rFonts w:ascii="Arial Narrow" w:hAnsi="Arial Narrow"/>
                <w:sz w:val="20"/>
              </w:rPr>
            </w:pPr>
            <w:r w:rsidRPr="00D543A5">
              <w:rPr>
                <w:rFonts w:ascii="Arial Narrow" w:hAnsi="Arial Narrow"/>
                <w:sz w:val="20"/>
              </w:rPr>
              <w:t>Powder for injection 100mg, 1 vial</w:t>
            </w:r>
          </w:p>
        </w:tc>
        <w:tc>
          <w:tcPr>
            <w:tcW w:w="349" w:type="pct"/>
          </w:tcPr>
          <w:p w:rsidR="00F11530" w:rsidRPr="00D543A5" w:rsidRDefault="00F11530" w:rsidP="00F11530">
            <w:pPr>
              <w:jc w:val="center"/>
              <w:rPr>
                <w:rFonts w:ascii="Arial Narrow" w:hAnsi="Arial Narrow"/>
                <w:sz w:val="20"/>
              </w:rPr>
            </w:pPr>
            <w:r w:rsidRPr="00D543A5">
              <w:rPr>
                <w:rFonts w:ascii="Arial Narrow" w:hAnsi="Arial Narrow"/>
                <w:sz w:val="20"/>
              </w:rPr>
              <w:t>1</w:t>
            </w:r>
          </w:p>
        </w:tc>
        <w:tc>
          <w:tcPr>
            <w:tcW w:w="530" w:type="pct"/>
          </w:tcPr>
          <w:p w:rsidR="00F11530" w:rsidRPr="00D543A5" w:rsidRDefault="00F11530" w:rsidP="00F11530">
            <w:pPr>
              <w:jc w:val="center"/>
              <w:rPr>
                <w:rFonts w:ascii="Arial Narrow" w:hAnsi="Arial Narrow"/>
                <w:sz w:val="20"/>
              </w:rPr>
            </w:pPr>
            <w:r w:rsidRPr="00D543A5">
              <w:rPr>
                <w:rFonts w:ascii="Arial Narrow" w:hAnsi="Arial Narrow"/>
                <w:sz w:val="20"/>
              </w:rPr>
              <w:t>0</w:t>
            </w:r>
          </w:p>
        </w:tc>
        <w:tc>
          <w:tcPr>
            <w:tcW w:w="982" w:type="pct"/>
          </w:tcPr>
          <w:p w:rsidR="00F11530" w:rsidRPr="00D543A5" w:rsidRDefault="00F11530" w:rsidP="00F11530">
            <w:pPr>
              <w:jc w:val="center"/>
              <w:rPr>
                <w:rFonts w:ascii="Arial Narrow" w:hAnsi="Arial Narrow"/>
                <w:sz w:val="20"/>
              </w:rPr>
            </w:pPr>
            <w:r w:rsidRPr="00D543A5">
              <w:rPr>
                <w:rFonts w:ascii="Arial Narrow" w:hAnsi="Arial Narrow"/>
                <w:sz w:val="20"/>
              </w:rPr>
              <w:t>$</w:t>
            </w:r>
            <w:r w:rsidR="00E45B0A">
              <w:rPr>
                <w:rFonts w:ascii="Arial Narrow" w:hAnsi="Arial Narrow"/>
                <w:noProof/>
                <w:color w:val="000000"/>
                <w:sz w:val="20"/>
                <w:highlight w:val="black"/>
              </w:rPr>
              <w:t>'''''''''''''''</w:t>
            </w: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F11530">
        <w:trPr>
          <w:trHeight w:val="452"/>
        </w:trPr>
        <w:tc>
          <w:tcPr>
            <w:tcW w:w="5000" w:type="pct"/>
            <w:gridSpan w:val="6"/>
          </w:tcPr>
          <w:p w:rsidR="00F11530" w:rsidRDefault="00F11530" w:rsidP="00F11530">
            <w:pPr>
              <w:jc w:val="left"/>
              <w:rPr>
                <w:rFonts w:ascii="Arial Narrow" w:hAnsi="Arial Narrow"/>
                <w:sz w:val="20"/>
              </w:rPr>
            </w:pPr>
            <w:r w:rsidRPr="00D543A5">
              <w:rPr>
                <w:rFonts w:ascii="Arial Narrow" w:hAnsi="Arial Narrow"/>
                <w:sz w:val="20"/>
              </w:rPr>
              <w:t>Section 100 – Highly Specialised Drugs Program – Private: Moderate to severe ulcerative colitis, active ankylosing spondylitis, severe Crohn’s disease, moderate to severe Crohn’s disease, severe active psoriatic arthritis, severe active rheumatoid arthritis, severe chronic plaque psoriasis, complex refractory fistulising Crohn’s disease.</w:t>
            </w:r>
          </w:p>
          <w:p w:rsidR="0022792B" w:rsidRPr="00D543A5" w:rsidRDefault="0022792B" w:rsidP="00F11530">
            <w:pPr>
              <w:jc w:val="left"/>
              <w:rPr>
                <w:rFonts w:ascii="Arial Narrow" w:hAnsi="Arial Narrow"/>
                <w:sz w:val="20"/>
              </w:rPr>
            </w:pPr>
          </w:p>
        </w:tc>
      </w:tr>
      <w:tr w:rsidR="00F11530" w:rsidRPr="00D543A5" w:rsidTr="008D2376">
        <w:trPr>
          <w:trHeight w:val="147"/>
        </w:trPr>
        <w:tc>
          <w:tcPr>
            <w:tcW w:w="1625" w:type="pct"/>
          </w:tcPr>
          <w:p w:rsidR="00A20CFF" w:rsidRDefault="00A20CFF" w:rsidP="00967EED">
            <w:pPr>
              <w:rPr>
                <w:rFonts w:ascii="Arial Narrow" w:hAnsi="Arial Narrow"/>
                <w:smallCaps/>
                <w:sz w:val="20"/>
              </w:rPr>
            </w:pPr>
          </w:p>
          <w:p w:rsidR="00F11530" w:rsidRPr="00D543A5" w:rsidRDefault="00F11530" w:rsidP="00967EED">
            <w:pPr>
              <w:rPr>
                <w:rFonts w:ascii="Arial Narrow" w:hAnsi="Arial Narrow"/>
                <w:sz w:val="20"/>
              </w:rPr>
            </w:pPr>
            <w:r w:rsidRPr="00D543A5">
              <w:rPr>
                <w:rFonts w:ascii="Arial Narrow" w:hAnsi="Arial Narrow"/>
                <w:smallCaps/>
                <w:sz w:val="20"/>
              </w:rPr>
              <w:t>Infliximab,</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val="restart"/>
          </w:tcPr>
          <w:p w:rsidR="00A20CFF" w:rsidRDefault="00A20CFF" w:rsidP="00F11530">
            <w:pPr>
              <w:jc w:val="center"/>
              <w:rPr>
                <w:rFonts w:ascii="Arial Narrow" w:hAnsi="Arial Narrow"/>
                <w:sz w:val="20"/>
              </w:rPr>
            </w:pPr>
          </w:p>
          <w:p w:rsidR="00F11530" w:rsidRPr="00D543A5" w:rsidRDefault="001539AA" w:rsidP="00F11530">
            <w:pPr>
              <w:jc w:val="center"/>
              <w:rPr>
                <w:rFonts w:ascii="Arial Narrow" w:hAnsi="Arial Narrow"/>
                <w:sz w:val="20"/>
              </w:rPr>
            </w:pPr>
            <w:proofErr w:type="spellStart"/>
            <w:r w:rsidRPr="00D543A5">
              <w:rPr>
                <w:rFonts w:ascii="Arial Narrow" w:hAnsi="Arial Narrow"/>
                <w:sz w:val="20"/>
              </w:rPr>
              <w:t>Renflexis</w:t>
            </w:r>
            <w:proofErr w:type="spellEnd"/>
            <w:r w:rsidRPr="00D543A5">
              <w:rPr>
                <w:rFonts w:ascii="Arial Narrow" w:hAnsi="Arial Narrow"/>
                <w:sz w:val="20"/>
              </w:rPr>
              <w:t xml:space="preserve"> </w:t>
            </w:r>
            <w:r w:rsidR="00F11530" w:rsidRPr="00D543A5">
              <w:rPr>
                <w:rFonts w:ascii="Arial Narrow" w:hAnsi="Arial Narrow"/>
                <w:sz w:val="20"/>
                <w:vertAlign w:val="superscript"/>
              </w:rPr>
              <w:t>®</w:t>
            </w:r>
          </w:p>
        </w:tc>
        <w:tc>
          <w:tcPr>
            <w:tcW w:w="803" w:type="pct"/>
            <w:vMerge w:val="restart"/>
          </w:tcPr>
          <w:p w:rsidR="00A20CFF" w:rsidRDefault="00A20CFF" w:rsidP="00F11530">
            <w:pPr>
              <w:jc w:val="center"/>
              <w:rPr>
                <w:rFonts w:ascii="Arial Narrow" w:hAnsi="Arial Narrow"/>
                <w:sz w:val="20"/>
              </w:rPr>
            </w:pPr>
          </w:p>
          <w:p w:rsidR="00F11530" w:rsidRPr="00D543A5" w:rsidRDefault="00F11530" w:rsidP="00F11530">
            <w:pPr>
              <w:jc w:val="center"/>
              <w:rPr>
                <w:rFonts w:ascii="Arial Narrow" w:hAnsi="Arial Narrow"/>
                <w:sz w:val="20"/>
              </w:rPr>
            </w:pPr>
            <w:r w:rsidRPr="00D543A5">
              <w:rPr>
                <w:rFonts w:ascii="Arial Narrow" w:hAnsi="Arial Narrow"/>
                <w:sz w:val="20"/>
              </w:rPr>
              <w:t xml:space="preserve">Merck Sharp &amp; Dohme </w:t>
            </w:r>
          </w:p>
          <w:p w:rsidR="00F11530" w:rsidRPr="00D543A5" w:rsidRDefault="00F11530" w:rsidP="00F11530">
            <w:pPr>
              <w:jc w:val="center"/>
              <w:rPr>
                <w:rFonts w:ascii="Arial Narrow" w:hAnsi="Arial Narrow"/>
                <w:sz w:val="20"/>
              </w:rPr>
            </w:pPr>
            <w:r w:rsidRPr="00D543A5">
              <w:rPr>
                <w:rFonts w:ascii="Arial Narrow" w:hAnsi="Arial Narrow"/>
                <w:sz w:val="20"/>
              </w:rPr>
              <w:t>(Australia)</w:t>
            </w:r>
          </w:p>
          <w:p w:rsidR="00F11530" w:rsidRPr="00D543A5" w:rsidRDefault="00F11530" w:rsidP="00F11530">
            <w:pPr>
              <w:jc w:val="center"/>
              <w:rPr>
                <w:rFonts w:ascii="Arial Narrow" w:hAnsi="Arial Narrow"/>
                <w:sz w:val="20"/>
              </w:rPr>
            </w:pPr>
            <w:r w:rsidRPr="00D543A5">
              <w:rPr>
                <w:rFonts w:ascii="Arial Narrow" w:hAnsi="Arial Narrow"/>
                <w:sz w:val="20"/>
              </w:rPr>
              <w:t>Pty Ltd</w:t>
            </w:r>
          </w:p>
        </w:tc>
      </w:tr>
      <w:tr w:rsidR="00F11530" w:rsidRPr="00D543A5" w:rsidTr="008D2376">
        <w:trPr>
          <w:trHeight w:val="157"/>
        </w:trPr>
        <w:tc>
          <w:tcPr>
            <w:tcW w:w="1625" w:type="pct"/>
          </w:tcPr>
          <w:p w:rsidR="00F11530" w:rsidRPr="00D543A5" w:rsidRDefault="00F11530" w:rsidP="00F11530">
            <w:pPr>
              <w:rPr>
                <w:rFonts w:ascii="Arial Narrow" w:hAnsi="Arial Narrow"/>
                <w:sz w:val="20"/>
              </w:rPr>
            </w:pPr>
            <w:r w:rsidRPr="00D543A5">
              <w:rPr>
                <w:rFonts w:ascii="Arial Narrow" w:hAnsi="Arial Narrow"/>
                <w:b/>
                <w:sz w:val="20"/>
              </w:rPr>
              <w:t>PBS Item Code</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8D2376">
        <w:trPr>
          <w:trHeight w:val="157"/>
        </w:trPr>
        <w:tc>
          <w:tcPr>
            <w:tcW w:w="1625" w:type="pct"/>
          </w:tcPr>
          <w:p w:rsidR="00F11530" w:rsidRPr="00D543A5" w:rsidRDefault="00F11530" w:rsidP="00F11530">
            <w:pPr>
              <w:rPr>
                <w:rFonts w:ascii="Arial Narrow" w:hAnsi="Arial Narrow"/>
                <w:b/>
                <w:sz w:val="20"/>
              </w:rPr>
            </w:pPr>
            <w:r w:rsidRPr="00D543A5">
              <w:rPr>
                <w:rFonts w:ascii="Arial Narrow" w:hAnsi="Arial Narrow"/>
                <w:b/>
                <w:sz w:val="20"/>
              </w:rPr>
              <w:t>10057H</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8D2376">
        <w:trPr>
          <w:trHeight w:val="426"/>
        </w:trPr>
        <w:tc>
          <w:tcPr>
            <w:tcW w:w="1625" w:type="pct"/>
          </w:tcPr>
          <w:p w:rsidR="00F11530" w:rsidRPr="00D543A5" w:rsidRDefault="00F11530" w:rsidP="00F11530">
            <w:pPr>
              <w:rPr>
                <w:rFonts w:ascii="Arial Narrow" w:hAnsi="Arial Narrow"/>
                <w:smallCaps/>
                <w:sz w:val="20"/>
              </w:rPr>
            </w:pPr>
            <w:r w:rsidRPr="00D543A5">
              <w:rPr>
                <w:rFonts w:ascii="Arial Narrow" w:hAnsi="Arial Narrow"/>
                <w:sz w:val="20"/>
              </w:rPr>
              <w:t>Powder for injection 100mg, 1 vial</w:t>
            </w:r>
          </w:p>
        </w:tc>
        <w:tc>
          <w:tcPr>
            <w:tcW w:w="349" w:type="pct"/>
          </w:tcPr>
          <w:p w:rsidR="00F11530" w:rsidRPr="00D543A5" w:rsidRDefault="00F11530" w:rsidP="00F11530">
            <w:pPr>
              <w:jc w:val="center"/>
              <w:rPr>
                <w:rFonts w:ascii="Arial Narrow" w:hAnsi="Arial Narrow"/>
                <w:sz w:val="20"/>
              </w:rPr>
            </w:pPr>
            <w:r w:rsidRPr="00D543A5">
              <w:rPr>
                <w:rFonts w:ascii="Arial Narrow" w:hAnsi="Arial Narrow"/>
                <w:sz w:val="20"/>
              </w:rPr>
              <w:t>1</w:t>
            </w:r>
          </w:p>
        </w:tc>
        <w:tc>
          <w:tcPr>
            <w:tcW w:w="530" w:type="pct"/>
          </w:tcPr>
          <w:p w:rsidR="00F11530" w:rsidRPr="00D543A5" w:rsidRDefault="00F11530" w:rsidP="00F11530">
            <w:pPr>
              <w:jc w:val="center"/>
              <w:rPr>
                <w:rFonts w:ascii="Arial Narrow" w:hAnsi="Arial Narrow"/>
                <w:sz w:val="20"/>
              </w:rPr>
            </w:pPr>
            <w:r w:rsidRPr="00D543A5">
              <w:rPr>
                <w:rFonts w:ascii="Arial Narrow" w:hAnsi="Arial Narrow"/>
                <w:sz w:val="20"/>
              </w:rPr>
              <w:t>1</w:t>
            </w:r>
          </w:p>
        </w:tc>
        <w:tc>
          <w:tcPr>
            <w:tcW w:w="982" w:type="pct"/>
          </w:tcPr>
          <w:p w:rsidR="00F11530" w:rsidRPr="00D543A5" w:rsidRDefault="00F11530" w:rsidP="00F11530">
            <w:pPr>
              <w:jc w:val="center"/>
              <w:rPr>
                <w:rFonts w:ascii="Arial Narrow" w:hAnsi="Arial Narrow"/>
                <w:sz w:val="20"/>
              </w:rPr>
            </w:pPr>
            <w:r w:rsidRPr="00D543A5">
              <w:rPr>
                <w:rFonts w:ascii="Arial Narrow" w:hAnsi="Arial Narrow"/>
                <w:sz w:val="20"/>
              </w:rPr>
              <w:t>$</w:t>
            </w:r>
            <w:r w:rsidR="00E45B0A">
              <w:rPr>
                <w:rFonts w:ascii="Arial Narrow" w:hAnsi="Arial Narrow"/>
                <w:noProof/>
                <w:color w:val="000000"/>
                <w:sz w:val="20"/>
                <w:highlight w:val="black"/>
              </w:rPr>
              <w:t>'''''''''''''''''</w:t>
            </w: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F11530">
        <w:trPr>
          <w:trHeight w:val="426"/>
        </w:trPr>
        <w:tc>
          <w:tcPr>
            <w:tcW w:w="5000" w:type="pct"/>
            <w:gridSpan w:val="6"/>
          </w:tcPr>
          <w:p w:rsidR="00F11530" w:rsidRPr="00D543A5" w:rsidRDefault="00F11530" w:rsidP="00F11530">
            <w:pPr>
              <w:jc w:val="left"/>
              <w:rPr>
                <w:rFonts w:ascii="Arial Narrow" w:hAnsi="Arial Narrow"/>
                <w:sz w:val="20"/>
              </w:rPr>
            </w:pPr>
            <w:r w:rsidRPr="00D543A5">
              <w:rPr>
                <w:rFonts w:ascii="Arial Narrow" w:hAnsi="Arial Narrow"/>
                <w:sz w:val="20"/>
              </w:rPr>
              <w:t>Section 100 – Highly Specialised Drugs Program – Private: Acute severe ulcerative colitis</w:t>
            </w:r>
          </w:p>
        </w:tc>
      </w:tr>
      <w:tr w:rsidR="00F11530" w:rsidRPr="00D543A5" w:rsidTr="008D2376">
        <w:trPr>
          <w:trHeight w:val="223"/>
        </w:trPr>
        <w:tc>
          <w:tcPr>
            <w:tcW w:w="1625" w:type="pct"/>
          </w:tcPr>
          <w:p w:rsidR="00F11530" w:rsidRPr="00D543A5" w:rsidRDefault="00F11530" w:rsidP="00967EED">
            <w:pPr>
              <w:rPr>
                <w:rFonts w:ascii="Arial Narrow" w:hAnsi="Arial Narrow"/>
                <w:sz w:val="20"/>
              </w:rPr>
            </w:pPr>
            <w:r w:rsidRPr="00D543A5">
              <w:rPr>
                <w:rFonts w:ascii="Arial Narrow" w:hAnsi="Arial Narrow"/>
                <w:smallCaps/>
                <w:sz w:val="20"/>
              </w:rPr>
              <w:t>Infliximab</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val="restart"/>
          </w:tcPr>
          <w:p w:rsidR="00F11530" w:rsidRPr="00D543A5" w:rsidRDefault="001539AA" w:rsidP="00F11530">
            <w:pPr>
              <w:jc w:val="center"/>
              <w:rPr>
                <w:rFonts w:ascii="Arial Narrow" w:hAnsi="Arial Narrow"/>
                <w:sz w:val="20"/>
              </w:rPr>
            </w:pPr>
            <w:proofErr w:type="spellStart"/>
            <w:r w:rsidRPr="00D543A5">
              <w:rPr>
                <w:rFonts w:ascii="Arial Narrow" w:hAnsi="Arial Narrow"/>
                <w:sz w:val="20"/>
              </w:rPr>
              <w:t>Renflexis</w:t>
            </w:r>
            <w:proofErr w:type="spellEnd"/>
            <w:r w:rsidRPr="00D543A5">
              <w:rPr>
                <w:rFonts w:ascii="Arial Narrow" w:hAnsi="Arial Narrow"/>
                <w:sz w:val="20"/>
              </w:rPr>
              <w:t xml:space="preserve"> </w:t>
            </w:r>
            <w:r w:rsidR="00F11530" w:rsidRPr="00D543A5">
              <w:rPr>
                <w:rFonts w:ascii="Arial Narrow" w:hAnsi="Arial Narrow"/>
                <w:sz w:val="20"/>
                <w:vertAlign w:val="superscript"/>
              </w:rPr>
              <w:t>®</w:t>
            </w:r>
          </w:p>
        </w:tc>
        <w:tc>
          <w:tcPr>
            <w:tcW w:w="803" w:type="pct"/>
            <w:vMerge w:val="restart"/>
          </w:tcPr>
          <w:p w:rsidR="00F11530" w:rsidRPr="00D543A5" w:rsidRDefault="00F11530" w:rsidP="00F11530">
            <w:pPr>
              <w:jc w:val="center"/>
              <w:rPr>
                <w:rFonts w:ascii="Arial Narrow" w:hAnsi="Arial Narrow"/>
                <w:sz w:val="20"/>
              </w:rPr>
            </w:pPr>
            <w:r w:rsidRPr="00D543A5">
              <w:rPr>
                <w:rFonts w:ascii="Arial Narrow" w:hAnsi="Arial Narrow"/>
                <w:sz w:val="20"/>
              </w:rPr>
              <w:t xml:space="preserve">Merck Sharp &amp; Dohme </w:t>
            </w:r>
          </w:p>
          <w:p w:rsidR="00F11530" w:rsidRPr="00D543A5" w:rsidRDefault="00F11530" w:rsidP="00F11530">
            <w:pPr>
              <w:jc w:val="center"/>
              <w:rPr>
                <w:rFonts w:ascii="Arial Narrow" w:hAnsi="Arial Narrow"/>
                <w:sz w:val="20"/>
              </w:rPr>
            </w:pPr>
            <w:r w:rsidRPr="00D543A5">
              <w:rPr>
                <w:rFonts w:ascii="Arial Narrow" w:hAnsi="Arial Narrow"/>
                <w:sz w:val="20"/>
              </w:rPr>
              <w:t>(Australia)</w:t>
            </w:r>
          </w:p>
          <w:p w:rsidR="00F11530" w:rsidRPr="00D543A5" w:rsidRDefault="00F11530" w:rsidP="00F11530">
            <w:pPr>
              <w:jc w:val="center"/>
              <w:rPr>
                <w:rFonts w:ascii="Arial Narrow" w:hAnsi="Arial Narrow"/>
                <w:sz w:val="20"/>
              </w:rPr>
            </w:pPr>
            <w:r w:rsidRPr="00D543A5">
              <w:rPr>
                <w:rFonts w:ascii="Arial Narrow" w:hAnsi="Arial Narrow"/>
                <w:sz w:val="20"/>
              </w:rPr>
              <w:lastRenderedPageBreak/>
              <w:t>Pty Ltd</w:t>
            </w:r>
          </w:p>
        </w:tc>
      </w:tr>
      <w:tr w:rsidR="00F11530" w:rsidRPr="00D543A5" w:rsidTr="008D2376">
        <w:trPr>
          <w:trHeight w:val="216"/>
        </w:trPr>
        <w:tc>
          <w:tcPr>
            <w:tcW w:w="1625" w:type="pct"/>
          </w:tcPr>
          <w:p w:rsidR="00F11530" w:rsidRPr="00D543A5" w:rsidRDefault="00F11530" w:rsidP="00F11530">
            <w:pPr>
              <w:rPr>
                <w:rFonts w:ascii="Arial Narrow" w:hAnsi="Arial Narrow"/>
                <w:sz w:val="20"/>
              </w:rPr>
            </w:pPr>
            <w:r w:rsidRPr="00D543A5">
              <w:rPr>
                <w:rFonts w:ascii="Arial Narrow" w:hAnsi="Arial Narrow"/>
                <w:b/>
                <w:sz w:val="20"/>
              </w:rPr>
              <w:t>PBS Item Code</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8D2376">
        <w:trPr>
          <w:trHeight w:val="216"/>
        </w:trPr>
        <w:tc>
          <w:tcPr>
            <w:tcW w:w="1625" w:type="pct"/>
          </w:tcPr>
          <w:p w:rsidR="00F11530" w:rsidRPr="00D543A5" w:rsidRDefault="00F11530" w:rsidP="00F11530">
            <w:pPr>
              <w:rPr>
                <w:rFonts w:ascii="Arial Narrow" w:hAnsi="Arial Narrow"/>
                <w:b/>
                <w:sz w:val="20"/>
              </w:rPr>
            </w:pPr>
            <w:r w:rsidRPr="00D543A5">
              <w:rPr>
                <w:rFonts w:ascii="Arial Narrow" w:hAnsi="Arial Narrow"/>
                <w:b/>
                <w:sz w:val="20"/>
              </w:rPr>
              <w:t>10067W</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8D2376">
        <w:trPr>
          <w:trHeight w:val="529"/>
        </w:trPr>
        <w:tc>
          <w:tcPr>
            <w:tcW w:w="1625" w:type="pct"/>
          </w:tcPr>
          <w:p w:rsidR="00F11530" w:rsidRPr="00D543A5" w:rsidRDefault="00F11530" w:rsidP="00F11530">
            <w:pPr>
              <w:rPr>
                <w:rFonts w:ascii="Arial Narrow" w:hAnsi="Arial Narrow"/>
                <w:sz w:val="20"/>
              </w:rPr>
            </w:pPr>
            <w:r w:rsidRPr="00D543A5">
              <w:rPr>
                <w:rFonts w:ascii="Arial Narrow" w:hAnsi="Arial Narrow"/>
                <w:sz w:val="20"/>
              </w:rPr>
              <w:lastRenderedPageBreak/>
              <w:t>Powder for injection 100mg, 1 vial</w:t>
            </w:r>
          </w:p>
        </w:tc>
        <w:tc>
          <w:tcPr>
            <w:tcW w:w="349" w:type="pct"/>
          </w:tcPr>
          <w:p w:rsidR="00F11530" w:rsidRPr="00D543A5" w:rsidRDefault="00F11530" w:rsidP="00F11530">
            <w:pPr>
              <w:jc w:val="center"/>
              <w:rPr>
                <w:rFonts w:ascii="Arial Narrow" w:hAnsi="Arial Narrow"/>
                <w:sz w:val="20"/>
              </w:rPr>
            </w:pPr>
            <w:r w:rsidRPr="00D543A5">
              <w:rPr>
                <w:rFonts w:ascii="Arial Narrow" w:hAnsi="Arial Narrow"/>
                <w:sz w:val="20"/>
              </w:rPr>
              <w:t>5</w:t>
            </w:r>
          </w:p>
        </w:tc>
        <w:tc>
          <w:tcPr>
            <w:tcW w:w="530" w:type="pct"/>
          </w:tcPr>
          <w:p w:rsidR="00F11530" w:rsidRPr="00D543A5" w:rsidRDefault="00F11530" w:rsidP="00F11530">
            <w:pPr>
              <w:jc w:val="center"/>
              <w:rPr>
                <w:rFonts w:ascii="Arial Narrow" w:hAnsi="Arial Narrow"/>
                <w:sz w:val="20"/>
              </w:rPr>
            </w:pPr>
            <w:r w:rsidRPr="00D543A5">
              <w:rPr>
                <w:rFonts w:ascii="Arial Narrow" w:hAnsi="Arial Narrow"/>
                <w:sz w:val="20"/>
              </w:rPr>
              <w:t>1</w:t>
            </w:r>
          </w:p>
        </w:tc>
        <w:tc>
          <w:tcPr>
            <w:tcW w:w="982" w:type="pct"/>
          </w:tcPr>
          <w:p w:rsidR="00F11530" w:rsidRPr="00D543A5" w:rsidRDefault="00F11530" w:rsidP="00F11530">
            <w:pPr>
              <w:jc w:val="center"/>
              <w:rPr>
                <w:rFonts w:ascii="Arial Narrow" w:hAnsi="Arial Narrow"/>
                <w:sz w:val="20"/>
              </w:rPr>
            </w:pPr>
            <w:r w:rsidRPr="00D543A5">
              <w:rPr>
                <w:rFonts w:ascii="Arial Narrow" w:hAnsi="Arial Narrow"/>
                <w:sz w:val="20"/>
              </w:rPr>
              <w:t>$</w:t>
            </w:r>
            <w:r w:rsidR="00E45B0A">
              <w:rPr>
                <w:rFonts w:ascii="Arial Narrow" w:hAnsi="Arial Narrow"/>
                <w:noProof/>
                <w:color w:val="000000"/>
                <w:sz w:val="20"/>
                <w:highlight w:val="black"/>
              </w:rPr>
              <w:t>''''''''''''''''''</w:t>
            </w: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F11530">
        <w:trPr>
          <w:trHeight w:val="529"/>
        </w:trPr>
        <w:tc>
          <w:tcPr>
            <w:tcW w:w="5000" w:type="pct"/>
            <w:gridSpan w:val="6"/>
          </w:tcPr>
          <w:p w:rsidR="00F11530" w:rsidRPr="00D543A5" w:rsidRDefault="00F11530" w:rsidP="00F11530">
            <w:pPr>
              <w:jc w:val="left"/>
              <w:rPr>
                <w:rFonts w:ascii="Arial Narrow" w:hAnsi="Arial Narrow"/>
                <w:sz w:val="20"/>
              </w:rPr>
            </w:pPr>
            <w:r w:rsidRPr="00D543A5">
              <w:rPr>
                <w:rFonts w:ascii="Arial Narrow" w:hAnsi="Arial Narrow"/>
                <w:sz w:val="20"/>
              </w:rPr>
              <w:lastRenderedPageBreak/>
              <w:t>Section 100 – Highly Specialised Drugs Program – Public: Acute severe ulcerative colitis</w:t>
            </w:r>
          </w:p>
        </w:tc>
      </w:tr>
      <w:tr w:rsidR="00F11530" w:rsidRPr="00D543A5" w:rsidTr="008D2376">
        <w:trPr>
          <w:trHeight w:val="229"/>
        </w:trPr>
        <w:tc>
          <w:tcPr>
            <w:tcW w:w="1625" w:type="pct"/>
          </w:tcPr>
          <w:p w:rsidR="00F11530" w:rsidRPr="00D543A5" w:rsidRDefault="00F11530" w:rsidP="00967EED">
            <w:pPr>
              <w:rPr>
                <w:rFonts w:ascii="Arial Narrow" w:hAnsi="Arial Narrow"/>
                <w:sz w:val="20"/>
              </w:rPr>
            </w:pPr>
            <w:r w:rsidRPr="00D543A5">
              <w:rPr>
                <w:rFonts w:ascii="Arial Narrow" w:hAnsi="Arial Narrow"/>
                <w:smallCaps/>
                <w:sz w:val="20"/>
              </w:rPr>
              <w:t>Infliximab</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val="restart"/>
          </w:tcPr>
          <w:p w:rsidR="00F11530" w:rsidRPr="00D543A5" w:rsidRDefault="001539AA" w:rsidP="00F11530">
            <w:pPr>
              <w:jc w:val="center"/>
              <w:rPr>
                <w:rFonts w:ascii="Arial Narrow" w:hAnsi="Arial Narrow"/>
                <w:sz w:val="20"/>
              </w:rPr>
            </w:pPr>
            <w:proofErr w:type="spellStart"/>
            <w:r w:rsidRPr="00D543A5">
              <w:rPr>
                <w:rFonts w:ascii="Arial Narrow" w:hAnsi="Arial Narrow"/>
                <w:sz w:val="20"/>
              </w:rPr>
              <w:t>Renflexis</w:t>
            </w:r>
            <w:proofErr w:type="spellEnd"/>
            <w:r w:rsidRPr="00D543A5">
              <w:rPr>
                <w:rFonts w:ascii="Arial Narrow" w:hAnsi="Arial Narrow"/>
                <w:sz w:val="20"/>
              </w:rPr>
              <w:t xml:space="preserve"> </w:t>
            </w:r>
            <w:r w:rsidR="00F11530" w:rsidRPr="00D543A5">
              <w:rPr>
                <w:rFonts w:ascii="Arial Narrow" w:hAnsi="Arial Narrow"/>
                <w:sz w:val="20"/>
                <w:vertAlign w:val="superscript"/>
              </w:rPr>
              <w:t xml:space="preserve">® </w:t>
            </w:r>
            <w:r w:rsidR="00AE71C6">
              <w:rPr>
                <w:rFonts w:ascii="Arial Narrow" w:hAnsi="Arial Narrow"/>
                <w:sz w:val="20"/>
              </w:rPr>
              <w:t xml:space="preserve"> </w:t>
            </w:r>
          </w:p>
        </w:tc>
        <w:tc>
          <w:tcPr>
            <w:tcW w:w="803" w:type="pct"/>
            <w:vMerge w:val="restart"/>
          </w:tcPr>
          <w:p w:rsidR="00F11530" w:rsidRPr="00D543A5" w:rsidRDefault="00F11530" w:rsidP="00F11530">
            <w:pPr>
              <w:jc w:val="center"/>
              <w:rPr>
                <w:rFonts w:ascii="Arial Narrow" w:hAnsi="Arial Narrow"/>
                <w:sz w:val="20"/>
              </w:rPr>
            </w:pPr>
            <w:r w:rsidRPr="00D543A5">
              <w:rPr>
                <w:rFonts w:ascii="Arial Narrow" w:hAnsi="Arial Narrow"/>
                <w:sz w:val="20"/>
              </w:rPr>
              <w:t xml:space="preserve">Merck Sharp &amp; Dohme </w:t>
            </w:r>
          </w:p>
          <w:p w:rsidR="00F11530" w:rsidRPr="00D543A5" w:rsidRDefault="00F11530" w:rsidP="00F11530">
            <w:pPr>
              <w:jc w:val="center"/>
              <w:rPr>
                <w:rFonts w:ascii="Arial Narrow" w:hAnsi="Arial Narrow"/>
                <w:sz w:val="20"/>
              </w:rPr>
            </w:pPr>
            <w:r w:rsidRPr="00D543A5">
              <w:rPr>
                <w:rFonts w:ascii="Arial Narrow" w:hAnsi="Arial Narrow"/>
                <w:sz w:val="20"/>
              </w:rPr>
              <w:t>(Australia)</w:t>
            </w:r>
          </w:p>
          <w:p w:rsidR="00F11530" w:rsidRPr="00D543A5" w:rsidRDefault="00F11530" w:rsidP="00F11530">
            <w:pPr>
              <w:jc w:val="center"/>
              <w:rPr>
                <w:rFonts w:ascii="Arial Narrow" w:hAnsi="Arial Narrow"/>
                <w:sz w:val="20"/>
              </w:rPr>
            </w:pPr>
            <w:r w:rsidRPr="00D543A5">
              <w:rPr>
                <w:rFonts w:ascii="Arial Narrow" w:hAnsi="Arial Narrow"/>
                <w:sz w:val="20"/>
              </w:rPr>
              <w:t>Pty Ltd</w:t>
            </w:r>
          </w:p>
        </w:tc>
      </w:tr>
      <w:tr w:rsidR="00F11530" w:rsidRPr="00D543A5" w:rsidTr="008D2376">
        <w:trPr>
          <w:trHeight w:val="259"/>
        </w:trPr>
        <w:tc>
          <w:tcPr>
            <w:tcW w:w="1625" w:type="pct"/>
          </w:tcPr>
          <w:p w:rsidR="00F11530" w:rsidRPr="00D543A5" w:rsidRDefault="00F11530" w:rsidP="00F11530">
            <w:pPr>
              <w:rPr>
                <w:rFonts w:ascii="Arial Narrow" w:hAnsi="Arial Narrow"/>
                <w:sz w:val="20"/>
              </w:rPr>
            </w:pPr>
            <w:r w:rsidRPr="00D543A5">
              <w:rPr>
                <w:rFonts w:ascii="Arial Narrow" w:hAnsi="Arial Narrow"/>
                <w:b/>
                <w:sz w:val="20"/>
              </w:rPr>
              <w:t>PBS Item Code</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8D2376">
        <w:trPr>
          <w:trHeight w:val="259"/>
        </w:trPr>
        <w:tc>
          <w:tcPr>
            <w:tcW w:w="1625" w:type="pct"/>
          </w:tcPr>
          <w:p w:rsidR="00F11530" w:rsidRPr="00D543A5" w:rsidRDefault="00F11530" w:rsidP="00F11530">
            <w:pPr>
              <w:rPr>
                <w:rFonts w:ascii="Arial Narrow" w:hAnsi="Arial Narrow"/>
                <w:b/>
                <w:sz w:val="20"/>
              </w:rPr>
            </w:pPr>
            <w:r w:rsidRPr="00D543A5">
              <w:rPr>
                <w:rFonts w:ascii="Arial Narrow" w:hAnsi="Arial Narrow"/>
                <w:b/>
                <w:sz w:val="20"/>
              </w:rPr>
              <w:t>4284L</w:t>
            </w:r>
          </w:p>
        </w:tc>
        <w:tc>
          <w:tcPr>
            <w:tcW w:w="349" w:type="pct"/>
          </w:tcPr>
          <w:p w:rsidR="00F11530" w:rsidRPr="00D543A5" w:rsidRDefault="00F11530" w:rsidP="00F11530">
            <w:pPr>
              <w:jc w:val="center"/>
              <w:rPr>
                <w:rFonts w:ascii="Arial Narrow" w:hAnsi="Arial Narrow"/>
                <w:sz w:val="20"/>
              </w:rPr>
            </w:pPr>
          </w:p>
        </w:tc>
        <w:tc>
          <w:tcPr>
            <w:tcW w:w="530" w:type="pct"/>
          </w:tcPr>
          <w:p w:rsidR="00F11530" w:rsidRPr="00D543A5" w:rsidRDefault="00F11530" w:rsidP="00F11530">
            <w:pPr>
              <w:jc w:val="center"/>
              <w:rPr>
                <w:rFonts w:ascii="Arial Narrow" w:hAnsi="Arial Narrow"/>
                <w:sz w:val="20"/>
              </w:rPr>
            </w:pPr>
          </w:p>
        </w:tc>
        <w:tc>
          <w:tcPr>
            <w:tcW w:w="982" w:type="pct"/>
          </w:tcPr>
          <w:p w:rsidR="00F11530" w:rsidRPr="00D543A5" w:rsidRDefault="00F11530" w:rsidP="00F11530">
            <w:pPr>
              <w:jc w:val="center"/>
              <w:rPr>
                <w:rFonts w:ascii="Arial Narrow" w:hAnsi="Arial Narrow"/>
                <w:sz w:val="20"/>
              </w:rPr>
            </w:pP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8D2376">
        <w:trPr>
          <w:trHeight w:val="491"/>
        </w:trPr>
        <w:tc>
          <w:tcPr>
            <w:tcW w:w="1625" w:type="pct"/>
          </w:tcPr>
          <w:p w:rsidR="00F11530" w:rsidRPr="00D543A5" w:rsidRDefault="00F11530" w:rsidP="00F11530">
            <w:pPr>
              <w:rPr>
                <w:rFonts w:ascii="Arial Narrow" w:hAnsi="Arial Narrow"/>
                <w:sz w:val="20"/>
              </w:rPr>
            </w:pPr>
            <w:r w:rsidRPr="00D543A5">
              <w:rPr>
                <w:rFonts w:ascii="Arial Narrow" w:hAnsi="Arial Narrow"/>
                <w:sz w:val="20"/>
              </w:rPr>
              <w:t>Powder for injection 100mg, 1 vial</w:t>
            </w:r>
          </w:p>
        </w:tc>
        <w:tc>
          <w:tcPr>
            <w:tcW w:w="349" w:type="pct"/>
          </w:tcPr>
          <w:p w:rsidR="00F11530" w:rsidRPr="00D543A5" w:rsidRDefault="00F11530" w:rsidP="00F11530">
            <w:pPr>
              <w:jc w:val="center"/>
              <w:rPr>
                <w:rFonts w:ascii="Arial Narrow" w:hAnsi="Arial Narrow"/>
                <w:sz w:val="20"/>
              </w:rPr>
            </w:pPr>
            <w:r w:rsidRPr="00D543A5">
              <w:rPr>
                <w:rFonts w:ascii="Arial Narrow" w:hAnsi="Arial Narrow"/>
                <w:sz w:val="20"/>
              </w:rPr>
              <w:t>1</w:t>
            </w:r>
          </w:p>
        </w:tc>
        <w:tc>
          <w:tcPr>
            <w:tcW w:w="530" w:type="pct"/>
          </w:tcPr>
          <w:p w:rsidR="00F11530" w:rsidRPr="00D543A5" w:rsidRDefault="00F11530" w:rsidP="00F11530">
            <w:pPr>
              <w:jc w:val="center"/>
              <w:rPr>
                <w:rFonts w:ascii="Arial Narrow" w:hAnsi="Arial Narrow"/>
                <w:sz w:val="20"/>
              </w:rPr>
            </w:pPr>
            <w:r w:rsidRPr="00D543A5">
              <w:rPr>
                <w:rFonts w:ascii="Arial Narrow" w:hAnsi="Arial Narrow"/>
                <w:sz w:val="20"/>
              </w:rPr>
              <w:t>2</w:t>
            </w:r>
          </w:p>
        </w:tc>
        <w:tc>
          <w:tcPr>
            <w:tcW w:w="982" w:type="pct"/>
          </w:tcPr>
          <w:p w:rsidR="00F11530" w:rsidRPr="00D543A5" w:rsidRDefault="00F11530" w:rsidP="00F11530">
            <w:pPr>
              <w:jc w:val="center"/>
              <w:rPr>
                <w:rFonts w:ascii="Arial Narrow" w:hAnsi="Arial Narrow"/>
                <w:sz w:val="20"/>
              </w:rPr>
            </w:pPr>
            <w:r w:rsidRPr="00D543A5">
              <w:rPr>
                <w:rFonts w:ascii="Arial Narrow" w:hAnsi="Arial Narrow"/>
                <w:sz w:val="20"/>
              </w:rPr>
              <w:t>$</w:t>
            </w:r>
            <w:r w:rsidR="00E45B0A">
              <w:rPr>
                <w:rFonts w:ascii="Arial Narrow" w:hAnsi="Arial Narrow"/>
                <w:noProof/>
                <w:color w:val="000000"/>
                <w:sz w:val="20"/>
                <w:highlight w:val="black"/>
              </w:rPr>
              <w:t>'''''''''''''''</w:t>
            </w:r>
          </w:p>
        </w:tc>
        <w:tc>
          <w:tcPr>
            <w:tcW w:w="711" w:type="pct"/>
            <w:vMerge/>
          </w:tcPr>
          <w:p w:rsidR="00F11530" w:rsidRPr="00D543A5" w:rsidRDefault="00F11530" w:rsidP="00F11530">
            <w:pPr>
              <w:jc w:val="center"/>
              <w:rPr>
                <w:rFonts w:ascii="Arial Narrow" w:hAnsi="Arial Narrow"/>
                <w:sz w:val="20"/>
              </w:rPr>
            </w:pPr>
          </w:p>
        </w:tc>
        <w:tc>
          <w:tcPr>
            <w:tcW w:w="803" w:type="pct"/>
            <w:vMerge/>
          </w:tcPr>
          <w:p w:rsidR="00F11530" w:rsidRPr="00D543A5" w:rsidRDefault="00F11530" w:rsidP="00F11530">
            <w:pPr>
              <w:jc w:val="center"/>
              <w:rPr>
                <w:rFonts w:ascii="Arial Narrow" w:hAnsi="Arial Narrow"/>
                <w:sz w:val="20"/>
              </w:rPr>
            </w:pPr>
          </w:p>
        </w:tc>
      </w:tr>
      <w:tr w:rsidR="00F11530" w:rsidRPr="00D543A5" w:rsidTr="00F11530">
        <w:trPr>
          <w:trHeight w:val="491"/>
        </w:trPr>
        <w:tc>
          <w:tcPr>
            <w:tcW w:w="5000" w:type="pct"/>
            <w:gridSpan w:val="6"/>
          </w:tcPr>
          <w:p w:rsidR="00F11530" w:rsidRPr="00D543A5" w:rsidRDefault="00F11530" w:rsidP="00F11530">
            <w:pPr>
              <w:jc w:val="left"/>
              <w:rPr>
                <w:rFonts w:ascii="Arial Narrow" w:hAnsi="Arial Narrow"/>
                <w:sz w:val="20"/>
              </w:rPr>
            </w:pPr>
            <w:r w:rsidRPr="00D543A5">
              <w:rPr>
                <w:rFonts w:ascii="Arial Narrow" w:hAnsi="Arial Narrow"/>
                <w:sz w:val="20"/>
              </w:rPr>
              <w:t>Repatriation Pharmaceutical Benefits – War-caused or service-related disability of refractory rheumatoid arthritis</w:t>
            </w:r>
          </w:p>
        </w:tc>
      </w:tr>
    </w:tbl>
    <w:p w:rsidR="00F11530" w:rsidRPr="00D543A5" w:rsidRDefault="00F11530" w:rsidP="00F11530">
      <w:pPr>
        <w:pStyle w:val="TableFooter"/>
        <w:ind w:left="720"/>
      </w:pPr>
      <w:r w:rsidRPr="00D543A5">
        <w:t xml:space="preserve">*all Dispensed Price for Maximum Quantity (DPMQ) was based on the price reported in the submission. The DPMQ for Remicade has been increased slightly since 1st July 2016 due to indexation. </w:t>
      </w:r>
    </w:p>
    <w:p w:rsidR="00F11530" w:rsidRPr="00D543A5" w:rsidRDefault="00F11530" w:rsidP="00F11530">
      <w:pPr>
        <w:widowControl/>
        <w:rPr>
          <w:szCs w:val="22"/>
        </w:rPr>
      </w:pPr>
    </w:p>
    <w:p w:rsidR="00F11530" w:rsidRPr="00D543A5" w:rsidRDefault="00F11530" w:rsidP="00F11530">
      <w:pPr>
        <w:pStyle w:val="ListParagraph"/>
        <w:widowControl/>
        <w:numPr>
          <w:ilvl w:val="1"/>
          <w:numId w:val="5"/>
        </w:numPr>
        <w:rPr>
          <w:szCs w:val="22"/>
        </w:rPr>
      </w:pPr>
      <w:r w:rsidRPr="00D543A5">
        <w:rPr>
          <w:szCs w:val="22"/>
        </w:rPr>
        <w:t xml:space="preserve">The submission sought the </w:t>
      </w:r>
      <w:r w:rsidR="001539AA" w:rsidRPr="00D543A5">
        <w:rPr>
          <w:szCs w:val="22"/>
        </w:rPr>
        <w:t>listing</w:t>
      </w:r>
      <w:r w:rsidRPr="00D543A5">
        <w:rPr>
          <w:szCs w:val="22"/>
        </w:rPr>
        <w:t xml:space="preserve"> of </w:t>
      </w:r>
      <w:proofErr w:type="spellStart"/>
      <w:r w:rsidR="001539AA" w:rsidRPr="00D543A5">
        <w:rPr>
          <w:szCs w:val="22"/>
        </w:rPr>
        <w:t>Renflexis</w:t>
      </w:r>
      <w:proofErr w:type="spellEnd"/>
      <w:r w:rsidR="00AE71C6">
        <w:rPr>
          <w:szCs w:val="22"/>
        </w:rPr>
        <w:t xml:space="preserve"> </w:t>
      </w:r>
      <w:r w:rsidRPr="00D543A5">
        <w:rPr>
          <w:szCs w:val="22"/>
        </w:rPr>
        <w:t xml:space="preserve">on a cost minimisation basis compared with Remicade. </w:t>
      </w:r>
    </w:p>
    <w:p w:rsidR="00C16CD6" w:rsidRPr="00F1715F" w:rsidRDefault="00C16CD6" w:rsidP="00F11530"/>
    <w:p w:rsidR="00F11530" w:rsidRPr="00F1715F" w:rsidRDefault="00F11530" w:rsidP="005337AB">
      <w:pPr>
        <w:pStyle w:val="Heading2"/>
      </w:pPr>
      <w:bookmarkStart w:id="9" w:name="_Toc461606003"/>
      <w:r w:rsidRPr="00F1715F">
        <w:t>Background</w:t>
      </w:r>
      <w:bookmarkEnd w:id="9"/>
    </w:p>
    <w:p w:rsidR="00F11530" w:rsidRPr="00F1715F" w:rsidRDefault="00F11530" w:rsidP="00F11530">
      <w:pPr>
        <w:rPr>
          <w:szCs w:val="22"/>
        </w:rPr>
      </w:pPr>
    </w:p>
    <w:p w:rsidR="00F11530" w:rsidRDefault="00F20527" w:rsidP="00F11530">
      <w:pPr>
        <w:pStyle w:val="ListParagraph"/>
      </w:pPr>
      <w:r w:rsidRPr="00900DC7">
        <w:t xml:space="preserve">TGA status at time of </w:t>
      </w:r>
      <w:r w:rsidR="00794E3F" w:rsidRPr="00051C8C">
        <w:t>PBAC consideration</w:t>
      </w:r>
      <w:r w:rsidRPr="00BC5EA2">
        <w:t xml:space="preserve">: </w:t>
      </w:r>
      <w:r w:rsidR="00F11530" w:rsidRPr="00BC5EA2">
        <w:t xml:space="preserve">The submission was made under the </w:t>
      </w:r>
      <w:r w:rsidRPr="00F1715F">
        <w:t>TGA/PBAC Parallel Process.</w:t>
      </w:r>
      <w:r w:rsidR="0080070B" w:rsidRPr="00F1715F">
        <w:t xml:space="preserve"> At the time of </w:t>
      </w:r>
      <w:r w:rsidR="00794E3F" w:rsidRPr="00F1715F">
        <w:t xml:space="preserve">PBAC consideration, the </w:t>
      </w:r>
      <w:r w:rsidR="001539AA" w:rsidRPr="00F1715F">
        <w:t>second</w:t>
      </w:r>
      <w:r w:rsidR="00CE3023" w:rsidRPr="00F1715F">
        <w:t xml:space="preserve"> round</w:t>
      </w:r>
      <w:r w:rsidR="00F11530" w:rsidRPr="008C4A7D">
        <w:t xml:space="preserve"> TGA Clinical Evaluation Report</w:t>
      </w:r>
      <w:r w:rsidR="00CE3023" w:rsidRPr="00DA46F0">
        <w:t xml:space="preserve"> (CER)</w:t>
      </w:r>
      <w:r w:rsidR="00794E3F" w:rsidRPr="0022792B">
        <w:t>,</w:t>
      </w:r>
      <w:r w:rsidR="002D1E1A" w:rsidRPr="0022792B">
        <w:t xml:space="preserve"> Delegate’s Request for ACPM A</w:t>
      </w:r>
      <w:r w:rsidR="00765F05" w:rsidRPr="0022792B">
        <w:t>dvice</w:t>
      </w:r>
      <w:r w:rsidR="00794E3F" w:rsidRPr="0022792B">
        <w:t xml:space="preserve"> and ACPM outcome were</w:t>
      </w:r>
      <w:r w:rsidR="00294D90" w:rsidRPr="0022792B">
        <w:t xml:space="preserve"> available.</w:t>
      </w:r>
      <w:r w:rsidR="00AE71C6">
        <w:t xml:space="preserve"> The ACPM considered </w:t>
      </w:r>
      <w:proofErr w:type="spellStart"/>
      <w:r w:rsidR="00AE71C6">
        <w:t>Renflexis</w:t>
      </w:r>
      <w:proofErr w:type="spellEnd"/>
      <w:r w:rsidR="00AE71C6">
        <w:t xml:space="preserve"> to have an overall positive benefit-risk profile for all indications Remicade is registered for, and </w:t>
      </w:r>
      <w:r w:rsidR="007577F2">
        <w:t>advised that it considered</w:t>
      </w:r>
      <w:r w:rsidR="00AE71C6">
        <w:t xml:space="preserve"> </w:t>
      </w:r>
      <w:proofErr w:type="spellStart"/>
      <w:r w:rsidR="00AE71C6">
        <w:t>Renflexis</w:t>
      </w:r>
      <w:proofErr w:type="spellEnd"/>
      <w:r w:rsidR="00AE71C6">
        <w:t xml:space="preserve"> a </w:t>
      </w:r>
      <w:proofErr w:type="spellStart"/>
      <w:r w:rsidR="00AE71C6">
        <w:t>biosimilar</w:t>
      </w:r>
      <w:proofErr w:type="spellEnd"/>
      <w:r w:rsidR="00AE71C6">
        <w:t xml:space="preserve"> of Remicade.</w:t>
      </w:r>
    </w:p>
    <w:p w:rsidR="00370DEC" w:rsidRPr="00AE71C6" w:rsidRDefault="00370DEC" w:rsidP="00F11530">
      <w:pPr>
        <w:pStyle w:val="ListParagraph"/>
        <w:rPr>
          <w:szCs w:val="22"/>
        </w:rPr>
      </w:pPr>
    </w:p>
    <w:p w:rsidR="00F11530" w:rsidRPr="0022792B" w:rsidRDefault="00F11530" w:rsidP="00F11530">
      <w:pPr>
        <w:pStyle w:val="ListParagraph"/>
        <w:widowControl/>
        <w:numPr>
          <w:ilvl w:val="1"/>
          <w:numId w:val="5"/>
        </w:numPr>
        <w:rPr>
          <w:szCs w:val="22"/>
        </w:rPr>
      </w:pPr>
      <w:r w:rsidRPr="00051C8C">
        <w:rPr>
          <w:szCs w:val="22"/>
        </w:rPr>
        <w:t xml:space="preserve">This was the first consideration of </w:t>
      </w:r>
      <w:proofErr w:type="spellStart"/>
      <w:r w:rsidR="0022792B">
        <w:rPr>
          <w:szCs w:val="22"/>
        </w:rPr>
        <w:t>Renflexis</w:t>
      </w:r>
      <w:proofErr w:type="spellEnd"/>
      <w:r w:rsidR="00967EED" w:rsidRPr="0022792B">
        <w:rPr>
          <w:szCs w:val="22"/>
        </w:rPr>
        <w:t xml:space="preserve"> </w:t>
      </w:r>
      <w:r w:rsidRPr="0022792B">
        <w:rPr>
          <w:szCs w:val="22"/>
        </w:rPr>
        <w:t>by the PBAC.</w:t>
      </w:r>
    </w:p>
    <w:p w:rsidR="00F11530" w:rsidRPr="001016C5" w:rsidRDefault="00F11530" w:rsidP="00F11530">
      <w:pPr>
        <w:pStyle w:val="ListParagraph"/>
        <w:rPr>
          <w:szCs w:val="22"/>
        </w:rPr>
      </w:pPr>
    </w:p>
    <w:p w:rsidR="00F11530" w:rsidRPr="00051C8C" w:rsidRDefault="00F11530" w:rsidP="00F11530">
      <w:pPr>
        <w:pStyle w:val="ListParagraph"/>
        <w:widowControl/>
        <w:numPr>
          <w:ilvl w:val="1"/>
          <w:numId w:val="5"/>
        </w:numPr>
        <w:rPr>
          <w:szCs w:val="22"/>
        </w:rPr>
      </w:pPr>
      <w:r w:rsidRPr="001016C5">
        <w:rPr>
          <w:szCs w:val="22"/>
        </w:rPr>
        <w:t xml:space="preserve">At </w:t>
      </w:r>
      <w:r w:rsidR="001539AA" w:rsidRPr="00051C8C">
        <w:rPr>
          <w:szCs w:val="22"/>
        </w:rPr>
        <w:t>its</w:t>
      </w:r>
      <w:r w:rsidR="00967EED" w:rsidRPr="00051C8C">
        <w:rPr>
          <w:szCs w:val="22"/>
        </w:rPr>
        <w:t xml:space="preserve"> </w:t>
      </w:r>
      <w:r w:rsidRPr="00051C8C">
        <w:rPr>
          <w:szCs w:val="22"/>
        </w:rPr>
        <w:t xml:space="preserve">July 2015 meeting, the PBAC recommended the listing of </w:t>
      </w:r>
      <w:r w:rsidR="00507CB2" w:rsidRPr="00051C8C">
        <w:rPr>
          <w:szCs w:val="22"/>
        </w:rPr>
        <w:t xml:space="preserve">the first </w:t>
      </w:r>
      <w:proofErr w:type="spellStart"/>
      <w:r w:rsidR="00507CB2" w:rsidRPr="00051C8C">
        <w:rPr>
          <w:szCs w:val="22"/>
        </w:rPr>
        <w:t>biosimilar</w:t>
      </w:r>
      <w:proofErr w:type="spellEnd"/>
      <w:r w:rsidR="00507CB2" w:rsidRPr="00051C8C">
        <w:rPr>
          <w:szCs w:val="22"/>
        </w:rPr>
        <w:t xml:space="preserve"> infliximab (</w:t>
      </w:r>
      <w:proofErr w:type="spellStart"/>
      <w:r w:rsidR="00507CB2" w:rsidRPr="00051C8C">
        <w:rPr>
          <w:szCs w:val="22"/>
        </w:rPr>
        <w:t>Inflectra</w:t>
      </w:r>
      <w:proofErr w:type="spellEnd"/>
      <w:r w:rsidR="00507CB2" w:rsidRPr="00051C8C">
        <w:rPr>
          <w:szCs w:val="22"/>
          <w:vertAlign w:val="superscript"/>
        </w:rPr>
        <w:t>®</w:t>
      </w:r>
      <w:r w:rsidR="00507CB2" w:rsidRPr="00051C8C">
        <w:rPr>
          <w:szCs w:val="22"/>
        </w:rPr>
        <w:t>)</w:t>
      </w:r>
      <w:r w:rsidRPr="00051C8C">
        <w:rPr>
          <w:szCs w:val="22"/>
        </w:rPr>
        <w:t xml:space="preserve"> as a </w:t>
      </w:r>
      <w:proofErr w:type="spellStart"/>
      <w:r w:rsidRPr="00051C8C">
        <w:rPr>
          <w:szCs w:val="22"/>
        </w:rPr>
        <w:t>biosimilar</w:t>
      </w:r>
      <w:proofErr w:type="spellEnd"/>
      <w:r w:rsidRPr="00051C8C">
        <w:rPr>
          <w:szCs w:val="22"/>
        </w:rPr>
        <w:t xml:space="preserve"> of Remicade, where the equi-effective doses were 100</w:t>
      </w:r>
      <w:r w:rsidR="001539AA" w:rsidRPr="00051C8C">
        <w:rPr>
          <w:szCs w:val="22"/>
        </w:rPr>
        <w:t xml:space="preserve"> </w:t>
      </w:r>
      <w:r w:rsidRPr="00051C8C">
        <w:rPr>
          <w:szCs w:val="22"/>
        </w:rPr>
        <w:t xml:space="preserve">mg infliximab </w:t>
      </w:r>
      <w:proofErr w:type="spellStart"/>
      <w:r w:rsidRPr="00051C8C">
        <w:rPr>
          <w:szCs w:val="22"/>
        </w:rPr>
        <w:t>Inflectra</w:t>
      </w:r>
      <w:proofErr w:type="spellEnd"/>
      <w:r w:rsidRPr="00051C8C">
        <w:rPr>
          <w:szCs w:val="22"/>
        </w:rPr>
        <w:t xml:space="preserve"> and 100</w:t>
      </w:r>
      <w:r w:rsidR="001539AA" w:rsidRPr="00051C8C">
        <w:rPr>
          <w:szCs w:val="22"/>
        </w:rPr>
        <w:t xml:space="preserve"> </w:t>
      </w:r>
      <w:r w:rsidRPr="00051C8C">
        <w:rPr>
          <w:szCs w:val="22"/>
        </w:rPr>
        <w:t xml:space="preserve">mg Remicade. The PBAC recommended that the same indications that apply to Remicade should apply to </w:t>
      </w:r>
      <w:proofErr w:type="spellStart"/>
      <w:r w:rsidRPr="00051C8C">
        <w:rPr>
          <w:szCs w:val="22"/>
        </w:rPr>
        <w:t>Inflectra</w:t>
      </w:r>
      <w:proofErr w:type="spellEnd"/>
      <w:r w:rsidRPr="00051C8C">
        <w:rPr>
          <w:szCs w:val="22"/>
        </w:rPr>
        <w:t>.</w:t>
      </w:r>
      <w:r w:rsidR="00A20CFF">
        <w:rPr>
          <w:szCs w:val="22"/>
        </w:rPr>
        <w:t xml:space="preserve"> The PBAC also recommended that </w:t>
      </w:r>
      <w:proofErr w:type="spellStart"/>
      <w:r w:rsidR="00A20CFF">
        <w:rPr>
          <w:szCs w:val="22"/>
        </w:rPr>
        <w:t>Inflectra</w:t>
      </w:r>
      <w:proofErr w:type="spellEnd"/>
      <w:r w:rsidR="00A20CFF">
        <w:rPr>
          <w:szCs w:val="22"/>
        </w:rPr>
        <w:t xml:space="preserve"> brand of infliximab should be treated as a schedule equivalent (‘a’ flagged) to the Remicade brand of infliximab.</w:t>
      </w:r>
    </w:p>
    <w:p w:rsidR="00F11530" w:rsidRDefault="00F11530" w:rsidP="00F11530">
      <w:pPr>
        <w:pStyle w:val="ListParagraph"/>
        <w:rPr>
          <w:szCs w:val="22"/>
        </w:rPr>
      </w:pPr>
    </w:p>
    <w:p w:rsidR="00F1715F" w:rsidRPr="00474003" w:rsidRDefault="00F1715F" w:rsidP="00F1715F">
      <w:pPr>
        <w:rPr>
          <w:b/>
          <w:szCs w:val="22"/>
        </w:rPr>
      </w:pPr>
      <w:r w:rsidRPr="00474003">
        <w:rPr>
          <w:b/>
          <w:szCs w:val="22"/>
        </w:rPr>
        <w:t xml:space="preserve">Substitution of </w:t>
      </w:r>
      <w:proofErr w:type="spellStart"/>
      <w:r w:rsidRPr="00474003">
        <w:rPr>
          <w:b/>
          <w:szCs w:val="22"/>
        </w:rPr>
        <w:t>biosim</w:t>
      </w:r>
      <w:r w:rsidR="00AE71C6">
        <w:rPr>
          <w:b/>
          <w:szCs w:val="22"/>
        </w:rPr>
        <w:t>ilars</w:t>
      </w:r>
      <w:proofErr w:type="spellEnd"/>
      <w:r w:rsidR="00AE71C6">
        <w:rPr>
          <w:b/>
          <w:szCs w:val="22"/>
        </w:rPr>
        <w:t xml:space="preserve"> at the pharmacist level (‘a’</w:t>
      </w:r>
      <w:r w:rsidRPr="00474003">
        <w:rPr>
          <w:b/>
          <w:szCs w:val="22"/>
        </w:rPr>
        <w:t xml:space="preserve"> flagging)</w:t>
      </w:r>
    </w:p>
    <w:p w:rsidR="00F1715F" w:rsidRPr="00682EE4" w:rsidRDefault="00F1715F" w:rsidP="00F1715F">
      <w:pPr>
        <w:rPr>
          <w:szCs w:val="22"/>
          <w:u w:val="single"/>
        </w:rPr>
      </w:pPr>
    </w:p>
    <w:p w:rsidR="00F1715F" w:rsidRPr="00682EE4" w:rsidRDefault="00F1715F" w:rsidP="001D1522">
      <w:pPr>
        <w:pStyle w:val="ListParagraph"/>
        <w:widowControl/>
        <w:numPr>
          <w:ilvl w:val="1"/>
          <w:numId w:val="5"/>
        </w:numPr>
        <w:rPr>
          <w:szCs w:val="22"/>
        </w:rPr>
      </w:pPr>
      <w:r w:rsidRPr="00682EE4">
        <w:rPr>
          <w:szCs w:val="22"/>
        </w:rPr>
        <w:t>Many medicines are available on the PBS in different brands. The Schedule of Pharmaceutical Benefits indicates where different brands are considered equivalent for the purposes of substitution at th</w:t>
      </w:r>
      <w:r w:rsidR="00AE71C6">
        <w:rPr>
          <w:szCs w:val="22"/>
        </w:rPr>
        <w:t>e point of dispensing by using ‘a’ flags.</w:t>
      </w:r>
      <w:r w:rsidRPr="00682EE4">
        <w:rPr>
          <w:szCs w:val="22"/>
        </w:rPr>
        <w:t xml:space="preserve"> For any individual prescription, a prescriber may choose to not permit brand substitution by indicating ‘substitution not permitted’ on the prescription.</w:t>
      </w:r>
      <w:r w:rsidR="00AE71C6">
        <w:rPr>
          <w:szCs w:val="22"/>
        </w:rPr>
        <w:t xml:space="preserve"> </w:t>
      </w:r>
      <w:r w:rsidRPr="00682EE4">
        <w:rPr>
          <w:szCs w:val="22"/>
        </w:rPr>
        <w:t>Likewise, when substitution is permitted</w:t>
      </w:r>
      <w:r w:rsidR="00AE71C6">
        <w:rPr>
          <w:szCs w:val="22"/>
        </w:rPr>
        <w:t>, a patient may nominate which ‘a’</w:t>
      </w:r>
      <w:r w:rsidRPr="00682EE4">
        <w:rPr>
          <w:szCs w:val="22"/>
        </w:rPr>
        <w:t xml:space="preserve"> flagged brand they wish to receive from the pharmacist, except when State or Territory Law prohibits substitution (e.g. for Schedule 8 drugs of dependence). The substitution process allows for patient and prescriber choice and is not automatic.</w:t>
      </w:r>
    </w:p>
    <w:p w:rsidR="00F1715F" w:rsidRPr="00682EE4" w:rsidRDefault="00F1715F" w:rsidP="00AE71C6">
      <w:pPr>
        <w:pStyle w:val="ListParagraph"/>
        <w:rPr>
          <w:szCs w:val="22"/>
        </w:rPr>
      </w:pPr>
    </w:p>
    <w:p w:rsidR="00F1715F" w:rsidRPr="00682EE4" w:rsidRDefault="00F1715F" w:rsidP="00900DC7">
      <w:pPr>
        <w:pStyle w:val="ListParagraph"/>
        <w:widowControl/>
        <w:numPr>
          <w:ilvl w:val="1"/>
          <w:numId w:val="5"/>
        </w:numPr>
        <w:rPr>
          <w:szCs w:val="22"/>
        </w:rPr>
      </w:pPr>
      <w:r w:rsidRPr="00682EE4">
        <w:rPr>
          <w:szCs w:val="22"/>
        </w:rPr>
        <w:t xml:space="preserve">The </w:t>
      </w:r>
      <w:r w:rsidRPr="00682EE4">
        <w:rPr>
          <w:i/>
          <w:szCs w:val="22"/>
        </w:rPr>
        <w:t>National Health Act 1953</w:t>
      </w:r>
      <w:r w:rsidRPr="00682EE4">
        <w:rPr>
          <w:szCs w:val="22"/>
        </w:rPr>
        <w:t xml:space="preserve"> (“The Act”) makes it an offence for a pharmacist to supply a pharmaceutical benefit other than the benefit directed to be supplied in a prescription except when, amongst other criteria, the Schedule issued by the </w:t>
      </w:r>
      <w:r w:rsidRPr="00682EE4">
        <w:rPr>
          <w:szCs w:val="22"/>
        </w:rPr>
        <w:lastRenderedPageBreak/>
        <w:t xml:space="preserve">Department of Health states that the specified benefit and the substitute benefit are equivalent. </w:t>
      </w:r>
    </w:p>
    <w:p w:rsidR="00F1715F" w:rsidRPr="00682EE4" w:rsidRDefault="00F1715F">
      <w:pPr>
        <w:rPr>
          <w:szCs w:val="22"/>
        </w:rPr>
      </w:pPr>
    </w:p>
    <w:p w:rsidR="00F1715F" w:rsidRPr="00682EE4" w:rsidRDefault="00F1715F">
      <w:pPr>
        <w:pStyle w:val="ListParagraph"/>
        <w:widowControl/>
        <w:numPr>
          <w:ilvl w:val="1"/>
          <w:numId w:val="5"/>
        </w:numPr>
        <w:rPr>
          <w:szCs w:val="22"/>
        </w:rPr>
      </w:pPr>
      <w:r w:rsidRPr="00682EE4">
        <w:rPr>
          <w:szCs w:val="22"/>
        </w:rPr>
        <w:t xml:space="preserve">The Schedule of Pharmaceutical Benefits provide the following definition of brand equivalence: </w:t>
      </w:r>
    </w:p>
    <w:p w:rsidR="00F1715F" w:rsidRPr="00682EE4" w:rsidRDefault="00F1715F" w:rsidP="00900DC7">
      <w:pPr>
        <w:pStyle w:val="NormalWeb"/>
        <w:pBdr>
          <w:top w:val="single" w:sz="4" w:space="1" w:color="auto"/>
          <w:left w:val="single" w:sz="4" w:space="4" w:color="auto"/>
          <w:bottom w:val="single" w:sz="4" w:space="1" w:color="auto"/>
          <w:right w:val="single" w:sz="4" w:space="4" w:color="auto"/>
        </w:pBdr>
        <w:spacing w:after="0"/>
        <w:ind w:left="720"/>
        <w:rPr>
          <w:rFonts w:ascii="Arial" w:hAnsi="Arial" w:cs="Arial"/>
          <w:b/>
          <w:sz w:val="22"/>
          <w:szCs w:val="22"/>
          <w:lang w:val="en-AU"/>
        </w:rPr>
      </w:pPr>
      <w:r w:rsidRPr="00682EE4">
        <w:rPr>
          <w:rFonts w:ascii="Arial" w:hAnsi="Arial" w:cs="Arial"/>
          <w:b/>
          <w:sz w:val="22"/>
          <w:szCs w:val="22"/>
          <w:lang w:val="en-AU"/>
        </w:rPr>
        <w:t>Extract from the Explanatory Notes to the PBS Schedule</w:t>
      </w:r>
      <w:r w:rsidRPr="00682EE4">
        <w:rPr>
          <w:b/>
          <w:vertAlign w:val="superscript"/>
          <w:lang w:val="en-AU"/>
        </w:rPr>
        <w:footnoteReference w:id="1"/>
      </w:r>
    </w:p>
    <w:p w:rsidR="00F1715F" w:rsidRPr="00682EE4" w:rsidRDefault="00F1715F" w:rsidP="00900DC7">
      <w:pPr>
        <w:pStyle w:val="NormalWeb"/>
        <w:pBdr>
          <w:top w:val="single" w:sz="4" w:space="1" w:color="auto"/>
          <w:left w:val="single" w:sz="4" w:space="4" w:color="auto"/>
          <w:bottom w:val="single" w:sz="4" w:space="1" w:color="auto"/>
          <w:right w:val="single" w:sz="4" w:space="4" w:color="auto"/>
        </w:pBdr>
        <w:spacing w:after="0"/>
        <w:ind w:left="720"/>
        <w:rPr>
          <w:rFonts w:ascii="Arial" w:hAnsi="Arial" w:cs="Arial"/>
          <w:b/>
          <w:sz w:val="22"/>
          <w:szCs w:val="22"/>
          <w:lang w:val="en-AU"/>
        </w:rPr>
      </w:pPr>
      <w:r w:rsidRPr="00682EE4">
        <w:rPr>
          <w:rFonts w:ascii="Arial" w:hAnsi="Arial" w:cs="Arial"/>
          <w:b/>
          <w:sz w:val="22"/>
          <w:szCs w:val="22"/>
          <w:lang w:val="en-AU"/>
        </w:rPr>
        <w:t>BRAND EQUIVALENCE</w:t>
      </w:r>
    </w:p>
    <w:p w:rsidR="00F1715F" w:rsidRPr="00682EE4" w:rsidRDefault="00F1715F" w:rsidP="00900DC7">
      <w:pPr>
        <w:pStyle w:val="NormalWeb"/>
        <w:pBdr>
          <w:top w:val="single" w:sz="4" w:space="1" w:color="auto"/>
          <w:left w:val="single" w:sz="4" w:space="4" w:color="auto"/>
          <w:bottom w:val="single" w:sz="4" w:space="1" w:color="auto"/>
          <w:right w:val="single" w:sz="4" w:space="4" w:color="auto"/>
        </w:pBdr>
        <w:spacing w:after="0"/>
        <w:ind w:left="720"/>
        <w:rPr>
          <w:rFonts w:ascii="Arial" w:hAnsi="Arial" w:cs="Arial"/>
          <w:sz w:val="22"/>
          <w:szCs w:val="22"/>
          <w:lang w:val="en-AU"/>
        </w:rPr>
      </w:pPr>
      <w:r w:rsidRPr="00682EE4">
        <w:rPr>
          <w:rFonts w:ascii="Arial" w:hAnsi="Arial" w:cs="Arial"/>
          <w:sz w:val="22"/>
          <w:szCs w:val="22"/>
          <w:lang w:val="en-AU"/>
        </w:rPr>
        <w:t>'a' located immediately before brand names of a particular strength of an item indicates that the sponsors of these brands have submitted evidence that they have been demonstrated to be bioequivalent or therapeutically equivalent, or that justification for not needing bioequivalence or therapeutic equivalence data has been provided to and accepted by the Therapeutic Goods Administration. It would thus be expected that these brands may be interchanged without differences in clinical effect.</w:t>
      </w:r>
    </w:p>
    <w:p w:rsidR="001A3A31" w:rsidRDefault="001A3A31" w:rsidP="00C0497B">
      <w:pPr>
        <w:pStyle w:val="ListParagraph"/>
        <w:widowControl/>
        <w:rPr>
          <w:szCs w:val="22"/>
        </w:rPr>
      </w:pPr>
    </w:p>
    <w:p w:rsidR="00F1715F" w:rsidRPr="00682EE4" w:rsidRDefault="00F1715F" w:rsidP="00AE71C6">
      <w:pPr>
        <w:pStyle w:val="ListParagraph"/>
        <w:widowControl/>
        <w:numPr>
          <w:ilvl w:val="1"/>
          <w:numId w:val="5"/>
        </w:numPr>
        <w:rPr>
          <w:szCs w:val="22"/>
        </w:rPr>
      </w:pPr>
      <w:r w:rsidRPr="00682EE4">
        <w:rPr>
          <w:szCs w:val="22"/>
        </w:rPr>
        <w:t>At the March 2015 meeting, the PBAC:</w:t>
      </w:r>
    </w:p>
    <w:p w:rsidR="00F1715F" w:rsidRPr="00682EE4" w:rsidRDefault="00F1715F" w:rsidP="00AE71C6">
      <w:pPr>
        <w:rPr>
          <w:szCs w:val="22"/>
        </w:rPr>
      </w:pPr>
    </w:p>
    <w:p w:rsidR="00F1715F" w:rsidRPr="00682EE4" w:rsidRDefault="00F1715F" w:rsidP="00900DC7">
      <w:pPr>
        <w:ind w:left="720"/>
        <w:rPr>
          <w:szCs w:val="22"/>
        </w:rPr>
      </w:pPr>
      <w:r w:rsidRPr="00682EE4">
        <w:rPr>
          <w:szCs w:val="22"/>
        </w:rPr>
        <w:t xml:space="preserve">“indicated it would consider the marking of equivalent (i.e. </w:t>
      </w:r>
      <w:r w:rsidR="00AE71C6">
        <w:rPr>
          <w:szCs w:val="22"/>
        </w:rPr>
        <w:t>‘</w:t>
      </w:r>
      <w:r w:rsidRPr="00682EE4">
        <w:rPr>
          <w:szCs w:val="22"/>
        </w:rPr>
        <w:t>a</w:t>
      </w:r>
      <w:r w:rsidR="00AE71C6">
        <w:rPr>
          <w:szCs w:val="22"/>
        </w:rPr>
        <w:t>’</w:t>
      </w:r>
      <w:r w:rsidRPr="00682EE4">
        <w:rPr>
          <w:szCs w:val="22"/>
        </w:rPr>
        <w:t xml:space="preserve"> flagging) in the Schedule of Pharmaceutical Benefits (the Schedule) of biosimilar medicines with their reference medicine on a case by case basis, taking into account the evidence presented in each submission to list a biosimilar medicine.”</w:t>
      </w:r>
      <w:r w:rsidRPr="00682EE4" w:rsidDel="007C3DBE">
        <w:t xml:space="preserve"> </w:t>
      </w:r>
    </w:p>
    <w:p w:rsidR="00F1715F" w:rsidRPr="00682EE4" w:rsidRDefault="00F1715F">
      <w:pPr>
        <w:ind w:left="720"/>
        <w:rPr>
          <w:szCs w:val="22"/>
        </w:rPr>
      </w:pPr>
    </w:p>
    <w:p w:rsidR="00F1715F" w:rsidRPr="00682EE4" w:rsidRDefault="00AE71C6">
      <w:pPr>
        <w:pStyle w:val="ListParagraph"/>
        <w:widowControl/>
        <w:numPr>
          <w:ilvl w:val="1"/>
          <w:numId w:val="5"/>
        </w:numPr>
        <w:rPr>
          <w:szCs w:val="22"/>
        </w:rPr>
      </w:pPr>
      <w:r>
        <w:rPr>
          <w:szCs w:val="22"/>
        </w:rPr>
        <w:t>When ‘a’</w:t>
      </w:r>
      <w:r w:rsidR="00F1715F" w:rsidRPr="00682EE4">
        <w:rPr>
          <w:szCs w:val="22"/>
        </w:rPr>
        <w:t xml:space="preserve"> flagging of biosimilar brands and their reference brands was discussed by the PBAC at its special meeting on 17 April 2015, the PBAC advised that biosimilar pro</w:t>
      </w:r>
      <w:r>
        <w:rPr>
          <w:szCs w:val="22"/>
        </w:rPr>
        <w:t>ducts would be recommended for ‘a’</w:t>
      </w:r>
      <w:r w:rsidR="00F1715F" w:rsidRPr="00682EE4">
        <w:rPr>
          <w:szCs w:val="22"/>
        </w:rPr>
        <w:t xml:space="preserve"> flagging, “</w:t>
      </w:r>
      <w:proofErr w:type="gramStart"/>
      <w:r w:rsidR="00F1715F" w:rsidRPr="00682EE4">
        <w:rPr>
          <w:szCs w:val="22"/>
        </w:rPr>
        <w:t>where</w:t>
      </w:r>
      <w:proofErr w:type="gramEnd"/>
      <w:r w:rsidR="00F1715F" w:rsidRPr="00682EE4">
        <w:rPr>
          <w:szCs w:val="22"/>
        </w:rPr>
        <w:t xml:space="preserve"> the data are supportive of this conclusion.”</w:t>
      </w:r>
    </w:p>
    <w:p w:rsidR="00F1715F" w:rsidRPr="00682EE4" w:rsidRDefault="00F1715F">
      <w:pPr>
        <w:ind w:left="720"/>
        <w:rPr>
          <w:szCs w:val="22"/>
        </w:rPr>
      </w:pPr>
    </w:p>
    <w:p w:rsidR="00F1715F" w:rsidRPr="00682EE4" w:rsidRDefault="00F1715F">
      <w:pPr>
        <w:ind w:left="720"/>
        <w:rPr>
          <w:szCs w:val="22"/>
        </w:rPr>
      </w:pPr>
      <w:r w:rsidRPr="00682EE4">
        <w:rPr>
          <w:szCs w:val="22"/>
        </w:rPr>
        <w:t>“The PBAC advised that the following would be relevant considerations in establishing that</w:t>
      </w:r>
      <w:r w:rsidR="00AE71C6">
        <w:rPr>
          <w:szCs w:val="22"/>
        </w:rPr>
        <w:t xml:space="preserve"> a biosimilar product could be ‘a’</w:t>
      </w:r>
      <w:r w:rsidRPr="00682EE4">
        <w:rPr>
          <w:szCs w:val="22"/>
        </w:rPr>
        <w:t xml:space="preserve"> flagged with the originator product:</w:t>
      </w:r>
    </w:p>
    <w:p w:rsidR="00F1715F" w:rsidRPr="00682EE4" w:rsidRDefault="00F1715F">
      <w:pPr>
        <w:pStyle w:val="ListParagraph"/>
        <w:widowControl/>
        <w:numPr>
          <w:ilvl w:val="2"/>
          <w:numId w:val="54"/>
        </w:numPr>
        <w:ind w:left="1418"/>
        <w:rPr>
          <w:szCs w:val="22"/>
        </w:rPr>
      </w:pPr>
      <w:r w:rsidRPr="00682EE4">
        <w:rPr>
          <w:szCs w:val="22"/>
        </w:rPr>
        <w:t>Absence of data to suggest significant differences in clinical effectiveness or safety compared with the originator product;</w:t>
      </w:r>
    </w:p>
    <w:p w:rsidR="00F1715F" w:rsidRPr="00682EE4" w:rsidRDefault="00F1715F">
      <w:pPr>
        <w:pStyle w:val="ListParagraph"/>
        <w:widowControl/>
        <w:numPr>
          <w:ilvl w:val="2"/>
          <w:numId w:val="54"/>
        </w:numPr>
        <w:ind w:left="1418"/>
        <w:rPr>
          <w:szCs w:val="22"/>
        </w:rPr>
      </w:pPr>
      <w:r w:rsidRPr="00682EE4">
        <w:rPr>
          <w:szCs w:val="22"/>
        </w:rPr>
        <w:t>Absence of identified populations where the risks of using the biosimilar product are disproportionately high;</w:t>
      </w:r>
    </w:p>
    <w:p w:rsidR="00F1715F" w:rsidRPr="00682EE4" w:rsidRDefault="00F1715F">
      <w:pPr>
        <w:pStyle w:val="ListParagraph"/>
        <w:widowControl/>
        <w:numPr>
          <w:ilvl w:val="2"/>
          <w:numId w:val="54"/>
        </w:numPr>
        <w:ind w:left="1418"/>
        <w:rPr>
          <w:szCs w:val="22"/>
        </w:rPr>
      </w:pPr>
      <w:r w:rsidRPr="00682EE4">
        <w:rPr>
          <w:szCs w:val="22"/>
        </w:rPr>
        <w:t>Availability of data to support switching between the originator product and the biosimilar product;</w:t>
      </w:r>
    </w:p>
    <w:p w:rsidR="00F1715F" w:rsidRPr="00682EE4" w:rsidRDefault="00F1715F">
      <w:pPr>
        <w:pStyle w:val="ListParagraph"/>
        <w:widowControl/>
        <w:numPr>
          <w:ilvl w:val="2"/>
          <w:numId w:val="54"/>
        </w:numPr>
        <w:ind w:left="1418"/>
        <w:rPr>
          <w:szCs w:val="22"/>
        </w:rPr>
      </w:pPr>
      <w:r w:rsidRPr="00682EE4">
        <w:rPr>
          <w:szCs w:val="22"/>
        </w:rPr>
        <w:t>Availability of data for treatment-naïve patients initiating on the biosimilar product;</w:t>
      </w:r>
    </w:p>
    <w:p w:rsidR="00F1715F" w:rsidRPr="00682EE4" w:rsidRDefault="00F1715F">
      <w:pPr>
        <w:pStyle w:val="ListParagraph"/>
        <w:widowControl/>
        <w:numPr>
          <w:ilvl w:val="2"/>
          <w:numId w:val="54"/>
        </w:numPr>
        <w:ind w:left="1418"/>
        <w:rPr>
          <w:szCs w:val="22"/>
        </w:rPr>
      </w:pPr>
      <w:r w:rsidRPr="00682EE4">
        <w:rPr>
          <w:szCs w:val="22"/>
        </w:rPr>
        <w:t>Whether the Therapeutic Goods Administration has deemed a product to be biosimilar with the originator product.</w:t>
      </w:r>
    </w:p>
    <w:p w:rsidR="00F1715F" w:rsidRPr="00682EE4" w:rsidRDefault="00F1715F">
      <w:pPr>
        <w:ind w:left="720"/>
        <w:rPr>
          <w:szCs w:val="22"/>
        </w:rPr>
      </w:pPr>
    </w:p>
    <w:p w:rsidR="00F1715F" w:rsidRPr="00682EE4" w:rsidRDefault="00F1715F">
      <w:pPr>
        <w:ind w:left="709"/>
        <w:rPr>
          <w:bCs/>
          <w:szCs w:val="22"/>
        </w:rPr>
      </w:pPr>
      <w:r w:rsidRPr="00682EE4">
        <w:rPr>
          <w:szCs w:val="22"/>
        </w:rPr>
        <w:t>The PBAC considered that where a b</w:t>
      </w:r>
      <w:r w:rsidR="00AE71C6">
        <w:rPr>
          <w:szCs w:val="22"/>
        </w:rPr>
        <w:t>iosimilar product could not be ‘a’</w:t>
      </w:r>
      <w:r w:rsidRPr="00682EE4">
        <w:rPr>
          <w:szCs w:val="22"/>
        </w:rPr>
        <w:t xml:space="preserve"> flagged at the time of PBS listing, data </w:t>
      </w:r>
      <w:r w:rsidR="00AE71C6">
        <w:rPr>
          <w:szCs w:val="22"/>
        </w:rPr>
        <w:t>should be collected to support ‘a’</w:t>
      </w:r>
      <w:r w:rsidRPr="00682EE4">
        <w:rPr>
          <w:szCs w:val="22"/>
        </w:rPr>
        <w:t xml:space="preserve"> flagging at a later point.</w:t>
      </w:r>
    </w:p>
    <w:p w:rsidR="00F11530" w:rsidRPr="00900DC7" w:rsidRDefault="00F11530" w:rsidP="00900DC7">
      <w:pPr>
        <w:widowControl/>
        <w:rPr>
          <w:szCs w:val="22"/>
        </w:rPr>
      </w:pPr>
    </w:p>
    <w:p w:rsidR="005337AB" w:rsidRPr="0022792B" w:rsidRDefault="00C16CD6" w:rsidP="0022792B">
      <w:pPr>
        <w:ind w:firstLine="720"/>
        <w:rPr>
          <w:bCs/>
          <w:szCs w:val="22"/>
        </w:rPr>
      </w:pPr>
      <w:r w:rsidRPr="00900DC7">
        <w:rPr>
          <w:bCs/>
          <w:i/>
          <w:szCs w:val="22"/>
        </w:rPr>
        <w:t>For more detail on PBAC’s view, see section 7 “PBAC outcome”</w:t>
      </w:r>
    </w:p>
    <w:p w:rsidR="00C16CD6" w:rsidRDefault="00C16CD6" w:rsidP="00F11530">
      <w:pPr>
        <w:pStyle w:val="ListParagraph"/>
        <w:widowControl/>
        <w:rPr>
          <w:szCs w:val="22"/>
        </w:rPr>
      </w:pPr>
    </w:p>
    <w:p w:rsidR="0022792B" w:rsidRPr="00F1715F" w:rsidRDefault="0022792B" w:rsidP="00F11530">
      <w:pPr>
        <w:pStyle w:val="ListParagraph"/>
        <w:widowControl/>
        <w:rPr>
          <w:szCs w:val="22"/>
        </w:rPr>
      </w:pPr>
    </w:p>
    <w:p w:rsidR="00F11530" w:rsidRPr="00F1715F" w:rsidRDefault="00F11530" w:rsidP="005337AB">
      <w:pPr>
        <w:pStyle w:val="Heading2"/>
      </w:pPr>
      <w:bookmarkStart w:id="10" w:name="_Toc461606004"/>
      <w:r w:rsidRPr="00F1715F">
        <w:t>Clinical place for the proposed therapy</w:t>
      </w:r>
      <w:bookmarkEnd w:id="10"/>
    </w:p>
    <w:p w:rsidR="00F11530" w:rsidRPr="00F1715F" w:rsidRDefault="00F11530" w:rsidP="00F11530">
      <w:pPr>
        <w:rPr>
          <w:szCs w:val="22"/>
        </w:rPr>
      </w:pPr>
    </w:p>
    <w:p w:rsidR="00F11530" w:rsidRPr="00F1715F" w:rsidRDefault="00F11530" w:rsidP="00F11530">
      <w:pPr>
        <w:widowControl/>
        <w:numPr>
          <w:ilvl w:val="1"/>
          <w:numId w:val="5"/>
        </w:numPr>
        <w:contextualSpacing/>
        <w:jc w:val="left"/>
        <w:rPr>
          <w:rFonts w:cs="Times New Roman"/>
          <w:snapToGrid/>
          <w:szCs w:val="22"/>
          <w:lang w:eastAsia="en-AU"/>
        </w:rPr>
      </w:pPr>
      <w:r w:rsidRPr="00F1715F">
        <w:rPr>
          <w:rFonts w:cs="Times New Roman"/>
          <w:snapToGrid/>
          <w:szCs w:val="22"/>
          <w:lang w:eastAsia="en-AU"/>
        </w:rPr>
        <w:t>Infliximab (Remicade) is currently listed on the PBS for the following conditions:</w:t>
      </w:r>
    </w:p>
    <w:p w:rsidR="00F11530" w:rsidRPr="00F1715F" w:rsidRDefault="00F11530" w:rsidP="00F11530">
      <w:pPr>
        <w:widowControl/>
        <w:numPr>
          <w:ilvl w:val="2"/>
          <w:numId w:val="38"/>
        </w:numPr>
        <w:contextualSpacing/>
        <w:jc w:val="left"/>
        <w:rPr>
          <w:rFonts w:cs="Times New Roman"/>
          <w:snapToGrid/>
          <w:szCs w:val="22"/>
          <w:lang w:eastAsia="en-AU"/>
        </w:rPr>
      </w:pPr>
      <w:r w:rsidRPr="00F1715F">
        <w:rPr>
          <w:rFonts w:cs="Times New Roman"/>
          <w:snapToGrid/>
          <w:szCs w:val="22"/>
          <w:lang w:eastAsia="en-AU"/>
        </w:rPr>
        <w:t>acute severe ulcerative colitis</w:t>
      </w:r>
    </w:p>
    <w:p w:rsidR="00F11530" w:rsidRPr="00DA46F0" w:rsidRDefault="00F11530" w:rsidP="00F11530">
      <w:pPr>
        <w:widowControl/>
        <w:numPr>
          <w:ilvl w:val="2"/>
          <w:numId w:val="38"/>
        </w:numPr>
        <w:contextualSpacing/>
        <w:jc w:val="left"/>
        <w:rPr>
          <w:rFonts w:cs="Times New Roman"/>
          <w:snapToGrid/>
          <w:szCs w:val="22"/>
          <w:lang w:eastAsia="en-AU"/>
        </w:rPr>
      </w:pPr>
      <w:r w:rsidRPr="00DA46F0">
        <w:rPr>
          <w:rFonts w:cs="Times New Roman"/>
          <w:snapToGrid/>
          <w:szCs w:val="22"/>
          <w:lang w:eastAsia="en-AU"/>
        </w:rPr>
        <w:t>moderate to severe ulcerative colitis</w:t>
      </w:r>
    </w:p>
    <w:p w:rsidR="00F11530" w:rsidRPr="0022792B" w:rsidRDefault="00F11530" w:rsidP="00F11530">
      <w:pPr>
        <w:widowControl/>
        <w:numPr>
          <w:ilvl w:val="2"/>
          <w:numId w:val="38"/>
        </w:numPr>
        <w:contextualSpacing/>
        <w:jc w:val="left"/>
        <w:rPr>
          <w:rFonts w:cs="Times New Roman"/>
          <w:snapToGrid/>
          <w:szCs w:val="22"/>
          <w:lang w:eastAsia="en-AU"/>
        </w:rPr>
      </w:pPr>
      <w:r w:rsidRPr="0022792B">
        <w:rPr>
          <w:rFonts w:cs="Times New Roman"/>
          <w:snapToGrid/>
          <w:szCs w:val="22"/>
          <w:lang w:eastAsia="en-AU"/>
        </w:rPr>
        <w:t>severe Crohn’s disease</w:t>
      </w:r>
    </w:p>
    <w:p w:rsidR="00F11530" w:rsidRPr="001016C5" w:rsidRDefault="00F11530" w:rsidP="00F11530">
      <w:pPr>
        <w:widowControl/>
        <w:numPr>
          <w:ilvl w:val="2"/>
          <w:numId w:val="38"/>
        </w:numPr>
        <w:contextualSpacing/>
        <w:jc w:val="left"/>
        <w:rPr>
          <w:rFonts w:cs="Times New Roman"/>
          <w:snapToGrid/>
          <w:szCs w:val="22"/>
          <w:lang w:eastAsia="en-AU"/>
        </w:rPr>
      </w:pPr>
      <w:r w:rsidRPr="001016C5">
        <w:rPr>
          <w:rFonts w:cs="Times New Roman"/>
          <w:snapToGrid/>
          <w:szCs w:val="22"/>
          <w:lang w:eastAsia="en-AU"/>
        </w:rPr>
        <w:t>moderate to severe Crohn’s disease (paediatric patients)</w:t>
      </w:r>
    </w:p>
    <w:p w:rsidR="00F11530" w:rsidRPr="00051C8C" w:rsidRDefault="00F11530" w:rsidP="00F11530">
      <w:pPr>
        <w:widowControl/>
        <w:numPr>
          <w:ilvl w:val="2"/>
          <w:numId w:val="38"/>
        </w:numPr>
        <w:contextualSpacing/>
        <w:jc w:val="left"/>
        <w:rPr>
          <w:rFonts w:cs="Times New Roman"/>
          <w:snapToGrid/>
          <w:szCs w:val="22"/>
          <w:lang w:eastAsia="en-AU"/>
        </w:rPr>
      </w:pPr>
      <w:r w:rsidRPr="00051C8C">
        <w:rPr>
          <w:rFonts w:cs="Times New Roman"/>
          <w:snapToGrid/>
          <w:szCs w:val="22"/>
          <w:lang w:eastAsia="en-AU"/>
        </w:rPr>
        <w:t>complex refractory fistulising Crohn’s disease</w:t>
      </w:r>
    </w:p>
    <w:p w:rsidR="00F11530" w:rsidRPr="00051C8C" w:rsidRDefault="00F11530" w:rsidP="00F11530">
      <w:pPr>
        <w:widowControl/>
        <w:numPr>
          <w:ilvl w:val="2"/>
          <w:numId w:val="38"/>
        </w:numPr>
        <w:contextualSpacing/>
        <w:jc w:val="left"/>
        <w:rPr>
          <w:rFonts w:cs="Times New Roman"/>
          <w:snapToGrid/>
          <w:szCs w:val="22"/>
          <w:lang w:eastAsia="en-AU"/>
        </w:rPr>
      </w:pPr>
      <w:r w:rsidRPr="00051C8C">
        <w:rPr>
          <w:rFonts w:cs="Times New Roman"/>
          <w:snapToGrid/>
          <w:szCs w:val="22"/>
          <w:lang w:eastAsia="en-AU"/>
        </w:rPr>
        <w:t>severe active rheumatoid arthritis</w:t>
      </w:r>
    </w:p>
    <w:p w:rsidR="00F11530" w:rsidRPr="00051C8C" w:rsidRDefault="00F11530" w:rsidP="00F11530">
      <w:pPr>
        <w:widowControl/>
        <w:numPr>
          <w:ilvl w:val="2"/>
          <w:numId w:val="38"/>
        </w:numPr>
        <w:contextualSpacing/>
        <w:jc w:val="left"/>
        <w:rPr>
          <w:rFonts w:cs="Times New Roman"/>
          <w:snapToGrid/>
          <w:szCs w:val="22"/>
          <w:lang w:eastAsia="en-AU"/>
        </w:rPr>
      </w:pPr>
      <w:r w:rsidRPr="00051C8C">
        <w:rPr>
          <w:rFonts w:cs="Times New Roman"/>
          <w:snapToGrid/>
          <w:szCs w:val="22"/>
          <w:lang w:eastAsia="en-AU"/>
        </w:rPr>
        <w:t>active ankylosing spondylitis</w:t>
      </w:r>
    </w:p>
    <w:p w:rsidR="00F11530" w:rsidRPr="00051C8C" w:rsidRDefault="00F11530" w:rsidP="00F11530">
      <w:pPr>
        <w:widowControl/>
        <w:numPr>
          <w:ilvl w:val="2"/>
          <w:numId w:val="38"/>
        </w:numPr>
        <w:contextualSpacing/>
        <w:jc w:val="left"/>
        <w:rPr>
          <w:rFonts w:cs="Times New Roman"/>
          <w:snapToGrid/>
          <w:szCs w:val="22"/>
          <w:lang w:eastAsia="en-AU"/>
        </w:rPr>
      </w:pPr>
      <w:r w:rsidRPr="00051C8C">
        <w:rPr>
          <w:rFonts w:cs="Times New Roman"/>
          <w:snapToGrid/>
          <w:szCs w:val="22"/>
          <w:lang w:eastAsia="en-AU"/>
        </w:rPr>
        <w:t>severe active psoriatic arthritis</w:t>
      </w:r>
    </w:p>
    <w:p w:rsidR="00F11530" w:rsidRPr="00051C8C" w:rsidRDefault="00F11530" w:rsidP="00F11530">
      <w:pPr>
        <w:widowControl/>
        <w:numPr>
          <w:ilvl w:val="2"/>
          <w:numId w:val="38"/>
        </w:numPr>
        <w:contextualSpacing/>
        <w:jc w:val="left"/>
        <w:rPr>
          <w:rFonts w:cs="Times New Roman"/>
          <w:snapToGrid/>
          <w:szCs w:val="22"/>
          <w:lang w:eastAsia="en-AU"/>
        </w:rPr>
      </w:pPr>
      <w:r w:rsidRPr="00051C8C">
        <w:rPr>
          <w:rFonts w:cs="Times New Roman"/>
          <w:snapToGrid/>
          <w:szCs w:val="22"/>
          <w:lang w:eastAsia="en-AU"/>
        </w:rPr>
        <w:t>war-caused or service-related disability of refractory rheumatoid arthritis</w:t>
      </w:r>
    </w:p>
    <w:p w:rsidR="00F11530" w:rsidRPr="00051C8C" w:rsidRDefault="00F11530" w:rsidP="00F11530">
      <w:pPr>
        <w:widowControl/>
        <w:numPr>
          <w:ilvl w:val="2"/>
          <w:numId w:val="38"/>
        </w:numPr>
        <w:contextualSpacing/>
        <w:jc w:val="left"/>
        <w:rPr>
          <w:rFonts w:cs="Times New Roman"/>
          <w:snapToGrid/>
          <w:szCs w:val="22"/>
          <w:lang w:eastAsia="en-AU"/>
        </w:rPr>
      </w:pPr>
      <w:r w:rsidRPr="00051C8C">
        <w:rPr>
          <w:rFonts w:cs="Times New Roman"/>
          <w:snapToGrid/>
          <w:szCs w:val="22"/>
          <w:lang w:eastAsia="en-AU"/>
        </w:rPr>
        <w:t>severe chronic plaque psoriasis</w:t>
      </w:r>
    </w:p>
    <w:p w:rsidR="005337AB" w:rsidRPr="00051C8C" w:rsidRDefault="005337AB" w:rsidP="00F11530">
      <w:pPr>
        <w:widowControl/>
        <w:rPr>
          <w:szCs w:val="22"/>
        </w:rPr>
      </w:pPr>
    </w:p>
    <w:p w:rsidR="004446C9" w:rsidRPr="00051C8C" w:rsidRDefault="00F11530" w:rsidP="00F11530">
      <w:pPr>
        <w:pStyle w:val="ListParagraph"/>
        <w:widowControl/>
        <w:numPr>
          <w:ilvl w:val="1"/>
          <w:numId w:val="5"/>
        </w:numPr>
        <w:rPr>
          <w:szCs w:val="22"/>
        </w:rPr>
      </w:pPr>
      <w:r w:rsidRPr="00051C8C">
        <w:rPr>
          <w:szCs w:val="22"/>
        </w:rPr>
        <w:t xml:space="preserve">The submission claimed an identical place for </w:t>
      </w:r>
      <w:proofErr w:type="spellStart"/>
      <w:r w:rsidR="001539AA" w:rsidRPr="00051C8C">
        <w:rPr>
          <w:szCs w:val="22"/>
        </w:rPr>
        <w:t>Renflexis</w:t>
      </w:r>
      <w:proofErr w:type="spellEnd"/>
      <w:r w:rsidR="00AE71C6">
        <w:rPr>
          <w:szCs w:val="22"/>
        </w:rPr>
        <w:t xml:space="preserve"> </w:t>
      </w:r>
      <w:r w:rsidRPr="00051C8C">
        <w:rPr>
          <w:szCs w:val="22"/>
        </w:rPr>
        <w:t xml:space="preserve">in the clinical management algorithm to Remicade.  As </w:t>
      </w:r>
      <w:proofErr w:type="spellStart"/>
      <w:r w:rsidR="001539AA" w:rsidRPr="00051C8C">
        <w:rPr>
          <w:szCs w:val="22"/>
        </w:rPr>
        <w:t>Renflexis</w:t>
      </w:r>
      <w:proofErr w:type="spellEnd"/>
      <w:r w:rsidR="00AE71C6">
        <w:rPr>
          <w:szCs w:val="22"/>
        </w:rPr>
        <w:t xml:space="preserve"> </w:t>
      </w:r>
      <w:r w:rsidRPr="00051C8C">
        <w:rPr>
          <w:szCs w:val="22"/>
        </w:rPr>
        <w:t xml:space="preserve">is expected to be used exactly the same way as Remicade, </w:t>
      </w:r>
      <w:r w:rsidR="008E7D56" w:rsidRPr="00051C8C">
        <w:rPr>
          <w:szCs w:val="22"/>
        </w:rPr>
        <w:t>its listing</w:t>
      </w:r>
      <w:r w:rsidRPr="00051C8C">
        <w:rPr>
          <w:szCs w:val="22"/>
        </w:rPr>
        <w:t xml:space="preserve"> would not affect treatment patterns or co-administered medicines.</w:t>
      </w:r>
    </w:p>
    <w:p w:rsidR="005337AB" w:rsidRPr="00051C8C" w:rsidRDefault="005337AB" w:rsidP="005337AB">
      <w:pPr>
        <w:pStyle w:val="PBACHeading1"/>
        <w:numPr>
          <w:ilvl w:val="0"/>
          <w:numId w:val="0"/>
        </w:numPr>
        <w:ind w:left="720" w:hanging="720"/>
      </w:pPr>
    </w:p>
    <w:p w:rsidR="00C16CD6" w:rsidRPr="00051C8C" w:rsidRDefault="00C16CD6" w:rsidP="00C16CD6">
      <w:pPr>
        <w:ind w:firstLine="720"/>
        <w:rPr>
          <w:bCs/>
          <w:szCs w:val="22"/>
        </w:rPr>
      </w:pPr>
      <w:r w:rsidRPr="00900DC7">
        <w:rPr>
          <w:bCs/>
          <w:i/>
          <w:szCs w:val="22"/>
        </w:rPr>
        <w:t>For more detail on PBAC’s view, see section 7 “PBAC outcome”</w:t>
      </w:r>
    </w:p>
    <w:p w:rsidR="005337AB" w:rsidRPr="00BC5EA2" w:rsidRDefault="005337AB" w:rsidP="005337AB">
      <w:pPr>
        <w:pStyle w:val="PBACHeading1"/>
        <w:numPr>
          <w:ilvl w:val="0"/>
          <w:numId w:val="0"/>
        </w:numPr>
        <w:ind w:left="720" w:hanging="720"/>
      </w:pPr>
    </w:p>
    <w:p w:rsidR="00C16CD6" w:rsidRPr="00D543A5" w:rsidRDefault="00C16CD6" w:rsidP="005337AB">
      <w:pPr>
        <w:pStyle w:val="PBACHeading1"/>
        <w:numPr>
          <w:ilvl w:val="0"/>
          <w:numId w:val="0"/>
        </w:numPr>
        <w:ind w:left="720" w:hanging="720"/>
      </w:pPr>
    </w:p>
    <w:p w:rsidR="00F11530" w:rsidRPr="00F1715F" w:rsidRDefault="00F11530" w:rsidP="005337AB">
      <w:pPr>
        <w:pStyle w:val="Heading2"/>
      </w:pPr>
      <w:bookmarkStart w:id="11" w:name="_Toc461606005"/>
      <w:r w:rsidRPr="00F1715F">
        <w:t>Comparator</w:t>
      </w:r>
      <w:bookmarkEnd w:id="11"/>
    </w:p>
    <w:p w:rsidR="00F11530" w:rsidRPr="00F1715F" w:rsidRDefault="00F11530" w:rsidP="00F11530"/>
    <w:p w:rsidR="00F11530" w:rsidRPr="00F1715F" w:rsidRDefault="00F11530" w:rsidP="00047235">
      <w:pPr>
        <w:pStyle w:val="ListParagraph"/>
        <w:widowControl/>
        <w:numPr>
          <w:ilvl w:val="1"/>
          <w:numId w:val="5"/>
        </w:numPr>
        <w:rPr>
          <w:szCs w:val="22"/>
        </w:rPr>
      </w:pPr>
      <w:r w:rsidRPr="00F1715F">
        <w:t>The submission nominated Remicade as the comparator. T</w:t>
      </w:r>
      <w:r w:rsidR="00BF6140">
        <w:t>he PBAC considered that t</w:t>
      </w:r>
      <w:r w:rsidRPr="00F1715F">
        <w:t xml:space="preserve">his </w:t>
      </w:r>
      <w:r w:rsidR="00BF6140">
        <w:t>wa</w:t>
      </w:r>
      <w:r w:rsidRPr="00F1715F">
        <w:t xml:space="preserve">s appropriate. The other infliximab </w:t>
      </w:r>
      <w:r w:rsidR="008E7D56" w:rsidRPr="00F1715F">
        <w:t xml:space="preserve">brand </w:t>
      </w:r>
      <w:r w:rsidRPr="00F1715F">
        <w:t>listed on the PBS (</w:t>
      </w:r>
      <w:proofErr w:type="spellStart"/>
      <w:r w:rsidRPr="00F1715F">
        <w:t>Inflectra</w:t>
      </w:r>
      <w:proofErr w:type="spellEnd"/>
      <w:r w:rsidRPr="00F1715F">
        <w:t>) is also a potential comparator.</w:t>
      </w:r>
    </w:p>
    <w:p w:rsidR="00F11530" w:rsidRPr="00DA46F0" w:rsidRDefault="00F11530" w:rsidP="00F11530">
      <w:pPr>
        <w:rPr>
          <w:szCs w:val="22"/>
        </w:rPr>
      </w:pPr>
    </w:p>
    <w:p w:rsidR="00C16CD6" w:rsidRPr="00051C8C" w:rsidRDefault="00C16CD6" w:rsidP="00C16CD6">
      <w:pPr>
        <w:ind w:firstLine="720"/>
        <w:rPr>
          <w:bCs/>
          <w:szCs w:val="22"/>
        </w:rPr>
      </w:pPr>
      <w:r w:rsidRPr="00900DC7">
        <w:rPr>
          <w:bCs/>
          <w:i/>
          <w:szCs w:val="22"/>
        </w:rPr>
        <w:t>For more detail on PBAC’s view, see section 7 “PBAC outcome”</w:t>
      </w:r>
    </w:p>
    <w:p w:rsidR="004446C9" w:rsidRPr="00BC5EA2" w:rsidRDefault="004446C9" w:rsidP="00F11530">
      <w:pPr>
        <w:rPr>
          <w:szCs w:val="22"/>
        </w:rPr>
      </w:pPr>
    </w:p>
    <w:p w:rsidR="00C16CD6" w:rsidRPr="00F1715F" w:rsidRDefault="00C16CD6" w:rsidP="00F11530">
      <w:pPr>
        <w:rPr>
          <w:szCs w:val="22"/>
        </w:rPr>
      </w:pPr>
    </w:p>
    <w:p w:rsidR="00F11530" w:rsidRPr="00F1715F" w:rsidRDefault="00F11530" w:rsidP="005337AB">
      <w:pPr>
        <w:pStyle w:val="Heading2"/>
      </w:pPr>
      <w:bookmarkStart w:id="12" w:name="_Toc461606006"/>
      <w:r w:rsidRPr="00F1715F">
        <w:t>Consideration of the evidence</w:t>
      </w:r>
      <w:bookmarkEnd w:id="12"/>
    </w:p>
    <w:p w:rsidR="00F11530" w:rsidRPr="00F1715F" w:rsidRDefault="00F11530" w:rsidP="004446C9">
      <w:pPr>
        <w:keepNext/>
      </w:pPr>
    </w:p>
    <w:p w:rsidR="00C16CD6" w:rsidRPr="00900DC7" w:rsidRDefault="00C16CD6" w:rsidP="00370DEC">
      <w:pPr>
        <w:pStyle w:val="Heading3"/>
        <w:rPr>
          <w:b w:val="0"/>
          <w:bCs/>
          <w:szCs w:val="22"/>
        </w:rPr>
      </w:pPr>
      <w:r w:rsidRPr="00900DC7">
        <w:rPr>
          <w:bCs/>
          <w:szCs w:val="22"/>
        </w:rPr>
        <w:t>Sponsor hearing</w:t>
      </w:r>
    </w:p>
    <w:p w:rsidR="00C16CD6" w:rsidRPr="00900DC7" w:rsidRDefault="00C16CD6" w:rsidP="00C16CD6">
      <w:pPr>
        <w:rPr>
          <w:b/>
          <w:bCs/>
          <w:szCs w:val="22"/>
        </w:rPr>
      </w:pPr>
    </w:p>
    <w:p w:rsidR="00C16CD6" w:rsidRPr="00900DC7" w:rsidRDefault="00C16CD6" w:rsidP="00C16CD6">
      <w:pPr>
        <w:widowControl/>
        <w:numPr>
          <w:ilvl w:val="1"/>
          <w:numId w:val="5"/>
        </w:numPr>
        <w:spacing w:after="120"/>
        <w:jc w:val="left"/>
        <w:rPr>
          <w:bCs/>
          <w:szCs w:val="22"/>
        </w:rPr>
      </w:pPr>
      <w:r w:rsidRPr="00900DC7">
        <w:rPr>
          <w:bCs/>
          <w:szCs w:val="22"/>
        </w:rPr>
        <w:t>The</w:t>
      </w:r>
      <w:r w:rsidR="00BD21D3" w:rsidRPr="00900DC7">
        <w:rPr>
          <w:bCs/>
          <w:szCs w:val="22"/>
        </w:rPr>
        <w:t>re was no hearing for this item</w:t>
      </w:r>
      <w:r w:rsidRPr="00900DC7">
        <w:rPr>
          <w:bCs/>
          <w:szCs w:val="22"/>
        </w:rPr>
        <w:t>.</w:t>
      </w:r>
    </w:p>
    <w:p w:rsidR="00C16CD6" w:rsidRPr="00900DC7" w:rsidRDefault="00C16CD6" w:rsidP="00C16CD6">
      <w:pPr>
        <w:rPr>
          <w:bCs/>
          <w:szCs w:val="22"/>
        </w:rPr>
      </w:pPr>
    </w:p>
    <w:p w:rsidR="00C16CD6" w:rsidRPr="00900DC7" w:rsidRDefault="00C16CD6" w:rsidP="00370DEC">
      <w:pPr>
        <w:pStyle w:val="Heading3"/>
        <w:rPr>
          <w:b w:val="0"/>
          <w:bCs/>
          <w:szCs w:val="22"/>
        </w:rPr>
      </w:pPr>
      <w:r w:rsidRPr="00900DC7">
        <w:rPr>
          <w:bCs/>
          <w:szCs w:val="22"/>
        </w:rPr>
        <w:t>Consumer comments</w:t>
      </w:r>
    </w:p>
    <w:p w:rsidR="00C16CD6" w:rsidRPr="00900DC7" w:rsidRDefault="00C16CD6" w:rsidP="00C16CD6">
      <w:pPr>
        <w:rPr>
          <w:bCs/>
          <w:szCs w:val="22"/>
        </w:rPr>
      </w:pPr>
    </w:p>
    <w:p w:rsidR="00C16CD6" w:rsidRPr="00900DC7" w:rsidRDefault="00C16CD6" w:rsidP="00C16CD6">
      <w:pPr>
        <w:widowControl/>
        <w:numPr>
          <w:ilvl w:val="1"/>
          <w:numId w:val="5"/>
        </w:numPr>
        <w:spacing w:after="120"/>
        <w:jc w:val="left"/>
        <w:rPr>
          <w:bCs/>
          <w:szCs w:val="22"/>
        </w:rPr>
      </w:pPr>
      <w:r w:rsidRPr="00900DC7">
        <w:rPr>
          <w:bCs/>
          <w:szCs w:val="22"/>
        </w:rPr>
        <w:t>The PBAC noted that no consumer comme</w:t>
      </w:r>
      <w:r w:rsidR="00BD21D3" w:rsidRPr="00900DC7">
        <w:rPr>
          <w:bCs/>
          <w:szCs w:val="22"/>
        </w:rPr>
        <w:t>nts were received for this item</w:t>
      </w:r>
      <w:r w:rsidRPr="00900DC7">
        <w:rPr>
          <w:bCs/>
          <w:szCs w:val="22"/>
        </w:rPr>
        <w:t>.</w:t>
      </w:r>
    </w:p>
    <w:p w:rsidR="00C16CD6" w:rsidRPr="00051C8C" w:rsidRDefault="00C16CD6" w:rsidP="004446C9">
      <w:pPr>
        <w:keepNext/>
      </w:pPr>
    </w:p>
    <w:p w:rsidR="00F11530" w:rsidRPr="00964A4A" w:rsidRDefault="00F11530" w:rsidP="005337AB">
      <w:pPr>
        <w:pStyle w:val="Heading3"/>
      </w:pPr>
      <w:bookmarkStart w:id="13" w:name="_Toc461606007"/>
      <w:r w:rsidRPr="00964A4A">
        <w:t>Clinical trials</w:t>
      </w:r>
      <w:bookmarkEnd w:id="13"/>
    </w:p>
    <w:p w:rsidR="00F11530" w:rsidRPr="00F1715F" w:rsidRDefault="00F11530" w:rsidP="00F11530">
      <w:pPr>
        <w:rPr>
          <w:szCs w:val="22"/>
        </w:rPr>
      </w:pPr>
    </w:p>
    <w:p w:rsidR="00F11530" w:rsidRPr="00FA0975" w:rsidRDefault="00F11530" w:rsidP="00F11530">
      <w:pPr>
        <w:pStyle w:val="ListParagraph"/>
        <w:widowControl/>
        <w:numPr>
          <w:ilvl w:val="1"/>
          <w:numId w:val="5"/>
        </w:numPr>
        <w:rPr>
          <w:szCs w:val="22"/>
        </w:rPr>
      </w:pPr>
      <w:r w:rsidRPr="00FA0975">
        <w:rPr>
          <w:szCs w:val="22"/>
        </w:rPr>
        <w:t xml:space="preserve">The submission was based on one head-to-head trial (Trial SB2-G31-RA) comparing </w:t>
      </w:r>
      <w:proofErr w:type="spellStart"/>
      <w:r w:rsidR="001539AA" w:rsidRPr="00FA0975">
        <w:rPr>
          <w:szCs w:val="22"/>
        </w:rPr>
        <w:t>Renflexis</w:t>
      </w:r>
      <w:proofErr w:type="spellEnd"/>
      <w:r w:rsidR="00AE71C6" w:rsidRPr="00FA0975">
        <w:rPr>
          <w:szCs w:val="22"/>
        </w:rPr>
        <w:t xml:space="preserve"> </w:t>
      </w:r>
      <w:r w:rsidRPr="00FA0975">
        <w:rPr>
          <w:szCs w:val="22"/>
        </w:rPr>
        <w:t>(</w:t>
      </w:r>
      <w:r w:rsidR="008E7D56" w:rsidRPr="00FA0975">
        <w:rPr>
          <w:szCs w:val="22"/>
        </w:rPr>
        <w:t xml:space="preserve">co-administered with </w:t>
      </w:r>
      <w:r w:rsidRPr="00FA0975">
        <w:rPr>
          <w:szCs w:val="22"/>
        </w:rPr>
        <w:t>methotrexate) to Remicade (</w:t>
      </w:r>
      <w:r w:rsidR="008E7D56" w:rsidRPr="00FA0975">
        <w:rPr>
          <w:szCs w:val="22"/>
        </w:rPr>
        <w:t xml:space="preserve">co-administered with </w:t>
      </w:r>
      <w:r w:rsidRPr="00FA0975">
        <w:rPr>
          <w:szCs w:val="22"/>
        </w:rPr>
        <w:t xml:space="preserve">methotrexate) in patients with moderate to severe rheumatoid arthritis who have had an inadequate response to methotrexate therapy (N=584). The study duration for the main period of the trial was 54 weeks. Trial </w:t>
      </w:r>
      <w:r w:rsidRPr="00FA0975">
        <w:t xml:space="preserve">SB2-G31-RA included a </w:t>
      </w:r>
      <w:r w:rsidRPr="00FA0975">
        <w:rPr>
          <w:szCs w:val="22"/>
        </w:rPr>
        <w:t>transition</w:t>
      </w:r>
      <w:r w:rsidR="00BF6140" w:rsidRPr="00FA0975">
        <w:rPr>
          <w:szCs w:val="22"/>
        </w:rPr>
        <w:noBreakHyphen/>
      </w:r>
      <w:r w:rsidRPr="00FA0975">
        <w:rPr>
          <w:szCs w:val="22"/>
        </w:rPr>
        <w:t xml:space="preserve">extension study (switching study) from week 54, where subjects originally assigned to Remicade (N=195) were re-randomised to either continue to receive Remicade (N=101) or to switch to </w:t>
      </w:r>
      <w:proofErr w:type="spellStart"/>
      <w:r w:rsidR="001539AA" w:rsidRPr="00FA0975">
        <w:rPr>
          <w:szCs w:val="22"/>
        </w:rPr>
        <w:t>Renflexis</w:t>
      </w:r>
      <w:proofErr w:type="spellEnd"/>
      <w:r w:rsidR="001539AA" w:rsidRPr="00FA0975">
        <w:rPr>
          <w:szCs w:val="22"/>
        </w:rPr>
        <w:t xml:space="preserve"> </w:t>
      </w:r>
      <w:r w:rsidRPr="00FA0975">
        <w:rPr>
          <w:szCs w:val="22"/>
        </w:rPr>
        <w:t xml:space="preserve">(N=94). Subjects originally assigned to </w:t>
      </w:r>
      <w:proofErr w:type="spellStart"/>
      <w:proofErr w:type="gramStart"/>
      <w:r w:rsidR="001539AA" w:rsidRPr="00FA0975">
        <w:rPr>
          <w:szCs w:val="22"/>
        </w:rPr>
        <w:lastRenderedPageBreak/>
        <w:t>Renflexis</w:t>
      </w:r>
      <w:proofErr w:type="spellEnd"/>
      <w:r w:rsidR="001539AA" w:rsidRPr="00FA0975">
        <w:rPr>
          <w:szCs w:val="22"/>
        </w:rPr>
        <w:t xml:space="preserve"> </w:t>
      </w:r>
      <w:r w:rsidR="00CE3023" w:rsidRPr="00FA0975">
        <w:rPr>
          <w:szCs w:val="22"/>
        </w:rPr>
        <w:t xml:space="preserve"> </w:t>
      </w:r>
      <w:r w:rsidRPr="00FA0975">
        <w:rPr>
          <w:szCs w:val="22"/>
        </w:rPr>
        <w:t>(</w:t>
      </w:r>
      <w:proofErr w:type="gramEnd"/>
      <w:r w:rsidRPr="00FA0975">
        <w:rPr>
          <w:szCs w:val="22"/>
        </w:rPr>
        <w:t xml:space="preserve">N=201) were sham randomised (to preserve blinding) and continued to receive </w:t>
      </w:r>
      <w:proofErr w:type="spellStart"/>
      <w:r w:rsidR="00D543A5" w:rsidRPr="00FA0975">
        <w:rPr>
          <w:szCs w:val="22"/>
        </w:rPr>
        <w:t>Renflexis</w:t>
      </w:r>
      <w:proofErr w:type="spellEnd"/>
      <w:r w:rsidRPr="00FA0975">
        <w:rPr>
          <w:szCs w:val="22"/>
        </w:rPr>
        <w:t xml:space="preserve">. The switching study was conducted until week 78 (for </w:t>
      </w:r>
      <w:proofErr w:type="gramStart"/>
      <w:r w:rsidRPr="00FA0975">
        <w:rPr>
          <w:szCs w:val="22"/>
        </w:rPr>
        <w:t>a duration</w:t>
      </w:r>
      <w:proofErr w:type="gramEnd"/>
      <w:r w:rsidRPr="00FA0975">
        <w:rPr>
          <w:szCs w:val="22"/>
        </w:rPr>
        <w:t xml:space="preserve"> of 24</w:t>
      </w:r>
      <w:r w:rsidR="00BF6140" w:rsidRPr="00FA0975">
        <w:rPr>
          <w:szCs w:val="22"/>
        </w:rPr>
        <w:t> </w:t>
      </w:r>
      <w:r w:rsidRPr="00FA0975">
        <w:rPr>
          <w:szCs w:val="22"/>
        </w:rPr>
        <w:t xml:space="preserve">weeks). Of the 396 patients entering the transition-extension study, 370 patients (93.4%) completed week 78. Efficacy and safety data for this switching study were not provided with the </w:t>
      </w:r>
      <w:proofErr w:type="gramStart"/>
      <w:r w:rsidRPr="00FA0975">
        <w:rPr>
          <w:szCs w:val="22"/>
        </w:rPr>
        <w:t>submission,</w:t>
      </w:r>
      <w:proofErr w:type="gramEnd"/>
      <w:r w:rsidRPr="00FA0975">
        <w:rPr>
          <w:szCs w:val="22"/>
        </w:rPr>
        <w:t xml:space="preserve"> however, a summary of the results at week 78 became available during the evaluation in the </w:t>
      </w:r>
      <w:r w:rsidR="00CE3023" w:rsidRPr="00FA0975">
        <w:rPr>
          <w:szCs w:val="22"/>
        </w:rPr>
        <w:t>CER</w:t>
      </w:r>
      <w:r w:rsidR="00BF6140" w:rsidRPr="00FA0975">
        <w:rPr>
          <w:szCs w:val="22"/>
        </w:rPr>
        <w:t>.</w:t>
      </w:r>
    </w:p>
    <w:p w:rsidR="00F11530" w:rsidRPr="00F1715F" w:rsidRDefault="00F11530" w:rsidP="00F11530">
      <w:pPr>
        <w:widowControl/>
        <w:rPr>
          <w:szCs w:val="22"/>
        </w:rPr>
      </w:pPr>
    </w:p>
    <w:p w:rsidR="00F11530" w:rsidRPr="00F1715F" w:rsidRDefault="00F11530" w:rsidP="00F11530">
      <w:pPr>
        <w:pStyle w:val="ListParagraph"/>
        <w:widowControl/>
        <w:numPr>
          <w:ilvl w:val="1"/>
          <w:numId w:val="5"/>
        </w:numPr>
        <w:rPr>
          <w:szCs w:val="22"/>
        </w:rPr>
      </w:pPr>
      <w:r w:rsidRPr="00F1715F">
        <w:rPr>
          <w:szCs w:val="22"/>
        </w:rPr>
        <w:t xml:space="preserve">Details of the trial presented in the submission are provided in table </w:t>
      </w:r>
      <w:r w:rsidR="006402C6" w:rsidRPr="00F1715F">
        <w:rPr>
          <w:szCs w:val="22"/>
        </w:rPr>
        <w:t>1</w:t>
      </w:r>
      <w:r w:rsidRPr="00F1715F">
        <w:rPr>
          <w:szCs w:val="22"/>
        </w:rPr>
        <w:t>.</w:t>
      </w:r>
      <w:r w:rsidR="00AE71C6">
        <w:rPr>
          <w:szCs w:val="22"/>
        </w:rPr>
        <w:t xml:space="preserve"> </w:t>
      </w:r>
    </w:p>
    <w:p w:rsidR="0022792B" w:rsidRPr="00DA46F0" w:rsidRDefault="0022792B">
      <w:pPr>
        <w:widowControl/>
        <w:jc w:val="left"/>
        <w:rPr>
          <w:rFonts w:ascii="Arial Narrow" w:hAnsi="Arial Narrow"/>
          <w:b/>
          <w:sz w:val="20"/>
        </w:rPr>
      </w:pPr>
    </w:p>
    <w:p w:rsidR="0067301F" w:rsidRPr="00051C8C" w:rsidRDefault="0067301F" w:rsidP="001D1522">
      <w:pPr>
        <w:pStyle w:val="Caption"/>
        <w:keepNext/>
        <w:ind w:firstLine="720"/>
      </w:pPr>
      <w:r w:rsidRPr="00DA46F0">
        <w:t xml:space="preserve">Table </w:t>
      </w:r>
      <w:r w:rsidR="00826E28">
        <w:rPr>
          <w:noProof/>
        </w:rPr>
        <w:t>1</w:t>
      </w:r>
      <w:r w:rsidRPr="00051C8C">
        <w:t>: Trial and associated reports presented in the submission</w:t>
      </w:r>
    </w:p>
    <w:tbl>
      <w:tblPr>
        <w:tblW w:w="4591"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3"/>
        <w:gridCol w:w="3562"/>
        <w:gridCol w:w="3784"/>
      </w:tblGrid>
      <w:tr w:rsidR="00F11530" w:rsidRPr="00051C8C" w:rsidTr="001D1522">
        <w:tc>
          <w:tcPr>
            <w:tcW w:w="595" w:type="pct"/>
          </w:tcPr>
          <w:p w:rsidR="00F11530" w:rsidRPr="00DA46F0" w:rsidRDefault="00F11530" w:rsidP="00F11530">
            <w:pPr>
              <w:jc w:val="left"/>
              <w:rPr>
                <w:rFonts w:ascii="Arial Narrow" w:hAnsi="Arial Narrow"/>
                <w:b/>
                <w:sz w:val="20"/>
              </w:rPr>
            </w:pPr>
            <w:r w:rsidRPr="00DA46F0">
              <w:rPr>
                <w:rFonts w:ascii="Arial Narrow" w:hAnsi="Arial Narrow"/>
                <w:b/>
                <w:sz w:val="20"/>
              </w:rPr>
              <w:t>Trial ID</w:t>
            </w:r>
          </w:p>
        </w:tc>
        <w:tc>
          <w:tcPr>
            <w:tcW w:w="2136" w:type="pct"/>
          </w:tcPr>
          <w:p w:rsidR="00F11530" w:rsidRPr="0022792B" w:rsidRDefault="00F11530" w:rsidP="00F11530">
            <w:pPr>
              <w:jc w:val="center"/>
              <w:rPr>
                <w:rFonts w:ascii="Arial Narrow" w:hAnsi="Arial Narrow"/>
                <w:b/>
                <w:sz w:val="20"/>
              </w:rPr>
            </w:pPr>
            <w:r w:rsidRPr="0022792B">
              <w:rPr>
                <w:rFonts w:ascii="Arial Narrow" w:hAnsi="Arial Narrow"/>
                <w:b/>
                <w:sz w:val="20"/>
              </w:rPr>
              <w:t>Protocol title/ Publication title</w:t>
            </w:r>
          </w:p>
        </w:tc>
        <w:tc>
          <w:tcPr>
            <w:tcW w:w="2269" w:type="pct"/>
          </w:tcPr>
          <w:p w:rsidR="00F11530" w:rsidRPr="001016C5" w:rsidRDefault="00F11530" w:rsidP="00F11530">
            <w:pPr>
              <w:jc w:val="center"/>
              <w:rPr>
                <w:rFonts w:ascii="Arial Narrow" w:hAnsi="Arial Narrow"/>
                <w:b/>
                <w:sz w:val="20"/>
              </w:rPr>
            </w:pPr>
            <w:r w:rsidRPr="001016C5">
              <w:rPr>
                <w:rFonts w:ascii="Arial Narrow" w:hAnsi="Arial Narrow"/>
                <w:b/>
                <w:sz w:val="20"/>
              </w:rPr>
              <w:t>Publication citation</w:t>
            </w:r>
          </w:p>
        </w:tc>
      </w:tr>
      <w:tr w:rsidR="00F11530" w:rsidRPr="00051C8C" w:rsidTr="001D1522">
        <w:tc>
          <w:tcPr>
            <w:tcW w:w="5000" w:type="pct"/>
            <w:gridSpan w:val="3"/>
          </w:tcPr>
          <w:p w:rsidR="00F11530" w:rsidRPr="00051C8C" w:rsidRDefault="00F11530" w:rsidP="00F11530">
            <w:pPr>
              <w:jc w:val="left"/>
              <w:rPr>
                <w:rFonts w:ascii="Arial Narrow" w:hAnsi="Arial Narrow"/>
                <w:b/>
                <w:sz w:val="20"/>
              </w:rPr>
            </w:pPr>
            <w:r w:rsidRPr="00051C8C">
              <w:rPr>
                <w:rFonts w:ascii="Arial Narrow" w:hAnsi="Arial Narrow"/>
                <w:b/>
                <w:sz w:val="20"/>
              </w:rPr>
              <w:t>Direct randomised trial</w:t>
            </w:r>
          </w:p>
        </w:tc>
      </w:tr>
      <w:tr w:rsidR="00F11530" w:rsidRPr="00051C8C" w:rsidTr="001D1522">
        <w:tc>
          <w:tcPr>
            <w:tcW w:w="595" w:type="pct"/>
          </w:tcPr>
          <w:p w:rsidR="00F11530" w:rsidRPr="00BC5EA2" w:rsidRDefault="00F11530" w:rsidP="00F11530">
            <w:pPr>
              <w:jc w:val="left"/>
              <w:rPr>
                <w:rFonts w:ascii="Arial Narrow" w:hAnsi="Arial Narrow"/>
                <w:sz w:val="20"/>
              </w:rPr>
            </w:pPr>
            <w:r w:rsidRPr="00BC5EA2">
              <w:rPr>
                <w:rFonts w:ascii="Arial Narrow" w:hAnsi="Arial Narrow"/>
                <w:sz w:val="20"/>
              </w:rPr>
              <w:t>Trial SB2-G31-RA</w:t>
            </w:r>
          </w:p>
        </w:tc>
        <w:tc>
          <w:tcPr>
            <w:tcW w:w="2136" w:type="pct"/>
          </w:tcPr>
          <w:p w:rsidR="00F11530" w:rsidRPr="00F1715F" w:rsidRDefault="00F11530" w:rsidP="00F11530">
            <w:pPr>
              <w:pStyle w:val="TableText1"/>
              <w:spacing w:before="0" w:after="0"/>
              <w:rPr>
                <w:rFonts w:ascii="Arial Narrow" w:hAnsi="Arial Narrow"/>
                <w:sz w:val="20"/>
                <w:szCs w:val="20"/>
              </w:rPr>
            </w:pPr>
            <w:r w:rsidRPr="00F1715F">
              <w:rPr>
                <w:rFonts w:ascii="Arial Narrow" w:hAnsi="Arial Narrow"/>
                <w:sz w:val="20"/>
                <w:szCs w:val="20"/>
              </w:rPr>
              <w:t xml:space="preserve">30-week Clinical Study Report Protocol: </w:t>
            </w:r>
          </w:p>
          <w:p w:rsidR="00F11530" w:rsidRPr="00F1715F" w:rsidRDefault="00F11530" w:rsidP="00F11530">
            <w:pPr>
              <w:pStyle w:val="TableText1"/>
              <w:spacing w:before="0" w:after="0"/>
              <w:rPr>
                <w:rFonts w:ascii="Arial Narrow" w:hAnsi="Arial Narrow"/>
                <w:sz w:val="20"/>
                <w:szCs w:val="20"/>
              </w:rPr>
            </w:pPr>
            <w:r w:rsidRPr="00F1715F">
              <w:rPr>
                <w:rFonts w:ascii="Arial Narrow" w:hAnsi="Arial Narrow"/>
                <w:sz w:val="20"/>
                <w:szCs w:val="20"/>
              </w:rPr>
              <w:t>A Randomised, Double-blind, Parallel Group, Multicentre Clinical Study to Evaluate the Efficacy,  Safety, Pharmacokinetics and Immunogenicity of SB2 Compared to INF in Subjects with Moderate to Severe Rheumatoid Arthritis despite Methotrexate Therapy.</w:t>
            </w:r>
          </w:p>
          <w:p w:rsidR="00F11530" w:rsidRPr="00F1715F" w:rsidRDefault="00F11530" w:rsidP="00F11530">
            <w:pPr>
              <w:pStyle w:val="TableText1"/>
              <w:spacing w:before="0" w:after="0"/>
              <w:rPr>
                <w:rFonts w:ascii="Arial Narrow" w:hAnsi="Arial Narrow"/>
                <w:sz w:val="10"/>
                <w:szCs w:val="10"/>
              </w:rPr>
            </w:pPr>
          </w:p>
          <w:p w:rsidR="00F11530" w:rsidRPr="008C4A7D" w:rsidRDefault="00F11530" w:rsidP="00F11530">
            <w:pPr>
              <w:pStyle w:val="TableText1"/>
              <w:spacing w:before="0" w:after="0"/>
              <w:rPr>
                <w:rFonts w:ascii="Arial Narrow" w:hAnsi="Arial Narrow"/>
                <w:sz w:val="20"/>
                <w:szCs w:val="20"/>
              </w:rPr>
            </w:pPr>
            <w:r w:rsidRPr="008C4A7D">
              <w:rPr>
                <w:rFonts w:ascii="Arial Narrow" w:hAnsi="Arial Narrow"/>
                <w:sz w:val="20"/>
                <w:szCs w:val="20"/>
              </w:rPr>
              <w:t xml:space="preserve">54-week Clinical Study Report Protocol: </w:t>
            </w:r>
          </w:p>
          <w:p w:rsidR="00F11530" w:rsidRPr="0022792B" w:rsidRDefault="00F11530" w:rsidP="00F11530">
            <w:pPr>
              <w:jc w:val="left"/>
              <w:rPr>
                <w:rFonts w:ascii="Arial Narrow" w:hAnsi="Arial Narrow"/>
                <w:sz w:val="20"/>
              </w:rPr>
            </w:pPr>
            <w:r w:rsidRPr="00DA46F0">
              <w:rPr>
                <w:rFonts w:ascii="Arial Narrow" w:hAnsi="Arial Narrow"/>
                <w:sz w:val="20"/>
              </w:rPr>
              <w:t>A Randomised, Double-blind, Parallel Group, Multicentre Clinical Study to Evaluate the Efficacy,</w:t>
            </w:r>
            <w:r w:rsidR="00AE71C6">
              <w:rPr>
                <w:rFonts w:ascii="Arial Narrow" w:hAnsi="Arial Narrow"/>
                <w:sz w:val="20"/>
              </w:rPr>
              <w:t xml:space="preserve"> </w:t>
            </w:r>
            <w:r w:rsidRPr="00DA46F0">
              <w:rPr>
                <w:rFonts w:ascii="Arial Narrow" w:hAnsi="Arial Narrow"/>
                <w:sz w:val="20"/>
              </w:rPr>
              <w:t xml:space="preserve">Safety, Pharmacokinetics and Immunogenicity of SB2 Compared to INF in Subjects with Moderate to Severe </w:t>
            </w:r>
            <w:r w:rsidRPr="0022792B">
              <w:rPr>
                <w:rFonts w:ascii="Arial Narrow" w:hAnsi="Arial Narrow"/>
                <w:sz w:val="20"/>
              </w:rPr>
              <w:t>Rheumatoid Arthritis despite Methotrexate Therapy.</w:t>
            </w:r>
          </w:p>
          <w:p w:rsidR="00F11530" w:rsidRPr="001016C5" w:rsidRDefault="00F11530" w:rsidP="00F11530">
            <w:pPr>
              <w:jc w:val="left"/>
              <w:rPr>
                <w:rFonts w:ascii="Arial Narrow" w:hAnsi="Arial Narrow"/>
                <w:sz w:val="10"/>
                <w:szCs w:val="10"/>
              </w:rPr>
            </w:pPr>
          </w:p>
          <w:p w:rsidR="00F11530" w:rsidRPr="00900DC7" w:rsidRDefault="00F11530" w:rsidP="00F11530">
            <w:pPr>
              <w:spacing w:before="40" w:after="20"/>
              <w:jc w:val="left"/>
              <w:rPr>
                <w:rFonts w:ascii="Arial Narrow" w:hAnsi="Arial Narrow"/>
                <w:sz w:val="20"/>
              </w:rPr>
            </w:pPr>
            <w:proofErr w:type="spellStart"/>
            <w:r w:rsidRPr="001016C5">
              <w:rPr>
                <w:rStyle w:val="TableText2Char"/>
                <w:rFonts w:ascii="Arial Narrow" w:hAnsi="Arial Narrow"/>
                <w:b w:val="0"/>
                <w:sz w:val="20"/>
              </w:rPr>
              <w:t>Choe</w:t>
            </w:r>
            <w:proofErr w:type="spellEnd"/>
            <w:r w:rsidRPr="001016C5">
              <w:rPr>
                <w:rStyle w:val="TableText2Char"/>
                <w:rFonts w:ascii="Arial Narrow" w:hAnsi="Arial Narrow"/>
                <w:b w:val="0"/>
                <w:sz w:val="20"/>
              </w:rPr>
              <w:t>, J.-Y</w:t>
            </w:r>
            <w:r w:rsidRPr="001016C5">
              <w:rPr>
                <w:rFonts w:ascii="Arial Narrow" w:hAnsi="Arial Narrow"/>
                <w:b/>
                <w:sz w:val="20"/>
              </w:rPr>
              <w:t>.;</w:t>
            </w:r>
            <w:r w:rsidRPr="001016C5">
              <w:rPr>
                <w:rFonts w:ascii="Arial Narrow" w:hAnsi="Arial Narrow"/>
                <w:sz w:val="20"/>
              </w:rPr>
              <w:t xml:space="preserve"> </w:t>
            </w:r>
            <w:proofErr w:type="spellStart"/>
            <w:r w:rsidRPr="001016C5">
              <w:rPr>
                <w:rFonts w:ascii="Arial Narrow" w:hAnsi="Arial Narrow"/>
                <w:sz w:val="20"/>
              </w:rPr>
              <w:t>Prodanovic</w:t>
            </w:r>
            <w:proofErr w:type="spellEnd"/>
            <w:r w:rsidRPr="001016C5">
              <w:rPr>
                <w:rFonts w:ascii="Arial Narrow" w:hAnsi="Arial Narrow"/>
                <w:sz w:val="20"/>
              </w:rPr>
              <w:t xml:space="preserve">, N.; </w:t>
            </w:r>
            <w:proofErr w:type="spellStart"/>
            <w:r w:rsidRPr="001016C5">
              <w:rPr>
                <w:rFonts w:ascii="Arial Narrow" w:hAnsi="Arial Narrow"/>
                <w:sz w:val="20"/>
              </w:rPr>
              <w:t>Niebrzydowski</w:t>
            </w:r>
            <w:proofErr w:type="spellEnd"/>
            <w:r w:rsidRPr="001016C5">
              <w:rPr>
                <w:rFonts w:ascii="Arial Narrow" w:hAnsi="Arial Narrow"/>
                <w:sz w:val="20"/>
              </w:rPr>
              <w:t xml:space="preserve">, J.; </w:t>
            </w:r>
            <w:proofErr w:type="spellStart"/>
            <w:r w:rsidRPr="001016C5">
              <w:rPr>
                <w:rFonts w:ascii="Arial Narrow" w:hAnsi="Arial Narrow"/>
                <w:sz w:val="20"/>
              </w:rPr>
              <w:t>Staykov</w:t>
            </w:r>
            <w:proofErr w:type="spellEnd"/>
            <w:r w:rsidRPr="001016C5">
              <w:rPr>
                <w:rFonts w:ascii="Arial Narrow" w:hAnsi="Arial Narrow"/>
                <w:sz w:val="20"/>
              </w:rPr>
              <w:t xml:space="preserve">, I.; </w:t>
            </w:r>
            <w:proofErr w:type="spellStart"/>
            <w:r w:rsidRPr="001016C5">
              <w:rPr>
                <w:rFonts w:ascii="Arial Narrow" w:hAnsi="Arial Narrow"/>
                <w:sz w:val="20"/>
              </w:rPr>
              <w:t>Dokoupilov</w:t>
            </w:r>
            <w:r w:rsidRPr="00051C8C">
              <w:rPr>
                <w:rFonts w:ascii="Arial Narrow" w:hAnsi="Arial Narrow"/>
                <w:sz w:val="20"/>
              </w:rPr>
              <w:t>a</w:t>
            </w:r>
            <w:proofErr w:type="spellEnd"/>
            <w:r w:rsidRPr="00051C8C">
              <w:rPr>
                <w:rFonts w:ascii="Arial Narrow" w:hAnsi="Arial Narrow"/>
                <w:sz w:val="20"/>
              </w:rPr>
              <w:t>, E.; et al. A randomised, double-blind, phase III study comparing SB2, an Infliximab biosimilar, to the infliximab reference product (INF) in patients with moderate to severe rheumatoid arthritis despite methotrexate therapy.</w:t>
            </w:r>
          </w:p>
          <w:p w:rsidR="00F11530" w:rsidRPr="00900DC7" w:rsidRDefault="00F11530" w:rsidP="00F11530">
            <w:pPr>
              <w:jc w:val="left"/>
              <w:rPr>
                <w:rFonts w:ascii="Arial Narrow" w:hAnsi="Arial Narrow"/>
                <w:sz w:val="10"/>
                <w:szCs w:val="10"/>
              </w:rPr>
            </w:pPr>
          </w:p>
          <w:p w:rsidR="00F11530" w:rsidRPr="00900DC7" w:rsidRDefault="00F11530" w:rsidP="00F11530">
            <w:pPr>
              <w:jc w:val="left"/>
              <w:rPr>
                <w:rFonts w:ascii="Arial Narrow" w:hAnsi="Arial Narrow"/>
                <w:b/>
                <w:sz w:val="20"/>
              </w:rPr>
            </w:pPr>
            <w:r w:rsidRPr="00051C8C">
              <w:rPr>
                <w:rFonts w:ascii="Arial Narrow" w:hAnsi="Arial Narrow"/>
                <w:color w:val="000000"/>
                <w:sz w:val="20"/>
                <w:shd w:val="clear" w:color="auto" w:fill="FFFFFF"/>
              </w:rPr>
              <w:t xml:space="preserve">ClinicalTrials.gov: NCT01936181 </w:t>
            </w:r>
            <w:r w:rsidRPr="00051C8C">
              <w:rPr>
                <w:rFonts w:ascii="Arial Narrow" w:hAnsi="Arial Narrow"/>
                <w:sz w:val="20"/>
              </w:rPr>
              <w:t>A Randomised, Double-blind, Parallel Group, Multicentre Clinical Study to Evaluate the Efficacy, Safety, Pharmacokinetics and Immunogenicity of SB2 Compared to INF in Subjects With Moderate to Severe Rheumatoid Arthritis Despite Methotrexate Therapy</w:t>
            </w:r>
          </w:p>
        </w:tc>
        <w:tc>
          <w:tcPr>
            <w:tcW w:w="2269" w:type="pct"/>
          </w:tcPr>
          <w:p w:rsidR="00F11530" w:rsidRPr="00F1715F" w:rsidRDefault="00F11530" w:rsidP="00F11530">
            <w:pPr>
              <w:jc w:val="left"/>
              <w:rPr>
                <w:rFonts w:ascii="Arial Narrow" w:hAnsi="Arial Narrow"/>
                <w:sz w:val="20"/>
              </w:rPr>
            </w:pPr>
            <w:r w:rsidRPr="00F1715F">
              <w:rPr>
                <w:rFonts w:ascii="Arial Narrow" w:hAnsi="Arial Narrow"/>
                <w:sz w:val="20"/>
              </w:rPr>
              <w:t>10 February 2015</w:t>
            </w:r>
          </w:p>
          <w:p w:rsidR="00F11530" w:rsidRPr="008C4A7D" w:rsidRDefault="00F11530" w:rsidP="00F11530">
            <w:pPr>
              <w:jc w:val="left"/>
              <w:rPr>
                <w:rFonts w:ascii="Arial Narrow" w:hAnsi="Arial Narrow"/>
                <w:sz w:val="20"/>
              </w:rPr>
            </w:pPr>
          </w:p>
          <w:p w:rsidR="00F11530" w:rsidRPr="00DA46F0" w:rsidRDefault="00F11530" w:rsidP="00F11530">
            <w:pPr>
              <w:jc w:val="left"/>
              <w:rPr>
                <w:rFonts w:ascii="Arial Narrow" w:hAnsi="Arial Narrow"/>
                <w:sz w:val="20"/>
              </w:rPr>
            </w:pPr>
          </w:p>
          <w:p w:rsidR="00F11530" w:rsidRPr="0022792B" w:rsidRDefault="00F11530" w:rsidP="00F11530">
            <w:pPr>
              <w:jc w:val="left"/>
              <w:rPr>
                <w:rFonts w:ascii="Arial Narrow" w:hAnsi="Arial Narrow"/>
                <w:sz w:val="20"/>
              </w:rPr>
            </w:pPr>
          </w:p>
          <w:p w:rsidR="00F11530" w:rsidRPr="001016C5" w:rsidRDefault="00F11530" w:rsidP="00F11530">
            <w:pPr>
              <w:jc w:val="left"/>
              <w:rPr>
                <w:rFonts w:ascii="Arial Narrow" w:hAnsi="Arial Narrow"/>
                <w:sz w:val="20"/>
              </w:rPr>
            </w:pPr>
          </w:p>
          <w:p w:rsidR="00F11530" w:rsidRPr="001016C5" w:rsidRDefault="00F11530" w:rsidP="00F11530">
            <w:pPr>
              <w:jc w:val="left"/>
              <w:rPr>
                <w:rFonts w:ascii="Arial Narrow" w:hAnsi="Arial Narrow"/>
                <w:sz w:val="20"/>
              </w:rPr>
            </w:pPr>
          </w:p>
          <w:p w:rsidR="00F11530" w:rsidRPr="00900DC7" w:rsidRDefault="00F11530" w:rsidP="00F11530">
            <w:pPr>
              <w:jc w:val="left"/>
              <w:rPr>
                <w:rFonts w:ascii="Arial Narrow" w:hAnsi="Arial Narrow"/>
                <w:sz w:val="20"/>
              </w:rPr>
            </w:pPr>
          </w:p>
          <w:p w:rsidR="00F11530" w:rsidRPr="00900DC7" w:rsidRDefault="00F11530" w:rsidP="00F11530">
            <w:pPr>
              <w:jc w:val="left"/>
              <w:rPr>
                <w:rFonts w:ascii="Arial Narrow" w:hAnsi="Arial Narrow"/>
                <w:sz w:val="10"/>
                <w:szCs w:val="10"/>
              </w:rPr>
            </w:pPr>
          </w:p>
          <w:p w:rsidR="00F11530" w:rsidRPr="00900DC7" w:rsidRDefault="00F11530" w:rsidP="00F11530">
            <w:pPr>
              <w:jc w:val="left"/>
              <w:rPr>
                <w:rFonts w:ascii="Arial Narrow" w:hAnsi="Arial Narrow"/>
                <w:sz w:val="20"/>
              </w:rPr>
            </w:pPr>
            <w:r w:rsidRPr="00051C8C">
              <w:rPr>
                <w:rFonts w:ascii="Arial Narrow" w:hAnsi="Arial Narrow"/>
                <w:sz w:val="20"/>
              </w:rPr>
              <w:t>7 July 2015</w:t>
            </w:r>
          </w:p>
          <w:p w:rsidR="00F11530" w:rsidRPr="00900DC7" w:rsidRDefault="00F11530" w:rsidP="00F11530">
            <w:pPr>
              <w:jc w:val="left"/>
              <w:rPr>
                <w:rFonts w:ascii="Arial Narrow" w:hAnsi="Arial Narrow"/>
                <w:sz w:val="20"/>
              </w:rPr>
            </w:pPr>
          </w:p>
          <w:p w:rsidR="00F11530" w:rsidRPr="00900DC7" w:rsidRDefault="00F11530" w:rsidP="00F11530">
            <w:pPr>
              <w:jc w:val="left"/>
              <w:rPr>
                <w:rFonts w:ascii="Arial Narrow" w:hAnsi="Arial Narrow"/>
                <w:sz w:val="20"/>
              </w:rPr>
            </w:pPr>
          </w:p>
          <w:p w:rsidR="00F11530" w:rsidRPr="00900DC7" w:rsidRDefault="00F11530" w:rsidP="00F11530">
            <w:pPr>
              <w:jc w:val="left"/>
              <w:rPr>
                <w:rFonts w:ascii="Arial Narrow" w:hAnsi="Arial Narrow"/>
                <w:sz w:val="20"/>
              </w:rPr>
            </w:pPr>
          </w:p>
          <w:p w:rsidR="00F11530" w:rsidRPr="00900DC7" w:rsidRDefault="00F11530" w:rsidP="00F11530">
            <w:pPr>
              <w:jc w:val="left"/>
              <w:rPr>
                <w:rFonts w:ascii="Arial Narrow" w:hAnsi="Arial Narrow"/>
                <w:sz w:val="20"/>
              </w:rPr>
            </w:pPr>
          </w:p>
          <w:p w:rsidR="00F11530" w:rsidRPr="00900DC7" w:rsidRDefault="00F11530" w:rsidP="00F11530">
            <w:pPr>
              <w:jc w:val="left"/>
              <w:rPr>
                <w:rFonts w:ascii="Arial Narrow" w:hAnsi="Arial Narrow"/>
                <w:sz w:val="20"/>
              </w:rPr>
            </w:pPr>
          </w:p>
          <w:p w:rsidR="00F11530" w:rsidRPr="00900DC7" w:rsidRDefault="00F11530" w:rsidP="00F11530">
            <w:pPr>
              <w:jc w:val="left"/>
              <w:rPr>
                <w:rFonts w:ascii="Arial Narrow" w:hAnsi="Arial Narrow"/>
                <w:sz w:val="20"/>
              </w:rPr>
            </w:pPr>
          </w:p>
          <w:p w:rsidR="00F11530" w:rsidRPr="00900DC7" w:rsidRDefault="00F11530" w:rsidP="00F11530">
            <w:pPr>
              <w:jc w:val="left"/>
              <w:rPr>
                <w:rFonts w:ascii="Arial Narrow" w:hAnsi="Arial Narrow"/>
                <w:sz w:val="10"/>
                <w:szCs w:val="10"/>
              </w:rPr>
            </w:pPr>
          </w:p>
          <w:p w:rsidR="00F11530" w:rsidRPr="00900DC7" w:rsidRDefault="00F11530" w:rsidP="00F11530">
            <w:pPr>
              <w:jc w:val="left"/>
              <w:rPr>
                <w:rFonts w:ascii="Arial Narrow" w:hAnsi="Arial Narrow"/>
                <w:sz w:val="20"/>
              </w:rPr>
            </w:pPr>
            <w:r w:rsidRPr="00051C8C">
              <w:rPr>
                <w:rFonts w:ascii="Arial Narrow" w:hAnsi="Arial Narrow"/>
                <w:sz w:val="20"/>
              </w:rPr>
              <w:t>Annals of the Rheumatic Diseases 2015; 74 (Suppl. 2): 706-707.</w:t>
            </w:r>
          </w:p>
          <w:p w:rsidR="00F11530" w:rsidRPr="00900DC7" w:rsidRDefault="00F11530" w:rsidP="00F11530">
            <w:pPr>
              <w:jc w:val="left"/>
              <w:rPr>
                <w:rFonts w:ascii="Arial Narrow" w:hAnsi="Arial Narrow"/>
                <w:b/>
                <w:sz w:val="20"/>
              </w:rPr>
            </w:pPr>
          </w:p>
          <w:p w:rsidR="00F11530" w:rsidRPr="00900DC7" w:rsidRDefault="00F11530" w:rsidP="00F11530">
            <w:pPr>
              <w:jc w:val="left"/>
              <w:rPr>
                <w:rFonts w:ascii="Arial Narrow" w:hAnsi="Arial Narrow"/>
                <w:b/>
                <w:sz w:val="20"/>
              </w:rPr>
            </w:pPr>
          </w:p>
          <w:p w:rsidR="00F11530" w:rsidRPr="00900DC7" w:rsidRDefault="00F11530" w:rsidP="00F11530">
            <w:pPr>
              <w:jc w:val="left"/>
              <w:rPr>
                <w:rFonts w:ascii="Arial Narrow" w:hAnsi="Arial Narrow"/>
                <w:b/>
                <w:sz w:val="20"/>
              </w:rPr>
            </w:pPr>
          </w:p>
          <w:p w:rsidR="00F11530" w:rsidRPr="00900DC7" w:rsidRDefault="00F11530" w:rsidP="00F11530">
            <w:pPr>
              <w:jc w:val="left"/>
              <w:rPr>
                <w:rFonts w:ascii="Arial Narrow" w:hAnsi="Arial Narrow"/>
                <w:b/>
                <w:sz w:val="20"/>
              </w:rPr>
            </w:pPr>
          </w:p>
          <w:p w:rsidR="00F11530" w:rsidRPr="00900DC7" w:rsidRDefault="00F11530" w:rsidP="00F11530">
            <w:pPr>
              <w:jc w:val="left"/>
              <w:rPr>
                <w:rFonts w:ascii="Arial Narrow" w:hAnsi="Arial Narrow"/>
                <w:b/>
                <w:sz w:val="10"/>
                <w:szCs w:val="10"/>
              </w:rPr>
            </w:pPr>
          </w:p>
          <w:p w:rsidR="00F11530" w:rsidRPr="00900DC7" w:rsidRDefault="00F11530" w:rsidP="00F11530">
            <w:pPr>
              <w:jc w:val="left"/>
              <w:rPr>
                <w:rFonts w:ascii="Arial Narrow" w:hAnsi="Arial Narrow"/>
                <w:sz w:val="20"/>
              </w:rPr>
            </w:pPr>
          </w:p>
          <w:p w:rsidR="00F11530" w:rsidRPr="00900DC7" w:rsidRDefault="00F11530" w:rsidP="00F11530">
            <w:pPr>
              <w:jc w:val="left"/>
              <w:rPr>
                <w:rFonts w:ascii="Arial Narrow" w:hAnsi="Arial Narrow"/>
                <w:sz w:val="20"/>
              </w:rPr>
            </w:pPr>
            <w:r w:rsidRPr="00051C8C">
              <w:rPr>
                <w:rFonts w:ascii="Arial Narrow" w:hAnsi="Arial Narrow"/>
                <w:sz w:val="20"/>
              </w:rPr>
              <w:t>30 November 2015</w:t>
            </w:r>
          </w:p>
        </w:tc>
      </w:tr>
    </w:tbl>
    <w:p w:rsidR="00F11530" w:rsidRPr="00051C8C" w:rsidRDefault="00F11530" w:rsidP="001D1522">
      <w:pPr>
        <w:pStyle w:val="TableFooter"/>
        <w:ind w:firstLine="720"/>
      </w:pPr>
      <w:r w:rsidRPr="00051C8C">
        <w:t>INF = infliximab reference product</w:t>
      </w:r>
    </w:p>
    <w:p w:rsidR="00F11530" w:rsidRPr="00051C8C" w:rsidRDefault="00F11530" w:rsidP="001D1522">
      <w:pPr>
        <w:pStyle w:val="TableFooter"/>
        <w:ind w:firstLine="720"/>
        <w:jc w:val="left"/>
      </w:pPr>
      <w:r w:rsidRPr="00051C8C">
        <w:t>Source: Table B.2-2, p29 of the submission.</w:t>
      </w:r>
    </w:p>
    <w:p w:rsidR="00F11530" w:rsidRPr="00051C8C" w:rsidRDefault="00F11530" w:rsidP="00F11530">
      <w:pPr>
        <w:widowControl/>
        <w:rPr>
          <w:szCs w:val="22"/>
        </w:rPr>
      </w:pPr>
    </w:p>
    <w:p w:rsidR="00F11530" w:rsidRPr="00051C8C" w:rsidRDefault="00F11530" w:rsidP="00F11530">
      <w:pPr>
        <w:pStyle w:val="ListParagraph"/>
        <w:widowControl/>
        <w:numPr>
          <w:ilvl w:val="1"/>
          <w:numId w:val="5"/>
        </w:numPr>
        <w:rPr>
          <w:szCs w:val="22"/>
        </w:rPr>
      </w:pPr>
      <w:r w:rsidRPr="00051C8C">
        <w:rPr>
          <w:szCs w:val="22"/>
        </w:rPr>
        <w:t xml:space="preserve">The key features of the direct randomised trial are summarised in table </w:t>
      </w:r>
      <w:r w:rsidR="006402C6" w:rsidRPr="00051C8C">
        <w:rPr>
          <w:szCs w:val="22"/>
        </w:rPr>
        <w:t>2</w:t>
      </w:r>
      <w:r w:rsidRPr="00051C8C">
        <w:rPr>
          <w:szCs w:val="22"/>
        </w:rPr>
        <w:t>.</w:t>
      </w:r>
      <w:r w:rsidR="00AE71C6">
        <w:rPr>
          <w:szCs w:val="22"/>
        </w:rPr>
        <w:t xml:space="preserve"> </w:t>
      </w:r>
    </w:p>
    <w:p w:rsidR="005325E8" w:rsidRPr="001016C5" w:rsidRDefault="005325E8">
      <w:pPr>
        <w:widowControl/>
        <w:jc w:val="left"/>
        <w:rPr>
          <w:rFonts w:ascii="Arial Narrow" w:hAnsi="Arial Narrow"/>
          <w:b/>
          <w:sz w:val="20"/>
        </w:rPr>
      </w:pPr>
    </w:p>
    <w:p w:rsidR="00964A4A" w:rsidRDefault="00964A4A">
      <w:pPr>
        <w:widowControl/>
        <w:jc w:val="left"/>
        <w:rPr>
          <w:rFonts w:ascii="Arial Narrow" w:hAnsi="Arial Narrow"/>
          <w:b/>
          <w:bCs/>
          <w:sz w:val="20"/>
          <w:szCs w:val="18"/>
        </w:rPr>
      </w:pPr>
      <w:r>
        <w:br w:type="page"/>
      </w:r>
    </w:p>
    <w:p w:rsidR="0067301F" w:rsidRPr="00051C8C" w:rsidRDefault="0067301F" w:rsidP="001D1522">
      <w:pPr>
        <w:pStyle w:val="Caption"/>
        <w:keepNext/>
        <w:ind w:firstLine="720"/>
      </w:pPr>
      <w:r w:rsidRPr="001016C5">
        <w:lastRenderedPageBreak/>
        <w:t xml:space="preserve">Table </w:t>
      </w:r>
      <w:r w:rsidR="00826E28">
        <w:rPr>
          <w:noProof/>
        </w:rPr>
        <w:t>2</w:t>
      </w:r>
      <w:r w:rsidRPr="00051C8C">
        <w:t>: Key features of the included evidence</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1"/>
        <w:gridCol w:w="713"/>
        <w:gridCol w:w="1844"/>
        <w:gridCol w:w="992"/>
        <w:gridCol w:w="1419"/>
        <w:gridCol w:w="2247"/>
      </w:tblGrid>
      <w:tr w:rsidR="00F11530" w:rsidRPr="00051C8C" w:rsidTr="001D1522">
        <w:tc>
          <w:tcPr>
            <w:tcW w:w="678" w:type="pct"/>
            <w:shd w:val="clear" w:color="auto" w:fill="auto"/>
            <w:vAlign w:val="center"/>
          </w:tcPr>
          <w:p w:rsidR="00F11530" w:rsidRPr="00DA46F0" w:rsidRDefault="00F11530" w:rsidP="00F11530">
            <w:pPr>
              <w:jc w:val="left"/>
              <w:rPr>
                <w:rFonts w:ascii="Arial Narrow" w:hAnsi="Arial Narrow"/>
                <w:b/>
                <w:sz w:val="20"/>
                <w:lang w:val="en-US"/>
              </w:rPr>
            </w:pPr>
            <w:r w:rsidRPr="00DA46F0">
              <w:rPr>
                <w:rFonts w:ascii="Arial Narrow" w:hAnsi="Arial Narrow"/>
                <w:b/>
                <w:sz w:val="20"/>
                <w:lang w:val="en-US"/>
              </w:rPr>
              <w:t>Trial</w:t>
            </w:r>
          </w:p>
        </w:tc>
        <w:tc>
          <w:tcPr>
            <w:tcW w:w="427" w:type="pct"/>
            <w:shd w:val="clear" w:color="auto" w:fill="auto"/>
            <w:vAlign w:val="center"/>
          </w:tcPr>
          <w:p w:rsidR="00F11530" w:rsidRPr="0022792B" w:rsidRDefault="00F11530" w:rsidP="00F11530">
            <w:pPr>
              <w:jc w:val="center"/>
              <w:rPr>
                <w:rFonts w:ascii="Arial Narrow" w:hAnsi="Arial Narrow"/>
                <w:b/>
                <w:sz w:val="20"/>
                <w:lang w:val="en-US"/>
              </w:rPr>
            </w:pPr>
            <w:r w:rsidRPr="0022792B">
              <w:rPr>
                <w:rFonts w:ascii="Arial Narrow" w:hAnsi="Arial Narrow"/>
                <w:b/>
                <w:sz w:val="20"/>
                <w:lang w:val="en-US"/>
              </w:rPr>
              <w:t>N</w:t>
            </w:r>
          </w:p>
        </w:tc>
        <w:tc>
          <w:tcPr>
            <w:tcW w:w="1105" w:type="pct"/>
            <w:shd w:val="clear" w:color="auto" w:fill="auto"/>
            <w:vAlign w:val="center"/>
          </w:tcPr>
          <w:p w:rsidR="00F11530" w:rsidRPr="001016C5" w:rsidRDefault="00F11530" w:rsidP="00F11530">
            <w:pPr>
              <w:jc w:val="center"/>
              <w:rPr>
                <w:rFonts w:ascii="Arial Narrow" w:hAnsi="Arial Narrow"/>
                <w:b/>
                <w:sz w:val="20"/>
                <w:lang w:val="en-US"/>
              </w:rPr>
            </w:pPr>
            <w:r w:rsidRPr="001016C5">
              <w:rPr>
                <w:rFonts w:ascii="Arial Narrow" w:hAnsi="Arial Narrow"/>
                <w:b/>
                <w:sz w:val="20"/>
                <w:lang w:val="en-US"/>
              </w:rPr>
              <w:t>Design/ duration</w:t>
            </w:r>
          </w:p>
        </w:tc>
        <w:tc>
          <w:tcPr>
            <w:tcW w:w="594" w:type="pct"/>
            <w:shd w:val="clear" w:color="auto" w:fill="auto"/>
            <w:vAlign w:val="center"/>
          </w:tcPr>
          <w:p w:rsidR="00F11530" w:rsidRPr="001016C5" w:rsidRDefault="00F11530" w:rsidP="00F11530">
            <w:pPr>
              <w:jc w:val="center"/>
              <w:rPr>
                <w:rFonts w:ascii="Arial Narrow" w:hAnsi="Arial Narrow"/>
                <w:b/>
                <w:sz w:val="20"/>
                <w:lang w:val="en-US"/>
              </w:rPr>
            </w:pPr>
            <w:r w:rsidRPr="001016C5">
              <w:rPr>
                <w:rFonts w:ascii="Arial Narrow" w:hAnsi="Arial Narrow"/>
                <w:b/>
                <w:sz w:val="20"/>
                <w:lang w:val="en-US"/>
              </w:rPr>
              <w:t>Risk of bias</w:t>
            </w:r>
          </w:p>
        </w:tc>
        <w:tc>
          <w:tcPr>
            <w:tcW w:w="850" w:type="pct"/>
            <w:shd w:val="clear" w:color="auto" w:fill="auto"/>
            <w:vAlign w:val="center"/>
          </w:tcPr>
          <w:p w:rsidR="00F11530" w:rsidRPr="00051C8C" w:rsidRDefault="00F11530" w:rsidP="00F11530">
            <w:pPr>
              <w:jc w:val="center"/>
              <w:rPr>
                <w:rFonts w:ascii="Arial Narrow" w:hAnsi="Arial Narrow"/>
                <w:b/>
                <w:sz w:val="20"/>
                <w:lang w:val="en-US"/>
              </w:rPr>
            </w:pPr>
            <w:r w:rsidRPr="00051C8C">
              <w:rPr>
                <w:rFonts w:ascii="Arial Narrow" w:hAnsi="Arial Narrow"/>
                <w:b/>
                <w:sz w:val="20"/>
                <w:lang w:val="en-US"/>
              </w:rPr>
              <w:t>Patient population</w:t>
            </w:r>
          </w:p>
        </w:tc>
        <w:tc>
          <w:tcPr>
            <w:tcW w:w="1347" w:type="pct"/>
            <w:shd w:val="clear" w:color="auto" w:fill="auto"/>
            <w:vAlign w:val="center"/>
          </w:tcPr>
          <w:p w:rsidR="00F11530" w:rsidRPr="00051C8C" w:rsidRDefault="00F11530" w:rsidP="00F11530">
            <w:pPr>
              <w:jc w:val="center"/>
              <w:rPr>
                <w:rFonts w:ascii="Arial Narrow" w:hAnsi="Arial Narrow"/>
                <w:b/>
                <w:sz w:val="20"/>
                <w:lang w:val="en-US"/>
              </w:rPr>
            </w:pPr>
            <w:r w:rsidRPr="00051C8C">
              <w:rPr>
                <w:rFonts w:ascii="Arial Narrow" w:hAnsi="Arial Narrow"/>
                <w:b/>
                <w:sz w:val="20"/>
                <w:lang w:val="en-US"/>
              </w:rPr>
              <w:t>Outcomes</w:t>
            </w:r>
          </w:p>
        </w:tc>
      </w:tr>
      <w:tr w:rsidR="00F11530" w:rsidRPr="00051C8C" w:rsidTr="001D1522">
        <w:tc>
          <w:tcPr>
            <w:tcW w:w="5000" w:type="pct"/>
            <w:gridSpan w:val="6"/>
            <w:shd w:val="clear" w:color="auto" w:fill="auto"/>
            <w:vAlign w:val="center"/>
          </w:tcPr>
          <w:p w:rsidR="00F11530" w:rsidRPr="00051C8C" w:rsidRDefault="00D543A5" w:rsidP="00F11530">
            <w:pPr>
              <w:jc w:val="left"/>
              <w:rPr>
                <w:rFonts w:ascii="Arial Narrow" w:hAnsi="Arial Narrow"/>
                <w:b/>
                <w:sz w:val="20"/>
                <w:lang w:val="en-US"/>
              </w:rPr>
            </w:pPr>
            <w:proofErr w:type="spellStart"/>
            <w:r>
              <w:rPr>
                <w:rFonts w:ascii="Arial Narrow" w:hAnsi="Arial Narrow"/>
                <w:b/>
                <w:sz w:val="20"/>
                <w:lang w:val="en-US"/>
              </w:rPr>
              <w:t>Renflexis</w:t>
            </w:r>
            <w:proofErr w:type="spellEnd"/>
            <w:r w:rsidR="00F11530" w:rsidRPr="00051C8C">
              <w:rPr>
                <w:rFonts w:ascii="Arial Narrow" w:hAnsi="Arial Narrow"/>
                <w:b/>
                <w:sz w:val="20"/>
                <w:lang w:val="en-US"/>
              </w:rPr>
              <w:t xml:space="preserve"> vs. Remicade</w:t>
            </w:r>
          </w:p>
        </w:tc>
      </w:tr>
      <w:tr w:rsidR="00F11530" w:rsidRPr="00051C8C" w:rsidTr="001D1522">
        <w:tc>
          <w:tcPr>
            <w:tcW w:w="678" w:type="pct"/>
            <w:shd w:val="clear" w:color="auto" w:fill="auto"/>
            <w:vAlign w:val="center"/>
          </w:tcPr>
          <w:p w:rsidR="00F11530" w:rsidRPr="00F1715F" w:rsidRDefault="00F11530" w:rsidP="00F11530">
            <w:pPr>
              <w:jc w:val="left"/>
              <w:rPr>
                <w:rFonts w:ascii="Arial Narrow" w:hAnsi="Arial Narrow"/>
                <w:sz w:val="20"/>
                <w:lang w:val="en-US"/>
              </w:rPr>
            </w:pPr>
            <w:r w:rsidRPr="00BC5EA2">
              <w:rPr>
                <w:rFonts w:ascii="Arial Narrow" w:hAnsi="Arial Narrow"/>
                <w:sz w:val="20"/>
              </w:rPr>
              <w:t xml:space="preserve">Trial </w:t>
            </w:r>
            <w:r w:rsidRPr="00F1715F">
              <w:rPr>
                <w:rFonts w:ascii="Arial Narrow" w:hAnsi="Arial Narrow"/>
                <w:sz w:val="20"/>
                <w:lang w:val="en-US"/>
              </w:rPr>
              <w:t>SB2-G31-RA</w:t>
            </w:r>
          </w:p>
        </w:tc>
        <w:tc>
          <w:tcPr>
            <w:tcW w:w="427" w:type="pct"/>
            <w:shd w:val="clear" w:color="auto" w:fill="auto"/>
            <w:vAlign w:val="center"/>
          </w:tcPr>
          <w:p w:rsidR="00F11530" w:rsidRPr="00F1715F" w:rsidRDefault="00F11530" w:rsidP="00F11530">
            <w:pPr>
              <w:jc w:val="center"/>
              <w:rPr>
                <w:rFonts w:ascii="Arial Narrow" w:hAnsi="Arial Narrow"/>
                <w:sz w:val="20"/>
                <w:lang w:val="en-US"/>
              </w:rPr>
            </w:pPr>
            <w:r w:rsidRPr="00F1715F">
              <w:rPr>
                <w:rFonts w:ascii="Arial Narrow" w:hAnsi="Arial Narrow"/>
                <w:sz w:val="20"/>
                <w:lang w:val="en-US"/>
              </w:rPr>
              <w:t>584</w:t>
            </w:r>
          </w:p>
        </w:tc>
        <w:tc>
          <w:tcPr>
            <w:tcW w:w="1105" w:type="pct"/>
            <w:shd w:val="clear" w:color="auto" w:fill="auto"/>
            <w:vAlign w:val="center"/>
          </w:tcPr>
          <w:p w:rsidR="00F11530" w:rsidRPr="00F1715F" w:rsidRDefault="00F11530" w:rsidP="00F11530">
            <w:pPr>
              <w:jc w:val="center"/>
              <w:rPr>
                <w:rFonts w:ascii="Arial Narrow" w:hAnsi="Arial Narrow"/>
                <w:sz w:val="20"/>
                <w:lang w:val="en-US"/>
              </w:rPr>
            </w:pPr>
            <w:r w:rsidRPr="00F1715F">
              <w:rPr>
                <w:rFonts w:ascii="Arial Narrow" w:hAnsi="Arial Narrow"/>
                <w:sz w:val="20"/>
                <w:lang w:val="en-US"/>
              </w:rPr>
              <w:t>R, DB</w:t>
            </w:r>
          </w:p>
          <w:p w:rsidR="00F11530" w:rsidRPr="00F1715F" w:rsidRDefault="00F11530" w:rsidP="00F11530">
            <w:pPr>
              <w:jc w:val="center"/>
              <w:rPr>
                <w:rFonts w:ascii="Arial Narrow" w:hAnsi="Arial Narrow"/>
                <w:sz w:val="20"/>
                <w:lang w:val="en-US"/>
              </w:rPr>
            </w:pPr>
            <w:r w:rsidRPr="00F1715F">
              <w:rPr>
                <w:rFonts w:ascii="Arial Narrow" w:hAnsi="Arial Narrow"/>
                <w:sz w:val="20"/>
                <w:lang w:val="en-US"/>
              </w:rPr>
              <w:t>78 weeks*</w:t>
            </w:r>
          </w:p>
        </w:tc>
        <w:tc>
          <w:tcPr>
            <w:tcW w:w="594" w:type="pct"/>
            <w:shd w:val="clear" w:color="auto" w:fill="auto"/>
            <w:vAlign w:val="center"/>
          </w:tcPr>
          <w:p w:rsidR="00F11530" w:rsidRPr="00F1715F" w:rsidRDefault="00F11530" w:rsidP="00F11530">
            <w:pPr>
              <w:jc w:val="center"/>
              <w:rPr>
                <w:rFonts w:ascii="Arial Narrow" w:hAnsi="Arial Narrow"/>
                <w:sz w:val="20"/>
                <w:lang w:val="en-US"/>
              </w:rPr>
            </w:pPr>
            <w:r w:rsidRPr="00F1715F">
              <w:rPr>
                <w:rFonts w:ascii="Arial Narrow" w:hAnsi="Arial Narrow"/>
                <w:sz w:val="20"/>
                <w:lang w:val="en-US"/>
              </w:rPr>
              <w:t>Low</w:t>
            </w:r>
          </w:p>
        </w:tc>
        <w:tc>
          <w:tcPr>
            <w:tcW w:w="850" w:type="pct"/>
            <w:shd w:val="clear" w:color="auto" w:fill="auto"/>
            <w:vAlign w:val="center"/>
          </w:tcPr>
          <w:p w:rsidR="00F11530" w:rsidRPr="008C4A7D" w:rsidRDefault="00F11530" w:rsidP="00F11530">
            <w:pPr>
              <w:jc w:val="center"/>
              <w:rPr>
                <w:rFonts w:ascii="Arial Narrow" w:hAnsi="Arial Narrow"/>
                <w:sz w:val="20"/>
                <w:lang w:val="en-US"/>
              </w:rPr>
            </w:pPr>
            <w:r w:rsidRPr="008C4A7D">
              <w:rPr>
                <w:rFonts w:ascii="Arial Narrow" w:hAnsi="Arial Narrow"/>
                <w:sz w:val="20"/>
                <w:lang w:val="en-US"/>
              </w:rPr>
              <w:t>RA patients who have failed methotrexate</w:t>
            </w:r>
          </w:p>
        </w:tc>
        <w:tc>
          <w:tcPr>
            <w:tcW w:w="1347" w:type="pct"/>
            <w:shd w:val="clear" w:color="auto" w:fill="auto"/>
            <w:vAlign w:val="center"/>
          </w:tcPr>
          <w:p w:rsidR="00F11530" w:rsidRPr="00DA46F0" w:rsidRDefault="00F11530" w:rsidP="00F11530">
            <w:pPr>
              <w:jc w:val="center"/>
              <w:rPr>
                <w:rFonts w:ascii="Arial Narrow" w:hAnsi="Arial Narrow"/>
                <w:sz w:val="20"/>
                <w:lang w:val="en-US"/>
              </w:rPr>
            </w:pPr>
            <w:r w:rsidRPr="00DA46F0">
              <w:rPr>
                <w:rFonts w:ascii="Arial Narrow" w:hAnsi="Arial Narrow"/>
                <w:sz w:val="20"/>
                <w:lang w:val="en-US"/>
              </w:rPr>
              <w:t>ACR20 response rate</w:t>
            </w:r>
          </w:p>
          <w:p w:rsidR="00F11530" w:rsidRPr="0022792B" w:rsidRDefault="00F11530" w:rsidP="00F11530">
            <w:pPr>
              <w:jc w:val="center"/>
              <w:rPr>
                <w:rFonts w:ascii="Arial Narrow" w:hAnsi="Arial Narrow"/>
                <w:sz w:val="20"/>
                <w:lang w:val="en-US"/>
              </w:rPr>
            </w:pPr>
            <w:r w:rsidRPr="0022792B">
              <w:rPr>
                <w:rFonts w:ascii="Arial Narrow" w:hAnsi="Arial Narrow"/>
                <w:sz w:val="20"/>
                <w:lang w:val="en-US"/>
              </w:rPr>
              <w:t>ACR50 response rate</w:t>
            </w:r>
          </w:p>
          <w:p w:rsidR="00F11530" w:rsidRPr="001016C5" w:rsidRDefault="00F11530" w:rsidP="00F11530">
            <w:pPr>
              <w:jc w:val="center"/>
              <w:rPr>
                <w:rFonts w:ascii="Arial Narrow" w:hAnsi="Arial Narrow"/>
                <w:sz w:val="20"/>
                <w:lang w:val="en-US"/>
              </w:rPr>
            </w:pPr>
            <w:r w:rsidRPr="001016C5">
              <w:rPr>
                <w:rFonts w:ascii="Arial Narrow" w:hAnsi="Arial Narrow"/>
                <w:sz w:val="20"/>
                <w:lang w:val="en-US"/>
              </w:rPr>
              <w:t>ACR70 response rate</w:t>
            </w:r>
          </w:p>
        </w:tc>
      </w:tr>
    </w:tbl>
    <w:p w:rsidR="00F11530" w:rsidRPr="00051C8C" w:rsidRDefault="00F11530" w:rsidP="001D1522">
      <w:pPr>
        <w:pStyle w:val="TableFooter"/>
        <w:ind w:firstLine="720"/>
      </w:pPr>
      <w:r w:rsidRPr="00051C8C">
        <w:t>DB=double blind; R=randomised; RA = rheumatoid arthritis; ACR = American College of Rheumatology</w:t>
      </w:r>
    </w:p>
    <w:p w:rsidR="00F11530" w:rsidRPr="00051C8C" w:rsidRDefault="00F11530" w:rsidP="001D1522">
      <w:pPr>
        <w:pStyle w:val="ListParagraph"/>
        <w:rPr>
          <w:rFonts w:ascii="Arial Narrow" w:hAnsi="Arial Narrow"/>
          <w:sz w:val="18"/>
          <w:szCs w:val="18"/>
        </w:rPr>
      </w:pPr>
      <w:r w:rsidRPr="00051C8C">
        <w:rPr>
          <w:rFonts w:ascii="Arial Narrow" w:hAnsi="Arial Narrow"/>
          <w:sz w:val="18"/>
          <w:szCs w:val="18"/>
        </w:rPr>
        <w:t xml:space="preserve">* </w:t>
      </w:r>
      <w:r w:rsidRPr="00051C8C">
        <w:rPr>
          <w:rFonts w:ascii="Arial Narrow" w:hAnsi="Arial Narrow"/>
          <w:b/>
          <w:sz w:val="18"/>
          <w:szCs w:val="18"/>
        </w:rPr>
        <w:t xml:space="preserve">Main study/period: </w:t>
      </w:r>
      <w:r w:rsidRPr="00051C8C">
        <w:rPr>
          <w:rFonts w:ascii="Arial Narrow" w:hAnsi="Arial Narrow"/>
          <w:sz w:val="18"/>
          <w:szCs w:val="18"/>
        </w:rPr>
        <w:t>Subjects were randomised in a 1:1 ratio to receive either SB2 3 mg/kg or INF (Remicade) 3 mg/kg via a 2 hour intravenous infusion at Weeks 0, 2 and 6 and then every 8 weeks until Week 46. There were 54 weeks of active treatment (the expected study duration per individual subject was 54 weeks after randomisation). The primary outcome of ACR20 response rate, defined as at least a 20% improvement in the core set measures for a patient to reach improvement, was assessed at Week 30. From Week 30, the dose level could be increased step-wise by 1.5 mg/kg, up to a maximum of 7.5 mg/kg, every 8 weeks if the subject’s rheumatoid arthritis (RA) symptoms were not well controlled by the existing dose. If adequate response was achieved, subjects were continued on the selected dose.</w:t>
      </w:r>
    </w:p>
    <w:p w:rsidR="00F11530" w:rsidRPr="00051C8C" w:rsidRDefault="00F11530" w:rsidP="001D1522">
      <w:pPr>
        <w:pStyle w:val="ListParagraph"/>
        <w:rPr>
          <w:rFonts w:ascii="Arial Narrow" w:hAnsi="Arial Narrow"/>
          <w:b/>
          <w:sz w:val="18"/>
          <w:szCs w:val="18"/>
        </w:rPr>
      </w:pPr>
      <w:r w:rsidRPr="00051C8C">
        <w:rPr>
          <w:rFonts w:ascii="Arial Narrow" w:hAnsi="Arial Narrow"/>
          <w:b/>
          <w:sz w:val="18"/>
          <w:szCs w:val="18"/>
        </w:rPr>
        <w:t xml:space="preserve">Transition-extension study/period: </w:t>
      </w:r>
      <w:r w:rsidRPr="00051C8C">
        <w:rPr>
          <w:rFonts w:ascii="Arial Narrow" w:hAnsi="Arial Narrow"/>
          <w:sz w:val="18"/>
          <w:szCs w:val="18"/>
        </w:rPr>
        <w:t xml:space="preserve">At Week 54, subjects receiving INF (Remicade) were randomised in a 1:1 ratio to either continue to receive INF (Remicade) or to be transitioned to SB2. Subjects receiving SB2 from the main study continued to receive extended treatment of SB2 up to Week 70. This study period consisted of 24 weeks of active treatment (subjects were enrolled in the transition-extension period for up to 24 weeks after Week 54 of the main study), conducted from week 54 to week 78. Subjects received SB2 or INF (Remicade) from 3 to 7.5 mg/kg every 8 weeks at Weeks 54, 62 and 70 via IV infusion for 2 hours. </w:t>
      </w:r>
    </w:p>
    <w:p w:rsidR="00F11530" w:rsidRPr="00051C8C" w:rsidRDefault="00F11530" w:rsidP="001D1522">
      <w:pPr>
        <w:pStyle w:val="TableFooter"/>
        <w:ind w:firstLine="720"/>
      </w:pPr>
      <w:r w:rsidRPr="00051C8C">
        <w:t>Source: compiled during the evaluation</w:t>
      </w:r>
    </w:p>
    <w:p w:rsidR="00F11530" w:rsidRPr="00051C8C" w:rsidRDefault="00F11530" w:rsidP="00F11530"/>
    <w:p w:rsidR="00F11530" w:rsidRPr="00051C8C" w:rsidRDefault="00F11530" w:rsidP="00F11530">
      <w:pPr>
        <w:pStyle w:val="ListParagraph"/>
        <w:widowControl/>
        <w:numPr>
          <w:ilvl w:val="1"/>
          <w:numId w:val="5"/>
        </w:numPr>
        <w:rPr>
          <w:szCs w:val="22"/>
        </w:rPr>
      </w:pPr>
      <w:r w:rsidRPr="00051C8C">
        <w:rPr>
          <w:szCs w:val="22"/>
        </w:rPr>
        <w:t xml:space="preserve">The measures undertaken by investigators to minimise bias in </w:t>
      </w:r>
      <w:r w:rsidR="00EB3687">
        <w:rPr>
          <w:szCs w:val="22"/>
        </w:rPr>
        <w:t xml:space="preserve">the double blind portion of </w:t>
      </w:r>
      <w:r w:rsidR="00CE3023" w:rsidRPr="00051C8C">
        <w:rPr>
          <w:szCs w:val="22"/>
        </w:rPr>
        <w:t>t</w:t>
      </w:r>
      <w:r w:rsidRPr="00051C8C">
        <w:rPr>
          <w:szCs w:val="22"/>
        </w:rPr>
        <w:t>rial SB2-G31-RA appear</w:t>
      </w:r>
      <w:r w:rsidR="00900DC7">
        <w:rPr>
          <w:szCs w:val="22"/>
        </w:rPr>
        <w:t>ed</w:t>
      </w:r>
      <w:r w:rsidRPr="00051C8C">
        <w:rPr>
          <w:szCs w:val="22"/>
        </w:rPr>
        <w:t xml:space="preserve"> reasonable and the overall risk of bias for the trial is considered to be low.</w:t>
      </w:r>
    </w:p>
    <w:p w:rsidR="00F11530" w:rsidRPr="00051C8C" w:rsidRDefault="00F11530" w:rsidP="00F11530">
      <w:pPr>
        <w:pStyle w:val="ListParagraph"/>
        <w:widowControl/>
        <w:rPr>
          <w:szCs w:val="22"/>
        </w:rPr>
      </w:pPr>
    </w:p>
    <w:p w:rsidR="00F11530" w:rsidRPr="00051C8C" w:rsidRDefault="00F11530" w:rsidP="00F11530">
      <w:pPr>
        <w:pStyle w:val="ListParagraph"/>
        <w:widowControl/>
        <w:numPr>
          <w:ilvl w:val="1"/>
          <w:numId w:val="5"/>
        </w:numPr>
        <w:rPr>
          <w:szCs w:val="22"/>
        </w:rPr>
      </w:pPr>
      <w:r w:rsidRPr="00051C8C">
        <w:rPr>
          <w:szCs w:val="22"/>
        </w:rPr>
        <w:t>A pre-specified 2-sided equivalence margin of 15 percentage points in the proportion of patients achieving</w:t>
      </w:r>
      <w:r w:rsidR="00CE3023" w:rsidRPr="00051C8C">
        <w:rPr>
          <w:szCs w:val="22"/>
        </w:rPr>
        <w:t xml:space="preserve"> and American College of Rheumatology</w:t>
      </w:r>
      <w:r w:rsidRPr="00051C8C">
        <w:rPr>
          <w:szCs w:val="22"/>
        </w:rPr>
        <w:t xml:space="preserve"> </w:t>
      </w:r>
      <w:r w:rsidR="00CE3023" w:rsidRPr="00051C8C">
        <w:rPr>
          <w:szCs w:val="22"/>
        </w:rPr>
        <w:t>(</w:t>
      </w:r>
      <w:r w:rsidRPr="00051C8C">
        <w:rPr>
          <w:szCs w:val="22"/>
        </w:rPr>
        <w:t>ACR</w:t>
      </w:r>
      <w:r w:rsidR="00CE3023" w:rsidRPr="00051C8C">
        <w:rPr>
          <w:szCs w:val="22"/>
        </w:rPr>
        <w:t xml:space="preserve">) </w:t>
      </w:r>
      <w:r w:rsidRPr="00051C8C">
        <w:rPr>
          <w:szCs w:val="22"/>
        </w:rPr>
        <w:t>20</w:t>
      </w:r>
      <w:r w:rsidR="00CE3023" w:rsidRPr="00051C8C">
        <w:rPr>
          <w:szCs w:val="22"/>
        </w:rPr>
        <w:t xml:space="preserve"> per cent improvement</w:t>
      </w:r>
      <w:r w:rsidR="005A6DCA" w:rsidRPr="00051C8C">
        <w:rPr>
          <w:szCs w:val="22"/>
        </w:rPr>
        <w:t xml:space="preserve"> criteria</w:t>
      </w:r>
      <w:r w:rsidR="00625D54" w:rsidRPr="00051C8C">
        <w:rPr>
          <w:szCs w:val="22"/>
        </w:rPr>
        <w:t xml:space="preserve"> (ACR20)</w:t>
      </w:r>
      <w:r w:rsidR="00F43B89" w:rsidRPr="00051C8C">
        <w:rPr>
          <w:szCs w:val="22"/>
        </w:rPr>
        <w:t xml:space="preserve"> </w:t>
      </w:r>
      <w:r w:rsidRPr="00051C8C">
        <w:rPr>
          <w:szCs w:val="22"/>
        </w:rPr>
        <w:t xml:space="preserve">was used in the submission to assess equivalence between </w:t>
      </w:r>
      <w:proofErr w:type="spellStart"/>
      <w:r w:rsidR="001539AA" w:rsidRPr="00051C8C">
        <w:rPr>
          <w:szCs w:val="22"/>
        </w:rPr>
        <w:t>Renflexis</w:t>
      </w:r>
      <w:proofErr w:type="spellEnd"/>
      <w:r w:rsidR="00AE71C6">
        <w:rPr>
          <w:szCs w:val="22"/>
        </w:rPr>
        <w:t xml:space="preserve"> </w:t>
      </w:r>
      <w:r w:rsidRPr="00051C8C">
        <w:rPr>
          <w:szCs w:val="22"/>
        </w:rPr>
        <w:t xml:space="preserve">and </w:t>
      </w:r>
      <w:proofErr w:type="spellStart"/>
      <w:r w:rsidRPr="00051C8C">
        <w:rPr>
          <w:szCs w:val="22"/>
        </w:rPr>
        <w:t>Remicade</w:t>
      </w:r>
      <w:proofErr w:type="spellEnd"/>
      <w:r w:rsidRPr="00051C8C">
        <w:rPr>
          <w:szCs w:val="22"/>
        </w:rPr>
        <w:t xml:space="preserve">. </w:t>
      </w:r>
      <w:r w:rsidR="00B20D24" w:rsidRPr="00051C8C">
        <w:rPr>
          <w:szCs w:val="22"/>
        </w:rPr>
        <w:t xml:space="preserve">An equivalence margin of 15 percentage points </w:t>
      </w:r>
      <w:r w:rsidR="001539AA" w:rsidRPr="00051C8C">
        <w:rPr>
          <w:szCs w:val="22"/>
        </w:rPr>
        <w:t>was</w:t>
      </w:r>
      <w:r w:rsidR="00B20D24" w:rsidRPr="00051C8C">
        <w:rPr>
          <w:szCs w:val="22"/>
        </w:rPr>
        <w:t xml:space="preserve"> </w:t>
      </w:r>
      <w:r w:rsidR="0097329E" w:rsidRPr="00051C8C">
        <w:rPr>
          <w:szCs w:val="22"/>
        </w:rPr>
        <w:t>also</w:t>
      </w:r>
      <w:r w:rsidR="00B20D24" w:rsidRPr="00051C8C">
        <w:rPr>
          <w:szCs w:val="22"/>
        </w:rPr>
        <w:t xml:space="preserve"> </w:t>
      </w:r>
      <w:r w:rsidR="0097329E" w:rsidRPr="00051C8C">
        <w:rPr>
          <w:szCs w:val="22"/>
        </w:rPr>
        <w:t>nominated</w:t>
      </w:r>
      <w:r w:rsidR="00B20D24" w:rsidRPr="00051C8C">
        <w:rPr>
          <w:szCs w:val="22"/>
        </w:rPr>
        <w:t xml:space="preserve"> in the </w:t>
      </w:r>
      <w:proofErr w:type="spellStart"/>
      <w:r w:rsidR="00B20D24" w:rsidRPr="00051C8C">
        <w:rPr>
          <w:szCs w:val="22"/>
        </w:rPr>
        <w:t>Inflectra</w:t>
      </w:r>
      <w:proofErr w:type="spellEnd"/>
      <w:r w:rsidR="00B20D24" w:rsidRPr="00051C8C">
        <w:rPr>
          <w:szCs w:val="22"/>
        </w:rPr>
        <w:t xml:space="preserve"> submission, however</w:t>
      </w:r>
      <w:r w:rsidR="001539AA" w:rsidRPr="00051C8C">
        <w:rPr>
          <w:szCs w:val="22"/>
        </w:rPr>
        <w:t xml:space="preserve"> as</w:t>
      </w:r>
      <w:r w:rsidR="00B20D24" w:rsidRPr="00051C8C">
        <w:rPr>
          <w:szCs w:val="22"/>
        </w:rPr>
        <w:t xml:space="preserve"> the 95% CI did not approach 15% in that submission, the PBAC</w:t>
      </w:r>
      <w:r w:rsidR="0097329E" w:rsidRPr="00051C8C">
        <w:rPr>
          <w:szCs w:val="22"/>
        </w:rPr>
        <w:t xml:space="preserve"> did not explicitly indicate if this margin was acceptable</w:t>
      </w:r>
      <w:r w:rsidRPr="00051C8C">
        <w:rPr>
          <w:szCs w:val="22"/>
        </w:rPr>
        <w:t xml:space="preserve"> (Infliximab (</w:t>
      </w:r>
      <w:proofErr w:type="spellStart"/>
      <w:r w:rsidRPr="00051C8C">
        <w:rPr>
          <w:szCs w:val="22"/>
        </w:rPr>
        <w:t>biosimilar</w:t>
      </w:r>
      <w:proofErr w:type="spellEnd"/>
      <w:r w:rsidRPr="00051C8C">
        <w:rPr>
          <w:szCs w:val="22"/>
        </w:rPr>
        <w:t xml:space="preserve">) </w:t>
      </w:r>
      <w:proofErr w:type="spellStart"/>
      <w:r w:rsidRPr="00051C8C">
        <w:rPr>
          <w:szCs w:val="22"/>
        </w:rPr>
        <w:t>Inflectra</w:t>
      </w:r>
      <w:proofErr w:type="spellEnd"/>
      <w:r w:rsidRPr="00051C8C">
        <w:rPr>
          <w:szCs w:val="22"/>
        </w:rPr>
        <w:t>®, PSD, July 2015 PBAC meeting</w:t>
      </w:r>
      <w:r w:rsidR="00294D90" w:rsidRPr="00051C8C">
        <w:rPr>
          <w:szCs w:val="22"/>
        </w:rPr>
        <w:t>, p</w:t>
      </w:r>
      <w:r w:rsidR="00CE3023" w:rsidRPr="00051C8C">
        <w:rPr>
          <w:szCs w:val="22"/>
        </w:rPr>
        <w:t>12</w:t>
      </w:r>
      <w:r w:rsidRPr="00051C8C">
        <w:rPr>
          <w:szCs w:val="22"/>
        </w:rPr>
        <w:t>.)</w:t>
      </w:r>
      <w:r w:rsidR="00B20D24" w:rsidRPr="00051C8C">
        <w:rPr>
          <w:szCs w:val="22"/>
        </w:rPr>
        <w:t>.</w:t>
      </w:r>
    </w:p>
    <w:p w:rsidR="00F11530" w:rsidRPr="00051C8C" w:rsidRDefault="00F11530" w:rsidP="00F11530">
      <w:pPr>
        <w:pStyle w:val="ListParagraph"/>
        <w:widowControl/>
        <w:rPr>
          <w:szCs w:val="22"/>
        </w:rPr>
      </w:pPr>
    </w:p>
    <w:p w:rsidR="00F11530" w:rsidRPr="00051C8C" w:rsidRDefault="00F11530" w:rsidP="00F11530">
      <w:pPr>
        <w:pStyle w:val="ListParagraph"/>
        <w:widowControl/>
        <w:numPr>
          <w:ilvl w:val="1"/>
          <w:numId w:val="5"/>
        </w:numPr>
        <w:rPr>
          <w:szCs w:val="22"/>
        </w:rPr>
      </w:pPr>
      <w:r w:rsidRPr="00051C8C">
        <w:rPr>
          <w:szCs w:val="22"/>
        </w:rPr>
        <w:t xml:space="preserve">No longer </w:t>
      </w:r>
      <w:proofErr w:type="gramStart"/>
      <w:r w:rsidRPr="00051C8C">
        <w:rPr>
          <w:szCs w:val="22"/>
        </w:rPr>
        <w:t>term effectiveness and safety data beyond the duration of the transition</w:t>
      </w:r>
      <w:r w:rsidR="00BF6140">
        <w:rPr>
          <w:szCs w:val="22"/>
        </w:rPr>
        <w:noBreakHyphen/>
      </w:r>
      <w:r w:rsidRPr="00051C8C">
        <w:rPr>
          <w:szCs w:val="22"/>
        </w:rPr>
        <w:t xml:space="preserve">extension study (78 weeks) of </w:t>
      </w:r>
      <w:proofErr w:type="spellStart"/>
      <w:r w:rsidR="001539AA" w:rsidRPr="00051C8C">
        <w:rPr>
          <w:szCs w:val="22"/>
        </w:rPr>
        <w:t>Renflexis</w:t>
      </w:r>
      <w:proofErr w:type="spellEnd"/>
      <w:r w:rsidR="001539AA" w:rsidRPr="00051C8C">
        <w:rPr>
          <w:szCs w:val="22"/>
        </w:rPr>
        <w:t xml:space="preserve"> and</w:t>
      </w:r>
      <w:r w:rsidRPr="00051C8C">
        <w:rPr>
          <w:szCs w:val="22"/>
        </w:rPr>
        <w:t xml:space="preserve"> </w:t>
      </w:r>
      <w:proofErr w:type="spellStart"/>
      <w:r w:rsidRPr="00051C8C">
        <w:rPr>
          <w:szCs w:val="22"/>
        </w:rPr>
        <w:t>Remicade</w:t>
      </w:r>
      <w:proofErr w:type="spellEnd"/>
      <w:r w:rsidRPr="00051C8C">
        <w:rPr>
          <w:szCs w:val="22"/>
        </w:rPr>
        <w:t xml:space="preserve"> </w:t>
      </w:r>
      <w:r w:rsidR="00900DC7">
        <w:rPr>
          <w:szCs w:val="22"/>
        </w:rPr>
        <w:t>were</w:t>
      </w:r>
      <w:proofErr w:type="gramEnd"/>
      <w:r w:rsidRPr="00051C8C">
        <w:rPr>
          <w:szCs w:val="22"/>
        </w:rPr>
        <w:t xml:space="preserve"> available. </w:t>
      </w:r>
    </w:p>
    <w:p w:rsidR="00F11530" w:rsidRPr="00051C8C" w:rsidRDefault="00F11530" w:rsidP="00F11530">
      <w:pPr>
        <w:widowControl/>
        <w:rPr>
          <w:szCs w:val="22"/>
        </w:rPr>
      </w:pPr>
    </w:p>
    <w:p w:rsidR="00F11530" w:rsidRPr="00051C8C" w:rsidRDefault="00F11530" w:rsidP="00F11530">
      <w:pPr>
        <w:pStyle w:val="ListParagraph"/>
        <w:widowControl/>
        <w:numPr>
          <w:ilvl w:val="1"/>
          <w:numId w:val="5"/>
        </w:numPr>
        <w:rPr>
          <w:szCs w:val="22"/>
        </w:rPr>
      </w:pPr>
      <w:r w:rsidRPr="00051C8C">
        <w:rPr>
          <w:szCs w:val="22"/>
        </w:rPr>
        <w:t xml:space="preserve">The submission did not provide evidence of the effectiveness and safety of </w:t>
      </w:r>
      <w:proofErr w:type="spellStart"/>
      <w:r w:rsidR="001539AA" w:rsidRPr="00051C8C">
        <w:rPr>
          <w:szCs w:val="22"/>
        </w:rPr>
        <w:t>Renflexis</w:t>
      </w:r>
      <w:proofErr w:type="spellEnd"/>
      <w:r w:rsidR="001539AA" w:rsidRPr="00051C8C">
        <w:rPr>
          <w:szCs w:val="22"/>
        </w:rPr>
        <w:t xml:space="preserve"> </w:t>
      </w:r>
      <w:r w:rsidRPr="00051C8C">
        <w:rPr>
          <w:szCs w:val="22"/>
        </w:rPr>
        <w:t xml:space="preserve">compared with </w:t>
      </w:r>
      <w:proofErr w:type="spellStart"/>
      <w:r w:rsidRPr="00051C8C">
        <w:rPr>
          <w:szCs w:val="22"/>
        </w:rPr>
        <w:t>Remicade</w:t>
      </w:r>
      <w:proofErr w:type="spellEnd"/>
      <w:r w:rsidRPr="00051C8C">
        <w:rPr>
          <w:szCs w:val="22"/>
        </w:rPr>
        <w:t xml:space="preserve"> in patients with indications other than rheumatoid arthritis. </w:t>
      </w:r>
    </w:p>
    <w:p w:rsidR="00F11530" w:rsidRPr="00051C8C" w:rsidRDefault="00F11530" w:rsidP="00F11530"/>
    <w:p w:rsidR="00F11530" w:rsidRPr="00964A4A" w:rsidRDefault="00F11530" w:rsidP="005337AB">
      <w:pPr>
        <w:pStyle w:val="Heading3"/>
      </w:pPr>
      <w:bookmarkStart w:id="14" w:name="_Toc461606008"/>
      <w:r w:rsidRPr="00964A4A">
        <w:t>Comparative effectiveness</w:t>
      </w:r>
      <w:bookmarkEnd w:id="14"/>
    </w:p>
    <w:p w:rsidR="00F11530" w:rsidRPr="00051C8C" w:rsidRDefault="00F11530" w:rsidP="00F11530">
      <w:pPr>
        <w:pStyle w:val="ListParagraph"/>
        <w:widowControl/>
        <w:rPr>
          <w:szCs w:val="22"/>
        </w:rPr>
      </w:pPr>
    </w:p>
    <w:p w:rsidR="00F11530" w:rsidRPr="00051C8C" w:rsidRDefault="00F11530" w:rsidP="00F11530">
      <w:pPr>
        <w:pStyle w:val="ListParagraph"/>
        <w:widowControl/>
        <w:numPr>
          <w:ilvl w:val="1"/>
          <w:numId w:val="5"/>
        </w:numPr>
      </w:pPr>
      <w:r w:rsidRPr="00051C8C">
        <w:rPr>
          <w:szCs w:val="22"/>
        </w:rPr>
        <w:t>The trial results for the ACR20 (primary outcome) in the Full Analysis Set (FAS</w:t>
      </w:r>
      <w:r w:rsidR="00047235" w:rsidRPr="00051C8C">
        <w:rPr>
          <w:rStyle w:val="FootnoteReference"/>
          <w:szCs w:val="22"/>
        </w:rPr>
        <w:footnoteReference w:id="2"/>
      </w:r>
      <w:r w:rsidRPr="00051C8C">
        <w:rPr>
          <w:szCs w:val="22"/>
        </w:rPr>
        <w:t>) and Per Protocol Set 1 (PPS1</w:t>
      </w:r>
      <w:r w:rsidR="00047235" w:rsidRPr="00051C8C">
        <w:rPr>
          <w:rStyle w:val="FootnoteReference"/>
          <w:szCs w:val="22"/>
        </w:rPr>
        <w:footnoteReference w:id="3"/>
      </w:r>
      <w:r w:rsidRPr="00051C8C">
        <w:rPr>
          <w:szCs w:val="22"/>
        </w:rPr>
        <w:t xml:space="preserve">), ACR50 and ACR70 in the FAS at week 30 are summarised in table </w:t>
      </w:r>
      <w:r w:rsidR="006402C6" w:rsidRPr="00051C8C">
        <w:rPr>
          <w:szCs w:val="22"/>
        </w:rPr>
        <w:t>3</w:t>
      </w:r>
      <w:r w:rsidRPr="00051C8C">
        <w:rPr>
          <w:szCs w:val="22"/>
        </w:rPr>
        <w:t>.</w:t>
      </w:r>
    </w:p>
    <w:p w:rsidR="00F11530" w:rsidRPr="00051C8C" w:rsidRDefault="00F11530" w:rsidP="00F11530">
      <w:pPr>
        <w:pStyle w:val="PBACHeading1"/>
        <w:numPr>
          <w:ilvl w:val="0"/>
          <w:numId w:val="0"/>
        </w:numPr>
        <w:ind w:left="720"/>
      </w:pPr>
    </w:p>
    <w:p w:rsidR="0067301F" w:rsidRPr="00051C8C" w:rsidRDefault="0067301F" w:rsidP="001D1522">
      <w:pPr>
        <w:pStyle w:val="Caption"/>
        <w:keepNext/>
        <w:ind w:firstLine="720"/>
      </w:pPr>
      <w:r w:rsidRPr="00051C8C">
        <w:t xml:space="preserve">Table </w:t>
      </w:r>
      <w:r w:rsidR="00826E28">
        <w:rPr>
          <w:noProof/>
        </w:rPr>
        <w:t>3</w:t>
      </w:r>
      <w:r w:rsidRPr="00051C8C">
        <w:t>: Results of ACR20, ACR50 and ACR70 response at week 30 in Trial SB2-G31-RA</w:t>
      </w:r>
    </w:p>
    <w:tbl>
      <w:tblPr>
        <w:tblStyle w:val="TableGrid"/>
        <w:tblW w:w="4421" w:type="pct"/>
        <w:tblInd w:w="817" w:type="dxa"/>
        <w:tblLook w:val="04A0" w:firstRow="1" w:lastRow="0" w:firstColumn="1" w:lastColumn="0" w:noHBand="0" w:noVBand="1"/>
        <w:tblCaption w:val="Table 3 - Results of ACR responses at week 30"/>
        <w:tblDescription w:val="Summary of ACR20, ACR50 and ACR70 outcomes at week 30 in Trial SB2-G31-RA"/>
      </w:tblPr>
      <w:tblGrid>
        <w:gridCol w:w="1277"/>
        <w:gridCol w:w="2126"/>
        <w:gridCol w:w="2102"/>
        <w:gridCol w:w="2667"/>
      </w:tblGrid>
      <w:tr w:rsidR="00F11530" w:rsidRPr="00051C8C" w:rsidTr="001D1522">
        <w:trPr>
          <w:tblHeader/>
        </w:trPr>
        <w:tc>
          <w:tcPr>
            <w:tcW w:w="781" w:type="pct"/>
          </w:tcPr>
          <w:p w:rsidR="00F11530" w:rsidRPr="001016C5" w:rsidRDefault="00F11530" w:rsidP="00F11530">
            <w:pPr>
              <w:rPr>
                <w:rFonts w:ascii="Arial Narrow" w:hAnsi="Arial Narrow"/>
                <w:b/>
                <w:sz w:val="20"/>
              </w:rPr>
            </w:pPr>
            <w:r w:rsidRPr="001016C5">
              <w:rPr>
                <w:rFonts w:ascii="Arial Narrow" w:hAnsi="Arial Narrow"/>
                <w:b/>
                <w:sz w:val="20"/>
              </w:rPr>
              <w:t>Outcome</w:t>
            </w:r>
          </w:p>
        </w:tc>
        <w:tc>
          <w:tcPr>
            <w:tcW w:w="1301" w:type="pct"/>
          </w:tcPr>
          <w:p w:rsidR="00F11530" w:rsidRPr="00D543A5" w:rsidRDefault="00D543A5" w:rsidP="00F11530">
            <w:pPr>
              <w:jc w:val="center"/>
              <w:rPr>
                <w:rFonts w:ascii="Arial Narrow" w:hAnsi="Arial Narrow"/>
                <w:b/>
                <w:sz w:val="20"/>
              </w:rPr>
            </w:pPr>
            <w:proofErr w:type="spellStart"/>
            <w:r>
              <w:rPr>
                <w:rFonts w:ascii="Arial Narrow" w:hAnsi="Arial Narrow"/>
                <w:b/>
                <w:sz w:val="20"/>
              </w:rPr>
              <w:t>Renflexis</w:t>
            </w:r>
            <w:proofErr w:type="spellEnd"/>
          </w:p>
          <w:p w:rsidR="00F11530" w:rsidRPr="00F1715F" w:rsidRDefault="00F11530" w:rsidP="00F11530">
            <w:pPr>
              <w:jc w:val="center"/>
              <w:rPr>
                <w:rFonts w:ascii="Arial Narrow" w:hAnsi="Arial Narrow"/>
                <w:b/>
                <w:sz w:val="20"/>
              </w:rPr>
            </w:pPr>
            <w:proofErr w:type="gramStart"/>
            <w:r w:rsidRPr="00F1715F">
              <w:rPr>
                <w:rFonts w:ascii="Arial Narrow" w:hAnsi="Arial Narrow"/>
                <w:b/>
                <w:sz w:val="20"/>
              </w:rPr>
              <w:t>n/N</w:t>
            </w:r>
            <w:proofErr w:type="gramEnd"/>
            <w:r w:rsidRPr="00F1715F">
              <w:rPr>
                <w:rFonts w:ascii="Arial Narrow" w:hAnsi="Arial Narrow"/>
                <w:b/>
                <w:sz w:val="20"/>
              </w:rPr>
              <w:t xml:space="preserve"> (%)</w:t>
            </w:r>
          </w:p>
        </w:tc>
        <w:tc>
          <w:tcPr>
            <w:tcW w:w="1286" w:type="pct"/>
          </w:tcPr>
          <w:p w:rsidR="00F11530" w:rsidRPr="00F1715F" w:rsidRDefault="00F11530" w:rsidP="00F11530">
            <w:pPr>
              <w:jc w:val="center"/>
              <w:rPr>
                <w:rFonts w:ascii="Arial Narrow" w:hAnsi="Arial Narrow"/>
                <w:b/>
                <w:sz w:val="20"/>
              </w:rPr>
            </w:pPr>
            <w:r w:rsidRPr="00F1715F">
              <w:rPr>
                <w:rFonts w:ascii="Arial Narrow" w:hAnsi="Arial Narrow"/>
                <w:b/>
                <w:sz w:val="20"/>
              </w:rPr>
              <w:t>Remicade</w:t>
            </w:r>
          </w:p>
          <w:p w:rsidR="00F11530" w:rsidRPr="00F1715F" w:rsidRDefault="00F11530" w:rsidP="00F11530">
            <w:pPr>
              <w:jc w:val="center"/>
              <w:rPr>
                <w:rFonts w:ascii="Arial Narrow" w:hAnsi="Arial Narrow"/>
                <w:b/>
                <w:sz w:val="20"/>
              </w:rPr>
            </w:pPr>
            <w:proofErr w:type="gramStart"/>
            <w:r w:rsidRPr="00F1715F">
              <w:rPr>
                <w:rFonts w:ascii="Arial Narrow" w:hAnsi="Arial Narrow"/>
                <w:b/>
                <w:sz w:val="20"/>
              </w:rPr>
              <w:t>n/N</w:t>
            </w:r>
            <w:proofErr w:type="gramEnd"/>
            <w:r w:rsidRPr="00F1715F">
              <w:rPr>
                <w:rFonts w:ascii="Arial Narrow" w:hAnsi="Arial Narrow"/>
                <w:b/>
                <w:sz w:val="20"/>
              </w:rPr>
              <w:t xml:space="preserve"> (%)</w:t>
            </w:r>
          </w:p>
        </w:tc>
        <w:tc>
          <w:tcPr>
            <w:tcW w:w="1633" w:type="pct"/>
            <w:vAlign w:val="center"/>
          </w:tcPr>
          <w:p w:rsidR="00F11530" w:rsidRPr="00F1715F" w:rsidRDefault="00F11530" w:rsidP="00F11530">
            <w:pPr>
              <w:jc w:val="center"/>
              <w:rPr>
                <w:rFonts w:ascii="Arial Narrow" w:hAnsi="Arial Narrow"/>
                <w:b/>
                <w:sz w:val="20"/>
                <w:vertAlign w:val="superscript"/>
              </w:rPr>
            </w:pPr>
            <w:r w:rsidRPr="00F1715F">
              <w:rPr>
                <w:rFonts w:ascii="Arial Narrow" w:hAnsi="Arial Narrow"/>
                <w:b/>
                <w:sz w:val="20"/>
              </w:rPr>
              <w:t>Adjusted difference</w:t>
            </w:r>
            <w:r w:rsidRPr="00F1715F">
              <w:rPr>
                <w:rFonts w:ascii="Arial Narrow" w:hAnsi="Arial Narrow"/>
                <w:b/>
                <w:sz w:val="20"/>
                <w:vertAlign w:val="superscript"/>
              </w:rPr>
              <w:t>a</w:t>
            </w:r>
          </w:p>
          <w:p w:rsidR="00F11530" w:rsidRPr="008C4A7D" w:rsidRDefault="00F11530" w:rsidP="00F11530">
            <w:pPr>
              <w:jc w:val="center"/>
              <w:rPr>
                <w:rFonts w:ascii="Arial Narrow" w:hAnsi="Arial Narrow"/>
                <w:b/>
                <w:sz w:val="20"/>
              </w:rPr>
            </w:pPr>
            <w:r w:rsidRPr="008C4A7D">
              <w:rPr>
                <w:rFonts w:ascii="Arial Narrow" w:hAnsi="Arial Narrow"/>
                <w:b/>
                <w:sz w:val="20"/>
              </w:rPr>
              <w:t>95% CI</w:t>
            </w:r>
          </w:p>
        </w:tc>
      </w:tr>
      <w:tr w:rsidR="00047235" w:rsidRPr="00051C8C" w:rsidTr="001D1522">
        <w:tc>
          <w:tcPr>
            <w:tcW w:w="5000" w:type="pct"/>
            <w:gridSpan w:val="4"/>
            <w:shd w:val="clear" w:color="auto" w:fill="F2F2F2" w:themeFill="background1" w:themeFillShade="F2"/>
          </w:tcPr>
          <w:p w:rsidR="00047235" w:rsidRPr="00051C8C" w:rsidRDefault="00047235" w:rsidP="00047235">
            <w:pPr>
              <w:jc w:val="left"/>
              <w:rPr>
                <w:rFonts w:ascii="Arial Narrow" w:hAnsi="Arial Narrow"/>
                <w:sz w:val="20"/>
              </w:rPr>
            </w:pPr>
            <w:r w:rsidRPr="00051C8C">
              <w:rPr>
                <w:rFonts w:ascii="Arial Narrow" w:hAnsi="Arial Narrow"/>
                <w:b/>
                <w:sz w:val="20"/>
              </w:rPr>
              <w:t>ACR20</w:t>
            </w:r>
          </w:p>
        </w:tc>
      </w:tr>
      <w:tr w:rsidR="00F11530" w:rsidRPr="00051C8C" w:rsidTr="001D1522">
        <w:tc>
          <w:tcPr>
            <w:tcW w:w="781" w:type="pct"/>
          </w:tcPr>
          <w:p w:rsidR="00F11530" w:rsidRPr="00F1715F" w:rsidRDefault="00F11530" w:rsidP="00F11530">
            <w:pPr>
              <w:ind w:left="160"/>
              <w:rPr>
                <w:rFonts w:ascii="Arial Narrow" w:hAnsi="Arial Narrow"/>
                <w:sz w:val="20"/>
                <w:vertAlign w:val="superscript"/>
              </w:rPr>
            </w:pPr>
            <w:proofErr w:type="spellStart"/>
            <w:r w:rsidRPr="00BC5EA2">
              <w:rPr>
                <w:rFonts w:ascii="Arial Narrow" w:hAnsi="Arial Narrow"/>
                <w:sz w:val="20"/>
              </w:rPr>
              <w:t>FAS</w:t>
            </w:r>
            <w:r w:rsidRPr="00F1715F">
              <w:rPr>
                <w:rFonts w:ascii="Arial Narrow" w:hAnsi="Arial Narrow"/>
                <w:sz w:val="20"/>
                <w:vertAlign w:val="superscript"/>
              </w:rPr>
              <w:t>b</w:t>
            </w:r>
            <w:proofErr w:type="spellEnd"/>
          </w:p>
        </w:tc>
        <w:tc>
          <w:tcPr>
            <w:tcW w:w="1301" w:type="pct"/>
          </w:tcPr>
          <w:p w:rsidR="00F11530" w:rsidRPr="00F1715F" w:rsidRDefault="00F11530" w:rsidP="00F11530">
            <w:pPr>
              <w:jc w:val="center"/>
              <w:rPr>
                <w:rFonts w:ascii="Arial Narrow" w:hAnsi="Arial Narrow"/>
                <w:sz w:val="20"/>
              </w:rPr>
            </w:pPr>
            <w:r w:rsidRPr="00F1715F">
              <w:rPr>
                <w:rFonts w:ascii="Arial Narrow" w:hAnsi="Arial Narrow"/>
                <w:sz w:val="20"/>
              </w:rPr>
              <w:t>161/290 (55.5%)</w:t>
            </w:r>
          </w:p>
        </w:tc>
        <w:tc>
          <w:tcPr>
            <w:tcW w:w="1286" w:type="pct"/>
          </w:tcPr>
          <w:p w:rsidR="00F11530" w:rsidRPr="00F1715F" w:rsidRDefault="00F11530" w:rsidP="00F11530">
            <w:pPr>
              <w:jc w:val="center"/>
              <w:rPr>
                <w:rFonts w:ascii="Arial Narrow" w:hAnsi="Arial Narrow"/>
                <w:sz w:val="20"/>
              </w:rPr>
            </w:pPr>
            <w:r w:rsidRPr="00F1715F">
              <w:rPr>
                <w:rFonts w:ascii="Arial Narrow" w:hAnsi="Arial Narrow"/>
                <w:sz w:val="20"/>
              </w:rPr>
              <w:t>173/293 (59.0%)</w:t>
            </w:r>
          </w:p>
        </w:tc>
        <w:tc>
          <w:tcPr>
            <w:tcW w:w="1633" w:type="pct"/>
          </w:tcPr>
          <w:p w:rsidR="00F11530" w:rsidRPr="00F1715F" w:rsidRDefault="00F11530" w:rsidP="00F11530">
            <w:pPr>
              <w:jc w:val="center"/>
              <w:rPr>
                <w:rFonts w:ascii="Arial Narrow" w:hAnsi="Arial Narrow"/>
                <w:sz w:val="20"/>
              </w:rPr>
            </w:pPr>
            <w:r w:rsidRPr="00F1715F">
              <w:rPr>
                <w:rFonts w:ascii="Arial Narrow" w:hAnsi="Arial Narrow"/>
                <w:sz w:val="20"/>
              </w:rPr>
              <w:t>-3.0% (-10.9%, 5.0%)</w:t>
            </w:r>
          </w:p>
        </w:tc>
      </w:tr>
      <w:tr w:rsidR="00F11530" w:rsidRPr="00051C8C" w:rsidTr="001D1522">
        <w:tc>
          <w:tcPr>
            <w:tcW w:w="781" w:type="pct"/>
          </w:tcPr>
          <w:p w:rsidR="00F11530" w:rsidRPr="00F1715F" w:rsidRDefault="00F11530" w:rsidP="00F11530">
            <w:pPr>
              <w:ind w:left="160"/>
              <w:rPr>
                <w:rFonts w:ascii="Arial Narrow" w:hAnsi="Arial Narrow"/>
                <w:sz w:val="20"/>
                <w:vertAlign w:val="superscript"/>
              </w:rPr>
            </w:pPr>
            <w:r w:rsidRPr="00F1715F">
              <w:rPr>
                <w:rFonts w:ascii="Arial Narrow" w:hAnsi="Arial Narrow"/>
                <w:sz w:val="20"/>
              </w:rPr>
              <w:t>PPS1</w:t>
            </w:r>
          </w:p>
        </w:tc>
        <w:tc>
          <w:tcPr>
            <w:tcW w:w="1301" w:type="pct"/>
          </w:tcPr>
          <w:p w:rsidR="00F11530" w:rsidRPr="008C4A7D" w:rsidRDefault="00F11530" w:rsidP="00F11530">
            <w:pPr>
              <w:jc w:val="center"/>
              <w:rPr>
                <w:rFonts w:ascii="Arial Narrow" w:hAnsi="Arial Narrow"/>
                <w:sz w:val="20"/>
              </w:rPr>
            </w:pPr>
            <w:r w:rsidRPr="008C4A7D">
              <w:rPr>
                <w:rFonts w:ascii="Arial Narrow" w:hAnsi="Arial Narrow"/>
                <w:sz w:val="20"/>
              </w:rPr>
              <w:t>148/231 (64.1%)</w:t>
            </w:r>
          </w:p>
        </w:tc>
        <w:tc>
          <w:tcPr>
            <w:tcW w:w="1286" w:type="pct"/>
          </w:tcPr>
          <w:p w:rsidR="00F11530" w:rsidRPr="00DA46F0" w:rsidRDefault="00F11530" w:rsidP="00F11530">
            <w:pPr>
              <w:jc w:val="center"/>
              <w:rPr>
                <w:rFonts w:ascii="Arial Narrow" w:hAnsi="Arial Narrow"/>
                <w:sz w:val="20"/>
              </w:rPr>
            </w:pPr>
            <w:r w:rsidRPr="00DA46F0">
              <w:rPr>
                <w:rFonts w:ascii="Arial Narrow" w:hAnsi="Arial Narrow"/>
                <w:sz w:val="20"/>
              </w:rPr>
              <w:t>163/247 (66.0%)</w:t>
            </w:r>
          </w:p>
        </w:tc>
        <w:tc>
          <w:tcPr>
            <w:tcW w:w="1633" w:type="pct"/>
          </w:tcPr>
          <w:p w:rsidR="00F11530" w:rsidRPr="001016C5" w:rsidRDefault="00F11530" w:rsidP="00F11530">
            <w:pPr>
              <w:jc w:val="center"/>
              <w:rPr>
                <w:rFonts w:ascii="Arial Narrow" w:hAnsi="Arial Narrow"/>
                <w:sz w:val="20"/>
              </w:rPr>
            </w:pPr>
            <w:r w:rsidRPr="0022792B">
              <w:rPr>
                <w:rFonts w:ascii="Arial Narrow" w:hAnsi="Arial Narrow"/>
                <w:sz w:val="20"/>
              </w:rPr>
              <w:t>-1.9% (-10.3%, 6.5%)</w:t>
            </w:r>
          </w:p>
        </w:tc>
      </w:tr>
      <w:tr w:rsidR="00047235" w:rsidRPr="00051C8C" w:rsidTr="001D1522">
        <w:tc>
          <w:tcPr>
            <w:tcW w:w="5000" w:type="pct"/>
            <w:gridSpan w:val="4"/>
            <w:shd w:val="clear" w:color="auto" w:fill="F2F2F2" w:themeFill="background1" w:themeFillShade="F2"/>
          </w:tcPr>
          <w:p w:rsidR="00047235" w:rsidRPr="00900DC7" w:rsidRDefault="00047235" w:rsidP="00047235">
            <w:pPr>
              <w:jc w:val="left"/>
              <w:rPr>
                <w:rFonts w:ascii="Arial Narrow" w:hAnsi="Arial Narrow"/>
                <w:sz w:val="20"/>
              </w:rPr>
            </w:pPr>
            <w:r w:rsidRPr="00051C8C">
              <w:rPr>
                <w:rFonts w:ascii="Arial Narrow" w:hAnsi="Arial Narrow"/>
                <w:b/>
                <w:sz w:val="20"/>
              </w:rPr>
              <w:t>ACR50</w:t>
            </w:r>
          </w:p>
        </w:tc>
      </w:tr>
      <w:tr w:rsidR="00F11530" w:rsidRPr="00051C8C" w:rsidTr="001D1522">
        <w:tc>
          <w:tcPr>
            <w:tcW w:w="781" w:type="pct"/>
          </w:tcPr>
          <w:p w:rsidR="00F11530" w:rsidRPr="00900DC7" w:rsidRDefault="00F11530" w:rsidP="00F11530">
            <w:pPr>
              <w:ind w:left="160"/>
              <w:rPr>
                <w:rFonts w:ascii="Arial Narrow" w:hAnsi="Arial Narrow"/>
                <w:sz w:val="20"/>
                <w:vertAlign w:val="superscript"/>
              </w:rPr>
            </w:pPr>
            <w:proofErr w:type="spellStart"/>
            <w:r w:rsidRPr="00051C8C">
              <w:rPr>
                <w:rFonts w:ascii="Arial Narrow" w:hAnsi="Arial Narrow"/>
                <w:sz w:val="20"/>
              </w:rPr>
              <w:t>FAS</w:t>
            </w:r>
            <w:r w:rsidRPr="00051C8C">
              <w:rPr>
                <w:rFonts w:ascii="Arial Narrow" w:hAnsi="Arial Narrow"/>
                <w:sz w:val="20"/>
                <w:vertAlign w:val="superscript"/>
              </w:rPr>
              <w:t>b</w:t>
            </w:r>
            <w:proofErr w:type="spellEnd"/>
          </w:p>
        </w:tc>
        <w:tc>
          <w:tcPr>
            <w:tcW w:w="1301"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89/290 (30.7%)</w:t>
            </w:r>
          </w:p>
        </w:tc>
        <w:tc>
          <w:tcPr>
            <w:tcW w:w="1286"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99/293 (33.8%)</w:t>
            </w:r>
          </w:p>
        </w:tc>
        <w:tc>
          <w:tcPr>
            <w:tcW w:w="1633"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-2.5% (-10.1%, 5.0%)</w:t>
            </w:r>
          </w:p>
        </w:tc>
      </w:tr>
      <w:tr w:rsidR="00047235" w:rsidRPr="00051C8C" w:rsidTr="001D1522">
        <w:tc>
          <w:tcPr>
            <w:tcW w:w="5000" w:type="pct"/>
            <w:gridSpan w:val="4"/>
            <w:shd w:val="clear" w:color="auto" w:fill="F2F2F2" w:themeFill="background1" w:themeFillShade="F2"/>
          </w:tcPr>
          <w:p w:rsidR="00047235" w:rsidRPr="00900DC7" w:rsidRDefault="00625D54" w:rsidP="00625D54">
            <w:pPr>
              <w:jc w:val="left"/>
              <w:rPr>
                <w:rFonts w:ascii="Arial Narrow" w:hAnsi="Arial Narrow"/>
                <w:sz w:val="20"/>
              </w:rPr>
            </w:pPr>
            <w:r w:rsidRPr="00051C8C">
              <w:rPr>
                <w:rFonts w:ascii="Arial Narrow" w:hAnsi="Arial Narrow"/>
                <w:b/>
                <w:sz w:val="20"/>
              </w:rPr>
              <w:t>ACR70</w:t>
            </w:r>
          </w:p>
        </w:tc>
      </w:tr>
      <w:tr w:rsidR="00F11530" w:rsidRPr="00051C8C" w:rsidTr="001D1522">
        <w:tc>
          <w:tcPr>
            <w:tcW w:w="781" w:type="pct"/>
          </w:tcPr>
          <w:p w:rsidR="00F11530" w:rsidRPr="00900DC7" w:rsidRDefault="00F11530" w:rsidP="00F11530">
            <w:pPr>
              <w:ind w:left="160"/>
              <w:rPr>
                <w:rFonts w:ascii="Arial Narrow" w:hAnsi="Arial Narrow"/>
                <w:sz w:val="20"/>
                <w:vertAlign w:val="superscript"/>
              </w:rPr>
            </w:pPr>
            <w:proofErr w:type="spellStart"/>
            <w:r w:rsidRPr="00051C8C">
              <w:rPr>
                <w:rFonts w:ascii="Arial Narrow" w:hAnsi="Arial Narrow"/>
                <w:sz w:val="20"/>
              </w:rPr>
              <w:t>FAS</w:t>
            </w:r>
            <w:r w:rsidRPr="00051C8C">
              <w:rPr>
                <w:rFonts w:ascii="Arial Narrow" w:hAnsi="Arial Narrow"/>
                <w:sz w:val="20"/>
                <w:vertAlign w:val="superscript"/>
              </w:rPr>
              <w:t>b</w:t>
            </w:r>
            <w:proofErr w:type="spellEnd"/>
          </w:p>
        </w:tc>
        <w:tc>
          <w:tcPr>
            <w:tcW w:w="1301"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45/290 (15.5%)</w:t>
            </w:r>
          </w:p>
        </w:tc>
        <w:tc>
          <w:tcPr>
            <w:tcW w:w="1286"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50/293 (17.1%)</w:t>
            </w:r>
          </w:p>
        </w:tc>
        <w:tc>
          <w:tcPr>
            <w:tcW w:w="1633"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-1.1% (-7.1%, 4.9%)</w:t>
            </w:r>
          </w:p>
        </w:tc>
      </w:tr>
    </w:tbl>
    <w:p w:rsidR="00F11530" w:rsidRPr="00051C8C" w:rsidRDefault="00F11530" w:rsidP="001D1522">
      <w:pPr>
        <w:pStyle w:val="BodyText"/>
        <w:ind w:left="142" w:firstLine="578"/>
        <w:jc w:val="both"/>
        <w:rPr>
          <w:rFonts w:ascii="Arial Narrow" w:eastAsia="Malgun Gothic" w:hAnsi="Arial Narrow"/>
          <w:sz w:val="18"/>
          <w:szCs w:val="18"/>
        </w:rPr>
      </w:pPr>
      <w:r w:rsidRPr="00051C8C">
        <w:rPr>
          <w:rFonts w:ascii="Arial Narrow" w:eastAsia="Malgun Gothic" w:hAnsi="Arial Narrow"/>
          <w:sz w:val="18"/>
          <w:szCs w:val="18"/>
        </w:rPr>
        <w:t xml:space="preserve">ACR = </w:t>
      </w:r>
      <w:r w:rsidRPr="00051C8C">
        <w:rPr>
          <w:rFonts w:ascii="Arial Narrow" w:hAnsi="Arial Narrow"/>
          <w:sz w:val="18"/>
          <w:szCs w:val="18"/>
        </w:rPr>
        <w:t>American College of Rheumatology</w:t>
      </w:r>
      <w:r w:rsidRPr="00051C8C">
        <w:rPr>
          <w:rFonts w:ascii="Arial Narrow" w:eastAsia="Malgun Gothic" w:hAnsi="Arial Narrow"/>
          <w:sz w:val="18"/>
          <w:szCs w:val="18"/>
        </w:rPr>
        <w:t>; CI = confidence interval; FAS = full analysis set; PPS1 = per protocol set 1</w:t>
      </w:r>
    </w:p>
    <w:p w:rsidR="00F11530" w:rsidRPr="00051C8C" w:rsidRDefault="00F11530" w:rsidP="001D1522">
      <w:pPr>
        <w:pStyle w:val="BodyText"/>
        <w:ind w:left="720"/>
        <w:jc w:val="both"/>
        <w:rPr>
          <w:rFonts w:ascii="Arial Narrow" w:hAnsi="Arial Narrow"/>
          <w:bCs/>
          <w:sz w:val="18"/>
          <w:szCs w:val="18"/>
        </w:rPr>
      </w:pPr>
      <w:proofErr w:type="gramStart"/>
      <w:r w:rsidRPr="00051C8C">
        <w:rPr>
          <w:rFonts w:ascii="Arial Narrow" w:hAnsi="Arial Narrow"/>
          <w:sz w:val="18"/>
          <w:szCs w:val="18"/>
          <w:vertAlign w:val="superscript"/>
        </w:rPr>
        <w:t>a</w:t>
      </w:r>
      <w:r w:rsidRPr="00051C8C">
        <w:rPr>
          <w:rFonts w:ascii="Arial Narrow" w:hAnsi="Arial Narrow"/>
          <w:sz w:val="18"/>
          <w:szCs w:val="18"/>
        </w:rPr>
        <w:t>The</w:t>
      </w:r>
      <w:proofErr w:type="gramEnd"/>
      <w:r w:rsidRPr="00051C8C">
        <w:rPr>
          <w:rFonts w:ascii="Arial Narrow" w:hAnsi="Arial Narrow"/>
          <w:sz w:val="18"/>
          <w:szCs w:val="18"/>
        </w:rPr>
        <w:t xml:space="preserve"> adjusted treatment difference and its 95% CI were analysed by a non-parametric method using </w:t>
      </w:r>
      <w:proofErr w:type="spellStart"/>
      <w:r w:rsidRPr="00051C8C">
        <w:rPr>
          <w:rFonts w:ascii="Arial Narrow" w:hAnsi="Arial Narrow"/>
          <w:sz w:val="18"/>
          <w:szCs w:val="18"/>
        </w:rPr>
        <w:t>NParCov</w:t>
      </w:r>
      <w:proofErr w:type="spellEnd"/>
      <w:r w:rsidRPr="00051C8C">
        <w:rPr>
          <w:rFonts w:ascii="Arial Narrow" w:hAnsi="Arial Narrow"/>
          <w:sz w:val="18"/>
          <w:szCs w:val="18"/>
        </w:rPr>
        <w:t xml:space="preserve"> with baseline C-reactive protein (CRP) as a covariate, and stratified by region.</w:t>
      </w:r>
      <w:r w:rsidR="00047235" w:rsidRPr="00051C8C">
        <w:rPr>
          <w:rFonts w:ascii="Arial Narrow" w:hAnsi="Arial Narrow"/>
          <w:bCs/>
          <w:sz w:val="18"/>
          <w:szCs w:val="18"/>
        </w:rPr>
        <w:t xml:space="preserve"> Adjusted difference and CI results have been rounded to one decimal place for consistency.</w:t>
      </w:r>
    </w:p>
    <w:p w:rsidR="00F11530" w:rsidRPr="00051C8C" w:rsidRDefault="00F11530" w:rsidP="001D1522">
      <w:pPr>
        <w:pStyle w:val="BodyText"/>
        <w:ind w:left="142" w:firstLine="578"/>
        <w:jc w:val="both"/>
        <w:rPr>
          <w:rFonts w:ascii="Arial Narrow" w:hAnsi="Arial Narrow"/>
          <w:bCs/>
          <w:sz w:val="18"/>
          <w:szCs w:val="18"/>
        </w:rPr>
      </w:pPr>
      <w:proofErr w:type="gramStart"/>
      <w:r w:rsidRPr="00051C8C">
        <w:rPr>
          <w:rFonts w:ascii="Arial Narrow" w:hAnsi="Arial Narrow"/>
          <w:bCs/>
          <w:sz w:val="18"/>
          <w:szCs w:val="18"/>
          <w:vertAlign w:val="superscript"/>
        </w:rPr>
        <w:t>b</w:t>
      </w:r>
      <w:proofErr w:type="gramEnd"/>
      <w:r w:rsidRPr="00051C8C">
        <w:rPr>
          <w:rFonts w:ascii="Arial Narrow" w:hAnsi="Arial Narrow"/>
          <w:bCs/>
          <w:sz w:val="18"/>
          <w:szCs w:val="18"/>
        </w:rPr>
        <w:t xml:space="preserve"> </w:t>
      </w:r>
      <w:r w:rsidRPr="00051C8C">
        <w:rPr>
          <w:rFonts w:ascii="Arial Narrow" w:hAnsi="Arial Narrow"/>
          <w:sz w:val="18"/>
          <w:szCs w:val="18"/>
        </w:rPr>
        <w:t xml:space="preserve">Subjects with missing </w:t>
      </w:r>
      <w:r w:rsidR="00047235" w:rsidRPr="00051C8C">
        <w:rPr>
          <w:rFonts w:ascii="Arial Narrow" w:hAnsi="Arial Narrow"/>
          <w:sz w:val="18"/>
          <w:szCs w:val="18"/>
        </w:rPr>
        <w:t xml:space="preserve">ACR20, </w:t>
      </w:r>
      <w:r w:rsidRPr="00051C8C">
        <w:rPr>
          <w:rFonts w:ascii="Arial Narrow" w:hAnsi="Arial Narrow"/>
          <w:sz w:val="18"/>
          <w:szCs w:val="18"/>
        </w:rPr>
        <w:t xml:space="preserve">ACR50 or ACR70 response at week 30 were considered as non-responders at week 30. </w:t>
      </w:r>
    </w:p>
    <w:p w:rsidR="00F11530" w:rsidRPr="00051C8C" w:rsidRDefault="00F11530" w:rsidP="001D1522">
      <w:pPr>
        <w:pStyle w:val="TableFooter"/>
        <w:ind w:left="720"/>
      </w:pPr>
      <w:r w:rsidRPr="00051C8C">
        <w:t xml:space="preserve">Source: modified from Table B.6-1, p39 of the submission; </w:t>
      </w:r>
      <w:r w:rsidRPr="00051C8C">
        <w:rPr>
          <w:szCs w:val="18"/>
        </w:rPr>
        <w:t>Trial SB2-G31-RA 54-week CSR</w:t>
      </w:r>
      <w:r w:rsidRPr="00051C8C">
        <w:t xml:space="preserve">, Table 11-5, p78; modified from Table B.6-2, p41 of the submission; </w:t>
      </w:r>
      <w:r w:rsidRPr="00051C8C">
        <w:rPr>
          <w:szCs w:val="18"/>
        </w:rPr>
        <w:t>Trial SB2-G31-RA 54-week CSR</w:t>
      </w:r>
      <w:r w:rsidRPr="00051C8C">
        <w:t xml:space="preserve">, Table 11-9, p82; </w:t>
      </w:r>
      <w:r w:rsidRPr="00051C8C">
        <w:rPr>
          <w:szCs w:val="18"/>
        </w:rPr>
        <w:t>Trial SB2-G31-RA 54-week CSR</w:t>
      </w:r>
      <w:r w:rsidRPr="00051C8C">
        <w:t>, Table 11-11, p83</w:t>
      </w:r>
    </w:p>
    <w:p w:rsidR="00F11530" w:rsidRPr="00051C8C" w:rsidRDefault="00F11530" w:rsidP="00F11530">
      <w:pPr>
        <w:pStyle w:val="ListParagraph"/>
        <w:widowControl/>
      </w:pPr>
    </w:p>
    <w:p w:rsidR="00F11530" w:rsidRPr="00051C8C" w:rsidRDefault="00F11530" w:rsidP="00F11530">
      <w:pPr>
        <w:pStyle w:val="ListParagraph"/>
        <w:widowControl/>
        <w:numPr>
          <w:ilvl w:val="1"/>
          <w:numId w:val="5"/>
        </w:numPr>
      </w:pPr>
      <w:r w:rsidRPr="00051C8C">
        <w:rPr>
          <w:szCs w:val="22"/>
        </w:rPr>
        <w:t xml:space="preserve">The trial results for the ACR20, ACR50 and ACR70 response at week 54 in the FAS are summarised in table </w:t>
      </w:r>
      <w:r w:rsidR="006402C6" w:rsidRPr="00051C8C">
        <w:rPr>
          <w:szCs w:val="22"/>
        </w:rPr>
        <w:t>4</w:t>
      </w:r>
      <w:r w:rsidRPr="00051C8C">
        <w:rPr>
          <w:szCs w:val="22"/>
        </w:rPr>
        <w:t xml:space="preserve">. </w:t>
      </w:r>
    </w:p>
    <w:p w:rsidR="00F11530" w:rsidRPr="00051C8C" w:rsidRDefault="00F11530" w:rsidP="00F11530">
      <w:pPr>
        <w:pStyle w:val="ListParagraph"/>
        <w:widowControl/>
        <w:rPr>
          <w:szCs w:val="22"/>
        </w:rPr>
      </w:pPr>
    </w:p>
    <w:p w:rsidR="0067301F" w:rsidRPr="00051C8C" w:rsidRDefault="0067301F" w:rsidP="001D1522">
      <w:pPr>
        <w:pStyle w:val="Caption"/>
        <w:keepNext/>
        <w:ind w:firstLine="720"/>
      </w:pPr>
      <w:r w:rsidRPr="00051C8C">
        <w:t xml:space="preserve">Table </w:t>
      </w:r>
      <w:r w:rsidR="00826E28">
        <w:rPr>
          <w:noProof/>
        </w:rPr>
        <w:t>4</w:t>
      </w:r>
      <w:r w:rsidRPr="00051C8C">
        <w:t>: Results of ACR20, ACR50 and ACR70 response at week 54 in Trial SB2-G31-RA</w:t>
      </w:r>
    </w:p>
    <w:tbl>
      <w:tblPr>
        <w:tblStyle w:val="TableGrid"/>
        <w:tblW w:w="4421" w:type="pct"/>
        <w:tblInd w:w="817" w:type="dxa"/>
        <w:tblLook w:val="04A0" w:firstRow="1" w:lastRow="0" w:firstColumn="1" w:lastColumn="0" w:noHBand="0" w:noVBand="1"/>
        <w:tblCaption w:val="Table 4 - Results of ACR responses at week 54"/>
        <w:tblDescription w:val="Summary of ACR20, ACR50 and ACR70 outcomes at week 54 in Trial SB2-G31-RA"/>
      </w:tblPr>
      <w:tblGrid>
        <w:gridCol w:w="1276"/>
        <w:gridCol w:w="2126"/>
        <w:gridCol w:w="2099"/>
        <w:gridCol w:w="2671"/>
      </w:tblGrid>
      <w:tr w:rsidR="00F11530" w:rsidRPr="00051C8C" w:rsidTr="001D1522">
        <w:trPr>
          <w:tblHeader/>
        </w:trPr>
        <w:tc>
          <w:tcPr>
            <w:tcW w:w="781" w:type="pct"/>
          </w:tcPr>
          <w:p w:rsidR="00F11530" w:rsidRPr="00051C8C" w:rsidRDefault="00F11530" w:rsidP="00F11530">
            <w:pPr>
              <w:rPr>
                <w:rFonts w:ascii="Arial Narrow" w:hAnsi="Arial Narrow"/>
                <w:b/>
                <w:sz w:val="20"/>
              </w:rPr>
            </w:pPr>
            <w:r w:rsidRPr="00051C8C">
              <w:rPr>
                <w:rFonts w:ascii="Arial Narrow" w:hAnsi="Arial Narrow"/>
                <w:b/>
                <w:sz w:val="20"/>
              </w:rPr>
              <w:t>Outcome</w:t>
            </w:r>
          </w:p>
        </w:tc>
        <w:tc>
          <w:tcPr>
            <w:tcW w:w="1301" w:type="pct"/>
          </w:tcPr>
          <w:p w:rsidR="00F11530" w:rsidRPr="00BC5EA2" w:rsidRDefault="00D543A5" w:rsidP="00F11530">
            <w:pPr>
              <w:jc w:val="center"/>
              <w:rPr>
                <w:rFonts w:ascii="Arial Narrow" w:hAnsi="Arial Narrow"/>
                <w:b/>
                <w:sz w:val="20"/>
              </w:rPr>
            </w:pPr>
            <w:proofErr w:type="spellStart"/>
            <w:r>
              <w:rPr>
                <w:rFonts w:ascii="Arial Narrow" w:hAnsi="Arial Narrow"/>
                <w:b/>
                <w:sz w:val="20"/>
              </w:rPr>
              <w:t>Renflexis</w:t>
            </w:r>
            <w:proofErr w:type="spellEnd"/>
          </w:p>
          <w:p w:rsidR="00F11530" w:rsidRPr="00F1715F" w:rsidRDefault="00F11530" w:rsidP="00F11530">
            <w:pPr>
              <w:jc w:val="center"/>
              <w:rPr>
                <w:rFonts w:ascii="Arial Narrow" w:hAnsi="Arial Narrow"/>
                <w:b/>
                <w:sz w:val="20"/>
              </w:rPr>
            </w:pPr>
            <w:proofErr w:type="gramStart"/>
            <w:r w:rsidRPr="00F1715F">
              <w:rPr>
                <w:rFonts w:ascii="Arial Narrow" w:hAnsi="Arial Narrow"/>
                <w:b/>
                <w:sz w:val="20"/>
              </w:rPr>
              <w:t>n/N</w:t>
            </w:r>
            <w:proofErr w:type="gramEnd"/>
            <w:r w:rsidRPr="00F1715F">
              <w:rPr>
                <w:rFonts w:ascii="Arial Narrow" w:hAnsi="Arial Narrow"/>
                <w:b/>
                <w:sz w:val="20"/>
              </w:rPr>
              <w:t xml:space="preserve"> (%)</w:t>
            </w:r>
          </w:p>
        </w:tc>
        <w:tc>
          <w:tcPr>
            <w:tcW w:w="1284" w:type="pct"/>
          </w:tcPr>
          <w:p w:rsidR="00F11530" w:rsidRPr="00F1715F" w:rsidRDefault="00F11530" w:rsidP="00F11530">
            <w:pPr>
              <w:jc w:val="center"/>
              <w:rPr>
                <w:rFonts w:ascii="Arial Narrow" w:hAnsi="Arial Narrow"/>
                <w:b/>
                <w:sz w:val="20"/>
              </w:rPr>
            </w:pPr>
            <w:r w:rsidRPr="00F1715F">
              <w:rPr>
                <w:rFonts w:ascii="Arial Narrow" w:hAnsi="Arial Narrow"/>
                <w:b/>
                <w:sz w:val="20"/>
              </w:rPr>
              <w:t>Remicade</w:t>
            </w:r>
          </w:p>
          <w:p w:rsidR="00F11530" w:rsidRPr="00F1715F" w:rsidRDefault="00F11530" w:rsidP="00F11530">
            <w:pPr>
              <w:jc w:val="center"/>
              <w:rPr>
                <w:rFonts w:ascii="Arial Narrow" w:hAnsi="Arial Narrow"/>
                <w:b/>
                <w:sz w:val="20"/>
              </w:rPr>
            </w:pPr>
            <w:proofErr w:type="gramStart"/>
            <w:r w:rsidRPr="00F1715F">
              <w:rPr>
                <w:rFonts w:ascii="Arial Narrow" w:hAnsi="Arial Narrow"/>
                <w:b/>
                <w:sz w:val="20"/>
              </w:rPr>
              <w:t>n/N</w:t>
            </w:r>
            <w:proofErr w:type="gramEnd"/>
            <w:r w:rsidRPr="00F1715F">
              <w:rPr>
                <w:rFonts w:ascii="Arial Narrow" w:hAnsi="Arial Narrow"/>
                <w:b/>
                <w:sz w:val="20"/>
              </w:rPr>
              <w:t xml:space="preserve"> (%)</w:t>
            </w:r>
          </w:p>
        </w:tc>
        <w:tc>
          <w:tcPr>
            <w:tcW w:w="1633" w:type="pct"/>
            <w:vAlign w:val="center"/>
          </w:tcPr>
          <w:p w:rsidR="00F11530" w:rsidRPr="00F1715F" w:rsidRDefault="00F11530" w:rsidP="00F11530">
            <w:pPr>
              <w:jc w:val="center"/>
              <w:rPr>
                <w:rFonts w:ascii="Arial Narrow" w:hAnsi="Arial Narrow"/>
                <w:b/>
                <w:sz w:val="20"/>
                <w:vertAlign w:val="superscript"/>
              </w:rPr>
            </w:pPr>
            <w:r w:rsidRPr="00F1715F">
              <w:rPr>
                <w:rFonts w:ascii="Arial Narrow" w:hAnsi="Arial Narrow"/>
                <w:b/>
                <w:sz w:val="20"/>
              </w:rPr>
              <w:t>Adjusted difference</w:t>
            </w:r>
            <w:r w:rsidRPr="00F1715F">
              <w:rPr>
                <w:rFonts w:ascii="Arial Narrow" w:hAnsi="Arial Narrow"/>
                <w:b/>
                <w:sz w:val="20"/>
                <w:vertAlign w:val="superscript"/>
              </w:rPr>
              <w:t>a</w:t>
            </w:r>
          </w:p>
          <w:p w:rsidR="00F11530" w:rsidRPr="008C4A7D" w:rsidRDefault="00F11530" w:rsidP="00F11530">
            <w:pPr>
              <w:jc w:val="center"/>
              <w:rPr>
                <w:rFonts w:ascii="Arial Narrow" w:hAnsi="Arial Narrow"/>
                <w:b/>
                <w:sz w:val="20"/>
              </w:rPr>
            </w:pPr>
            <w:r w:rsidRPr="008C4A7D">
              <w:rPr>
                <w:rFonts w:ascii="Arial Narrow" w:hAnsi="Arial Narrow"/>
                <w:b/>
                <w:sz w:val="20"/>
              </w:rPr>
              <w:t>95% CI</w:t>
            </w:r>
          </w:p>
        </w:tc>
      </w:tr>
      <w:tr w:rsidR="00047235" w:rsidRPr="00051C8C" w:rsidTr="001D1522">
        <w:tc>
          <w:tcPr>
            <w:tcW w:w="5000" w:type="pct"/>
            <w:gridSpan w:val="4"/>
            <w:shd w:val="clear" w:color="auto" w:fill="F2F2F2" w:themeFill="background1" w:themeFillShade="F2"/>
          </w:tcPr>
          <w:p w:rsidR="00047235" w:rsidRPr="0022792B" w:rsidRDefault="00047235" w:rsidP="00047235">
            <w:pPr>
              <w:jc w:val="left"/>
              <w:rPr>
                <w:rFonts w:ascii="Arial Narrow" w:hAnsi="Arial Narrow"/>
                <w:sz w:val="20"/>
              </w:rPr>
            </w:pPr>
            <w:r w:rsidRPr="0022792B">
              <w:rPr>
                <w:rFonts w:ascii="Arial Narrow" w:hAnsi="Arial Narrow"/>
                <w:b/>
                <w:sz w:val="20"/>
              </w:rPr>
              <w:t>ACR20</w:t>
            </w:r>
          </w:p>
        </w:tc>
      </w:tr>
      <w:tr w:rsidR="00F11530" w:rsidRPr="00051C8C" w:rsidTr="001D1522">
        <w:tc>
          <w:tcPr>
            <w:tcW w:w="781" w:type="pct"/>
          </w:tcPr>
          <w:p w:rsidR="00F11530" w:rsidRPr="00900DC7" w:rsidRDefault="00F11530" w:rsidP="00F11530">
            <w:pPr>
              <w:ind w:left="160"/>
              <w:rPr>
                <w:rFonts w:ascii="Arial Narrow" w:hAnsi="Arial Narrow"/>
                <w:sz w:val="20"/>
                <w:vertAlign w:val="superscript"/>
              </w:rPr>
            </w:pPr>
            <w:proofErr w:type="spellStart"/>
            <w:r w:rsidRPr="00051C8C">
              <w:rPr>
                <w:rFonts w:ascii="Arial Narrow" w:hAnsi="Arial Narrow"/>
                <w:sz w:val="20"/>
              </w:rPr>
              <w:t>FAS</w:t>
            </w:r>
            <w:r w:rsidRPr="00051C8C">
              <w:rPr>
                <w:rFonts w:ascii="Arial Narrow" w:hAnsi="Arial Narrow"/>
                <w:sz w:val="20"/>
                <w:vertAlign w:val="superscript"/>
              </w:rPr>
              <w:t>b</w:t>
            </w:r>
            <w:proofErr w:type="spellEnd"/>
          </w:p>
        </w:tc>
        <w:tc>
          <w:tcPr>
            <w:tcW w:w="1301"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147/290 (50.7%)</w:t>
            </w:r>
          </w:p>
        </w:tc>
        <w:tc>
          <w:tcPr>
            <w:tcW w:w="1284"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154/293 (52.6%)</w:t>
            </w:r>
          </w:p>
        </w:tc>
        <w:tc>
          <w:tcPr>
            <w:tcW w:w="1633"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-1.2% (-9.2%, 6.9%)</w:t>
            </w:r>
          </w:p>
        </w:tc>
      </w:tr>
      <w:tr w:rsidR="00047235" w:rsidRPr="00051C8C" w:rsidTr="001D1522">
        <w:tc>
          <w:tcPr>
            <w:tcW w:w="5000" w:type="pct"/>
            <w:gridSpan w:val="4"/>
            <w:shd w:val="clear" w:color="auto" w:fill="F2F2F2" w:themeFill="background1" w:themeFillShade="F2"/>
          </w:tcPr>
          <w:p w:rsidR="00047235" w:rsidRPr="00900DC7" w:rsidRDefault="00047235" w:rsidP="00047235">
            <w:pPr>
              <w:jc w:val="left"/>
              <w:rPr>
                <w:rFonts w:ascii="Arial Narrow" w:hAnsi="Arial Narrow"/>
                <w:sz w:val="20"/>
              </w:rPr>
            </w:pPr>
            <w:r w:rsidRPr="00051C8C">
              <w:rPr>
                <w:rFonts w:ascii="Arial Narrow" w:hAnsi="Arial Narrow"/>
                <w:b/>
                <w:sz w:val="20"/>
              </w:rPr>
              <w:t>ACR50</w:t>
            </w:r>
          </w:p>
        </w:tc>
      </w:tr>
      <w:tr w:rsidR="00F11530" w:rsidRPr="00051C8C" w:rsidTr="001D1522">
        <w:tc>
          <w:tcPr>
            <w:tcW w:w="781" w:type="pct"/>
          </w:tcPr>
          <w:p w:rsidR="00F11530" w:rsidRPr="00900DC7" w:rsidRDefault="00F11530" w:rsidP="00F11530">
            <w:pPr>
              <w:ind w:left="160"/>
              <w:rPr>
                <w:rFonts w:ascii="Arial Narrow" w:hAnsi="Arial Narrow"/>
                <w:sz w:val="20"/>
                <w:vertAlign w:val="superscript"/>
              </w:rPr>
            </w:pPr>
            <w:proofErr w:type="spellStart"/>
            <w:r w:rsidRPr="00051C8C">
              <w:rPr>
                <w:rFonts w:ascii="Arial Narrow" w:hAnsi="Arial Narrow"/>
                <w:sz w:val="20"/>
              </w:rPr>
              <w:t>FAS</w:t>
            </w:r>
            <w:r w:rsidRPr="00051C8C">
              <w:rPr>
                <w:rFonts w:ascii="Arial Narrow" w:hAnsi="Arial Narrow"/>
                <w:sz w:val="20"/>
                <w:vertAlign w:val="superscript"/>
              </w:rPr>
              <w:t>b</w:t>
            </w:r>
            <w:proofErr w:type="spellEnd"/>
          </w:p>
        </w:tc>
        <w:tc>
          <w:tcPr>
            <w:tcW w:w="1301"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93/290 (32.1%)</w:t>
            </w:r>
          </w:p>
        </w:tc>
        <w:tc>
          <w:tcPr>
            <w:tcW w:w="1284"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87/293 (29.7%)</w:t>
            </w:r>
          </w:p>
        </w:tc>
        <w:tc>
          <w:tcPr>
            <w:tcW w:w="1633"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3.1% (-4.3%, 10.4%)</w:t>
            </w:r>
          </w:p>
        </w:tc>
      </w:tr>
      <w:tr w:rsidR="00047235" w:rsidRPr="00051C8C" w:rsidTr="001D1522">
        <w:tc>
          <w:tcPr>
            <w:tcW w:w="5000" w:type="pct"/>
            <w:gridSpan w:val="4"/>
            <w:shd w:val="clear" w:color="auto" w:fill="F2F2F2" w:themeFill="background1" w:themeFillShade="F2"/>
          </w:tcPr>
          <w:p w:rsidR="00047235" w:rsidRPr="00900DC7" w:rsidRDefault="00625D54" w:rsidP="00625D54">
            <w:pPr>
              <w:jc w:val="left"/>
              <w:rPr>
                <w:rFonts w:ascii="Arial Narrow" w:hAnsi="Arial Narrow"/>
                <w:sz w:val="20"/>
              </w:rPr>
            </w:pPr>
            <w:r w:rsidRPr="00051C8C">
              <w:rPr>
                <w:rFonts w:ascii="Arial Narrow" w:hAnsi="Arial Narrow"/>
                <w:b/>
                <w:sz w:val="20"/>
              </w:rPr>
              <w:t>ACR70</w:t>
            </w:r>
          </w:p>
        </w:tc>
      </w:tr>
      <w:tr w:rsidR="00F11530" w:rsidRPr="00051C8C" w:rsidTr="001D1522">
        <w:tc>
          <w:tcPr>
            <w:tcW w:w="781" w:type="pct"/>
          </w:tcPr>
          <w:p w:rsidR="00F11530" w:rsidRPr="00900DC7" w:rsidRDefault="00F11530" w:rsidP="00F11530">
            <w:pPr>
              <w:ind w:left="160"/>
              <w:rPr>
                <w:rFonts w:ascii="Arial Narrow" w:hAnsi="Arial Narrow"/>
                <w:sz w:val="20"/>
                <w:vertAlign w:val="superscript"/>
              </w:rPr>
            </w:pPr>
            <w:proofErr w:type="spellStart"/>
            <w:r w:rsidRPr="00051C8C">
              <w:rPr>
                <w:rFonts w:ascii="Arial Narrow" w:hAnsi="Arial Narrow"/>
                <w:sz w:val="20"/>
              </w:rPr>
              <w:t>FAS</w:t>
            </w:r>
            <w:r w:rsidRPr="00051C8C">
              <w:rPr>
                <w:rFonts w:ascii="Arial Narrow" w:hAnsi="Arial Narrow"/>
                <w:sz w:val="20"/>
                <w:vertAlign w:val="superscript"/>
              </w:rPr>
              <w:t>b</w:t>
            </w:r>
            <w:proofErr w:type="spellEnd"/>
          </w:p>
        </w:tc>
        <w:tc>
          <w:tcPr>
            <w:tcW w:w="1301"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53/290 (18.3%)</w:t>
            </w:r>
          </w:p>
        </w:tc>
        <w:tc>
          <w:tcPr>
            <w:tcW w:w="1284"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52/293 (17.7%)</w:t>
            </w:r>
          </w:p>
        </w:tc>
        <w:tc>
          <w:tcPr>
            <w:tcW w:w="1633" w:type="pct"/>
          </w:tcPr>
          <w:p w:rsidR="00F11530" w:rsidRPr="00900DC7" w:rsidRDefault="00F11530" w:rsidP="00F11530">
            <w:pPr>
              <w:spacing w:before="40" w:after="20"/>
              <w:jc w:val="center"/>
              <w:rPr>
                <w:rFonts w:ascii="Arial Narrow" w:hAnsi="Arial Narrow"/>
                <w:sz w:val="20"/>
              </w:rPr>
            </w:pPr>
            <w:r w:rsidRPr="00051C8C">
              <w:rPr>
                <w:rFonts w:ascii="Arial Narrow" w:hAnsi="Arial Narrow"/>
                <w:sz w:val="20"/>
              </w:rPr>
              <w:t>1.1% (-5.1%, 7.3%)</w:t>
            </w:r>
          </w:p>
        </w:tc>
      </w:tr>
    </w:tbl>
    <w:p w:rsidR="00F11530" w:rsidRPr="00051C8C" w:rsidRDefault="00F11530" w:rsidP="001D1522">
      <w:pPr>
        <w:pStyle w:val="BodyText"/>
        <w:ind w:left="142" w:firstLine="578"/>
        <w:rPr>
          <w:rFonts w:ascii="Arial Narrow" w:eastAsia="Malgun Gothic" w:hAnsi="Arial Narrow"/>
          <w:sz w:val="18"/>
          <w:szCs w:val="18"/>
        </w:rPr>
      </w:pPr>
      <w:r w:rsidRPr="00051C8C">
        <w:rPr>
          <w:rFonts w:ascii="Arial Narrow" w:eastAsia="Malgun Gothic" w:hAnsi="Arial Narrow"/>
          <w:sz w:val="18"/>
          <w:szCs w:val="18"/>
        </w:rPr>
        <w:t xml:space="preserve">ACR = </w:t>
      </w:r>
      <w:r w:rsidRPr="00051C8C">
        <w:rPr>
          <w:rFonts w:ascii="Arial Narrow" w:hAnsi="Arial Narrow"/>
          <w:sz w:val="18"/>
          <w:szCs w:val="18"/>
        </w:rPr>
        <w:t>American College of Rheumatology</w:t>
      </w:r>
      <w:r w:rsidRPr="00051C8C">
        <w:rPr>
          <w:rFonts w:ascii="Arial Narrow" w:eastAsia="Malgun Gothic" w:hAnsi="Arial Narrow"/>
          <w:sz w:val="18"/>
          <w:szCs w:val="18"/>
        </w:rPr>
        <w:t>; CI = confidence interval; FAS = full analysis set</w:t>
      </w:r>
    </w:p>
    <w:p w:rsidR="00F11530" w:rsidRPr="00051C8C" w:rsidRDefault="00F11530" w:rsidP="001D1522">
      <w:pPr>
        <w:pStyle w:val="BodyText"/>
        <w:ind w:left="720"/>
        <w:rPr>
          <w:rFonts w:ascii="Arial Narrow" w:hAnsi="Arial Narrow"/>
          <w:sz w:val="18"/>
          <w:szCs w:val="18"/>
        </w:rPr>
      </w:pPr>
      <w:proofErr w:type="gramStart"/>
      <w:r w:rsidRPr="00051C8C">
        <w:rPr>
          <w:rFonts w:ascii="Arial Narrow" w:hAnsi="Arial Narrow"/>
          <w:sz w:val="18"/>
          <w:szCs w:val="18"/>
          <w:vertAlign w:val="superscript"/>
        </w:rPr>
        <w:t>a</w:t>
      </w:r>
      <w:r w:rsidRPr="00051C8C">
        <w:rPr>
          <w:rFonts w:ascii="Arial Narrow" w:hAnsi="Arial Narrow"/>
          <w:sz w:val="18"/>
          <w:szCs w:val="18"/>
        </w:rPr>
        <w:t>The</w:t>
      </w:r>
      <w:proofErr w:type="gramEnd"/>
      <w:r w:rsidRPr="00051C8C">
        <w:rPr>
          <w:rFonts w:ascii="Arial Narrow" w:hAnsi="Arial Narrow"/>
          <w:sz w:val="18"/>
          <w:szCs w:val="18"/>
        </w:rPr>
        <w:t xml:space="preserve"> adjusted treatment difference and its 95% CI were analysed by a non-parametric method using </w:t>
      </w:r>
      <w:proofErr w:type="spellStart"/>
      <w:r w:rsidRPr="00051C8C">
        <w:rPr>
          <w:rFonts w:ascii="Arial Narrow" w:hAnsi="Arial Narrow"/>
          <w:sz w:val="18"/>
          <w:szCs w:val="18"/>
        </w:rPr>
        <w:t>NParCov</w:t>
      </w:r>
      <w:proofErr w:type="spellEnd"/>
      <w:r w:rsidRPr="00051C8C">
        <w:rPr>
          <w:rFonts w:ascii="Arial Narrow" w:hAnsi="Arial Narrow"/>
          <w:sz w:val="18"/>
          <w:szCs w:val="18"/>
        </w:rPr>
        <w:t xml:space="preserve"> with baseline C-reactive protein (CRP) as a covariate, and stratified by region.</w:t>
      </w:r>
      <w:r w:rsidR="00047235" w:rsidRPr="00051C8C">
        <w:rPr>
          <w:rFonts w:ascii="Arial Narrow" w:hAnsi="Arial Narrow"/>
          <w:sz w:val="18"/>
          <w:szCs w:val="18"/>
        </w:rPr>
        <w:t xml:space="preserve"> </w:t>
      </w:r>
      <w:r w:rsidR="00047235" w:rsidRPr="00051C8C">
        <w:rPr>
          <w:rFonts w:ascii="Arial Narrow" w:hAnsi="Arial Narrow"/>
          <w:bCs/>
          <w:sz w:val="18"/>
          <w:szCs w:val="18"/>
        </w:rPr>
        <w:t>Adjusted difference and CI results have been rounded to one decimal place for consistency.</w:t>
      </w:r>
    </w:p>
    <w:p w:rsidR="00047235" w:rsidRPr="00051C8C" w:rsidRDefault="00F11530" w:rsidP="001D1522">
      <w:pPr>
        <w:pStyle w:val="BodyText"/>
        <w:ind w:left="142" w:firstLine="578"/>
        <w:rPr>
          <w:rFonts w:ascii="Arial Narrow" w:hAnsi="Arial Narrow"/>
          <w:sz w:val="18"/>
          <w:szCs w:val="18"/>
        </w:rPr>
      </w:pPr>
      <w:proofErr w:type="gramStart"/>
      <w:r w:rsidRPr="00051C8C">
        <w:rPr>
          <w:rFonts w:ascii="Arial Narrow" w:hAnsi="Arial Narrow"/>
          <w:sz w:val="18"/>
          <w:szCs w:val="18"/>
          <w:vertAlign w:val="superscript"/>
        </w:rPr>
        <w:t>b</w:t>
      </w:r>
      <w:proofErr w:type="gramEnd"/>
      <w:r w:rsidRPr="00051C8C">
        <w:rPr>
          <w:rFonts w:ascii="Arial Narrow" w:hAnsi="Arial Narrow"/>
          <w:sz w:val="18"/>
          <w:szCs w:val="18"/>
        </w:rPr>
        <w:t xml:space="preserve"> Subjects with missing ACR20, ACR50 or ACR70 response at week 54 were considered as non-responders at week 54.</w:t>
      </w:r>
    </w:p>
    <w:p w:rsidR="00F11530" w:rsidRPr="00051C8C" w:rsidRDefault="00F11530" w:rsidP="001D1522">
      <w:pPr>
        <w:pStyle w:val="TableFooter"/>
        <w:ind w:left="720"/>
      </w:pPr>
      <w:r w:rsidRPr="00051C8C">
        <w:t xml:space="preserve">Source: modified from Table B.6-3, p43 of the submission; </w:t>
      </w:r>
      <w:r w:rsidRPr="00051C8C">
        <w:rPr>
          <w:szCs w:val="18"/>
        </w:rPr>
        <w:t>Trial SB2-G31-RA 54-week CSR</w:t>
      </w:r>
      <w:r w:rsidRPr="00051C8C">
        <w:t>, Table 11-7, p81, Table 11-10, p82;</w:t>
      </w:r>
      <w:r w:rsidRPr="00051C8C">
        <w:rPr>
          <w:szCs w:val="18"/>
        </w:rPr>
        <w:t xml:space="preserve"> Trial SB2-G31-RA 54-week CSR</w:t>
      </w:r>
      <w:r w:rsidRPr="00051C8C">
        <w:t>, Table 11-8, p81, Table 11-11, p83</w:t>
      </w:r>
    </w:p>
    <w:p w:rsidR="00F11530" w:rsidRPr="00051C8C" w:rsidRDefault="00F11530" w:rsidP="00F11530">
      <w:pPr>
        <w:widowControl/>
      </w:pPr>
    </w:p>
    <w:p w:rsidR="00F11530" w:rsidRPr="00051C8C" w:rsidRDefault="00F11530" w:rsidP="00F11530">
      <w:pPr>
        <w:pStyle w:val="ListParagraph"/>
        <w:widowControl/>
        <w:numPr>
          <w:ilvl w:val="1"/>
          <w:numId w:val="5"/>
        </w:numPr>
        <w:rPr>
          <w:szCs w:val="22"/>
        </w:rPr>
      </w:pPr>
      <w:r w:rsidRPr="00051C8C">
        <w:rPr>
          <w:szCs w:val="22"/>
        </w:rPr>
        <w:t>At both Week 30 and Week 54, the proportions of patients achi</w:t>
      </w:r>
      <w:r w:rsidR="002F11A0" w:rsidRPr="00051C8C">
        <w:rPr>
          <w:szCs w:val="22"/>
        </w:rPr>
        <w:t>e</w:t>
      </w:r>
      <w:r w:rsidRPr="00051C8C">
        <w:rPr>
          <w:szCs w:val="22"/>
        </w:rPr>
        <w:t xml:space="preserve">ving </w:t>
      </w:r>
      <w:r w:rsidR="002F11A0" w:rsidRPr="00051C8C">
        <w:rPr>
          <w:szCs w:val="22"/>
        </w:rPr>
        <w:t>ACR20, ACR50 or ACR70</w:t>
      </w:r>
      <w:r w:rsidRPr="00051C8C">
        <w:rPr>
          <w:szCs w:val="22"/>
        </w:rPr>
        <w:t xml:space="preserve"> were similar in patients treated with</w:t>
      </w:r>
      <w:r w:rsidR="003A1FE6" w:rsidRPr="00051C8C">
        <w:rPr>
          <w:szCs w:val="22"/>
        </w:rPr>
        <w:t xml:space="preserve"> either</w:t>
      </w:r>
      <w:r w:rsidRPr="00051C8C">
        <w:rPr>
          <w:szCs w:val="22"/>
        </w:rPr>
        <w:t xml:space="preserve"> </w:t>
      </w:r>
      <w:proofErr w:type="spellStart"/>
      <w:r w:rsidR="001539AA" w:rsidRPr="00051C8C">
        <w:rPr>
          <w:szCs w:val="22"/>
        </w:rPr>
        <w:t>Renflexis</w:t>
      </w:r>
      <w:proofErr w:type="spellEnd"/>
      <w:r w:rsidR="001539AA" w:rsidRPr="00051C8C">
        <w:rPr>
          <w:szCs w:val="22"/>
        </w:rPr>
        <w:t xml:space="preserve"> or</w:t>
      </w:r>
      <w:r w:rsidRPr="00051C8C">
        <w:rPr>
          <w:szCs w:val="22"/>
        </w:rPr>
        <w:t xml:space="preserve"> </w:t>
      </w:r>
      <w:proofErr w:type="spellStart"/>
      <w:r w:rsidRPr="00051C8C">
        <w:rPr>
          <w:szCs w:val="22"/>
        </w:rPr>
        <w:t>Remicade</w:t>
      </w:r>
      <w:proofErr w:type="spellEnd"/>
      <w:r w:rsidRPr="00051C8C">
        <w:rPr>
          <w:szCs w:val="22"/>
        </w:rPr>
        <w:t>. The 95% confidence interval for the adjusted difference in treatment effect at both week 30 and week 54 between the groups was contained within the pre-specified 15% equivalence margin.</w:t>
      </w:r>
    </w:p>
    <w:p w:rsidR="00691E0B" w:rsidRPr="00051C8C" w:rsidRDefault="00691E0B" w:rsidP="00691E0B">
      <w:pPr>
        <w:pStyle w:val="PBACHeading1"/>
        <w:numPr>
          <w:ilvl w:val="0"/>
          <w:numId w:val="0"/>
        </w:numPr>
        <w:ind w:left="720" w:hanging="720"/>
      </w:pPr>
    </w:p>
    <w:p w:rsidR="00691E0B" w:rsidRPr="00051C8C" w:rsidRDefault="00691E0B" w:rsidP="00F11530">
      <w:pPr>
        <w:pStyle w:val="ListParagraph"/>
        <w:widowControl/>
        <w:numPr>
          <w:ilvl w:val="1"/>
          <w:numId w:val="5"/>
        </w:numPr>
        <w:rPr>
          <w:szCs w:val="22"/>
        </w:rPr>
      </w:pPr>
      <w:r w:rsidRPr="00051C8C">
        <w:rPr>
          <w:szCs w:val="22"/>
        </w:rPr>
        <w:t>The trial results for the ACR20, ACR50 and ACR70 response during the transition</w:t>
      </w:r>
      <w:r w:rsidR="00BF6140">
        <w:rPr>
          <w:szCs w:val="22"/>
        </w:rPr>
        <w:noBreakHyphen/>
      </w:r>
      <w:r w:rsidRPr="00051C8C">
        <w:rPr>
          <w:szCs w:val="22"/>
        </w:rPr>
        <w:t>extension period (weeks 54 to 78) are summarised in table 5.</w:t>
      </w:r>
    </w:p>
    <w:p w:rsidR="00691E0B" w:rsidRPr="001016C5" w:rsidRDefault="00691E0B" w:rsidP="001016C5">
      <w:pPr>
        <w:pStyle w:val="PBACHeading1"/>
        <w:numPr>
          <w:ilvl w:val="0"/>
          <w:numId w:val="0"/>
        </w:numPr>
      </w:pPr>
    </w:p>
    <w:p w:rsidR="00964A4A" w:rsidRDefault="00964A4A">
      <w:pPr>
        <w:widowControl/>
        <w:jc w:val="left"/>
        <w:rPr>
          <w:rFonts w:ascii="Arial Narrow" w:hAnsi="Arial Narrow"/>
          <w:b/>
          <w:bCs/>
          <w:sz w:val="20"/>
          <w:szCs w:val="18"/>
        </w:rPr>
      </w:pPr>
      <w:r>
        <w:br w:type="page"/>
      </w:r>
    </w:p>
    <w:p w:rsidR="00583884" w:rsidRPr="00051C8C" w:rsidRDefault="00583884" w:rsidP="001D1522">
      <w:pPr>
        <w:pStyle w:val="Caption"/>
        <w:keepNext/>
        <w:ind w:firstLine="720"/>
      </w:pPr>
      <w:r w:rsidRPr="00051C8C">
        <w:lastRenderedPageBreak/>
        <w:t xml:space="preserve">Table </w:t>
      </w:r>
      <w:r w:rsidR="00826E28">
        <w:rPr>
          <w:noProof/>
        </w:rPr>
        <w:t>5</w:t>
      </w:r>
      <w:r w:rsidRPr="00051C8C">
        <w:t xml:space="preserve"> ACR20, ACR50 and ACR70 response rates by visit from week 54 to week 78</w:t>
      </w:r>
    </w:p>
    <w:tbl>
      <w:tblPr>
        <w:tblStyle w:val="TableGrid"/>
        <w:tblW w:w="0" w:type="auto"/>
        <w:tblInd w:w="817" w:type="dxa"/>
        <w:tblLook w:val="04A0" w:firstRow="1" w:lastRow="0" w:firstColumn="1" w:lastColumn="0" w:noHBand="0" w:noVBand="1"/>
        <w:tblCaption w:val="Table 5 ACR20, ACR50 and ACR70 response rates by visit from week 54 to week 78"/>
        <w:tblDescription w:val="Table 5 ACR20, ACR50 and ACR70 response rates by visit from week 54 to week 78"/>
      </w:tblPr>
      <w:tblGrid>
        <w:gridCol w:w="891"/>
        <w:gridCol w:w="1156"/>
        <w:gridCol w:w="990"/>
        <w:gridCol w:w="954"/>
        <w:gridCol w:w="1142"/>
        <w:gridCol w:w="1185"/>
        <w:gridCol w:w="1153"/>
        <w:gridCol w:w="954"/>
      </w:tblGrid>
      <w:tr w:rsidR="002F6AE9" w:rsidRPr="00051C8C" w:rsidTr="00947E17">
        <w:trPr>
          <w:tblHeader/>
        </w:trPr>
        <w:tc>
          <w:tcPr>
            <w:tcW w:w="629" w:type="dxa"/>
            <w:tcBorders>
              <w:top w:val="single" w:sz="4" w:space="0" w:color="auto"/>
              <w:left w:val="single" w:sz="4" w:space="0" w:color="auto"/>
              <w:bottom w:val="single" w:sz="4" w:space="0" w:color="auto"/>
              <w:right w:val="single" w:sz="4" w:space="0" w:color="auto"/>
            </w:tcBorders>
            <w:vAlign w:val="center"/>
          </w:tcPr>
          <w:p w:rsidR="002F6AE9" w:rsidRPr="00900DC7" w:rsidRDefault="002F6AE9" w:rsidP="0022792B">
            <w:pPr>
              <w:rPr>
                <w:rFonts w:ascii="Arial Narrow" w:hAnsi="Arial Narrow"/>
                <w:b/>
                <w:bCs/>
                <w:color w:val="000000"/>
                <w:sz w:val="20"/>
              </w:rPr>
            </w:pPr>
          </w:p>
        </w:tc>
        <w:tc>
          <w:tcPr>
            <w:tcW w:w="1180" w:type="dxa"/>
            <w:tcBorders>
              <w:top w:val="single" w:sz="4" w:space="0" w:color="auto"/>
              <w:left w:val="single" w:sz="4" w:space="0" w:color="auto"/>
              <w:bottom w:val="single" w:sz="4" w:space="0" w:color="auto"/>
              <w:right w:val="single" w:sz="4" w:space="0" w:color="auto"/>
            </w:tcBorders>
            <w:vAlign w:val="center"/>
          </w:tcPr>
          <w:p w:rsidR="002F6AE9" w:rsidRPr="00900DC7" w:rsidRDefault="002F6AE9" w:rsidP="0022792B">
            <w:pPr>
              <w:rPr>
                <w:rFonts w:ascii="Arial Narrow" w:hAnsi="Arial Narrow"/>
                <w:b/>
                <w:bCs/>
                <w:color w:val="000000"/>
                <w:sz w:val="20"/>
              </w:rPr>
            </w:pPr>
          </w:p>
        </w:tc>
        <w:tc>
          <w:tcPr>
            <w:tcW w:w="6616" w:type="dxa"/>
            <w:gridSpan w:val="6"/>
            <w:tcBorders>
              <w:top w:val="single" w:sz="4" w:space="0" w:color="auto"/>
              <w:left w:val="single" w:sz="4" w:space="0" w:color="auto"/>
              <w:bottom w:val="single" w:sz="4" w:space="0" w:color="auto"/>
              <w:right w:val="single" w:sz="4" w:space="0" w:color="auto"/>
            </w:tcBorders>
            <w:vAlign w:val="center"/>
            <w:hideMark/>
          </w:tcPr>
          <w:p w:rsidR="002F6AE9" w:rsidRPr="00051C8C" w:rsidRDefault="002F6AE9" w:rsidP="0022792B">
            <w:pPr>
              <w:jc w:val="center"/>
              <w:rPr>
                <w:rFonts w:ascii="Arial Narrow" w:hAnsi="Arial Narrow"/>
                <w:b/>
                <w:bCs/>
                <w:color w:val="000000"/>
                <w:sz w:val="20"/>
              </w:rPr>
            </w:pPr>
            <w:r w:rsidRPr="00051C8C">
              <w:rPr>
                <w:rFonts w:ascii="Arial Narrow" w:hAnsi="Arial Narrow"/>
                <w:b/>
                <w:bCs/>
                <w:color w:val="000000"/>
                <w:sz w:val="20"/>
              </w:rPr>
              <w:t>Treatment group</w:t>
            </w:r>
          </w:p>
        </w:tc>
      </w:tr>
      <w:tr w:rsidR="00691E0B" w:rsidRPr="00051C8C" w:rsidTr="001D1522">
        <w:tc>
          <w:tcPr>
            <w:tcW w:w="629" w:type="dxa"/>
            <w:tcBorders>
              <w:top w:val="single" w:sz="4" w:space="0" w:color="auto"/>
              <w:left w:val="single" w:sz="4" w:space="0" w:color="auto"/>
              <w:bottom w:val="single" w:sz="4" w:space="0" w:color="auto"/>
              <w:right w:val="single" w:sz="4" w:space="0" w:color="auto"/>
            </w:tcBorders>
            <w:vAlign w:val="center"/>
          </w:tcPr>
          <w:p w:rsidR="00691E0B" w:rsidRPr="00900DC7" w:rsidRDefault="00691E0B" w:rsidP="0022792B">
            <w:pPr>
              <w:rPr>
                <w:rFonts w:ascii="Arial Narrow" w:hAnsi="Arial Narrow"/>
                <w:b/>
                <w:bCs/>
                <w:color w:val="000000"/>
                <w:sz w:val="20"/>
              </w:rPr>
            </w:pPr>
          </w:p>
        </w:tc>
        <w:tc>
          <w:tcPr>
            <w:tcW w:w="1180" w:type="dxa"/>
            <w:tcBorders>
              <w:top w:val="single" w:sz="4" w:space="0" w:color="auto"/>
              <w:left w:val="single" w:sz="4" w:space="0" w:color="auto"/>
              <w:bottom w:val="single" w:sz="4" w:space="0" w:color="auto"/>
              <w:right w:val="single" w:sz="4" w:space="0" w:color="auto"/>
            </w:tcBorders>
            <w:vAlign w:val="center"/>
          </w:tcPr>
          <w:p w:rsidR="00691E0B" w:rsidRPr="00900DC7" w:rsidRDefault="00691E0B" w:rsidP="00A56FC6">
            <w:pPr>
              <w:jc w:val="center"/>
              <w:rPr>
                <w:rFonts w:ascii="Arial Narrow" w:hAnsi="Arial Narrow"/>
                <w:b/>
                <w:bCs/>
                <w:color w:val="000000"/>
                <w:sz w:val="20"/>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2F6AE9" w:rsidRPr="00051C8C" w:rsidRDefault="002F6AE9" w:rsidP="00A56FC6">
            <w:pPr>
              <w:spacing w:before="40" w:after="20"/>
              <w:jc w:val="center"/>
              <w:rPr>
                <w:rFonts w:ascii="Arial Narrow" w:hAnsi="Arial Narrow"/>
                <w:b/>
                <w:bCs/>
                <w:color w:val="000000"/>
                <w:sz w:val="20"/>
              </w:rPr>
            </w:pPr>
            <w:proofErr w:type="spellStart"/>
            <w:r w:rsidRPr="00051C8C">
              <w:rPr>
                <w:rFonts w:ascii="Arial Narrow" w:hAnsi="Arial Narrow"/>
                <w:b/>
                <w:bCs/>
                <w:color w:val="000000"/>
                <w:sz w:val="20"/>
              </w:rPr>
              <w:t>Renflexis</w:t>
            </w:r>
            <w:proofErr w:type="spellEnd"/>
            <w:r w:rsidRPr="00051C8C">
              <w:rPr>
                <w:rFonts w:ascii="Arial Narrow" w:hAnsi="Arial Narrow"/>
                <w:b/>
                <w:bCs/>
                <w:color w:val="000000"/>
                <w:sz w:val="20"/>
              </w:rPr>
              <w:t xml:space="preserve"> -&gt; </w:t>
            </w:r>
            <w:proofErr w:type="spellStart"/>
            <w:r w:rsidRPr="00051C8C">
              <w:rPr>
                <w:rFonts w:ascii="Arial Narrow" w:hAnsi="Arial Narrow"/>
                <w:b/>
                <w:bCs/>
                <w:color w:val="000000"/>
                <w:sz w:val="20"/>
              </w:rPr>
              <w:t>Renflexis</w:t>
            </w:r>
            <w:proofErr w:type="spellEnd"/>
          </w:p>
        </w:tc>
        <w:tc>
          <w:tcPr>
            <w:tcW w:w="2438" w:type="dxa"/>
            <w:gridSpan w:val="2"/>
            <w:tcBorders>
              <w:top w:val="single" w:sz="4" w:space="0" w:color="auto"/>
              <w:left w:val="single" w:sz="4" w:space="0" w:color="auto"/>
              <w:bottom w:val="single" w:sz="4" w:space="0" w:color="auto"/>
              <w:right w:val="single" w:sz="4" w:space="0" w:color="auto"/>
            </w:tcBorders>
            <w:vAlign w:val="center"/>
            <w:hideMark/>
          </w:tcPr>
          <w:p w:rsidR="00691E0B" w:rsidRPr="00051C8C" w:rsidRDefault="002F6AE9" w:rsidP="00A56FC6">
            <w:pPr>
              <w:spacing w:before="40" w:after="20"/>
              <w:jc w:val="center"/>
              <w:rPr>
                <w:rFonts w:ascii="Arial Narrow" w:hAnsi="Arial Narrow"/>
                <w:b/>
                <w:bCs/>
                <w:color w:val="000000"/>
                <w:sz w:val="20"/>
              </w:rPr>
            </w:pPr>
            <w:proofErr w:type="spellStart"/>
            <w:r w:rsidRPr="00051C8C">
              <w:rPr>
                <w:rFonts w:ascii="Arial Narrow" w:hAnsi="Arial Narrow"/>
                <w:b/>
                <w:bCs/>
                <w:color w:val="000000"/>
                <w:sz w:val="20"/>
              </w:rPr>
              <w:t>Remicade</w:t>
            </w:r>
            <w:proofErr w:type="spellEnd"/>
            <w:r w:rsidRPr="00051C8C">
              <w:rPr>
                <w:rFonts w:ascii="Arial Narrow" w:hAnsi="Arial Narrow"/>
                <w:b/>
                <w:bCs/>
                <w:color w:val="000000"/>
                <w:sz w:val="20"/>
              </w:rPr>
              <w:t xml:space="preserve"> -&gt; </w:t>
            </w:r>
            <w:proofErr w:type="spellStart"/>
            <w:r w:rsidRPr="00051C8C">
              <w:rPr>
                <w:rFonts w:ascii="Arial Narrow" w:hAnsi="Arial Narrow"/>
                <w:b/>
                <w:bCs/>
                <w:color w:val="000000"/>
                <w:sz w:val="20"/>
              </w:rPr>
              <w:t>Renflexis</w:t>
            </w:r>
            <w:proofErr w:type="spellEnd"/>
          </w:p>
        </w:tc>
        <w:tc>
          <w:tcPr>
            <w:tcW w:w="2184" w:type="dxa"/>
            <w:gridSpan w:val="2"/>
            <w:tcBorders>
              <w:top w:val="single" w:sz="4" w:space="0" w:color="auto"/>
              <w:left w:val="single" w:sz="4" w:space="0" w:color="auto"/>
              <w:bottom w:val="single" w:sz="4" w:space="0" w:color="auto"/>
              <w:right w:val="single" w:sz="4" w:space="0" w:color="auto"/>
            </w:tcBorders>
            <w:vAlign w:val="center"/>
            <w:hideMark/>
          </w:tcPr>
          <w:p w:rsidR="00691E0B" w:rsidRPr="00051C8C" w:rsidRDefault="00691E0B" w:rsidP="00A56FC6">
            <w:pPr>
              <w:jc w:val="center"/>
              <w:rPr>
                <w:rFonts w:ascii="Arial Narrow" w:hAnsi="Arial Narrow"/>
                <w:b/>
                <w:bCs/>
                <w:color w:val="000000"/>
                <w:sz w:val="20"/>
              </w:rPr>
            </w:pPr>
            <w:r w:rsidRPr="00051C8C">
              <w:rPr>
                <w:rFonts w:ascii="Arial Narrow" w:hAnsi="Arial Narrow"/>
                <w:b/>
                <w:bCs/>
                <w:color w:val="000000"/>
                <w:sz w:val="20"/>
              </w:rPr>
              <w:t>Remicade</w:t>
            </w:r>
            <w:r w:rsidR="002F6AE9" w:rsidRPr="00051C8C">
              <w:rPr>
                <w:rFonts w:ascii="Arial Narrow" w:hAnsi="Arial Narrow"/>
                <w:b/>
                <w:bCs/>
                <w:color w:val="000000"/>
                <w:sz w:val="20"/>
              </w:rPr>
              <w:t xml:space="preserve"> -&gt; Remicade</w:t>
            </w:r>
          </w:p>
        </w:tc>
      </w:tr>
      <w:tr w:rsidR="00691E0B" w:rsidRPr="00051C8C" w:rsidTr="001D1522">
        <w:tc>
          <w:tcPr>
            <w:tcW w:w="629" w:type="dxa"/>
            <w:tcBorders>
              <w:top w:val="single" w:sz="4" w:space="0" w:color="auto"/>
              <w:left w:val="single" w:sz="4" w:space="0" w:color="auto"/>
              <w:bottom w:val="single" w:sz="4" w:space="0" w:color="auto"/>
              <w:right w:val="single" w:sz="4" w:space="0" w:color="auto"/>
            </w:tcBorders>
            <w:vAlign w:val="center"/>
            <w:hideMark/>
          </w:tcPr>
          <w:p w:rsidR="00691E0B" w:rsidRPr="00051C8C" w:rsidRDefault="00691E0B" w:rsidP="0022792B">
            <w:pPr>
              <w:rPr>
                <w:rFonts w:ascii="Arial Narrow" w:hAnsi="Arial Narrow"/>
                <w:color w:val="000000"/>
                <w:sz w:val="20"/>
              </w:rPr>
            </w:pPr>
            <w:r w:rsidRPr="00051C8C">
              <w:rPr>
                <w:rFonts w:ascii="Arial Narrow" w:hAnsi="Arial Narrow"/>
                <w:color w:val="000000"/>
                <w:sz w:val="20"/>
              </w:rPr>
              <w:t>ACR response</w:t>
            </w:r>
          </w:p>
        </w:tc>
        <w:tc>
          <w:tcPr>
            <w:tcW w:w="118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Timepoint</w:t>
            </w:r>
          </w:p>
        </w:tc>
        <w:tc>
          <w:tcPr>
            <w:tcW w:w="101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n/N</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w:t>
            </w:r>
          </w:p>
        </w:tc>
        <w:tc>
          <w:tcPr>
            <w:tcW w:w="1198"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n/N</w:t>
            </w:r>
          </w:p>
        </w:tc>
        <w:tc>
          <w:tcPr>
            <w:tcW w:w="124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w:t>
            </w:r>
          </w:p>
        </w:tc>
        <w:tc>
          <w:tcPr>
            <w:tcW w:w="1200" w:type="dxa"/>
            <w:tcBorders>
              <w:top w:val="single" w:sz="4" w:space="0" w:color="auto"/>
              <w:left w:val="single" w:sz="4" w:space="0" w:color="auto"/>
              <w:bottom w:val="single" w:sz="4" w:space="0" w:color="auto"/>
              <w:right w:val="single" w:sz="4" w:space="0" w:color="auto"/>
            </w:tcBorders>
            <w:vAlign w:val="center"/>
            <w:hideMark/>
          </w:tcPr>
          <w:p w:rsidR="00691E0B" w:rsidRPr="00051C8C" w:rsidRDefault="00691E0B" w:rsidP="00A56FC6">
            <w:pPr>
              <w:jc w:val="center"/>
              <w:rPr>
                <w:rFonts w:ascii="Arial Narrow" w:hAnsi="Arial Narrow"/>
                <w:color w:val="000000"/>
                <w:sz w:val="20"/>
              </w:rPr>
            </w:pPr>
            <w:r w:rsidRPr="00051C8C">
              <w:rPr>
                <w:rFonts w:ascii="Arial Narrow" w:hAnsi="Arial Narrow"/>
                <w:color w:val="000000"/>
                <w:sz w:val="20"/>
              </w:rPr>
              <w:t>n/N</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051C8C" w:rsidRDefault="00691E0B" w:rsidP="00A56FC6">
            <w:pPr>
              <w:jc w:val="center"/>
              <w:rPr>
                <w:rFonts w:ascii="Arial Narrow" w:hAnsi="Arial Narrow"/>
                <w:color w:val="000000"/>
                <w:sz w:val="20"/>
              </w:rPr>
            </w:pPr>
            <w:r w:rsidRPr="00051C8C">
              <w:rPr>
                <w:rFonts w:ascii="Arial Narrow" w:hAnsi="Arial Narrow"/>
                <w:color w:val="000000"/>
                <w:sz w:val="20"/>
              </w:rPr>
              <w:t>%</w:t>
            </w:r>
          </w:p>
        </w:tc>
      </w:tr>
      <w:tr w:rsidR="00691E0B" w:rsidRPr="00051C8C" w:rsidTr="001D1522">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691E0B" w:rsidRPr="00051C8C" w:rsidRDefault="00691E0B" w:rsidP="00583884">
            <w:pPr>
              <w:jc w:val="center"/>
              <w:rPr>
                <w:rFonts w:ascii="Arial Narrow" w:hAnsi="Arial Narrow"/>
                <w:color w:val="000000"/>
                <w:sz w:val="20"/>
              </w:rPr>
            </w:pPr>
            <w:r w:rsidRPr="00051C8C">
              <w:rPr>
                <w:rFonts w:ascii="Arial Narrow" w:hAnsi="Arial Narrow"/>
                <w:color w:val="000000"/>
                <w:sz w:val="20"/>
              </w:rPr>
              <w:t>ACR20</w:t>
            </w:r>
          </w:p>
        </w:tc>
        <w:tc>
          <w:tcPr>
            <w:tcW w:w="118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Week 54</w:t>
            </w:r>
          </w:p>
        </w:tc>
        <w:tc>
          <w:tcPr>
            <w:tcW w:w="101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132/201</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65.7%</w:t>
            </w:r>
          </w:p>
        </w:tc>
        <w:tc>
          <w:tcPr>
            <w:tcW w:w="1198"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67/94</w:t>
            </w:r>
          </w:p>
        </w:tc>
        <w:tc>
          <w:tcPr>
            <w:tcW w:w="124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71.3%</w:t>
            </w:r>
          </w:p>
        </w:tc>
        <w:tc>
          <w:tcPr>
            <w:tcW w:w="120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70/101</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69.3%</w:t>
            </w:r>
          </w:p>
        </w:tc>
      </w:tr>
      <w:tr w:rsidR="00691E0B" w:rsidRPr="00051C8C" w:rsidTr="001D1522">
        <w:tc>
          <w:tcPr>
            <w:tcW w:w="629" w:type="dxa"/>
            <w:vMerge/>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Week 62</w:t>
            </w:r>
          </w:p>
        </w:tc>
        <w:tc>
          <w:tcPr>
            <w:tcW w:w="101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129/193</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66.8%</w:t>
            </w:r>
          </w:p>
        </w:tc>
        <w:tc>
          <w:tcPr>
            <w:tcW w:w="1198"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68/94</w:t>
            </w:r>
          </w:p>
        </w:tc>
        <w:tc>
          <w:tcPr>
            <w:tcW w:w="124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72.3%</w:t>
            </w:r>
          </w:p>
        </w:tc>
        <w:tc>
          <w:tcPr>
            <w:tcW w:w="120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67/101</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66.3%</w:t>
            </w:r>
          </w:p>
        </w:tc>
      </w:tr>
      <w:tr w:rsidR="00691E0B" w:rsidRPr="00051C8C" w:rsidTr="001D1522">
        <w:tc>
          <w:tcPr>
            <w:tcW w:w="629" w:type="dxa"/>
            <w:vMerge/>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Week 70</w:t>
            </w:r>
          </w:p>
        </w:tc>
        <w:tc>
          <w:tcPr>
            <w:tcW w:w="101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118/180</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65.6%</w:t>
            </w:r>
          </w:p>
        </w:tc>
        <w:tc>
          <w:tcPr>
            <w:tcW w:w="1198"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61/88</w:t>
            </w:r>
          </w:p>
        </w:tc>
        <w:tc>
          <w:tcPr>
            <w:tcW w:w="124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69.3%</w:t>
            </w:r>
          </w:p>
        </w:tc>
        <w:tc>
          <w:tcPr>
            <w:tcW w:w="120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68/98</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69.4%</w:t>
            </w:r>
          </w:p>
        </w:tc>
      </w:tr>
      <w:tr w:rsidR="00691E0B" w:rsidRPr="00051C8C" w:rsidTr="001D1522">
        <w:tc>
          <w:tcPr>
            <w:tcW w:w="629" w:type="dxa"/>
            <w:vMerge/>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Week 78</w:t>
            </w:r>
          </w:p>
        </w:tc>
        <w:tc>
          <w:tcPr>
            <w:tcW w:w="101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123/180</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68.3%</w:t>
            </w:r>
          </w:p>
        </w:tc>
        <w:tc>
          <w:tcPr>
            <w:tcW w:w="1198"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54/85</w:t>
            </w:r>
          </w:p>
        </w:tc>
        <w:tc>
          <w:tcPr>
            <w:tcW w:w="124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63.5%</w:t>
            </w:r>
          </w:p>
        </w:tc>
        <w:tc>
          <w:tcPr>
            <w:tcW w:w="120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64/93</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68.8%</w:t>
            </w:r>
          </w:p>
        </w:tc>
      </w:tr>
      <w:tr w:rsidR="00691E0B" w:rsidRPr="00051C8C" w:rsidTr="001D1522">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583884">
            <w:pPr>
              <w:spacing w:before="40" w:after="20"/>
              <w:jc w:val="center"/>
              <w:rPr>
                <w:rFonts w:ascii="Arial Narrow" w:hAnsi="Arial Narrow"/>
                <w:color w:val="000000"/>
                <w:sz w:val="20"/>
              </w:rPr>
            </w:pPr>
            <w:r w:rsidRPr="00051C8C">
              <w:rPr>
                <w:rFonts w:ascii="Arial Narrow" w:hAnsi="Arial Narrow"/>
                <w:color w:val="000000"/>
                <w:sz w:val="20"/>
              </w:rPr>
              <w:t>ACR50</w:t>
            </w:r>
          </w:p>
        </w:tc>
        <w:tc>
          <w:tcPr>
            <w:tcW w:w="118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Week 54</w:t>
            </w:r>
          </w:p>
        </w:tc>
        <w:tc>
          <w:tcPr>
            <w:tcW w:w="101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87/201</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43.3%</w:t>
            </w:r>
          </w:p>
        </w:tc>
        <w:tc>
          <w:tcPr>
            <w:tcW w:w="1198"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39/94</w:t>
            </w:r>
          </w:p>
        </w:tc>
        <w:tc>
          <w:tcPr>
            <w:tcW w:w="124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41.5%</w:t>
            </w:r>
          </w:p>
        </w:tc>
        <w:tc>
          <w:tcPr>
            <w:tcW w:w="120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40/101</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39.6%</w:t>
            </w:r>
          </w:p>
        </w:tc>
      </w:tr>
      <w:tr w:rsidR="00691E0B" w:rsidRPr="00051C8C" w:rsidTr="001D1522">
        <w:tc>
          <w:tcPr>
            <w:tcW w:w="629" w:type="dxa"/>
            <w:vMerge/>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Week 62</w:t>
            </w:r>
          </w:p>
        </w:tc>
        <w:tc>
          <w:tcPr>
            <w:tcW w:w="101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79/193</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40.9%</w:t>
            </w:r>
          </w:p>
        </w:tc>
        <w:tc>
          <w:tcPr>
            <w:tcW w:w="1198"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42/94</w:t>
            </w:r>
          </w:p>
        </w:tc>
        <w:tc>
          <w:tcPr>
            <w:tcW w:w="124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44.7%</w:t>
            </w:r>
          </w:p>
        </w:tc>
        <w:tc>
          <w:tcPr>
            <w:tcW w:w="120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42/101</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41.6%</w:t>
            </w:r>
          </w:p>
        </w:tc>
      </w:tr>
      <w:tr w:rsidR="00691E0B" w:rsidRPr="00051C8C" w:rsidTr="001D1522">
        <w:tc>
          <w:tcPr>
            <w:tcW w:w="629" w:type="dxa"/>
            <w:vMerge/>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Week 70</w:t>
            </w:r>
          </w:p>
        </w:tc>
        <w:tc>
          <w:tcPr>
            <w:tcW w:w="101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78/180</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43.3%</w:t>
            </w:r>
          </w:p>
        </w:tc>
        <w:tc>
          <w:tcPr>
            <w:tcW w:w="1198"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36/88</w:t>
            </w:r>
          </w:p>
        </w:tc>
        <w:tc>
          <w:tcPr>
            <w:tcW w:w="124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40.9%</w:t>
            </w:r>
          </w:p>
        </w:tc>
        <w:tc>
          <w:tcPr>
            <w:tcW w:w="120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43/98</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43.9%</w:t>
            </w:r>
          </w:p>
        </w:tc>
      </w:tr>
      <w:tr w:rsidR="00691E0B" w:rsidRPr="00051C8C" w:rsidTr="001D1522">
        <w:tc>
          <w:tcPr>
            <w:tcW w:w="629" w:type="dxa"/>
            <w:vMerge/>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Week 78</w:t>
            </w:r>
          </w:p>
        </w:tc>
        <w:tc>
          <w:tcPr>
            <w:tcW w:w="101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73/180</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40.6%</w:t>
            </w:r>
          </w:p>
        </w:tc>
        <w:tc>
          <w:tcPr>
            <w:tcW w:w="1198"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32/85</w:t>
            </w:r>
          </w:p>
        </w:tc>
        <w:tc>
          <w:tcPr>
            <w:tcW w:w="124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37.6%</w:t>
            </w:r>
          </w:p>
        </w:tc>
        <w:tc>
          <w:tcPr>
            <w:tcW w:w="120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44/93</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900DC7">
            <w:pPr>
              <w:jc w:val="center"/>
              <w:rPr>
                <w:rFonts w:ascii="Arial Narrow" w:hAnsi="Arial Narrow"/>
                <w:color w:val="000000"/>
                <w:sz w:val="20"/>
              </w:rPr>
            </w:pPr>
            <w:r w:rsidRPr="00900DC7">
              <w:rPr>
                <w:rFonts w:ascii="Arial Narrow" w:hAnsi="Arial Narrow"/>
                <w:color w:val="000000"/>
                <w:sz w:val="20"/>
              </w:rPr>
              <w:t>47.3%</w:t>
            </w:r>
          </w:p>
        </w:tc>
      </w:tr>
      <w:tr w:rsidR="00691E0B" w:rsidRPr="00051C8C" w:rsidTr="001D1522">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583884">
            <w:pPr>
              <w:spacing w:before="40" w:after="20"/>
              <w:jc w:val="center"/>
              <w:rPr>
                <w:rFonts w:ascii="Arial Narrow" w:hAnsi="Arial Narrow"/>
                <w:color w:val="000000"/>
                <w:sz w:val="20"/>
              </w:rPr>
            </w:pPr>
            <w:r w:rsidRPr="00051C8C">
              <w:rPr>
                <w:rFonts w:ascii="Arial Narrow" w:hAnsi="Arial Narrow"/>
                <w:color w:val="000000"/>
                <w:sz w:val="20"/>
              </w:rPr>
              <w:t>ACR70</w:t>
            </w:r>
          </w:p>
        </w:tc>
        <w:tc>
          <w:tcPr>
            <w:tcW w:w="118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Week 54</w:t>
            </w:r>
          </w:p>
        </w:tc>
        <w:tc>
          <w:tcPr>
            <w:tcW w:w="101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49/201</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24.4%</w:t>
            </w:r>
          </w:p>
        </w:tc>
        <w:tc>
          <w:tcPr>
            <w:tcW w:w="1198"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25/94</w:t>
            </w:r>
          </w:p>
        </w:tc>
        <w:tc>
          <w:tcPr>
            <w:tcW w:w="124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26.6%</w:t>
            </w:r>
          </w:p>
        </w:tc>
        <w:tc>
          <w:tcPr>
            <w:tcW w:w="120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23/101</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051C8C">
              <w:rPr>
                <w:rFonts w:ascii="Arial Narrow" w:hAnsi="Arial Narrow"/>
                <w:color w:val="000000"/>
                <w:sz w:val="20"/>
              </w:rPr>
              <w:t>22.8%</w:t>
            </w:r>
          </w:p>
        </w:tc>
      </w:tr>
      <w:tr w:rsidR="00691E0B" w:rsidRPr="00051C8C" w:rsidTr="001D1522">
        <w:tc>
          <w:tcPr>
            <w:tcW w:w="629" w:type="dxa"/>
            <w:vMerge/>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22792B">
            <w:pPr>
              <w:rPr>
                <w:rFonts w:ascii="Arial Narrow" w:hAnsi="Arial Narrow"/>
                <w:color w:val="000000"/>
                <w:sz w:val="20"/>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Week 62</w:t>
            </w:r>
          </w:p>
        </w:tc>
        <w:tc>
          <w:tcPr>
            <w:tcW w:w="101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41/193</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21.2%</w:t>
            </w:r>
          </w:p>
        </w:tc>
        <w:tc>
          <w:tcPr>
            <w:tcW w:w="1198" w:type="dxa"/>
            <w:tcBorders>
              <w:top w:val="single" w:sz="4" w:space="0" w:color="auto"/>
              <w:left w:val="single" w:sz="4" w:space="0" w:color="auto"/>
              <w:bottom w:val="single" w:sz="4" w:space="0" w:color="auto"/>
              <w:right w:val="single" w:sz="4" w:space="0" w:color="auto"/>
            </w:tcBorders>
            <w:vAlign w:val="center"/>
          </w:tcPr>
          <w:p w:rsidR="00691E0B" w:rsidRPr="00051C8C" w:rsidRDefault="00691E0B" w:rsidP="00A56FC6">
            <w:pPr>
              <w:jc w:val="center"/>
              <w:rPr>
                <w:rFonts w:ascii="Arial Narrow" w:hAnsi="Arial Narrow"/>
                <w:color w:val="000000"/>
                <w:sz w:val="20"/>
              </w:rPr>
            </w:pPr>
            <w:r w:rsidRPr="00051C8C">
              <w:rPr>
                <w:rFonts w:ascii="Arial Narrow" w:hAnsi="Arial Narrow"/>
                <w:color w:val="000000"/>
                <w:sz w:val="20"/>
              </w:rPr>
              <w:t>22/94</w:t>
            </w:r>
          </w:p>
        </w:tc>
        <w:tc>
          <w:tcPr>
            <w:tcW w:w="1240" w:type="dxa"/>
            <w:tcBorders>
              <w:top w:val="single" w:sz="4" w:space="0" w:color="auto"/>
              <w:left w:val="single" w:sz="4" w:space="0" w:color="auto"/>
              <w:bottom w:val="single" w:sz="4" w:space="0" w:color="auto"/>
              <w:right w:val="single" w:sz="4" w:space="0" w:color="auto"/>
            </w:tcBorders>
            <w:vAlign w:val="center"/>
          </w:tcPr>
          <w:p w:rsidR="00691E0B" w:rsidRPr="00F1715F" w:rsidRDefault="00691E0B" w:rsidP="00A56FC6">
            <w:pPr>
              <w:jc w:val="center"/>
              <w:rPr>
                <w:rFonts w:ascii="Arial Narrow" w:hAnsi="Arial Narrow"/>
                <w:color w:val="000000"/>
                <w:sz w:val="20"/>
              </w:rPr>
            </w:pPr>
            <w:r w:rsidRPr="00BC5EA2">
              <w:rPr>
                <w:rFonts w:ascii="Arial Narrow" w:hAnsi="Arial Narrow"/>
                <w:color w:val="000000"/>
                <w:sz w:val="20"/>
              </w:rPr>
              <w:t>23.4%</w:t>
            </w:r>
          </w:p>
        </w:tc>
        <w:tc>
          <w:tcPr>
            <w:tcW w:w="1200" w:type="dxa"/>
            <w:tcBorders>
              <w:top w:val="single" w:sz="4" w:space="0" w:color="auto"/>
              <w:left w:val="single" w:sz="4" w:space="0" w:color="auto"/>
              <w:bottom w:val="single" w:sz="4" w:space="0" w:color="auto"/>
              <w:right w:val="single" w:sz="4" w:space="0" w:color="auto"/>
            </w:tcBorders>
            <w:vAlign w:val="center"/>
            <w:hideMark/>
          </w:tcPr>
          <w:p w:rsidR="00691E0B" w:rsidRPr="00F1715F" w:rsidRDefault="00691E0B" w:rsidP="00A56FC6">
            <w:pPr>
              <w:jc w:val="center"/>
              <w:rPr>
                <w:rFonts w:ascii="Arial Narrow" w:hAnsi="Arial Narrow"/>
                <w:color w:val="000000"/>
                <w:sz w:val="20"/>
              </w:rPr>
            </w:pPr>
            <w:r w:rsidRPr="00F1715F">
              <w:rPr>
                <w:rFonts w:ascii="Arial Narrow" w:hAnsi="Arial Narrow"/>
                <w:color w:val="000000"/>
                <w:sz w:val="20"/>
              </w:rPr>
              <w:t>21/101</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8C4A7D" w:rsidRDefault="00691E0B" w:rsidP="00A56FC6">
            <w:pPr>
              <w:jc w:val="center"/>
              <w:rPr>
                <w:rFonts w:ascii="Arial Narrow" w:hAnsi="Arial Narrow"/>
                <w:color w:val="000000"/>
                <w:sz w:val="20"/>
              </w:rPr>
            </w:pPr>
            <w:r w:rsidRPr="00F1715F">
              <w:rPr>
                <w:rFonts w:ascii="Arial Narrow" w:hAnsi="Arial Narrow"/>
                <w:color w:val="000000"/>
                <w:sz w:val="20"/>
              </w:rPr>
              <w:t>20.8%</w:t>
            </w:r>
          </w:p>
        </w:tc>
      </w:tr>
      <w:tr w:rsidR="00691E0B" w:rsidRPr="00051C8C" w:rsidTr="001D1522">
        <w:tc>
          <w:tcPr>
            <w:tcW w:w="629" w:type="dxa"/>
            <w:vMerge/>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22792B">
            <w:pPr>
              <w:rPr>
                <w:rFonts w:ascii="Arial Narrow" w:hAnsi="Arial Narrow"/>
                <w:color w:val="000000"/>
                <w:sz w:val="20"/>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Week 70</w:t>
            </w:r>
          </w:p>
        </w:tc>
        <w:tc>
          <w:tcPr>
            <w:tcW w:w="101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46/180</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25.6%</w:t>
            </w:r>
          </w:p>
        </w:tc>
        <w:tc>
          <w:tcPr>
            <w:tcW w:w="1198"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18/88</w:t>
            </w:r>
          </w:p>
        </w:tc>
        <w:tc>
          <w:tcPr>
            <w:tcW w:w="124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20.5%</w:t>
            </w:r>
          </w:p>
        </w:tc>
        <w:tc>
          <w:tcPr>
            <w:tcW w:w="120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25/98</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25.5%</w:t>
            </w:r>
          </w:p>
        </w:tc>
      </w:tr>
      <w:tr w:rsidR="00691E0B" w:rsidRPr="00051C8C" w:rsidTr="001D1522">
        <w:tc>
          <w:tcPr>
            <w:tcW w:w="629" w:type="dxa"/>
            <w:vMerge/>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22792B">
            <w:pPr>
              <w:rPr>
                <w:rFonts w:ascii="Arial Narrow" w:hAnsi="Arial Narrow"/>
                <w:color w:val="000000"/>
                <w:sz w:val="20"/>
              </w:rPr>
            </w:pPr>
          </w:p>
        </w:tc>
        <w:tc>
          <w:tcPr>
            <w:tcW w:w="118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Week 78</w:t>
            </w:r>
          </w:p>
        </w:tc>
        <w:tc>
          <w:tcPr>
            <w:tcW w:w="101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46/180</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25.6%</w:t>
            </w:r>
          </w:p>
        </w:tc>
        <w:tc>
          <w:tcPr>
            <w:tcW w:w="1198"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19/85</w:t>
            </w:r>
          </w:p>
        </w:tc>
        <w:tc>
          <w:tcPr>
            <w:tcW w:w="124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22.4%</w:t>
            </w:r>
          </w:p>
        </w:tc>
        <w:tc>
          <w:tcPr>
            <w:tcW w:w="1200"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29/93</w:t>
            </w:r>
          </w:p>
        </w:tc>
        <w:tc>
          <w:tcPr>
            <w:tcW w:w="984" w:type="dxa"/>
            <w:tcBorders>
              <w:top w:val="single" w:sz="4" w:space="0" w:color="auto"/>
              <w:left w:val="single" w:sz="4" w:space="0" w:color="auto"/>
              <w:bottom w:val="single" w:sz="4" w:space="0" w:color="auto"/>
              <w:right w:val="single" w:sz="4" w:space="0" w:color="auto"/>
            </w:tcBorders>
            <w:vAlign w:val="center"/>
            <w:hideMark/>
          </w:tcPr>
          <w:p w:rsidR="00691E0B" w:rsidRPr="00900DC7" w:rsidRDefault="00691E0B" w:rsidP="00A56FC6">
            <w:pPr>
              <w:spacing w:before="40" w:after="20"/>
              <w:jc w:val="center"/>
              <w:rPr>
                <w:rFonts w:ascii="Arial Narrow" w:hAnsi="Arial Narrow"/>
                <w:color w:val="000000"/>
                <w:sz w:val="20"/>
              </w:rPr>
            </w:pPr>
            <w:r w:rsidRPr="00900DC7">
              <w:rPr>
                <w:rFonts w:ascii="Arial Narrow" w:hAnsi="Arial Narrow"/>
                <w:color w:val="000000"/>
                <w:sz w:val="20"/>
              </w:rPr>
              <w:t>31.2%</w:t>
            </w:r>
          </w:p>
        </w:tc>
      </w:tr>
    </w:tbl>
    <w:p w:rsidR="00691E0B" w:rsidRPr="00051C8C" w:rsidRDefault="00691E0B" w:rsidP="001D1522">
      <w:pPr>
        <w:ind w:firstLine="720"/>
        <w:rPr>
          <w:color w:val="000000"/>
          <w:szCs w:val="22"/>
        </w:rPr>
      </w:pPr>
      <w:r w:rsidRPr="00051C8C">
        <w:rPr>
          <w:rFonts w:ascii="Arial Narrow" w:hAnsi="Arial Narrow"/>
          <w:sz w:val="18"/>
          <w:szCs w:val="18"/>
        </w:rPr>
        <w:t xml:space="preserve">ACR = American College of Rheumatology; </w:t>
      </w:r>
      <w:r w:rsidRPr="00051C8C">
        <w:rPr>
          <w:rFonts w:ascii="Arial Narrow" w:eastAsia="Malgun Gothic" w:hAnsi="Arial Narrow"/>
          <w:sz w:val="18"/>
          <w:szCs w:val="18"/>
        </w:rPr>
        <w:t>N = number of patients; n = number of responders</w:t>
      </w:r>
    </w:p>
    <w:p w:rsidR="00F11530" w:rsidRPr="00051C8C" w:rsidRDefault="00691E0B" w:rsidP="001D1522">
      <w:pPr>
        <w:spacing w:line="360" w:lineRule="auto"/>
        <w:ind w:firstLine="720"/>
        <w:rPr>
          <w:rFonts w:ascii="Arial Narrow" w:hAnsi="Arial Narrow"/>
          <w:color w:val="000000"/>
          <w:sz w:val="18"/>
          <w:szCs w:val="18"/>
        </w:rPr>
      </w:pPr>
      <w:r w:rsidRPr="00051C8C">
        <w:rPr>
          <w:rFonts w:ascii="Arial Narrow" w:hAnsi="Arial Narrow"/>
          <w:color w:val="000000"/>
          <w:sz w:val="18"/>
          <w:szCs w:val="18"/>
        </w:rPr>
        <w:t>Source:</w:t>
      </w:r>
      <w:r w:rsidR="00AE71C6">
        <w:rPr>
          <w:rFonts w:ascii="Arial Narrow" w:hAnsi="Arial Narrow"/>
          <w:color w:val="000000"/>
          <w:sz w:val="18"/>
          <w:szCs w:val="18"/>
        </w:rPr>
        <w:t xml:space="preserve"> </w:t>
      </w:r>
      <w:r w:rsidRPr="00051C8C">
        <w:rPr>
          <w:rFonts w:ascii="Arial Narrow" w:hAnsi="Arial Narrow"/>
          <w:color w:val="000000"/>
          <w:sz w:val="18"/>
          <w:szCs w:val="18"/>
        </w:rPr>
        <w:t>Trial SB2-G31-RA 78-week CSR, Table 12-5, pp 126-127</w:t>
      </w:r>
    </w:p>
    <w:p w:rsidR="00691E0B" w:rsidRPr="00051C8C" w:rsidRDefault="00691E0B" w:rsidP="00691E0B">
      <w:pPr>
        <w:pStyle w:val="ListParagraph"/>
        <w:widowControl/>
        <w:numPr>
          <w:ilvl w:val="1"/>
          <w:numId w:val="5"/>
        </w:numPr>
        <w:rPr>
          <w:szCs w:val="22"/>
        </w:rPr>
      </w:pPr>
      <w:r w:rsidRPr="00051C8C">
        <w:rPr>
          <w:szCs w:val="22"/>
        </w:rPr>
        <w:t xml:space="preserve">The </w:t>
      </w:r>
      <w:r w:rsidR="00BF6140">
        <w:rPr>
          <w:szCs w:val="22"/>
        </w:rPr>
        <w:t xml:space="preserve">PBAC considered that as the transition period was an extension of the </w:t>
      </w:r>
      <w:proofErr w:type="spellStart"/>
      <w:r w:rsidR="00BF6140">
        <w:rPr>
          <w:szCs w:val="22"/>
        </w:rPr>
        <w:t>clinincal</w:t>
      </w:r>
      <w:proofErr w:type="spellEnd"/>
      <w:r w:rsidR="00BF6140">
        <w:rPr>
          <w:szCs w:val="22"/>
        </w:rPr>
        <w:t xml:space="preserve"> trial evaluated as part of the submission, the </w:t>
      </w:r>
      <w:r w:rsidR="0029689F">
        <w:rPr>
          <w:szCs w:val="22"/>
        </w:rPr>
        <w:t>attributes of the extension study would be similar</w:t>
      </w:r>
      <w:r w:rsidR="00BF6140">
        <w:rPr>
          <w:szCs w:val="22"/>
        </w:rPr>
        <w:t xml:space="preserve"> to th</w:t>
      </w:r>
      <w:r w:rsidR="0029689F">
        <w:rPr>
          <w:szCs w:val="22"/>
        </w:rPr>
        <w:t>os</w:t>
      </w:r>
      <w:r w:rsidR="00BF6140">
        <w:rPr>
          <w:szCs w:val="22"/>
        </w:rPr>
        <w:t>e</w:t>
      </w:r>
      <w:r w:rsidR="0029689F">
        <w:rPr>
          <w:szCs w:val="22"/>
        </w:rPr>
        <w:t xml:space="preserve"> identified as part of the</w:t>
      </w:r>
      <w:r w:rsidR="00BF6140">
        <w:rPr>
          <w:szCs w:val="22"/>
        </w:rPr>
        <w:t xml:space="preserve"> </w:t>
      </w:r>
      <w:r w:rsidR="0029689F">
        <w:rPr>
          <w:szCs w:val="22"/>
        </w:rPr>
        <w:t>clinical study.</w:t>
      </w:r>
      <w:r w:rsidR="00BF6140">
        <w:rPr>
          <w:szCs w:val="22"/>
        </w:rPr>
        <w:t xml:space="preserve"> </w:t>
      </w:r>
      <w:r w:rsidR="0029689F">
        <w:rPr>
          <w:szCs w:val="22"/>
        </w:rPr>
        <w:t xml:space="preserve">The PBAC noted that </w:t>
      </w:r>
      <w:r w:rsidR="00BF6140">
        <w:rPr>
          <w:szCs w:val="22"/>
        </w:rPr>
        <w:t xml:space="preserve">the </w:t>
      </w:r>
      <w:r w:rsidRPr="00051C8C">
        <w:rPr>
          <w:szCs w:val="22"/>
        </w:rPr>
        <w:t xml:space="preserve">mean ACR20, ACR50 and ACR70 responses </w:t>
      </w:r>
      <w:r w:rsidR="00583884" w:rsidRPr="00051C8C">
        <w:rPr>
          <w:szCs w:val="22"/>
        </w:rPr>
        <w:t>at weeks 62, 70 and 78 were comparable across all groups.</w:t>
      </w:r>
    </w:p>
    <w:p w:rsidR="00691E0B" w:rsidRPr="00051C8C" w:rsidRDefault="00691E0B" w:rsidP="00583884">
      <w:pPr>
        <w:spacing w:line="360" w:lineRule="auto"/>
        <w:rPr>
          <w:color w:val="000000"/>
          <w:szCs w:val="22"/>
        </w:rPr>
      </w:pPr>
    </w:p>
    <w:p w:rsidR="00F11530" w:rsidRPr="00964A4A" w:rsidRDefault="00F11530" w:rsidP="005337AB">
      <w:pPr>
        <w:pStyle w:val="Heading3"/>
      </w:pPr>
      <w:bookmarkStart w:id="15" w:name="_Toc461606009"/>
      <w:r w:rsidRPr="00964A4A">
        <w:t>Comparative harms</w:t>
      </w:r>
      <w:bookmarkEnd w:id="15"/>
    </w:p>
    <w:p w:rsidR="00F11530" w:rsidRPr="00051C8C" w:rsidRDefault="00F11530" w:rsidP="00F11530">
      <w:pPr>
        <w:ind w:left="720" w:hanging="720"/>
        <w:rPr>
          <w:szCs w:val="22"/>
        </w:rPr>
      </w:pPr>
    </w:p>
    <w:p w:rsidR="00F11530" w:rsidRPr="00051C8C" w:rsidRDefault="00F11530" w:rsidP="00F11530">
      <w:pPr>
        <w:pStyle w:val="ListParagraph"/>
        <w:widowControl/>
        <w:numPr>
          <w:ilvl w:val="1"/>
          <w:numId w:val="5"/>
        </w:numPr>
        <w:rPr>
          <w:szCs w:val="22"/>
        </w:rPr>
      </w:pPr>
      <w:r w:rsidRPr="00051C8C">
        <w:rPr>
          <w:szCs w:val="22"/>
        </w:rPr>
        <w:t xml:space="preserve">The treatment emergent adverse events (TEAEs), including serious TEAEs (SAEs), reported in each arm of the trial at week 30 and week 54 are summarised in table </w:t>
      </w:r>
      <w:r w:rsidR="00583884" w:rsidRPr="00051C8C">
        <w:rPr>
          <w:szCs w:val="22"/>
        </w:rPr>
        <w:t>6</w:t>
      </w:r>
      <w:r w:rsidRPr="00051C8C">
        <w:rPr>
          <w:szCs w:val="22"/>
        </w:rPr>
        <w:t>.</w:t>
      </w:r>
    </w:p>
    <w:p w:rsidR="00691E0B" w:rsidRPr="00051C8C" w:rsidRDefault="00691E0B">
      <w:pPr>
        <w:widowControl/>
        <w:jc w:val="left"/>
        <w:rPr>
          <w:rFonts w:ascii="Arial Narrow" w:hAnsi="Arial Narrow"/>
          <w:b/>
          <w:sz w:val="20"/>
        </w:rPr>
      </w:pPr>
    </w:p>
    <w:p w:rsidR="0067301F" w:rsidRPr="00051C8C" w:rsidRDefault="0067301F" w:rsidP="0067301F">
      <w:pPr>
        <w:pStyle w:val="Caption"/>
        <w:keepNext/>
        <w:ind w:left="720"/>
      </w:pPr>
      <w:r w:rsidRPr="00051C8C">
        <w:t xml:space="preserve">Table </w:t>
      </w:r>
      <w:r w:rsidR="00826E28">
        <w:rPr>
          <w:noProof/>
        </w:rPr>
        <w:t>6</w:t>
      </w:r>
      <w:r w:rsidRPr="00051C8C">
        <w:t>: Summary of treatment-emergent adverse events at week 30 and week 54 in Trial SB2-G31-RA (Safety Set)</w:t>
      </w:r>
    </w:p>
    <w:tbl>
      <w:tblPr>
        <w:tblW w:w="4568" w:type="pct"/>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79"/>
        <w:gridCol w:w="2161"/>
        <w:gridCol w:w="2157"/>
      </w:tblGrid>
      <w:tr w:rsidR="00F11530" w:rsidRPr="00051C8C" w:rsidTr="00F11530">
        <w:tc>
          <w:tcPr>
            <w:tcW w:w="2398" w:type="pct"/>
            <w:vAlign w:val="center"/>
          </w:tcPr>
          <w:p w:rsidR="00F11530" w:rsidRPr="00FC628F" w:rsidRDefault="00F11530" w:rsidP="00F11530">
            <w:pPr>
              <w:rPr>
                <w:rFonts w:ascii="Arial Narrow" w:hAnsi="Arial Narrow"/>
                <w:b/>
                <w:sz w:val="20"/>
              </w:rPr>
            </w:pPr>
            <w:proofErr w:type="spellStart"/>
            <w:r w:rsidRPr="00051C8C">
              <w:rPr>
                <w:rFonts w:ascii="Arial Narrow" w:hAnsi="Arial Narrow"/>
                <w:b/>
                <w:sz w:val="20"/>
              </w:rPr>
              <w:t>Category</w:t>
            </w:r>
            <w:r w:rsidRPr="00051C8C">
              <w:rPr>
                <w:rFonts w:ascii="Arial Narrow" w:hAnsi="Arial Narrow"/>
                <w:b/>
                <w:sz w:val="20"/>
                <w:vertAlign w:val="superscript"/>
              </w:rPr>
              <w:t>a</w:t>
            </w:r>
            <w:proofErr w:type="spellEnd"/>
          </w:p>
        </w:tc>
        <w:tc>
          <w:tcPr>
            <w:tcW w:w="1302" w:type="pct"/>
            <w:vAlign w:val="center"/>
          </w:tcPr>
          <w:p w:rsidR="00F11530" w:rsidRPr="00051C8C" w:rsidRDefault="001539AA" w:rsidP="00F11530">
            <w:pPr>
              <w:jc w:val="center"/>
              <w:rPr>
                <w:rFonts w:ascii="Arial Narrow" w:hAnsi="Arial Narrow"/>
                <w:b/>
                <w:sz w:val="20"/>
              </w:rPr>
            </w:pPr>
            <w:proofErr w:type="spellStart"/>
            <w:r w:rsidRPr="00051C8C">
              <w:rPr>
                <w:rFonts w:ascii="Arial Narrow" w:hAnsi="Arial Narrow"/>
                <w:b/>
                <w:sz w:val="20"/>
              </w:rPr>
              <w:t>Renflexis</w:t>
            </w:r>
            <w:proofErr w:type="spellEnd"/>
            <w:r w:rsidRPr="00051C8C">
              <w:rPr>
                <w:rFonts w:ascii="Arial Narrow" w:hAnsi="Arial Narrow"/>
                <w:b/>
                <w:sz w:val="20"/>
              </w:rPr>
              <w:t xml:space="preserve"> </w:t>
            </w:r>
          </w:p>
          <w:p w:rsidR="00F11530" w:rsidRPr="00FC628F" w:rsidRDefault="00F11530" w:rsidP="00F11530">
            <w:pPr>
              <w:jc w:val="center"/>
              <w:rPr>
                <w:rFonts w:ascii="Arial Narrow" w:hAnsi="Arial Narrow"/>
                <w:b/>
                <w:sz w:val="20"/>
              </w:rPr>
            </w:pPr>
            <w:r w:rsidRPr="00051C8C">
              <w:rPr>
                <w:rFonts w:ascii="Arial Narrow" w:hAnsi="Arial Narrow"/>
                <w:b/>
                <w:sz w:val="20"/>
              </w:rPr>
              <w:t>N=290</w:t>
            </w:r>
          </w:p>
          <w:p w:rsidR="00F11530" w:rsidRPr="00FC628F" w:rsidRDefault="00F11530" w:rsidP="00F11530">
            <w:pPr>
              <w:jc w:val="center"/>
              <w:rPr>
                <w:rFonts w:ascii="Arial Narrow" w:hAnsi="Arial Narrow"/>
                <w:b/>
                <w:sz w:val="20"/>
              </w:rPr>
            </w:pPr>
            <w:proofErr w:type="gramStart"/>
            <w:r w:rsidRPr="00051C8C">
              <w:rPr>
                <w:rFonts w:ascii="Arial Narrow" w:hAnsi="Arial Narrow"/>
                <w:sz w:val="20"/>
              </w:rPr>
              <w:t>n</w:t>
            </w:r>
            <w:proofErr w:type="gramEnd"/>
            <w:r w:rsidRPr="00051C8C">
              <w:rPr>
                <w:rFonts w:ascii="Arial Narrow" w:hAnsi="Arial Narrow"/>
                <w:sz w:val="20"/>
              </w:rPr>
              <w:t xml:space="preserve"> (%)</w:t>
            </w:r>
          </w:p>
        </w:tc>
        <w:tc>
          <w:tcPr>
            <w:tcW w:w="1300" w:type="pct"/>
            <w:vAlign w:val="center"/>
          </w:tcPr>
          <w:p w:rsidR="00F11530" w:rsidRPr="00051C8C" w:rsidRDefault="00F11530" w:rsidP="00F11530">
            <w:pPr>
              <w:jc w:val="center"/>
              <w:rPr>
                <w:rFonts w:ascii="Arial Narrow" w:hAnsi="Arial Narrow"/>
                <w:b/>
                <w:sz w:val="20"/>
              </w:rPr>
            </w:pPr>
            <w:r w:rsidRPr="00051C8C">
              <w:rPr>
                <w:rFonts w:ascii="Arial Narrow" w:hAnsi="Arial Narrow"/>
                <w:b/>
                <w:sz w:val="20"/>
              </w:rPr>
              <w:t>Remicade</w:t>
            </w:r>
          </w:p>
          <w:p w:rsidR="00F11530" w:rsidRPr="00FC628F" w:rsidRDefault="00F11530" w:rsidP="00F11530">
            <w:pPr>
              <w:jc w:val="center"/>
              <w:rPr>
                <w:rFonts w:ascii="Arial Narrow" w:hAnsi="Arial Narrow"/>
                <w:b/>
                <w:sz w:val="20"/>
              </w:rPr>
            </w:pPr>
            <w:r w:rsidRPr="00051C8C">
              <w:rPr>
                <w:rFonts w:ascii="Arial Narrow" w:hAnsi="Arial Narrow"/>
                <w:b/>
                <w:sz w:val="20"/>
              </w:rPr>
              <w:t>N=293</w:t>
            </w:r>
          </w:p>
          <w:p w:rsidR="00F11530" w:rsidRPr="00FC628F" w:rsidRDefault="00F11530" w:rsidP="00F11530">
            <w:pPr>
              <w:jc w:val="center"/>
              <w:rPr>
                <w:rFonts w:ascii="Arial Narrow" w:hAnsi="Arial Narrow"/>
                <w:b/>
                <w:sz w:val="20"/>
              </w:rPr>
            </w:pPr>
            <w:proofErr w:type="gramStart"/>
            <w:r w:rsidRPr="00051C8C">
              <w:rPr>
                <w:rFonts w:ascii="Arial Narrow" w:hAnsi="Arial Narrow"/>
                <w:sz w:val="20"/>
              </w:rPr>
              <w:t>n</w:t>
            </w:r>
            <w:proofErr w:type="gramEnd"/>
            <w:r w:rsidRPr="00051C8C">
              <w:rPr>
                <w:rFonts w:ascii="Arial Narrow" w:hAnsi="Arial Narrow"/>
                <w:sz w:val="20"/>
              </w:rPr>
              <w:t xml:space="preserve"> (%)</w:t>
            </w:r>
          </w:p>
        </w:tc>
      </w:tr>
      <w:tr w:rsidR="00F11530" w:rsidRPr="00051C8C" w:rsidTr="00F11530">
        <w:tc>
          <w:tcPr>
            <w:tcW w:w="5000" w:type="pct"/>
            <w:gridSpan w:val="3"/>
            <w:shd w:val="clear" w:color="auto" w:fill="F2F2F2" w:themeFill="background1" w:themeFillShade="F2"/>
            <w:vAlign w:val="center"/>
          </w:tcPr>
          <w:p w:rsidR="00F11530" w:rsidRPr="00051C8C" w:rsidRDefault="00F11530" w:rsidP="00F11530">
            <w:pPr>
              <w:jc w:val="left"/>
              <w:rPr>
                <w:rFonts w:ascii="Arial Narrow" w:hAnsi="Arial Narrow"/>
                <w:sz w:val="20"/>
              </w:rPr>
            </w:pPr>
            <w:r w:rsidRPr="00051C8C">
              <w:rPr>
                <w:rFonts w:ascii="Arial Narrow" w:hAnsi="Arial Narrow"/>
                <w:b/>
                <w:sz w:val="20"/>
              </w:rPr>
              <w:t>Week 30</w:t>
            </w:r>
          </w:p>
        </w:tc>
      </w:tr>
      <w:tr w:rsidR="00F11530" w:rsidRPr="00051C8C" w:rsidTr="00F11530">
        <w:tc>
          <w:tcPr>
            <w:tcW w:w="2398" w:type="pct"/>
            <w:vAlign w:val="center"/>
          </w:tcPr>
          <w:p w:rsidR="00F11530" w:rsidRPr="00FC628F" w:rsidRDefault="00F11530" w:rsidP="00F11530">
            <w:pPr>
              <w:spacing w:before="40" w:after="20"/>
              <w:jc w:val="left"/>
              <w:rPr>
                <w:rFonts w:ascii="Arial Narrow" w:hAnsi="Arial Narrow"/>
                <w:sz w:val="20"/>
              </w:rPr>
            </w:pPr>
            <w:r w:rsidRPr="00051C8C">
              <w:rPr>
                <w:rFonts w:ascii="Arial Narrow" w:hAnsi="Arial Narrow"/>
                <w:sz w:val="20"/>
              </w:rPr>
              <w:t>TEAEs</w:t>
            </w:r>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167 (57.6%)</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170 (58.0%)</w:t>
            </w:r>
          </w:p>
        </w:tc>
      </w:tr>
      <w:tr w:rsidR="00F11530" w:rsidRPr="00051C8C" w:rsidTr="00F11530">
        <w:tc>
          <w:tcPr>
            <w:tcW w:w="2398" w:type="pct"/>
            <w:vAlign w:val="center"/>
          </w:tcPr>
          <w:p w:rsidR="00F11530" w:rsidRPr="00FC628F" w:rsidRDefault="00F11530" w:rsidP="00F11530">
            <w:pPr>
              <w:spacing w:before="40" w:after="20"/>
              <w:jc w:val="left"/>
              <w:rPr>
                <w:rFonts w:ascii="Arial Narrow" w:hAnsi="Arial Narrow"/>
                <w:sz w:val="20"/>
              </w:rPr>
            </w:pPr>
            <w:r w:rsidRPr="00051C8C">
              <w:rPr>
                <w:rFonts w:ascii="Arial Narrow" w:hAnsi="Arial Narrow"/>
                <w:sz w:val="20"/>
              </w:rPr>
              <w:t>Study drug-related TEAEs</w:t>
            </w:r>
          </w:p>
        </w:tc>
        <w:tc>
          <w:tcPr>
            <w:tcW w:w="1302" w:type="pct"/>
            <w:shd w:val="clear" w:color="auto" w:fill="auto"/>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62 (21.4%)</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59 (20.1%)</w:t>
            </w:r>
          </w:p>
        </w:tc>
      </w:tr>
      <w:tr w:rsidR="00F11530" w:rsidRPr="00051C8C" w:rsidTr="00F11530">
        <w:tc>
          <w:tcPr>
            <w:tcW w:w="2398" w:type="pct"/>
            <w:vAlign w:val="center"/>
          </w:tcPr>
          <w:p w:rsidR="00F11530" w:rsidRPr="00FC628F" w:rsidRDefault="00F11530" w:rsidP="00F11530">
            <w:pPr>
              <w:spacing w:before="40" w:after="20"/>
              <w:jc w:val="left"/>
              <w:rPr>
                <w:rFonts w:ascii="Arial Narrow" w:hAnsi="Arial Narrow"/>
                <w:sz w:val="20"/>
              </w:rPr>
            </w:pPr>
            <w:r w:rsidRPr="00051C8C">
              <w:rPr>
                <w:rFonts w:ascii="Arial Narrow" w:hAnsi="Arial Narrow"/>
                <w:sz w:val="20"/>
              </w:rPr>
              <w:t>Serious TEAEs (SAEs)</w:t>
            </w:r>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26 (9.0%)</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26 (8.9%)</w:t>
            </w:r>
          </w:p>
        </w:tc>
      </w:tr>
      <w:tr w:rsidR="00F11530" w:rsidRPr="00051C8C" w:rsidTr="00F11530">
        <w:tc>
          <w:tcPr>
            <w:tcW w:w="2398" w:type="pct"/>
            <w:shd w:val="clear" w:color="auto" w:fill="auto"/>
            <w:vAlign w:val="center"/>
          </w:tcPr>
          <w:p w:rsidR="00F11530" w:rsidRPr="00FC628F" w:rsidRDefault="00F11530" w:rsidP="00F11530">
            <w:pPr>
              <w:spacing w:before="40" w:after="20"/>
              <w:jc w:val="left"/>
              <w:rPr>
                <w:rFonts w:ascii="Arial Narrow" w:hAnsi="Arial Narrow"/>
                <w:sz w:val="20"/>
              </w:rPr>
            </w:pPr>
            <w:r w:rsidRPr="00051C8C">
              <w:rPr>
                <w:rFonts w:ascii="Arial Narrow" w:hAnsi="Arial Narrow"/>
                <w:sz w:val="20"/>
              </w:rPr>
              <w:t>Study drug-related SAEs</w:t>
            </w:r>
          </w:p>
        </w:tc>
        <w:tc>
          <w:tcPr>
            <w:tcW w:w="1302" w:type="pct"/>
            <w:shd w:val="clear" w:color="auto" w:fill="auto"/>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10 (3.4%)</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5 (1.7%)</w:t>
            </w:r>
          </w:p>
        </w:tc>
      </w:tr>
      <w:tr w:rsidR="00F11530" w:rsidRPr="00051C8C" w:rsidTr="00F11530">
        <w:tc>
          <w:tcPr>
            <w:tcW w:w="2398" w:type="pct"/>
            <w:vAlign w:val="center"/>
          </w:tcPr>
          <w:p w:rsidR="00F11530" w:rsidRPr="00FC628F" w:rsidRDefault="00F11530" w:rsidP="00F11530">
            <w:pPr>
              <w:spacing w:before="40" w:after="20"/>
              <w:jc w:val="left"/>
              <w:rPr>
                <w:rFonts w:ascii="Arial Narrow" w:hAnsi="Arial Narrow"/>
                <w:sz w:val="20"/>
              </w:rPr>
            </w:pPr>
            <w:r w:rsidRPr="00051C8C">
              <w:rPr>
                <w:rFonts w:ascii="Arial Narrow" w:hAnsi="Arial Narrow"/>
                <w:sz w:val="20"/>
              </w:rPr>
              <w:t xml:space="preserve">TEAEs of special </w:t>
            </w:r>
            <w:proofErr w:type="spellStart"/>
            <w:r w:rsidRPr="00051C8C">
              <w:rPr>
                <w:rFonts w:ascii="Arial Narrow" w:hAnsi="Arial Narrow"/>
                <w:sz w:val="20"/>
              </w:rPr>
              <w:t>interest</w:t>
            </w:r>
            <w:r w:rsidRPr="00051C8C">
              <w:rPr>
                <w:rFonts w:ascii="Arial Narrow" w:hAnsi="Arial Narrow"/>
                <w:sz w:val="20"/>
                <w:vertAlign w:val="superscript"/>
              </w:rPr>
              <w:t>b</w:t>
            </w:r>
            <w:proofErr w:type="spellEnd"/>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9 (3.1%)</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6 (2.0%)</w:t>
            </w:r>
          </w:p>
        </w:tc>
      </w:tr>
      <w:tr w:rsidR="00F11530" w:rsidRPr="00051C8C" w:rsidTr="00F11530">
        <w:tc>
          <w:tcPr>
            <w:tcW w:w="2398" w:type="pct"/>
            <w:shd w:val="clear" w:color="auto" w:fill="auto"/>
            <w:vAlign w:val="center"/>
          </w:tcPr>
          <w:p w:rsidR="00F11530" w:rsidRPr="00FC628F" w:rsidRDefault="00F11530" w:rsidP="00F11530">
            <w:pPr>
              <w:spacing w:before="40" w:after="20"/>
              <w:jc w:val="left"/>
              <w:rPr>
                <w:rFonts w:ascii="Arial Narrow" w:hAnsi="Arial Narrow"/>
                <w:sz w:val="20"/>
              </w:rPr>
            </w:pPr>
            <w:r w:rsidRPr="00051C8C">
              <w:rPr>
                <w:rFonts w:ascii="Arial Narrow" w:hAnsi="Arial Narrow"/>
                <w:sz w:val="20"/>
              </w:rPr>
              <w:t>TEAEs leading to study drug discontinuation</w:t>
            </w:r>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30 (10.3%)</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16 (5.5%)</w:t>
            </w:r>
          </w:p>
        </w:tc>
      </w:tr>
      <w:tr w:rsidR="00F11530" w:rsidRPr="00051C8C" w:rsidTr="00F11530">
        <w:tc>
          <w:tcPr>
            <w:tcW w:w="2398" w:type="pct"/>
            <w:vAlign w:val="center"/>
          </w:tcPr>
          <w:p w:rsidR="00F11530" w:rsidRPr="00FC628F" w:rsidRDefault="00F11530" w:rsidP="00F11530">
            <w:pPr>
              <w:spacing w:before="40" w:after="20"/>
              <w:jc w:val="left"/>
              <w:rPr>
                <w:rFonts w:ascii="Arial Narrow" w:hAnsi="Arial Narrow"/>
                <w:sz w:val="20"/>
              </w:rPr>
            </w:pPr>
            <w:r w:rsidRPr="00051C8C">
              <w:rPr>
                <w:rFonts w:ascii="Arial Narrow" w:hAnsi="Arial Narrow"/>
                <w:sz w:val="20"/>
              </w:rPr>
              <w:t>TEAEs associated with an infusion-related reaction</w:t>
            </w:r>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15 (5.2%)</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13 (4.4%)</w:t>
            </w:r>
          </w:p>
        </w:tc>
      </w:tr>
      <w:tr w:rsidR="00F11530" w:rsidRPr="00051C8C" w:rsidTr="00F11530">
        <w:tc>
          <w:tcPr>
            <w:tcW w:w="2398" w:type="pct"/>
            <w:vAlign w:val="center"/>
          </w:tcPr>
          <w:p w:rsidR="00F11530" w:rsidRPr="00FC628F" w:rsidRDefault="00F11530" w:rsidP="00F11530">
            <w:pPr>
              <w:spacing w:before="40" w:after="20"/>
              <w:jc w:val="left"/>
              <w:rPr>
                <w:rFonts w:ascii="Arial Narrow" w:hAnsi="Arial Narrow"/>
                <w:sz w:val="20"/>
              </w:rPr>
            </w:pPr>
            <w:r w:rsidRPr="00051C8C">
              <w:rPr>
                <w:rFonts w:ascii="Arial Narrow" w:hAnsi="Arial Narrow"/>
                <w:sz w:val="20"/>
              </w:rPr>
              <w:t xml:space="preserve">Deaths </w:t>
            </w:r>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0 (0.0%)</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1 (0.3%)</w:t>
            </w:r>
          </w:p>
        </w:tc>
      </w:tr>
      <w:tr w:rsidR="00F11530" w:rsidRPr="00051C8C" w:rsidTr="00F11530">
        <w:tc>
          <w:tcPr>
            <w:tcW w:w="5000" w:type="pct"/>
            <w:gridSpan w:val="3"/>
            <w:shd w:val="clear" w:color="auto" w:fill="F2F2F2" w:themeFill="background1" w:themeFillShade="F2"/>
            <w:vAlign w:val="center"/>
          </w:tcPr>
          <w:p w:rsidR="00F11530" w:rsidRPr="00FC628F" w:rsidRDefault="00F11530" w:rsidP="00F11530">
            <w:pPr>
              <w:spacing w:before="40" w:after="20"/>
              <w:jc w:val="left"/>
              <w:rPr>
                <w:rFonts w:ascii="Arial Narrow" w:hAnsi="Arial Narrow"/>
                <w:sz w:val="20"/>
              </w:rPr>
            </w:pPr>
            <w:r w:rsidRPr="00051C8C">
              <w:rPr>
                <w:rFonts w:ascii="Arial Narrow" w:hAnsi="Arial Narrow"/>
                <w:b/>
                <w:sz w:val="20"/>
              </w:rPr>
              <w:t>Week 54</w:t>
            </w:r>
          </w:p>
        </w:tc>
      </w:tr>
      <w:tr w:rsidR="00F11530" w:rsidRPr="00051C8C" w:rsidTr="00F11530">
        <w:tc>
          <w:tcPr>
            <w:tcW w:w="2398" w:type="pct"/>
            <w:vAlign w:val="center"/>
          </w:tcPr>
          <w:p w:rsidR="00F11530" w:rsidRPr="00826E28" w:rsidRDefault="00F11530" w:rsidP="00F11530">
            <w:pPr>
              <w:spacing w:before="40" w:after="20"/>
              <w:jc w:val="left"/>
              <w:rPr>
                <w:rFonts w:ascii="Arial Narrow" w:hAnsi="Arial Narrow"/>
                <w:b/>
                <w:sz w:val="20"/>
              </w:rPr>
            </w:pPr>
            <w:r w:rsidRPr="00051C8C">
              <w:rPr>
                <w:rFonts w:ascii="Arial Narrow" w:hAnsi="Arial Narrow"/>
                <w:sz w:val="20"/>
              </w:rPr>
              <w:t>TEAEs</w:t>
            </w:r>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179 (61.7%)</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191 (65.2%)</w:t>
            </w:r>
          </w:p>
        </w:tc>
      </w:tr>
      <w:tr w:rsidR="00F11530" w:rsidRPr="00051C8C" w:rsidTr="00F11530">
        <w:tc>
          <w:tcPr>
            <w:tcW w:w="2398" w:type="pct"/>
            <w:vAlign w:val="center"/>
          </w:tcPr>
          <w:p w:rsidR="00F11530" w:rsidRPr="00826E28" w:rsidRDefault="00F11530" w:rsidP="00F11530">
            <w:pPr>
              <w:spacing w:before="40" w:after="20"/>
              <w:jc w:val="left"/>
              <w:rPr>
                <w:rFonts w:ascii="Arial Narrow" w:hAnsi="Arial Narrow"/>
                <w:b/>
                <w:sz w:val="20"/>
              </w:rPr>
            </w:pPr>
            <w:r w:rsidRPr="00051C8C">
              <w:rPr>
                <w:rFonts w:ascii="Arial Narrow" w:hAnsi="Arial Narrow"/>
                <w:sz w:val="20"/>
              </w:rPr>
              <w:t>Study drug-related TEAEs</w:t>
            </w:r>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70 (24.1%)</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69 (23.5%)</w:t>
            </w:r>
          </w:p>
        </w:tc>
      </w:tr>
      <w:tr w:rsidR="00F11530" w:rsidRPr="00051C8C" w:rsidTr="00F11530">
        <w:tc>
          <w:tcPr>
            <w:tcW w:w="2398" w:type="pct"/>
            <w:vAlign w:val="center"/>
          </w:tcPr>
          <w:p w:rsidR="00F11530" w:rsidRPr="00826E28" w:rsidRDefault="00F11530" w:rsidP="00F11530">
            <w:pPr>
              <w:spacing w:before="40" w:after="20"/>
              <w:jc w:val="left"/>
              <w:rPr>
                <w:rFonts w:ascii="Arial Narrow" w:hAnsi="Arial Narrow"/>
                <w:b/>
                <w:sz w:val="20"/>
              </w:rPr>
            </w:pPr>
            <w:r w:rsidRPr="00051C8C">
              <w:rPr>
                <w:rFonts w:ascii="Arial Narrow" w:hAnsi="Arial Narrow"/>
                <w:sz w:val="20"/>
              </w:rPr>
              <w:t>Serious TEAEs (SAEs)</w:t>
            </w:r>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29 (10.0%)</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31 (10.6%)</w:t>
            </w:r>
          </w:p>
        </w:tc>
      </w:tr>
      <w:tr w:rsidR="00F11530" w:rsidRPr="00051C8C" w:rsidTr="00F11530">
        <w:tc>
          <w:tcPr>
            <w:tcW w:w="2398" w:type="pct"/>
            <w:vAlign w:val="center"/>
          </w:tcPr>
          <w:p w:rsidR="00F11530" w:rsidRPr="00826E28" w:rsidRDefault="00F11530" w:rsidP="00F11530">
            <w:pPr>
              <w:spacing w:before="40" w:after="20"/>
              <w:jc w:val="left"/>
              <w:rPr>
                <w:rFonts w:ascii="Arial Narrow" w:hAnsi="Arial Narrow"/>
                <w:b/>
                <w:sz w:val="20"/>
              </w:rPr>
            </w:pPr>
            <w:r w:rsidRPr="00051C8C">
              <w:rPr>
                <w:rFonts w:ascii="Arial Narrow" w:hAnsi="Arial Narrow"/>
                <w:sz w:val="20"/>
              </w:rPr>
              <w:lastRenderedPageBreak/>
              <w:t>Study drug-related SAEs</w:t>
            </w:r>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10 (3.4%)</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7 (2.4%)</w:t>
            </w:r>
          </w:p>
        </w:tc>
      </w:tr>
      <w:tr w:rsidR="00F11530" w:rsidRPr="00051C8C" w:rsidTr="00F11530">
        <w:tc>
          <w:tcPr>
            <w:tcW w:w="2398" w:type="pct"/>
            <w:vAlign w:val="center"/>
          </w:tcPr>
          <w:p w:rsidR="00F11530" w:rsidRPr="00FC628F" w:rsidRDefault="00F11530" w:rsidP="00F11530">
            <w:pPr>
              <w:spacing w:before="40" w:after="20"/>
              <w:jc w:val="left"/>
              <w:rPr>
                <w:rFonts w:ascii="Arial Narrow" w:hAnsi="Arial Narrow"/>
                <w:sz w:val="20"/>
              </w:rPr>
            </w:pPr>
            <w:r w:rsidRPr="00051C8C">
              <w:rPr>
                <w:rFonts w:ascii="Arial Narrow" w:hAnsi="Arial Narrow"/>
                <w:sz w:val="20"/>
              </w:rPr>
              <w:t xml:space="preserve">TEAEs of special </w:t>
            </w:r>
            <w:proofErr w:type="spellStart"/>
            <w:r w:rsidRPr="00051C8C">
              <w:rPr>
                <w:rFonts w:ascii="Arial Narrow" w:hAnsi="Arial Narrow"/>
                <w:sz w:val="20"/>
              </w:rPr>
              <w:t>interest</w:t>
            </w:r>
            <w:r w:rsidRPr="00051C8C">
              <w:rPr>
                <w:rFonts w:ascii="Arial Narrow" w:hAnsi="Arial Narrow"/>
                <w:sz w:val="20"/>
                <w:vertAlign w:val="superscript"/>
              </w:rPr>
              <w:t>b</w:t>
            </w:r>
            <w:proofErr w:type="spellEnd"/>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9 (3.1%)</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7 (2.4%)</w:t>
            </w:r>
          </w:p>
        </w:tc>
      </w:tr>
      <w:tr w:rsidR="00F11530" w:rsidRPr="00051C8C" w:rsidTr="00F11530">
        <w:tc>
          <w:tcPr>
            <w:tcW w:w="2398" w:type="pct"/>
            <w:vAlign w:val="center"/>
          </w:tcPr>
          <w:p w:rsidR="00F11530" w:rsidRPr="00826E28" w:rsidRDefault="00F11530" w:rsidP="00F11530">
            <w:pPr>
              <w:spacing w:before="40" w:after="20"/>
              <w:jc w:val="left"/>
              <w:rPr>
                <w:rFonts w:ascii="Arial Narrow" w:hAnsi="Arial Narrow"/>
                <w:b/>
                <w:sz w:val="20"/>
              </w:rPr>
            </w:pPr>
            <w:r w:rsidRPr="00051C8C">
              <w:rPr>
                <w:rFonts w:ascii="Arial Narrow" w:hAnsi="Arial Narrow"/>
                <w:sz w:val="20"/>
              </w:rPr>
              <w:t>TEAEs leading to study drug discontinuation</w:t>
            </w:r>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30 (10.3%)</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24 (8.2%)</w:t>
            </w:r>
          </w:p>
        </w:tc>
      </w:tr>
      <w:tr w:rsidR="00F11530" w:rsidRPr="00051C8C" w:rsidTr="00F11530">
        <w:tc>
          <w:tcPr>
            <w:tcW w:w="2398" w:type="pct"/>
            <w:vAlign w:val="center"/>
          </w:tcPr>
          <w:p w:rsidR="00F11530" w:rsidRPr="00FC628F" w:rsidRDefault="00F11530" w:rsidP="00F11530">
            <w:pPr>
              <w:spacing w:before="40" w:after="20"/>
              <w:jc w:val="left"/>
              <w:rPr>
                <w:rFonts w:ascii="Arial Narrow" w:hAnsi="Arial Narrow"/>
                <w:sz w:val="20"/>
              </w:rPr>
            </w:pPr>
            <w:r w:rsidRPr="00051C8C">
              <w:rPr>
                <w:rFonts w:ascii="Arial Narrow" w:hAnsi="Arial Narrow"/>
                <w:sz w:val="20"/>
              </w:rPr>
              <w:t>TEAEs associated with an infusion-related reaction</w:t>
            </w:r>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17 (5.9%)</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15 (5.1%)</w:t>
            </w:r>
          </w:p>
        </w:tc>
      </w:tr>
      <w:tr w:rsidR="00F11530" w:rsidRPr="00051C8C" w:rsidTr="00F11530">
        <w:tc>
          <w:tcPr>
            <w:tcW w:w="2398" w:type="pct"/>
            <w:vAlign w:val="center"/>
          </w:tcPr>
          <w:p w:rsidR="00F11530" w:rsidRPr="00826E28" w:rsidRDefault="00F11530" w:rsidP="00F11530">
            <w:pPr>
              <w:spacing w:before="40" w:after="20"/>
              <w:jc w:val="left"/>
              <w:rPr>
                <w:rFonts w:ascii="Arial Narrow" w:hAnsi="Arial Narrow"/>
                <w:b/>
                <w:sz w:val="20"/>
              </w:rPr>
            </w:pPr>
            <w:r w:rsidRPr="00051C8C">
              <w:rPr>
                <w:rFonts w:ascii="Arial Narrow" w:hAnsi="Arial Narrow"/>
                <w:sz w:val="20"/>
              </w:rPr>
              <w:t xml:space="preserve">Deaths </w:t>
            </w:r>
          </w:p>
        </w:tc>
        <w:tc>
          <w:tcPr>
            <w:tcW w:w="1302"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0 (0.0%)</w:t>
            </w:r>
          </w:p>
        </w:tc>
        <w:tc>
          <w:tcPr>
            <w:tcW w:w="1300" w:type="pct"/>
            <w:vAlign w:val="center"/>
          </w:tcPr>
          <w:p w:rsidR="00F11530" w:rsidRPr="00FC628F" w:rsidRDefault="00F11530" w:rsidP="00F11530">
            <w:pPr>
              <w:spacing w:before="40" w:after="20"/>
              <w:jc w:val="center"/>
              <w:rPr>
                <w:rFonts w:ascii="Arial Narrow" w:hAnsi="Arial Narrow"/>
                <w:sz w:val="20"/>
              </w:rPr>
            </w:pPr>
            <w:r w:rsidRPr="00051C8C">
              <w:rPr>
                <w:rFonts w:ascii="Arial Narrow" w:hAnsi="Arial Narrow"/>
                <w:sz w:val="20"/>
              </w:rPr>
              <w:t>1 (0.3%)</w:t>
            </w:r>
          </w:p>
        </w:tc>
      </w:tr>
    </w:tbl>
    <w:p w:rsidR="00F11530" w:rsidRPr="00051C8C" w:rsidRDefault="00F11530" w:rsidP="00F11530">
      <w:pPr>
        <w:ind w:left="720"/>
        <w:contextualSpacing/>
        <w:rPr>
          <w:rFonts w:ascii="Arial Narrow" w:hAnsi="Arial Narrow"/>
          <w:sz w:val="18"/>
          <w:szCs w:val="18"/>
          <w:lang w:eastAsia="zh-CN"/>
        </w:rPr>
      </w:pPr>
      <w:r w:rsidRPr="00051C8C">
        <w:rPr>
          <w:rFonts w:ascii="Arial Narrow" w:hAnsi="Arial Narrow"/>
          <w:sz w:val="18"/>
          <w:szCs w:val="18"/>
          <w:lang w:eastAsia="zh-CN"/>
        </w:rPr>
        <w:t>TEAE = treatment-emergent adverse event; SAE = serious treatment-emergent adverse event</w:t>
      </w:r>
    </w:p>
    <w:p w:rsidR="00F11530" w:rsidRPr="00051C8C" w:rsidRDefault="00F11530" w:rsidP="00F11530">
      <w:pPr>
        <w:ind w:left="720"/>
        <w:contextualSpacing/>
        <w:rPr>
          <w:rFonts w:ascii="Arial Narrow" w:hAnsi="Arial Narrow"/>
          <w:sz w:val="18"/>
          <w:szCs w:val="18"/>
          <w:lang w:eastAsia="zh-CN"/>
        </w:rPr>
      </w:pPr>
      <w:proofErr w:type="spellStart"/>
      <w:proofErr w:type="gramStart"/>
      <w:r w:rsidRPr="00051C8C">
        <w:rPr>
          <w:rFonts w:ascii="Arial Narrow" w:hAnsi="Arial Narrow"/>
          <w:sz w:val="18"/>
          <w:szCs w:val="18"/>
          <w:vertAlign w:val="superscript"/>
          <w:lang w:eastAsia="zh-CN"/>
        </w:rPr>
        <w:t>a</w:t>
      </w:r>
      <w:proofErr w:type="spellEnd"/>
      <w:proofErr w:type="gramEnd"/>
      <w:r w:rsidRPr="00051C8C">
        <w:rPr>
          <w:rFonts w:ascii="Arial Narrow" w:hAnsi="Arial Narrow"/>
          <w:sz w:val="18"/>
          <w:szCs w:val="18"/>
          <w:vertAlign w:val="superscript"/>
          <w:lang w:eastAsia="zh-CN"/>
        </w:rPr>
        <w:t xml:space="preserve"> </w:t>
      </w:r>
      <w:r w:rsidRPr="00051C8C">
        <w:rPr>
          <w:rFonts w:ascii="Arial Narrow" w:hAnsi="Arial Narrow"/>
          <w:sz w:val="18"/>
          <w:szCs w:val="18"/>
          <w:lang w:eastAsia="zh-CN"/>
        </w:rPr>
        <w:t>For each row category, a subject with 2 or more adverse events in that category is counted only once.</w:t>
      </w:r>
    </w:p>
    <w:p w:rsidR="00F11530" w:rsidRPr="00051C8C" w:rsidRDefault="00F11530" w:rsidP="00F11530">
      <w:pPr>
        <w:pStyle w:val="TableFooter"/>
        <w:ind w:left="720"/>
        <w:rPr>
          <w:szCs w:val="18"/>
        </w:rPr>
      </w:pPr>
      <w:proofErr w:type="gramStart"/>
      <w:r w:rsidRPr="00051C8C">
        <w:rPr>
          <w:szCs w:val="18"/>
          <w:vertAlign w:val="superscript"/>
        </w:rPr>
        <w:t>b</w:t>
      </w:r>
      <w:proofErr w:type="gramEnd"/>
      <w:r w:rsidRPr="00051C8C">
        <w:rPr>
          <w:szCs w:val="18"/>
        </w:rPr>
        <w:t xml:space="preserve"> Serious infection or tuberculosis</w:t>
      </w:r>
    </w:p>
    <w:p w:rsidR="00F11530" w:rsidRPr="00051C8C" w:rsidRDefault="00F11530" w:rsidP="00F11530">
      <w:pPr>
        <w:pStyle w:val="TableFooter"/>
        <w:ind w:left="720"/>
      </w:pPr>
      <w:r w:rsidRPr="00051C8C">
        <w:t xml:space="preserve">Source: modified from Tables B.6-4 and B.6-5, p46 of the submission; </w:t>
      </w:r>
      <w:r w:rsidRPr="00051C8C">
        <w:rPr>
          <w:szCs w:val="18"/>
        </w:rPr>
        <w:t>Trial SB2-G31-RA 30-week CSR, Table 12-2, p91; Trial SB2-G31-RA 54-week CSR, Table 12-3, p98</w:t>
      </w:r>
    </w:p>
    <w:p w:rsidR="00F11530" w:rsidRPr="00051C8C" w:rsidRDefault="00F11530" w:rsidP="00F11530"/>
    <w:p w:rsidR="00F11530" w:rsidRPr="00051C8C" w:rsidRDefault="00F11530" w:rsidP="00F11530">
      <w:pPr>
        <w:pStyle w:val="ListParagraph"/>
        <w:widowControl/>
        <w:numPr>
          <w:ilvl w:val="1"/>
          <w:numId w:val="5"/>
        </w:numPr>
        <w:rPr>
          <w:szCs w:val="22"/>
        </w:rPr>
      </w:pPr>
      <w:r w:rsidRPr="00051C8C">
        <w:rPr>
          <w:szCs w:val="22"/>
        </w:rPr>
        <w:t xml:space="preserve">At week 30, there was a numerically higher incidence of study drug-related serious treatment-emergent adverse events in the </w:t>
      </w:r>
      <w:proofErr w:type="spellStart"/>
      <w:r w:rsidR="001539AA" w:rsidRPr="00051C8C">
        <w:rPr>
          <w:szCs w:val="22"/>
        </w:rPr>
        <w:t>Renflexis</w:t>
      </w:r>
      <w:proofErr w:type="spellEnd"/>
      <w:r w:rsidR="001539AA" w:rsidRPr="00051C8C">
        <w:rPr>
          <w:szCs w:val="22"/>
        </w:rPr>
        <w:t xml:space="preserve"> arm</w:t>
      </w:r>
      <w:r w:rsidRPr="00051C8C">
        <w:rPr>
          <w:szCs w:val="22"/>
        </w:rPr>
        <w:t xml:space="preserve"> compared with the Remicade arm. These results were equivalent at week 54. </w:t>
      </w:r>
    </w:p>
    <w:p w:rsidR="00583884" w:rsidRPr="00051C8C" w:rsidRDefault="00583884" w:rsidP="00583884">
      <w:pPr>
        <w:pStyle w:val="PBACHeading1"/>
        <w:numPr>
          <w:ilvl w:val="0"/>
          <w:numId w:val="0"/>
        </w:numPr>
        <w:ind w:left="720" w:hanging="720"/>
      </w:pPr>
    </w:p>
    <w:p w:rsidR="00583884" w:rsidRPr="00051C8C" w:rsidRDefault="00583884" w:rsidP="00F11530">
      <w:pPr>
        <w:pStyle w:val="ListParagraph"/>
        <w:widowControl/>
        <w:numPr>
          <w:ilvl w:val="1"/>
          <w:numId w:val="5"/>
        </w:numPr>
        <w:rPr>
          <w:szCs w:val="22"/>
        </w:rPr>
      </w:pPr>
      <w:r w:rsidRPr="00051C8C">
        <w:rPr>
          <w:szCs w:val="22"/>
        </w:rPr>
        <w:t>A summary of TEAEs, SAEs and TEAEs of special interest at week 78 is presented in table 7.</w:t>
      </w:r>
    </w:p>
    <w:p w:rsidR="00583884" w:rsidRPr="00051C8C" w:rsidRDefault="00583884" w:rsidP="00583884">
      <w:pPr>
        <w:pStyle w:val="ListParagraph"/>
        <w:rPr>
          <w:szCs w:val="22"/>
        </w:rPr>
      </w:pPr>
    </w:p>
    <w:p w:rsidR="00583884" w:rsidRPr="00051C8C" w:rsidRDefault="00583884" w:rsidP="001D1522">
      <w:pPr>
        <w:pStyle w:val="Caption"/>
        <w:keepNext/>
        <w:ind w:firstLine="720"/>
      </w:pPr>
      <w:r w:rsidRPr="00051C8C">
        <w:t xml:space="preserve">Table </w:t>
      </w:r>
      <w:r w:rsidR="00826E28">
        <w:rPr>
          <w:noProof/>
        </w:rPr>
        <w:t>7</w:t>
      </w:r>
      <w:r w:rsidRPr="00051C8C">
        <w:t>: Summary of TEAEs at week 78 in Trial SB2-G31-RA</w:t>
      </w:r>
      <w:r w:rsidR="00A56FC6" w:rsidRPr="00051C8C">
        <w:t xml:space="preserve"> (Ex-SAF)</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4"/>
        <w:gridCol w:w="282"/>
        <w:gridCol w:w="1562"/>
        <w:gridCol w:w="1984"/>
        <w:gridCol w:w="1963"/>
      </w:tblGrid>
      <w:tr w:rsidR="00583884" w:rsidRPr="00051C8C" w:rsidTr="001D1522">
        <w:trPr>
          <w:trHeight w:val="410"/>
        </w:trPr>
        <w:tc>
          <w:tcPr>
            <w:tcW w:w="1530" w:type="pct"/>
            <w:vMerge w:val="restart"/>
            <w:tcBorders>
              <w:top w:val="single" w:sz="4" w:space="0" w:color="auto"/>
              <w:left w:val="single" w:sz="4" w:space="0" w:color="auto"/>
              <w:right w:val="single" w:sz="4" w:space="0" w:color="auto"/>
            </w:tcBorders>
            <w:vAlign w:val="center"/>
            <w:hideMark/>
          </w:tcPr>
          <w:p w:rsidR="00583884" w:rsidRPr="00FC628F" w:rsidRDefault="00583884" w:rsidP="0022792B">
            <w:pPr>
              <w:rPr>
                <w:rFonts w:ascii="Arial Narrow" w:hAnsi="Arial Narrow"/>
                <w:b/>
                <w:i/>
                <w:sz w:val="20"/>
              </w:rPr>
            </w:pPr>
            <w:r w:rsidRPr="00051C8C">
              <w:rPr>
                <w:rFonts w:ascii="Arial Narrow" w:hAnsi="Arial Narrow"/>
                <w:b/>
                <w:i/>
                <w:sz w:val="20"/>
              </w:rPr>
              <w:t>Category</w:t>
            </w:r>
          </w:p>
        </w:tc>
        <w:tc>
          <w:tcPr>
            <w:tcW w:w="3470" w:type="pct"/>
            <w:gridSpan w:val="4"/>
            <w:tcBorders>
              <w:top w:val="single" w:sz="4" w:space="0" w:color="auto"/>
              <w:left w:val="single" w:sz="4" w:space="0" w:color="auto"/>
              <w:right w:val="single" w:sz="4" w:space="0" w:color="auto"/>
            </w:tcBorders>
            <w:vAlign w:val="center"/>
            <w:hideMark/>
          </w:tcPr>
          <w:p w:rsidR="00583884" w:rsidRPr="00051C8C" w:rsidRDefault="00583884" w:rsidP="0022792B">
            <w:pPr>
              <w:jc w:val="center"/>
              <w:rPr>
                <w:rFonts w:ascii="Arial Narrow" w:hAnsi="Arial Narrow"/>
                <w:b/>
                <w:i/>
                <w:sz w:val="20"/>
              </w:rPr>
            </w:pPr>
            <w:r w:rsidRPr="00051C8C">
              <w:rPr>
                <w:rFonts w:ascii="Arial Narrow" w:hAnsi="Arial Narrow"/>
                <w:b/>
                <w:i/>
                <w:sz w:val="20"/>
              </w:rPr>
              <w:t>Treatment Group</w:t>
            </w:r>
          </w:p>
        </w:tc>
      </w:tr>
      <w:tr w:rsidR="00583884" w:rsidRPr="00051C8C" w:rsidTr="001D1522">
        <w:trPr>
          <w:trHeight w:val="141"/>
        </w:trPr>
        <w:tc>
          <w:tcPr>
            <w:tcW w:w="1530" w:type="pct"/>
            <w:vMerge/>
            <w:tcBorders>
              <w:left w:val="single" w:sz="4" w:space="0" w:color="auto"/>
              <w:bottom w:val="single" w:sz="4" w:space="0" w:color="auto"/>
              <w:right w:val="single" w:sz="4" w:space="0" w:color="auto"/>
            </w:tcBorders>
            <w:vAlign w:val="center"/>
          </w:tcPr>
          <w:p w:rsidR="00583884" w:rsidRPr="00FC628F" w:rsidRDefault="00583884" w:rsidP="0022792B">
            <w:pPr>
              <w:rPr>
                <w:rFonts w:ascii="Arial Narrow" w:hAnsi="Arial Narrow"/>
                <w:b/>
                <w:i/>
                <w:sz w:val="20"/>
              </w:rPr>
            </w:pPr>
          </w:p>
        </w:tc>
        <w:tc>
          <w:tcPr>
            <w:tcW w:w="1104" w:type="pct"/>
            <w:gridSpan w:val="2"/>
            <w:tcBorders>
              <w:left w:val="single" w:sz="4" w:space="0" w:color="auto"/>
              <w:bottom w:val="single" w:sz="4" w:space="0" w:color="auto"/>
              <w:right w:val="single" w:sz="4" w:space="0" w:color="auto"/>
            </w:tcBorders>
            <w:vAlign w:val="center"/>
          </w:tcPr>
          <w:p w:rsidR="00583884" w:rsidRPr="00826E28" w:rsidRDefault="00583884" w:rsidP="00FC628F">
            <w:pPr>
              <w:spacing w:before="40" w:after="20"/>
              <w:jc w:val="center"/>
              <w:rPr>
                <w:rFonts w:ascii="Arial Narrow" w:hAnsi="Arial Narrow"/>
                <w:b/>
                <w:i/>
                <w:sz w:val="20"/>
              </w:rPr>
            </w:pPr>
            <w:proofErr w:type="spellStart"/>
            <w:r w:rsidRPr="00051C8C">
              <w:rPr>
                <w:rFonts w:ascii="Arial Narrow" w:hAnsi="Arial Narrow"/>
                <w:b/>
                <w:i/>
                <w:sz w:val="20"/>
              </w:rPr>
              <w:t>Renflexis</w:t>
            </w:r>
            <w:proofErr w:type="spellEnd"/>
            <w:r w:rsidRPr="00051C8C">
              <w:rPr>
                <w:rFonts w:ascii="Arial Narrow" w:hAnsi="Arial Narrow"/>
                <w:b/>
                <w:i/>
                <w:sz w:val="20"/>
              </w:rPr>
              <w:t xml:space="preserve"> -&gt; </w:t>
            </w:r>
            <w:proofErr w:type="spellStart"/>
            <w:r w:rsidRPr="00051C8C">
              <w:rPr>
                <w:rFonts w:ascii="Arial Narrow" w:hAnsi="Arial Narrow"/>
                <w:b/>
                <w:i/>
                <w:sz w:val="20"/>
              </w:rPr>
              <w:t>Renflexis</w:t>
            </w:r>
            <w:proofErr w:type="spellEnd"/>
          </w:p>
          <w:p w:rsidR="00583884" w:rsidRPr="00FC628F" w:rsidRDefault="00583884" w:rsidP="00FC628F">
            <w:pPr>
              <w:spacing w:before="40" w:after="20"/>
              <w:jc w:val="center"/>
              <w:rPr>
                <w:rFonts w:ascii="Arial Narrow" w:hAnsi="Arial Narrow"/>
                <w:b/>
                <w:i/>
                <w:sz w:val="20"/>
              </w:rPr>
            </w:pPr>
            <w:r w:rsidRPr="00051C8C">
              <w:rPr>
                <w:rFonts w:ascii="Arial Narrow" w:hAnsi="Arial Narrow"/>
                <w:b/>
                <w:i/>
                <w:sz w:val="20"/>
              </w:rPr>
              <w:t>N=201</w:t>
            </w:r>
          </w:p>
          <w:p w:rsidR="00583884" w:rsidRPr="00FC628F" w:rsidRDefault="00583884" w:rsidP="00FC628F">
            <w:pPr>
              <w:spacing w:before="40" w:after="20"/>
              <w:jc w:val="center"/>
              <w:rPr>
                <w:rFonts w:ascii="Arial Narrow" w:hAnsi="Arial Narrow"/>
                <w:b/>
                <w:i/>
                <w:sz w:val="20"/>
              </w:rPr>
            </w:pPr>
            <w:proofErr w:type="gramStart"/>
            <w:r w:rsidRPr="00051C8C">
              <w:rPr>
                <w:rFonts w:ascii="Arial Narrow" w:hAnsi="Arial Narrow"/>
                <w:i/>
                <w:sz w:val="20"/>
              </w:rPr>
              <w:t>n</w:t>
            </w:r>
            <w:proofErr w:type="gramEnd"/>
            <w:r w:rsidRPr="00051C8C">
              <w:rPr>
                <w:rFonts w:ascii="Arial Narrow" w:hAnsi="Arial Narrow"/>
                <w:i/>
                <w:sz w:val="20"/>
              </w:rPr>
              <w:t xml:space="preserve"> (%)</w:t>
            </w:r>
          </w:p>
        </w:tc>
        <w:tc>
          <w:tcPr>
            <w:tcW w:w="1189" w:type="pct"/>
            <w:tcBorders>
              <w:left w:val="single" w:sz="4" w:space="0" w:color="auto"/>
              <w:bottom w:val="single" w:sz="4" w:space="0" w:color="auto"/>
              <w:right w:val="single" w:sz="4" w:space="0" w:color="auto"/>
            </w:tcBorders>
            <w:vAlign w:val="center"/>
          </w:tcPr>
          <w:p w:rsidR="00583884" w:rsidRPr="00826E28" w:rsidRDefault="00583884" w:rsidP="00FC628F">
            <w:pPr>
              <w:spacing w:before="40" w:after="20"/>
              <w:jc w:val="center"/>
              <w:rPr>
                <w:rFonts w:ascii="Arial Narrow" w:hAnsi="Arial Narrow"/>
                <w:b/>
                <w:i/>
                <w:sz w:val="20"/>
              </w:rPr>
            </w:pPr>
            <w:proofErr w:type="spellStart"/>
            <w:r w:rsidRPr="00051C8C">
              <w:rPr>
                <w:rFonts w:ascii="Arial Narrow" w:hAnsi="Arial Narrow"/>
                <w:b/>
                <w:i/>
                <w:sz w:val="20"/>
              </w:rPr>
              <w:t>Remicade</w:t>
            </w:r>
            <w:proofErr w:type="spellEnd"/>
            <w:r w:rsidRPr="00051C8C">
              <w:rPr>
                <w:rFonts w:ascii="Arial Narrow" w:hAnsi="Arial Narrow"/>
                <w:b/>
                <w:i/>
                <w:sz w:val="20"/>
              </w:rPr>
              <w:t xml:space="preserve"> -&gt; </w:t>
            </w:r>
            <w:proofErr w:type="spellStart"/>
            <w:r w:rsidRPr="00051C8C">
              <w:rPr>
                <w:rFonts w:ascii="Arial Narrow" w:hAnsi="Arial Narrow"/>
                <w:b/>
                <w:i/>
                <w:sz w:val="20"/>
              </w:rPr>
              <w:t>Renflexis</w:t>
            </w:r>
            <w:proofErr w:type="spellEnd"/>
          </w:p>
          <w:p w:rsidR="00583884" w:rsidRPr="00FC628F" w:rsidRDefault="00583884" w:rsidP="00FC628F">
            <w:pPr>
              <w:spacing w:before="40" w:after="20"/>
              <w:jc w:val="center"/>
              <w:rPr>
                <w:rFonts w:ascii="Arial Narrow" w:hAnsi="Arial Narrow"/>
                <w:b/>
                <w:i/>
                <w:sz w:val="20"/>
              </w:rPr>
            </w:pPr>
            <w:r w:rsidRPr="00051C8C">
              <w:rPr>
                <w:rFonts w:ascii="Arial Narrow" w:hAnsi="Arial Narrow"/>
                <w:b/>
                <w:i/>
                <w:sz w:val="20"/>
              </w:rPr>
              <w:t>N=94</w:t>
            </w:r>
          </w:p>
          <w:p w:rsidR="00583884" w:rsidRPr="00FC628F" w:rsidRDefault="00583884" w:rsidP="00FC628F">
            <w:pPr>
              <w:spacing w:before="40" w:after="20"/>
              <w:jc w:val="center"/>
              <w:rPr>
                <w:rFonts w:ascii="Arial Narrow" w:hAnsi="Arial Narrow"/>
                <w:b/>
                <w:i/>
                <w:sz w:val="20"/>
              </w:rPr>
            </w:pPr>
            <w:proofErr w:type="gramStart"/>
            <w:r w:rsidRPr="00051C8C">
              <w:rPr>
                <w:rFonts w:ascii="Arial Narrow" w:hAnsi="Arial Narrow"/>
                <w:i/>
                <w:sz w:val="20"/>
              </w:rPr>
              <w:t>n</w:t>
            </w:r>
            <w:proofErr w:type="gramEnd"/>
            <w:r w:rsidRPr="00051C8C">
              <w:rPr>
                <w:rFonts w:ascii="Arial Narrow" w:hAnsi="Arial Narrow"/>
                <w:i/>
                <w:sz w:val="20"/>
              </w:rPr>
              <w:t xml:space="preserve"> (%)</w:t>
            </w:r>
          </w:p>
        </w:tc>
        <w:tc>
          <w:tcPr>
            <w:tcW w:w="1177" w:type="pct"/>
            <w:tcBorders>
              <w:top w:val="single" w:sz="4" w:space="0" w:color="auto"/>
              <w:left w:val="single" w:sz="4" w:space="0" w:color="auto"/>
              <w:bottom w:val="single" w:sz="4" w:space="0" w:color="auto"/>
              <w:right w:val="single" w:sz="4" w:space="0" w:color="auto"/>
            </w:tcBorders>
            <w:vAlign w:val="center"/>
          </w:tcPr>
          <w:p w:rsidR="00583884" w:rsidRPr="00051C8C" w:rsidRDefault="00583884" w:rsidP="00FC628F">
            <w:pPr>
              <w:spacing w:before="40" w:after="20"/>
              <w:jc w:val="center"/>
              <w:rPr>
                <w:rFonts w:ascii="Arial Narrow" w:hAnsi="Arial Narrow"/>
                <w:b/>
                <w:i/>
                <w:sz w:val="20"/>
              </w:rPr>
            </w:pPr>
            <w:r w:rsidRPr="00051C8C">
              <w:rPr>
                <w:rFonts w:ascii="Arial Narrow" w:hAnsi="Arial Narrow"/>
                <w:b/>
                <w:i/>
                <w:sz w:val="20"/>
              </w:rPr>
              <w:t>Remicade -&gt; Remicade</w:t>
            </w:r>
          </w:p>
          <w:p w:rsidR="00583884" w:rsidRPr="00FC628F" w:rsidRDefault="00583884" w:rsidP="00FC628F">
            <w:pPr>
              <w:spacing w:before="40" w:after="20"/>
              <w:jc w:val="center"/>
              <w:rPr>
                <w:rFonts w:ascii="Arial Narrow" w:hAnsi="Arial Narrow"/>
                <w:b/>
                <w:i/>
                <w:sz w:val="20"/>
              </w:rPr>
            </w:pPr>
            <w:r w:rsidRPr="00051C8C">
              <w:rPr>
                <w:rFonts w:ascii="Arial Narrow" w:hAnsi="Arial Narrow"/>
                <w:b/>
                <w:i/>
                <w:sz w:val="20"/>
              </w:rPr>
              <w:t>N=101</w:t>
            </w:r>
          </w:p>
          <w:p w:rsidR="00583884" w:rsidRPr="00FC628F" w:rsidRDefault="00583884" w:rsidP="00FC628F">
            <w:pPr>
              <w:spacing w:before="40" w:after="20"/>
              <w:jc w:val="center"/>
              <w:rPr>
                <w:rFonts w:ascii="Arial Narrow" w:hAnsi="Arial Narrow"/>
                <w:b/>
                <w:i/>
                <w:sz w:val="20"/>
              </w:rPr>
            </w:pPr>
            <w:proofErr w:type="gramStart"/>
            <w:r w:rsidRPr="00FC628F">
              <w:rPr>
                <w:rFonts w:ascii="Arial Narrow" w:hAnsi="Arial Narrow"/>
                <w:b/>
                <w:i/>
                <w:sz w:val="20"/>
              </w:rPr>
              <w:t>n</w:t>
            </w:r>
            <w:proofErr w:type="gramEnd"/>
            <w:r w:rsidRPr="00FC628F">
              <w:rPr>
                <w:rFonts w:ascii="Arial Narrow" w:hAnsi="Arial Narrow"/>
                <w:b/>
                <w:i/>
                <w:sz w:val="20"/>
              </w:rPr>
              <w:t xml:space="preserve"> (%)</w:t>
            </w:r>
          </w:p>
        </w:tc>
      </w:tr>
      <w:tr w:rsidR="00583884" w:rsidRPr="00051C8C" w:rsidTr="001D1522">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83884" w:rsidRPr="00051C8C" w:rsidRDefault="00583884" w:rsidP="0022792B">
            <w:pPr>
              <w:rPr>
                <w:rFonts w:ascii="Arial Narrow" w:hAnsi="Arial Narrow"/>
                <w:b/>
                <w:i/>
                <w:sz w:val="20"/>
              </w:rPr>
            </w:pPr>
            <w:r w:rsidRPr="00051C8C">
              <w:rPr>
                <w:rFonts w:ascii="Arial Narrow" w:hAnsi="Arial Narrow"/>
                <w:b/>
                <w:i/>
                <w:sz w:val="20"/>
              </w:rPr>
              <w:t>Week 78</w:t>
            </w:r>
          </w:p>
        </w:tc>
      </w:tr>
      <w:tr w:rsidR="00583884" w:rsidRPr="00051C8C" w:rsidTr="001D1522">
        <w:tc>
          <w:tcPr>
            <w:tcW w:w="1699" w:type="pct"/>
            <w:gridSpan w:val="2"/>
            <w:tcBorders>
              <w:top w:val="single" w:sz="4" w:space="0" w:color="auto"/>
              <w:left w:val="single" w:sz="4" w:space="0" w:color="auto"/>
              <w:bottom w:val="single" w:sz="4" w:space="0" w:color="auto"/>
              <w:right w:val="single" w:sz="4" w:space="0" w:color="auto"/>
            </w:tcBorders>
            <w:vAlign w:val="center"/>
            <w:hideMark/>
          </w:tcPr>
          <w:p w:rsidR="00583884" w:rsidRPr="00826E28" w:rsidRDefault="00583884" w:rsidP="0022792B">
            <w:pPr>
              <w:spacing w:before="40" w:after="20"/>
              <w:rPr>
                <w:rFonts w:ascii="Arial Narrow" w:hAnsi="Arial Narrow"/>
                <w:b/>
                <w:i/>
                <w:sz w:val="20"/>
              </w:rPr>
            </w:pPr>
            <w:r w:rsidRPr="00051C8C">
              <w:rPr>
                <w:rFonts w:ascii="Arial Narrow" w:hAnsi="Arial Narrow"/>
                <w:i/>
                <w:sz w:val="20"/>
              </w:rPr>
              <w:t>TEAEs</w:t>
            </w:r>
          </w:p>
        </w:tc>
        <w:tc>
          <w:tcPr>
            <w:tcW w:w="936"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81 (40.3%)</w:t>
            </w:r>
          </w:p>
        </w:tc>
        <w:tc>
          <w:tcPr>
            <w:tcW w:w="1189"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34 (36.2%)</w:t>
            </w:r>
          </w:p>
        </w:tc>
        <w:tc>
          <w:tcPr>
            <w:tcW w:w="1177" w:type="pct"/>
            <w:tcBorders>
              <w:top w:val="single" w:sz="4" w:space="0" w:color="auto"/>
              <w:left w:val="single" w:sz="4" w:space="0" w:color="auto"/>
              <w:bottom w:val="single" w:sz="4" w:space="0" w:color="auto"/>
              <w:right w:val="single" w:sz="4" w:space="0" w:color="auto"/>
            </w:tcBorders>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36 (35.6%)</w:t>
            </w:r>
          </w:p>
        </w:tc>
      </w:tr>
      <w:tr w:rsidR="00583884" w:rsidRPr="00051C8C" w:rsidTr="001D1522">
        <w:tc>
          <w:tcPr>
            <w:tcW w:w="1699" w:type="pct"/>
            <w:gridSpan w:val="2"/>
            <w:tcBorders>
              <w:top w:val="single" w:sz="4" w:space="0" w:color="auto"/>
              <w:left w:val="single" w:sz="4" w:space="0" w:color="auto"/>
              <w:bottom w:val="single" w:sz="4" w:space="0" w:color="auto"/>
              <w:right w:val="single" w:sz="4" w:space="0" w:color="auto"/>
            </w:tcBorders>
            <w:vAlign w:val="center"/>
            <w:hideMark/>
          </w:tcPr>
          <w:p w:rsidR="00583884" w:rsidRPr="00826E28" w:rsidRDefault="00583884" w:rsidP="0022792B">
            <w:pPr>
              <w:spacing w:before="40" w:after="20"/>
              <w:rPr>
                <w:rFonts w:ascii="Arial Narrow" w:hAnsi="Arial Narrow"/>
                <w:b/>
                <w:i/>
                <w:sz w:val="20"/>
              </w:rPr>
            </w:pPr>
            <w:r w:rsidRPr="00051C8C">
              <w:rPr>
                <w:rFonts w:ascii="Arial Narrow" w:hAnsi="Arial Narrow"/>
                <w:i/>
                <w:sz w:val="20"/>
              </w:rPr>
              <w:t>Study drug-related TEAEs</w:t>
            </w:r>
          </w:p>
        </w:tc>
        <w:tc>
          <w:tcPr>
            <w:tcW w:w="936"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28 (13.9%)</w:t>
            </w:r>
          </w:p>
        </w:tc>
        <w:tc>
          <w:tcPr>
            <w:tcW w:w="1189"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13 (13.8%)</w:t>
            </w:r>
          </w:p>
        </w:tc>
        <w:tc>
          <w:tcPr>
            <w:tcW w:w="1177" w:type="pct"/>
            <w:tcBorders>
              <w:top w:val="single" w:sz="4" w:space="0" w:color="auto"/>
              <w:left w:val="single" w:sz="4" w:space="0" w:color="auto"/>
              <w:bottom w:val="single" w:sz="4" w:space="0" w:color="auto"/>
              <w:right w:val="single" w:sz="4" w:space="0" w:color="auto"/>
            </w:tcBorders>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13 (12.9%)</w:t>
            </w:r>
          </w:p>
        </w:tc>
      </w:tr>
      <w:tr w:rsidR="00583884" w:rsidRPr="00051C8C" w:rsidTr="001D1522">
        <w:tc>
          <w:tcPr>
            <w:tcW w:w="1699" w:type="pct"/>
            <w:gridSpan w:val="2"/>
            <w:tcBorders>
              <w:top w:val="single" w:sz="4" w:space="0" w:color="auto"/>
              <w:left w:val="single" w:sz="4" w:space="0" w:color="auto"/>
              <w:bottom w:val="single" w:sz="4" w:space="0" w:color="auto"/>
              <w:right w:val="single" w:sz="4" w:space="0" w:color="auto"/>
            </w:tcBorders>
            <w:vAlign w:val="center"/>
            <w:hideMark/>
          </w:tcPr>
          <w:p w:rsidR="00583884" w:rsidRPr="00826E28" w:rsidRDefault="00583884" w:rsidP="0022792B">
            <w:pPr>
              <w:spacing w:before="40" w:after="20"/>
              <w:rPr>
                <w:rFonts w:ascii="Arial Narrow" w:hAnsi="Arial Narrow"/>
                <w:b/>
                <w:i/>
                <w:sz w:val="20"/>
              </w:rPr>
            </w:pPr>
            <w:r w:rsidRPr="00051C8C">
              <w:rPr>
                <w:rFonts w:ascii="Arial Narrow" w:hAnsi="Arial Narrow"/>
                <w:i/>
                <w:sz w:val="20"/>
              </w:rPr>
              <w:t>Serious TEAEs (SAEs)</w:t>
            </w:r>
          </w:p>
        </w:tc>
        <w:tc>
          <w:tcPr>
            <w:tcW w:w="936"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7 (3.5%)</w:t>
            </w:r>
          </w:p>
        </w:tc>
        <w:tc>
          <w:tcPr>
            <w:tcW w:w="1189"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6 (6.4%)</w:t>
            </w:r>
          </w:p>
        </w:tc>
        <w:tc>
          <w:tcPr>
            <w:tcW w:w="1177" w:type="pct"/>
            <w:tcBorders>
              <w:top w:val="single" w:sz="4" w:space="0" w:color="auto"/>
              <w:left w:val="single" w:sz="4" w:space="0" w:color="auto"/>
              <w:bottom w:val="single" w:sz="4" w:space="0" w:color="auto"/>
              <w:right w:val="single" w:sz="4" w:space="0" w:color="auto"/>
            </w:tcBorders>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3 (3.0%)</w:t>
            </w:r>
          </w:p>
        </w:tc>
      </w:tr>
      <w:tr w:rsidR="00583884" w:rsidRPr="00051C8C" w:rsidTr="001D1522">
        <w:tc>
          <w:tcPr>
            <w:tcW w:w="1699" w:type="pct"/>
            <w:gridSpan w:val="2"/>
            <w:tcBorders>
              <w:top w:val="single" w:sz="4" w:space="0" w:color="auto"/>
              <w:left w:val="single" w:sz="4" w:space="0" w:color="auto"/>
              <w:bottom w:val="single" w:sz="4" w:space="0" w:color="auto"/>
              <w:right w:val="single" w:sz="4" w:space="0" w:color="auto"/>
            </w:tcBorders>
            <w:vAlign w:val="center"/>
            <w:hideMark/>
          </w:tcPr>
          <w:p w:rsidR="00583884" w:rsidRPr="00826E28" w:rsidRDefault="00583884" w:rsidP="0022792B">
            <w:pPr>
              <w:spacing w:before="40" w:after="20"/>
              <w:rPr>
                <w:rFonts w:ascii="Arial Narrow" w:hAnsi="Arial Narrow"/>
                <w:b/>
                <w:i/>
                <w:sz w:val="20"/>
              </w:rPr>
            </w:pPr>
            <w:r w:rsidRPr="00051C8C">
              <w:rPr>
                <w:rFonts w:ascii="Arial Narrow" w:hAnsi="Arial Narrow"/>
                <w:i/>
                <w:sz w:val="20"/>
              </w:rPr>
              <w:t>Study drug-related SAEs</w:t>
            </w:r>
          </w:p>
        </w:tc>
        <w:tc>
          <w:tcPr>
            <w:tcW w:w="936"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2 (1.0%)</w:t>
            </w:r>
          </w:p>
        </w:tc>
        <w:tc>
          <w:tcPr>
            <w:tcW w:w="1189"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4 (4.3%)</w:t>
            </w:r>
          </w:p>
        </w:tc>
        <w:tc>
          <w:tcPr>
            <w:tcW w:w="1177" w:type="pct"/>
            <w:tcBorders>
              <w:top w:val="single" w:sz="4" w:space="0" w:color="auto"/>
              <w:left w:val="single" w:sz="4" w:space="0" w:color="auto"/>
              <w:bottom w:val="single" w:sz="4" w:space="0" w:color="auto"/>
              <w:right w:val="single" w:sz="4" w:space="0" w:color="auto"/>
            </w:tcBorders>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2 (2.0%)</w:t>
            </w:r>
          </w:p>
        </w:tc>
      </w:tr>
      <w:tr w:rsidR="00583884" w:rsidRPr="00051C8C" w:rsidTr="001D1522">
        <w:tc>
          <w:tcPr>
            <w:tcW w:w="1699" w:type="pct"/>
            <w:gridSpan w:val="2"/>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rPr>
                <w:rFonts w:ascii="Arial Narrow" w:hAnsi="Arial Narrow"/>
                <w:i/>
                <w:sz w:val="20"/>
              </w:rPr>
            </w:pPr>
            <w:r w:rsidRPr="00051C8C">
              <w:rPr>
                <w:rFonts w:ascii="Arial Narrow" w:hAnsi="Arial Narrow"/>
                <w:i/>
                <w:sz w:val="20"/>
              </w:rPr>
              <w:t xml:space="preserve">TEAEs of special </w:t>
            </w:r>
            <w:proofErr w:type="spellStart"/>
            <w:r w:rsidRPr="00051C8C">
              <w:rPr>
                <w:rFonts w:ascii="Arial Narrow" w:hAnsi="Arial Narrow"/>
                <w:i/>
                <w:sz w:val="20"/>
              </w:rPr>
              <w:t>interest</w:t>
            </w:r>
            <w:r w:rsidRPr="00051C8C">
              <w:rPr>
                <w:rFonts w:ascii="Arial Narrow" w:hAnsi="Arial Narrow"/>
                <w:i/>
                <w:sz w:val="20"/>
                <w:vertAlign w:val="superscript"/>
              </w:rPr>
              <w:t>a</w:t>
            </w:r>
            <w:proofErr w:type="spellEnd"/>
          </w:p>
        </w:tc>
        <w:tc>
          <w:tcPr>
            <w:tcW w:w="936"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1 (0.5%)</w:t>
            </w:r>
          </w:p>
        </w:tc>
        <w:tc>
          <w:tcPr>
            <w:tcW w:w="1189"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2 (2.1%)</w:t>
            </w:r>
          </w:p>
        </w:tc>
        <w:tc>
          <w:tcPr>
            <w:tcW w:w="1177" w:type="pct"/>
            <w:tcBorders>
              <w:top w:val="single" w:sz="4" w:space="0" w:color="auto"/>
              <w:left w:val="single" w:sz="4" w:space="0" w:color="auto"/>
              <w:bottom w:val="single" w:sz="4" w:space="0" w:color="auto"/>
              <w:right w:val="single" w:sz="4" w:space="0" w:color="auto"/>
            </w:tcBorders>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1 (1.0%)</w:t>
            </w:r>
          </w:p>
        </w:tc>
      </w:tr>
      <w:tr w:rsidR="00583884" w:rsidRPr="00051C8C" w:rsidTr="001D1522">
        <w:tc>
          <w:tcPr>
            <w:tcW w:w="1699" w:type="pct"/>
            <w:gridSpan w:val="2"/>
            <w:tcBorders>
              <w:top w:val="single" w:sz="4" w:space="0" w:color="auto"/>
              <w:left w:val="single" w:sz="4" w:space="0" w:color="auto"/>
              <w:bottom w:val="single" w:sz="4" w:space="0" w:color="auto"/>
              <w:right w:val="single" w:sz="4" w:space="0" w:color="auto"/>
            </w:tcBorders>
            <w:vAlign w:val="center"/>
            <w:hideMark/>
          </w:tcPr>
          <w:p w:rsidR="00583884" w:rsidRPr="00826E28" w:rsidRDefault="00583884" w:rsidP="0022792B">
            <w:pPr>
              <w:spacing w:before="40" w:after="20"/>
              <w:rPr>
                <w:rFonts w:ascii="Arial Narrow" w:hAnsi="Arial Narrow"/>
                <w:b/>
                <w:i/>
                <w:sz w:val="20"/>
              </w:rPr>
            </w:pPr>
            <w:r w:rsidRPr="00051C8C">
              <w:rPr>
                <w:rFonts w:ascii="Arial Narrow" w:hAnsi="Arial Narrow"/>
                <w:i/>
                <w:sz w:val="20"/>
              </w:rPr>
              <w:t>TEAEs leading to study drug discontinuation</w:t>
            </w:r>
          </w:p>
        </w:tc>
        <w:tc>
          <w:tcPr>
            <w:tcW w:w="936"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3 (1.5%)</w:t>
            </w:r>
          </w:p>
        </w:tc>
        <w:tc>
          <w:tcPr>
            <w:tcW w:w="1189"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3 (3.2%)</w:t>
            </w:r>
          </w:p>
        </w:tc>
        <w:tc>
          <w:tcPr>
            <w:tcW w:w="1177" w:type="pct"/>
            <w:tcBorders>
              <w:top w:val="single" w:sz="4" w:space="0" w:color="auto"/>
              <w:left w:val="single" w:sz="4" w:space="0" w:color="auto"/>
              <w:bottom w:val="single" w:sz="4" w:space="0" w:color="auto"/>
              <w:right w:val="single" w:sz="4" w:space="0" w:color="auto"/>
            </w:tcBorders>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3 (3.0%)</w:t>
            </w:r>
          </w:p>
        </w:tc>
      </w:tr>
      <w:tr w:rsidR="00583884" w:rsidRPr="00051C8C" w:rsidTr="001D1522">
        <w:tc>
          <w:tcPr>
            <w:tcW w:w="1699" w:type="pct"/>
            <w:gridSpan w:val="2"/>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rPr>
                <w:rFonts w:ascii="Arial Narrow" w:hAnsi="Arial Narrow"/>
                <w:i/>
                <w:sz w:val="20"/>
              </w:rPr>
            </w:pPr>
            <w:r w:rsidRPr="00051C8C">
              <w:rPr>
                <w:rFonts w:ascii="Arial Narrow" w:hAnsi="Arial Narrow"/>
                <w:i/>
                <w:sz w:val="20"/>
              </w:rPr>
              <w:t>TEAEs associated with an infusion-related reaction</w:t>
            </w:r>
          </w:p>
        </w:tc>
        <w:tc>
          <w:tcPr>
            <w:tcW w:w="936"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7 (3.5%)</w:t>
            </w:r>
          </w:p>
        </w:tc>
        <w:tc>
          <w:tcPr>
            <w:tcW w:w="1189" w:type="pct"/>
            <w:tcBorders>
              <w:top w:val="single" w:sz="4" w:space="0" w:color="auto"/>
              <w:left w:val="single" w:sz="4" w:space="0" w:color="auto"/>
              <w:bottom w:val="single" w:sz="4" w:space="0" w:color="auto"/>
              <w:right w:val="single" w:sz="4" w:space="0" w:color="auto"/>
            </w:tcBorders>
            <w:vAlign w:val="center"/>
            <w:hideMark/>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3 (3.2%)</w:t>
            </w:r>
          </w:p>
        </w:tc>
        <w:tc>
          <w:tcPr>
            <w:tcW w:w="1177" w:type="pct"/>
            <w:tcBorders>
              <w:top w:val="single" w:sz="4" w:space="0" w:color="auto"/>
              <w:left w:val="single" w:sz="4" w:space="0" w:color="auto"/>
              <w:bottom w:val="single" w:sz="4" w:space="0" w:color="auto"/>
              <w:right w:val="single" w:sz="4" w:space="0" w:color="auto"/>
            </w:tcBorders>
          </w:tcPr>
          <w:p w:rsidR="00583884" w:rsidRPr="00FC628F" w:rsidRDefault="00583884" w:rsidP="0022792B">
            <w:pPr>
              <w:spacing w:before="40" w:after="20"/>
              <w:jc w:val="center"/>
              <w:rPr>
                <w:rFonts w:ascii="Arial Narrow" w:hAnsi="Arial Narrow"/>
                <w:i/>
                <w:sz w:val="20"/>
              </w:rPr>
            </w:pPr>
            <w:r w:rsidRPr="00051C8C">
              <w:rPr>
                <w:rFonts w:ascii="Arial Narrow" w:hAnsi="Arial Narrow"/>
                <w:i/>
                <w:sz w:val="20"/>
              </w:rPr>
              <w:t>2 (2.0%)</w:t>
            </w:r>
          </w:p>
        </w:tc>
      </w:tr>
    </w:tbl>
    <w:p w:rsidR="00583884" w:rsidRPr="00051C8C" w:rsidRDefault="00583884" w:rsidP="00964A4A">
      <w:pPr>
        <w:ind w:firstLine="720"/>
        <w:rPr>
          <w:rFonts w:ascii="Arial Narrow" w:hAnsi="Arial Narrow"/>
          <w:i/>
          <w:sz w:val="18"/>
          <w:szCs w:val="18"/>
          <w:lang w:eastAsia="zh-CN"/>
        </w:rPr>
      </w:pPr>
      <w:r w:rsidRPr="00051C8C">
        <w:rPr>
          <w:rFonts w:ascii="Arial Narrow" w:hAnsi="Arial Narrow"/>
          <w:i/>
          <w:sz w:val="18"/>
          <w:szCs w:val="18"/>
          <w:lang w:eastAsia="zh-CN"/>
        </w:rPr>
        <w:t>Ex-SAF = Extended Safety Set; TEAE = treatment-emergent adverse event; SAE = serious treatment-emergent adverse event</w:t>
      </w:r>
    </w:p>
    <w:p w:rsidR="00583884" w:rsidRPr="00051C8C" w:rsidRDefault="00583884" w:rsidP="00964A4A">
      <w:pPr>
        <w:pStyle w:val="TableFooter"/>
        <w:ind w:firstLine="720"/>
        <w:rPr>
          <w:i/>
          <w:szCs w:val="18"/>
        </w:rPr>
      </w:pPr>
      <w:proofErr w:type="gramStart"/>
      <w:r w:rsidRPr="00051C8C">
        <w:rPr>
          <w:i/>
          <w:szCs w:val="18"/>
          <w:vertAlign w:val="superscript"/>
        </w:rPr>
        <w:t>a</w:t>
      </w:r>
      <w:proofErr w:type="gramEnd"/>
      <w:r w:rsidRPr="00051C8C">
        <w:rPr>
          <w:i/>
          <w:szCs w:val="18"/>
        </w:rPr>
        <w:t xml:space="preserve"> Serious infection or tuberculosis (TB)</w:t>
      </w:r>
    </w:p>
    <w:p w:rsidR="00583884" w:rsidRPr="00051C8C" w:rsidRDefault="00583884" w:rsidP="00964A4A">
      <w:pPr>
        <w:pStyle w:val="TableFooter"/>
        <w:ind w:firstLine="720"/>
        <w:rPr>
          <w:i/>
        </w:rPr>
      </w:pPr>
      <w:r w:rsidRPr="00051C8C">
        <w:rPr>
          <w:i/>
        </w:rPr>
        <w:t xml:space="preserve">Source: </w:t>
      </w:r>
      <w:r w:rsidRPr="00051C8C">
        <w:rPr>
          <w:i/>
          <w:szCs w:val="18"/>
        </w:rPr>
        <w:t>Trial SB2-G31-RA 78-week CSR, Table 12-5, pp126-127</w:t>
      </w:r>
    </w:p>
    <w:p w:rsidR="00583884" w:rsidRPr="00051C8C" w:rsidRDefault="00583884" w:rsidP="00583884">
      <w:pPr>
        <w:pStyle w:val="PBACHeading1"/>
        <w:numPr>
          <w:ilvl w:val="0"/>
          <w:numId w:val="0"/>
        </w:numPr>
        <w:ind w:left="720" w:hanging="720"/>
      </w:pPr>
    </w:p>
    <w:p w:rsidR="00A56FC6" w:rsidRPr="00D543A5" w:rsidRDefault="00A56FC6" w:rsidP="00A56FC6">
      <w:pPr>
        <w:pStyle w:val="ListParagraph"/>
        <w:widowControl/>
        <w:numPr>
          <w:ilvl w:val="1"/>
          <w:numId w:val="5"/>
        </w:numPr>
        <w:rPr>
          <w:szCs w:val="22"/>
        </w:rPr>
      </w:pPr>
      <w:r w:rsidRPr="00051C8C">
        <w:rPr>
          <w:szCs w:val="22"/>
        </w:rPr>
        <w:t xml:space="preserve">There was a numerically higher rate of TEAEs for patients who continued on </w:t>
      </w:r>
      <w:proofErr w:type="spellStart"/>
      <w:r w:rsidR="00D543A5">
        <w:rPr>
          <w:szCs w:val="22"/>
        </w:rPr>
        <w:t>Renflexis</w:t>
      </w:r>
      <w:proofErr w:type="spellEnd"/>
      <w:r w:rsidRPr="00D543A5">
        <w:rPr>
          <w:szCs w:val="22"/>
        </w:rPr>
        <w:t xml:space="preserve">, compared to patients in the </w:t>
      </w:r>
      <w:proofErr w:type="spellStart"/>
      <w:r w:rsidRPr="00D543A5">
        <w:rPr>
          <w:szCs w:val="22"/>
        </w:rPr>
        <w:t>Remicade</w:t>
      </w:r>
      <w:proofErr w:type="spellEnd"/>
      <w:r w:rsidRPr="00D543A5">
        <w:rPr>
          <w:szCs w:val="22"/>
        </w:rPr>
        <w:t>/</w:t>
      </w:r>
      <w:proofErr w:type="spellStart"/>
      <w:r w:rsidRPr="00D543A5">
        <w:rPr>
          <w:szCs w:val="22"/>
        </w:rPr>
        <w:t>Re</w:t>
      </w:r>
      <w:r w:rsidR="00D543A5">
        <w:rPr>
          <w:szCs w:val="22"/>
        </w:rPr>
        <w:t>micade</w:t>
      </w:r>
      <w:proofErr w:type="spellEnd"/>
      <w:r w:rsidR="00D543A5">
        <w:rPr>
          <w:szCs w:val="22"/>
        </w:rPr>
        <w:t xml:space="preserve"> and </w:t>
      </w:r>
      <w:proofErr w:type="spellStart"/>
      <w:r w:rsidR="00D543A5">
        <w:rPr>
          <w:szCs w:val="22"/>
        </w:rPr>
        <w:t>Remicade</w:t>
      </w:r>
      <w:proofErr w:type="spellEnd"/>
      <w:r w:rsidR="00D543A5">
        <w:rPr>
          <w:szCs w:val="22"/>
        </w:rPr>
        <w:t>/</w:t>
      </w:r>
      <w:proofErr w:type="spellStart"/>
      <w:r w:rsidR="00D543A5">
        <w:rPr>
          <w:szCs w:val="22"/>
        </w:rPr>
        <w:t>Renflexis</w:t>
      </w:r>
      <w:proofErr w:type="spellEnd"/>
      <w:r w:rsidRPr="00D543A5">
        <w:rPr>
          <w:szCs w:val="22"/>
        </w:rPr>
        <w:t xml:space="preserve"> treatment groups at week 78. There were no substantial differences in TEAEs between the </w:t>
      </w:r>
      <w:proofErr w:type="spellStart"/>
      <w:r w:rsidRPr="00D543A5">
        <w:rPr>
          <w:szCs w:val="22"/>
        </w:rPr>
        <w:t>Re</w:t>
      </w:r>
      <w:r w:rsidR="00D543A5">
        <w:rPr>
          <w:szCs w:val="22"/>
        </w:rPr>
        <w:t>micade</w:t>
      </w:r>
      <w:proofErr w:type="spellEnd"/>
      <w:r w:rsidR="00D543A5">
        <w:rPr>
          <w:szCs w:val="22"/>
        </w:rPr>
        <w:t>/</w:t>
      </w:r>
      <w:proofErr w:type="spellStart"/>
      <w:r w:rsidR="00D543A5">
        <w:rPr>
          <w:szCs w:val="22"/>
        </w:rPr>
        <w:t>Remicade</w:t>
      </w:r>
      <w:proofErr w:type="spellEnd"/>
      <w:r w:rsidR="00D543A5">
        <w:rPr>
          <w:szCs w:val="22"/>
        </w:rPr>
        <w:t xml:space="preserve"> and </w:t>
      </w:r>
      <w:proofErr w:type="spellStart"/>
      <w:r w:rsidR="00D543A5">
        <w:rPr>
          <w:szCs w:val="22"/>
        </w:rPr>
        <w:t>Remicade</w:t>
      </w:r>
      <w:proofErr w:type="spellEnd"/>
      <w:r w:rsidR="00D543A5">
        <w:rPr>
          <w:szCs w:val="22"/>
        </w:rPr>
        <w:t>/</w:t>
      </w:r>
      <w:proofErr w:type="spellStart"/>
      <w:r w:rsidR="00D543A5">
        <w:rPr>
          <w:szCs w:val="22"/>
        </w:rPr>
        <w:t>Renflexis</w:t>
      </w:r>
      <w:proofErr w:type="spellEnd"/>
      <w:r w:rsidRPr="00D543A5">
        <w:rPr>
          <w:szCs w:val="22"/>
        </w:rPr>
        <w:t xml:space="preserve"> groups. </w:t>
      </w:r>
    </w:p>
    <w:p w:rsidR="00A56FC6" w:rsidRPr="00F1715F" w:rsidRDefault="00A56FC6" w:rsidP="00A56FC6">
      <w:pPr>
        <w:pStyle w:val="PBACHeading1"/>
        <w:numPr>
          <w:ilvl w:val="0"/>
          <w:numId w:val="0"/>
        </w:numPr>
        <w:ind w:left="720" w:hanging="720"/>
      </w:pPr>
    </w:p>
    <w:p w:rsidR="00A56FC6" w:rsidRPr="00D543A5" w:rsidRDefault="0029689F" w:rsidP="00A56FC6">
      <w:pPr>
        <w:pStyle w:val="ListParagraph"/>
        <w:widowControl/>
        <w:numPr>
          <w:ilvl w:val="1"/>
          <w:numId w:val="5"/>
        </w:numPr>
        <w:rPr>
          <w:szCs w:val="22"/>
        </w:rPr>
      </w:pPr>
      <w:r>
        <w:rPr>
          <w:szCs w:val="22"/>
        </w:rPr>
        <w:t>T</w:t>
      </w:r>
      <w:r w:rsidR="00A56FC6" w:rsidRPr="00F1715F">
        <w:rPr>
          <w:szCs w:val="22"/>
        </w:rPr>
        <w:t xml:space="preserve">he </w:t>
      </w:r>
      <w:r w:rsidR="00FC628F">
        <w:rPr>
          <w:szCs w:val="22"/>
        </w:rPr>
        <w:t>proportion of patients (in the e</w:t>
      </w:r>
      <w:r w:rsidR="00A56FC6" w:rsidRPr="00F1715F">
        <w:rPr>
          <w:szCs w:val="22"/>
        </w:rPr>
        <w:t xml:space="preserve">xtended </w:t>
      </w:r>
      <w:r w:rsidR="00FC628F">
        <w:rPr>
          <w:szCs w:val="22"/>
        </w:rPr>
        <w:t>safety set</w:t>
      </w:r>
      <w:r w:rsidR="00A56FC6" w:rsidRPr="00F1715F">
        <w:rPr>
          <w:szCs w:val="22"/>
        </w:rPr>
        <w:t xml:space="preserve">) who had at least one positive anti-drug antibodies (ADA) result at week 78 was 53.6% in the </w:t>
      </w:r>
      <w:proofErr w:type="spellStart"/>
      <w:r w:rsidR="00D543A5">
        <w:rPr>
          <w:szCs w:val="22"/>
        </w:rPr>
        <w:t>Renflexis</w:t>
      </w:r>
      <w:proofErr w:type="spellEnd"/>
      <w:r w:rsidR="00D543A5">
        <w:rPr>
          <w:szCs w:val="22"/>
        </w:rPr>
        <w:t>/</w:t>
      </w:r>
      <w:proofErr w:type="spellStart"/>
      <w:r w:rsidR="00D543A5">
        <w:rPr>
          <w:szCs w:val="22"/>
        </w:rPr>
        <w:t>Renflexis</w:t>
      </w:r>
      <w:proofErr w:type="spellEnd"/>
      <w:r w:rsidR="00A56FC6" w:rsidRPr="00D543A5">
        <w:rPr>
          <w:szCs w:val="22"/>
        </w:rPr>
        <w:t xml:space="preserve"> group, 50.5% in the Remicade/Remicade grou</w:t>
      </w:r>
      <w:r w:rsidR="00D543A5">
        <w:rPr>
          <w:szCs w:val="22"/>
        </w:rPr>
        <w:t xml:space="preserve">p, and 45.7% in the </w:t>
      </w:r>
      <w:proofErr w:type="spellStart"/>
      <w:r w:rsidR="00D543A5">
        <w:rPr>
          <w:szCs w:val="22"/>
        </w:rPr>
        <w:t>Remicade</w:t>
      </w:r>
      <w:proofErr w:type="spellEnd"/>
      <w:r w:rsidR="00D543A5">
        <w:rPr>
          <w:szCs w:val="22"/>
        </w:rPr>
        <w:t>/</w:t>
      </w:r>
      <w:proofErr w:type="spellStart"/>
      <w:r w:rsidR="00D543A5">
        <w:rPr>
          <w:szCs w:val="22"/>
        </w:rPr>
        <w:t>Renflexis</w:t>
      </w:r>
      <w:proofErr w:type="spellEnd"/>
      <w:r w:rsidR="00A56FC6" w:rsidRPr="00D543A5">
        <w:rPr>
          <w:szCs w:val="22"/>
        </w:rPr>
        <w:t xml:space="preserve"> group. There were numerical differences between treatment groups at baseline (week 54) in the prevalence of ADA (60.7% for the </w:t>
      </w:r>
      <w:proofErr w:type="spellStart"/>
      <w:r w:rsidR="00D543A5">
        <w:rPr>
          <w:szCs w:val="22"/>
        </w:rPr>
        <w:t>Renflexis</w:t>
      </w:r>
      <w:proofErr w:type="spellEnd"/>
      <w:r w:rsidR="00D543A5">
        <w:rPr>
          <w:szCs w:val="22"/>
        </w:rPr>
        <w:t>/</w:t>
      </w:r>
      <w:proofErr w:type="spellStart"/>
      <w:r w:rsidR="00D543A5">
        <w:rPr>
          <w:szCs w:val="22"/>
        </w:rPr>
        <w:t>Renflexis</w:t>
      </w:r>
      <w:proofErr w:type="spellEnd"/>
      <w:r w:rsidR="00A56FC6" w:rsidRPr="00D543A5">
        <w:rPr>
          <w:szCs w:val="22"/>
        </w:rPr>
        <w:t xml:space="preserve"> group, 53.5% for the Remicade/Remicade group</w:t>
      </w:r>
      <w:r w:rsidR="00D543A5">
        <w:rPr>
          <w:szCs w:val="22"/>
        </w:rPr>
        <w:t xml:space="preserve">, and 56.4% for the </w:t>
      </w:r>
      <w:proofErr w:type="spellStart"/>
      <w:r w:rsidR="00D543A5">
        <w:rPr>
          <w:szCs w:val="22"/>
        </w:rPr>
        <w:t>Remicade</w:t>
      </w:r>
      <w:proofErr w:type="spellEnd"/>
      <w:r w:rsidR="00D543A5">
        <w:rPr>
          <w:szCs w:val="22"/>
        </w:rPr>
        <w:t>/</w:t>
      </w:r>
      <w:proofErr w:type="spellStart"/>
      <w:r w:rsidR="00D543A5">
        <w:rPr>
          <w:szCs w:val="22"/>
        </w:rPr>
        <w:t>Renflexis</w:t>
      </w:r>
      <w:proofErr w:type="spellEnd"/>
      <w:r w:rsidR="00A56FC6" w:rsidRPr="00D543A5">
        <w:rPr>
          <w:szCs w:val="22"/>
        </w:rPr>
        <w:t xml:space="preserve"> group). The 78 week CSR stated (p182) that the differences </w:t>
      </w:r>
      <w:r w:rsidR="00A56FC6" w:rsidRPr="00D543A5">
        <w:rPr>
          <w:szCs w:val="22"/>
        </w:rPr>
        <w:lastRenderedPageBreak/>
        <w:t>in ADA at week 78 may have been related to the differences in ADA at week 54.</w:t>
      </w:r>
      <w:r w:rsidR="00FC628F">
        <w:rPr>
          <w:szCs w:val="22"/>
        </w:rPr>
        <w:t xml:space="preserve"> The PBAC noted that the ACPM </w:t>
      </w:r>
      <w:r w:rsidR="00393785">
        <w:rPr>
          <w:szCs w:val="22"/>
        </w:rPr>
        <w:t>considered</w:t>
      </w:r>
      <w:r w:rsidR="00FC628F">
        <w:rPr>
          <w:szCs w:val="22"/>
        </w:rPr>
        <w:t xml:space="preserve"> that while ADAs were slightly higher in the </w:t>
      </w:r>
      <w:proofErr w:type="spellStart"/>
      <w:r w:rsidR="00FC628F">
        <w:rPr>
          <w:szCs w:val="22"/>
        </w:rPr>
        <w:t>Renflexis</w:t>
      </w:r>
      <w:proofErr w:type="spellEnd"/>
      <w:r w:rsidR="00FC628F">
        <w:rPr>
          <w:szCs w:val="22"/>
        </w:rPr>
        <w:t xml:space="preserve"> group, it did not appear to have a significant impact on efficacy or safety.</w:t>
      </w:r>
    </w:p>
    <w:p w:rsidR="00A56FC6" w:rsidRPr="00F1715F" w:rsidRDefault="00A56FC6" w:rsidP="00A56FC6">
      <w:pPr>
        <w:pStyle w:val="ListParagraph"/>
        <w:rPr>
          <w:szCs w:val="22"/>
        </w:rPr>
      </w:pPr>
    </w:p>
    <w:p w:rsidR="00A56FC6" w:rsidRPr="00051C8C" w:rsidRDefault="00A56FC6" w:rsidP="00A56FC6">
      <w:pPr>
        <w:pStyle w:val="ListParagraph"/>
        <w:widowControl/>
        <w:numPr>
          <w:ilvl w:val="1"/>
          <w:numId w:val="5"/>
        </w:numPr>
        <w:rPr>
          <w:szCs w:val="22"/>
        </w:rPr>
      </w:pPr>
      <w:r w:rsidRPr="00F1715F">
        <w:rPr>
          <w:szCs w:val="22"/>
        </w:rPr>
        <w:t xml:space="preserve">There was no further evidence in the transition-extension trial to suggest differences in the efficacy, safety and immunogenicity of </w:t>
      </w:r>
      <w:proofErr w:type="spellStart"/>
      <w:r w:rsidRPr="00F1715F">
        <w:rPr>
          <w:szCs w:val="22"/>
        </w:rPr>
        <w:t>Remicade</w:t>
      </w:r>
      <w:proofErr w:type="spellEnd"/>
      <w:r w:rsidRPr="00F1715F">
        <w:rPr>
          <w:szCs w:val="22"/>
        </w:rPr>
        <w:t xml:space="preserve">, </w:t>
      </w:r>
      <w:proofErr w:type="spellStart"/>
      <w:r w:rsidRPr="00F1715F">
        <w:rPr>
          <w:szCs w:val="22"/>
        </w:rPr>
        <w:t>Renflexis</w:t>
      </w:r>
      <w:proofErr w:type="spellEnd"/>
      <w:r w:rsidRPr="00F1715F">
        <w:rPr>
          <w:szCs w:val="22"/>
        </w:rPr>
        <w:t xml:space="preserve">, or switching from </w:t>
      </w:r>
      <w:proofErr w:type="spellStart"/>
      <w:r w:rsidRPr="00F1715F">
        <w:rPr>
          <w:szCs w:val="22"/>
        </w:rPr>
        <w:t>Remicade</w:t>
      </w:r>
      <w:proofErr w:type="spellEnd"/>
      <w:r w:rsidRPr="00F1715F">
        <w:rPr>
          <w:szCs w:val="22"/>
        </w:rPr>
        <w:t xml:space="preserve"> to </w:t>
      </w:r>
      <w:proofErr w:type="spellStart"/>
      <w:r w:rsidRPr="00F1715F">
        <w:rPr>
          <w:szCs w:val="22"/>
        </w:rPr>
        <w:t>Renflexis</w:t>
      </w:r>
      <w:proofErr w:type="spellEnd"/>
      <w:r w:rsidRPr="00F1715F">
        <w:rPr>
          <w:szCs w:val="22"/>
        </w:rPr>
        <w:t>.</w:t>
      </w:r>
      <w:r w:rsidR="0038749D" w:rsidRPr="00F1715F">
        <w:rPr>
          <w:szCs w:val="22"/>
        </w:rPr>
        <w:t xml:space="preserve"> However,</w:t>
      </w:r>
      <w:r w:rsidR="0038749D" w:rsidRPr="008C4A7D">
        <w:rPr>
          <w:szCs w:val="22"/>
        </w:rPr>
        <w:t xml:space="preserve"> </w:t>
      </w:r>
      <w:r w:rsidR="0038749D" w:rsidRPr="00DA46F0">
        <w:rPr>
          <w:szCs w:val="22"/>
        </w:rPr>
        <w:t>t</w:t>
      </w:r>
      <w:r w:rsidR="0038749D" w:rsidRPr="0022792B">
        <w:rPr>
          <w:szCs w:val="22"/>
        </w:rPr>
        <w:t>h</w:t>
      </w:r>
      <w:r w:rsidR="0038749D" w:rsidRPr="001016C5">
        <w:rPr>
          <w:szCs w:val="22"/>
        </w:rPr>
        <w:t>is was</w:t>
      </w:r>
      <w:r w:rsidRPr="001016C5">
        <w:rPr>
          <w:szCs w:val="22"/>
        </w:rPr>
        <w:t xml:space="preserve"> in the context of small sample sizes in the transition-extension period that may not</w:t>
      </w:r>
      <w:r w:rsidRPr="00051C8C">
        <w:rPr>
          <w:szCs w:val="22"/>
        </w:rPr>
        <w:t xml:space="preserve"> have been powered to detect differences in these outcomes.</w:t>
      </w:r>
    </w:p>
    <w:p w:rsidR="00F11530" w:rsidRPr="001016C5" w:rsidRDefault="00F11530" w:rsidP="00F11530"/>
    <w:p w:rsidR="00F11530" w:rsidRPr="00964A4A" w:rsidRDefault="00F11530" w:rsidP="005337AB">
      <w:pPr>
        <w:pStyle w:val="Heading3"/>
      </w:pPr>
      <w:bookmarkStart w:id="16" w:name="_Toc461606010"/>
      <w:r w:rsidRPr="00964A4A">
        <w:t>Clinical claim</w:t>
      </w:r>
      <w:bookmarkEnd w:id="16"/>
    </w:p>
    <w:p w:rsidR="00F11530" w:rsidRPr="00051C8C" w:rsidRDefault="00F11530" w:rsidP="00F11530">
      <w:pPr>
        <w:ind w:left="720" w:hanging="720"/>
        <w:rPr>
          <w:szCs w:val="22"/>
        </w:rPr>
      </w:pPr>
    </w:p>
    <w:p w:rsidR="00F11530" w:rsidRPr="00051C8C" w:rsidRDefault="00F11530" w:rsidP="00F11530">
      <w:pPr>
        <w:pStyle w:val="ListParagraph"/>
        <w:widowControl/>
        <w:numPr>
          <w:ilvl w:val="1"/>
          <w:numId w:val="5"/>
        </w:numPr>
        <w:rPr>
          <w:szCs w:val="22"/>
        </w:rPr>
      </w:pPr>
      <w:r w:rsidRPr="00051C8C">
        <w:t xml:space="preserve">The submission described </w:t>
      </w:r>
      <w:proofErr w:type="spellStart"/>
      <w:r w:rsidR="001539AA" w:rsidRPr="00051C8C">
        <w:t>Renflexis</w:t>
      </w:r>
      <w:proofErr w:type="spellEnd"/>
      <w:r w:rsidR="001539AA" w:rsidRPr="00051C8C">
        <w:t xml:space="preserve"> </w:t>
      </w:r>
      <w:r w:rsidRPr="00051C8C">
        <w:t xml:space="preserve">as equivalent in terms of comparative effectiveness and comparable in terms of comparative safety over Remicade. </w:t>
      </w:r>
      <w:r w:rsidRPr="00051C8C">
        <w:rPr>
          <w:iCs/>
        </w:rPr>
        <w:t xml:space="preserve">The </w:t>
      </w:r>
      <w:r w:rsidR="0029689F">
        <w:rPr>
          <w:iCs/>
        </w:rPr>
        <w:t xml:space="preserve">PBAC considered that the </w:t>
      </w:r>
      <w:r w:rsidRPr="00051C8C">
        <w:rPr>
          <w:iCs/>
        </w:rPr>
        <w:t xml:space="preserve">submission’s claim </w:t>
      </w:r>
      <w:r w:rsidR="001016C5">
        <w:rPr>
          <w:iCs/>
        </w:rPr>
        <w:t>was</w:t>
      </w:r>
      <w:r w:rsidRPr="001016C5">
        <w:rPr>
          <w:iCs/>
        </w:rPr>
        <w:t xml:space="preserve"> reasonable for patients with moderate to severe rheumatoid arthritis, </w:t>
      </w:r>
      <w:r w:rsidRPr="00051C8C">
        <w:rPr>
          <w:szCs w:val="22"/>
        </w:rPr>
        <w:t xml:space="preserve">supported by the evidence from </w:t>
      </w:r>
      <w:r w:rsidR="00D8581A" w:rsidRPr="00051C8C">
        <w:rPr>
          <w:szCs w:val="22"/>
        </w:rPr>
        <w:t xml:space="preserve">trial </w:t>
      </w:r>
      <w:r w:rsidRPr="00051C8C">
        <w:rPr>
          <w:szCs w:val="22"/>
        </w:rPr>
        <w:t>SB2-G31-RA</w:t>
      </w:r>
      <w:r w:rsidRPr="00051C8C">
        <w:rPr>
          <w:iCs/>
        </w:rPr>
        <w:t>.</w:t>
      </w:r>
      <w:r w:rsidRPr="00051C8C">
        <w:t xml:space="preserve"> </w:t>
      </w:r>
    </w:p>
    <w:p w:rsidR="00F11530" w:rsidRPr="00051C8C" w:rsidRDefault="00F11530" w:rsidP="00F11530">
      <w:pPr>
        <w:pStyle w:val="ListParagraph"/>
        <w:rPr>
          <w:szCs w:val="22"/>
        </w:rPr>
      </w:pPr>
    </w:p>
    <w:p w:rsidR="00F11530" w:rsidRPr="00051C8C" w:rsidRDefault="00F11530" w:rsidP="00F11530">
      <w:pPr>
        <w:pStyle w:val="ListParagraph"/>
        <w:widowControl/>
        <w:numPr>
          <w:ilvl w:val="1"/>
          <w:numId w:val="5"/>
        </w:numPr>
        <w:rPr>
          <w:szCs w:val="22"/>
        </w:rPr>
      </w:pPr>
      <w:r w:rsidRPr="00051C8C">
        <w:rPr>
          <w:szCs w:val="22"/>
        </w:rPr>
        <w:t>.</w:t>
      </w:r>
      <w:r w:rsidR="00FC628F">
        <w:rPr>
          <w:szCs w:val="22"/>
        </w:rPr>
        <w:t xml:space="preserve"> The PBAC noted the ACPM advice that declared </w:t>
      </w:r>
      <w:proofErr w:type="spellStart"/>
      <w:r w:rsidR="00FC628F">
        <w:rPr>
          <w:szCs w:val="22"/>
        </w:rPr>
        <w:t>Renflexis</w:t>
      </w:r>
      <w:proofErr w:type="spellEnd"/>
      <w:r w:rsidR="00FC628F">
        <w:rPr>
          <w:szCs w:val="22"/>
        </w:rPr>
        <w:t xml:space="preserve"> as a </w:t>
      </w:r>
      <w:proofErr w:type="spellStart"/>
      <w:r w:rsidR="00FC628F">
        <w:rPr>
          <w:szCs w:val="22"/>
        </w:rPr>
        <w:t>biosimilar</w:t>
      </w:r>
      <w:proofErr w:type="spellEnd"/>
      <w:r w:rsidR="00FC628F">
        <w:rPr>
          <w:szCs w:val="22"/>
        </w:rPr>
        <w:t xml:space="preserve"> of Remicade</w:t>
      </w:r>
      <w:r w:rsidR="00393785">
        <w:rPr>
          <w:szCs w:val="22"/>
        </w:rPr>
        <w:t xml:space="preserve"> and was satisfied to extrapolate the results of the rheumatoid arthritis trial to all indications, including the inflammatory bowel disease indications</w:t>
      </w:r>
      <w:r w:rsidR="00FC628F">
        <w:rPr>
          <w:szCs w:val="22"/>
        </w:rPr>
        <w:t>.</w:t>
      </w:r>
      <w:r w:rsidRPr="00051C8C">
        <w:rPr>
          <w:szCs w:val="22"/>
        </w:rPr>
        <w:t xml:space="preserve"> </w:t>
      </w:r>
    </w:p>
    <w:p w:rsidR="00F11530" w:rsidRPr="00051C8C" w:rsidRDefault="00F11530" w:rsidP="00F11530">
      <w:pPr>
        <w:widowControl/>
        <w:rPr>
          <w:szCs w:val="22"/>
        </w:rPr>
      </w:pPr>
    </w:p>
    <w:p w:rsidR="00F11530" w:rsidRPr="00051C8C" w:rsidRDefault="00F11530" w:rsidP="00F11530">
      <w:pPr>
        <w:pStyle w:val="ListParagraph"/>
        <w:widowControl/>
        <w:numPr>
          <w:ilvl w:val="1"/>
          <w:numId w:val="5"/>
        </w:numPr>
        <w:rPr>
          <w:szCs w:val="22"/>
        </w:rPr>
      </w:pPr>
      <w:r w:rsidRPr="00051C8C">
        <w:rPr>
          <w:szCs w:val="22"/>
        </w:rPr>
        <w:t xml:space="preserve">No longer </w:t>
      </w:r>
      <w:proofErr w:type="gramStart"/>
      <w:r w:rsidRPr="00051C8C">
        <w:rPr>
          <w:szCs w:val="22"/>
        </w:rPr>
        <w:t xml:space="preserve">term effectiveness and safety data of </w:t>
      </w:r>
      <w:proofErr w:type="spellStart"/>
      <w:r w:rsidR="001539AA" w:rsidRPr="00051C8C">
        <w:rPr>
          <w:szCs w:val="22"/>
        </w:rPr>
        <w:t>Renflexis</w:t>
      </w:r>
      <w:proofErr w:type="spellEnd"/>
      <w:r w:rsidR="001539AA" w:rsidRPr="00051C8C">
        <w:rPr>
          <w:szCs w:val="22"/>
        </w:rPr>
        <w:t xml:space="preserve"> </w:t>
      </w:r>
      <w:r w:rsidRPr="00051C8C">
        <w:rPr>
          <w:szCs w:val="22"/>
        </w:rPr>
        <w:t xml:space="preserve">compared with </w:t>
      </w:r>
      <w:proofErr w:type="spellStart"/>
      <w:r w:rsidRPr="00051C8C">
        <w:rPr>
          <w:szCs w:val="22"/>
        </w:rPr>
        <w:t>Remicade</w:t>
      </w:r>
      <w:proofErr w:type="spellEnd"/>
      <w:r w:rsidRPr="00051C8C">
        <w:rPr>
          <w:szCs w:val="22"/>
        </w:rPr>
        <w:t xml:space="preserve"> (beyond the </w:t>
      </w:r>
      <w:r w:rsidR="0029689F" w:rsidRPr="00051C8C">
        <w:rPr>
          <w:szCs w:val="22"/>
        </w:rPr>
        <w:t xml:space="preserve">78 week </w:t>
      </w:r>
      <w:r w:rsidRPr="00051C8C">
        <w:rPr>
          <w:szCs w:val="22"/>
        </w:rPr>
        <w:t>duration of</w:t>
      </w:r>
      <w:r w:rsidR="00393785">
        <w:rPr>
          <w:szCs w:val="22"/>
        </w:rPr>
        <w:t xml:space="preserve"> the transition-extension study</w:t>
      </w:r>
      <w:r w:rsidRPr="00051C8C">
        <w:rPr>
          <w:szCs w:val="22"/>
        </w:rPr>
        <w:t>) was</w:t>
      </w:r>
      <w:proofErr w:type="gramEnd"/>
      <w:r w:rsidRPr="00051C8C">
        <w:rPr>
          <w:szCs w:val="22"/>
        </w:rPr>
        <w:t xml:space="preserve"> available. The TGA </w:t>
      </w:r>
      <w:r w:rsidR="00386684" w:rsidRPr="00051C8C">
        <w:rPr>
          <w:szCs w:val="22"/>
        </w:rPr>
        <w:t>CER</w:t>
      </w:r>
      <w:r w:rsidRPr="00051C8C">
        <w:rPr>
          <w:szCs w:val="22"/>
        </w:rPr>
        <w:t xml:space="preserve"> (p29) stated: </w:t>
      </w:r>
    </w:p>
    <w:p w:rsidR="00F11530" w:rsidRPr="00051C8C" w:rsidRDefault="00F11530" w:rsidP="00F11530">
      <w:pPr>
        <w:pStyle w:val="ListParagraph"/>
        <w:widowControl/>
        <w:ind w:firstLine="720"/>
        <w:rPr>
          <w:szCs w:val="22"/>
        </w:rPr>
      </w:pPr>
      <w:r w:rsidRPr="00051C8C">
        <w:rPr>
          <w:szCs w:val="22"/>
        </w:rPr>
        <w:t xml:space="preserve">“No unique risks have been identified [of SB2] compared with Remicade. Risks related to loss of efficacy, new safety signals and immunogenicity may emerge with long-term use in larger patient numbers.” </w:t>
      </w:r>
    </w:p>
    <w:p w:rsidR="00F11530" w:rsidRPr="00051C8C" w:rsidRDefault="00F11530" w:rsidP="00F11530">
      <w:pPr>
        <w:pStyle w:val="ListParagraph"/>
        <w:rPr>
          <w:szCs w:val="22"/>
        </w:rPr>
      </w:pPr>
    </w:p>
    <w:p w:rsidR="00F11530" w:rsidRPr="00051C8C" w:rsidRDefault="00F11530" w:rsidP="00F11530">
      <w:pPr>
        <w:pStyle w:val="ListParagraph"/>
        <w:widowControl/>
        <w:numPr>
          <w:ilvl w:val="1"/>
          <w:numId w:val="5"/>
        </w:numPr>
        <w:rPr>
          <w:szCs w:val="22"/>
        </w:rPr>
      </w:pPr>
      <w:r w:rsidRPr="00051C8C">
        <w:rPr>
          <w:szCs w:val="22"/>
        </w:rPr>
        <w:t xml:space="preserve">Efficacy and safety data for the switching study of </w:t>
      </w:r>
      <w:r w:rsidR="001539AA" w:rsidRPr="00051C8C">
        <w:rPr>
          <w:szCs w:val="22"/>
        </w:rPr>
        <w:t>trial</w:t>
      </w:r>
      <w:r w:rsidRPr="00051C8C">
        <w:rPr>
          <w:szCs w:val="22"/>
        </w:rPr>
        <w:t xml:space="preserve"> SB2-G31-RA were not provided with the submission</w:t>
      </w:r>
      <w:r w:rsidR="00386684" w:rsidRPr="00051C8C">
        <w:rPr>
          <w:szCs w:val="22"/>
        </w:rPr>
        <w:t>.</w:t>
      </w:r>
      <w:r w:rsidRPr="00051C8C">
        <w:rPr>
          <w:szCs w:val="22"/>
        </w:rPr>
        <w:t xml:space="preserve"> </w:t>
      </w:r>
      <w:r w:rsidR="00386684" w:rsidRPr="00051C8C">
        <w:rPr>
          <w:szCs w:val="22"/>
        </w:rPr>
        <w:t>H</w:t>
      </w:r>
      <w:r w:rsidRPr="00051C8C">
        <w:rPr>
          <w:szCs w:val="22"/>
        </w:rPr>
        <w:t xml:space="preserve">owever, </w:t>
      </w:r>
      <w:r w:rsidRPr="00051C8C">
        <w:rPr>
          <w:szCs w:val="18"/>
        </w:rPr>
        <w:t xml:space="preserve">a summary of the results became available during the evaluation in the TGA </w:t>
      </w:r>
      <w:r w:rsidR="001539AA" w:rsidRPr="00051C8C">
        <w:rPr>
          <w:szCs w:val="18"/>
        </w:rPr>
        <w:t>CER (</w:t>
      </w:r>
      <w:r w:rsidRPr="00051C8C">
        <w:rPr>
          <w:szCs w:val="18"/>
        </w:rPr>
        <w:t xml:space="preserve">per 6.1 above). </w:t>
      </w:r>
      <w:r w:rsidRPr="00051C8C">
        <w:rPr>
          <w:szCs w:val="22"/>
        </w:rPr>
        <w:t xml:space="preserve">The TGA </w:t>
      </w:r>
      <w:r w:rsidR="00386684" w:rsidRPr="00051C8C">
        <w:rPr>
          <w:szCs w:val="22"/>
        </w:rPr>
        <w:t>CER</w:t>
      </w:r>
      <w:r w:rsidRPr="00051C8C">
        <w:rPr>
          <w:szCs w:val="22"/>
        </w:rPr>
        <w:t xml:space="preserve"> (pp29-30) stated: </w:t>
      </w:r>
    </w:p>
    <w:p w:rsidR="00F11530" w:rsidRPr="00051C8C" w:rsidRDefault="00F11530" w:rsidP="0071033B">
      <w:pPr>
        <w:pStyle w:val="ListParagraph"/>
        <w:widowControl/>
        <w:ind w:left="1418"/>
        <w:rPr>
          <w:szCs w:val="22"/>
        </w:rPr>
      </w:pPr>
      <w:r w:rsidRPr="00051C8C">
        <w:rPr>
          <w:szCs w:val="22"/>
        </w:rPr>
        <w:t xml:space="preserve">“The risks associated with switching between SB2, </w:t>
      </w:r>
      <w:proofErr w:type="spellStart"/>
      <w:r w:rsidRPr="00051C8C">
        <w:rPr>
          <w:szCs w:val="22"/>
        </w:rPr>
        <w:t>Remicade</w:t>
      </w:r>
      <w:proofErr w:type="spellEnd"/>
      <w:r w:rsidRPr="00051C8C">
        <w:rPr>
          <w:szCs w:val="22"/>
        </w:rPr>
        <w:t xml:space="preserve"> and other </w:t>
      </w:r>
      <w:proofErr w:type="spellStart"/>
      <w:r w:rsidRPr="00051C8C">
        <w:rPr>
          <w:szCs w:val="22"/>
        </w:rPr>
        <w:t>biosimilars</w:t>
      </w:r>
      <w:proofErr w:type="spellEnd"/>
      <w:r w:rsidRPr="00051C8C">
        <w:rPr>
          <w:szCs w:val="22"/>
        </w:rPr>
        <w:t xml:space="preserve"> are largely unknown. They should be assessed with analysis of transition-extension data in Trial SB2-G31-RA and by appropriate post</w:t>
      </w:r>
      <w:r w:rsidR="0029689F">
        <w:rPr>
          <w:szCs w:val="22"/>
        </w:rPr>
        <w:noBreakHyphen/>
      </w:r>
      <w:r w:rsidRPr="00051C8C">
        <w:rPr>
          <w:szCs w:val="22"/>
        </w:rPr>
        <w:t>marketing pharmacovigilance”.</w:t>
      </w:r>
    </w:p>
    <w:p w:rsidR="00F11530" w:rsidRPr="00051C8C" w:rsidRDefault="00F11530" w:rsidP="00F11530">
      <w:pPr>
        <w:widowControl/>
        <w:rPr>
          <w:szCs w:val="22"/>
        </w:rPr>
      </w:pPr>
    </w:p>
    <w:p w:rsidR="00F11530" w:rsidRPr="00051C8C" w:rsidRDefault="00F11530" w:rsidP="00F11530">
      <w:pPr>
        <w:pStyle w:val="ListParagraph"/>
        <w:widowControl/>
        <w:numPr>
          <w:ilvl w:val="1"/>
          <w:numId w:val="5"/>
        </w:numPr>
        <w:rPr>
          <w:szCs w:val="22"/>
        </w:rPr>
      </w:pPr>
      <w:r w:rsidRPr="00051C8C">
        <w:rPr>
          <w:szCs w:val="22"/>
        </w:rPr>
        <w:t xml:space="preserve">The current PBS listing of Remicade requires that prescribers are specialists in the therapeutic area for which infliximab is being prescribed. Therefore, should </w:t>
      </w:r>
      <w:proofErr w:type="spellStart"/>
      <w:r w:rsidR="001539AA" w:rsidRPr="00051C8C">
        <w:rPr>
          <w:szCs w:val="22"/>
        </w:rPr>
        <w:t>Renflexis</w:t>
      </w:r>
      <w:proofErr w:type="spellEnd"/>
      <w:r w:rsidR="001539AA" w:rsidRPr="00051C8C">
        <w:rPr>
          <w:szCs w:val="22"/>
        </w:rPr>
        <w:t xml:space="preserve"> be</w:t>
      </w:r>
      <w:r w:rsidRPr="00051C8C">
        <w:rPr>
          <w:szCs w:val="22"/>
        </w:rPr>
        <w:t xml:space="preserve"> ‘a’</w:t>
      </w:r>
      <w:r w:rsidR="00FC628F">
        <w:rPr>
          <w:szCs w:val="22"/>
        </w:rPr>
        <w:t xml:space="preserve"> </w:t>
      </w:r>
      <w:proofErr w:type="gramStart"/>
      <w:r w:rsidRPr="00051C8C">
        <w:rPr>
          <w:szCs w:val="22"/>
        </w:rPr>
        <w:t>flagged,</w:t>
      </w:r>
      <w:proofErr w:type="gramEnd"/>
      <w:r w:rsidRPr="00051C8C">
        <w:rPr>
          <w:szCs w:val="22"/>
        </w:rPr>
        <w:t xml:space="preserve"> the decision to permit switching at the point of prescribing is made by an appropriate specialist.</w:t>
      </w:r>
    </w:p>
    <w:p w:rsidR="00F11530" w:rsidRPr="00051C8C" w:rsidRDefault="00F11530" w:rsidP="00F11530">
      <w:pPr>
        <w:widowControl/>
        <w:rPr>
          <w:szCs w:val="22"/>
        </w:rPr>
      </w:pPr>
    </w:p>
    <w:p w:rsidR="00F11530" w:rsidRPr="00051C8C" w:rsidRDefault="00F11530" w:rsidP="00F11530">
      <w:pPr>
        <w:pStyle w:val="ListParagraph"/>
        <w:widowControl/>
        <w:numPr>
          <w:ilvl w:val="1"/>
          <w:numId w:val="5"/>
        </w:numPr>
        <w:rPr>
          <w:szCs w:val="22"/>
        </w:rPr>
      </w:pPr>
      <w:r w:rsidRPr="00051C8C">
        <w:t xml:space="preserve">The submission did not discuss any relevant comparative evidence on pharmacokinetics. Pharmacokinetic data </w:t>
      </w:r>
      <w:r w:rsidR="00EB3687">
        <w:t>from</w:t>
      </w:r>
      <w:r w:rsidR="00EB3687" w:rsidRPr="00051C8C">
        <w:t xml:space="preserve"> </w:t>
      </w:r>
      <w:r w:rsidR="00386684" w:rsidRPr="00051C8C">
        <w:t>t</w:t>
      </w:r>
      <w:r w:rsidRPr="00051C8C">
        <w:t xml:space="preserve">rial </w:t>
      </w:r>
      <w:r w:rsidRPr="00051C8C">
        <w:rPr>
          <w:szCs w:val="22"/>
        </w:rPr>
        <w:t xml:space="preserve">SB2-G31-RA in patients with </w:t>
      </w:r>
      <w:r w:rsidRPr="00051C8C">
        <w:rPr>
          <w:iCs/>
        </w:rPr>
        <w:t>rheumatoid arthritis</w:t>
      </w:r>
      <w:r w:rsidRPr="00051C8C">
        <w:rPr>
          <w:szCs w:val="22"/>
        </w:rPr>
        <w:t xml:space="preserve">, and </w:t>
      </w:r>
      <w:r w:rsidR="00EB3687">
        <w:rPr>
          <w:szCs w:val="22"/>
        </w:rPr>
        <w:t>from</w:t>
      </w:r>
      <w:r w:rsidR="00EB3687" w:rsidRPr="00051C8C">
        <w:rPr>
          <w:szCs w:val="22"/>
        </w:rPr>
        <w:t xml:space="preserve"> </w:t>
      </w:r>
      <w:r w:rsidRPr="00051C8C">
        <w:rPr>
          <w:szCs w:val="22"/>
        </w:rPr>
        <w:t xml:space="preserve">the Shin et al. study in healthy patients, were not presented in the submission. </w:t>
      </w:r>
      <w:r w:rsidR="00EB3687">
        <w:rPr>
          <w:szCs w:val="22"/>
        </w:rPr>
        <w:t>However TGA was satisfied that t</w:t>
      </w:r>
      <w:r w:rsidRPr="00051C8C">
        <w:rPr>
          <w:szCs w:val="22"/>
        </w:rPr>
        <w:t xml:space="preserve">hese pharmacokinetic studies demonstrated similarity between </w:t>
      </w:r>
      <w:proofErr w:type="spellStart"/>
      <w:r w:rsidR="001539AA" w:rsidRPr="00051C8C">
        <w:rPr>
          <w:szCs w:val="22"/>
        </w:rPr>
        <w:t>Renflexis</w:t>
      </w:r>
      <w:proofErr w:type="spellEnd"/>
      <w:r w:rsidR="00AE71C6">
        <w:rPr>
          <w:szCs w:val="22"/>
        </w:rPr>
        <w:t xml:space="preserve"> </w:t>
      </w:r>
      <w:r w:rsidRPr="00051C8C">
        <w:rPr>
          <w:szCs w:val="22"/>
        </w:rPr>
        <w:t xml:space="preserve">and </w:t>
      </w:r>
      <w:proofErr w:type="spellStart"/>
      <w:r w:rsidRPr="00051C8C">
        <w:rPr>
          <w:szCs w:val="22"/>
        </w:rPr>
        <w:t>Remicade</w:t>
      </w:r>
      <w:proofErr w:type="spellEnd"/>
      <w:r w:rsidRPr="00051C8C">
        <w:rPr>
          <w:szCs w:val="22"/>
        </w:rPr>
        <w:t xml:space="preserve"> for the pharmacokinetic parameters tested (</w:t>
      </w:r>
      <w:r w:rsidR="001F689B" w:rsidRPr="00051C8C">
        <w:t xml:space="preserve">TGA </w:t>
      </w:r>
      <w:r w:rsidR="00386684" w:rsidRPr="00051C8C">
        <w:t>CER</w:t>
      </w:r>
      <w:r w:rsidRPr="00051C8C">
        <w:t>, pp14-15</w:t>
      </w:r>
      <w:r w:rsidR="001F689B" w:rsidRPr="00051C8C">
        <w:t>).</w:t>
      </w:r>
    </w:p>
    <w:p w:rsidR="00C16CD6" w:rsidRPr="00FC628F" w:rsidRDefault="00C16CD6" w:rsidP="00C16CD6">
      <w:pPr>
        <w:pStyle w:val="ListParagraph"/>
        <w:rPr>
          <w:bCs/>
          <w:szCs w:val="22"/>
        </w:rPr>
      </w:pPr>
    </w:p>
    <w:p w:rsidR="00C16CD6" w:rsidRPr="00FC628F" w:rsidRDefault="00C16CD6" w:rsidP="00C16CD6">
      <w:pPr>
        <w:pStyle w:val="ListParagraph"/>
        <w:widowControl/>
        <w:numPr>
          <w:ilvl w:val="1"/>
          <w:numId w:val="5"/>
        </w:numPr>
        <w:jc w:val="left"/>
        <w:rPr>
          <w:bCs/>
        </w:rPr>
      </w:pPr>
      <w:r w:rsidRPr="00FC628F">
        <w:rPr>
          <w:bCs/>
          <w:szCs w:val="22"/>
        </w:rPr>
        <w:lastRenderedPageBreak/>
        <w:t>The PBAC considered that the claim of non-inferior comparative effectiveness was reasonable</w:t>
      </w:r>
      <w:r w:rsidR="00A56FC6" w:rsidRPr="00FC628F">
        <w:rPr>
          <w:bCs/>
          <w:szCs w:val="22"/>
        </w:rPr>
        <w:t>.</w:t>
      </w:r>
    </w:p>
    <w:p w:rsidR="00C16CD6" w:rsidRPr="00FC628F" w:rsidRDefault="00C16CD6" w:rsidP="00C16CD6">
      <w:pPr>
        <w:pStyle w:val="ListParagraph"/>
        <w:rPr>
          <w:bCs/>
          <w:szCs w:val="22"/>
        </w:rPr>
      </w:pPr>
    </w:p>
    <w:p w:rsidR="00C16CD6" w:rsidRPr="00FC628F" w:rsidRDefault="00C16CD6" w:rsidP="00C16CD6">
      <w:pPr>
        <w:pStyle w:val="ListParagraph"/>
        <w:widowControl/>
        <w:numPr>
          <w:ilvl w:val="1"/>
          <w:numId w:val="5"/>
        </w:numPr>
        <w:rPr>
          <w:szCs w:val="22"/>
        </w:rPr>
      </w:pPr>
      <w:r w:rsidRPr="00FC628F">
        <w:rPr>
          <w:szCs w:val="22"/>
        </w:rPr>
        <w:t>The PBAC considered that the claim of non-inferior comparative safety was reasonable</w:t>
      </w:r>
      <w:r w:rsidR="00A56FC6" w:rsidRPr="00FC628F">
        <w:rPr>
          <w:szCs w:val="22"/>
        </w:rPr>
        <w:t>.</w:t>
      </w:r>
    </w:p>
    <w:p w:rsidR="00C16CD6" w:rsidRPr="00051C8C" w:rsidRDefault="00C16CD6" w:rsidP="00F11530">
      <w:pPr>
        <w:rPr>
          <w:szCs w:val="22"/>
        </w:rPr>
      </w:pPr>
    </w:p>
    <w:p w:rsidR="00F11530" w:rsidRPr="00964A4A" w:rsidRDefault="00F11530" w:rsidP="005337AB">
      <w:pPr>
        <w:pStyle w:val="Heading3"/>
      </w:pPr>
      <w:bookmarkStart w:id="17" w:name="_Toc461606011"/>
      <w:r w:rsidRPr="00964A4A">
        <w:t>Economic analysis</w:t>
      </w:r>
      <w:bookmarkEnd w:id="17"/>
      <w:r w:rsidRPr="00964A4A">
        <w:t xml:space="preserve"> </w:t>
      </w:r>
    </w:p>
    <w:p w:rsidR="00F11530" w:rsidRPr="00BC5EA2" w:rsidRDefault="00F11530" w:rsidP="00F11530">
      <w:pPr>
        <w:ind w:left="720" w:hanging="720"/>
        <w:rPr>
          <w:szCs w:val="22"/>
        </w:rPr>
      </w:pPr>
    </w:p>
    <w:p w:rsidR="00F11530" w:rsidRPr="00051C8C" w:rsidRDefault="00F11530" w:rsidP="00047235">
      <w:pPr>
        <w:pStyle w:val="ListParagraph"/>
        <w:widowControl/>
        <w:numPr>
          <w:ilvl w:val="1"/>
          <w:numId w:val="5"/>
        </w:numPr>
        <w:rPr>
          <w:szCs w:val="22"/>
        </w:rPr>
      </w:pPr>
      <w:r w:rsidRPr="00F1715F">
        <w:rPr>
          <w:szCs w:val="22"/>
        </w:rPr>
        <w:t xml:space="preserve">The submission presented a cost-minimisation </w:t>
      </w:r>
      <w:r w:rsidR="00047235" w:rsidRPr="00F1715F">
        <w:rPr>
          <w:szCs w:val="22"/>
        </w:rPr>
        <w:t>analysis</w:t>
      </w:r>
      <w:r w:rsidRPr="00F1715F">
        <w:rPr>
          <w:szCs w:val="22"/>
        </w:rPr>
        <w:t>. Consistent with the clinical evidence presented, the submission proposed an equi-effective dose</w:t>
      </w:r>
      <w:r w:rsidR="00386684" w:rsidRPr="00F1715F">
        <w:rPr>
          <w:szCs w:val="22"/>
        </w:rPr>
        <w:t xml:space="preserve"> of</w:t>
      </w:r>
      <w:r w:rsidRPr="00DA46F0">
        <w:rPr>
          <w:szCs w:val="22"/>
        </w:rPr>
        <w:t>: 100</w:t>
      </w:r>
      <w:r w:rsidR="00F43B89" w:rsidRPr="0022792B">
        <w:rPr>
          <w:szCs w:val="22"/>
        </w:rPr>
        <w:t> mg </w:t>
      </w:r>
      <w:proofErr w:type="spellStart"/>
      <w:r w:rsidR="001539AA" w:rsidRPr="0022792B">
        <w:rPr>
          <w:szCs w:val="22"/>
        </w:rPr>
        <w:t>Renflexis</w:t>
      </w:r>
      <w:proofErr w:type="spellEnd"/>
      <w:r w:rsidR="001539AA" w:rsidRPr="0022792B">
        <w:rPr>
          <w:szCs w:val="22"/>
        </w:rPr>
        <w:t xml:space="preserve"> =</w:t>
      </w:r>
      <w:r w:rsidRPr="001016C5">
        <w:rPr>
          <w:szCs w:val="22"/>
        </w:rPr>
        <w:t xml:space="preserve"> 100</w:t>
      </w:r>
      <w:r w:rsidR="001539AA" w:rsidRPr="001016C5">
        <w:rPr>
          <w:szCs w:val="22"/>
        </w:rPr>
        <w:t xml:space="preserve"> </w:t>
      </w:r>
      <w:r w:rsidRPr="001016C5">
        <w:rPr>
          <w:szCs w:val="22"/>
        </w:rPr>
        <w:t xml:space="preserve">mg Remicade. No other costs were considered as administration of </w:t>
      </w:r>
      <w:proofErr w:type="spellStart"/>
      <w:r w:rsidR="001539AA" w:rsidRPr="001016C5">
        <w:rPr>
          <w:szCs w:val="22"/>
        </w:rPr>
        <w:t>Renflexis</w:t>
      </w:r>
      <w:proofErr w:type="spellEnd"/>
      <w:r w:rsidR="001539AA" w:rsidRPr="001016C5">
        <w:rPr>
          <w:szCs w:val="22"/>
        </w:rPr>
        <w:t xml:space="preserve"> </w:t>
      </w:r>
      <w:r w:rsidRPr="001016C5">
        <w:rPr>
          <w:szCs w:val="22"/>
        </w:rPr>
        <w:t xml:space="preserve">and </w:t>
      </w:r>
      <w:proofErr w:type="spellStart"/>
      <w:r w:rsidRPr="001016C5">
        <w:rPr>
          <w:szCs w:val="22"/>
        </w:rPr>
        <w:t>Remicade</w:t>
      </w:r>
      <w:proofErr w:type="spellEnd"/>
      <w:r w:rsidRPr="001016C5">
        <w:rPr>
          <w:szCs w:val="22"/>
        </w:rPr>
        <w:t xml:space="preserve"> is identical in terms of both number of administrations and method of administration, and no differences in adverse events are e</w:t>
      </w:r>
      <w:r w:rsidRPr="00051C8C">
        <w:rPr>
          <w:szCs w:val="22"/>
        </w:rPr>
        <w:t xml:space="preserve">xpected. </w:t>
      </w:r>
      <w:r w:rsidR="00F85866" w:rsidRPr="00051C8C">
        <w:rPr>
          <w:szCs w:val="22"/>
        </w:rPr>
        <w:t>Th</w:t>
      </w:r>
      <w:r w:rsidR="000A5A0D">
        <w:rPr>
          <w:szCs w:val="22"/>
        </w:rPr>
        <w:t>e PBAC considered that this</w:t>
      </w:r>
      <w:r w:rsidR="00F85866" w:rsidRPr="00051C8C">
        <w:rPr>
          <w:szCs w:val="22"/>
        </w:rPr>
        <w:t xml:space="preserve"> was</w:t>
      </w:r>
      <w:r w:rsidRPr="00051C8C">
        <w:rPr>
          <w:szCs w:val="22"/>
        </w:rPr>
        <w:t xml:space="preserve"> appropriate.</w:t>
      </w:r>
    </w:p>
    <w:p w:rsidR="00F11530" w:rsidRPr="00051C8C" w:rsidRDefault="00F11530" w:rsidP="00F11530">
      <w:pPr>
        <w:rPr>
          <w:szCs w:val="22"/>
        </w:rPr>
      </w:pPr>
    </w:p>
    <w:p w:rsidR="00F11530" w:rsidRPr="00964A4A" w:rsidRDefault="00F11530" w:rsidP="005337AB">
      <w:pPr>
        <w:pStyle w:val="Heading3"/>
      </w:pPr>
      <w:bookmarkStart w:id="18" w:name="_Toc413139283"/>
      <w:bookmarkStart w:id="19" w:name="_Toc461606012"/>
      <w:r w:rsidRPr="00964A4A">
        <w:t>Drug cost/patient/cycle: $</w:t>
      </w:r>
      <w:r w:rsidR="00E45B0A">
        <w:rPr>
          <w:noProof/>
          <w:color w:val="000000"/>
          <w:highlight w:val="black"/>
        </w:rPr>
        <w:t>'''''''''''</w:t>
      </w:r>
      <w:r w:rsidRPr="00964A4A">
        <w:t>/patient/cycle for rheumatoid arthritis</w:t>
      </w:r>
      <w:bookmarkEnd w:id="18"/>
      <w:bookmarkEnd w:id="19"/>
    </w:p>
    <w:p w:rsidR="00F11530" w:rsidRPr="00051C8C" w:rsidRDefault="00F11530" w:rsidP="00F11530">
      <w:pPr>
        <w:widowControl/>
        <w:rPr>
          <w:szCs w:val="22"/>
        </w:rPr>
      </w:pPr>
    </w:p>
    <w:p w:rsidR="00F11530" w:rsidRDefault="000A5A0D" w:rsidP="001016C5">
      <w:pPr>
        <w:pStyle w:val="ListParagraph"/>
        <w:widowControl/>
        <w:numPr>
          <w:ilvl w:val="1"/>
          <w:numId w:val="5"/>
        </w:numPr>
        <w:rPr>
          <w:iCs/>
          <w:szCs w:val="22"/>
        </w:rPr>
      </w:pPr>
      <w:proofErr w:type="spellStart"/>
      <w:r>
        <w:rPr>
          <w:iCs/>
          <w:szCs w:val="22"/>
        </w:rPr>
        <w:t>Renflexis</w:t>
      </w:r>
      <w:proofErr w:type="spellEnd"/>
      <w:r>
        <w:rPr>
          <w:iCs/>
          <w:szCs w:val="22"/>
        </w:rPr>
        <w:t xml:space="preserve"> has a</w:t>
      </w:r>
      <w:r w:rsidR="00F11530" w:rsidRPr="00051C8C">
        <w:rPr>
          <w:iCs/>
          <w:szCs w:val="22"/>
        </w:rPr>
        <w:t>n average cost of $</w:t>
      </w:r>
      <w:r w:rsidR="00E45B0A">
        <w:rPr>
          <w:iCs/>
          <w:noProof/>
          <w:color w:val="000000"/>
          <w:szCs w:val="22"/>
          <w:highlight w:val="black"/>
        </w:rPr>
        <w:t>'''''''''''''''</w:t>
      </w:r>
      <w:r w:rsidR="00F11530" w:rsidRPr="00051C8C">
        <w:rPr>
          <w:iCs/>
          <w:szCs w:val="22"/>
        </w:rPr>
        <w:t xml:space="preserve">/patient/cycle is based on an average dose of 3mg/kg every 8 week cycle for patients with rheumatoid arthritis. The average patient weight was assumed to be the same as that in </w:t>
      </w:r>
      <w:r w:rsidR="00DA5DDA" w:rsidRPr="00051C8C">
        <w:rPr>
          <w:iCs/>
          <w:szCs w:val="22"/>
        </w:rPr>
        <w:t>t</w:t>
      </w:r>
      <w:r w:rsidR="00F11530" w:rsidRPr="00051C8C">
        <w:rPr>
          <w:iCs/>
          <w:szCs w:val="22"/>
        </w:rPr>
        <w:t>rial SB2-G31-RA (72.1kg – requiring 216mg/dose). The average number of vials required per dose was rounded up to 2.5 vials, to allow for wastage. The average cost per vial was based on a weighted price of $</w:t>
      </w:r>
      <w:r w:rsidR="00E45B0A">
        <w:rPr>
          <w:iCs/>
          <w:noProof/>
          <w:color w:val="000000"/>
          <w:szCs w:val="22"/>
          <w:highlight w:val="black"/>
        </w:rPr>
        <w:t>'''''''''''''''</w:t>
      </w:r>
      <w:r w:rsidR="00F11530" w:rsidRPr="00051C8C">
        <w:rPr>
          <w:iCs/>
          <w:szCs w:val="22"/>
        </w:rPr>
        <w:t xml:space="preserve">/vial, assuming 70% public hospital use as per the current PBS listings for infliximab in 2015. There is a greater frequency of treatment during initiation where patients will receive this dose (3mg/kg) at weeks 0, 2 and 6. </w:t>
      </w:r>
    </w:p>
    <w:p w:rsidR="000A5A0D" w:rsidRPr="001016C5" w:rsidRDefault="000A5A0D" w:rsidP="00FC628F">
      <w:pPr>
        <w:pStyle w:val="ListParagraph"/>
        <w:widowControl/>
        <w:rPr>
          <w:iCs/>
          <w:szCs w:val="22"/>
        </w:rPr>
      </w:pPr>
    </w:p>
    <w:p w:rsidR="00F11530" w:rsidRPr="00051C8C" w:rsidRDefault="00F11530" w:rsidP="00964A4A">
      <w:pPr>
        <w:pStyle w:val="ListParagraph"/>
        <w:widowControl/>
        <w:numPr>
          <w:ilvl w:val="1"/>
          <w:numId w:val="5"/>
        </w:numPr>
      </w:pPr>
      <w:r w:rsidRPr="00051C8C">
        <w:rPr>
          <w:iCs/>
          <w:szCs w:val="22"/>
        </w:rPr>
        <w:t xml:space="preserve">The cost per patient per cycle for other PBS indications cannot be reliably estimated, given the lack of data on average patient body weight. </w:t>
      </w:r>
      <w:r w:rsidR="00742E2F">
        <w:rPr>
          <w:iCs/>
          <w:szCs w:val="22"/>
        </w:rPr>
        <w:t xml:space="preserve">However, </w:t>
      </w:r>
      <w:r w:rsidR="00742E2F">
        <w:t>f</w:t>
      </w:r>
      <w:r w:rsidRPr="00051C8C">
        <w:t xml:space="preserve">or any requested indication, the drug cost/patient/cycle for </w:t>
      </w:r>
      <w:proofErr w:type="spellStart"/>
      <w:r w:rsidR="001539AA" w:rsidRPr="00051C8C">
        <w:t>Renflexis</w:t>
      </w:r>
      <w:proofErr w:type="spellEnd"/>
      <w:r w:rsidR="001539AA" w:rsidRPr="00051C8C">
        <w:t xml:space="preserve"> </w:t>
      </w:r>
      <w:r w:rsidR="000A5A0D">
        <w:t>is expected to</w:t>
      </w:r>
      <w:r w:rsidR="000A5A0D" w:rsidRPr="00051C8C">
        <w:t xml:space="preserve"> </w:t>
      </w:r>
      <w:r w:rsidRPr="00051C8C">
        <w:t xml:space="preserve">be the same as that for Remicade, given that the requested price and dosage of </w:t>
      </w:r>
      <w:proofErr w:type="spellStart"/>
      <w:r w:rsidR="001539AA" w:rsidRPr="00051C8C">
        <w:t>Renflexis</w:t>
      </w:r>
      <w:proofErr w:type="spellEnd"/>
      <w:r w:rsidR="001539AA" w:rsidRPr="00051C8C">
        <w:t xml:space="preserve"> are</w:t>
      </w:r>
      <w:r w:rsidRPr="00051C8C">
        <w:t xml:space="preserve"> the same as that of Remicade.</w:t>
      </w:r>
    </w:p>
    <w:p w:rsidR="00F11530" w:rsidRPr="00051C8C" w:rsidRDefault="00F11530" w:rsidP="009F77FD">
      <w:bookmarkStart w:id="20" w:name="_Toc413139284"/>
    </w:p>
    <w:p w:rsidR="00F11530" w:rsidRPr="00964A4A" w:rsidRDefault="00F11530" w:rsidP="005337AB">
      <w:pPr>
        <w:pStyle w:val="Heading3"/>
      </w:pPr>
      <w:bookmarkStart w:id="21" w:name="_Toc461606013"/>
      <w:r w:rsidRPr="00964A4A">
        <w:t>Estimated PBS usage &amp; financial implications</w:t>
      </w:r>
      <w:bookmarkEnd w:id="20"/>
      <w:bookmarkEnd w:id="21"/>
    </w:p>
    <w:p w:rsidR="00F11530" w:rsidRPr="00051C8C" w:rsidRDefault="00F11530" w:rsidP="00F11530">
      <w:pPr>
        <w:ind w:left="720" w:hanging="720"/>
        <w:rPr>
          <w:b/>
          <w:szCs w:val="22"/>
        </w:rPr>
      </w:pPr>
    </w:p>
    <w:p w:rsidR="00F11530" w:rsidRPr="00051C8C" w:rsidRDefault="00F11530" w:rsidP="00F11530">
      <w:pPr>
        <w:pStyle w:val="ListParagraph"/>
        <w:widowControl/>
        <w:numPr>
          <w:ilvl w:val="1"/>
          <w:numId w:val="5"/>
        </w:numPr>
        <w:rPr>
          <w:szCs w:val="22"/>
        </w:rPr>
      </w:pPr>
      <w:r w:rsidRPr="00051C8C">
        <w:t xml:space="preserve">This submission </w:t>
      </w:r>
      <w:r w:rsidR="00F20527" w:rsidRPr="00051C8C">
        <w:t>was not</w:t>
      </w:r>
      <w:r w:rsidRPr="00051C8C">
        <w:t xml:space="preserve"> considered by DUSC.</w:t>
      </w:r>
      <w:r w:rsidR="00AE71C6">
        <w:t xml:space="preserve"> </w:t>
      </w:r>
      <w:r w:rsidRPr="00051C8C">
        <w:t xml:space="preserve">The submission used a market share approach to estimate the extent of use and costs in the first five years of listing. The listing of </w:t>
      </w:r>
      <w:proofErr w:type="spellStart"/>
      <w:r w:rsidR="001539AA" w:rsidRPr="00051C8C">
        <w:t>Renflexis</w:t>
      </w:r>
      <w:proofErr w:type="spellEnd"/>
      <w:r w:rsidR="001539AA" w:rsidRPr="00051C8C">
        <w:t xml:space="preserve"> is</w:t>
      </w:r>
      <w:r w:rsidRPr="00051C8C">
        <w:t xml:space="preserve"> not expected to </w:t>
      </w:r>
      <w:r w:rsidRPr="00051C8C">
        <w:rPr>
          <w:szCs w:val="22"/>
        </w:rPr>
        <w:t xml:space="preserve">increase the numbers of patients that would be treated with infliximab across the proposed period or increase the cost to the </w:t>
      </w:r>
      <w:r w:rsidR="00DA5DDA" w:rsidRPr="00051C8C">
        <w:rPr>
          <w:szCs w:val="22"/>
        </w:rPr>
        <w:t>R/PBS</w:t>
      </w:r>
      <w:r w:rsidRPr="00051C8C">
        <w:rPr>
          <w:szCs w:val="22"/>
        </w:rPr>
        <w:t>.</w:t>
      </w:r>
    </w:p>
    <w:p w:rsidR="00F11530" w:rsidRPr="00051C8C" w:rsidRDefault="00F11530" w:rsidP="00F11530">
      <w:pPr>
        <w:pStyle w:val="TableHeader"/>
      </w:pPr>
    </w:p>
    <w:p w:rsidR="0067301F" w:rsidRPr="00051C8C" w:rsidRDefault="0067301F" w:rsidP="0067301F">
      <w:pPr>
        <w:pStyle w:val="Caption"/>
        <w:keepNext/>
        <w:ind w:firstLine="720"/>
      </w:pPr>
      <w:r w:rsidRPr="00051C8C">
        <w:t xml:space="preserve">Table </w:t>
      </w:r>
      <w:r w:rsidR="00826E28">
        <w:rPr>
          <w:noProof/>
        </w:rPr>
        <w:t>8</w:t>
      </w:r>
      <w:r w:rsidRPr="00051C8C">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4"/>
        <w:gridCol w:w="1134"/>
        <w:gridCol w:w="1133"/>
        <w:gridCol w:w="1275"/>
        <w:gridCol w:w="1275"/>
        <w:gridCol w:w="1255"/>
      </w:tblGrid>
      <w:tr w:rsidR="00F11530" w:rsidRPr="00051C8C" w:rsidTr="00FC628F">
        <w:trPr>
          <w:tblHeader/>
        </w:trPr>
        <w:tc>
          <w:tcPr>
            <w:tcW w:w="1362" w:type="pct"/>
            <w:shd w:val="clear" w:color="auto" w:fill="auto"/>
            <w:vAlign w:val="center"/>
          </w:tcPr>
          <w:p w:rsidR="00F11530" w:rsidRPr="00FC628F" w:rsidRDefault="00F11530" w:rsidP="00F11530">
            <w:pPr>
              <w:tabs>
                <w:tab w:val="left" w:pos="142"/>
              </w:tabs>
              <w:jc w:val="left"/>
              <w:rPr>
                <w:rFonts w:ascii="Arial Narrow" w:hAnsi="Arial Narrow"/>
                <w:b/>
                <w:sz w:val="20"/>
              </w:rPr>
            </w:pPr>
          </w:p>
        </w:tc>
        <w:tc>
          <w:tcPr>
            <w:tcW w:w="679" w:type="pct"/>
            <w:shd w:val="clear" w:color="auto" w:fill="auto"/>
            <w:vAlign w:val="center"/>
          </w:tcPr>
          <w:p w:rsidR="00F11530" w:rsidRPr="00051C8C" w:rsidRDefault="00F11530" w:rsidP="00F11530">
            <w:pPr>
              <w:pStyle w:val="TableText2"/>
              <w:keepNext/>
              <w:keepLines/>
              <w:jc w:val="center"/>
              <w:rPr>
                <w:rFonts w:ascii="Arial Narrow" w:hAnsi="Arial Narrow"/>
                <w:sz w:val="20"/>
              </w:rPr>
            </w:pPr>
            <w:r w:rsidRPr="00051C8C">
              <w:rPr>
                <w:rFonts w:ascii="Arial Narrow" w:hAnsi="Arial Narrow"/>
                <w:sz w:val="20"/>
              </w:rPr>
              <w:t>2017</w:t>
            </w:r>
          </w:p>
          <w:p w:rsidR="00F11530" w:rsidRPr="00FC628F" w:rsidRDefault="00F11530" w:rsidP="00F11530">
            <w:pPr>
              <w:jc w:val="center"/>
              <w:rPr>
                <w:rFonts w:ascii="Arial Narrow" w:hAnsi="Arial Narrow"/>
                <w:b/>
                <w:sz w:val="20"/>
              </w:rPr>
            </w:pPr>
            <w:r w:rsidRPr="00051C8C">
              <w:rPr>
                <w:rFonts w:ascii="Arial Narrow" w:hAnsi="Arial Narrow"/>
                <w:b/>
                <w:sz w:val="20"/>
              </w:rPr>
              <w:t>Year 1</w:t>
            </w:r>
          </w:p>
        </w:tc>
        <w:tc>
          <w:tcPr>
            <w:tcW w:w="679" w:type="pct"/>
            <w:shd w:val="clear" w:color="auto" w:fill="auto"/>
            <w:vAlign w:val="center"/>
          </w:tcPr>
          <w:p w:rsidR="00F11530" w:rsidRPr="00051C8C" w:rsidRDefault="00F11530" w:rsidP="00F11530">
            <w:pPr>
              <w:pStyle w:val="TableText2"/>
              <w:keepNext/>
              <w:keepLines/>
              <w:jc w:val="center"/>
              <w:rPr>
                <w:rFonts w:ascii="Arial Narrow" w:hAnsi="Arial Narrow"/>
                <w:sz w:val="20"/>
              </w:rPr>
            </w:pPr>
            <w:r w:rsidRPr="00051C8C">
              <w:rPr>
                <w:rFonts w:ascii="Arial Narrow" w:hAnsi="Arial Narrow"/>
                <w:sz w:val="20"/>
              </w:rPr>
              <w:t>2018</w:t>
            </w:r>
          </w:p>
          <w:p w:rsidR="00F11530" w:rsidRPr="00FC628F" w:rsidRDefault="00F11530" w:rsidP="00F11530">
            <w:pPr>
              <w:jc w:val="center"/>
              <w:rPr>
                <w:rFonts w:ascii="Arial Narrow" w:hAnsi="Arial Narrow"/>
                <w:b/>
                <w:sz w:val="20"/>
              </w:rPr>
            </w:pPr>
            <w:r w:rsidRPr="00051C8C">
              <w:rPr>
                <w:rFonts w:ascii="Arial Narrow" w:hAnsi="Arial Narrow"/>
                <w:b/>
                <w:sz w:val="20"/>
              </w:rPr>
              <w:t>Year 2</w:t>
            </w:r>
          </w:p>
        </w:tc>
        <w:tc>
          <w:tcPr>
            <w:tcW w:w="764" w:type="pct"/>
            <w:shd w:val="clear" w:color="auto" w:fill="auto"/>
            <w:vAlign w:val="center"/>
          </w:tcPr>
          <w:p w:rsidR="00F11530" w:rsidRPr="00051C8C" w:rsidRDefault="00F11530" w:rsidP="00F11530">
            <w:pPr>
              <w:pStyle w:val="TableText2"/>
              <w:keepNext/>
              <w:keepLines/>
              <w:jc w:val="center"/>
              <w:rPr>
                <w:rFonts w:ascii="Arial Narrow" w:hAnsi="Arial Narrow"/>
                <w:sz w:val="20"/>
              </w:rPr>
            </w:pPr>
            <w:r w:rsidRPr="00051C8C">
              <w:rPr>
                <w:rFonts w:ascii="Arial Narrow" w:hAnsi="Arial Narrow"/>
                <w:sz w:val="20"/>
              </w:rPr>
              <w:t>2019</w:t>
            </w:r>
          </w:p>
          <w:p w:rsidR="00F11530" w:rsidRPr="00FC628F" w:rsidRDefault="00F11530" w:rsidP="00F11530">
            <w:pPr>
              <w:jc w:val="center"/>
              <w:rPr>
                <w:rFonts w:ascii="Arial Narrow" w:hAnsi="Arial Narrow"/>
                <w:b/>
                <w:sz w:val="20"/>
              </w:rPr>
            </w:pPr>
            <w:r w:rsidRPr="00051C8C">
              <w:rPr>
                <w:rFonts w:ascii="Arial Narrow" w:hAnsi="Arial Narrow"/>
                <w:b/>
                <w:sz w:val="20"/>
              </w:rPr>
              <w:t>Year 3</w:t>
            </w:r>
          </w:p>
        </w:tc>
        <w:tc>
          <w:tcPr>
            <w:tcW w:w="764" w:type="pct"/>
            <w:shd w:val="clear" w:color="auto" w:fill="auto"/>
            <w:vAlign w:val="center"/>
          </w:tcPr>
          <w:p w:rsidR="00F11530" w:rsidRPr="00051C8C" w:rsidRDefault="00F11530" w:rsidP="00F11530">
            <w:pPr>
              <w:pStyle w:val="TableText2"/>
              <w:keepNext/>
              <w:keepLines/>
              <w:jc w:val="center"/>
              <w:rPr>
                <w:rFonts w:ascii="Arial Narrow" w:hAnsi="Arial Narrow"/>
                <w:sz w:val="20"/>
              </w:rPr>
            </w:pPr>
            <w:r w:rsidRPr="00051C8C">
              <w:rPr>
                <w:rFonts w:ascii="Arial Narrow" w:hAnsi="Arial Narrow"/>
                <w:sz w:val="20"/>
              </w:rPr>
              <w:t>2020</w:t>
            </w:r>
          </w:p>
          <w:p w:rsidR="00F11530" w:rsidRPr="00FC628F" w:rsidRDefault="00F11530" w:rsidP="00F11530">
            <w:pPr>
              <w:jc w:val="center"/>
              <w:rPr>
                <w:rFonts w:ascii="Arial Narrow" w:hAnsi="Arial Narrow"/>
                <w:b/>
                <w:sz w:val="20"/>
              </w:rPr>
            </w:pPr>
            <w:r w:rsidRPr="00051C8C">
              <w:rPr>
                <w:rFonts w:ascii="Arial Narrow" w:hAnsi="Arial Narrow"/>
                <w:b/>
                <w:sz w:val="20"/>
              </w:rPr>
              <w:t>Year 4</w:t>
            </w:r>
          </w:p>
        </w:tc>
        <w:tc>
          <w:tcPr>
            <w:tcW w:w="753" w:type="pct"/>
            <w:shd w:val="clear" w:color="auto" w:fill="auto"/>
            <w:vAlign w:val="center"/>
          </w:tcPr>
          <w:p w:rsidR="00F11530" w:rsidRPr="00051C8C" w:rsidRDefault="00F11530" w:rsidP="00F11530">
            <w:pPr>
              <w:pStyle w:val="TableText2"/>
              <w:keepNext/>
              <w:keepLines/>
              <w:jc w:val="center"/>
              <w:rPr>
                <w:rFonts w:ascii="Arial Narrow" w:hAnsi="Arial Narrow"/>
                <w:sz w:val="20"/>
              </w:rPr>
            </w:pPr>
            <w:r w:rsidRPr="00051C8C">
              <w:rPr>
                <w:rFonts w:ascii="Arial Narrow" w:hAnsi="Arial Narrow"/>
                <w:sz w:val="20"/>
              </w:rPr>
              <w:t>2021</w:t>
            </w:r>
          </w:p>
          <w:p w:rsidR="00F11530" w:rsidRPr="00FC628F" w:rsidRDefault="00F11530" w:rsidP="00F11530">
            <w:pPr>
              <w:jc w:val="center"/>
              <w:rPr>
                <w:rFonts w:ascii="Arial Narrow" w:hAnsi="Arial Narrow"/>
                <w:b/>
                <w:sz w:val="20"/>
              </w:rPr>
            </w:pPr>
            <w:r w:rsidRPr="00051C8C">
              <w:rPr>
                <w:rFonts w:ascii="Arial Narrow" w:hAnsi="Arial Narrow"/>
                <w:b/>
                <w:sz w:val="20"/>
              </w:rPr>
              <w:t>Year 5</w:t>
            </w:r>
          </w:p>
        </w:tc>
      </w:tr>
      <w:tr w:rsidR="00F11530" w:rsidRPr="00051C8C" w:rsidTr="00F11530">
        <w:tc>
          <w:tcPr>
            <w:tcW w:w="5000" w:type="pct"/>
            <w:gridSpan w:val="6"/>
            <w:shd w:val="clear" w:color="auto" w:fill="auto"/>
            <w:vAlign w:val="center"/>
          </w:tcPr>
          <w:p w:rsidR="00F11530" w:rsidRPr="00051C8C" w:rsidRDefault="00F11530" w:rsidP="00F11530">
            <w:pPr>
              <w:jc w:val="left"/>
              <w:rPr>
                <w:rFonts w:ascii="Arial Narrow" w:hAnsi="Arial Narrow"/>
                <w:b/>
                <w:bCs/>
                <w:color w:val="000000"/>
                <w:sz w:val="20"/>
              </w:rPr>
            </w:pPr>
            <w:r w:rsidRPr="00051C8C">
              <w:rPr>
                <w:rFonts w:ascii="Arial Narrow" w:hAnsi="Arial Narrow"/>
                <w:b/>
                <w:bCs/>
                <w:color w:val="000000"/>
                <w:sz w:val="20"/>
              </w:rPr>
              <w:t>Estimated extent of use</w:t>
            </w:r>
          </w:p>
        </w:tc>
      </w:tr>
      <w:tr w:rsidR="00F11530" w:rsidRPr="00051C8C" w:rsidTr="00FC628F">
        <w:tc>
          <w:tcPr>
            <w:tcW w:w="1362" w:type="pct"/>
            <w:shd w:val="clear" w:color="auto" w:fill="auto"/>
            <w:vAlign w:val="center"/>
          </w:tcPr>
          <w:p w:rsidR="00F11530" w:rsidRPr="00FC628F" w:rsidRDefault="00F11530" w:rsidP="00F11530">
            <w:pPr>
              <w:tabs>
                <w:tab w:val="left" w:pos="142"/>
              </w:tabs>
              <w:spacing w:before="40" w:after="20"/>
              <w:jc w:val="left"/>
              <w:rPr>
                <w:rFonts w:ascii="Arial Narrow" w:hAnsi="Arial Narrow"/>
                <w:sz w:val="20"/>
              </w:rPr>
            </w:pPr>
            <w:r w:rsidRPr="00051C8C">
              <w:rPr>
                <w:rFonts w:ascii="Arial Narrow" w:hAnsi="Arial Narrow"/>
                <w:sz w:val="20"/>
              </w:rPr>
              <w:t>Number treated</w:t>
            </w:r>
          </w:p>
        </w:tc>
        <w:tc>
          <w:tcPr>
            <w:tcW w:w="679" w:type="pct"/>
            <w:shd w:val="clear" w:color="auto" w:fill="auto"/>
            <w:vAlign w:val="center"/>
          </w:tcPr>
          <w:p w:rsidR="00F11530" w:rsidRPr="00E45B0A" w:rsidRDefault="00E45B0A" w:rsidP="00F11530">
            <w:pPr>
              <w:spacing w:before="40" w:after="20"/>
              <w:jc w:val="center"/>
              <w:rPr>
                <w:rFonts w:ascii="Arial Narrow" w:hAnsi="Arial Narrow"/>
                <w:bCs/>
                <w:color w:val="000000"/>
                <w:sz w:val="20"/>
                <w:highlight w:val="black"/>
              </w:rPr>
            </w:pPr>
            <w:r>
              <w:rPr>
                <w:rFonts w:ascii="Arial Narrow" w:hAnsi="Arial Narrow" w:cs="Times New Roman"/>
                <w:noProof/>
                <w:snapToGrid/>
                <w:color w:val="000000"/>
                <w:sz w:val="20"/>
                <w:highlight w:val="black"/>
              </w:rPr>
              <w:t>'''''''''''''''''</w:t>
            </w:r>
          </w:p>
        </w:tc>
        <w:tc>
          <w:tcPr>
            <w:tcW w:w="679" w:type="pct"/>
            <w:shd w:val="clear" w:color="auto" w:fill="auto"/>
            <w:vAlign w:val="center"/>
          </w:tcPr>
          <w:p w:rsidR="00F11530" w:rsidRPr="00E45B0A" w:rsidRDefault="00E45B0A" w:rsidP="00F11530">
            <w:pPr>
              <w:spacing w:before="40" w:after="20"/>
              <w:jc w:val="center"/>
              <w:rPr>
                <w:rFonts w:ascii="Arial Narrow" w:hAnsi="Arial Narrow"/>
                <w:bCs/>
                <w:color w:val="000000"/>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center"/>
          </w:tcPr>
          <w:p w:rsidR="00F11530" w:rsidRPr="00E45B0A" w:rsidRDefault="00E45B0A" w:rsidP="00F11530">
            <w:pPr>
              <w:spacing w:before="40" w:after="20"/>
              <w:jc w:val="center"/>
              <w:rPr>
                <w:rFonts w:ascii="Arial Narrow" w:hAnsi="Arial Narrow"/>
                <w:bCs/>
                <w:color w:val="000000"/>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center"/>
          </w:tcPr>
          <w:p w:rsidR="00F11530" w:rsidRPr="00E45B0A" w:rsidRDefault="00E45B0A" w:rsidP="00F11530">
            <w:pPr>
              <w:spacing w:before="40" w:after="20"/>
              <w:jc w:val="center"/>
              <w:rPr>
                <w:rFonts w:ascii="Arial Narrow" w:hAnsi="Arial Narrow"/>
                <w:bCs/>
                <w:color w:val="000000"/>
                <w:sz w:val="20"/>
                <w:highlight w:val="black"/>
              </w:rPr>
            </w:pPr>
            <w:r>
              <w:rPr>
                <w:rFonts w:ascii="Arial Narrow" w:hAnsi="Arial Narrow" w:cs="Times New Roman"/>
                <w:noProof/>
                <w:snapToGrid/>
                <w:color w:val="000000"/>
                <w:sz w:val="20"/>
                <w:highlight w:val="black"/>
              </w:rPr>
              <w:t>''''''''''''''''</w:t>
            </w:r>
          </w:p>
        </w:tc>
        <w:tc>
          <w:tcPr>
            <w:tcW w:w="753" w:type="pct"/>
            <w:shd w:val="clear" w:color="auto" w:fill="auto"/>
          </w:tcPr>
          <w:p w:rsidR="00F11530" w:rsidRPr="00E45B0A" w:rsidRDefault="00E45B0A" w:rsidP="00F11530">
            <w:pPr>
              <w:spacing w:before="40" w:after="20"/>
              <w:jc w:val="center"/>
              <w:rPr>
                <w:rFonts w:ascii="Arial Narrow" w:hAnsi="Arial Narrow"/>
                <w:bCs/>
                <w:color w:val="000000"/>
                <w:sz w:val="20"/>
                <w:highlight w:val="black"/>
              </w:rPr>
            </w:pPr>
            <w:r>
              <w:rPr>
                <w:rFonts w:ascii="Arial Narrow" w:hAnsi="Arial Narrow" w:cs="Times New Roman"/>
                <w:noProof/>
                <w:snapToGrid/>
                <w:color w:val="000000"/>
                <w:sz w:val="20"/>
                <w:highlight w:val="black"/>
              </w:rPr>
              <w:t>'''''''''''''''</w:t>
            </w:r>
          </w:p>
        </w:tc>
      </w:tr>
      <w:tr w:rsidR="00F11530" w:rsidRPr="00051C8C" w:rsidTr="00FC628F">
        <w:tc>
          <w:tcPr>
            <w:tcW w:w="1362" w:type="pct"/>
            <w:shd w:val="clear" w:color="auto" w:fill="auto"/>
            <w:vAlign w:val="center"/>
          </w:tcPr>
          <w:p w:rsidR="00F11530" w:rsidRPr="00FC628F" w:rsidRDefault="00F11530" w:rsidP="00F11530">
            <w:pPr>
              <w:tabs>
                <w:tab w:val="left" w:pos="142"/>
              </w:tabs>
              <w:spacing w:before="40" w:after="20"/>
              <w:jc w:val="left"/>
              <w:rPr>
                <w:rFonts w:ascii="Arial Narrow" w:hAnsi="Arial Narrow"/>
                <w:sz w:val="20"/>
              </w:rPr>
            </w:pPr>
            <w:r w:rsidRPr="00051C8C">
              <w:rPr>
                <w:rFonts w:ascii="Arial Narrow" w:hAnsi="Arial Narrow"/>
                <w:sz w:val="20"/>
              </w:rPr>
              <w:t>Market share</w:t>
            </w:r>
          </w:p>
        </w:tc>
        <w:tc>
          <w:tcPr>
            <w:tcW w:w="679" w:type="pct"/>
            <w:shd w:val="clear" w:color="auto" w:fill="auto"/>
            <w:vAlign w:val="bottom"/>
          </w:tcPr>
          <w:p w:rsidR="00F11530" w:rsidRPr="00FC628F" w:rsidRDefault="00E45B0A" w:rsidP="00F11530">
            <w:pPr>
              <w:spacing w:before="40" w:after="20"/>
              <w:jc w:val="center"/>
              <w:rPr>
                <w:rFonts w:ascii="Arial Narrow" w:hAnsi="Arial Narrow"/>
                <w:bCs/>
                <w:color w:val="000000"/>
                <w:sz w:val="20"/>
              </w:rPr>
            </w:pPr>
            <w:r>
              <w:rPr>
                <w:rFonts w:ascii="Arial Narrow" w:hAnsi="Arial Narrow" w:cs="Times New Roman"/>
                <w:noProof/>
                <w:snapToGrid/>
                <w:color w:val="000000"/>
                <w:sz w:val="20"/>
                <w:highlight w:val="black"/>
              </w:rPr>
              <w:t>'''</w:t>
            </w:r>
            <w:r w:rsidR="00F11530" w:rsidRPr="00051C8C">
              <w:rPr>
                <w:rFonts w:ascii="Arial Narrow" w:hAnsi="Arial Narrow" w:cs="Times New Roman"/>
                <w:snapToGrid/>
                <w:sz w:val="20"/>
              </w:rPr>
              <w:t>%</w:t>
            </w:r>
          </w:p>
        </w:tc>
        <w:tc>
          <w:tcPr>
            <w:tcW w:w="679" w:type="pct"/>
            <w:shd w:val="clear" w:color="auto" w:fill="auto"/>
            <w:vAlign w:val="bottom"/>
          </w:tcPr>
          <w:p w:rsidR="00F11530" w:rsidRPr="00FC628F" w:rsidRDefault="00E45B0A" w:rsidP="00F11530">
            <w:pPr>
              <w:spacing w:before="40" w:after="20"/>
              <w:jc w:val="center"/>
              <w:rPr>
                <w:rFonts w:ascii="Arial Narrow" w:hAnsi="Arial Narrow"/>
                <w:bCs/>
                <w:color w:val="000000"/>
                <w:sz w:val="20"/>
              </w:rPr>
            </w:pPr>
            <w:r>
              <w:rPr>
                <w:rFonts w:ascii="Arial Narrow" w:hAnsi="Arial Narrow" w:cs="Times New Roman"/>
                <w:noProof/>
                <w:snapToGrid/>
                <w:color w:val="000000"/>
                <w:sz w:val="20"/>
                <w:highlight w:val="black"/>
              </w:rPr>
              <w:t>''''''</w:t>
            </w:r>
            <w:r w:rsidR="00F11530" w:rsidRPr="00051C8C">
              <w:rPr>
                <w:rFonts w:ascii="Arial Narrow" w:hAnsi="Arial Narrow" w:cs="Times New Roman"/>
                <w:snapToGrid/>
                <w:sz w:val="20"/>
              </w:rPr>
              <w:t>%</w:t>
            </w:r>
          </w:p>
        </w:tc>
        <w:tc>
          <w:tcPr>
            <w:tcW w:w="764" w:type="pct"/>
            <w:shd w:val="clear" w:color="auto" w:fill="auto"/>
            <w:vAlign w:val="bottom"/>
          </w:tcPr>
          <w:p w:rsidR="00F11530" w:rsidRPr="00FC628F" w:rsidRDefault="00E45B0A" w:rsidP="00F11530">
            <w:pPr>
              <w:spacing w:before="40" w:after="20"/>
              <w:jc w:val="center"/>
              <w:rPr>
                <w:rFonts w:ascii="Arial Narrow" w:hAnsi="Arial Narrow"/>
                <w:bCs/>
                <w:color w:val="000000"/>
                <w:sz w:val="20"/>
              </w:rPr>
            </w:pPr>
            <w:r>
              <w:rPr>
                <w:rFonts w:ascii="Arial Narrow" w:hAnsi="Arial Narrow" w:cs="Times New Roman"/>
                <w:noProof/>
                <w:snapToGrid/>
                <w:color w:val="000000"/>
                <w:sz w:val="20"/>
                <w:highlight w:val="black"/>
              </w:rPr>
              <w:t>''''''</w:t>
            </w:r>
            <w:r w:rsidR="00F11530" w:rsidRPr="00051C8C">
              <w:rPr>
                <w:rFonts w:ascii="Arial Narrow" w:hAnsi="Arial Narrow" w:cs="Times New Roman"/>
                <w:snapToGrid/>
                <w:sz w:val="20"/>
              </w:rPr>
              <w:t>%</w:t>
            </w:r>
          </w:p>
        </w:tc>
        <w:tc>
          <w:tcPr>
            <w:tcW w:w="764" w:type="pct"/>
            <w:shd w:val="clear" w:color="auto" w:fill="auto"/>
            <w:vAlign w:val="bottom"/>
          </w:tcPr>
          <w:p w:rsidR="00F11530" w:rsidRPr="00FC628F" w:rsidRDefault="00E45B0A" w:rsidP="00F11530">
            <w:pPr>
              <w:spacing w:before="40" w:after="20"/>
              <w:jc w:val="center"/>
              <w:rPr>
                <w:rFonts w:ascii="Arial Narrow" w:hAnsi="Arial Narrow"/>
                <w:bCs/>
                <w:color w:val="000000"/>
                <w:sz w:val="20"/>
              </w:rPr>
            </w:pPr>
            <w:r>
              <w:rPr>
                <w:rFonts w:ascii="Arial Narrow" w:hAnsi="Arial Narrow" w:cs="Times New Roman"/>
                <w:noProof/>
                <w:snapToGrid/>
                <w:color w:val="000000"/>
                <w:sz w:val="20"/>
                <w:highlight w:val="black"/>
              </w:rPr>
              <w:t>''''''</w:t>
            </w:r>
            <w:r w:rsidR="00F11530" w:rsidRPr="00051C8C">
              <w:rPr>
                <w:rFonts w:ascii="Arial Narrow" w:hAnsi="Arial Narrow" w:cs="Times New Roman"/>
                <w:snapToGrid/>
                <w:sz w:val="20"/>
              </w:rPr>
              <w:t>%</w:t>
            </w:r>
          </w:p>
        </w:tc>
        <w:tc>
          <w:tcPr>
            <w:tcW w:w="753" w:type="pct"/>
            <w:shd w:val="clear" w:color="auto" w:fill="auto"/>
            <w:vAlign w:val="bottom"/>
          </w:tcPr>
          <w:p w:rsidR="00F11530" w:rsidRPr="00FC628F" w:rsidRDefault="00E45B0A" w:rsidP="00F11530">
            <w:pPr>
              <w:spacing w:before="40" w:after="20"/>
              <w:jc w:val="center"/>
              <w:rPr>
                <w:rFonts w:ascii="Arial Narrow" w:hAnsi="Arial Narrow"/>
                <w:bCs/>
                <w:color w:val="000000"/>
                <w:sz w:val="20"/>
              </w:rPr>
            </w:pPr>
            <w:r>
              <w:rPr>
                <w:rFonts w:ascii="Arial Narrow" w:hAnsi="Arial Narrow" w:cs="Times New Roman"/>
                <w:noProof/>
                <w:snapToGrid/>
                <w:color w:val="000000"/>
                <w:sz w:val="20"/>
                <w:highlight w:val="black"/>
              </w:rPr>
              <w:t>''''''</w:t>
            </w:r>
            <w:r w:rsidR="00F11530" w:rsidRPr="00051C8C">
              <w:rPr>
                <w:rFonts w:ascii="Arial Narrow" w:hAnsi="Arial Narrow" w:cs="Times New Roman"/>
                <w:snapToGrid/>
                <w:sz w:val="20"/>
              </w:rPr>
              <w:t>%</w:t>
            </w:r>
          </w:p>
        </w:tc>
      </w:tr>
      <w:tr w:rsidR="00F11530" w:rsidRPr="00051C8C" w:rsidTr="00FC628F">
        <w:tc>
          <w:tcPr>
            <w:tcW w:w="1362" w:type="pct"/>
            <w:shd w:val="clear" w:color="auto" w:fill="auto"/>
            <w:vAlign w:val="center"/>
          </w:tcPr>
          <w:p w:rsidR="00F11530" w:rsidRPr="00FC628F" w:rsidRDefault="00F11530" w:rsidP="00F11530">
            <w:pPr>
              <w:tabs>
                <w:tab w:val="left" w:pos="142"/>
              </w:tabs>
              <w:spacing w:before="40" w:after="20"/>
              <w:jc w:val="left"/>
              <w:rPr>
                <w:rFonts w:ascii="Arial Narrow" w:hAnsi="Arial Narrow"/>
                <w:sz w:val="20"/>
              </w:rPr>
            </w:pPr>
            <w:r w:rsidRPr="00051C8C">
              <w:rPr>
                <w:rFonts w:ascii="Arial Narrow" w:hAnsi="Arial Narrow"/>
                <w:sz w:val="20"/>
              </w:rPr>
              <w:t>Scripts</w:t>
            </w:r>
          </w:p>
        </w:tc>
        <w:tc>
          <w:tcPr>
            <w:tcW w:w="679" w:type="pct"/>
            <w:shd w:val="clear" w:color="auto" w:fill="auto"/>
            <w:vAlign w:val="center"/>
          </w:tcPr>
          <w:p w:rsidR="00F11530" w:rsidRPr="00E45B0A" w:rsidRDefault="00E45B0A" w:rsidP="00F11530">
            <w:pPr>
              <w:spacing w:before="40" w:after="20"/>
              <w:jc w:val="center"/>
              <w:rPr>
                <w:rFonts w:ascii="Arial Narrow" w:hAnsi="Arial Narrow"/>
                <w:bCs/>
                <w:color w:val="000000"/>
                <w:sz w:val="20"/>
                <w:highlight w:val="black"/>
              </w:rPr>
            </w:pPr>
            <w:r>
              <w:rPr>
                <w:rFonts w:ascii="Arial Narrow" w:hAnsi="Arial Narrow" w:cs="Times New Roman"/>
                <w:noProof/>
                <w:snapToGrid/>
                <w:color w:val="000000"/>
                <w:sz w:val="20"/>
                <w:highlight w:val="black"/>
              </w:rPr>
              <w:t>''''''''''''</w:t>
            </w:r>
          </w:p>
        </w:tc>
        <w:tc>
          <w:tcPr>
            <w:tcW w:w="679" w:type="pct"/>
            <w:shd w:val="clear" w:color="auto" w:fill="auto"/>
            <w:vAlign w:val="center"/>
          </w:tcPr>
          <w:p w:rsidR="00F11530" w:rsidRPr="00E45B0A" w:rsidRDefault="00E45B0A" w:rsidP="00F11530">
            <w:pPr>
              <w:spacing w:before="40" w:after="20"/>
              <w:jc w:val="center"/>
              <w:rPr>
                <w:rFonts w:ascii="Arial Narrow" w:hAnsi="Arial Narrow"/>
                <w:bCs/>
                <w:color w:val="000000"/>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center"/>
          </w:tcPr>
          <w:p w:rsidR="00F11530" w:rsidRPr="00E45B0A" w:rsidRDefault="00E45B0A" w:rsidP="00F11530">
            <w:pPr>
              <w:spacing w:before="40" w:after="20"/>
              <w:jc w:val="center"/>
              <w:rPr>
                <w:rFonts w:ascii="Arial Narrow" w:hAnsi="Arial Narrow"/>
                <w:bCs/>
                <w:color w:val="000000"/>
                <w:sz w:val="20"/>
                <w:highlight w:val="black"/>
              </w:rPr>
            </w:pPr>
            <w:r>
              <w:rPr>
                <w:rFonts w:ascii="Arial Narrow" w:hAnsi="Arial Narrow" w:cs="Times New Roman"/>
                <w:noProof/>
                <w:snapToGrid/>
                <w:color w:val="000000"/>
                <w:sz w:val="20"/>
                <w:highlight w:val="black"/>
              </w:rPr>
              <w:t>'''''''''''''''</w:t>
            </w:r>
          </w:p>
        </w:tc>
        <w:tc>
          <w:tcPr>
            <w:tcW w:w="764" w:type="pct"/>
            <w:shd w:val="clear" w:color="auto" w:fill="auto"/>
            <w:vAlign w:val="center"/>
          </w:tcPr>
          <w:p w:rsidR="00F11530" w:rsidRPr="00E45B0A" w:rsidRDefault="00E45B0A" w:rsidP="00F11530">
            <w:pPr>
              <w:spacing w:before="40" w:after="20"/>
              <w:jc w:val="center"/>
              <w:rPr>
                <w:rFonts w:ascii="Arial Narrow" w:hAnsi="Arial Narrow"/>
                <w:bCs/>
                <w:color w:val="000000"/>
                <w:sz w:val="20"/>
                <w:highlight w:val="black"/>
              </w:rPr>
            </w:pPr>
            <w:r>
              <w:rPr>
                <w:rFonts w:ascii="Arial Narrow" w:hAnsi="Arial Narrow" w:cs="Times New Roman"/>
                <w:noProof/>
                <w:snapToGrid/>
                <w:color w:val="000000"/>
                <w:sz w:val="20"/>
                <w:highlight w:val="black"/>
              </w:rPr>
              <w:t>'''''''''''''</w:t>
            </w:r>
          </w:p>
        </w:tc>
        <w:tc>
          <w:tcPr>
            <w:tcW w:w="753" w:type="pct"/>
            <w:shd w:val="clear" w:color="auto" w:fill="auto"/>
            <w:vAlign w:val="center"/>
          </w:tcPr>
          <w:p w:rsidR="00F11530" w:rsidRPr="00E45B0A" w:rsidRDefault="00E45B0A" w:rsidP="00F11530">
            <w:pPr>
              <w:spacing w:before="40" w:after="20"/>
              <w:jc w:val="center"/>
              <w:rPr>
                <w:rFonts w:ascii="Arial Narrow" w:hAnsi="Arial Narrow"/>
                <w:bCs/>
                <w:color w:val="000000"/>
                <w:sz w:val="20"/>
                <w:highlight w:val="black"/>
              </w:rPr>
            </w:pPr>
            <w:r>
              <w:rPr>
                <w:rFonts w:ascii="Arial Narrow" w:hAnsi="Arial Narrow" w:cs="Times New Roman"/>
                <w:noProof/>
                <w:snapToGrid/>
                <w:color w:val="000000"/>
                <w:sz w:val="20"/>
                <w:highlight w:val="black"/>
              </w:rPr>
              <w:t>''''''''''''''</w:t>
            </w:r>
          </w:p>
        </w:tc>
      </w:tr>
      <w:tr w:rsidR="00F11530" w:rsidRPr="00051C8C" w:rsidTr="00FC628F">
        <w:tc>
          <w:tcPr>
            <w:tcW w:w="1362" w:type="pct"/>
            <w:shd w:val="clear" w:color="auto" w:fill="auto"/>
            <w:vAlign w:val="center"/>
          </w:tcPr>
          <w:p w:rsidR="00F11530" w:rsidRPr="00826E28" w:rsidRDefault="000A5A0D" w:rsidP="00F11530">
            <w:pPr>
              <w:tabs>
                <w:tab w:val="left" w:pos="142"/>
              </w:tabs>
              <w:spacing w:before="40" w:after="20"/>
              <w:jc w:val="left"/>
              <w:rPr>
                <w:rFonts w:ascii="Arial Narrow" w:hAnsi="Arial Narrow"/>
                <w:b/>
                <w:sz w:val="20"/>
              </w:rPr>
            </w:pPr>
            <w:r w:rsidRPr="00051C8C">
              <w:rPr>
                <w:rFonts w:ascii="Arial Narrow" w:hAnsi="Arial Narrow"/>
                <w:b/>
                <w:bCs/>
                <w:color w:val="000000"/>
                <w:sz w:val="20"/>
              </w:rPr>
              <w:t xml:space="preserve">Estimated </w:t>
            </w:r>
            <w:r>
              <w:rPr>
                <w:rFonts w:ascii="Arial Narrow" w:hAnsi="Arial Narrow"/>
                <w:b/>
                <w:bCs/>
                <w:color w:val="000000"/>
                <w:sz w:val="20"/>
              </w:rPr>
              <w:t>n</w:t>
            </w:r>
            <w:r w:rsidR="00F11530" w:rsidRPr="00051C8C">
              <w:rPr>
                <w:rFonts w:ascii="Arial Narrow" w:hAnsi="Arial Narrow"/>
                <w:b/>
                <w:bCs/>
                <w:color w:val="000000"/>
                <w:sz w:val="20"/>
              </w:rPr>
              <w:t>et cost to PBS/RPBS/MBS</w:t>
            </w:r>
          </w:p>
        </w:tc>
        <w:tc>
          <w:tcPr>
            <w:tcW w:w="679" w:type="pct"/>
            <w:shd w:val="clear" w:color="auto" w:fill="auto"/>
            <w:vAlign w:val="center"/>
          </w:tcPr>
          <w:p w:rsidR="00F11530" w:rsidRPr="00FC628F" w:rsidRDefault="00F11530" w:rsidP="00F11530">
            <w:pPr>
              <w:spacing w:before="40" w:after="20"/>
              <w:jc w:val="center"/>
              <w:rPr>
                <w:rFonts w:ascii="Arial Narrow" w:hAnsi="Arial Narrow"/>
                <w:color w:val="000000"/>
                <w:sz w:val="20"/>
              </w:rPr>
            </w:pPr>
            <w:r w:rsidRPr="00051C8C">
              <w:rPr>
                <w:rFonts w:ascii="Arial Narrow" w:hAnsi="Arial Narrow" w:cs="Times New Roman"/>
                <w:snapToGrid/>
                <w:sz w:val="20"/>
              </w:rPr>
              <w:t>$</w:t>
            </w:r>
            <w:r w:rsidRPr="00964A4A">
              <w:rPr>
                <w:rFonts w:ascii="Arial Narrow" w:hAnsi="Arial Narrow" w:cs="Times New Roman"/>
                <w:snapToGrid/>
                <w:sz w:val="20"/>
              </w:rPr>
              <w:t>0</w:t>
            </w:r>
          </w:p>
        </w:tc>
        <w:tc>
          <w:tcPr>
            <w:tcW w:w="679" w:type="pct"/>
            <w:shd w:val="clear" w:color="auto" w:fill="auto"/>
            <w:vAlign w:val="center"/>
          </w:tcPr>
          <w:p w:rsidR="00F11530" w:rsidRPr="00FC628F" w:rsidRDefault="00F11530" w:rsidP="00F11530">
            <w:pPr>
              <w:spacing w:before="40" w:after="20"/>
              <w:jc w:val="center"/>
              <w:rPr>
                <w:rFonts w:ascii="Arial Narrow" w:hAnsi="Arial Narrow"/>
                <w:color w:val="000000"/>
                <w:sz w:val="20"/>
              </w:rPr>
            </w:pPr>
            <w:r w:rsidRPr="00051C8C">
              <w:rPr>
                <w:rFonts w:ascii="Arial Narrow" w:hAnsi="Arial Narrow" w:cs="Times New Roman"/>
                <w:snapToGrid/>
                <w:sz w:val="20"/>
              </w:rPr>
              <w:t>$</w:t>
            </w:r>
            <w:r w:rsidRPr="00964A4A">
              <w:rPr>
                <w:rFonts w:ascii="Arial Narrow" w:hAnsi="Arial Narrow" w:cs="Times New Roman"/>
                <w:snapToGrid/>
                <w:sz w:val="20"/>
              </w:rPr>
              <w:t>0</w:t>
            </w:r>
          </w:p>
        </w:tc>
        <w:tc>
          <w:tcPr>
            <w:tcW w:w="764" w:type="pct"/>
            <w:shd w:val="clear" w:color="auto" w:fill="auto"/>
            <w:vAlign w:val="center"/>
          </w:tcPr>
          <w:p w:rsidR="00F11530" w:rsidRPr="00FC628F" w:rsidRDefault="00F11530" w:rsidP="00F11530">
            <w:pPr>
              <w:spacing w:before="40" w:after="20"/>
              <w:jc w:val="center"/>
              <w:rPr>
                <w:rFonts w:ascii="Arial Narrow" w:hAnsi="Arial Narrow"/>
                <w:color w:val="000000"/>
                <w:sz w:val="20"/>
              </w:rPr>
            </w:pPr>
            <w:r w:rsidRPr="00051C8C">
              <w:rPr>
                <w:rFonts w:ascii="Arial Narrow" w:hAnsi="Arial Narrow" w:cs="Times New Roman"/>
                <w:snapToGrid/>
                <w:sz w:val="20"/>
              </w:rPr>
              <w:t>$</w:t>
            </w:r>
            <w:r w:rsidRPr="00964A4A">
              <w:rPr>
                <w:rFonts w:ascii="Arial Narrow" w:hAnsi="Arial Narrow" w:cs="Times New Roman"/>
                <w:snapToGrid/>
                <w:sz w:val="20"/>
              </w:rPr>
              <w:t>0</w:t>
            </w:r>
          </w:p>
        </w:tc>
        <w:tc>
          <w:tcPr>
            <w:tcW w:w="764" w:type="pct"/>
            <w:shd w:val="clear" w:color="auto" w:fill="auto"/>
            <w:vAlign w:val="center"/>
          </w:tcPr>
          <w:p w:rsidR="00F11530" w:rsidRPr="00FC628F" w:rsidRDefault="00F11530" w:rsidP="00F11530">
            <w:pPr>
              <w:spacing w:before="40" w:after="20"/>
              <w:jc w:val="center"/>
              <w:rPr>
                <w:rFonts w:ascii="Arial Narrow" w:hAnsi="Arial Narrow"/>
                <w:color w:val="000000"/>
                <w:sz w:val="20"/>
              </w:rPr>
            </w:pPr>
            <w:r w:rsidRPr="00051C8C">
              <w:rPr>
                <w:rFonts w:ascii="Arial Narrow" w:hAnsi="Arial Narrow" w:cs="Times New Roman"/>
                <w:snapToGrid/>
                <w:sz w:val="20"/>
              </w:rPr>
              <w:t>$</w:t>
            </w:r>
            <w:r w:rsidRPr="00964A4A">
              <w:rPr>
                <w:rFonts w:ascii="Arial Narrow" w:hAnsi="Arial Narrow" w:cs="Times New Roman"/>
                <w:snapToGrid/>
                <w:sz w:val="20"/>
              </w:rPr>
              <w:t>0</w:t>
            </w:r>
          </w:p>
        </w:tc>
        <w:tc>
          <w:tcPr>
            <w:tcW w:w="753" w:type="pct"/>
            <w:shd w:val="clear" w:color="auto" w:fill="auto"/>
            <w:vAlign w:val="center"/>
          </w:tcPr>
          <w:p w:rsidR="00F11530" w:rsidRPr="00FC628F" w:rsidRDefault="00F11530" w:rsidP="00F11530">
            <w:pPr>
              <w:spacing w:before="40" w:after="20"/>
              <w:jc w:val="center"/>
              <w:rPr>
                <w:rFonts w:ascii="Arial Narrow" w:hAnsi="Arial Narrow"/>
                <w:color w:val="000000"/>
                <w:sz w:val="20"/>
              </w:rPr>
            </w:pPr>
            <w:r w:rsidRPr="00051C8C">
              <w:rPr>
                <w:rFonts w:ascii="Arial Narrow" w:hAnsi="Arial Narrow" w:cs="Times New Roman"/>
                <w:snapToGrid/>
                <w:sz w:val="20"/>
              </w:rPr>
              <w:t>$</w:t>
            </w:r>
            <w:r w:rsidRPr="00964A4A">
              <w:rPr>
                <w:rFonts w:ascii="Arial Narrow" w:hAnsi="Arial Narrow" w:cs="Times New Roman"/>
                <w:snapToGrid/>
                <w:sz w:val="20"/>
              </w:rPr>
              <w:t>0</w:t>
            </w:r>
          </w:p>
        </w:tc>
      </w:tr>
    </w:tbl>
    <w:p w:rsidR="00F11530" w:rsidRPr="00051C8C" w:rsidRDefault="00F11530" w:rsidP="00F11530">
      <w:pPr>
        <w:pStyle w:val="TableFooter"/>
        <w:ind w:firstLine="720"/>
      </w:pPr>
      <w:r w:rsidRPr="00051C8C">
        <w:t>Source: Table E.3-1, p58 of the submission.</w:t>
      </w:r>
    </w:p>
    <w:p w:rsidR="00F11530" w:rsidRDefault="00964A4A" w:rsidP="00964A4A">
      <w:pPr>
        <w:widowControl/>
        <w:ind w:left="720"/>
        <w:rPr>
          <w:szCs w:val="22"/>
        </w:rPr>
      </w:pPr>
      <w:r>
        <w:rPr>
          <w:szCs w:val="22"/>
        </w:rPr>
        <w:lastRenderedPageBreak/>
        <w:t>The redacted table above shows that at year 5, the estimated number of patients would be 50,000 – 100,000.</w:t>
      </w:r>
    </w:p>
    <w:p w:rsidR="00964A4A" w:rsidRPr="00051C8C" w:rsidRDefault="00964A4A" w:rsidP="00F11530">
      <w:pPr>
        <w:widowControl/>
        <w:rPr>
          <w:szCs w:val="22"/>
        </w:rPr>
      </w:pPr>
    </w:p>
    <w:p w:rsidR="00F11530" w:rsidRPr="00051C8C" w:rsidRDefault="00F11530" w:rsidP="00F11530">
      <w:pPr>
        <w:pStyle w:val="ListParagraph"/>
        <w:widowControl/>
        <w:numPr>
          <w:ilvl w:val="1"/>
          <w:numId w:val="5"/>
        </w:numPr>
      </w:pPr>
      <w:r w:rsidRPr="00051C8C">
        <w:t xml:space="preserve">The </w:t>
      </w:r>
      <w:r w:rsidR="000A5A0D">
        <w:t xml:space="preserve">PBAC did not expect the </w:t>
      </w:r>
      <w:r w:rsidRPr="00051C8C">
        <w:t xml:space="preserve">listing of </w:t>
      </w:r>
      <w:proofErr w:type="spellStart"/>
      <w:r w:rsidR="001539AA" w:rsidRPr="00051C8C">
        <w:t>Renflexis</w:t>
      </w:r>
      <w:proofErr w:type="spellEnd"/>
      <w:r w:rsidR="001539AA" w:rsidRPr="00051C8C">
        <w:t xml:space="preserve"> </w:t>
      </w:r>
      <w:r w:rsidRPr="00051C8C">
        <w:t xml:space="preserve">to result in additional cost to PBS/RPBS/MBS as </w:t>
      </w:r>
      <w:proofErr w:type="spellStart"/>
      <w:r w:rsidR="001539AA" w:rsidRPr="00051C8C">
        <w:t>Renflexis</w:t>
      </w:r>
      <w:proofErr w:type="spellEnd"/>
      <w:r w:rsidR="001539AA" w:rsidRPr="00051C8C">
        <w:t xml:space="preserve"> has</w:t>
      </w:r>
      <w:r w:rsidRPr="00051C8C">
        <w:t xml:space="preserve"> requested the same price as that of Remicade with the doses and route of administration being the same.</w:t>
      </w:r>
    </w:p>
    <w:p w:rsidR="00F11530" w:rsidRPr="00051C8C" w:rsidRDefault="00F11530" w:rsidP="00F11530">
      <w:pPr>
        <w:widowControl/>
        <w:rPr>
          <w:szCs w:val="22"/>
        </w:rPr>
      </w:pPr>
    </w:p>
    <w:p w:rsidR="00F11530" w:rsidRPr="00051C8C" w:rsidRDefault="00F11530" w:rsidP="005337AB">
      <w:pPr>
        <w:pStyle w:val="Heading3"/>
        <w:rPr>
          <w:i w:val="0"/>
        </w:rPr>
      </w:pPr>
      <w:bookmarkStart w:id="22" w:name="_Toc461606014"/>
      <w:r w:rsidRPr="00051C8C">
        <w:rPr>
          <w:i w:val="0"/>
        </w:rPr>
        <w:t>Quality Use of Medicines</w:t>
      </w:r>
      <w:bookmarkEnd w:id="22"/>
    </w:p>
    <w:p w:rsidR="00F11530" w:rsidRPr="00051C8C" w:rsidRDefault="00F11530" w:rsidP="00F11530"/>
    <w:p w:rsidR="00F11530" w:rsidRPr="00051C8C" w:rsidRDefault="00F11530" w:rsidP="00F11530">
      <w:pPr>
        <w:pStyle w:val="ListParagraph"/>
        <w:widowControl/>
        <w:numPr>
          <w:ilvl w:val="1"/>
          <w:numId w:val="5"/>
        </w:numPr>
      </w:pPr>
      <w:r w:rsidRPr="00051C8C">
        <w:t xml:space="preserve">The submission did not raise issues relating to the quality use of medicines. The TGA </w:t>
      </w:r>
      <w:r w:rsidR="00DA5DDA" w:rsidRPr="00051C8C">
        <w:t>CER</w:t>
      </w:r>
      <w:r w:rsidRPr="00051C8C">
        <w:t xml:space="preserve"> suggested that risks associated with switching should be assessed by appropriate post-marketing pharmacovigilance.</w:t>
      </w:r>
      <w:r w:rsidRPr="00051C8C" w:rsidDel="00571D95">
        <w:t xml:space="preserve"> </w:t>
      </w:r>
    </w:p>
    <w:p w:rsidR="00F11530" w:rsidRPr="00051C8C" w:rsidRDefault="00F11530" w:rsidP="00F11530">
      <w:pPr>
        <w:widowControl/>
        <w:rPr>
          <w:szCs w:val="22"/>
        </w:rPr>
      </w:pPr>
    </w:p>
    <w:p w:rsidR="00F11530" w:rsidRPr="00051C8C" w:rsidRDefault="00F11530" w:rsidP="005337AB">
      <w:pPr>
        <w:pStyle w:val="Heading3"/>
        <w:rPr>
          <w:i w:val="0"/>
        </w:rPr>
      </w:pPr>
      <w:bookmarkStart w:id="23" w:name="_Toc461606015"/>
      <w:r w:rsidRPr="00051C8C">
        <w:rPr>
          <w:i w:val="0"/>
        </w:rPr>
        <w:t>Financial Management – Risk Sharing Arrangements</w:t>
      </w:r>
      <w:bookmarkEnd w:id="23"/>
    </w:p>
    <w:p w:rsidR="00F11530" w:rsidRPr="00051C8C" w:rsidRDefault="00F11530" w:rsidP="00F11530">
      <w:pPr>
        <w:widowControl/>
        <w:rPr>
          <w:szCs w:val="22"/>
        </w:rPr>
      </w:pPr>
    </w:p>
    <w:p w:rsidR="00F11530" w:rsidRPr="00051C8C" w:rsidRDefault="00F11530" w:rsidP="00F11530">
      <w:pPr>
        <w:pStyle w:val="ListParagraph"/>
        <w:widowControl/>
        <w:numPr>
          <w:ilvl w:val="1"/>
          <w:numId w:val="5"/>
        </w:numPr>
        <w:rPr>
          <w:szCs w:val="22"/>
        </w:rPr>
      </w:pPr>
      <w:r w:rsidRPr="00051C8C">
        <w:t xml:space="preserve">The sponsor </w:t>
      </w:r>
      <w:r w:rsidR="0000562D" w:rsidRPr="00051C8C">
        <w:t>did</w:t>
      </w:r>
      <w:r w:rsidRPr="00051C8C">
        <w:t xml:space="preserve"> not propose any risk sharing arrangements</w:t>
      </w:r>
      <w:proofErr w:type="gramStart"/>
      <w:r w:rsidRPr="00051C8C">
        <w:t>..</w:t>
      </w:r>
      <w:proofErr w:type="gramEnd"/>
    </w:p>
    <w:p w:rsidR="00F11530" w:rsidRPr="00051C8C" w:rsidRDefault="00F11530" w:rsidP="00F11530">
      <w:pPr>
        <w:widowControl/>
        <w:rPr>
          <w:szCs w:val="22"/>
        </w:rPr>
      </w:pPr>
    </w:p>
    <w:bookmarkEnd w:id="2"/>
    <w:bookmarkEnd w:id="3"/>
    <w:bookmarkEnd w:id="4"/>
    <w:bookmarkEnd w:id="5"/>
    <w:bookmarkEnd w:id="6"/>
    <w:p w:rsidR="00C16CD6" w:rsidRPr="00051C8C" w:rsidRDefault="00C16CD6" w:rsidP="00C16CD6">
      <w:pPr>
        <w:ind w:firstLine="720"/>
        <w:rPr>
          <w:bCs/>
          <w:szCs w:val="22"/>
        </w:rPr>
      </w:pPr>
      <w:r w:rsidRPr="00FC628F">
        <w:rPr>
          <w:bCs/>
          <w:i/>
          <w:szCs w:val="22"/>
        </w:rPr>
        <w:t>For more detail on PBAC’s view, see section 7 “PBAC outcome”</w:t>
      </w:r>
    </w:p>
    <w:p w:rsidR="005337AB" w:rsidRPr="00BC5EA2" w:rsidRDefault="005337AB" w:rsidP="00D82A3D"/>
    <w:p w:rsidR="00BD21D3" w:rsidRPr="00D543A5" w:rsidRDefault="00BD21D3" w:rsidP="00D82A3D"/>
    <w:p w:rsidR="00BD21D3" w:rsidRPr="00FC628F" w:rsidRDefault="00BD21D3" w:rsidP="00FC628F">
      <w:pPr>
        <w:numPr>
          <w:ilvl w:val="0"/>
          <w:numId w:val="5"/>
        </w:numPr>
        <w:outlineLvl w:val="1"/>
        <w:rPr>
          <w:b/>
          <w:bCs/>
        </w:rPr>
      </w:pPr>
      <w:r w:rsidRPr="00FC628F">
        <w:rPr>
          <w:b/>
          <w:bCs/>
        </w:rPr>
        <w:t>PBAC Outcome</w:t>
      </w:r>
    </w:p>
    <w:p w:rsidR="00BD21D3" w:rsidRPr="00FC628F" w:rsidRDefault="00BD21D3" w:rsidP="00BD21D3">
      <w:pPr>
        <w:rPr>
          <w:bCs/>
          <w:lang w:val="en-GB"/>
        </w:rPr>
      </w:pPr>
    </w:p>
    <w:p w:rsidR="0038749D" w:rsidRPr="00FC628F" w:rsidRDefault="00BD21D3" w:rsidP="0038749D">
      <w:pPr>
        <w:numPr>
          <w:ilvl w:val="1"/>
          <w:numId w:val="5"/>
        </w:numPr>
        <w:rPr>
          <w:bCs/>
          <w:lang w:val="en-GB"/>
        </w:rPr>
      </w:pPr>
      <w:r w:rsidRPr="00FC628F">
        <w:rPr>
          <w:bCs/>
          <w:lang w:val="en-GB"/>
        </w:rPr>
        <w:t xml:space="preserve">The PBAC recommended the listing of </w:t>
      </w:r>
      <w:r w:rsidR="0038749D" w:rsidRPr="00FC628F">
        <w:rPr>
          <w:bCs/>
          <w:lang w:val="en-GB"/>
        </w:rPr>
        <w:t>infliximab (</w:t>
      </w:r>
      <w:proofErr w:type="spellStart"/>
      <w:r w:rsidR="0038749D" w:rsidRPr="00FC628F">
        <w:rPr>
          <w:bCs/>
          <w:lang w:val="en-GB"/>
        </w:rPr>
        <w:t>Renflexis</w:t>
      </w:r>
      <w:proofErr w:type="spellEnd"/>
      <w:r w:rsidR="0038749D" w:rsidRPr="00FC628F">
        <w:rPr>
          <w:bCs/>
          <w:lang w:val="en-GB"/>
        </w:rPr>
        <w:t>)</w:t>
      </w:r>
      <w:r w:rsidRPr="00FC628F">
        <w:rPr>
          <w:bCs/>
          <w:lang w:val="en-GB"/>
        </w:rPr>
        <w:t xml:space="preserve"> </w:t>
      </w:r>
      <w:r w:rsidR="0038749D" w:rsidRPr="00FC628F">
        <w:rPr>
          <w:bCs/>
          <w:lang w:val="en-GB"/>
        </w:rPr>
        <w:t xml:space="preserve">as a </w:t>
      </w:r>
      <w:proofErr w:type="spellStart"/>
      <w:r w:rsidR="0038749D" w:rsidRPr="00FC628F">
        <w:rPr>
          <w:bCs/>
          <w:lang w:val="en-GB"/>
        </w:rPr>
        <w:t>biosimilar</w:t>
      </w:r>
      <w:proofErr w:type="spellEnd"/>
      <w:r w:rsidR="0038749D" w:rsidRPr="00FC628F">
        <w:rPr>
          <w:bCs/>
          <w:lang w:val="en-GB"/>
        </w:rPr>
        <w:t xml:space="preserve"> of infliximab (Remicade) on a cost minimisation basis with infliximab (Remicade). The equi-effective doses are 100 mg infliximab (</w:t>
      </w:r>
      <w:proofErr w:type="spellStart"/>
      <w:r w:rsidR="0038749D" w:rsidRPr="00FC628F">
        <w:rPr>
          <w:bCs/>
          <w:lang w:val="en-GB"/>
        </w:rPr>
        <w:t>Renflexis</w:t>
      </w:r>
      <w:proofErr w:type="spellEnd"/>
      <w:r w:rsidR="0038749D" w:rsidRPr="00FC628F">
        <w:rPr>
          <w:bCs/>
          <w:lang w:val="en-GB"/>
        </w:rPr>
        <w:t>) and 100 mg infliximab (Remicade). The PBAC recommended that infliximab (</w:t>
      </w:r>
      <w:proofErr w:type="spellStart"/>
      <w:r w:rsidR="0038749D" w:rsidRPr="00FC628F">
        <w:rPr>
          <w:bCs/>
          <w:lang w:val="en-GB"/>
        </w:rPr>
        <w:t>Renflexis</w:t>
      </w:r>
      <w:proofErr w:type="spellEnd"/>
      <w:r w:rsidR="0038749D" w:rsidRPr="00FC628F">
        <w:rPr>
          <w:bCs/>
          <w:lang w:val="en-GB"/>
        </w:rPr>
        <w:t>) be listed for all indications that are PBS listed for infliximab (Remicade):</w:t>
      </w:r>
    </w:p>
    <w:p w:rsidR="0038749D" w:rsidRPr="00FC628F" w:rsidRDefault="0038749D" w:rsidP="0038749D">
      <w:pPr>
        <w:pStyle w:val="PBACHeading1"/>
        <w:numPr>
          <w:ilvl w:val="0"/>
          <w:numId w:val="0"/>
        </w:numPr>
        <w:ind w:left="720" w:hanging="720"/>
        <w:rPr>
          <w:lang w:val="en-GB"/>
        </w:rPr>
      </w:pPr>
    </w:p>
    <w:p w:rsidR="0038749D" w:rsidRPr="00FC628F" w:rsidRDefault="0038749D" w:rsidP="0038749D">
      <w:pPr>
        <w:pStyle w:val="PBACHeading1"/>
        <w:numPr>
          <w:ilvl w:val="0"/>
          <w:numId w:val="52"/>
        </w:numPr>
        <w:ind w:left="1134"/>
        <w:rPr>
          <w:lang w:val="en-GB"/>
        </w:rPr>
      </w:pPr>
      <w:r w:rsidRPr="00FC628F">
        <w:rPr>
          <w:b w:val="0"/>
          <w:lang w:val="en-GB"/>
        </w:rPr>
        <w:t>Acute severe ulcerative colitis</w:t>
      </w:r>
    </w:p>
    <w:p w:rsidR="0038749D" w:rsidRPr="00FC628F" w:rsidRDefault="0038749D" w:rsidP="0038749D">
      <w:pPr>
        <w:pStyle w:val="PBACHeading1"/>
        <w:numPr>
          <w:ilvl w:val="0"/>
          <w:numId w:val="52"/>
        </w:numPr>
        <w:ind w:left="1134"/>
        <w:rPr>
          <w:lang w:val="en-GB"/>
        </w:rPr>
      </w:pPr>
      <w:r w:rsidRPr="00FC628F">
        <w:rPr>
          <w:b w:val="0"/>
          <w:lang w:val="en-GB"/>
        </w:rPr>
        <w:t>Moderate to severe ulcerative colitis</w:t>
      </w:r>
    </w:p>
    <w:p w:rsidR="0038749D" w:rsidRPr="00FC628F" w:rsidRDefault="0038749D" w:rsidP="0038749D">
      <w:pPr>
        <w:pStyle w:val="PBACHeading1"/>
        <w:numPr>
          <w:ilvl w:val="0"/>
          <w:numId w:val="52"/>
        </w:numPr>
        <w:ind w:left="1134"/>
        <w:rPr>
          <w:lang w:val="en-GB"/>
        </w:rPr>
      </w:pPr>
      <w:r w:rsidRPr="00FC628F">
        <w:rPr>
          <w:b w:val="0"/>
          <w:lang w:val="en-GB"/>
        </w:rPr>
        <w:t>Severe refractory Crohn’s disease</w:t>
      </w:r>
    </w:p>
    <w:p w:rsidR="0038749D" w:rsidRPr="00FC628F" w:rsidRDefault="0038749D" w:rsidP="0038749D">
      <w:pPr>
        <w:pStyle w:val="PBACHeading1"/>
        <w:numPr>
          <w:ilvl w:val="0"/>
          <w:numId w:val="52"/>
        </w:numPr>
        <w:ind w:left="1134"/>
        <w:rPr>
          <w:lang w:val="en-GB"/>
        </w:rPr>
      </w:pPr>
      <w:r w:rsidRPr="00FC628F">
        <w:rPr>
          <w:b w:val="0"/>
          <w:lang w:val="en-GB"/>
        </w:rPr>
        <w:t>Refractory Fistulating Crohn’s disease</w:t>
      </w:r>
    </w:p>
    <w:p w:rsidR="0038749D" w:rsidRPr="00FC628F" w:rsidRDefault="0038749D" w:rsidP="0038749D">
      <w:pPr>
        <w:pStyle w:val="PBACHeading1"/>
        <w:numPr>
          <w:ilvl w:val="0"/>
          <w:numId w:val="52"/>
        </w:numPr>
        <w:ind w:left="1134"/>
        <w:rPr>
          <w:lang w:val="en-GB"/>
        </w:rPr>
      </w:pPr>
      <w:r w:rsidRPr="00FC628F">
        <w:rPr>
          <w:b w:val="0"/>
          <w:lang w:val="en-GB"/>
        </w:rPr>
        <w:t>Severe active rheumatoid arthritis</w:t>
      </w:r>
    </w:p>
    <w:p w:rsidR="0038749D" w:rsidRPr="00FC628F" w:rsidRDefault="0038749D" w:rsidP="0038749D">
      <w:pPr>
        <w:pStyle w:val="PBACHeading1"/>
        <w:numPr>
          <w:ilvl w:val="0"/>
          <w:numId w:val="52"/>
        </w:numPr>
        <w:ind w:left="1134"/>
        <w:rPr>
          <w:lang w:val="en-GB"/>
        </w:rPr>
      </w:pPr>
      <w:r w:rsidRPr="00FC628F">
        <w:rPr>
          <w:b w:val="0"/>
          <w:lang w:val="en-GB"/>
        </w:rPr>
        <w:t>Active ankylosing spondylitis</w:t>
      </w:r>
    </w:p>
    <w:p w:rsidR="0038749D" w:rsidRPr="00FC628F" w:rsidRDefault="0038749D" w:rsidP="0038749D">
      <w:pPr>
        <w:pStyle w:val="PBACHeading1"/>
        <w:numPr>
          <w:ilvl w:val="0"/>
          <w:numId w:val="52"/>
        </w:numPr>
        <w:ind w:left="1134"/>
        <w:rPr>
          <w:lang w:val="en-GB"/>
        </w:rPr>
      </w:pPr>
      <w:r w:rsidRPr="00FC628F">
        <w:rPr>
          <w:b w:val="0"/>
          <w:lang w:val="en-GB"/>
        </w:rPr>
        <w:t>Severe active psoriatic arthritis</w:t>
      </w:r>
    </w:p>
    <w:p w:rsidR="0038749D" w:rsidRPr="00FC628F" w:rsidRDefault="0038749D" w:rsidP="0038749D">
      <w:pPr>
        <w:pStyle w:val="PBACHeading1"/>
        <w:numPr>
          <w:ilvl w:val="0"/>
          <w:numId w:val="52"/>
        </w:numPr>
        <w:ind w:left="1134"/>
        <w:rPr>
          <w:lang w:val="en-GB"/>
        </w:rPr>
      </w:pPr>
      <w:r w:rsidRPr="00FC628F">
        <w:rPr>
          <w:b w:val="0"/>
          <w:lang w:val="en-GB"/>
        </w:rPr>
        <w:t>Severe chronic plaque psoriasis</w:t>
      </w:r>
    </w:p>
    <w:p w:rsidR="00BD21D3" w:rsidRPr="00FC628F" w:rsidRDefault="00BD21D3" w:rsidP="00BD21D3">
      <w:pPr>
        <w:rPr>
          <w:bCs/>
          <w:lang w:val="en-GB"/>
        </w:rPr>
      </w:pPr>
    </w:p>
    <w:p w:rsidR="00BD21D3" w:rsidRDefault="00BD21D3" w:rsidP="0038749D">
      <w:pPr>
        <w:numPr>
          <w:ilvl w:val="1"/>
          <w:numId w:val="5"/>
        </w:numPr>
        <w:rPr>
          <w:bCs/>
          <w:lang w:val="en-GB"/>
        </w:rPr>
      </w:pPr>
      <w:r w:rsidRPr="00FC628F">
        <w:rPr>
          <w:bCs/>
          <w:lang w:val="en-GB"/>
        </w:rPr>
        <w:t xml:space="preserve">The </w:t>
      </w:r>
      <w:r w:rsidR="0038749D" w:rsidRPr="00051C8C">
        <w:rPr>
          <w:bCs/>
          <w:lang w:val="en-GB"/>
        </w:rPr>
        <w:t xml:space="preserve">PBAC considered that a claim of non-inferior comparative effectiveness and non-inferior comparative safety was adequately supported. The PBAC noted that the ACPM was satisfied that the submitted data showed that </w:t>
      </w:r>
      <w:proofErr w:type="spellStart"/>
      <w:r w:rsidR="0038749D" w:rsidRPr="00BC5EA2">
        <w:rPr>
          <w:bCs/>
          <w:lang w:val="en-GB"/>
        </w:rPr>
        <w:t>R</w:t>
      </w:r>
      <w:r w:rsidR="0038749D" w:rsidRPr="00F1715F">
        <w:rPr>
          <w:bCs/>
          <w:lang w:val="en-GB"/>
        </w:rPr>
        <w:t>enflexis</w:t>
      </w:r>
      <w:proofErr w:type="spellEnd"/>
      <w:r w:rsidR="0038749D" w:rsidRPr="00F1715F">
        <w:rPr>
          <w:bCs/>
          <w:lang w:val="en-GB"/>
        </w:rPr>
        <w:t xml:space="preserve"> is similar to Remicade</w:t>
      </w:r>
      <w:r w:rsidR="0038749D" w:rsidRPr="00DA46F0">
        <w:rPr>
          <w:bCs/>
          <w:lang w:val="en-GB"/>
        </w:rPr>
        <w:t xml:space="preserve"> in terms of efficacy and safety, further noting that the ACPM had stated there were sufficient data to for it to be satisfied that </w:t>
      </w:r>
      <w:proofErr w:type="spellStart"/>
      <w:r w:rsidR="0038749D" w:rsidRPr="0022792B">
        <w:rPr>
          <w:bCs/>
          <w:lang w:val="en-GB"/>
        </w:rPr>
        <w:t>R</w:t>
      </w:r>
      <w:r w:rsidR="0038749D" w:rsidRPr="001016C5">
        <w:rPr>
          <w:bCs/>
          <w:lang w:val="en-GB"/>
        </w:rPr>
        <w:t>enflexis</w:t>
      </w:r>
      <w:proofErr w:type="spellEnd"/>
      <w:r w:rsidR="0038749D" w:rsidRPr="001016C5">
        <w:rPr>
          <w:bCs/>
          <w:lang w:val="en-GB"/>
        </w:rPr>
        <w:t xml:space="preserve"> is a </w:t>
      </w:r>
      <w:proofErr w:type="spellStart"/>
      <w:r w:rsidR="0038749D" w:rsidRPr="001016C5">
        <w:rPr>
          <w:bCs/>
          <w:lang w:val="en-GB"/>
        </w:rPr>
        <w:t>biosimilar</w:t>
      </w:r>
      <w:proofErr w:type="spellEnd"/>
      <w:r w:rsidR="0038749D" w:rsidRPr="001016C5">
        <w:rPr>
          <w:bCs/>
          <w:lang w:val="en-GB"/>
        </w:rPr>
        <w:t xml:space="preserve"> of Remicade.</w:t>
      </w:r>
    </w:p>
    <w:p w:rsidR="008C4A7D" w:rsidRDefault="008C4A7D" w:rsidP="00FC628F">
      <w:pPr>
        <w:pStyle w:val="PBACHeading1"/>
        <w:numPr>
          <w:ilvl w:val="0"/>
          <w:numId w:val="0"/>
        </w:numPr>
        <w:ind w:left="720" w:hanging="720"/>
        <w:rPr>
          <w:lang w:val="en-GB"/>
        </w:rPr>
      </w:pPr>
    </w:p>
    <w:p w:rsidR="008C4A7D" w:rsidRPr="00FC628F" w:rsidRDefault="008C4A7D" w:rsidP="0038749D">
      <w:pPr>
        <w:numPr>
          <w:ilvl w:val="1"/>
          <w:numId w:val="5"/>
        </w:numPr>
        <w:rPr>
          <w:bCs/>
          <w:lang w:val="en-GB"/>
        </w:rPr>
      </w:pPr>
      <w:r>
        <w:rPr>
          <w:bCs/>
          <w:lang w:val="en-GB"/>
        </w:rPr>
        <w:t xml:space="preserve">The Committee </w:t>
      </w:r>
      <w:r w:rsidR="00A979B3">
        <w:rPr>
          <w:bCs/>
          <w:lang w:val="en-GB"/>
        </w:rPr>
        <w:t>agreed</w:t>
      </w:r>
      <w:r>
        <w:rPr>
          <w:bCs/>
          <w:lang w:val="en-GB"/>
        </w:rPr>
        <w:t xml:space="preserve"> that originator brand infliximab (Remicade) was the appropriate comparator.</w:t>
      </w:r>
    </w:p>
    <w:p w:rsidR="00C97076" w:rsidRPr="00051C8C" w:rsidRDefault="00C97076" w:rsidP="00C97076">
      <w:pPr>
        <w:pStyle w:val="PBACHeading1"/>
        <w:numPr>
          <w:ilvl w:val="0"/>
          <w:numId w:val="0"/>
        </w:numPr>
        <w:ind w:left="720" w:hanging="720"/>
        <w:rPr>
          <w:bCs/>
          <w:lang w:val="en-GB"/>
        </w:rPr>
      </w:pPr>
    </w:p>
    <w:p w:rsidR="00C97076" w:rsidRDefault="00C97076" w:rsidP="0038749D">
      <w:pPr>
        <w:numPr>
          <w:ilvl w:val="1"/>
          <w:numId w:val="5"/>
        </w:numPr>
        <w:rPr>
          <w:bCs/>
          <w:lang w:val="en-GB"/>
        </w:rPr>
      </w:pPr>
      <w:r w:rsidRPr="00BC5EA2">
        <w:rPr>
          <w:bCs/>
          <w:lang w:val="en-GB"/>
        </w:rPr>
        <w:t xml:space="preserve">The PBAC </w:t>
      </w:r>
      <w:r w:rsidR="000A5A0D">
        <w:rPr>
          <w:bCs/>
          <w:lang w:val="en-GB"/>
        </w:rPr>
        <w:t xml:space="preserve">noted the ACPM advice in relation to extrapolation of indications, and </w:t>
      </w:r>
      <w:r w:rsidRPr="00BC5EA2">
        <w:rPr>
          <w:bCs/>
          <w:lang w:val="en-GB"/>
        </w:rPr>
        <w:t>was satisfied that the results of the SB2-G31-RA trial in rheumatoid arthritis could be extrapolated to all other indic</w:t>
      </w:r>
      <w:r w:rsidRPr="00F1715F">
        <w:rPr>
          <w:bCs/>
          <w:lang w:val="en-GB"/>
        </w:rPr>
        <w:t xml:space="preserve">ations for which Remicade is PBS listed, including the </w:t>
      </w:r>
      <w:r w:rsidRPr="00F1715F">
        <w:rPr>
          <w:bCs/>
          <w:lang w:val="en-GB"/>
        </w:rPr>
        <w:lastRenderedPageBreak/>
        <w:t>inflammatory bowel disease indications (Crohn’</w:t>
      </w:r>
      <w:r w:rsidRPr="00DA46F0">
        <w:rPr>
          <w:bCs/>
          <w:lang w:val="en-GB"/>
        </w:rPr>
        <w:t>s disease and ulcerative colitis</w:t>
      </w:r>
      <w:r w:rsidRPr="0022792B">
        <w:rPr>
          <w:bCs/>
          <w:lang w:val="en-GB"/>
        </w:rPr>
        <w:t>)</w:t>
      </w:r>
      <w:r w:rsidRPr="001016C5">
        <w:rPr>
          <w:bCs/>
          <w:lang w:val="en-GB"/>
        </w:rPr>
        <w:t>.</w:t>
      </w:r>
    </w:p>
    <w:p w:rsidR="00826E28" w:rsidRDefault="00826E28" w:rsidP="00826E28">
      <w:pPr>
        <w:pStyle w:val="ListParagraph"/>
        <w:rPr>
          <w:bCs/>
          <w:lang w:val="en-GB"/>
        </w:rPr>
      </w:pPr>
    </w:p>
    <w:p w:rsidR="00826E28" w:rsidRPr="00FC628F" w:rsidRDefault="00826E28" w:rsidP="0038749D">
      <w:pPr>
        <w:numPr>
          <w:ilvl w:val="1"/>
          <w:numId w:val="5"/>
        </w:numPr>
        <w:rPr>
          <w:bCs/>
          <w:lang w:val="en-GB"/>
        </w:rPr>
      </w:pPr>
      <w:r>
        <w:rPr>
          <w:bCs/>
          <w:lang w:val="en-GB"/>
        </w:rPr>
        <w:t xml:space="preserve">The </w:t>
      </w:r>
      <w:r w:rsidRPr="00051C8C">
        <w:rPr>
          <w:bCs/>
          <w:lang w:val="en-GB"/>
        </w:rPr>
        <w:t xml:space="preserve">PBAC advised the Minister that it considered the </w:t>
      </w:r>
      <w:proofErr w:type="spellStart"/>
      <w:r w:rsidRPr="00051C8C">
        <w:rPr>
          <w:bCs/>
          <w:lang w:val="en-GB"/>
        </w:rPr>
        <w:t>Remicade</w:t>
      </w:r>
      <w:proofErr w:type="spellEnd"/>
      <w:r>
        <w:rPr>
          <w:bCs/>
          <w:lang w:val="en-GB"/>
        </w:rPr>
        <w:t xml:space="preserve"> and</w:t>
      </w:r>
      <w:r w:rsidRPr="00051C8C">
        <w:rPr>
          <w:bCs/>
          <w:lang w:val="en-GB"/>
        </w:rPr>
        <w:t xml:space="preserve"> </w:t>
      </w:r>
      <w:proofErr w:type="spellStart"/>
      <w:r w:rsidRPr="00051C8C">
        <w:rPr>
          <w:bCs/>
          <w:lang w:val="en-GB"/>
        </w:rPr>
        <w:t>Renflexis</w:t>
      </w:r>
      <w:proofErr w:type="spellEnd"/>
      <w:r w:rsidRPr="00BC5EA2">
        <w:rPr>
          <w:bCs/>
          <w:lang w:val="en-GB"/>
        </w:rPr>
        <w:t xml:space="preserve"> brands of infliximab</w:t>
      </w:r>
      <w:r w:rsidRPr="00D543A5">
        <w:rPr>
          <w:bCs/>
          <w:lang w:val="en-GB"/>
        </w:rPr>
        <w:t xml:space="preserve"> could be marked as equivalent in the Schedule of Pharmaceutical Benefits (‘a’ flagged), for the purposes of substitution by the pharmacist at the point of dispensing for all </w:t>
      </w:r>
      <w:r w:rsidR="000A5A0D">
        <w:rPr>
          <w:bCs/>
          <w:lang w:val="en-GB"/>
        </w:rPr>
        <w:t>indications</w:t>
      </w:r>
      <w:r w:rsidRPr="00D543A5">
        <w:rPr>
          <w:bCs/>
          <w:lang w:val="en-GB"/>
        </w:rPr>
        <w:t>. The PBAC noted that the substitution process allows for patient and prescriber choice and is not automatic. For any individual prescription, a prescriber may choose to not permit brand substitution. If</w:t>
      </w:r>
      <w:r w:rsidR="000A5A0D">
        <w:rPr>
          <w:bCs/>
          <w:lang w:val="en-GB"/>
        </w:rPr>
        <w:t>,</w:t>
      </w:r>
      <w:r w:rsidRPr="00D543A5">
        <w:rPr>
          <w:bCs/>
          <w:lang w:val="en-GB"/>
        </w:rPr>
        <w:t xml:space="preserve"> on the other hand, substitution has been permitted by the prescriber, the patient may choose which brand they wish to receive from the pharmacist.</w:t>
      </w:r>
    </w:p>
    <w:p w:rsidR="006010E5" w:rsidRPr="00FC628F" w:rsidRDefault="006010E5" w:rsidP="00BD21D3">
      <w:pPr>
        <w:rPr>
          <w:bCs/>
          <w:lang w:val="en-GB"/>
        </w:rPr>
      </w:pPr>
    </w:p>
    <w:p w:rsidR="006010E5" w:rsidRPr="00BC5EA2" w:rsidRDefault="006010E5" w:rsidP="006010E5">
      <w:pPr>
        <w:keepNext/>
        <w:keepLines/>
        <w:numPr>
          <w:ilvl w:val="1"/>
          <w:numId w:val="5"/>
        </w:numPr>
        <w:rPr>
          <w:bCs/>
        </w:rPr>
      </w:pPr>
      <w:r w:rsidRPr="00051C8C">
        <w:rPr>
          <w:bCs/>
        </w:rPr>
        <w:t>In forming its view on brand substitution (‘a’ flagging), the PBAC considered a range of factors including:</w:t>
      </w:r>
    </w:p>
    <w:p w:rsidR="006010E5" w:rsidRPr="00F1715F" w:rsidRDefault="006010E5" w:rsidP="006010E5">
      <w:pPr>
        <w:pStyle w:val="ListParagraph"/>
        <w:rPr>
          <w:bCs/>
        </w:rPr>
      </w:pPr>
    </w:p>
    <w:p w:rsidR="006010E5" w:rsidRPr="00051C8C" w:rsidRDefault="006010E5" w:rsidP="00410A6A">
      <w:pPr>
        <w:pStyle w:val="ListParagraph"/>
        <w:numPr>
          <w:ilvl w:val="0"/>
          <w:numId w:val="53"/>
        </w:numPr>
        <w:ind w:left="1134"/>
        <w:rPr>
          <w:bCs/>
        </w:rPr>
      </w:pPr>
      <w:r w:rsidRPr="00051C8C">
        <w:rPr>
          <w:bCs/>
        </w:rPr>
        <w:t xml:space="preserve">The key randomised clinical study in rheumatoid arthritis did not indicate differences in efficacy or safety of </w:t>
      </w:r>
      <w:proofErr w:type="spellStart"/>
      <w:r w:rsidRPr="00051C8C">
        <w:rPr>
          <w:bCs/>
        </w:rPr>
        <w:t>Renflexis</w:t>
      </w:r>
      <w:proofErr w:type="spellEnd"/>
      <w:r w:rsidRPr="00051C8C">
        <w:rPr>
          <w:bCs/>
        </w:rPr>
        <w:t xml:space="preserve"> compared with </w:t>
      </w:r>
      <w:proofErr w:type="spellStart"/>
      <w:r w:rsidRPr="00051C8C">
        <w:rPr>
          <w:bCs/>
        </w:rPr>
        <w:t>Remicade</w:t>
      </w:r>
      <w:proofErr w:type="spellEnd"/>
      <w:r w:rsidRPr="00051C8C">
        <w:rPr>
          <w:bCs/>
        </w:rPr>
        <w:t>.</w:t>
      </w:r>
    </w:p>
    <w:p w:rsidR="006010E5" w:rsidRPr="00051C8C" w:rsidRDefault="006010E5" w:rsidP="006010E5">
      <w:pPr>
        <w:pStyle w:val="ListParagraph"/>
        <w:numPr>
          <w:ilvl w:val="0"/>
          <w:numId w:val="53"/>
        </w:numPr>
        <w:ind w:left="1134"/>
        <w:rPr>
          <w:bCs/>
        </w:rPr>
      </w:pPr>
      <w:r w:rsidRPr="00051C8C">
        <w:rPr>
          <w:bCs/>
        </w:rPr>
        <w:t>The clinical data provided in the submission did not suggest there were any identified populations where the risks of using the biosimilar product in place of the reference biologic were disproportionately high.</w:t>
      </w:r>
    </w:p>
    <w:p w:rsidR="00410A6A" w:rsidRPr="00410A6A" w:rsidRDefault="006010E5">
      <w:pPr>
        <w:pStyle w:val="ListParagraph"/>
        <w:numPr>
          <w:ilvl w:val="0"/>
          <w:numId w:val="53"/>
        </w:numPr>
        <w:rPr>
          <w:bCs/>
        </w:rPr>
      </w:pPr>
      <w:r w:rsidRPr="00051C8C">
        <w:rPr>
          <w:bCs/>
        </w:rPr>
        <w:t>In</w:t>
      </w:r>
      <w:r w:rsidRPr="00051C8C">
        <w:t xml:space="preserve"> </w:t>
      </w:r>
      <w:r w:rsidR="00C97076" w:rsidRPr="00051C8C">
        <w:rPr>
          <w:bCs/>
        </w:rPr>
        <w:t>the SB2</w:t>
      </w:r>
      <w:r w:rsidRPr="00051C8C">
        <w:rPr>
          <w:bCs/>
        </w:rPr>
        <w:t xml:space="preserve">-G31-RA </w:t>
      </w:r>
      <w:r w:rsidR="00C97076" w:rsidRPr="00051C8C">
        <w:rPr>
          <w:bCs/>
        </w:rPr>
        <w:t>transition-extension period</w:t>
      </w:r>
      <w:r w:rsidRPr="00051C8C">
        <w:rPr>
          <w:bCs/>
        </w:rPr>
        <w:t xml:space="preserve"> which included </w:t>
      </w:r>
      <w:r w:rsidR="00C97076" w:rsidRPr="00051C8C">
        <w:rPr>
          <w:bCs/>
        </w:rPr>
        <w:t>24</w:t>
      </w:r>
      <w:r w:rsidRPr="00051C8C">
        <w:rPr>
          <w:bCs/>
        </w:rPr>
        <w:t xml:space="preserve"> weeks of additional data, including a one-way switch from </w:t>
      </w:r>
      <w:proofErr w:type="spellStart"/>
      <w:r w:rsidRPr="00051C8C">
        <w:rPr>
          <w:bCs/>
        </w:rPr>
        <w:t>Remicade</w:t>
      </w:r>
      <w:proofErr w:type="spellEnd"/>
      <w:r w:rsidRPr="00051C8C">
        <w:rPr>
          <w:bCs/>
        </w:rPr>
        <w:t xml:space="preserve"> to </w:t>
      </w:r>
      <w:proofErr w:type="spellStart"/>
      <w:r w:rsidRPr="00051C8C">
        <w:rPr>
          <w:bCs/>
        </w:rPr>
        <w:t>Renflexis</w:t>
      </w:r>
      <w:proofErr w:type="spellEnd"/>
      <w:r w:rsidRPr="00051C8C">
        <w:rPr>
          <w:bCs/>
        </w:rPr>
        <w:t xml:space="preserve">, the clinical evidence suggested no difference in efficacy, safety or immunogenicity between the biosimilar and the reference biologic. </w:t>
      </w:r>
      <w:r w:rsidR="00C97076" w:rsidRPr="00410A6A">
        <w:rPr>
          <w:bCs/>
        </w:rPr>
        <w:t>The proportion of patients who had at least one positive anti-drug antibodies resul</w:t>
      </w:r>
      <w:r w:rsidR="00C55CF1" w:rsidRPr="00410A6A">
        <w:rPr>
          <w:bCs/>
        </w:rPr>
        <w:t xml:space="preserve">t at week 78 was similar between for the </w:t>
      </w:r>
      <w:proofErr w:type="spellStart"/>
      <w:r w:rsidR="00C55CF1" w:rsidRPr="00410A6A">
        <w:rPr>
          <w:bCs/>
        </w:rPr>
        <w:t>Renflexis</w:t>
      </w:r>
      <w:proofErr w:type="spellEnd"/>
      <w:r w:rsidR="00C55CF1" w:rsidRPr="00410A6A">
        <w:rPr>
          <w:bCs/>
        </w:rPr>
        <w:t>/</w:t>
      </w:r>
      <w:proofErr w:type="spellStart"/>
      <w:r w:rsidR="00C55CF1" w:rsidRPr="00410A6A">
        <w:rPr>
          <w:bCs/>
        </w:rPr>
        <w:t>Renflexis</w:t>
      </w:r>
      <w:proofErr w:type="spellEnd"/>
      <w:r w:rsidR="00C55CF1" w:rsidRPr="00410A6A">
        <w:rPr>
          <w:bCs/>
        </w:rPr>
        <w:t xml:space="preserve">, </w:t>
      </w:r>
      <w:proofErr w:type="spellStart"/>
      <w:r w:rsidR="00C55CF1" w:rsidRPr="00410A6A">
        <w:rPr>
          <w:bCs/>
        </w:rPr>
        <w:t>Remicade</w:t>
      </w:r>
      <w:proofErr w:type="spellEnd"/>
      <w:r w:rsidR="00C55CF1" w:rsidRPr="00410A6A">
        <w:rPr>
          <w:bCs/>
        </w:rPr>
        <w:t>/</w:t>
      </w:r>
      <w:proofErr w:type="spellStart"/>
      <w:r w:rsidR="00C55CF1" w:rsidRPr="00410A6A">
        <w:rPr>
          <w:bCs/>
        </w:rPr>
        <w:t>Remicade</w:t>
      </w:r>
      <w:proofErr w:type="spellEnd"/>
      <w:r w:rsidR="00C55CF1" w:rsidRPr="00410A6A">
        <w:rPr>
          <w:bCs/>
        </w:rPr>
        <w:t xml:space="preserve"> and </w:t>
      </w:r>
      <w:proofErr w:type="spellStart"/>
      <w:r w:rsidR="00C55CF1" w:rsidRPr="00410A6A">
        <w:rPr>
          <w:bCs/>
        </w:rPr>
        <w:t>Remicade</w:t>
      </w:r>
      <w:proofErr w:type="spellEnd"/>
      <w:r w:rsidR="00C55CF1" w:rsidRPr="00410A6A">
        <w:rPr>
          <w:bCs/>
        </w:rPr>
        <w:t>/</w:t>
      </w:r>
      <w:proofErr w:type="spellStart"/>
      <w:r w:rsidR="00C55CF1" w:rsidRPr="00410A6A">
        <w:rPr>
          <w:bCs/>
        </w:rPr>
        <w:t>Renflexis</w:t>
      </w:r>
      <w:proofErr w:type="spellEnd"/>
      <w:r w:rsidR="00C55CF1" w:rsidRPr="00410A6A">
        <w:rPr>
          <w:bCs/>
        </w:rPr>
        <w:t xml:space="preserve"> groups</w:t>
      </w:r>
      <w:r w:rsidR="00D543A5" w:rsidRPr="00410A6A">
        <w:rPr>
          <w:bCs/>
        </w:rPr>
        <w:t xml:space="preserve">. </w:t>
      </w:r>
    </w:p>
    <w:p w:rsidR="006010E5" w:rsidRPr="00FC628F" w:rsidRDefault="00410A6A" w:rsidP="00FC628F">
      <w:pPr>
        <w:pStyle w:val="ListParagraph"/>
        <w:numPr>
          <w:ilvl w:val="0"/>
          <w:numId w:val="53"/>
        </w:numPr>
        <w:ind w:left="1134"/>
        <w:rPr>
          <w:bCs/>
        </w:rPr>
      </w:pPr>
      <w:r w:rsidRPr="00F1715F">
        <w:rPr>
          <w:bCs/>
        </w:rPr>
        <w:t>The evidence presented in the SB2</w:t>
      </w:r>
      <w:r w:rsidRPr="008C4A7D">
        <w:rPr>
          <w:bCs/>
        </w:rPr>
        <w:t>-G31-RA trial in treatment-naïve patients</w:t>
      </w:r>
      <w:r>
        <w:rPr>
          <w:bCs/>
        </w:rPr>
        <w:t xml:space="preserve"> with rheumatoid arthritis</w:t>
      </w:r>
      <w:r w:rsidRPr="008C4A7D">
        <w:rPr>
          <w:bCs/>
        </w:rPr>
        <w:t xml:space="preserve"> initiating on either </w:t>
      </w:r>
      <w:proofErr w:type="spellStart"/>
      <w:r w:rsidRPr="00DA46F0">
        <w:rPr>
          <w:bCs/>
        </w:rPr>
        <w:t>Remicade</w:t>
      </w:r>
      <w:proofErr w:type="spellEnd"/>
      <w:r w:rsidRPr="00DA46F0">
        <w:rPr>
          <w:bCs/>
        </w:rPr>
        <w:t xml:space="preserve"> or </w:t>
      </w:r>
      <w:proofErr w:type="spellStart"/>
      <w:r w:rsidRPr="0022792B">
        <w:rPr>
          <w:bCs/>
        </w:rPr>
        <w:t>Renflexis</w:t>
      </w:r>
      <w:proofErr w:type="spellEnd"/>
      <w:r w:rsidRPr="001016C5">
        <w:rPr>
          <w:bCs/>
        </w:rPr>
        <w:t xml:space="preserve"> support a finding that </w:t>
      </w:r>
      <w:proofErr w:type="spellStart"/>
      <w:r w:rsidRPr="001016C5">
        <w:rPr>
          <w:bCs/>
        </w:rPr>
        <w:t>Renflexis</w:t>
      </w:r>
      <w:proofErr w:type="spellEnd"/>
      <w:r w:rsidRPr="001016C5">
        <w:rPr>
          <w:bCs/>
        </w:rPr>
        <w:t xml:space="preserve"> has equivalent effectiveness and equivalent safety compared to </w:t>
      </w:r>
      <w:r w:rsidRPr="00051C8C">
        <w:rPr>
          <w:bCs/>
        </w:rPr>
        <w:t>Remicade.</w:t>
      </w:r>
    </w:p>
    <w:p w:rsidR="00BD21D3" w:rsidRPr="00C55CF1" w:rsidRDefault="006010E5" w:rsidP="00C97076">
      <w:pPr>
        <w:pStyle w:val="ListParagraph"/>
        <w:numPr>
          <w:ilvl w:val="0"/>
          <w:numId w:val="53"/>
        </w:numPr>
        <w:ind w:left="1134"/>
        <w:rPr>
          <w:bCs/>
        </w:rPr>
      </w:pPr>
      <w:r w:rsidRPr="00F1715F">
        <w:rPr>
          <w:bCs/>
        </w:rPr>
        <w:t xml:space="preserve">The ACPM has declared </w:t>
      </w:r>
      <w:proofErr w:type="spellStart"/>
      <w:r w:rsidRPr="00F1715F">
        <w:rPr>
          <w:bCs/>
        </w:rPr>
        <w:t>Renflexis</w:t>
      </w:r>
      <w:proofErr w:type="spellEnd"/>
      <w:r w:rsidRPr="00F1715F">
        <w:rPr>
          <w:bCs/>
        </w:rPr>
        <w:t xml:space="preserve"> a </w:t>
      </w:r>
      <w:proofErr w:type="spellStart"/>
      <w:r w:rsidRPr="00F1715F">
        <w:rPr>
          <w:bCs/>
        </w:rPr>
        <w:t>biosimilar</w:t>
      </w:r>
      <w:proofErr w:type="spellEnd"/>
      <w:r w:rsidRPr="00F1715F">
        <w:rPr>
          <w:bCs/>
        </w:rPr>
        <w:t xml:space="preserve"> for Remicade</w:t>
      </w:r>
      <w:r w:rsidRPr="008C4A7D">
        <w:rPr>
          <w:bCs/>
        </w:rPr>
        <w:t xml:space="preserve">. The ACPM was satisfied of the similar safety and efficacy of </w:t>
      </w:r>
      <w:proofErr w:type="spellStart"/>
      <w:r w:rsidRPr="00DA46F0">
        <w:rPr>
          <w:bCs/>
        </w:rPr>
        <w:t>Renflexis</w:t>
      </w:r>
      <w:proofErr w:type="spellEnd"/>
      <w:r w:rsidRPr="00DA46F0">
        <w:rPr>
          <w:bCs/>
        </w:rPr>
        <w:t xml:space="preserve"> and </w:t>
      </w:r>
      <w:proofErr w:type="spellStart"/>
      <w:r w:rsidRPr="0022792B">
        <w:rPr>
          <w:bCs/>
        </w:rPr>
        <w:t>Remicade</w:t>
      </w:r>
      <w:proofErr w:type="spellEnd"/>
      <w:r w:rsidRPr="001016C5">
        <w:rPr>
          <w:bCs/>
        </w:rPr>
        <w:t xml:space="preserve"> in rheumatoid arthritis, </w:t>
      </w:r>
      <w:r w:rsidR="00410A6A">
        <w:rPr>
          <w:bCs/>
        </w:rPr>
        <w:t xml:space="preserve">and that this could be extrapolated to </w:t>
      </w:r>
      <w:r w:rsidRPr="001016C5">
        <w:rPr>
          <w:bCs/>
        </w:rPr>
        <w:t xml:space="preserve">ankylosing spondylitis, psoriatic arthritis, psoriasis, Crohn’s disease, refractory </w:t>
      </w:r>
      <w:r w:rsidR="00C97076" w:rsidRPr="00C55CF1">
        <w:rPr>
          <w:bCs/>
        </w:rPr>
        <w:t xml:space="preserve">fistulating </w:t>
      </w:r>
      <w:r w:rsidRPr="00C55CF1">
        <w:rPr>
          <w:bCs/>
        </w:rPr>
        <w:t>Crohn’s disease and ulcerative colitis.</w:t>
      </w:r>
      <w:r w:rsidR="00410A6A">
        <w:rPr>
          <w:bCs/>
        </w:rPr>
        <w:t xml:space="preserve"> The ACPM also noted that there was no evidence to suggest</w:t>
      </w:r>
      <w:r w:rsidR="00410A6A" w:rsidRPr="00D543A5">
        <w:rPr>
          <w:bCs/>
        </w:rPr>
        <w:t xml:space="preserve"> </w:t>
      </w:r>
      <w:r w:rsidR="00410A6A">
        <w:rPr>
          <w:bCs/>
        </w:rPr>
        <w:t xml:space="preserve">the </w:t>
      </w:r>
      <w:r w:rsidR="00410A6A" w:rsidRPr="00D543A5">
        <w:rPr>
          <w:bCs/>
        </w:rPr>
        <w:t>pre</w:t>
      </w:r>
      <w:r w:rsidR="00410A6A">
        <w:rPr>
          <w:bCs/>
        </w:rPr>
        <w:t>sence of anti-drug antibodies affected</w:t>
      </w:r>
      <w:r w:rsidR="00410A6A" w:rsidRPr="00D543A5">
        <w:rPr>
          <w:bCs/>
        </w:rPr>
        <w:t xml:space="preserve"> either the efficacy or safety of infliximab</w:t>
      </w:r>
      <w:r w:rsidR="00F10A61">
        <w:rPr>
          <w:bCs/>
        </w:rPr>
        <w:t>.</w:t>
      </w:r>
    </w:p>
    <w:p w:rsidR="00BD21D3" w:rsidRPr="00FC628F" w:rsidRDefault="00BD21D3" w:rsidP="00BD21D3">
      <w:pPr>
        <w:rPr>
          <w:bCs/>
          <w:lang w:val="en-GB"/>
        </w:rPr>
      </w:pPr>
    </w:p>
    <w:p w:rsidR="00251B48" w:rsidRDefault="00C97076" w:rsidP="00C0497B">
      <w:pPr>
        <w:ind w:left="720"/>
        <w:rPr>
          <w:lang w:val="en-GB"/>
        </w:rPr>
      </w:pPr>
      <w:r w:rsidRPr="00F10A61">
        <w:rPr>
          <w:bCs/>
          <w:lang w:val="en-GB"/>
        </w:rPr>
        <w:t xml:space="preserve">The PBAC noted this submission </w:t>
      </w:r>
      <w:r w:rsidR="00F10A61" w:rsidRPr="00C0497B">
        <w:rPr>
          <w:bCs/>
          <w:lang w:val="en-GB"/>
        </w:rPr>
        <w:t xml:space="preserve">sought listing of </w:t>
      </w:r>
      <w:r w:rsidR="00B81D41" w:rsidRPr="00F10A61">
        <w:rPr>
          <w:bCs/>
          <w:lang w:val="en-GB"/>
        </w:rPr>
        <w:t>a second biosimilar brand of a</w:t>
      </w:r>
      <w:r w:rsidRPr="00F10A61">
        <w:rPr>
          <w:bCs/>
          <w:lang w:val="en-GB"/>
        </w:rPr>
        <w:t xml:space="preserve"> </w:t>
      </w:r>
      <w:r w:rsidR="00B81D41" w:rsidRPr="00F10A61">
        <w:rPr>
          <w:bCs/>
          <w:lang w:val="en-GB"/>
        </w:rPr>
        <w:t>biologic</w:t>
      </w:r>
      <w:r w:rsidR="00797380" w:rsidRPr="00C0497B">
        <w:rPr>
          <w:bCs/>
          <w:lang w:val="en-GB"/>
        </w:rPr>
        <w:t xml:space="preserve"> and</w:t>
      </w:r>
      <w:r w:rsidR="00B81D41" w:rsidRPr="00F10A61">
        <w:rPr>
          <w:bCs/>
          <w:lang w:val="en-GB"/>
        </w:rPr>
        <w:t xml:space="preserve"> that</w:t>
      </w:r>
      <w:r w:rsidR="00742E2F" w:rsidRPr="00F10A61">
        <w:rPr>
          <w:bCs/>
          <w:lang w:val="en-GB"/>
        </w:rPr>
        <w:t>,</w:t>
      </w:r>
      <w:r w:rsidR="00B81D41" w:rsidRPr="00F10A61">
        <w:rPr>
          <w:bCs/>
          <w:lang w:val="en-GB"/>
        </w:rPr>
        <w:t xml:space="preserve"> in recommending a</w:t>
      </w:r>
      <w:r w:rsidR="000A5A0D" w:rsidRPr="00F10A61">
        <w:rPr>
          <w:bCs/>
          <w:lang w:val="en-GB"/>
        </w:rPr>
        <w:t>n</w:t>
      </w:r>
      <w:r w:rsidR="00B81D41" w:rsidRPr="00F10A61">
        <w:rPr>
          <w:bCs/>
          <w:lang w:val="en-GB"/>
        </w:rPr>
        <w:t xml:space="preserve"> ‘a’ flag for </w:t>
      </w:r>
      <w:proofErr w:type="spellStart"/>
      <w:r w:rsidR="00B81D41" w:rsidRPr="00F10A61">
        <w:rPr>
          <w:bCs/>
          <w:lang w:val="en-GB"/>
        </w:rPr>
        <w:t>Renflexis</w:t>
      </w:r>
      <w:proofErr w:type="spellEnd"/>
      <w:r w:rsidR="00C456DA" w:rsidRPr="00F10A61">
        <w:rPr>
          <w:bCs/>
          <w:lang w:val="en-GB"/>
        </w:rPr>
        <w:t xml:space="preserve"> with </w:t>
      </w:r>
      <w:proofErr w:type="spellStart"/>
      <w:proofErr w:type="gramStart"/>
      <w:r w:rsidR="00742E2F" w:rsidRPr="00F10A61">
        <w:rPr>
          <w:bCs/>
          <w:lang w:val="en-GB"/>
        </w:rPr>
        <w:t>Remicade</w:t>
      </w:r>
      <w:proofErr w:type="spellEnd"/>
      <w:r w:rsidR="00742E2F" w:rsidRPr="00F10A61">
        <w:rPr>
          <w:bCs/>
          <w:lang w:val="en-GB"/>
        </w:rPr>
        <w:t>,</w:t>
      </w:r>
      <w:proofErr w:type="gramEnd"/>
      <w:r w:rsidR="00742E2F" w:rsidRPr="00F10A61">
        <w:rPr>
          <w:bCs/>
          <w:lang w:val="en-GB"/>
        </w:rPr>
        <w:t xml:space="preserve"> </w:t>
      </w:r>
      <w:r w:rsidR="00797380" w:rsidRPr="00C0497B">
        <w:rPr>
          <w:bCs/>
          <w:lang w:val="en-GB"/>
        </w:rPr>
        <w:t xml:space="preserve">it is possible that </w:t>
      </w:r>
      <w:r w:rsidR="00A979B3" w:rsidRPr="00F10A61">
        <w:rPr>
          <w:bCs/>
          <w:lang w:val="en-GB"/>
        </w:rPr>
        <w:t>switches</w:t>
      </w:r>
      <w:r w:rsidR="00B81D41" w:rsidRPr="00F10A61">
        <w:rPr>
          <w:bCs/>
          <w:lang w:val="en-GB"/>
        </w:rPr>
        <w:t xml:space="preserve"> between more than two brands of infliximab </w:t>
      </w:r>
      <w:r w:rsidR="00797380" w:rsidRPr="00C0497B">
        <w:rPr>
          <w:bCs/>
          <w:lang w:val="en-GB"/>
        </w:rPr>
        <w:t>will</w:t>
      </w:r>
      <w:r w:rsidR="00B81D41" w:rsidRPr="00F10A61">
        <w:rPr>
          <w:bCs/>
          <w:lang w:val="en-GB"/>
        </w:rPr>
        <w:t xml:space="preserve"> occur</w:t>
      </w:r>
      <w:r w:rsidR="00F10A61" w:rsidRPr="00C0497B">
        <w:rPr>
          <w:bCs/>
          <w:lang w:val="en-GB"/>
        </w:rPr>
        <w:t xml:space="preserve"> in practice.</w:t>
      </w:r>
      <w:r w:rsidR="00B81D41" w:rsidRPr="00F10A61">
        <w:rPr>
          <w:bCs/>
          <w:lang w:val="en-GB"/>
        </w:rPr>
        <w:t xml:space="preserve"> </w:t>
      </w:r>
      <w:r w:rsidR="00797380" w:rsidRPr="00C0497B">
        <w:rPr>
          <w:bCs/>
          <w:lang w:val="en-GB"/>
        </w:rPr>
        <w:t xml:space="preserve"> </w:t>
      </w:r>
      <w:r w:rsidR="000A5A0D" w:rsidRPr="00F10A61">
        <w:rPr>
          <w:bCs/>
          <w:lang w:val="en-GB"/>
        </w:rPr>
        <w:t>The PBAC</w:t>
      </w:r>
      <w:r w:rsidR="00797380" w:rsidRPr="00F10A61">
        <w:rPr>
          <w:bCs/>
          <w:lang w:val="en-GB"/>
        </w:rPr>
        <w:t xml:space="preserve"> </w:t>
      </w:r>
      <w:r w:rsidR="00F10A61" w:rsidRPr="00F10A61">
        <w:rPr>
          <w:bCs/>
          <w:lang w:val="en-GB"/>
        </w:rPr>
        <w:t>had</w:t>
      </w:r>
      <w:r w:rsidR="00B9779A">
        <w:rPr>
          <w:bCs/>
          <w:lang w:val="en-GB"/>
        </w:rPr>
        <w:t xml:space="preserve"> no</w:t>
      </w:r>
      <w:r w:rsidR="00F10A61">
        <w:rPr>
          <w:bCs/>
          <w:lang w:val="en-GB"/>
        </w:rPr>
        <w:t xml:space="preserve"> reason </w:t>
      </w:r>
      <w:proofErr w:type="gramStart"/>
      <w:r w:rsidR="00F10A61">
        <w:rPr>
          <w:bCs/>
          <w:lang w:val="en-GB"/>
        </w:rPr>
        <w:t xml:space="preserve">to  </w:t>
      </w:r>
      <w:r w:rsidR="00F10A61">
        <w:rPr>
          <w:lang w:val="en-GB"/>
        </w:rPr>
        <w:t>consider</w:t>
      </w:r>
      <w:proofErr w:type="gramEnd"/>
      <w:r w:rsidR="00F10A61">
        <w:rPr>
          <w:lang w:val="en-GB"/>
        </w:rPr>
        <w:t xml:space="preserve"> this would affect patient outcomes.</w:t>
      </w:r>
    </w:p>
    <w:p w:rsidR="00797380" w:rsidRPr="00C0497B" w:rsidRDefault="00797380" w:rsidP="00C0497B">
      <w:pPr>
        <w:ind w:left="720" w:hanging="720"/>
        <w:rPr>
          <w:lang w:val="en-GB"/>
        </w:rPr>
      </w:pPr>
    </w:p>
    <w:p w:rsidR="00BD21D3" w:rsidRPr="00393785" w:rsidRDefault="00BD21D3" w:rsidP="00BD21D3">
      <w:pPr>
        <w:numPr>
          <w:ilvl w:val="1"/>
          <w:numId w:val="5"/>
        </w:numPr>
        <w:rPr>
          <w:bCs/>
          <w:lang w:val="en-GB"/>
        </w:rPr>
      </w:pPr>
      <w:r w:rsidRPr="00FC628F">
        <w:rPr>
          <w:bCs/>
          <w:lang w:val="en-GB"/>
        </w:rPr>
        <w:t xml:space="preserve">The PBAC advised that </w:t>
      </w:r>
      <w:proofErr w:type="spellStart"/>
      <w:r w:rsidR="00051C8C" w:rsidRPr="00FC628F">
        <w:rPr>
          <w:bCs/>
          <w:lang w:val="en-GB"/>
        </w:rPr>
        <w:t>Renflexis</w:t>
      </w:r>
      <w:proofErr w:type="spellEnd"/>
      <w:r w:rsidR="00051C8C" w:rsidRPr="00FC628F">
        <w:rPr>
          <w:bCs/>
          <w:lang w:val="en-GB"/>
        </w:rPr>
        <w:t xml:space="preserve"> and all other brands or infliximab</w:t>
      </w:r>
      <w:r w:rsidRPr="00FC628F">
        <w:rPr>
          <w:bCs/>
          <w:lang w:val="en-GB"/>
        </w:rPr>
        <w:t xml:space="preserve"> </w:t>
      </w:r>
      <w:r w:rsidR="00051C8C" w:rsidRPr="00FC628F">
        <w:rPr>
          <w:bCs/>
          <w:lang w:val="en-GB"/>
        </w:rPr>
        <w:t xml:space="preserve">are </w:t>
      </w:r>
      <w:r w:rsidRPr="00FC628F">
        <w:rPr>
          <w:bCs/>
          <w:lang w:val="en-GB"/>
        </w:rPr>
        <w:t>not suitable for prescribing by nurse practitioners.</w:t>
      </w:r>
      <w:r w:rsidR="00AE71C6">
        <w:rPr>
          <w:bCs/>
          <w:lang w:val="en-GB"/>
        </w:rPr>
        <w:t xml:space="preserve"> </w:t>
      </w:r>
    </w:p>
    <w:p w:rsidR="00BD21D3" w:rsidRPr="00393785" w:rsidRDefault="00BD21D3" w:rsidP="00BD21D3">
      <w:pPr>
        <w:rPr>
          <w:bCs/>
          <w:lang w:val="en-GB"/>
        </w:rPr>
      </w:pPr>
    </w:p>
    <w:p w:rsidR="00BD21D3" w:rsidRPr="00FC628F" w:rsidRDefault="00BD21D3" w:rsidP="00BD21D3">
      <w:pPr>
        <w:numPr>
          <w:ilvl w:val="1"/>
          <w:numId w:val="5"/>
        </w:numPr>
        <w:rPr>
          <w:bCs/>
          <w:lang w:val="en-GB"/>
        </w:rPr>
      </w:pPr>
      <w:r w:rsidRPr="00393785">
        <w:rPr>
          <w:bCs/>
          <w:lang w:val="en-GB"/>
        </w:rPr>
        <w:t xml:space="preserve">The PBAC </w:t>
      </w:r>
      <w:r w:rsidR="00051C8C" w:rsidRPr="00393785">
        <w:rPr>
          <w:bCs/>
          <w:lang w:val="en-GB"/>
        </w:rPr>
        <w:t>recommended that the Early Supply Rule should not apply</w:t>
      </w:r>
      <w:r w:rsidR="00F20A59">
        <w:rPr>
          <w:bCs/>
          <w:lang w:val="en-GB"/>
        </w:rPr>
        <w:t>, as with other currently listed brands of infliximab</w:t>
      </w:r>
      <w:r w:rsidR="00051C8C" w:rsidRPr="00FC628F">
        <w:rPr>
          <w:bCs/>
          <w:lang w:val="en-GB"/>
        </w:rPr>
        <w:t>.</w:t>
      </w:r>
    </w:p>
    <w:p w:rsidR="00BD21D3" w:rsidRPr="00FC628F" w:rsidRDefault="00BD21D3" w:rsidP="00BD21D3">
      <w:pPr>
        <w:rPr>
          <w:bCs/>
          <w:lang w:val="en-GB"/>
        </w:rPr>
      </w:pPr>
    </w:p>
    <w:p w:rsidR="00BD21D3" w:rsidRPr="00FC628F" w:rsidRDefault="00BD21D3" w:rsidP="00BD21D3">
      <w:pPr>
        <w:numPr>
          <w:ilvl w:val="1"/>
          <w:numId w:val="5"/>
        </w:numPr>
        <w:rPr>
          <w:bCs/>
          <w:lang w:val="en-GB"/>
        </w:rPr>
      </w:pPr>
      <w:r w:rsidRPr="00FC628F">
        <w:rPr>
          <w:bCs/>
          <w:lang w:val="en-GB"/>
        </w:rPr>
        <w:t>The PBAC noted that this submission is not eligible for an Independent Review</w:t>
      </w:r>
      <w:r w:rsidR="006010E5" w:rsidRPr="00FC628F">
        <w:rPr>
          <w:bCs/>
          <w:lang w:val="en-GB"/>
        </w:rPr>
        <w:t xml:space="preserve"> as it </w:t>
      </w:r>
      <w:r w:rsidR="006010E5" w:rsidRPr="00FC628F">
        <w:rPr>
          <w:bCs/>
          <w:lang w:val="en-GB"/>
        </w:rPr>
        <w:lastRenderedPageBreak/>
        <w:t>received a positive recommendation.</w:t>
      </w:r>
      <w:r w:rsidRPr="00FC628F">
        <w:rPr>
          <w:bCs/>
          <w:lang w:val="en-GB"/>
        </w:rPr>
        <w:t xml:space="preserve"> </w:t>
      </w:r>
    </w:p>
    <w:p w:rsidR="00BD21D3" w:rsidRPr="00FC628F" w:rsidRDefault="00BD21D3" w:rsidP="00BD21D3">
      <w:pPr>
        <w:rPr>
          <w:bCs/>
          <w:lang w:val="en-GB"/>
        </w:rPr>
      </w:pPr>
    </w:p>
    <w:p w:rsidR="00BD21D3" w:rsidRPr="00FC628F" w:rsidRDefault="00BD21D3" w:rsidP="00370DEC">
      <w:pPr>
        <w:rPr>
          <w:b/>
          <w:bCs/>
          <w:lang w:val="en-GB"/>
        </w:rPr>
      </w:pPr>
      <w:r w:rsidRPr="00FC628F">
        <w:rPr>
          <w:b/>
          <w:bCs/>
          <w:lang w:val="en-GB"/>
        </w:rPr>
        <w:t>Outcome</w:t>
      </w:r>
      <w:proofErr w:type="gramStart"/>
      <w:r w:rsidR="00BC5EA2">
        <w:rPr>
          <w:b/>
          <w:bCs/>
          <w:lang w:val="en-GB"/>
        </w:rPr>
        <w:t>:</w:t>
      </w:r>
      <w:proofErr w:type="gramEnd"/>
      <w:r w:rsidR="00BC5EA2">
        <w:rPr>
          <w:b/>
          <w:bCs/>
          <w:lang w:val="en-GB"/>
        </w:rPr>
        <w:br/>
      </w:r>
      <w:r w:rsidRPr="00FC628F">
        <w:rPr>
          <w:bCs/>
          <w:lang w:val="en-GB"/>
        </w:rPr>
        <w:t>Recommended</w:t>
      </w:r>
    </w:p>
    <w:p w:rsidR="00BD21D3" w:rsidRPr="00FC628F" w:rsidRDefault="00BD21D3" w:rsidP="00BD21D3">
      <w:pPr>
        <w:rPr>
          <w:bCs/>
          <w:lang w:val="en-GB"/>
        </w:rPr>
      </w:pPr>
    </w:p>
    <w:p w:rsidR="00C456DA" w:rsidRPr="00C0497B" w:rsidRDefault="00C456DA" w:rsidP="00BD21D3">
      <w:pPr>
        <w:rPr>
          <w:bCs/>
        </w:rPr>
      </w:pPr>
    </w:p>
    <w:p w:rsidR="00BD21D3" w:rsidRPr="00C0497B" w:rsidRDefault="00BD21D3" w:rsidP="00C0497B">
      <w:pPr>
        <w:numPr>
          <w:ilvl w:val="0"/>
          <w:numId w:val="5"/>
        </w:numPr>
        <w:outlineLvl w:val="1"/>
        <w:rPr>
          <w:b/>
          <w:bCs/>
          <w:i/>
          <w:lang w:val="en-GB"/>
        </w:rPr>
      </w:pPr>
      <w:r w:rsidRPr="00C0497B">
        <w:rPr>
          <w:b/>
          <w:bCs/>
          <w:lang w:val="en-GB"/>
        </w:rPr>
        <w:t>Recommended listing</w:t>
      </w:r>
    </w:p>
    <w:p w:rsidR="00BD21D3" w:rsidRPr="00C0497B" w:rsidRDefault="00BD21D3" w:rsidP="00BD21D3">
      <w:pPr>
        <w:rPr>
          <w:b/>
          <w:bCs/>
          <w:i/>
          <w:lang w:val="en-GB"/>
        </w:rPr>
      </w:pPr>
    </w:p>
    <w:p w:rsidR="00BD21D3" w:rsidRPr="00051C8C" w:rsidRDefault="00BD21D3" w:rsidP="00051C8C">
      <w:pPr>
        <w:numPr>
          <w:ilvl w:val="1"/>
          <w:numId w:val="5"/>
        </w:numPr>
        <w:rPr>
          <w:b/>
          <w:bCs/>
        </w:rPr>
      </w:pPr>
      <w:r w:rsidRPr="00C0497B">
        <w:rPr>
          <w:bCs/>
        </w:rPr>
        <w:t>Add new item:</w:t>
      </w:r>
      <w:r w:rsidR="00051C8C">
        <w:rPr>
          <w:bCs/>
        </w:rPr>
        <w:t xml:space="preserve"> Infliximab (</w:t>
      </w:r>
      <w:proofErr w:type="spellStart"/>
      <w:r w:rsidR="00051C8C">
        <w:rPr>
          <w:bCs/>
        </w:rPr>
        <w:t>Renflexis</w:t>
      </w:r>
      <w:proofErr w:type="spellEnd"/>
      <w:r w:rsidR="00051C8C">
        <w:rPr>
          <w:bCs/>
        </w:rPr>
        <w:t>), 100 mg vial</w:t>
      </w:r>
    </w:p>
    <w:p w:rsidR="00051C8C" w:rsidRDefault="00051C8C" w:rsidP="00051C8C">
      <w:pPr>
        <w:pStyle w:val="PBACHeading1"/>
        <w:numPr>
          <w:ilvl w:val="0"/>
          <w:numId w:val="0"/>
        </w:numPr>
        <w:ind w:left="1440" w:hanging="720"/>
      </w:pPr>
    </w:p>
    <w:p w:rsidR="00051C8C" w:rsidRPr="00C0497B" w:rsidRDefault="00051C8C" w:rsidP="00051C8C">
      <w:pPr>
        <w:pStyle w:val="PBACHeading1"/>
        <w:numPr>
          <w:ilvl w:val="0"/>
          <w:numId w:val="0"/>
        </w:numPr>
        <w:ind w:left="1440" w:hanging="720"/>
        <w:rPr>
          <w:b w:val="0"/>
        </w:rPr>
      </w:pPr>
      <w:r>
        <w:rPr>
          <w:b w:val="0"/>
        </w:rPr>
        <w:t>Listings the same as for 100 mg infliximab (Remicade)</w:t>
      </w:r>
    </w:p>
    <w:p w:rsidR="00BD21D3" w:rsidRPr="00051C8C" w:rsidRDefault="00BD21D3" w:rsidP="00BD21D3"/>
    <w:p w:rsidR="00D07CB5" w:rsidRPr="001D1522" w:rsidRDefault="00D07CB5" w:rsidP="001D1522">
      <w:pPr>
        <w:numPr>
          <w:ilvl w:val="0"/>
          <w:numId w:val="5"/>
        </w:numPr>
        <w:outlineLvl w:val="1"/>
        <w:rPr>
          <w:b/>
          <w:bCs/>
          <w:lang w:val="en-GB"/>
        </w:rPr>
      </w:pPr>
      <w:r w:rsidRPr="001D1522">
        <w:rPr>
          <w:b/>
          <w:bCs/>
          <w:lang w:val="en-GB"/>
        </w:rPr>
        <w:t>Context for Decision</w:t>
      </w:r>
    </w:p>
    <w:p w:rsidR="00D07CB5" w:rsidRPr="00D07CB5" w:rsidRDefault="00D07CB5" w:rsidP="00D07CB5">
      <w:pPr>
        <w:widowControl/>
        <w:spacing w:line="276" w:lineRule="auto"/>
        <w:ind w:left="426"/>
        <w:rPr>
          <w:rFonts w:eastAsiaTheme="minorHAnsi"/>
          <w:snapToGrid/>
          <w:szCs w:val="22"/>
        </w:rPr>
      </w:pPr>
    </w:p>
    <w:p w:rsidR="00D07CB5" w:rsidRPr="00D07CB5" w:rsidRDefault="00D07CB5" w:rsidP="00D07CB5">
      <w:pPr>
        <w:widowControl/>
        <w:spacing w:line="276" w:lineRule="auto"/>
        <w:ind w:left="426"/>
        <w:rPr>
          <w:rFonts w:eastAsiaTheme="minorHAnsi"/>
          <w:snapToGrid/>
          <w:szCs w:val="22"/>
        </w:rPr>
      </w:pPr>
      <w:r w:rsidRPr="00D07CB5">
        <w:rPr>
          <w:rFonts w:eastAsiaTheme="minorHAnsi"/>
          <w:snapToGrid/>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07CB5" w:rsidRPr="00D07CB5" w:rsidRDefault="00D07CB5" w:rsidP="00D07CB5">
      <w:pPr>
        <w:widowControl/>
        <w:spacing w:after="200" w:line="276" w:lineRule="auto"/>
        <w:ind w:left="426"/>
        <w:rPr>
          <w:rFonts w:eastAsiaTheme="minorHAnsi"/>
          <w:snapToGrid/>
          <w:szCs w:val="22"/>
        </w:rPr>
      </w:pPr>
    </w:p>
    <w:p w:rsidR="00D07CB5" w:rsidRPr="001D1522" w:rsidRDefault="00D07CB5" w:rsidP="001D1522">
      <w:pPr>
        <w:numPr>
          <w:ilvl w:val="0"/>
          <w:numId w:val="5"/>
        </w:numPr>
        <w:outlineLvl w:val="1"/>
        <w:rPr>
          <w:b/>
          <w:bCs/>
          <w:lang w:val="en-GB"/>
        </w:rPr>
      </w:pPr>
      <w:r w:rsidRPr="001D1522">
        <w:rPr>
          <w:b/>
          <w:bCs/>
          <w:lang w:val="en-GB"/>
        </w:rPr>
        <w:t>Sponsor’s Comment</w:t>
      </w:r>
    </w:p>
    <w:p w:rsidR="00D07CB5" w:rsidRPr="00D07CB5" w:rsidRDefault="00D07CB5" w:rsidP="00D07CB5">
      <w:pPr>
        <w:widowControl/>
        <w:spacing w:line="276" w:lineRule="auto"/>
        <w:ind w:left="426"/>
        <w:rPr>
          <w:rFonts w:eastAsiaTheme="minorHAnsi"/>
          <w:bCs/>
          <w:snapToGrid/>
          <w:szCs w:val="22"/>
          <w:highlight w:val="yellow"/>
          <w:lang w:val="en-GB"/>
        </w:rPr>
      </w:pPr>
    </w:p>
    <w:p w:rsidR="00D07CB5" w:rsidRPr="00D07CB5" w:rsidRDefault="00D07CB5" w:rsidP="00D07CB5">
      <w:pPr>
        <w:widowControl/>
        <w:spacing w:after="120" w:line="276" w:lineRule="auto"/>
        <w:ind w:left="426"/>
        <w:rPr>
          <w:rFonts w:eastAsiaTheme="minorHAnsi"/>
          <w:bCs/>
          <w:snapToGrid/>
          <w:szCs w:val="22"/>
        </w:rPr>
      </w:pPr>
      <w:r w:rsidRPr="00D07CB5">
        <w:rPr>
          <w:rFonts w:eastAsiaTheme="minorHAnsi"/>
          <w:bCs/>
          <w:snapToGrid/>
          <w:szCs w:val="22"/>
        </w:rPr>
        <w:t>The sponsor had no comment.</w:t>
      </w:r>
    </w:p>
    <w:p w:rsidR="00BD21D3" w:rsidRPr="002D4FEB" w:rsidRDefault="00BD21D3" w:rsidP="00D82A3D"/>
    <w:sectPr w:rsidR="00BD21D3" w:rsidRPr="002D4FEB" w:rsidSect="00C33443">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B0A" w:rsidRDefault="00E45B0A" w:rsidP="00124A51">
      <w:r>
        <w:separator/>
      </w:r>
    </w:p>
  </w:endnote>
  <w:endnote w:type="continuationSeparator" w:id="0">
    <w:p w:rsidR="00E45B0A" w:rsidRDefault="00E45B0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B0A" w:rsidRDefault="00E45B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871934"/>
      <w:docPartObj>
        <w:docPartGallery w:val="Page Numbers (Bottom of Page)"/>
        <w:docPartUnique/>
      </w:docPartObj>
    </w:sdtPr>
    <w:sdtEndPr>
      <w:rPr>
        <w:noProof/>
      </w:rPr>
    </w:sdtEndPr>
    <w:sdtContent>
      <w:p w:rsidR="00F34FF4" w:rsidRDefault="00F34FF4">
        <w:pPr>
          <w:pStyle w:val="Footer"/>
          <w:jc w:val="center"/>
        </w:pPr>
        <w:r>
          <w:fldChar w:fldCharType="begin"/>
        </w:r>
        <w:r>
          <w:instrText xml:space="preserve"> PAGE   \* MERGEFORMAT </w:instrText>
        </w:r>
        <w:r>
          <w:fldChar w:fldCharType="separate"/>
        </w:r>
        <w:r w:rsidR="00EC303D">
          <w:rPr>
            <w:noProof/>
          </w:rPr>
          <w:t>1</w:t>
        </w:r>
        <w:r>
          <w:rPr>
            <w:noProof/>
          </w:rPr>
          <w:fldChar w:fldCharType="end"/>
        </w:r>
      </w:p>
    </w:sdtContent>
  </w:sdt>
  <w:p w:rsidR="00F34FF4" w:rsidRPr="00015886" w:rsidRDefault="00F34FF4" w:rsidP="00015886">
    <w:pPr>
      <w:ind w:right="360"/>
      <w:jc w:val="center"/>
      <w:rPr>
        <w:b/>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B0A" w:rsidRDefault="00E45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B0A" w:rsidRDefault="00E45B0A" w:rsidP="00124A51">
      <w:r>
        <w:separator/>
      </w:r>
    </w:p>
  </w:footnote>
  <w:footnote w:type="continuationSeparator" w:id="0">
    <w:p w:rsidR="00E45B0A" w:rsidRDefault="00E45B0A" w:rsidP="00124A51">
      <w:r>
        <w:continuationSeparator/>
      </w:r>
    </w:p>
  </w:footnote>
  <w:footnote w:id="1">
    <w:p w:rsidR="00F34FF4" w:rsidRPr="00226E39" w:rsidRDefault="00F34FF4" w:rsidP="00F1715F">
      <w:pPr>
        <w:pStyle w:val="FootnoteText"/>
      </w:pPr>
      <w:r w:rsidRPr="00226E39">
        <w:rPr>
          <w:rStyle w:val="FootnoteReference"/>
        </w:rPr>
        <w:footnoteRef/>
      </w:r>
      <w:r w:rsidRPr="00226E39">
        <w:t xml:space="preserve"> </w:t>
      </w:r>
      <w:r w:rsidRPr="00474003">
        <w:t>Symbols used in the Schedule</w:t>
      </w:r>
      <w:hyperlink r:id="rId1" w:history="1"/>
      <w:r w:rsidRPr="00226E39">
        <w:t xml:space="preserve"> </w:t>
      </w:r>
      <w:r>
        <w:t xml:space="preserve">- </w:t>
      </w:r>
      <w:r w:rsidRPr="00474003">
        <w:t>http://www.pbs.gov.au/info/healthpro/explanatory-notes/section2/section-2-symbols</w:t>
      </w:r>
    </w:p>
  </w:footnote>
  <w:footnote w:id="2">
    <w:p w:rsidR="00F34FF4" w:rsidRDefault="00F34FF4" w:rsidP="00047235">
      <w:pPr>
        <w:pStyle w:val="FootnoteText"/>
      </w:pPr>
      <w:r>
        <w:rPr>
          <w:rStyle w:val="FootnoteReference"/>
        </w:rPr>
        <w:footnoteRef/>
      </w:r>
      <w:r>
        <w:t xml:space="preserve"> </w:t>
      </w:r>
      <w:r>
        <w:rPr>
          <w:rFonts w:ascii="Arial Narrow" w:hAnsi="Arial Narrow"/>
        </w:rPr>
        <w:t>A</w:t>
      </w:r>
      <w:r w:rsidRPr="00E76834">
        <w:rPr>
          <w:rFonts w:ascii="Arial Narrow" w:hAnsi="Arial Narrow"/>
        </w:rPr>
        <w:t xml:space="preserve">ll </w:t>
      </w:r>
      <w:r w:rsidRPr="004112A4">
        <w:rPr>
          <w:rFonts w:ascii="Arial Narrow" w:hAnsi="Arial Narrow"/>
        </w:rPr>
        <w:t>randomised</w:t>
      </w:r>
      <w:r w:rsidRPr="00E76834">
        <w:rPr>
          <w:rFonts w:ascii="Arial Narrow" w:hAnsi="Arial Narrow"/>
        </w:rPr>
        <w:t xml:space="preserve"> subje</w:t>
      </w:r>
      <w:r>
        <w:rPr>
          <w:rFonts w:ascii="Arial Narrow" w:hAnsi="Arial Narrow"/>
        </w:rPr>
        <w:t xml:space="preserve">cts </w:t>
      </w:r>
      <w:r w:rsidRPr="004112A4">
        <w:rPr>
          <w:rFonts w:ascii="Arial Narrow" w:hAnsi="Arial Narrow"/>
        </w:rPr>
        <w:t>who received</w:t>
      </w:r>
      <w:r>
        <w:rPr>
          <w:rFonts w:ascii="Arial Narrow" w:hAnsi="Arial Narrow"/>
        </w:rPr>
        <w:t xml:space="preserve"> at least one dose of SB2 or Remicade. S</w:t>
      </w:r>
      <w:r w:rsidRPr="00E76834">
        <w:rPr>
          <w:rFonts w:ascii="Arial Narrow" w:hAnsi="Arial Narrow"/>
        </w:rPr>
        <w:t xml:space="preserve">ubjects were analysed according to the treatment they were assigned at </w:t>
      </w:r>
      <w:r>
        <w:rPr>
          <w:rFonts w:ascii="Arial Narrow" w:hAnsi="Arial Narrow"/>
        </w:rPr>
        <w:t>r</w:t>
      </w:r>
      <w:r w:rsidRPr="00E76834">
        <w:rPr>
          <w:rFonts w:ascii="Arial Narrow" w:hAnsi="Arial Narrow"/>
        </w:rPr>
        <w:t xml:space="preserve">andomisation. However, subjects who did not qualify for randomisation and were inadvertently randomised into the study were excluded from the FAS, provided these subjects did not receive any </w:t>
      </w:r>
      <w:r>
        <w:rPr>
          <w:rFonts w:ascii="Arial Narrow" w:hAnsi="Arial Narrow"/>
        </w:rPr>
        <w:t>investigational product</w:t>
      </w:r>
      <w:r w:rsidRPr="00E76834">
        <w:rPr>
          <w:rFonts w:ascii="Arial Narrow" w:hAnsi="Arial Narrow"/>
        </w:rPr>
        <w:t xml:space="preserve"> during that study phase.</w:t>
      </w:r>
    </w:p>
  </w:footnote>
  <w:footnote w:id="3">
    <w:p w:rsidR="00F34FF4" w:rsidRDefault="00F34FF4" w:rsidP="00047235">
      <w:pPr>
        <w:pStyle w:val="FootnoteText"/>
      </w:pPr>
      <w:r>
        <w:rPr>
          <w:rStyle w:val="FootnoteReference"/>
        </w:rPr>
        <w:footnoteRef/>
      </w:r>
      <w:r>
        <w:t xml:space="preserve"> </w:t>
      </w:r>
      <w:r>
        <w:rPr>
          <w:rFonts w:ascii="Arial Narrow" w:eastAsia="SimSun" w:hAnsi="Arial Narrow"/>
        </w:rPr>
        <w:t>A</w:t>
      </w:r>
      <w:r w:rsidRPr="00E76834">
        <w:rPr>
          <w:rFonts w:ascii="Arial Narrow" w:hAnsi="Arial Narrow"/>
        </w:rPr>
        <w:t xml:space="preserve">ll </w:t>
      </w:r>
      <w:r>
        <w:rPr>
          <w:rFonts w:ascii="Arial Narrow" w:hAnsi="Arial Narrow"/>
        </w:rPr>
        <w:t>FAS subjects who completed the w</w:t>
      </w:r>
      <w:r w:rsidRPr="00E76834">
        <w:rPr>
          <w:rFonts w:ascii="Arial Narrow" w:hAnsi="Arial Narrow"/>
        </w:rPr>
        <w:t xml:space="preserve">eek 30 visit and had </w:t>
      </w:r>
      <w:r>
        <w:rPr>
          <w:rFonts w:ascii="Arial Narrow" w:hAnsi="Arial Narrow"/>
        </w:rPr>
        <w:t>an adherence (from baseline to w</w:t>
      </w:r>
      <w:r w:rsidRPr="00E76834">
        <w:rPr>
          <w:rFonts w:ascii="Arial Narrow" w:hAnsi="Arial Narrow"/>
        </w:rPr>
        <w:t>eek 30) within the range of 80–120% for both</w:t>
      </w:r>
      <w:r>
        <w:rPr>
          <w:rFonts w:ascii="Arial Narrow" w:hAnsi="Arial Narrow"/>
        </w:rPr>
        <w:t xml:space="preserve"> the expected number of investigational product</w:t>
      </w:r>
      <w:r w:rsidRPr="00E76834">
        <w:rPr>
          <w:rFonts w:ascii="Arial Narrow" w:hAnsi="Arial Narrow"/>
        </w:rPr>
        <w:t xml:space="preserve"> administrations and the expected sum of </w:t>
      </w:r>
      <w:r>
        <w:rPr>
          <w:rFonts w:ascii="Arial Narrow" w:hAnsi="Arial Narrow"/>
        </w:rPr>
        <w:t>methotrexate</w:t>
      </w:r>
      <w:r w:rsidRPr="00E76834">
        <w:rPr>
          <w:rFonts w:ascii="Arial Narrow" w:hAnsi="Arial Narrow"/>
        </w:rPr>
        <w:t xml:space="preserve"> doses without any major </w:t>
      </w:r>
      <w:r>
        <w:rPr>
          <w:rFonts w:ascii="Arial Narrow" w:hAnsi="Arial Narrow"/>
        </w:rPr>
        <w:t>protocol deviations</w:t>
      </w:r>
      <w:r w:rsidRPr="00E76834">
        <w:rPr>
          <w:rFonts w:ascii="Arial Narrow" w:hAnsi="Arial Narrow"/>
        </w:rPr>
        <w:t xml:space="preserve"> </w:t>
      </w:r>
      <w:r>
        <w:rPr>
          <w:rFonts w:ascii="Arial Narrow" w:hAnsi="Arial Narrow"/>
        </w:rPr>
        <w:t xml:space="preserve">(PD) </w:t>
      </w:r>
      <w:r w:rsidRPr="00E76834">
        <w:rPr>
          <w:rFonts w:ascii="Arial Narrow" w:hAnsi="Arial Narrow"/>
        </w:rPr>
        <w:t>that affected the efficacy assessment. Major PDs that led to exclusion from this set were pre-specified prior to unblinding the treatment codes for analyses.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B0A" w:rsidRDefault="00E45B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FF4" w:rsidRPr="002D4FEB" w:rsidRDefault="00F34FF4" w:rsidP="001D1522">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F34FF4" w:rsidRPr="008C7ECB" w:rsidRDefault="00F34F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B0A" w:rsidRDefault="00E45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F5B"/>
    <w:multiLevelType w:val="hybridMultilevel"/>
    <w:tmpl w:val="7850FC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2744F7C"/>
    <w:multiLevelType w:val="hybridMultilevel"/>
    <w:tmpl w:val="288E3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4223AE"/>
    <w:multiLevelType w:val="multilevel"/>
    <w:tmpl w:val="0806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3214DA"/>
    <w:multiLevelType w:val="multilevel"/>
    <w:tmpl w:val="698A31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F5D22B6"/>
    <w:multiLevelType w:val="multilevel"/>
    <w:tmpl w:val="9D18489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0CA4CD1"/>
    <w:multiLevelType w:val="hybridMultilevel"/>
    <w:tmpl w:val="55A0638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5AA59D1"/>
    <w:multiLevelType w:val="hybridMultilevel"/>
    <w:tmpl w:val="E736C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625EF2"/>
    <w:multiLevelType w:val="multilevel"/>
    <w:tmpl w:val="48B483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A5E355F"/>
    <w:multiLevelType w:val="multilevel"/>
    <w:tmpl w:val="9CD089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1B4B4C32"/>
    <w:multiLevelType w:val="multilevel"/>
    <w:tmpl w:val="C10EC5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1E18414B"/>
    <w:multiLevelType w:val="multilevel"/>
    <w:tmpl w:val="27E841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1F0124EE"/>
    <w:multiLevelType w:val="multilevel"/>
    <w:tmpl w:val="7B084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8A35ED"/>
    <w:multiLevelType w:val="hybridMultilevel"/>
    <w:tmpl w:val="D45EB67A"/>
    <w:lvl w:ilvl="0" w:tplc="B70AA54E">
      <w:start w:val="1"/>
      <w:numFmt w:val="decimal"/>
      <w:lvlText w:val="%1."/>
      <w:lvlJc w:val="left"/>
      <w:pPr>
        <w:tabs>
          <w:tab w:val="num" w:pos="720"/>
        </w:tabs>
        <w:ind w:left="720" w:hanging="360"/>
      </w:pPr>
      <w:rPr>
        <w:rFonts w:hint="default"/>
        <w:b w:val="0"/>
      </w:rPr>
    </w:lvl>
    <w:lvl w:ilvl="1" w:tplc="8146E282">
      <w:start w:val="1"/>
      <w:numFmt w:val="bullet"/>
      <w:lvlText w:val="o"/>
      <w:lvlJc w:val="left"/>
      <w:pPr>
        <w:tabs>
          <w:tab w:val="num" w:pos="1440"/>
        </w:tabs>
        <w:ind w:left="1440" w:hanging="360"/>
      </w:pPr>
      <w:rPr>
        <w:rFonts w:ascii="Courier New" w:hAnsi="Courier New" w:cs="Courier New" w:hint="default"/>
      </w:rPr>
    </w:lvl>
    <w:lvl w:ilvl="2" w:tplc="1690D5F4">
      <w:start w:val="1"/>
      <w:numFmt w:val="bullet"/>
      <w:lvlText w:val=""/>
      <w:lvlJc w:val="left"/>
      <w:pPr>
        <w:tabs>
          <w:tab w:val="num" w:pos="2160"/>
        </w:tabs>
        <w:ind w:left="2160" w:hanging="360"/>
      </w:pPr>
      <w:rPr>
        <w:rFonts w:ascii="Wingdings" w:hAnsi="Wingdings" w:hint="default"/>
      </w:rPr>
    </w:lvl>
    <w:lvl w:ilvl="3" w:tplc="859C3C44" w:tentative="1">
      <w:start w:val="1"/>
      <w:numFmt w:val="bullet"/>
      <w:lvlText w:val=""/>
      <w:lvlJc w:val="left"/>
      <w:pPr>
        <w:tabs>
          <w:tab w:val="num" w:pos="2880"/>
        </w:tabs>
        <w:ind w:left="2880" w:hanging="360"/>
      </w:pPr>
      <w:rPr>
        <w:rFonts w:ascii="Symbol" w:hAnsi="Symbol" w:hint="default"/>
      </w:rPr>
    </w:lvl>
    <w:lvl w:ilvl="4" w:tplc="463E3E1E" w:tentative="1">
      <w:start w:val="1"/>
      <w:numFmt w:val="bullet"/>
      <w:lvlText w:val="o"/>
      <w:lvlJc w:val="left"/>
      <w:pPr>
        <w:tabs>
          <w:tab w:val="num" w:pos="3600"/>
        </w:tabs>
        <w:ind w:left="3600" w:hanging="360"/>
      </w:pPr>
      <w:rPr>
        <w:rFonts w:ascii="Courier New" w:hAnsi="Courier New" w:cs="Courier New" w:hint="default"/>
      </w:rPr>
    </w:lvl>
    <w:lvl w:ilvl="5" w:tplc="6EA64200" w:tentative="1">
      <w:start w:val="1"/>
      <w:numFmt w:val="bullet"/>
      <w:lvlText w:val=""/>
      <w:lvlJc w:val="left"/>
      <w:pPr>
        <w:tabs>
          <w:tab w:val="num" w:pos="4320"/>
        </w:tabs>
        <w:ind w:left="4320" w:hanging="360"/>
      </w:pPr>
      <w:rPr>
        <w:rFonts w:ascii="Wingdings" w:hAnsi="Wingdings" w:hint="default"/>
      </w:rPr>
    </w:lvl>
    <w:lvl w:ilvl="6" w:tplc="67E2CE3A" w:tentative="1">
      <w:start w:val="1"/>
      <w:numFmt w:val="bullet"/>
      <w:lvlText w:val=""/>
      <w:lvlJc w:val="left"/>
      <w:pPr>
        <w:tabs>
          <w:tab w:val="num" w:pos="5040"/>
        </w:tabs>
        <w:ind w:left="5040" w:hanging="360"/>
      </w:pPr>
      <w:rPr>
        <w:rFonts w:ascii="Symbol" w:hAnsi="Symbol" w:hint="default"/>
      </w:rPr>
    </w:lvl>
    <w:lvl w:ilvl="7" w:tplc="FEA6CB6E" w:tentative="1">
      <w:start w:val="1"/>
      <w:numFmt w:val="bullet"/>
      <w:lvlText w:val="o"/>
      <w:lvlJc w:val="left"/>
      <w:pPr>
        <w:tabs>
          <w:tab w:val="num" w:pos="5760"/>
        </w:tabs>
        <w:ind w:left="5760" w:hanging="360"/>
      </w:pPr>
      <w:rPr>
        <w:rFonts w:ascii="Courier New" w:hAnsi="Courier New" w:cs="Courier New" w:hint="default"/>
      </w:rPr>
    </w:lvl>
    <w:lvl w:ilvl="8" w:tplc="B7E8E0C6" w:tentative="1">
      <w:start w:val="1"/>
      <w:numFmt w:val="bullet"/>
      <w:lvlText w:val=""/>
      <w:lvlJc w:val="left"/>
      <w:pPr>
        <w:tabs>
          <w:tab w:val="num" w:pos="6480"/>
        </w:tabs>
        <w:ind w:left="6480" w:hanging="360"/>
      </w:pPr>
      <w:rPr>
        <w:rFonts w:ascii="Wingdings" w:hAnsi="Wingdings" w:hint="default"/>
      </w:rPr>
    </w:lvl>
  </w:abstractNum>
  <w:abstractNum w:abstractNumId="15">
    <w:nsid w:val="23511FD5"/>
    <w:multiLevelType w:val="hybridMultilevel"/>
    <w:tmpl w:val="D15AEB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8">
    <w:nsid w:val="28B55366"/>
    <w:multiLevelType w:val="multilevel"/>
    <w:tmpl w:val="5D28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327DB7"/>
    <w:multiLevelType w:val="hybridMultilevel"/>
    <w:tmpl w:val="B5D653A2"/>
    <w:lvl w:ilvl="0" w:tplc="6238855A">
      <w:start w:val="1"/>
      <w:numFmt w:val="bullet"/>
      <w:pStyle w:val="Body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00C0B8E"/>
    <w:multiLevelType w:val="multilevel"/>
    <w:tmpl w:val="D896AAC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1134" w:hanging="414"/>
      </w:pPr>
      <w:rPr>
        <w:rFonts w:ascii="Arial" w:hAnsi="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0543EEE"/>
    <w:multiLevelType w:val="multilevel"/>
    <w:tmpl w:val="EB3E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D50694"/>
    <w:multiLevelType w:val="multilevel"/>
    <w:tmpl w:val="28E4FD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7ED4AFB"/>
    <w:multiLevelType w:val="hybridMultilevel"/>
    <w:tmpl w:val="628AB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B7C34E2"/>
    <w:multiLevelType w:val="hybridMultilevel"/>
    <w:tmpl w:val="3AE6E1F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CB955F5"/>
    <w:multiLevelType w:val="multilevel"/>
    <w:tmpl w:val="C15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7">
    <w:nsid w:val="403C7B82"/>
    <w:multiLevelType w:val="hybridMultilevel"/>
    <w:tmpl w:val="03D0A8E2"/>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nsid w:val="434A394E"/>
    <w:multiLevelType w:val="hybridMultilevel"/>
    <w:tmpl w:val="59A46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36530C3"/>
    <w:multiLevelType w:val="hybridMultilevel"/>
    <w:tmpl w:val="AD9E3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4BC168F"/>
    <w:multiLevelType w:val="multilevel"/>
    <w:tmpl w:val="3B9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86583B"/>
    <w:multiLevelType w:val="hybridMultilevel"/>
    <w:tmpl w:val="219CA78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469507B7"/>
    <w:multiLevelType w:val="hybridMultilevel"/>
    <w:tmpl w:val="6BA63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77F1DB7"/>
    <w:multiLevelType w:val="multilevel"/>
    <w:tmpl w:val="42D688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6">
    <w:nsid w:val="4F7A3673"/>
    <w:multiLevelType w:val="multilevel"/>
    <w:tmpl w:val="11DEAE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51D52494"/>
    <w:multiLevelType w:val="hybridMultilevel"/>
    <w:tmpl w:val="DB9A4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37B6C9A"/>
    <w:multiLevelType w:val="multilevel"/>
    <w:tmpl w:val="475E43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53E8419E"/>
    <w:multiLevelType w:val="multilevel"/>
    <w:tmpl w:val="0402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6AA7BDB"/>
    <w:multiLevelType w:val="hybridMultilevel"/>
    <w:tmpl w:val="CABC1D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nsid w:val="5D246FDC"/>
    <w:multiLevelType w:val="multilevel"/>
    <w:tmpl w:val="2742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10830D9"/>
    <w:multiLevelType w:val="multilevel"/>
    <w:tmpl w:val="6C3C95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nsid w:val="661F6F78"/>
    <w:multiLevelType w:val="hybridMultilevel"/>
    <w:tmpl w:val="16ECC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6B56BFE"/>
    <w:multiLevelType w:val="multilevel"/>
    <w:tmpl w:val="7814F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nsid w:val="6FB83348"/>
    <w:multiLevelType w:val="hybridMultilevel"/>
    <w:tmpl w:val="3C26F86A"/>
    <w:lvl w:ilvl="0" w:tplc="470CEF5C">
      <w:start w:val="1"/>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7304056"/>
    <w:multiLevelType w:val="multilevel"/>
    <w:tmpl w:val="AAC4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84D033C"/>
    <w:multiLevelType w:val="multilevel"/>
    <w:tmpl w:val="EB826D82"/>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7B88768C"/>
    <w:multiLevelType w:val="multilevel"/>
    <w:tmpl w:val="5BE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C1E6732"/>
    <w:multiLevelType w:val="multilevel"/>
    <w:tmpl w:val="649C36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nsid w:val="7E5842F9"/>
    <w:multiLevelType w:val="multilevel"/>
    <w:tmpl w:val="0E7036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nsid w:val="7FD96DDB"/>
    <w:multiLevelType w:val="multilevel"/>
    <w:tmpl w:val="5F34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7"/>
  </w:num>
  <w:num w:numId="3">
    <w:abstractNumId w:val="35"/>
  </w:num>
  <w:num w:numId="4">
    <w:abstractNumId w:val="24"/>
  </w:num>
  <w:num w:numId="5">
    <w:abstractNumId w:val="48"/>
  </w:num>
  <w:num w:numId="6">
    <w:abstractNumId w:val="19"/>
  </w:num>
  <w:num w:numId="7">
    <w:abstractNumId w:val="51"/>
  </w:num>
  <w:num w:numId="8">
    <w:abstractNumId w:val="45"/>
  </w:num>
  <w:num w:numId="9">
    <w:abstractNumId w:val="11"/>
  </w:num>
  <w:num w:numId="10">
    <w:abstractNumId w:val="43"/>
  </w:num>
  <w:num w:numId="11">
    <w:abstractNumId w:val="33"/>
  </w:num>
  <w:num w:numId="12">
    <w:abstractNumId w:val="12"/>
  </w:num>
  <w:num w:numId="13">
    <w:abstractNumId w:val="9"/>
  </w:num>
  <w:num w:numId="14">
    <w:abstractNumId w:val="39"/>
  </w:num>
  <w:num w:numId="15">
    <w:abstractNumId w:val="30"/>
  </w:num>
  <w:num w:numId="16">
    <w:abstractNumId w:val="18"/>
  </w:num>
  <w:num w:numId="17">
    <w:abstractNumId w:val="47"/>
  </w:num>
  <w:num w:numId="18">
    <w:abstractNumId w:val="5"/>
  </w:num>
  <w:num w:numId="19">
    <w:abstractNumId w:val="36"/>
  </w:num>
  <w:num w:numId="20">
    <w:abstractNumId w:val="10"/>
  </w:num>
  <w:num w:numId="21">
    <w:abstractNumId w:val="22"/>
  </w:num>
  <w:num w:numId="22">
    <w:abstractNumId w:val="25"/>
  </w:num>
  <w:num w:numId="23">
    <w:abstractNumId w:val="4"/>
  </w:num>
  <w:num w:numId="24">
    <w:abstractNumId w:val="42"/>
  </w:num>
  <w:num w:numId="25">
    <w:abstractNumId w:val="49"/>
  </w:num>
  <w:num w:numId="26">
    <w:abstractNumId w:val="52"/>
  </w:num>
  <w:num w:numId="27">
    <w:abstractNumId w:val="38"/>
  </w:num>
  <w:num w:numId="28">
    <w:abstractNumId w:val="13"/>
  </w:num>
  <w:num w:numId="29">
    <w:abstractNumId w:val="21"/>
  </w:num>
  <w:num w:numId="30">
    <w:abstractNumId w:val="50"/>
  </w:num>
  <w:num w:numId="31">
    <w:abstractNumId w:val="32"/>
  </w:num>
  <w:num w:numId="32">
    <w:abstractNumId w:val="7"/>
  </w:num>
  <w:num w:numId="33">
    <w:abstractNumId w:val="28"/>
  </w:num>
  <w:num w:numId="34">
    <w:abstractNumId w:val="44"/>
  </w:num>
  <w:num w:numId="35">
    <w:abstractNumId w:val="29"/>
  </w:num>
  <w:num w:numId="36">
    <w:abstractNumId w:val="37"/>
  </w:num>
  <w:num w:numId="37">
    <w:abstractNumId w:val="41"/>
  </w:num>
  <w:num w:numId="38">
    <w:abstractNumId w:val="20"/>
  </w:num>
  <w:num w:numId="39">
    <w:abstractNumId w:val="23"/>
  </w:num>
  <w:num w:numId="40">
    <w:abstractNumId w:val="8"/>
  </w:num>
  <w:num w:numId="41">
    <w:abstractNumId w:val="15"/>
  </w:num>
  <w:num w:numId="42">
    <w:abstractNumId w:val="46"/>
  </w:num>
  <w:num w:numId="43">
    <w:abstractNumId w:val="27"/>
  </w:num>
  <w:num w:numId="44">
    <w:abstractNumId w:val="0"/>
  </w:num>
  <w:num w:numId="45">
    <w:abstractNumId w:val="48"/>
  </w:num>
  <w:num w:numId="46">
    <w:abstractNumId w:val="14"/>
  </w:num>
  <w:num w:numId="47">
    <w:abstractNumId w:val="34"/>
  </w:num>
  <w:num w:numId="48">
    <w:abstractNumId w:val="40"/>
  </w:num>
  <w:num w:numId="49">
    <w:abstractNumId w:val="3"/>
  </w:num>
  <w:num w:numId="50">
    <w:abstractNumId w:val="1"/>
  </w:num>
  <w:num w:numId="51">
    <w:abstractNumId w:val="16"/>
  </w:num>
  <w:num w:numId="52">
    <w:abstractNumId w:val="2"/>
  </w:num>
  <w:num w:numId="53">
    <w:abstractNumId w:val="31"/>
  </w:num>
  <w:num w:numId="54">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Copy&lt;/Style&gt;&lt;LeftDelim&gt;{&lt;/LeftDelim&gt;&lt;RightDelim&gt;}&lt;/RightDelim&gt;&lt;FontName&gt;Arial Bold&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zaarxpbwvezmetesppddpyx92fwv09szd5&quot;&gt;rheumatoid arthritis&lt;record-ids&gt;&lt;item&gt;11&lt;/item&gt;&lt;item&gt;13&lt;/item&gt;&lt;/record-ids&gt;&lt;/item&gt;&lt;/Libraries&gt;"/>
  </w:docVars>
  <w:rsids>
    <w:rsidRoot w:val="00E65E79"/>
    <w:rsid w:val="00000790"/>
    <w:rsid w:val="0000110B"/>
    <w:rsid w:val="00003499"/>
    <w:rsid w:val="0000562D"/>
    <w:rsid w:val="00005D6F"/>
    <w:rsid w:val="000065AB"/>
    <w:rsid w:val="00007634"/>
    <w:rsid w:val="00013247"/>
    <w:rsid w:val="000149D9"/>
    <w:rsid w:val="00015886"/>
    <w:rsid w:val="000162EF"/>
    <w:rsid w:val="000172EE"/>
    <w:rsid w:val="0002225F"/>
    <w:rsid w:val="00023763"/>
    <w:rsid w:val="00023A9D"/>
    <w:rsid w:val="000240BC"/>
    <w:rsid w:val="000250B3"/>
    <w:rsid w:val="00027051"/>
    <w:rsid w:val="000274F8"/>
    <w:rsid w:val="00027D10"/>
    <w:rsid w:val="00030356"/>
    <w:rsid w:val="00030A48"/>
    <w:rsid w:val="00033D1A"/>
    <w:rsid w:val="000374D5"/>
    <w:rsid w:val="00040895"/>
    <w:rsid w:val="00043C37"/>
    <w:rsid w:val="00044466"/>
    <w:rsid w:val="00045E0B"/>
    <w:rsid w:val="00047235"/>
    <w:rsid w:val="00047D16"/>
    <w:rsid w:val="000512CD"/>
    <w:rsid w:val="00051C8C"/>
    <w:rsid w:val="00051F5D"/>
    <w:rsid w:val="00053AAB"/>
    <w:rsid w:val="0005464A"/>
    <w:rsid w:val="000546D7"/>
    <w:rsid w:val="00054723"/>
    <w:rsid w:val="00054B44"/>
    <w:rsid w:val="00057B2D"/>
    <w:rsid w:val="000605D7"/>
    <w:rsid w:val="00061173"/>
    <w:rsid w:val="00061212"/>
    <w:rsid w:val="00062961"/>
    <w:rsid w:val="00062F1E"/>
    <w:rsid w:val="000638DA"/>
    <w:rsid w:val="000645A0"/>
    <w:rsid w:val="0006574E"/>
    <w:rsid w:val="000700D5"/>
    <w:rsid w:val="00071248"/>
    <w:rsid w:val="000720B9"/>
    <w:rsid w:val="00072AB8"/>
    <w:rsid w:val="00073D10"/>
    <w:rsid w:val="0008063E"/>
    <w:rsid w:val="000812CA"/>
    <w:rsid w:val="00081375"/>
    <w:rsid w:val="000820E3"/>
    <w:rsid w:val="0008454C"/>
    <w:rsid w:val="000846E3"/>
    <w:rsid w:val="00084761"/>
    <w:rsid w:val="00084B22"/>
    <w:rsid w:val="00086127"/>
    <w:rsid w:val="00087617"/>
    <w:rsid w:val="00090389"/>
    <w:rsid w:val="00090C7E"/>
    <w:rsid w:val="00091E54"/>
    <w:rsid w:val="00094B6F"/>
    <w:rsid w:val="000966F2"/>
    <w:rsid w:val="000A02C1"/>
    <w:rsid w:val="000A2D07"/>
    <w:rsid w:val="000A3A27"/>
    <w:rsid w:val="000A5576"/>
    <w:rsid w:val="000A5A0D"/>
    <w:rsid w:val="000B095F"/>
    <w:rsid w:val="000B17F8"/>
    <w:rsid w:val="000B1E5D"/>
    <w:rsid w:val="000B22B1"/>
    <w:rsid w:val="000B4C7A"/>
    <w:rsid w:val="000B4E0C"/>
    <w:rsid w:val="000B5F28"/>
    <w:rsid w:val="000B7EA2"/>
    <w:rsid w:val="000C0F99"/>
    <w:rsid w:val="000C71C7"/>
    <w:rsid w:val="000D0DE1"/>
    <w:rsid w:val="000D1569"/>
    <w:rsid w:val="000D1640"/>
    <w:rsid w:val="000D1BFC"/>
    <w:rsid w:val="000D26BB"/>
    <w:rsid w:val="000D4BC5"/>
    <w:rsid w:val="000D6685"/>
    <w:rsid w:val="000D77CA"/>
    <w:rsid w:val="000D7EE4"/>
    <w:rsid w:val="000E0152"/>
    <w:rsid w:val="000E1F7B"/>
    <w:rsid w:val="000E3D6C"/>
    <w:rsid w:val="000E753F"/>
    <w:rsid w:val="000F1E12"/>
    <w:rsid w:val="000F2869"/>
    <w:rsid w:val="000F395A"/>
    <w:rsid w:val="000F4A7B"/>
    <w:rsid w:val="000F4BB8"/>
    <w:rsid w:val="000F7127"/>
    <w:rsid w:val="001007A1"/>
    <w:rsid w:val="00100F8A"/>
    <w:rsid w:val="001016C5"/>
    <w:rsid w:val="001022B3"/>
    <w:rsid w:val="00103E9F"/>
    <w:rsid w:val="0011032E"/>
    <w:rsid w:val="00110717"/>
    <w:rsid w:val="0011089D"/>
    <w:rsid w:val="001109EA"/>
    <w:rsid w:val="0011348B"/>
    <w:rsid w:val="001203FF"/>
    <w:rsid w:val="00120564"/>
    <w:rsid w:val="00121799"/>
    <w:rsid w:val="001222FC"/>
    <w:rsid w:val="0012274F"/>
    <w:rsid w:val="00123FA8"/>
    <w:rsid w:val="00124A51"/>
    <w:rsid w:val="00126621"/>
    <w:rsid w:val="0012668A"/>
    <w:rsid w:val="001301E9"/>
    <w:rsid w:val="001330D1"/>
    <w:rsid w:val="00135166"/>
    <w:rsid w:val="00137645"/>
    <w:rsid w:val="0014015A"/>
    <w:rsid w:val="00140E99"/>
    <w:rsid w:val="00141A59"/>
    <w:rsid w:val="001421DB"/>
    <w:rsid w:val="00145540"/>
    <w:rsid w:val="001456B0"/>
    <w:rsid w:val="00145CC6"/>
    <w:rsid w:val="00145EF4"/>
    <w:rsid w:val="00147193"/>
    <w:rsid w:val="0015046A"/>
    <w:rsid w:val="00150D64"/>
    <w:rsid w:val="001532F2"/>
    <w:rsid w:val="001539AA"/>
    <w:rsid w:val="00154608"/>
    <w:rsid w:val="001567A8"/>
    <w:rsid w:val="00157130"/>
    <w:rsid w:val="00162913"/>
    <w:rsid w:val="00163EFF"/>
    <w:rsid w:val="00164FB4"/>
    <w:rsid w:val="001661FB"/>
    <w:rsid w:val="00167A6A"/>
    <w:rsid w:val="001711B3"/>
    <w:rsid w:val="0017146F"/>
    <w:rsid w:val="001727E5"/>
    <w:rsid w:val="00176D4A"/>
    <w:rsid w:val="001777A8"/>
    <w:rsid w:val="00181852"/>
    <w:rsid w:val="00181CDF"/>
    <w:rsid w:val="00182E23"/>
    <w:rsid w:val="00183CC3"/>
    <w:rsid w:val="001842F9"/>
    <w:rsid w:val="00185A10"/>
    <w:rsid w:val="001870F3"/>
    <w:rsid w:val="0018752F"/>
    <w:rsid w:val="0018754C"/>
    <w:rsid w:val="00190BA5"/>
    <w:rsid w:val="00190CB4"/>
    <w:rsid w:val="00190D37"/>
    <w:rsid w:val="0019468C"/>
    <w:rsid w:val="00195222"/>
    <w:rsid w:val="00196E9D"/>
    <w:rsid w:val="001975D8"/>
    <w:rsid w:val="001A035D"/>
    <w:rsid w:val="001A3A31"/>
    <w:rsid w:val="001A4054"/>
    <w:rsid w:val="001A4E59"/>
    <w:rsid w:val="001A5C31"/>
    <w:rsid w:val="001A6538"/>
    <w:rsid w:val="001A7997"/>
    <w:rsid w:val="001B0C1E"/>
    <w:rsid w:val="001B212B"/>
    <w:rsid w:val="001B3443"/>
    <w:rsid w:val="001B377C"/>
    <w:rsid w:val="001B5AA3"/>
    <w:rsid w:val="001C1880"/>
    <w:rsid w:val="001C40B2"/>
    <w:rsid w:val="001C5200"/>
    <w:rsid w:val="001C6E66"/>
    <w:rsid w:val="001C757F"/>
    <w:rsid w:val="001D1522"/>
    <w:rsid w:val="001D1EFB"/>
    <w:rsid w:val="001D33A9"/>
    <w:rsid w:val="001D399A"/>
    <w:rsid w:val="001D5640"/>
    <w:rsid w:val="001D5C79"/>
    <w:rsid w:val="001D6C51"/>
    <w:rsid w:val="001E1929"/>
    <w:rsid w:val="001E238E"/>
    <w:rsid w:val="001E2430"/>
    <w:rsid w:val="001E2B1E"/>
    <w:rsid w:val="001E3E82"/>
    <w:rsid w:val="001E4FF8"/>
    <w:rsid w:val="001E52EB"/>
    <w:rsid w:val="001E740C"/>
    <w:rsid w:val="001E7C22"/>
    <w:rsid w:val="001F0AEA"/>
    <w:rsid w:val="001F0E5F"/>
    <w:rsid w:val="001F1235"/>
    <w:rsid w:val="001F1CB3"/>
    <w:rsid w:val="001F3E50"/>
    <w:rsid w:val="001F4067"/>
    <w:rsid w:val="001F6054"/>
    <w:rsid w:val="001F689B"/>
    <w:rsid w:val="001F6C8B"/>
    <w:rsid w:val="001F7114"/>
    <w:rsid w:val="001F7361"/>
    <w:rsid w:val="0020254C"/>
    <w:rsid w:val="00202CFC"/>
    <w:rsid w:val="0020385F"/>
    <w:rsid w:val="00203B11"/>
    <w:rsid w:val="00203F72"/>
    <w:rsid w:val="00206573"/>
    <w:rsid w:val="00206FCD"/>
    <w:rsid w:val="00207021"/>
    <w:rsid w:val="00207D00"/>
    <w:rsid w:val="002105C1"/>
    <w:rsid w:val="00213855"/>
    <w:rsid w:val="002159EB"/>
    <w:rsid w:val="00216AAD"/>
    <w:rsid w:val="002210DF"/>
    <w:rsid w:val="002229B6"/>
    <w:rsid w:val="00223B49"/>
    <w:rsid w:val="002240A1"/>
    <w:rsid w:val="002247A6"/>
    <w:rsid w:val="00224DD4"/>
    <w:rsid w:val="00226C9C"/>
    <w:rsid w:val="0022792B"/>
    <w:rsid w:val="00227ED7"/>
    <w:rsid w:val="002309CC"/>
    <w:rsid w:val="00233E0E"/>
    <w:rsid w:val="00235DB0"/>
    <w:rsid w:val="00237054"/>
    <w:rsid w:val="00241B3C"/>
    <w:rsid w:val="00243475"/>
    <w:rsid w:val="00243B3C"/>
    <w:rsid w:val="00244801"/>
    <w:rsid w:val="002456A3"/>
    <w:rsid w:val="00245D89"/>
    <w:rsid w:val="00251510"/>
    <w:rsid w:val="00251B48"/>
    <w:rsid w:val="002521BF"/>
    <w:rsid w:val="00252937"/>
    <w:rsid w:val="0025476A"/>
    <w:rsid w:val="00254DCF"/>
    <w:rsid w:val="0025534B"/>
    <w:rsid w:val="00255BB7"/>
    <w:rsid w:val="0025664E"/>
    <w:rsid w:val="00256BAD"/>
    <w:rsid w:val="00260BDA"/>
    <w:rsid w:val="002628AA"/>
    <w:rsid w:val="00262A40"/>
    <w:rsid w:val="00262A87"/>
    <w:rsid w:val="00264C81"/>
    <w:rsid w:val="00266DA7"/>
    <w:rsid w:val="002707ED"/>
    <w:rsid w:val="00271FBE"/>
    <w:rsid w:val="00272DBC"/>
    <w:rsid w:val="002730C3"/>
    <w:rsid w:val="00274063"/>
    <w:rsid w:val="002745AE"/>
    <w:rsid w:val="00275C5A"/>
    <w:rsid w:val="002806EF"/>
    <w:rsid w:val="00281014"/>
    <w:rsid w:val="0028125E"/>
    <w:rsid w:val="00282235"/>
    <w:rsid w:val="002826A3"/>
    <w:rsid w:val="00283B92"/>
    <w:rsid w:val="002846BD"/>
    <w:rsid w:val="00284B66"/>
    <w:rsid w:val="00284FE5"/>
    <w:rsid w:val="00286C8B"/>
    <w:rsid w:val="00287016"/>
    <w:rsid w:val="00290143"/>
    <w:rsid w:val="00291370"/>
    <w:rsid w:val="00291EF3"/>
    <w:rsid w:val="00292B55"/>
    <w:rsid w:val="00294D90"/>
    <w:rsid w:val="0029689F"/>
    <w:rsid w:val="00296B3D"/>
    <w:rsid w:val="00297EE3"/>
    <w:rsid w:val="002A14AB"/>
    <w:rsid w:val="002A624F"/>
    <w:rsid w:val="002A6CB1"/>
    <w:rsid w:val="002A7A63"/>
    <w:rsid w:val="002B1A40"/>
    <w:rsid w:val="002B1C1F"/>
    <w:rsid w:val="002B3AC0"/>
    <w:rsid w:val="002B432F"/>
    <w:rsid w:val="002B509C"/>
    <w:rsid w:val="002B650F"/>
    <w:rsid w:val="002B6CCE"/>
    <w:rsid w:val="002B7D34"/>
    <w:rsid w:val="002C0B86"/>
    <w:rsid w:val="002C2775"/>
    <w:rsid w:val="002C27C1"/>
    <w:rsid w:val="002D0550"/>
    <w:rsid w:val="002D1E1A"/>
    <w:rsid w:val="002D3210"/>
    <w:rsid w:val="002D4FEB"/>
    <w:rsid w:val="002E08F2"/>
    <w:rsid w:val="002E1031"/>
    <w:rsid w:val="002E6F1A"/>
    <w:rsid w:val="002F11A0"/>
    <w:rsid w:val="002F16A3"/>
    <w:rsid w:val="002F3036"/>
    <w:rsid w:val="002F4B31"/>
    <w:rsid w:val="002F5ADF"/>
    <w:rsid w:val="002F6AE9"/>
    <w:rsid w:val="002F6B8E"/>
    <w:rsid w:val="002F7ADC"/>
    <w:rsid w:val="00300910"/>
    <w:rsid w:val="00301017"/>
    <w:rsid w:val="00304156"/>
    <w:rsid w:val="003073F5"/>
    <w:rsid w:val="0030786C"/>
    <w:rsid w:val="0031031A"/>
    <w:rsid w:val="00310981"/>
    <w:rsid w:val="00311110"/>
    <w:rsid w:val="00313437"/>
    <w:rsid w:val="00315498"/>
    <w:rsid w:val="0031582D"/>
    <w:rsid w:val="00324355"/>
    <w:rsid w:val="00326096"/>
    <w:rsid w:val="00327091"/>
    <w:rsid w:val="003274FC"/>
    <w:rsid w:val="0033293D"/>
    <w:rsid w:val="00334351"/>
    <w:rsid w:val="003366C9"/>
    <w:rsid w:val="003371B0"/>
    <w:rsid w:val="00341EA8"/>
    <w:rsid w:val="00343D64"/>
    <w:rsid w:val="00355E78"/>
    <w:rsid w:val="0035620E"/>
    <w:rsid w:val="003577C6"/>
    <w:rsid w:val="00357C78"/>
    <w:rsid w:val="00360EC8"/>
    <w:rsid w:val="00362E7E"/>
    <w:rsid w:val="00363298"/>
    <w:rsid w:val="00364898"/>
    <w:rsid w:val="00364D61"/>
    <w:rsid w:val="0037040D"/>
    <w:rsid w:val="00370DEC"/>
    <w:rsid w:val="00371021"/>
    <w:rsid w:val="0037282D"/>
    <w:rsid w:val="00372E1C"/>
    <w:rsid w:val="003803FA"/>
    <w:rsid w:val="00380BA5"/>
    <w:rsid w:val="0038242A"/>
    <w:rsid w:val="00382DA3"/>
    <w:rsid w:val="0038319B"/>
    <w:rsid w:val="0038365C"/>
    <w:rsid w:val="00386684"/>
    <w:rsid w:val="0038749D"/>
    <w:rsid w:val="0039266B"/>
    <w:rsid w:val="00393785"/>
    <w:rsid w:val="00394B8A"/>
    <w:rsid w:val="003955F4"/>
    <w:rsid w:val="00395B1C"/>
    <w:rsid w:val="00395FF1"/>
    <w:rsid w:val="00396E47"/>
    <w:rsid w:val="00396FD0"/>
    <w:rsid w:val="00397A58"/>
    <w:rsid w:val="003A1A7A"/>
    <w:rsid w:val="003A1FE6"/>
    <w:rsid w:val="003A264C"/>
    <w:rsid w:val="003A3CDC"/>
    <w:rsid w:val="003A4A57"/>
    <w:rsid w:val="003A7556"/>
    <w:rsid w:val="003B0C1F"/>
    <w:rsid w:val="003B1DFC"/>
    <w:rsid w:val="003B2EC0"/>
    <w:rsid w:val="003B44F6"/>
    <w:rsid w:val="003B4573"/>
    <w:rsid w:val="003B4660"/>
    <w:rsid w:val="003B5A27"/>
    <w:rsid w:val="003B6537"/>
    <w:rsid w:val="003B773C"/>
    <w:rsid w:val="003C04B0"/>
    <w:rsid w:val="003C3BA5"/>
    <w:rsid w:val="003C6165"/>
    <w:rsid w:val="003C6EF1"/>
    <w:rsid w:val="003C6F5D"/>
    <w:rsid w:val="003D1828"/>
    <w:rsid w:val="003D2422"/>
    <w:rsid w:val="003D3ACD"/>
    <w:rsid w:val="003D57AA"/>
    <w:rsid w:val="003E21D5"/>
    <w:rsid w:val="003E27DC"/>
    <w:rsid w:val="003E3DBC"/>
    <w:rsid w:val="003E3FCE"/>
    <w:rsid w:val="003E4250"/>
    <w:rsid w:val="003E62D2"/>
    <w:rsid w:val="003F1B45"/>
    <w:rsid w:val="003F37D0"/>
    <w:rsid w:val="003F4156"/>
    <w:rsid w:val="003F4773"/>
    <w:rsid w:val="00400A9F"/>
    <w:rsid w:val="00406A57"/>
    <w:rsid w:val="00410708"/>
    <w:rsid w:val="00410A6A"/>
    <w:rsid w:val="00410EC7"/>
    <w:rsid w:val="004112A4"/>
    <w:rsid w:val="00412153"/>
    <w:rsid w:val="00413757"/>
    <w:rsid w:val="00414476"/>
    <w:rsid w:val="0041456E"/>
    <w:rsid w:val="00416B9C"/>
    <w:rsid w:val="00420B9F"/>
    <w:rsid w:val="004217B2"/>
    <w:rsid w:val="004254BE"/>
    <w:rsid w:val="004260C4"/>
    <w:rsid w:val="00427DB7"/>
    <w:rsid w:val="004319F8"/>
    <w:rsid w:val="00432753"/>
    <w:rsid w:val="00433044"/>
    <w:rsid w:val="004330A3"/>
    <w:rsid w:val="004338C0"/>
    <w:rsid w:val="004365E5"/>
    <w:rsid w:val="00440AAF"/>
    <w:rsid w:val="004428BE"/>
    <w:rsid w:val="004443A7"/>
    <w:rsid w:val="004446C9"/>
    <w:rsid w:val="00445EF7"/>
    <w:rsid w:val="004462E5"/>
    <w:rsid w:val="004464EB"/>
    <w:rsid w:val="004468BF"/>
    <w:rsid w:val="00447A7C"/>
    <w:rsid w:val="00447B05"/>
    <w:rsid w:val="00455D45"/>
    <w:rsid w:val="00456785"/>
    <w:rsid w:val="00456B28"/>
    <w:rsid w:val="00457A0B"/>
    <w:rsid w:val="00461F65"/>
    <w:rsid w:val="004628D6"/>
    <w:rsid w:val="00462E3C"/>
    <w:rsid w:val="00464595"/>
    <w:rsid w:val="0046794E"/>
    <w:rsid w:val="0047043E"/>
    <w:rsid w:val="00471226"/>
    <w:rsid w:val="00471C46"/>
    <w:rsid w:val="00473604"/>
    <w:rsid w:val="00476898"/>
    <w:rsid w:val="00476D02"/>
    <w:rsid w:val="00476DD5"/>
    <w:rsid w:val="0047718C"/>
    <w:rsid w:val="00477631"/>
    <w:rsid w:val="004867E2"/>
    <w:rsid w:val="00491B3A"/>
    <w:rsid w:val="0049261F"/>
    <w:rsid w:val="00492855"/>
    <w:rsid w:val="00492CFD"/>
    <w:rsid w:val="004948F5"/>
    <w:rsid w:val="00494B51"/>
    <w:rsid w:val="004954BA"/>
    <w:rsid w:val="004962D2"/>
    <w:rsid w:val="00496AFD"/>
    <w:rsid w:val="00497DC2"/>
    <w:rsid w:val="004A0171"/>
    <w:rsid w:val="004A0DA1"/>
    <w:rsid w:val="004A2684"/>
    <w:rsid w:val="004A329B"/>
    <w:rsid w:val="004A3455"/>
    <w:rsid w:val="004A4D84"/>
    <w:rsid w:val="004A4F2C"/>
    <w:rsid w:val="004A5094"/>
    <w:rsid w:val="004A5CD7"/>
    <w:rsid w:val="004A6597"/>
    <w:rsid w:val="004A6AC2"/>
    <w:rsid w:val="004A76A6"/>
    <w:rsid w:val="004B0EF3"/>
    <w:rsid w:val="004B130E"/>
    <w:rsid w:val="004B1CB4"/>
    <w:rsid w:val="004B2CFB"/>
    <w:rsid w:val="004B2F18"/>
    <w:rsid w:val="004B3AD7"/>
    <w:rsid w:val="004B3D46"/>
    <w:rsid w:val="004B3DDB"/>
    <w:rsid w:val="004B3EEA"/>
    <w:rsid w:val="004B40CC"/>
    <w:rsid w:val="004B44FD"/>
    <w:rsid w:val="004B5CFC"/>
    <w:rsid w:val="004B6E23"/>
    <w:rsid w:val="004C0101"/>
    <w:rsid w:val="004C04C7"/>
    <w:rsid w:val="004C2944"/>
    <w:rsid w:val="004C4AED"/>
    <w:rsid w:val="004C6679"/>
    <w:rsid w:val="004D0AD0"/>
    <w:rsid w:val="004E09F4"/>
    <w:rsid w:val="004E0EB8"/>
    <w:rsid w:val="004E16DC"/>
    <w:rsid w:val="004E252E"/>
    <w:rsid w:val="004E2ADC"/>
    <w:rsid w:val="004E43B2"/>
    <w:rsid w:val="004E5CDE"/>
    <w:rsid w:val="004E7342"/>
    <w:rsid w:val="004F0613"/>
    <w:rsid w:val="004F1BCD"/>
    <w:rsid w:val="004F1D02"/>
    <w:rsid w:val="004F2679"/>
    <w:rsid w:val="004F6661"/>
    <w:rsid w:val="004F7865"/>
    <w:rsid w:val="004F7AC9"/>
    <w:rsid w:val="00502F39"/>
    <w:rsid w:val="00503080"/>
    <w:rsid w:val="00504921"/>
    <w:rsid w:val="00505EE4"/>
    <w:rsid w:val="00505F6B"/>
    <w:rsid w:val="00506928"/>
    <w:rsid w:val="00507CB2"/>
    <w:rsid w:val="0051255C"/>
    <w:rsid w:val="005136F3"/>
    <w:rsid w:val="005152B5"/>
    <w:rsid w:val="00520333"/>
    <w:rsid w:val="00521319"/>
    <w:rsid w:val="00521FBB"/>
    <w:rsid w:val="0052267E"/>
    <w:rsid w:val="00523549"/>
    <w:rsid w:val="00523C28"/>
    <w:rsid w:val="00525126"/>
    <w:rsid w:val="00525A4B"/>
    <w:rsid w:val="005267B4"/>
    <w:rsid w:val="00530977"/>
    <w:rsid w:val="005309DC"/>
    <w:rsid w:val="005325E8"/>
    <w:rsid w:val="0053307D"/>
    <w:rsid w:val="005337AB"/>
    <w:rsid w:val="00534439"/>
    <w:rsid w:val="00537648"/>
    <w:rsid w:val="00542B0C"/>
    <w:rsid w:val="0054573B"/>
    <w:rsid w:val="00552BD3"/>
    <w:rsid w:val="00555109"/>
    <w:rsid w:val="00560B17"/>
    <w:rsid w:val="00561A58"/>
    <w:rsid w:val="00561E71"/>
    <w:rsid w:val="00564E57"/>
    <w:rsid w:val="005650F3"/>
    <w:rsid w:val="005653FC"/>
    <w:rsid w:val="00566230"/>
    <w:rsid w:val="0056696F"/>
    <w:rsid w:val="00571D95"/>
    <w:rsid w:val="00575D8D"/>
    <w:rsid w:val="00576889"/>
    <w:rsid w:val="00576972"/>
    <w:rsid w:val="00580053"/>
    <w:rsid w:val="00580537"/>
    <w:rsid w:val="00580C36"/>
    <w:rsid w:val="005819EF"/>
    <w:rsid w:val="00581D05"/>
    <w:rsid w:val="00583355"/>
    <w:rsid w:val="0058368B"/>
    <w:rsid w:val="00583699"/>
    <w:rsid w:val="00583884"/>
    <w:rsid w:val="00584999"/>
    <w:rsid w:val="00585716"/>
    <w:rsid w:val="00592B55"/>
    <w:rsid w:val="005946C4"/>
    <w:rsid w:val="005948B4"/>
    <w:rsid w:val="005950A9"/>
    <w:rsid w:val="00595B2E"/>
    <w:rsid w:val="00596F62"/>
    <w:rsid w:val="00597FB9"/>
    <w:rsid w:val="005A0234"/>
    <w:rsid w:val="005A1C13"/>
    <w:rsid w:val="005A23DE"/>
    <w:rsid w:val="005A62E5"/>
    <w:rsid w:val="005A6DCA"/>
    <w:rsid w:val="005A7B78"/>
    <w:rsid w:val="005A7EE0"/>
    <w:rsid w:val="005B1A95"/>
    <w:rsid w:val="005B2531"/>
    <w:rsid w:val="005B3F05"/>
    <w:rsid w:val="005B5857"/>
    <w:rsid w:val="005B5F26"/>
    <w:rsid w:val="005B6AC2"/>
    <w:rsid w:val="005B73C3"/>
    <w:rsid w:val="005B79D0"/>
    <w:rsid w:val="005C1B83"/>
    <w:rsid w:val="005C346B"/>
    <w:rsid w:val="005C36D8"/>
    <w:rsid w:val="005C41D0"/>
    <w:rsid w:val="005C4C74"/>
    <w:rsid w:val="005C5EB6"/>
    <w:rsid w:val="005C61A2"/>
    <w:rsid w:val="005C68E2"/>
    <w:rsid w:val="005C7763"/>
    <w:rsid w:val="005C78C4"/>
    <w:rsid w:val="005C7F65"/>
    <w:rsid w:val="005D044D"/>
    <w:rsid w:val="005D18AD"/>
    <w:rsid w:val="005D3DC3"/>
    <w:rsid w:val="005E1D45"/>
    <w:rsid w:val="005E21F4"/>
    <w:rsid w:val="005E274E"/>
    <w:rsid w:val="005E2CBC"/>
    <w:rsid w:val="005E310A"/>
    <w:rsid w:val="005E73C0"/>
    <w:rsid w:val="005F168E"/>
    <w:rsid w:val="005F2706"/>
    <w:rsid w:val="005F2EFF"/>
    <w:rsid w:val="005F5DF9"/>
    <w:rsid w:val="005F5EC9"/>
    <w:rsid w:val="005F6A8F"/>
    <w:rsid w:val="005F6D1D"/>
    <w:rsid w:val="005F773C"/>
    <w:rsid w:val="0060016A"/>
    <w:rsid w:val="006010E5"/>
    <w:rsid w:val="006040BE"/>
    <w:rsid w:val="00605DCE"/>
    <w:rsid w:val="006075A1"/>
    <w:rsid w:val="00607669"/>
    <w:rsid w:val="006113CF"/>
    <w:rsid w:val="00612F97"/>
    <w:rsid w:val="00614C09"/>
    <w:rsid w:val="00616802"/>
    <w:rsid w:val="00617164"/>
    <w:rsid w:val="00617E12"/>
    <w:rsid w:val="006201C8"/>
    <w:rsid w:val="006210FD"/>
    <w:rsid w:val="00621477"/>
    <w:rsid w:val="00621C1C"/>
    <w:rsid w:val="00621FA8"/>
    <w:rsid w:val="00624C6E"/>
    <w:rsid w:val="00625D54"/>
    <w:rsid w:val="00630B63"/>
    <w:rsid w:val="00631D6B"/>
    <w:rsid w:val="006340AB"/>
    <w:rsid w:val="0063479F"/>
    <w:rsid w:val="00634BF3"/>
    <w:rsid w:val="006364A1"/>
    <w:rsid w:val="00636EB2"/>
    <w:rsid w:val="00637BFD"/>
    <w:rsid w:val="006402C6"/>
    <w:rsid w:val="00642579"/>
    <w:rsid w:val="0064292A"/>
    <w:rsid w:val="00642D67"/>
    <w:rsid w:val="0064563D"/>
    <w:rsid w:val="006458FF"/>
    <w:rsid w:val="006467BA"/>
    <w:rsid w:val="006467EC"/>
    <w:rsid w:val="00646C43"/>
    <w:rsid w:val="00646F0C"/>
    <w:rsid w:val="0064709C"/>
    <w:rsid w:val="006471CC"/>
    <w:rsid w:val="0065079F"/>
    <w:rsid w:val="00651571"/>
    <w:rsid w:val="00654754"/>
    <w:rsid w:val="006547D2"/>
    <w:rsid w:val="006549A6"/>
    <w:rsid w:val="00655FE8"/>
    <w:rsid w:val="00656A70"/>
    <w:rsid w:val="006577DC"/>
    <w:rsid w:val="00661412"/>
    <w:rsid w:val="00661A66"/>
    <w:rsid w:val="00661C4F"/>
    <w:rsid w:val="00665969"/>
    <w:rsid w:val="00667165"/>
    <w:rsid w:val="00670E99"/>
    <w:rsid w:val="0067122D"/>
    <w:rsid w:val="0067301F"/>
    <w:rsid w:val="00673B38"/>
    <w:rsid w:val="00673FB6"/>
    <w:rsid w:val="00674E42"/>
    <w:rsid w:val="00676324"/>
    <w:rsid w:val="006768E4"/>
    <w:rsid w:val="00681B3C"/>
    <w:rsid w:val="00682112"/>
    <w:rsid w:val="006823BE"/>
    <w:rsid w:val="00683E04"/>
    <w:rsid w:val="006872BA"/>
    <w:rsid w:val="006917D7"/>
    <w:rsid w:val="00691E0B"/>
    <w:rsid w:val="006922B0"/>
    <w:rsid w:val="006939A3"/>
    <w:rsid w:val="006939D4"/>
    <w:rsid w:val="00694F44"/>
    <w:rsid w:val="00696A94"/>
    <w:rsid w:val="00697454"/>
    <w:rsid w:val="006A0531"/>
    <w:rsid w:val="006A315C"/>
    <w:rsid w:val="006A3A1B"/>
    <w:rsid w:val="006A4925"/>
    <w:rsid w:val="006A69E0"/>
    <w:rsid w:val="006B15AA"/>
    <w:rsid w:val="006B584A"/>
    <w:rsid w:val="006C05BE"/>
    <w:rsid w:val="006C0E11"/>
    <w:rsid w:val="006C1401"/>
    <w:rsid w:val="006C2A8E"/>
    <w:rsid w:val="006C2F5F"/>
    <w:rsid w:val="006C5F4F"/>
    <w:rsid w:val="006C61AB"/>
    <w:rsid w:val="006C76CE"/>
    <w:rsid w:val="006C7761"/>
    <w:rsid w:val="006C7D61"/>
    <w:rsid w:val="006D1DAD"/>
    <w:rsid w:val="006D2F7D"/>
    <w:rsid w:val="006D3C7D"/>
    <w:rsid w:val="006D4B79"/>
    <w:rsid w:val="006D5D5F"/>
    <w:rsid w:val="006D6D0F"/>
    <w:rsid w:val="006E0298"/>
    <w:rsid w:val="006E4D7F"/>
    <w:rsid w:val="006E5462"/>
    <w:rsid w:val="006F0A08"/>
    <w:rsid w:val="006F1B4A"/>
    <w:rsid w:val="006F1E2B"/>
    <w:rsid w:val="006F2708"/>
    <w:rsid w:val="006F307F"/>
    <w:rsid w:val="006F48AD"/>
    <w:rsid w:val="006F5FFF"/>
    <w:rsid w:val="006F63A5"/>
    <w:rsid w:val="006F79C9"/>
    <w:rsid w:val="007005E5"/>
    <w:rsid w:val="0070276E"/>
    <w:rsid w:val="007029C3"/>
    <w:rsid w:val="00702F8F"/>
    <w:rsid w:val="00703B1C"/>
    <w:rsid w:val="00703C9F"/>
    <w:rsid w:val="0071033B"/>
    <w:rsid w:val="0071067C"/>
    <w:rsid w:val="0071134A"/>
    <w:rsid w:val="00711A36"/>
    <w:rsid w:val="00711FF3"/>
    <w:rsid w:val="00712D30"/>
    <w:rsid w:val="0071506E"/>
    <w:rsid w:val="00715EA9"/>
    <w:rsid w:val="007172AD"/>
    <w:rsid w:val="00717D0D"/>
    <w:rsid w:val="00722535"/>
    <w:rsid w:val="00723300"/>
    <w:rsid w:val="0072416F"/>
    <w:rsid w:val="00725B33"/>
    <w:rsid w:val="00725ED6"/>
    <w:rsid w:val="00727859"/>
    <w:rsid w:val="00727E99"/>
    <w:rsid w:val="007317AB"/>
    <w:rsid w:val="00735328"/>
    <w:rsid w:val="00735BA0"/>
    <w:rsid w:val="007360E5"/>
    <w:rsid w:val="0073685B"/>
    <w:rsid w:val="00737159"/>
    <w:rsid w:val="007371B9"/>
    <w:rsid w:val="00737AF8"/>
    <w:rsid w:val="00737CB7"/>
    <w:rsid w:val="00741164"/>
    <w:rsid w:val="007416A5"/>
    <w:rsid w:val="0074269F"/>
    <w:rsid w:val="00742E2F"/>
    <w:rsid w:val="00744ACC"/>
    <w:rsid w:val="00745446"/>
    <w:rsid w:val="0074545E"/>
    <w:rsid w:val="007500C0"/>
    <w:rsid w:val="00750E8E"/>
    <w:rsid w:val="00753F7F"/>
    <w:rsid w:val="00754633"/>
    <w:rsid w:val="007577F2"/>
    <w:rsid w:val="00757F11"/>
    <w:rsid w:val="00760064"/>
    <w:rsid w:val="007629B6"/>
    <w:rsid w:val="0076416B"/>
    <w:rsid w:val="0076487E"/>
    <w:rsid w:val="00764A6E"/>
    <w:rsid w:val="00765AF0"/>
    <w:rsid w:val="00765BEB"/>
    <w:rsid w:val="00765F05"/>
    <w:rsid w:val="007669AA"/>
    <w:rsid w:val="0077046D"/>
    <w:rsid w:val="007710BB"/>
    <w:rsid w:val="0077318A"/>
    <w:rsid w:val="00773478"/>
    <w:rsid w:val="0077742E"/>
    <w:rsid w:val="00781E77"/>
    <w:rsid w:val="007836C8"/>
    <w:rsid w:val="0078743F"/>
    <w:rsid w:val="00791013"/>
    <w:rsid w:val="00794E3F"/>
    <w:rsid w:val="00796F73"/>
    <w:rsid w:val="00797380"/>
    <w:rsid w:val="007A0A12"/>
    <w:rsid w:val="007A197A"/>
    <w:rsid w:val="007A19EC"/>
    <w:rsid w:val="007A1ECD"/>
    <w:rsid w:val="007A7C9D"/>
    <w:rsid w:val="007B251D"/>
    <w:rsid w:val="007B3C4F"/>
    <w:rsid w:val="007B777A"/>
    <w:rsid w:val="007B77D1"/>
    <w:rsid w:val="007C361D"/>
    <w:rsid w:val="007C5012"/>
    <w:rsid w:val="007C6A30"/>
    <w:rsid w:val="007D0B38"/>
    <w:rsid w:val="007D59B4"/>
    <w:rsid w:val="007D7C62"/>
    <w:rsid w:val="007E1691"/>
    <w:rsid w:val="007E18E5"/>
    <w:rsid w:val="007E1D96"/>
    <w:rsid w:val="007E32AF"/>
    <w:rsid w:val="007E386F"/>
    <w:rsid w:val="007E3DE4"/>
    <w:rsid w:val="007E45E2"/>
    <w:rsid w:val="007E45EC"/>
    <w:rsid w:val="007E4F1D"/>
    <w:rsid w:val="007E58AB"/>
    <w:rsid w:val="007E5CEB"/>
    <w:rsid w:val="007E6B56"/>
    <w:rsid w:val="007E751E"/>
    <w:rsid w:val="007E760F"/>
    <w:rsid w:val="007F033C"/>
    <w:rsid w:val="007F1017"/>
    <w:rsid w:val="007F146B"/>
    <w:rsid w:val="007F206E"/>
    <w:rsid w:val="007F2808"/>
    <w:rsid w:val="007F2D46"/>
    <w:rsid w:val="007F41BA"/>
    <w:rsid w:val="007F4A3F"/>
    <w:rsid w:val="007F5D4F"/>
    <w:rsid w:val="007F6221"/>
    <w:rsid w:val="007F710A"/>
    <w:rsid w:val="007F7994"/>
    <w:rsid w:val="007F7F5F"/>
    <w:rsid w:val="0080070B"/>
    <w:rsid w:val="00802B76"/>
    <w:rsid w:val="00805142"/>
    <w:rsid w:val="00805FD7"/>
    <w:rsid w:val="00807A8B"/>
    <w:rsid w:val="00811493"/>
    <w:rsid w:val="00811E1C"/>
    <w:rsid w:val="00812149"/>
    <w:rsid w:val="008151DE"/>
    <w:rsid w:val="008166EF"/>
    <w:rsid w:val="00816B04"/>
    <w:rsid w:val="00821B28"/>
    <w:rsid w:val="008220AC"/>
    <w:rsid w:val="008220B2"/>
    <w:rsid w:val="008242B5"/>
    <w:rsid w:val="00825C6C"/>
    <w:rsid w:val="008264EB"/>
    <w:rsid w:val="00826E28"/>
    <w:rsid w:val="00827BE3"/>
    <w:rsid w:val="008337A1"/>
    <w:rsid w:val="00833B05"/>
    <w:rsid w:val="0083446F"/>
    <w:rsid w:val="00834924"/>
    <w:rsid w:val="00834A70"/>
    <w:rsid w:val="00836C84"/>
    <w:rsid w:val="00837CEF"/>
    <w:rsid w:val="008401FA"/>
    <w:rsid w:val="00840CA2"/>
    <w:rsid w:val="00842CE7"/>
    <w:rsid w:val="00845483"/>
    <w:rsid w:val="00846936"/>
    <w:rsid w:val="008478D8"/>
    <w:rsid w:val="0085041A"/>
    <w:rsid w:val="0085390A"/>
    <w:rsid w:val="00856E9A"/>
    <w:rsid w:val="00862502"/>
    <w:rsid w:val="008646B6"/>
    <w:rsid w:val="00864710"/>
    <w:rsid w:val="00866CD9"/>
    <w:rsid w:val="0087136C"/>
    <w:rsid w:val="008730EC"/>
    <w:rsid w:val="008751EF"/>
    <w:rsid w:val="008756A3"/>
    <w:rsid w:val="00876721"/>
    <w:rsid w:val="0088064A"/>
    <w:rsid w:val="00880F85"/>
    <w:rsid w:val="008811D1"/>
    <w:rsid w:val="00882874"/>
    <w:rsid w:val="00883787"/>
    <w:rsid w:val="00885F54"/>
    <w:rsid w:val="00887BB9"/>
    <w:rsid w:val="00887D59"/>
    <w:rsid w:val="00893D69"/>
    <w:rsid w:val="00894489"/>
    <w:rsid w:val="008963A5"/>
    <w:rsid w:val="008A25B0"/>
    <w:rsid w:val="008A3C3E"/>
    <w:rsid w:val="008A3FC7"/>
    <w:rsid w:val="008A4176"/>
    <w:rsid w:val="008A4209"/>
    <w:rsid w:val="008A4936"/>
    <w:rsid w:val="008A52EA"/>
    <w:rsid w:val="008A6396"/>
    <w:rsid w:val="008A66DC"/>
    <w:rsid w:val="008A6905"/>
    <w:rsid w:val="008A6BCA"/>
    <w:rsid w:val="008A79DE"/>
    <w:rsid w:val="008B2351"/>
    <w:rsid w:val="008B3A56"/>
    <w:rsid w:val="008B5D23"/>
    <w:rsid w:val="008B5D6F"/>
    <w:rsid w:val="008B63D7"/>
    <w:rsid w:val="008B6590"/>
    <w:rsid w:val="008B683B"/>
    <w:rsid w:val="008B6ED7"/>
    <w:rsid w:val="008B7D7E"/>
    <w:rsid w:val="008C119D"/>
    <w:rsid w:val="008C4A7D"/>
    <w:rsid w:val="008C5B82"/>
    <w:rsid w:val="008C7ECB"/>
    <w:rsid w:val="008D2376"/>
    <w:rsid w:val="008D51B0"/>
    <w:rsid w:val="008D62B6"/>
    <w:rsid w:val="008D6E87"/>
    <w:rsid w:val="008E1B9E"/>
    <w:rsid w:val="008E3543"/>
    <w:rsid w:val="008E3D8B"/>
    <w:rsid w:val="008E5A65"/>
    <w:rsid w:val="008E5F57"/>
    <w:rsid w:val="008E7D56"/>
    <w:rsid w:val="008F120A"/>
    <w:rsid w:val="008F1779"/>
    <w:rsid w:val="008F48EB"/>
    <w:rsid w:val="008F4F0B"/>
    <w:rsid w:val="008F5080"/>
    <w:rsid w:val="008F6615"/>
    <w:rsid w:val="00900DC7"/>
    <w:rsid w:val="009014DD"/>
    <w:rsid w:val="00901694"/>
    <w:rsid w:val="00903C5A"/>
    <w:rsid w:val="00904565"/>
    <w:rsid w:val="009062A5"/>
    <w:rsid w:val="0090752C"/>
    <w:rsid w:val="00911272"/>
    <w:rsid w:val="00911275"/>
    <w:rsid w:val="009129AD"/>
    <w:rsid w:val="00913922"/>
    <w:rsid w:val="00913BEC"/>
    <w:rsid w:val="009154ED"/>
    <w:rsid w:val="00915D40"/>
    <w:rsid w:val="00915DD9"/>
    <w:rsid w:val="00916927"/>
    <w:rsid w:val="00916C17"/>
    <w:rsid w:val="00917E0A"/>
    <w:rsid w:val="009209EA"/>
    <w:rsid w:val="00921383"/>
    <w:rsid w:val="0092268E"/>
    <w:rsid w:val="00922ECB"/>
    <w:rsid w:val="009241FA"/>
    <w:rsid w:val="00924EF1"/>
    <w:rsid w:val="009403CB"/>
    <w:rsid w:val="00942955"/>
    <w:rsid w:val="00942EB9"/>
    <w:rsid w:val="009432D2"/>
    <w:rsid w:val="0094653B"/>
    <w:rsid w:val="00947D15"/>
    <w:rsid w:val="00947E17"/>
    <w:rsid w:val="00951179"/>
    <w:rsid w:val="00951C7A"/>
    <w:rsid w:val="00953777"/>
    <w:rsid w:val="00953867"/>
    <w:rsid w:val="00954F62"/>
    <w:rsid w:val="0095675E"/>
    <w:rsid w:val="00957C43"/>
    <w:rsid w:val="009605CF"/>
    <w:rsid w:val="0096295E"/>
    <w:rsid w:val="00962CB9"/>
    <w:rsid w:val="00964312"/>
    <w:rsid w:val="00964A4A"/>
    <w:rsid w:val="00964D49"/>
    <w:rsid w:val="0096624D"/>
    <w:rsid w:val="00967EED"/>
    <w:rsid w:val="00970B90"/>
    <w:rsid w:val="0097329E"/>
    <w:rsid w:val="00974E16"/>
    <w:rsid w:val="009760D3"/>
    <w:rsid w:val="00983C73"/>
    <w:rsid w:val="00983E57"/>
    <w:rsid w:val="00985086"/>
    <w:rsid w:val="00985287"/>
    <w:rsid w:val="0098533C"/>
    <w:rsid w:val="00990A3E"/>
    <w:rsid w:val="009929B1"/>
    <w:rsid w:val="00993A1A"/>
    <w:rsid w:val="00993F82"/>
    <w:rsid w:val="00996B1A"/>
    <w:rsid w:val="009A0253"/>
    <w:rsid w:val="009A0879"/>
    <w:rsid w:val="009A43F6"/>
    <w:rsid w:val="009A519E"/>
    <w:rsid w:val="009A55F8"/>
    <w:rsid w:val="009A7B10"/>
    <w:rsid w:val="009B2BB9"/>
    <w:rsid w:val="009B3E26"/>
    <w:rsid w:val="009B675C"/>
    <w:rsid w:val="009B6E57"/>
    <w:rsid w:val="009B734C"/>
    <w:rsid w:val="009B7897"/>
    <w:rsid w:val="009C1AF0"/>
    <w:rsid w:val="009C1F1A"/>
    <w:rsid w:val="009C2C53"/>
    <w:rsid w:val="009C33A7"/>
    <w:rsid w:val="009C47B9"/>
    <w:rsid w:val="009C680D"/>
    <w:rsid w:val="009C6EBD"/>
    <w:rsid w:val="009C7FE8"/>
    <w:rsid w:val="009D1A70"/>
    <w:rsid w:val="009D5B91"/>
    <w:rsid w:val="009D62EF"/>
    <w:rsid w:val="009D66ED"/>
    <w:rsid w:val="009D6ABF"/>
    <w:rsid w:val="009D6F08"/>
    <w:rsid w:val="009E0877"/>
    <w:rsid w:val="009E0E1A"/>
    <w:rsid w:val="009E3D82"/>
    <w:rsid w:val="009E4C07"/>
    <w:rsid w:val="009E4EC4"/>
    <w:rsid w:val="009E587B"/>
    <w:rsid w:val="009E6982"/>
    <w:rsid w:val="009E7E25"/>
    <w:rsid w:val="009F13EF"/>
    <w:rsid w:val="009F1ADC"/>
    <w:rsid w:val="009F2C1E"/>
    <w:rsid w:val="009F3D05"/>
    <w:rsid w:val="009F3E08"/>
    <w:rsid w:val="009F77FD"/>
    <w:rsid w:val="00A03D43"/>
    <w:rsid w:val="00A04380"/>
    <w:rsid w:val="00A04AF0"/>
    <w:rsid w:val="00A064DD"/>
    <w:rsid w:val="00A10624"/>
    <w:rsid w:val="00A10C7B"/>
    <w:rsid w:val="00A10E09"/>
    <w:rsid w:val="00A13948"/>
    <w:rsid w:val="00A1408E"/>
    <w:rsid w:val="00A17AC2"/>
    <w:rsid w:val="00A2023C"/>
    <w:rsid w:val="00A20CFF"/>
    <w:rsid w:val="00A216A4"/>
    <w:rsid w:val="00A21FED"/>
    <w:rsid w:val="00A2206A"/>
    <w:rsid w:val="00A2222B"/>
    <w:rsid w:val="00A2350B"/>
    <w:rsid w:val="00A23DCF"/>
    <w:rsid w:val="00A26B4B"/>
    <w:rsid w:val="00A27AEC"/>
    <w:rsid w:val="00A30599"/>
    <w:rsid w:val="00A306E0"/>
    <w:rsid w:val="00A30951"/>
    <w:rsid w:val="00A3493C"/>
    <w:rsid w:val="00A353A8"/>
    <w:rsid w:val="00A35D16"/>
    <w:rsid w:val="00A365A3"/>
    <w:rsid w:val="00A43243"/>
    <w:rsid w:val="00A4328C"/>
    <w:rsid w:val="00A43C59"/>
    <w:rsid w:val="00A445BA"/>
    <w:rsid w:val="00A456CB"/>
    <w:rsid w:val="00A50ECD"/>
    <w:rsid w:val="00A52729"/>
    <w:rsid w:val="00A52AD2"/>
    <w:rsid w:val="00A53675"/>
    <w:rsid w:val="00A54810"/>
    <w:rsid w:val="00A55448"/>
    <w:rsid w:val="00A55CB7"/>
    <w:rsid w:val="00A562DE"/>
    <w:rsid w:val="00A56B6A"/>
    <w:rsid w:val="00A56DBA"/>
    <w:rsid w:val="00A56F02"/>
    <w:rsid w:val="00A56FC6"/>
    <w:rsid w:val="00A578DC"/>
    <w:rsid w:val="00A61FD2"/>
    <w:rsid w:val="00A656CD"/>
    <w:rsid w:val="00A6725B"/>
    <w:rsid w:val="00A7139E"/>
    <w:rsid w:val="00A72266"/>
    <w:rsid w:val="00A72823"/>
    <w:rsid w:val="00A76E5C"/>
    <w:rsid w:val="00A77C3F"/>
    <w:rsid w:val="00A81521"/>
    <w:rsid w:val="00A86E8B"/>
    <w:rsid w:val="00A87ACD"/>
    <w:rsid w:val="00A87FCF"/>
    <w:rsid w:val="00A90153"/>
    <w:rsid w:val="00A93072"/>
    <w:rsid w:val="00A93FE3"/>
    <w:rsid w:val="00A959D8"/>
    <w:rsid w:val="00A979B3"/>
    <w:rsid w:val="00A97B9C"/>
    <w:rsid w:val="00AA1768"/>
    <w:rsid w:val="00AA5092"/>
    <w:rsid w:val="00AA50D3"/>
    <w:rsid w:val="00AA5312"/>
    <w:rsid w:val="00AA5CF6"/>
    <w:rsid w:val="00AB042A"/>
    <w:rsid w:val="00AB0B2B"/>
    <w:rsid w:val="00AB1654"/>
    <w:rsid w:val="00AB234D"/>
    <w:rsid w:val="00AB2D34"/>
    <w:rsid w:val="00AB3430"/>
    <w:rsid w:val="00AB6A2C"/>
    <w:rsid w:val="00AB6D2D"/>
    <w:rsid w:val="00AB7CFA"/>
    <w:rsid w:val="00AC0E5B"/>
    <w:rsid w:val="00AC34ED"/>
    <w:rsid w:val="00AC4143"/>
    <w:rsid w:val="00AC6A5F"/>
    <w:rsid w:val="00AC6CCB"/>
    <w:rsid w:val="00AC7F25"/>
    <w:rsid w:val="00AE04EF"/>
    <w:rsid w:val="00AE43A4"/>
    <w:rsid w:val="00AE71C6"/>
    <w:rsid w:val="00AF04A6"/>
    <w:rsid w:val="00AF0B1C"/>
    <w:rsid w:val="00AF1034"/>
    <w:rsid w:val="00AF1D93"/>
    <w:rsid w:val="00AF28E3"/>
    <w:rsid w:val="00AF76AC"/>
    <w:rsid w:val="00B001CB"/>
    <w:rsid w:val="00B0091D"/>
    <w:rsid w:val="00B0532D"/>
    <w:rsid w:val="00B06688"/>
    <w:rsid w:val="00B07599"/>
    <w:rsid w:val="00B104FB"/>
    <w:rsid w:val="00B13B95"/>
    <w:rsid w:val="00B141C8"/>
    <w:rsid w:val="00B1560A"/>
    <w:rsid w:val="00B157F1"/>
    <w:rsid w:val="00B160E2"/>
    <w:rsid w:val="00B16EE6"/>
    <w:rsid w:val="00B20D24"/>
    <w:rsid w:val="00B21928"/>
    <w:rsid w:val="00B23A48"/>
    <w:rsid w:val="00B252B8"/>
    <w:rsid w:val="00B35505"/>
    <w:rsid w:val="00B36249"/>
    <w:rsid w:val="00B42851"/>
    <w:rsid w:val="00B42AC3"/>
    <w:rsid w:val="00B46AF1"/>
    <w:rsid w:val="00B50DB8"/>
    <w:rsid w:val="00B53905"/>
    <w:rsid w:val="00B5416B"/>
    <w:rsid w:val="00B54B5B"/>
    <w:rsid w:val="00B5562E"/>
    <w:rsid w:val="00B5587D"/>
    <w:rsid w:val="00B55AFE"/>
    <w:rsid w:val="00B56384"/>
    <w:rsid w:val="00B57000"/>
    <w:rsid w:val="00B57080"/>
    <w:rsid w:val="00B575E3"/>
    <w:rsid w:val="00B60261"/>
    <w:rsid w:val="00B60939"/>
    <w:rsid w:val="00B60AFB"/>
    <w:rsid w:val="00B60AFD"/>
    <w:rsid w:val="00B61B80"/>
    <w:rsid w:val="00B62715"/>
    <w:rsid w:val="00B62C4C"/>
    <w:rsid w:val="00B6392C"/>
    <w:rsid w:val="00B72C97"/>
    <w:rsid w:val="00B73F16"/>
    <w:rsid w:val="00B74824"/>
    <w:rsid w:val="00B76ECF"/>
    <w:rsid w:val="00B800CD"/>
    <w:rsid w:val="00B818A4"/>
    <w:rsid w:val="00B81D41"/>
    <w:rsid w:val="00B8525C"/>
    <w:rsid w:val="00B8649C"/>
    <w:rsid w:val="00B87EF4"/>
    <w:rsid w:val="00B908DC"/>
    <w:rsid w:val="00B9186C"/>
    <w:rsid w:val="00B92D0B"/>
    <w:rsid w:val="00B941A1"/>
    <w:rsid w:val="00B94945"/>
    <w:rsid w:val="00B94FB1"/>
    <w:rsid w:val="00B95451"/>
    <w:rsid w:val="00B9779A"/>
    <w:rsid w:val="00BA0102"/>
    <w:rsid w:val="00BA25B1"/>
    <w:rsid w:val="00BA5DAC"/>
    <w:rsid w:val="00BA6758"/>
    <w:rsid w:val="00BA795D"/>
    <w:rsid w:val="00BB003B"/>
    <w:rsid w:val="00BB2120"/>
    <w:rsid w:val="00BB2542"/>
    <w:rsid w:val="00BB4232"/>
    <w:rsid w:val="00BB5850"/>
    <w:rsid w:val="00BB7287"/>
    <w:rsid w:val="00BB7405"/>
    <w:rsid w:val="00BC38EC"/>
    <w:rsid w:val="00BC5C8A"/>
    <w:rsid w:val="00BC5EA2"/>
    <w:rsid w:val="00BD21D3"/>
    <w:rsid w:val="00BD6CF3"/>
    <w:rsid w:val="00BD7444"/>
    <w:rsid w:val="00BE1830"/>
    <w:rsid w:val="00BE2180"/>
    <w:rsid w:val="00BE4275"/>
    <w:rsid w:val="00BE57BA"/>
    <w:rsid w:val="00BE6AFD"/>
    <w:rsid w:val="00BE6E2C"/>
    <w:rsid w:val="00BE7D6D"/>
    <w:rsid w:val="00BF0909"/>
    <w:rsid w:val="00BF2433"/>
    <w:rsid w:val="00BF2ED0"/>
    <w:rsid w:val="00BF4E6C"/>
    <w:rsid w:val="00BF6140"/>
    <w:rsid w:val="00BF61C9"/>
    <w:rsid w:val="00BF6AA7"/>
    <w:rsid w:val="00C03255"/>
    <w:rsid w:val="00C03C72"/>
    <w:rsid w:val="00C03DF0"/>
    <w:rsid w:val="00C042B6"/>
    <w:rsid w:val="00C0497B"/>
    <w:rsid w:val="00C05099"/>
    <w:rsid w:val="00C05C2E"/>
    <w:rsid w:val="00C13489"/>
    <w:rsid w:val="00C13CB8"/>
    <w:rsid w:val="00C163EA"/>
    <w:rsid w:val="00C163EE"/>
    <w:rsid w:val="00C16CD6"/>
    <w:rsid w:val="00C17271"/>
    <w:rsid w:val="00C21F76"/>
    <w:rsid w:val="00C225F6"/>
    <w:rsid w:val="00C24269"/>
    <w:rsid w:val="00C25169"/>
    <w:rsid w:val="00C25418"/>
    <w:rsid w:val="00C25D9C"/>
    <w:rsid w:val="00C270D8"/>
    <w:rsid w:val="00C27E98"/>
    <w:rsid w:val="00C31649"/>
    <w:rsid w:val="00C32334"/>
    <w:rsid w:val="00C3233C"/>
    <w:rsid w:val="00C33443"/>
    <w:rsid w:val="00C3413A"/>
    <w:rsid w:val="00C3535B"/>
    <w:rsid w:val="00C354B2"/>
    <w:rsid w:val="00C35F02"/>
    <w:rsid w:val="00C40385"/>
    <w:rsid w:val="00C44198"/>
    <w:rsid w:val="00C455D4"/>
    <w:rsid w:val="00C456DA"/>
    <w:rsid w:val="00C45CE2"/>
    <w:rsid w:val="00C51BC0"/>
    <w:rsid w:val="00C54C2B"/>
    <w:rsid w:val="00C55B16"/>
    <w:rsid w:val="00C55CF1"/>
    <w:rsid w:val="00C56CBD"/>
    <w:rsid w:val="00C61B4F"/>
    <w:rsid w:val="00C6535E"/>
    <w:rsid w:val="00C65576"/>
    <w:rsid w:val="00C66165"/>
    <w:rsid w:val="00C6624F"/>
    <w:rsid w:val="00C710A8"/>
    <w:rsid w:val="00C71C5C"/>
    <w:rsid w:val="00C72BC8"/>
    <w:rsid w:val="00C747A3"/>
    <w:rsid w:val="00C750C8"/>
    <w:rsid w:val="00C76264"/>
    <w:rsid w:val="00C803CD"/>
    <w:rsid w:val="00C8213F"/>
    <w:rsid w:val="00C823C0"/>
    <w:rsid w:val="00C82A90"/>
    <w:rsid w:val="00C86E5C"/>
    <w:rsid w:val="00C87521"/>
    <w:rsid w:val="00C87568"/>
    <w:rsid w:val="00C8797A"/>
    <w:rsid w:val="00C904E5"/>
    <w:rsid w:val="00C9239C"/>
    <w:rsid w:val="00C938CF"/>
    <w:rsid w:val="00C95921"/>
    <w:rsid w:val="00C97076"/>
    <w:rsid w:val="00CA0FDF"/>
    <w:rsid w:val="00CA4E63"/>
    <w:rsid w:val="00CA5245"/>
    <w:rsid w:val="00CA7B09"/>
    <w:rsid w:val="00CB0C0E"/>
    <w:rsid w:val="00CB1171"/>
    <w:rsid w:val="00CB20A7"/>
    <w:rsid w:val="00CB546D"/>
    <w:rsid w:val="00CB5B1A"/>
    <w:rsid w:val="00CB67CF"/>
    <w:rsid w:val="00CB698B"/>
    <w:rsid w:val="00CC04AC"/>
    <w:rsid w:val="00CC0D46"/>
    <w:rsid w:val="00CC6BB4"/>
    <w:rsid w:val="00CD1D62"/>
    <w:rsid w:val="00CD27BC"/>
    <w:rsid w:val="00CD3647"/>
    <w:rsid w:val="00CD4149"/>
    <w:rsid w:val="00CD6ADC"/>
    <w:rsid w:val="00CE02B1"/>
    <w:rsid w:val="00CE0469"/>
    <w:rsid w:val="00CE0908"/>
    <w:rsid w:val="00CE3023"/>
    <w:rsid w:val="00CE33B6"/>
    <w:rsid w:val="00CE4872"/>
    <w:rsid w:val="00CE6274"/>
    <w:rsid w:val="00CF166A"/>
    <w:rsid w:val="00CF456B"/>
    <w:rsid w:val="00CF5A22"/>
    <w:rsid w:val="00CF7726"/>
    <w:rsid w:val="00D008D0"/>
    <w:rsid w:val="00D0130F"/>
    <w:rsid w:val="00D0262E"/>
    <w:rsid w:val="00D027D7"/>
    <w:rsid w:val="00D03DA5"/>
    <w:rsid w:val="00D03E2F"/>
    <w:rsid w:val="00D06143"/>
    <w:rsid w:val="00D06263"/>
    <w:rsid w:val="00D064BB"/>
    <w:rsid w:val="00D07CB5"/>
    <w:rsid w:val="00D1056D"/>
    <w:rsid w:val="00D110BD"/>
    <w:rsid w:val="00D15C22"/>
    <w:rsid w:val="00D16452"/>
    <w:rsid w:val="00D17D6C"/>
    <w:rsid w:val="00D20AFB"/>
    <w:rsid w:val="00D21DFC"/>
    <w:rsid w:val="00D22562"/>
    <w:rsid w:val="00D23306"/>
    <w:rsid w:val="00D25867"/>
    <w:rsid w:val="00D27F7E"/>
    <w:rsid w:val="00D30A1E"/>
    <w:rsid w:val="00D30CF3"/>
    <w:rsid w:val="00D3210B"/>
    <w:rsid w:val="00D33012"/>
    <w:rsid w:val="00D33B3D"/>
    <w:rsid w:val="00D357FF"/>
    <w:rsid w:val="00D422F8"/>
    <w:rsid w:val="00D43C47"/>
    <w:rsid w:val="00D513CA"/>
    <w:rsid w:val="00D543A5"/>
    <w:rsid w:val="00D54CC3"/>
    <w:rsid w:val="00D54FCE"/>
    <w:rsid w:val="00D64355"/>
    <w:rsid w:val="00D66326"/>
    <w:rsid w:val="00D67971"/>
    <w:rsid w:val="00D70647"/>
    <w:rsid w:val="00D72B23"/>
    <w:rsid w:val="00D76A44"/>
    <w:rsid w:val="00D81002"/>
    <w:rsid w:val="00D81624"/>
    <w:rsid w:val="00D81B30"/>
    <w:rsid w:val="00D825A7"/>
    <w:rsid w:val="00D82A3D"/>
    <w:rsid w:val="00D8581A"/>
    <w:rsid w:val="00D9071C"/>
    <w:rsid w:val="00D90AF6"/>
    <w:rsid w:val="00D90CF5"/>
    <w:rsid w:val="00D91CB1"/>
    <w:rsid w:val="00D93753"/>
    <w:rsid w:val="00D947BF"/>
    <w:rsid w:val="00D94EE3"/>
    <w:rsid w:val="00D94F1B"/>
    <w:rsid w:val="00D95785"/>
    <w:rsid w:val="00D96E58"/>
    <w:rsid w:val="00D9749D"/>
    <w:rsid w:val="00D97E30"/>
    <w:rsid w:val="00DA1A88"/>
    <w:rsid w:val="00DA36D4"/>
    <w:rsid w:val="00DA46F0"/>
    <w:rsid w:val="00DA5CCD"/>
    <w:rsid w:val="00DA5DDA"/>
    <w:rsid w:val="00DA77A5"/>
    <w:rsid w:val="00DB05B9"/>
    <w:rsid w:val="00DB18B1"/>
    <w:rsid w:val="00DB6F2A"/>
    <w:rsid w:val="00DB7A54"/>
    <w:rsid w:val="00DC10E6"/>
    <w:rsid w:val="00DC2B1D"/>
    <w:rsid w:val="00DC4E02"/>
    <w:rsid w:val="00DC4FE6"/>
    <w:rsid w:val="00DC5501"/>
    <w:rsid w:val="00DC5CF2"/>
    <w:rsid w:val="00DC7E47"/>
    <w:rsid w:val="00DD157C"/>
    <w:rsid w:val="00DD2160"/>
    <w:rsid w:val="00DD26FE"/>
    <w:rsid w:val="00DD3B9B"/>
    <w:rsid w:val="00DD3F28"/>
    <w:rsid w:val="00DD4537"/>
    <w:rsid w:val="00DD4E15"/>
    <w:rsid w:val="00DD7E36"/>
    <w:rsid w:val="00DE23AE"/>
    <w:rsid w:val="00DE3417"/>
    <w:rsid w:val="00DE4C57"/>
    <w:rsid w:val="00DE4FCB"/>
    <w:rsid w:val="00DE74E4"/>
    <w:rsid w:val="00DE7ED4"/>
    <w:rsid w:val="00DF3016"/>
    <w:rsid w:val="00DF3218"/>
    <w:rsid w:val="00DF35E9"/>
    <w:rsid w:val="00DF3912"/>
    <w:rsid w:val="00DF5300"/>
    <w:rsid w:val="00DF5D2B"/>
    <w:rsid w:val="00DF74A3"/>
    <w:rsid w:val="00E01976"/>
    <w:rsid w:val="00E02B75"/>
    <w:rsid w:val="00E0337A"/>
    <w:rsid w:val="00E052C9"/>
    <w:rsid w:val="00E062C2"/>
    <w:rsid w:val="00E10149"/>
    <w:rsid w:val="00E12947"/>
    <w:rsid w:val="00E14933"/>
    <w:rsid w:val="00E15CA2"/>
    <w:rsid w:val="00E16372"/>
    <w:rsid w:val="00E20C57"/>
    <w:rsid w:val="00E20ED6"/>
    <w:rsid w:val="00E21358"/>
    <w:rsid w:val="00E2249B"/>
    <w:rsid w:val="00E22945"/>
    <w:rsid w:val="00E22A0D"/>
    <w:rsid w:val="00E272C4"/>
    <w:rsid w:val="00E2771E"/>
    <w:rsid w:val="00E316BA"/>
    <w:rsid w:val="00E3478D"/>
    <w:rsid w:val="00E36A4B"/>
    <w:rsid w:val="00E37569"/>
    <w:rsid w:val="00E419B8"/>
    <w:rsid w:val="00E41E30"/>
    <w:rsid w:val="00E43D70"/>
    <w:rsid w:val="00E448B2"/>
    <w:rsid w:val="00E44962"/>
    <w:rsid w:val="00E45B0A"/>
    <w:rsid w:val="00E45F49"/>
    <w:rsid w:val="00E4690C"/>
    <w:rsid w:val="00E47B2C"/>
    <w:rsid w:val="00E51560"/>
    <w:rsid w:val="00E533FA"/>
    <w:rsid w:val="00E55424"/>
    <w:rsid w:val="00E55BB5"/>
    <w:rsid w:val="00E611CC"/>
    <w:rsid w:val="00E626E1"/>
    <w:rsid w:val="00E62B09"/>
    <w:rsid w:val="00E653CD"/>
    <w:rsid w:val="00E65E79"/>
    <w:rsid w:val="00E666C7"/>
    <w:rsid w:val="00E66A04"/>
    <w:rsid w:val="00E67416"/>
    <w:rsid w:val="00E675AD"/>
    <w:rsid w:val="00E67C1D"/>
    <w:rsid w:val="00E67CCB"/>
    <w:rsid w:val="00E70FD5"/>
    <w:rsid w:val="00E718B6"/>
    <w:rsid w:val="00E72071"/>
    <w:rsid w:val="00E72690"/>
    <w:rsid w:val="00E73581"/>
    <w:rsid w:val="00E758F9"/>
    <w:rsid w:val="00E76834"/>
    <w:rsid w:val="00E81FB3"/>
    <w:rsid w:val="00E826D2"/>
    <w:rsid w:val="00E832A2"/>
    <w:rsid w:val="00E83728"/>
    <w:rsid w:val="00E83A9F"/>
    <w:rsid w:val="00E83BDF"/>
    <w:rsid w:val="00E842FB"/>
    <w:rsid w:val="00E843A4"/>
    <w:rsid w:val="00E84C7D"/>
    <w:rsid w:val="00E859D9"/>
    <w:rsid w:val="00E87141"/>
    <w:rsid w:val="00E90A7D"/>
    <w:rsid w:val="00E91F5A"/>
    <w:rsid w:val="00E93C4D"/>
    <w:rsid w:val="00E94FFB"/>
    <w:rsid w:val="00E9515B"/>
    <w:rsid w:val="00E9604D"/>
    <w:rsid w:val="00E9798A"/>
    <w:rsid w:val="00EA0723"/>
    <w:rsid w:val="00EA0F78"/>
    <w:rsid w:val="00EA11DF"/>
    <w:rsid w:val="00EA3864"/>
    <w:rsid w:val="00EA4D20"/>
    <w:rsid w:val="00EA740D"/>
    <w:rsid w:val="00EB0412"/>
    <w:rsid w:val="00EB14A9"/>
    <w:rsid w:val="00EB15B6"/>
    <w:rsid w:val="00EB242A"/>
    <w:rsid w:val="00EB2622"/>
    <w:rsid w:val="00EB3687"/>
    <w:rsid w:val="00EB3895"/>
    <w:rsid w:val="00EB3C33"/>
    <w:rsid w:val="00EB3DAD"/>
    <w:rsid w:val="00EB4916"/>
    <w:rsid w:val="00EB5948"/>
    <w:rsid w:val="00EB774A"/>
    <w:rsid w:val="00EB77C1"/>
    <w:rsid w:val="00EC00C9"/>
    <w:rsid w:val="00EC303D"/>
    <w:rsid w:val="00EC3E8B"/>
    <w:rsid w:val="00EC6CBD"/>
    <w:rsid w:val="00ED126D"/>
    <w:rsid w:val="00ED1823"/>
    <w:rsid w:val="00ED4200"/>
    <w:rsid w:val="00ED4478"/>
    <w:rsid w:val="00ED7B23"/>
    <w:rsid w:val="00EE07D3"/>
    <w:rsid w:val="00EE1B06"/>
    <w:rsid w:val="00EE42FB"/>
    <w:rsid w:val="00EE5C0D"/>
    <w:rsid w:val="00EE6935"/>
    <w:rsid w:val="00EF0053"/>
    <w:rsid w:val="00EF106E"/>
    <w:rsid w:val="00EF114D"/>
    <w:rsid w:val="00EF2633"/>
    <w:rsid w:val="00EF34C1"/>
    <w:rsid w:val="00EF3A56"/>
    <w:rsid w:val="00EF5B68"/>
    <w:rsid w:val="00EF61EC"/>
    <w:rsid w:val="00EF7101"/>
    <w:rsid w:val="00EF7A98"/>
    <w:rsid w:val="00F00581"/>
    <w:rsid w:val="00F019ED"/>
    <w:rsid w:val="00F030F3"/>
    <w:rsid w:val="00F03383"/>
    <w:rsid w:val="00F039CE"/>
    <w:rsid w:val="00F04243"/>
    <w:rsid w:val="00F067A2"/>
    <w:rsid w:val="00F0760C"/>
    <w:rsid w:val="00F1011C"/>
    <w:rsid w:val="00F10A61"/>
    <w:rsid w:val="00F10CB2"/>
    <w:rsid w:val="00F1141A"/>
    <w:rsid w:val="00F11530"/>
    <w:rsid w:val="00F11535"/>
    <w:rsid w:val="00F1715F"/>
    <w:rsid w:val="00F17D8B"/>
    <w:rsid w:val="00F20527"/>
    <w:rsid w:val="00F20A59"/>
    <w:rsid w:val="00F22726"/>
    <w:rsid w:val="00F24837"/>
    <w:rsid w:val="00F248CA"/>
    <w:rsid w:val="00F24EFB"/>
    <w:rsid w:val="00F2575F"/>
    <w:rsid w:val="00F26119"/>
    <w:rsid w:val="00F322CB"/>
    <w:rsid w:val="00F33DE9"/>
    <w:rsid w:val="00F34DB1"/>
    <w:rsid w:val="00F34FF4"/>
    <w:rsid w:val="00F3558F"/>
    <w:rsid w:val="00F3619A"/>
    <w:rsid w:val="00F36B5F"/>
    <w:rsid w:val="00F3767F"/>
    <w:rsid w:val="00F43291"/>
    <w:rsid w:val="00F43B4D"/>
    <w:rsid w:val="00F43B89"/>
    <w:rsid w:val="00F43CA6"/>
    <w:rsid w:val="00F45194"/>
    <w:rsid w:val="00F4556F"/>
    <w:rsid w:val="00F46CB6"/>
    <w:rsid w:val="00F47AF0"/>
    <w:rsid w:val="00F50F62"/>
    <w:rsid w:val="00F55E73"/>
    <w:rsid w:val="00F56D9F"/>
    <w:rsid w:val="00F60092"/>
    <w:rsid w:val="00F62271"/>
    <w:rsid w:val="00F65F94"/>
    <w:rsid w:val="00F73102"/>
    <w:rsid w:val="00F73849"/>
    <w:rsid w:val="00F77B24"/>
    <w:rsid w:val="00F8000F"/>
    <w:rsid w:val="00F80618"/>
    <w:rsid w:val="00F80AAF"/>
    <w:rsid w:val="00F80E5D"/>
    <w:rsid w:val="00F81CC4"/>
    <w:rsid w:val="00F81E39"/>
    <w:rsid w:val="00F83DCC"/>
    <w:rsid w:val="00F8416B"/>
    <w:rsid w:val="00F851CE"/>
    <w:rsid w:val="00F85866"/>
    <w:rsid w:val="00F90404"/>
    <w:rsid w:val="00F95C3A"/>
    <w:rsid w:val="00F95E26"/>
    <w:rsid w:val="00F962EE"/>
    <w:rsid w:val="00F97A78"/>
    <w:rsid w:val="00FA0975"/>
    <w:rsid w:val="00FA1B53"/>
    <w:rsid w:val="00FA1C87"/>
    <w:rsid w:val="00FA24E7"/>
    <w:rsid w:val="00FA736D"/>
    <w:rsid w:val="00FA7DDE"/>
    <w:rsid w:val="00FB06CD"/>
    <w:rsid w:val="00FB0722"/>
    <w:rsid w:val="00FB0788"/>
    <w:rsid w:val="00FB1FFC"/>
    <w:rsid w:val="00FB2B26"/>
    <w:rsid w:val="00FB2FCB"/>
    <w:rsid w:val="00FB3506"/>
    <w:rsid w:val="00FC1074"/>
    <w:rsid w:val="00FC1884"/>
    <w:rsid w:val="00FC216A"/>
    <w:rsid w:val="00FC367D"/>
    <w:rsid w:val="00FC61D2"/>
    <w:rsid w:val="00FC628F"/>
    <w:rsid w:val="00FC7948"/>
    <w:rsid w:val="00FD1D43"/>
    <w:rsid w:val="00FD2100"/>
    <w:rsid w:val="00FD446D"/>
    <w:rsid w:val="00FD7A26"/>
    <w:rsid w:val="00FD7D41"/>
    <w:rsid w:val="00FE1D38"/>
    <w:rsid w:val="00FE3574"/>
    <w:rsid w:val="00FE47E6"/>
    <w:rsid w:val="00FE604A"/>
    <w:rsid w:val="00FE6B37"/>
    <w:rsid w:val="00FE7553"/>
    <w:rsid w:val="00FE789D"/>
    <w:rsid w:val="00FF2CAC"/>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35" w:qFormat="1"/>
    <w:lsdException w:name="annotation reference" w:uiPriority="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uiPriority="9"/>
    <w:lsdException w:name="Body Text Indent" w:uiPriority="9"/>
    <w:lsdException w:name="Subtitle" w:semiHidden="0" w:uiPriority="11"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5337AB"/>
    <w:pPr>
      <w:ind w:left="720" w:hanging="720"/>
      <w:jc w:val="left"/>
      <w:outlineLvl w:val="0"/>
    </w:pPr>
    <w:rPr>
      <w:rFonts w:ascii="Arial Bold" w:hAnsi="Arial Bold"/>
      <w:b/>
      <w:sz w:val="28"/>
    </w:rPr>
  </w:style>
  <w:style w:type="paragraph" w:styleId="Heading2">
    <w:name w:val="heading 2"/>
    <w:basedOn w:val="PBACHeading1"/>
    <w:next w:val="Normal"/>
    <w:link w:val="Heading2Char"/>
    <w:uiPriority w:val="1"/>
    <w:qFormat/>
    <w:rsid w:val="005337AB"/>
    <w:pPr>
      <w:outlineLvl w:val="1"/>
    </w:pPr>
  </w:style>
  <w:style w:type="paragraph" w:styleId="Heading3">
    <w:name w:val="heading 3"/>
    <w:aliases w:val="H3,Heading h3,h3,Don 3,Heading 3x,p3 Char"/>
    <w:basedOn w:val="Normal"/>
    <w:next w:val="Normal"/>
    <w:qFormat/>
    <w:rsid w:val="005337AB"/>
    <w:pPr>
      <w:outlineLvl w:val="2"/>
    </w:pPr>
    <w:rPr>
      <w:b/>
      <w:i/>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5337AB"/>
    <w:rPr>
      <w:rFonts w:ascii="Arial" w:hAnsi="Arial" w:cs="Arial"/>
      <w:b/>
      <w:snapToGrid w:val="0"/>
      <w:sz w:val="22"/>
      <w:szCs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PBAC Caption Tables + Figures,Caption Char2,Caption Char1 Char,Caption Char Char Char,Caption Char1 Char Char Char,Caption Char Char Char Char Char,Caption Char1 Char Char Char Char Char,Caption Char Char Char Char Char Char Char"/>
    <w:basedOn w:val="Normal"/>
    <w:next w:val="TableHeader"/>
    <w:link w:val="CaptionChar"/>
    <w:uiPriority w:val="35"/>
    <w:unhideWhenUsed/>
    <w:qFormat/>
    <w:rsid w:val="005C7F65"/>
    <w:rPr>
      <w:rFonts w:ascii="Arial Narrow" w:hAnsi="Arial Narrow"/>
      <w:b/>
      <w:bCs/>
      <w:sz w:val="20"/>
      <w:szCs w:val="18"/>
    </w:rPr>
  </w:style>
  <w:style w:type="character" w:customStyle="1" w:styleId="CaptionChar">
    <w:name w:val="Caption Char"/>
    <w:aliases w:val="PBAC Caption Tables + Figures Char,Caption Char2 Char,Caption Char1 Char Char,Caption Char Char Char Char,Caption Char1 Char Char Char Char,Caption Char Char Char Char Char Char,Caption Char1 Char Char Char Char Char Char"/>
    <w:link w:val="Caption"/>
    <w:uiPriority w:val="35"/>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D97E30"/>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AUBodyCopy-noSpaceAfter">
    <w:name w:val="AU Body Copy - no Space After"/>
    <w:basedOn w:val="Normal"/>
    <w:rsid w:val="00985287"/>
    <w:pPr>
      <w:widowControl/>
      <w:jc w:val="left"/>
    </w:pPr>
    <w:rPr>
      <w:rFonts w:ascii="Times New Roman" w:hAnsi="Times New Roman" w:cs="Times New Roman"/>
      <w:snapToGrid/>
      <w:sz w:val="24"/>
    </w:rPr>
  </w:style>
  <w:style w:type="paragraph" w:customStyle="1" w:styleId="BodytextBullet">
    <w:name w:val="Body text Bullet"/>
    <w:basedOn w:val="BodyText"/>
    <w:qFormat/>
    <w:rsid w:val="00985287"/>
    <w:pPr>
      <w:widowControl/>
      <w:numPr>
        <w:numId w:val="6"/>
      </w:numPr>
      <w:spacing w:after="120" w:line="360" w:lineRule="auto"/>
    </w:pPr>
    <w:rPr>
      <w:snapToGrid/>
      <w:sz w:val="20"/>
      <w:szCs w:val="24"/>
      <w:lang w:val="en-US"/>
    </w:rPr>
  </w:style>
  <w:style w:type="paragraph" w:customStyle="1" w:styleId="TableText1">
    <w:name w:val="Table Text"/>
    <w:link w:val="TableTextChar0"/>
    <w:qFormat/>
    <w:rsid w:val="0085390A"/>
    <w:pPr>
      <w:tabs>
        <w:tab w:val="left" w:pos="416"/>
        <w:tab w:val="left" w:pos="582"/>
      </w:tabs>
      <w:spacing w:before="40" w:after="20"/>
    </w:pPr>
    <w:rPr>
      <w:rFonts w:ascii="Arial" w:hAnsi="Arial"/>
      <w:sz w:val="18"/>
      <w:szCs w:val="18"/>
      <w:lang w:eastAsia="en-US"/>
    </w:rPr>
  </w:style>
  <w:style w:type="paragraph" w:customStyle="1" w:styleId="TableText2">
    <w:name w:val="Table Text 2"/>
    <w:basedOn w:val="Normal"/>
    <w:next w:val="TableText1"/>
    <w:link w:val="TableText2Char"/>
    <w:qFormat/>
    <w:rsid w:val="0085390A"/>
    <w:pPr>
      <w:widowControl/>
      <w:spacing w:before="40" w:after="20"/>
      <w:jc w:val="left"/>
    </w:pPr>
    <w:rPr>
      <w:rFonts w:cs="Times New Roman"/>
      <w:b/>
      <w:bCs/>
      <w:snapToGrid/>
      <w:sz w:val="18"/>
      <w:lang w:eastAsia="en-AU"/>
    </w:rPr>
  </w:style>
  <w:style w:type="character" w:customStyle="1" w:styleId="TableTextChar0">
    <w:name w:val="Table Text Char"/>
    <w:link w:val="TableText1"/>
    <w:rsid w:val="0085390A"/>
    <w:rPr>
      <w:rFonts w:ascii="Arial" w:hAnsi="Arial"/>
      <w:sz w:val="18"/>
      <w:szCs w:val="18"/>
      <w:lang w:eastAsia="en-US"/>
    </w:rPr>
  </w:style>
  <w:style w:type="character" w:customStyle="1" w:styleId="TableText2Char">
    <w:name w:val="Table Text 2 Char"/>
    <w:link w:val="TableText2"/>
    <w:rsid w:val="0085390A"/>
    <w:rPr>
      <w:rFonts w:ascii="Arial" w:hAnsi="Arial"/>
      <w:b/>
      <w:bCs/>
      <w:sz w:val="18"/>
    </w:rPr>
  </w:style>
  <w:style w:type="character" w:customStyle="1" w:styleId="ListParagraphChar">
    <w:name w:val="List Paragraph Char"/>
    <w:aliases w:val="BulletPoints Char"/>
    <w:basedOn w:val="DefaultParagraphFont"/>
    <w:link w:val="ListParagraph"/>
    <w:uiPriority w:val="72"/>
    <w:rsid w:val="008A6396"/>
    <w:rPr>
      <w:rFonts w:ascii="Arial" w:hAnsi="Arial" w:cs="Arial"/>
      <w:snapToGrid w:val="0"/>
      <w:sz w:val="22"/>
      <w:lang w:eastAsia="en-US"/>
    </w:rPr>
  </w:style>
  <w:style w:type="paragraph" w:customStyle="1" w:styleId="Default">
    <w:name w:val="Default"/>
    <w:rsid w:val="006E4D7F"/>
    <w:pPr>
      <w:autoSpaceDE w:val="0"/>
      <w:autoSpaceDN w:val="0"/>
      <w:adjustRightInd w:val="0"/>
    </w:pPr>
    <w:rPr>
      <w:color w:val="000000"/>
      <w:sz w:val="24"/>
      <w:szCs w:val="24"/>
    </w:rPr>
  </w:style>
  <w:style w:type="character" w:customStyle="1" w:styleId="TableorfigurefootnoteChar">
    <w:name w:val="Table or figure footnote Char"/>
    <w:link w:val="Tableorfigurefootnote"/>
    <w:locked/>
    <w:rsid w:val="004112A4"/>
    <w:rPr>
      <w:rFonts w:ascii="Arial" w:hAnsi="Arial" w:cs="Arial"/>
      <w:sz w:val="16"/>
      <w:szCs w:val="22"/>
      <w:lang w:val="en-GB" w:eastAsia="en-GB"/>
    </w:rPr>
  </w:style>
  <w:style w:type="paragraph" w:customStyle="1" w:styleId="Tableorfigurefootnote">
    <w:name w:val="Table or figure footnote"/>
    <w:next w:val="BodyText"/>
    <w:link w:val="TableorfigurefootnoteChar"/>
    <w:qFormat/>
    <w:rsid w:val="004112A4"/>
    <w:rPr>
      <w:rFonts w:ascii="Arial" w:hAnsi="Arial" w:cs="Arial"/>
      <w:sz w:val="16"/>
      <w:szCs w:val="22"/>
      <w:lang w:val="en-GB" w:eastAsia="en-GB"/>
    </w:rPr>
  </w:style>
  <w:style w:type="paragraph" w:customStyle="1" w:styleId="Bodytext4">
    <w:name w:val="Body text 4"/>
    <w:next w:val="BodyText"/>
    <w:link w:val="Bodytext4Char"/>
    <w:qFormat/>
    <w:rsid w:val="00A10C7B"/>
    <w:pPr>
      <w:spacing w:after="120" w:line="360" w:lineRule="auto"/>
    </w:pPr>
    <w:rPr>
      <w:rFonts w:ascii="Arial" w:hAnsi="Arial"/>
      <w:szCs w:val="16"/>
      <w:u w:val="single"/>
      <w:lang w:val="en-GB" w:eastAsia="en-GB"/>
    </w:rPr>
  </w:style>
  <w:style w:type="character" w:customStyle="1" w:styleId="Bodytext4Char">
    <w:name w:val="Body text 4 Char"/>
    <w:link w:val="Bodytext4"/>
    <w:rsid w:val="00A10C7B"/>
    <w:rPr>
      <w:rFonts w:ascii="Arial" w:hAnsi="Arial"/>
      <w:szCs w:val="16"/>
      <w:u w:val="single"/>
      <w:lang w:val="en-GB" w:eastAsia="en-GB"/>
    </w:rPr>
  </w:style>
  <w:style w:type="paragraph" w:customStyle="1" w:styleId="EndNoteBibliographyTitle">
    <w:name w:val="EndNote Bibliography Title"/>
    <w:basedOn w:val="Normal"/>
    <w:link w:val="EndNoteBibliographyTitleChar"/>
    <w:rsid w:val="0060016A"/>
    <w:pPr>
      <w:jc w:val="center"/>
    </w:pPr>
    <w:rPr>
      <w:rFonts w:ascii="Arial Bold" w:hAnsi="Arial Bold"/>
      <w:noProof/>
      <w:lang w:val="en-US"/>
    </w:rPr>
  </w:style>
  <w:style w:type="character" w:customStyle="1" w:styleId="EndNoteBibliographyTitleChar">
    <w:name w:val="EndNote Bibliography Title Char"/>
    <w:basedOn w:val="DefaultParagraphFont"/>
    <w:link w:val="EndNoteBibliographyTitle"/>
    <w:rsid w:val="0060016A"/>
    <w:rPr>
      <w:rFonts w:ascii="Arial Bold" w:hAnsi="Arial Bold" w:cs="Arial"/>
      <w:noProof/>
      <w:snapToGrid w:val="0"/>
      <w:sz w:val="22"/>
      <w:lang w:val="en-US" w:eastAsia="en-US"/>
    </w:rPr>
  </w:style>
  <w:style w:type="paragraph" w:customStyle="1" w:styleId="EndNoteBibliography">
    <w:name w:val="EndNote Bibliography"/>
    <w:basedOn w:val="Normal"/>
    <w:link w:val="EndNoteBibliographyChar"/>
    <w:rsid w:val="0060016A"/>
    <w:pPr>
      <w:jc w:val="right"/>
    </w:pPr>
    <w:rPr>
      <w:rFonts w:ascii="Arial Bold" w:hAnsi="Arial Bold"/>
      <w:noProof/>
      <w:lang w:val="en-US"/>
    </w:rPr>
  </w:style>
  <w:style w:type="character" w:customStyle="1" w:styleId="EndNoteBibliographyChar">
    <w:name w:val="EndNote Bibliography Char"/>
    <w:basedOn w:val="DefaultParagraphFont"/>
    <w:link w:val="EndNoteBibliography"/>
    <w:rsid w:val="0060016A"/>
    <w:rPr>
      <w:rFonts w:ascii="Arial Bold" w:hAnsi="Arial Bold" w:cs="Arial"/>
      <w:noProof/>
      <w:snapToGrid w:val="0"/>
      <w:sz w:val="22"/>
      <w:lang w:val="en-US" w:eastAsia="en-US"/>
    </w:rPr>
  </w:style>
  <w:style w:type="paragraph" w:customStyle="1" w:styleId="Tablename0">
    <w:name w:val="Table name"/>
    <w:basedOn w:val="ListParagraph"/>
    <w:link w:val="TablenameChar"/>
    <w:qFormat/>
    <w:rsid w:val="001D1EFB"/>
    <w:pPr>
      <w:widowControl/>
      <w:jc w:val="left"/>
    </w:pPr>
    <w:rPr>
      <w:rFonts w:ascii="Arial Narrow" w:hAnsi="Arial Narrow"/>
      <w:b/>
      <w:snapToGrid/>
    </w:rPr>
  </w:style>
  <w:style w:type="character" w:customStyle="1" w:styleId="TablenameChar">
    <w:name w:val="Table name Char"/>
    <w:basedOn w:val="ListParagraphChar"/>
    <w:link w:val="Tablename0"/>
    <w:rsid w:val="001D1EFB"/>
    <w:rPr>
      <w:rFonts w:ascii="Arial Narrow" w:hAnsi="Arial Narrow" w:cs="Arial"/>
      <w:b/>
      <w:snapToGrid/>
      <w:sz w:val="22"/>
      <w:lang w:eastAsia="en-US"/>
    </w:rPr>
  </w:style>
  <w:style w:type="paragraph" w:customStyle="1" w:styleId="TableText4">
    <w:name w:val="Table Text 4"/>
    <w:basedOn w:val="Normal"/>
    <w:next w:val="TableText1"/>
    <w:qFormat/>
    <w:rsid w:val="00364898"/>
    <w:pPr>
      <w:widowControl/>
      <w:spacing w:before="40" w:after="20"/>
      <w:jc w:val="center"/>
    </w:pPr>
    <w:rPr>
      <w:rFonts w:cs="Times New Roman"/>
      <w:iCs/>
      <w:snapToGrid/>
      <w:sz w:val="18"/>
      <w:szCs w:val="22"/>
      <w:lang w:eastAsia="en-AU"/>
    </w:rPr>
  </w:style>
  <w:style w:type="paragraph" w:customStyle="1" w:styleId="BodyText31">
    <w:name w:val="Body Text 31"/>
    <w:basedOn w:val="BodyText"/>
    <w:next w:val="BodyText"/>
    <w:link w:val="Bodytext3Char0"/>
    <w:qFormat/>
    <w:rsid w:val="002240A1"/>
    <w:pPr>
      <w:widowControl/>
      <w:spacing w:after="120" w:line="360" w:lineRule="auto"/>
    </w:pPr>
    <w:rPr>
      <w:rFonts w:cs="Times New Roman"/>
      <w:i/>
      <w:snapToGrid/>
      <w:sz w:val="20"/>
      <w:szCs w:val="28"/>
      <w:lang w:val="en-US"/>
    </w:rPr>
  </w:style>
  <w:style w:type="character" w:customStyle="1" w:styleId="Bodytext3Char0">
    <w:name w:val="Body text 3 Char"/>
    <w:link w:val="BodyText31"/>
    <w:rsid w:val="002240A1"/>
    <w:rPr>
      <w:rFonts w:ascii="Arial" w:hAnsi="Arial"/>
      <w:i/>
      <w:szCs w:val="28"/>
      <w:lang w:val="en-US" w:eastAsia="en-US"/>
    </w:rPr>
  </w:style>
  <w:style w:type="paragraph" w:customStyle="1" w:styleId="Tableheader2">
    <w:name w:val="Table header 2"/>
    <w:basedOn w:val="BodyText"/>
    <w:next w:val="BodyText"/>
    <w:qFormat/>
    <w:rsid w:val="003B4660"/>
    <w:pPr>
      <w:widowControl/>
      <w:tabs>
        <w:tab w:val="left" w:pos="1134"/>
      </w:tabs>
      <w:spacing w:before="20" w:after="40"/>
    </w:pPr>
    <w:rPr>
      <w:rFonts w:cs="Times New Roman"/>
      <w:b/>
      <w:snapToGrid/>
      <w:sz w:val="18"/>
      <w:lang w:val="en-US"/>
    </w:rPr>
  </w:style>
  <w:style w:type="character" w:styleId="FollowedHyperlink">
    <w:name w:val="FollowedHyperlink"/>
    <w:basedOn w:val="DefaultParagraphFont"/>
    <w:semiHidden/>
    <w:unhideWhenUsed/>
    <w:rsid w:val="00834A70"/>
    <w:rPr>
      <w:color w:val="800080" w:themeColor="followedHyperlink"/>
      <w:u w:val="single"/>
    </w:rPr>
  </w:style>
  <w:style w:type="paragraph" w:styleId="FootnoteText">
    <w:name w:val="footnote text"/>
    <w:basedOn w:val="Normal"/>
    <w:link w:val="FootnoteTextChar"/>
    <w:unhideWhenUsed/>
    <w:rsid w:val="00047235"/>
    <w:rPr>
      <w:sz w:val="20"/>
    </w:rPr>
  </w:style>
  <w:style w:type="character" w:customStyle="1" w:styleId="FootnoteTextChar">
    <w:name w:val="Footnote Text Char"/>
    <w:basedOn w:val="DefaultParagraphFont"/>
    <w:link w:val="FootnoteText"/>
    <w:rsid w:val="00047235"/>
    <w:rPr>
      <w:rFonts w:ascii="Arial" w:hAnsi="Arial" w:cs="Arial"/>
      <w:snapToGrid w:val="0"/>
      <w:lang w:eastAsia="en-US"/>
    </w:rPr>
  </w:style>
  <w:style w:type="character" w:styleId="FootnoteReference">
    <w:name w:val="footnote reference"/>
    <w:basedOn w:val="DefaultParagraphFont"/>
    <w:unhideWhenUsed/>
    <w:rsid w:val="00047235"/>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8125E"/>
    <w:pPr>
      <w:widowControl/>
      <w:spacing w:after="160" w:line="240" w:lineRule="exact"/>
      <w:jc w:val="left"/>
    </w:pPr>
    <w:rPr>
      <w:rFonts w:ascii="Verdana" w:eastAsia="MS Mincho" w:hAnsi="Verdana" w:cs="Verdana"/>
      <w:snapToGrid/>
      <w:sz w:val="20"/>
      <w:lang w:val="en-US"/>
    </w:rPr>
  </w:style>
  <w:style w:type="character" w:customStyle="1" w:styleId="TableFooterChar">
    <w:name w:val="Table Footer Char"/>
    <w:link w:val="TableFooter"/>
    <w:uiPriority w:val="4"/>
    <w:rsid w:val="00583884"/>
    <w:rPr>
      <w:rFonts w:ascii="Arial Narrow" w:hAnsi="Arial Narrow" w:cs="Arial"/>
      <w:snapToGrid w:val="0"/>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annotation text" w:uiPriority="99"/>
    <w:lsdException w:name="header" w:uiPriority="99"/>
    <w:lsdException w:name="footer" w:uiPriority="99"/>
    <w:lsdException w:name="caption" w:uiPriority="35" w:qFormat="1"/>
    <w:lsdException w:name="annotation reference" w:uiPriority="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uiPriority="9"/>
    <w:lsdException w:name="Body Text Indent" w:uiPriority="9"/>
    <w:lsdException w:name="Subtitle" w:semiHidden="0" w:uiPriority="11"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5337AB"/>
    <w:pPr>
      <w:ind w:left="720" w:hanging="720"/>
      <w:jc w:val="left"/>
      <w:outlineLvl w:val="0"/>
    </w:pPr>
    <w:rPr>
      <w:rFonts w:ascii="Arial Bold" w:hAnsi="Arial Bold"/>
      <w:b/>
      <w:sz w:val="28"/>
    </w:rPr>
  </w:style>
  <w:style w:type="paragraph" w:styleId="Heading2">
    <w:name w:val="heading 2"/>
    <w:basedOn w:val="PBACHeading1"/>
    <w:next w:val="Normal"/>
    <w:link w:val="Heading2Char"/>
    <w:uiPriority w:val="1"/>
    <w:qFormat/>
    <w:rsid w:val="005337AB"/>
    <w:pPr>
      <w:outlineLvl w:val="1"/>
    </w:pPr>
  </w:style>
  <w:style w:type="paragraph" w:styleId="Heading3">
    <w:name w:val="heading 3"/>
    <w:aliases w:val="H3,Heading h3,h3,Don 3,Heading 3x,p3 Char"/>
    <w:basedOn w:val="Normal"/>
    <w:next w:val="Normal"/>
    <w:qFormat/>
    <w:rsid w:val="005337AB"/>
    <w:pPr>
      <w:outlineLvl w:val="2"/>
    </w:pPr>
    <w:rPr>
      <w:b/>
      <w:i/>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5337AB"/>
    <w:rPr>
      <w:rFonts w:ascii="Arial" w:hAnsi="Arial" w:cs="Arial"/>
      <w:b/>
      <w:snapToGrid w:val="0"/>
      <w:sz w:val="22"/>
      <w:szCs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PBAC Caption Tables + Figures,Caption Char2,Caption Char1 Char,Caption Char Char Char,Caption Char1 Char Char Char,Caption Char Char Char Char Char,Caption Char1 Char Char Char Char Char,Caption Char Char Char Char Char Char Char"/>
    <w:basedOn w:val="Normal"/>
    <w:next w:val="TableHeader"/>
    <w:link w:val="CaptionChar"/>
    <w:uiPriority w:val="35"/>
    <w:unhideWhenUsed/>
    <w:qFormat/>
    <w:rsid w:val="005C7F65"/>
    <w:rPr>
      <w:rFonts w:ascii="Arial Narrow" w:hAnsi="Arial Narrow"/>
      <w:b/>
      <w:bCs/>
      <w:sz w:val="20"/>
      <w:szCs w:val="18"/>
    </w:rPr>
  </w:style>
  <w:style w:type="character" w:customStyle="1" w:styleId="CaptionChar">
    <w:name w:val="Caption Char"/>
    <w:aliases w:val="PBAC Caption Tables + Figures Char,Caption Char2 Char,Caption Char1 Char Char,Caption Char Char Char Char,Caption Char1 Char Char Char Char,Caption Char Char Char Char Char Char,Caption Char1 Char Char Char Char Char Char"/>
    <w:link w:val="Caption"/>
    <w:uiPriority w:val="35"/>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outlineLvl w:val="9"/>
    </w:pPr>
    <w:rPr>
      <w:rFonts w:asciiTheme="majorHAnsi" w:eastAsiaTheme="majorEastAsia" w:hAnsiTheme="majorHAnsi" w:cstheme="majorBidi"/>
      <w:bCs/>
      <w:snapToGrid/>
      <w:color w:val="365F91" w:themeColor="accent1" w:themeShade="BF"/>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D97E30"/>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AUBodyCopy-noSpaceAfter">
    <w:name w:val="AU Body Copy - no Space After"/>
    <w:basedOn w:val="Normal"/>
    <w:rsid w:val="00985287"/>
    <w:pPr>
      <w:widowControl/>
      <w:jc w:val="left"/>
    </w:pPr>
    <w:rPr>
      <w:rFonts w:ascii="Times New Roman" w:hAnsi="Times New Roman" w:cs="Times New Roman"/>
      <w:snapToGrid/>
      <w:sz w:val="24"/>
    </w:rPr>
  </w:style>
  <w:style w:type="paragraph" w:customStyle="1" w:styleId="BodytextBullet">
    <w:name w:val="Body text Bullet"/>
    <w:basedOn w:val="BodyText"/>
    <w:qFormat/>
    <w:rsid w:val="00985287"/>
    <w:pPr>
      <w:widowControl/>
      <w:numPr>
        <w:numId w:val="6"/>
      </w:numPr>
      <w:spacing w:after="120" w:line="360" w:lineRule="auto"/>
    </w:pPr>
    <w:rPr>
      <w:snapToGrid/>
      <w:sz w:val="20"/>
      <w:szCs w:val="24"/>
      <w:lang w:val="en-US"/>
    </w:rPr>
  </w:style>
  <w:style w:type="paragraph" w:customStyle="1" w:styleId="TableText1">
    <w:name w:val="Table Text"/>
    <w:link w:val="TableTextChar0"/>
    <w:qFormat/>
    <w:rsid w:val="0085390A"/>
    <w:pPr>
      <w:tabs>
        <w:tab w:val="left" w:pos="416"/>
        <w:tab w:val="left" w:pos="582"/>
      </w:tabs>
      <w:spacing w:before="40" w:after="20"/>
    </w:pPr>
    <w:rPr>
      <w:rFonts w:ascii="Arial" w:hAnsi="Arial"/>
      <w:sz w:val="18"/>
      <w:szCs w:val="18"/>
      <w:lang w:eastAsia="en-US"/>
    </w:rPr>
  </w:style>
  <w:style w:type="paragraph" w:customStyle="1" w:styleId="TableText2">
    <w:name w:val="Table Text 2"/>
    <w:basedOn w:val="Normal"/>
    <w:next w:val="TableText1"/>
    <w:link w:val="TableText2Char"/>
    <w:qFormat/>
    <w:rsid w:val="0085390A"/>
    <w:pPr>
      <w:widowControl/>
      <w:spacing w:before="40" w:after="20"/>
      <w:jc w:val="left"/>
    </w:pPr>
    <w:rPr>
      <w:rFonts w:cs="Times New Roman"/>
      <w:b/>
      <w:bCs/>
      <w:snapToGrid/>
      <w:sz w:val="18"/>
      <w:lang w:eastAsia="en-AU"/>
    </w:rPr>
  </w:style>
  <w:style w:type="character" w:customStyle="1" w:styleId="TableTextChar0">
    <w:name w:val="Table Text Char"/>
    <w:link w:val="TableText1"/>
    <w:rsid w:val="0085390A"/>
    <w:rPr>
      <w:rFonts w:ascii="Arial" w:hAnsi="Arial"/>
      <w:sz w:val="18"/>
      <w:szCs w:val="18"/>
      <w:lang w:eastAsia="en-US"/>
    </w:rPr>
  </w:style>
  <w:style w:type="character" w:customStyle="1" w:styleId="TableText2Char">
    <w:name w:val="Table Text 2 Char"/>
    <w:link w:val="TableText2"/>
    <w:rsid w:val="0085390A"/>
    <w:rPr>
      <w:rFonts w:ascii="Arial" w:hAnsi="Arial"/>
      <w:b/>
      <w:bCs/>
      <w:sz w:val="18"/>
    </w:rPr>
  </w:style>
  <w:style w:type="character" w:customStyle="1" w:styleId="ListParagraphChar">
    <w:name w:val="List Paragraph Char"/>
    <w:aliases w:val="BulletPoints Char"/>
    <w:basedOn w:val="DefaultParagraphFont"/>
    <w:link w:val="ListParagraph"/>
    <w:uiPriority w:val="72"/>
    <w:rsid w:val="008A6396"/>
    <w:rPr>
      <w:rFonts w:ascii="Arial" w:hAnsi="Arial" w:cs="Arial"/>
      <w:snapToGrid w:val="0"/>
      <w:sz w:val="22"/>
      <w:lang w:eastAsia="en-US"/>
    </w:rPr>
  </w:style>
  <w:style w:type="paragraph" w:customStyle="1" w:styleId="Default">
    <w:name w:val="Default"/>
    <w:rsid w:val="006E4D7F"/>
    <w:pPr>
      <w:autoSpaceDE w:val="0"/>
      <w:autoSpaceDN w:val="0"/>
      <w:adjustRightInd w:val="0"/>
    </w:pPr>
    <w:rPr>
      <w:color w:val="000000"/>
      <w:sz w:val="24"/>
      <w:szCs w:val="24"/>
    </w:rPr>
  </w:style>
  <w:style w:type="character" w:customStyle="1" w:styleId="TableorfigurefootnoteChar">
    <w:name w:val="Table or figure footnote Char"/>
    <w:link w:val="Tableorfigurefootnote"/>
    <w:locked/>
    <w:rsid w:val="004112A4"/>
    <w:rPr>
      <w:rFonts w:ascii="Arial" w:hAnsi="Arial" w:cs="Arial"/>
      <w:sz w:val="16"/>
      <w:szCs w:val="22"/>
      <w:lang w:val="en-GB" w:eastAsia="en-GB"/>
    </w:rPr>
  </w:style>
  <w:style w:type="paragraph" w:customStyle="1" w:styleId="Tableorfigurefootnote">
    <w:name w:val="Table or figure footnote"/>
    <w:next w:val="BodyText"/>
    <w:link w:val="TableorfigurefootnoteChar"/>
    <w:qFormat/>
    <w:rsid w:val="004112A4"/>
    <w:rPr>
      <w:rFonts w:ascii="Arial" w:hAnsi="Arial" w:cs="Arial"/>
      <w:sz w:val="16"/>
      <w:szCs w:val="22"/>
      <w:lang w:val="en-GB" w:eastAsia="en-GB"/>
    </w:rPr>
  </w:style>
  <w:style w:type="paragraph" w:customStyle="1" w:styleId="Bodytext4">
    <w:name w:val="Body text 4"/>
    <w:next w:val="BodyText"/>
    <w:link w:val="Bodytext4Char"/>
    <w:qFormat/>
    <w:rsid w:val="00A10C7B"/>
    <w:pPr>
      <w:spacing w:after="120" w:line="360" w:lineRule="auto"/>
    </w:pPr>
    <w:rPr>
      <w:rFonts w:ascii="Arial" w:hAnsi="Arial"/>
      <w:szCs w:val="16"/>
      <w:u w:val="single"/>
      <w:lang w:val="en-GB" w:eastAsia="en-GB"/>
    </w:rPr>
  </w:style>
  <w:style w:type="character" w:customStyle="1" w:styleId="Bodytext4Char">
    <w:name w:val="Body text 4 Char"/>
    <w:link w:val="Bodytext4"/>
    <w:rsid w:val="00A10C7B"/>
    <w:rPr>
      <w:rFonts w:ascii="Arial" w:hAnsi="Arial"/>
      <w:szCs w:val="16"/>
      <w:u w:val="single"/>
      <w:lang w:val="en-GB" w:eastAsia="en-GB"/>
    </w:rPr>
  </w:style>
  <w:style w:type="paragraph" w:customStyle="1" w:styleId="EndNoteBibliographyTitle">
    <w:name w:val="EndNote Bibliography Title"/>
    <w:basedOn w:val="Normal"/>
    <w:link w:val="EndNoteBibliographyTitleChar"/>
    <w:rsid w:val="0060016A"/>
    <w:pPr>
      <w:jc w:val="center"/>
    </w:pPr>
    <w:rPr>
      <w:rFonts w:ascii="Arial Bold" w:hAnsi="Arial Bold"/>
      <w:noProof/>
      <w:lang w:val="en-US"/>
    </w:rPr>
  </w:style>
  <w:style w:type="character" w:customStyle="1" w:styleId="EndNoteBibliographyTitleChar">
    <w:name w:val="EndNote Bibliography Title Char"/>
    <w:basedOn w:val="DefaultParagraphFont"/>
    <w:link w:val="EndNoteBibliographyTitle"/>
    <w:rsid w:val="0060016A"/>
    <w:rPr>
      <w:rFonts w:ascii="Arial Bold" w:hAnsi="Arial Bold" w:cs="Arial"/>
      <w:noProof/>
      <w:snapToGrid w:val="0"/>
      <w:sz w:val="22"/>
      <w:lang w:val="en-US" w:eastAsia="en-US"/>
    </w:rPr>
  </w:style>
  <w:style w:type="paragraph" w:customStyle="1" w:styleId="EndNoteBibliography">
    <w:name w:val="EndNote Bibliography"/>
    <w:basedOn w:val="Normal"/>
    <w:link w:val="EndNoteBibliographyChar"/>
    <w:rsid w:val="0060016A"/>
    <w:pPr>
      <w:jc w:val="right"/>
    </w:pPr>
    <w:rPr>
      <w:rFonts w:ascii="Arial Bold" w:hAnsi="Arial Bold"/>
      <w:noProof/>
      <w:lang w:val="en-US"/>
    </w:rPr>
  </w:style>
  <w:style w:type="character" w:customStyle="1" w:styleId="EndNoteBibliographyChar">
    <w:name w:val="EndNote Bibliography Char"/>
    <w:basedOn w:val="DefaultParagraphFont"/>
    <w:link w:val="EndNoteBibliography"/>
    <w:rsid w:val="0060016A"/>
    <w:rPr>
      <w:rFonts w:ascii="Arial Bold" w:hAnsi="Arial Bold" w:cs="Arial"/>
      <w:noProof/>
      <w:snapToGrid w:val="0"/>
      <w:sz w:val="22"/>
      <w:lang w:val="en-US" w:eastAsia="en-US"/>
    </w:rPr>
  </w:style>
  <w:style w:type="paragraph" w:customStyle="1" w:styleId="Tablename0">
    <w:name w:val="Table name"/>
    <w:basedOn w:val="ListParagraph"/>
    <w:link w:val="TablenameChar"/>
    <w:qFormat/>
    <w:rsid w:val="001D1EFB"/>
    <w:pPr>
      <w:widowControl/>
      <w:jc w:val="left"/>
    </w:pPr>
    <w:rPr>
      <w:rFonts w:ascii="Arial Narrow" w:hAnsi="Arial Narrow"/>
      <w:b/>
      <w:snapToGrid/>
    </w:rPr>
  </w:style>
  <w:style w:type="character" w:customStyle="1" w:styleId="TablenameChar">
    <w:name w:val="Table name Char"/>
    <w:basedOn w:val="ListParagraphChar"/>
    <w:link w:val="Tablename0"/>
    <w:rsid w:val="001D1EFB"/>
    <w:rPr>
      <w:rFonts w:ascii="Arial Narrow" w:hAnsi="Arial Narrow" w:cs="Arial"/>
      <w:b/>
      <w:snapToGrid/>
      <w:sz w:val="22"/>
      <w:lang w:eastAsia="en-US"/>
    </w:rPr>
  </w:style>
  <w:style w:type="paragraph" w:customStyle="1" w:styleId="TableText4">
    <w:name w:val="Table Text 4"/>
    <w:basedOn w:val="Normal"/>
    <w:next w:val="TableText1"/>
    <w:qFormat/>
    <w:rsid w:val="00364898"/>
    <w:pPr>
      <w:widowControl/>
      <w:spacing w:before="40" w:after="20"/>
      <w:jc w:val="center"/>
    </w:pPr>
    <w:rPr>
      <w:rFonts w:cs="Times New Roman"/>
      <w:iCs/>
      <w:snapToGrid/>
      <w:sz w:val="18"/>
      <w:szCs w:val="22"/>
      <w:lang w:eastAsia="en-AU"/>
    </w:rPr>
  </w:style>
  <w:style w:type="paragraph" w:customStyle="1" w:styleId="BodyText31">
    <w:name w:val="Body Text 31"/>
    <w:basedOn w:val="BodyText"/>
    <w:next w:val="BodyText"/>
    <w:link w:val="Bodytext3Char0"/>
    <w:qFormat/>
    <w:rsid w:val="002240A1"/>
    <w:pPr>
      <w:widowControl/>
      <w:spacing w:after="120" w:line="360" w:lineRule="auto"/>
    </w:pPr>
    <w:rPr>
      <w:rFonts w:cs="Times New Roman"/>
      <w:i/>
      <w:snapToGrid/>
      <w:sz w:val="20"/>
      <w:szCs w:val="28"/>
      <w:lang w:val="en-US"/>
    </w:rPr>
  </w:style>
  <w:style w:type="character" w:customStyle="1" w:styleId="Bodytext3Char0">
    <w:name w:val="Body text 3 Char"/>
    <w:link w:val="BodyText31"/>
    <w:rsid w:val="002240A1"/>
    <w:rPr>
      <w:rFonts w:ascii="Arial" w:hAnsi="Arial"/>
      <w:i/>
      <w:szCs w:val="28"/>
      <w:lang w:val="en-US" w:eastAsia="en-US"/>
    </w:rPr>
  </w:style>
  <w:style w:type="paragraph" w:customStyle="1" w:styleId="Tableheader2">
    <w:name w:val="Table header 2"/>
    <w:basedOn w:val="BodyText"/>
    <w:next w:val="BodyText"/>
    <w:qFormat/>
    <w:rsid w:val="003B4660"/>
    <w:pPr>
      <w:widowControl/>
      <w:tabs>
        <w:tab w:val="left" w:pos="1134"/>
      </w:tabs>
      <w:spacing w:before="20" w:after="40"/>
    </w:pPr>
    <w:rPr>
      <w:rFonts w:cs="Times New Roman"/>
      <w:b/>
      <w:snapToGrid/>
      <w:sz w:val="18"/>
      <w:lang w:val="en-US"/>
    </w:rPr>
  </w:style>
  <w:style w:type="character" w:styleId="FollowedHyperlink">
    <w:name w:val="FollowedHyperlink"/>
    <w:basedOn w:val="DefaultParagraphFont"/>
    <w:semiHidden/>
    <w:unhideWhenUsed/>
    <w:rsid w:val="00834A70"/>
    <w:rPr>
      <w:color w:val="800080" w:themeColor="followedHyperlink"/>
      <w:u w:val="single"/>
    </w:rPr>
  </w:style>
  <w:style w:type="paragraph" w:styleId="FootnoteText">
    <w:name w:val="footnote text"/>
    <w:basedOn w:val="Normal"/>
    <w:link w:val="FootnoteTextChar"/>
    <w:unhideWhenUsed/>
    <w:rsid w:val="00047235"/>
    <w:rPr>
      <w:sz w:val="20"/>
    </w:rPr>
  </w:style>
  <w:style w:type="character" w:customStyle="1" w:styleId="FootnoteTextChar">
    <w:name w:val="Footnote Text Char"/>
    <w:basedOn w:val="DefaultParagraphFont"/>
    <w:link w:val="FootnoteText"/>
    <w:rsid w:val="00047235"/>
    <w:rPr>
      <w:rFonts w:ascii="Arial" w:hAnsi="Arial" w:cs="Arial"/>
      <w:snapToGrid w:val="0"/>
      <w:lang w:eastAsia="en-US"/>
    </w:rPr>
  </w:style>
  <w:style w:type="character" w:styleId="FootnoteReference">
    <w:name w:val="footnote reference"/>
    <w:basedOn w:val="DefaultParagraphFont"/>
    <w:unhideWhenUsed/>
    <w:rsid w:val="00047235"/>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8125E"/>
    <w:pPr>
      <w:widowControl/>
      <w:spacing w:after="160" w:line="240" w:lineRule="exact"/>
      <w:jc w:val="left"/>
    </w:pPr>
    <w:rPr>
      <w:rFonts w:ascii="Verdana" w:eastAsia="MS Mincho" w:hAnsi="Verdana" w:cs="Verdana"/>
      <w:snapToGrid/>
      <w:sz w:val="20"/>
      <w:lang w:val="en-US"/>
    </w:rPr>
  </w:style>
  <w:style w:type="character" w:customStyle="1" w:styleId="TableFooterChar">
    <w:name w:val="Table Footer Char"/>
    <w:link w:val="TableFooter"/>
    <w:uiPriority w:val="4"/>
    <w:rsid w:val="00583884"/>
    <w:rPr>
      <w:rFonts w:ascii="Arial Narrow" w:hAnsi="Arial Narrow" w:cs="Arial"/>
      <w:snapToGrid w:val="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897">
      <w:bodyDiv w:val="1"/>
      <w:marLeft w:val="0"/>
      <w:marRight w:val="0"/>
      <w:marTop w:val="0"/>
      <w:marBottom w:val="0"/>
      <w:divBdr>
        <w:top w:val="none" w:sz="0" w:space="0" w:color="auto"/>
        <w:left w:val="none" w:sz="0" w:space="0" w:color="auto"/>
        <w:bottom w:val="none" w:sz="0" w:space="0" w:color="auto"/>
        <w:right w:val="none" w:sz="0" w:space="0" w:color="auto"/>
      </w:divBdr>
    </w:div>
    <w:div w:id="16666533">
      <w:bodyDiv w:val="1"/>
      <w:marLeft w:val="0"/>
      <w:marRight w:val="0"/>
      <w:marTop w:val="0"/>
      <w:marBottom w:val="0"/>
      <w:divBdr>
        <w:top w:val="none" w:sz="0" w:space="0" w:color="auto"/>
        <w:left w:val="none" w:sz="0" w:space="0" w:color="auto"/>
        <w:bottom w:val="none" w:sz="0" w:space="0" w:color="auto"/>
        <w:right w:val="none" w:sz="0" w:space="0" w:color="auto"/>
      </w:divBdr>
    </w:div>
    <w:div w:id="207761791">
      <w:bodyDiv w:val="1"/>
      <w:marLeft w:val="0"/>
      <w:marRight w:val="0"/>
      <w:marTop w:val="0"/>
      <w:marBottom w:val="0"/>
      <w:divBdr>
        <w:top w:val="none" w:sz="0" w:space="0" w:color="auto"/>
        <w:left w:val="none" w:sz="0" w:space="0" w:color="auto"/>
        <w:bottom w:val="none" w:sz="0" w:space="0" w:color="auto"/>
        <w:right w:val="none" w:sz="0" w:space="0" w:color="auto"/>
      </w:divBdr>
    </w:div>
    <w:div w:id="227112918">
      <w:bodyDiv w:val="1"/>
      <w:marLeft w:val="0"/>
      <w:marRight w:val="0"/>
      <w:marTop w:val="0"/>
      <w:marBottom w:val="0"/>
      <w:divBdr>
        <w:top w:val="none" w:sz="0" w:space="0" w:color="auto"/>
        <w:left w:val="none" w:sz="0" w:space="0" w:color="auto"/>
        <w:bottom w:val="none" w:sz="0" w:space="0" w:color="auto"/>
        <w:right w:val="none" w:sz="0" w:space="0" w:color="auto"/>
      </w:divBdr>
    </w:div>
    <w:div w:id="390465788">
      <w:bodyDiv w:val="1"/>
      <w:marLeft w:val="0"/>
      <w:marRight w:val="0"/>
      <w:marTop w:val="0"/>
      <w:marBottom w:val="0"/>
      <w:divBdr>
        <w:top w:val="none" w:sz="0" w:space="0" w:color="auto"/>
        <w:left w:val="none" w:sz="0" w:space="0" w:color="auto"/>
        <w:bottom w:val="none" w:sz="0" w:space="0" w:color="auto"/>
        <w:right w:val="none" w:sz="0" w:space="0" w:color="auto"/>
      </w:divBdr>
    </w:div>
    <w:div w:id="392854437">
      <w:bodyDiv w:val="1"/>
      <w:marLeft w:val="0"/>
      <w:marRight w:val="0"/>
      <w:marTop w:val="0"/>
      <w:marBottom w:val="0"/>
      <w:divBdr>
        <w:top w:val="none" w:sz="0" w:space="0" w:color="auto"/>
        <w:left w:val="none" w:sz="0" w:space="0" w:color="auto"/>
        <w:bottom w:val="none" w:sz="0" w:space="0" w:color="auto"/>
        <w:right w:val="none" w:sz="0" w:space="0" w:color="auto"/>
      </w:divBdr>
      <w:divsChild>
        <w:div w:id="935940139">
          <w:marLeft w:val="0"/>
          <w:marRight w:val="0"/>
          <w:marTop w:val="0"/>
          <w:marBottom w:val="0"/>
          <w:divBdr>
            <w:top w:val="none" w:sz="0" w:space="0" w:color="auto"/>
            <w:left w:val="none" w:sz="0" w:space="0" w:color="auto"/>
            <w:bottom w:val="none" w:sz="0" w:space="0" w:color="auto"/>
            <w:right w:val="none" w:sz="0" w:space="0" w:color="auto"/>
          </w:divBdr>
          <w:divsChild>
            <w:div w:id="4024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90619">
      <w:bodyDiv w:val="1"/>
      <w:marLeft w:val="0"/>
      <w:marRight w:val="0"/>
      <w:marTop w:val="0"/>
      <w:marBottom w:val="0"/>
      <w:divBdr>
        <w:top w:val="none" w:sz="0" w:space="0" w:color="auto"/>
        <w:left w:val="none" w:sz="0" w:space="0" w:color="auto"/>
        <w:bottom w:val="none" w:sz="0" w:space="0" w:color="auto"/>
        <w:right w:val="none" w:sz="0" w:space="0" w:color="auto"/>
      </w:divBdr>
    </w:div>
    <w:div w:id="446123671">
      <w:bodyDiv w:val="1"/>
      <w:marLeft w:val="0"/>
      <w:marRight w:val="0"/>
      <w:marTop w:val="0"/>
      <w:marBottom w:val="0"/>
      <w:divBdr>
        <w:top w:val="none" w:sz="0" w:space="0" w:color="auto"/>
        <w:left w:val="none" w:sz="0" w:space="0" w:color="auto"/>
        <w:bottom w:val="none" w:sz="0" w:space="0" w:color="auto"/>
        <w:right w:val="none" w:sz="0" w:space="0" w:color="auto"/>
      </w:divBdr>
      <w:divsChild>
        <w:div w:id="1308701106">
          <w:marLeft w:val="0"/>
          <w:marRight w:val="0"/>
          <w:marTop w:val="0"/>
          <w:marBottom w:val="0"/>
          <w:divBdr>
            <w:top w:val="none" w:sz="0" w:space="0" w:color="auto"/>
            <w:left w:val="none" w:sz="0" w:space="0" w:color="auto"/>
            <w:bottom w:val="none" w:sz="0" w:space="0" w:color="auto"/>
            <w:right w:val="none" w:sz="0" w:space="0" w:color="auto"/>
          </w:divBdr>
          <w:divsChild>
            <w:div w:id="154740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9242">
      <w:bodyDiv w:val="1"/>
      <w:marLeft w:val="0"/>
      <w:marRight w:val="0"/>
      <w:marTop w:val="0"/>
      <w:marBottom w:val="0"/>
      <w:divBdr>
        <w:top w:val="none" w:sz="0" w:space="0" w:color="auto"/>
        <w:left w:val="none" w:sz="0" w:space="0" w:color="auto"/>
        <w:bottom w:val="none" w:sz="0" w:space="0" w:color="auto"/>
        <w:right w:val="none" w:sz="0" w:space="0" w:color="auto"/>
      </w:divBdr>
    </w:div>
    <w:div w:id="564411840">
      <w:bodyDiv w:val="1"/>
      <w:marLeft w:val="0"/>
      <w:marRight w:val="0"/>
      <w:marTop w:val="0"/>
      <w:marBottom w:val="0"/>
      <w:divBdr>
        <w:top w:val="none" w:sz="0" w:space="0" w:color="auto"/>
        <w:left w:val="none" w:sz="0" w:space="0" w:color="auto"/>
        <w:bottom w:val="none" w:sz="0" w:space="0" w:color="auto"/>
        <w:right w:val="none" w:sz="0" w:space="0" w:color="auto"/>
      </w:divBdr>
    </w:div>
    <w:div w:id="595673962">
      <w:bodyDiv w:val="1"/>
      <w:marLeft w:val="0"/>
      <w:marRight w:val="0"/>
      <w:marTop w:val="0"/>
      <w:marBottom w:val="0"/>
      <w:divBdr>
        <w:top w:val="none" w:sz="0" w:space="0" w:color="auto"/>
        <w:left w:val="none" w:sz="0" w:space="0" w:color="auto"/>
        <w:bottom w:val="none" w:sz="0" w:space="0" w:color="auto"/>
        <w:right w:val="none" w:sz="0" w:space="0" w:color="auto"/>
      </w:divBdr>
    </w:div>
    <w:div w:id="625501278">
      <w:bodyDiv w:val="1"/>
      <w:marLeft w:val="0"/>
      <w:marRight w:val="0"/>
      <w:marTop w:val="0"/>
      <w:marBottom w:val="0"/>
      <w:divBdr>
        <w:top w:val="none" w:sz="0" w:space="0" w:color="auto"/>
        <w:left w:val="none" w:sz="0" w:space="0" w:color="auto"/>
        <w:bottom w:val="none" w:sz="0" w:space="0" w:color="auto"/>
        <w:right w:val="none" w:sz="0" w:space="0" w:color="auto"/>
      </w:divBdr>
    </w:div>
    <w:div w:id="795610598">
      <w:bodyDiv w:val="1"/>
      <w:marLeft w:val="0"/>
      <w:marRight w:val="0"/>
      <w:marTop w:val="0"/>
      <w:marBottom w:val="0"/>
      <w:divBdr>
        <w:top w:val="none" w:sz="0" w:space="0" w:color="auto"/>
        <w:left w:val="none" w:sz="0" w:space="0" w:color="auto"/>
        <w:bottom w:val="none" w:sz="0" w:space="0" w:color="auto"/>
        <w:right w:val="none" w:sz="0" w:space="0" w:color="auto"/>
      </w:divBdr>
    </w:div>
    <w:div w:id="839127000">
      <w:bodyDiv w:val="1"/>
      <w:marLeft w:val="0"/>
      <w:marRight w:val="0"/>
      <w:marTop w:val="0"/>
      <w:marBottom w:val="0"/>
      <w:divBdr>
        <w:top w:val="none" w:sz="0" w:space="0" w:color="auto"/>
        <w:left w:val="none" w:sz="0" w:space="0" w:color="auto"/>
        <w:bottom w:val="none" w:sz="0" w:space="0" w:color="auto"/>
        <w:right w:val="none" w:sz="0" w:space="0" w:color="auto"/>
      </w:divBdr>
    </w:div>
    <w:div w:id="987443570">
      <w:bodyDiv w:val="1"/>
      <w:marLeft w:val="0"/>
      <w:marRight w:val="0"/>
      <w:marTop w:val="0"/>
      <w:marBottom w:val="0"/>
      <w:divBdr>
        <w:top w:val="none" w:sz="0" w:space="0" w:color="auto"/>
        <w:left w:val="none" w:sz="0" w:space="0" w:color="auto"/>
        <w:bottom w:val="none" w:sz="0" w:space="0" w:color="auto"/>
        <w:right w:val="none" w:sz="0" w:space="0" w:color="auto"/>
      </w:divBdr>
    </w:div>
    <w:div w:id="1024134871">
      <w:bodyDiv w:val="1"/>
      <w:marLeft w:val="0"/>
      <w:marRight w:val="0"/>
      <w:marTop w:val="0"/>
      <w:marBottom w:val="0"/>
      <w:divBdr>
        <w:top w:val="none" w:sz="0" w:space="0" w:color="auto"/>
        <w:left w:val="none" w:sz="0" w:space="0" w:color="auto"/>
        <w:bottom w:val="none" w:sz="0" w:space="0" w:color="auto"/>
        <w:right w:val="none" w:sz="0" w:space="0" w:color="auto"/>
      </w:divBdr>
    </w:div>
    <w:div w:id="1065642457">
      <w:bodyDiv w:val="1"/>
      <w:marLeft w:val="0"/>
      <w:marRight w:val="0"/>
      <w:marTop w:val="0"/>
      <w:marBottom w:val="0"/>
      <w:divBdr>
        <w:top w:val="none" w:sz="0" w:space="0" w:color="auto"/>
        <w:left w:val="none" w:sz="0" w:space="0" w:color="auto"/>
        <w:bottom w:val="none" w:sz="0" w:space="0" w:color="auto"/>
        <w:right w:val="none" w:sz="0" w:space="0" w:color="auto"/>
      </w:divBdr>
    </w:div>
    <w:div w:id="1113791379">
      <w:bodyDiv w:val="1"/>
      <w:marLeft w:val="0"/>
      <w:marRight w:val="0"/>
      <w:marTop w:val="0"/>
      <w:marBottom w:val="0"/>
      <w:divBdr>
        <w:top w:val="none" w:sz="0" w:space="0" w:color="auto"/>
        <w:left w:val="none" w:sz="0" w:space="0" w:color="auto"/>
        <w:bottom w:val="none" w:sz="0" w:space="0" w:color="auto"/>
        <w:right w:val="none" w:sz="0" w:space="0" w:color="auto"/>
      </w:divBdr>
    </w:div>
    <w:div w:id="1334721446">
      <w:bodyDiv w:val="1"/>
      <w:marLeft w:val="0"/>
      <w:marRight w:val="0"/>
      <w:marTop w:val="0"/>
      <w:marBottom w:val="0"/>
      <w:divBdr>
        <w:top w:val="none" w:sz="0" w:space="0" w:color="auto"/>
        <w:left w:val="none" w:sz="0" w:space="0" w:color="auto"/>
        <w:bottom w:val="none" w:sz="0" w:space="0" w:color="auto"/>
        <w:right w:val="none" w:sz="0" w:space="0" w:color="auto"/>
      </w:divBdr>
    </w:div>
    <w:div w:id="1413048397">
      <w:bodyDiv w:val="1"/>
      <w:marLeft w:val="0"/>
      <w:marRight w:val="0"/>
      <w:marTop w:val="0"/>
      <w:marBottom w:val="0"/>
      <w:divBdr>
        <w:top w:val="none" w:sz="0" w:space="0" w:color="auto"/>
        <w:left w:val="none" w:sz="0" w:space="0" w:color="auto"/>
        <w:bottom w:val="none" w:sz="0" w:space="0" w:color="auto"/>
        <w:right w:val="none" w:sz="0" w:space="0" w:color="auto"/>
      </w:divBdr>
    </w:div>
    <w:div w:id="1456947197">
      <w:bodyDiv w:val="1"/>
      <w:marLeft w:val="0"/>
      <w:marRight w:val="0"/>
      <w:marTop w:val="0"/>
      <w:marBottom w:val="0"/>
      <w:divBdr>
        <w:top w:val="none" w:sz="0" w:space="0" w:color="auto"/>
        <w:left w:val="none" w:sz="0" w:space="0" w:color="auto"/>
        <w:bottom w:val="none" w:sz="0" w:space="0" w:color="auto"/>
        <w:right w:val="none" w:sz="0" w:space="0" w:color="auto"/>
      </w:divBdr>
    </w:div>
    <w:div w:id="1489245893">
      <w:bodyDiv w:val="1"/>
      <w:marLeft w:val="0"/>
      <w:marRight w:val="0"/>
      <w:marTop w:val="0"/>
      <w:marBottom w:val="0"/>
      <w:divBdr>
        <w:top w:val="none" w:sz="0" w:space="0" w:color="auto"/>
        <w:left w:val="none" w:sz="0" w:space="0" w:color="auto"/>
        <w:bottom w:val="none" w:sz="0" w:space="0" w:color="auto"/>
        <w:right w:val="none" w:sz="0" w:space="0" w:color="auto"/>
      </w:divBdr>
    </w:div>
    <w:div w:id="1510370107">
      <w:bodyDiv w:val="1"/>
      <w:marLeft w:val="0"/>
      <w:marRight w:val="0"/>
      <w:marTop w:val="0"/>
      <w:marBottom w:val="0"/>
      <w:divBdr>
        <w:top w:val="none" w:sz="0" w:space="0" w:color="auto"/>
        <w:left w:val="none" w:sz="0" w:space="0" w:color="auto"/>
        <w:bottom w:val="none" w:sz="0" w:space="0" w:color="auto"/>
        <w:right w:val="none" w:sz="0" w:space="0" w:color="auto"/>
      </w:divBdr>
    </w:div>
    <w:div w:id="1541941287">
      <w:bodyDiv w:val="1"/>
      <w:marLeft w:val="0"/>
      <w:marRight w:val="0"/>
      <w:marTop w:val="0"/>
      <w:marBottom w:val="0"/>
      <w:divBdr>
        <w:top w:val="none" w:sz="0" w:space="0" w:color="auto"/>
        <w:left w:val="none" w:sz="0" w:space="0" w:color="auto"/>
        <w:bottom w:val="none" w:sz="0" w:space="0" w:color="auto"/>
        <w:right w:val="none" w:sz="0" w:space="0" w:color="auto"/>
      </w:divBdr>
    </w:div>
    <w:div w:id="1544290745">
      <w:bodyDiv w:val="1"/>
      <w:marLeft w:val="0"/>
      <w:marRight w:val="0"/>
      <w:marTop w:val="0"/>
      <w:marBottom w:val="0"/>
      <w:divBdr>
        <w:top w:val="none" w:sz="0" w:space="0" w:color="auto"/>
        <w:left w:val="none" w:sz="0" w:space="0" w:color="auto"/>
        <w:bottom w:val="none" w:sz="0" w:space="0" w:color="auto"/>
        <w:right w:val="none" w:sz="0" w:space="0" w:color="auto"/>
      </w:divBdr>
    </w:div>
    <w:div w:id="1567102930">
      <w:bodyDiv w:val="1"/>
      <w:marLeft w:val="0"/>
      <w:marRight w:val="0"/>
      <w:marTop w:val="0"/>
      <w:marBottom w:val="0"/>
      <w:divBdr>
        <w:top w:val="none" w:sz="0" w:space="0" w:color="auto"/>
        <w:left w:val="none" w:sz="0" w:space="0" w:color="auto"/>
        <w:bottom w:val="none" w:sz="0" w:space="0" w:color="auto"/>
        <w:right w:val="none" w:sz="0" w:space="0" w:color="auto"/>
      </w:divBdr>
    </w:div>
    <w:div w:id="1591504271">
      <w:bodyDiv w:val="1"/>
      <w:marLeft w:val="0"/>
      <w:marRight w:val="0"/>
      <w:marTop w:val="0"/>
      <w:marBottom w:val="0"/>
      <w:divBdr>
        <w:top w:val="none" w:sz="0" w:space="0" w:color="auto"/>
        <w:left w:val="none" w:sz="0" w:space="0" w:color="auto"/>
        <w:bottom w:val="none" w:sz="0" w:space="0" w:color="auto"/>
        <w:right w:val="none" w:sz="0" w:space="0" w:color="auto"/>
      </w:divBdr>
    </w:div>
    <w:div w:id="1715108365">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805000724">
      <w:bodyDiv w:val="1"/>
      <w:marLeft w:val="0"/>
      <w:marRight w:val="0"/>
      <w:marTop w:val="0"/>
      <w:marBottom w:val="0"/>
      <w:divBdr>
        <w:top w:val="none" w:sz="0" w:space="0" w:color="auto"/>
        <w:left w:val="none" w:sz="0" w:space="0" w:color="auto"/>
        <w:bottom w:val="none" w:sz="0" w:space="0" w:color="auto"/>
        <w:right w:val="none" w:sz="0" w:space="0" w:color="auto"/>
      </w:divBdr>
    </w:div>
    <w:div w:id="1811286392">
      <w:bodyDiv w:val="1"/>
      <w:marLeft w:val="0"/>
      <w:marRight w:val="0"/>
      <w:marTop w:val="0"/>
      <w:marBottom w:val="0"/>
      <w:divBdr>
        <w:top w:val="none" w:sz="0" w:space="0" w:color="auto"/>
        <w:left w:val="none" w:sz="0" w:space="0" w:color="auto"/>
        <w:bottom w:val="none" w:sz="0" w:space="0" w:color="auto"/>
        <w:right w:val="none" w:sz="0" w:space="0" w:color="auto"/>
      </w:divBdr>
    </w:div>
    <w:div w:id="1913587803">
      <w:bodyDiv w:val="1"/>
      <w:marLeft w:val="0"/>
      <w:marRight w:val="0"/>
      <w:marTop w:val="0"/>
      <w:marBottom w:val="0"/>
      <w:divBdr>
        <w:top w:val="none" w:sz="0" w:space="0" w:color="auto"/>
        <w:left w:val="none" w:sz="0" w:space="0" w:color="auto"/>
        <w:bottom w:val="none" w:sz="0" w:space="0" w:color="auto"/>
        <w:right w:val="none" w:sz="0" w:space="0" w:color="auto"/>
      </w:divBdr>
    </w:div>
    <w:div w:id="1915436190">
      <w:bodyDiv w:val="1"/>
      <w:marLeft w:val="0"/>
      <w:marRight w:val="0"/>
      <w:marTop w:val="0"/>
      <w:marBottom w:val="0"/>
      <w:divBdr>
        <w:top w:val="none" w:sz="0" w:space="0" w:color="auto"/>
        <w:left w:val="none" w:sz="0" w:space="0" w:color="auto"/>
        <w:bottom w:val="none" w:sz="0" w:space="0" w:color="auto"/>
        <w:right w:val="none" w:sz="0" w:space="0" w:color="auto"/>
      </w:divBdr>
    </w:div>
    <w:div w:id="1968117965">
      <w:bodyDiv w:val="1"/>
      <w:marLeft w:val="0"/>
      <w:marRight w:val="0"/>
      <w:marTop w:val="0"/>
      <w:marBottom w:val="0"/>
      <w:divBdr>
        <w:top w:val="none" w:sz="0" w:space="0" w:color="auto"/>
        <w:left w:val="none" w:sz="0" w:space="0" w:color="auto"/>
        <w:bottom w:val="none" w:sz="0" w:space="0" w:color="auto"/>
        <w:right w:val="none" w:sz="0" w:space="0" w:color="auto"/>
      </w:divBdr>
    </w:div>
    <w:div w:id="2042630007">
      <w:bodyDiv w:val="1"/>
      <w:marLeft w:val="0"/>
      <w:marRight w:val="0"/>
      <w:marTop w:val="0"/>
      <w:marBottom w:val="0"/>
      <w:divBdr>
        <w:top w:val="none" w:sz="0" w:space="0" w:color="auto"/>
        <w:left w:val="none" w:sz="0" w:space="0" w:color="auto"/>
        <w:bottom w:val="none" w:sz="0" w:space="0" w:color="auto"/>
        <w:right w:val="none" w:sz="0" w:space="0" w:color="auto"/>
      </w:divBdr>
    </w:div>
    <w:div w:id="20554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healthpro/explanatory-notes/section2/section-2-symb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7959A-0766-4CAA-AA39-59F96FDA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5095</Words>
  <Characters>28359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2017-02-06T05:08:00Z</dcterms:created>
  <dcterms:modified xsi:type="dcterms:W3CDTF">2017-02-16T04:47:00Z</dcterms:modified>
</cp:coreProperties>
</file>